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color w:val="000000"/>
          <w:sz w:val="28"/>
          <w:szCs w:val="28"/>
          <w:highlight w:val="none"/>
        </w:rPr>
      </w:pPr>
    </w:p>
    <w:p>
      <w:pPr>
        <w:adjustRightInd w:val="0"/>
        <w:snapToGrid w:val="0"/>
        <w:spacing w:line="360" w:lineRule="auto"/>
        <w:jc w:val="center"/>
        <w:rPr>
          <w:rFonts w:hint="eastAsia" w:ascii="仿宋" w:hAnsi="仿宋" w:eastAsia="仿宋" w:cs="仿宋"/>
          <w:bCs/>
          <w:color w:val="000000"/>
          <w:sz w:val="28"/>
          <w:szCs w:val="28"/>
          <w:highlight w:val="none"/>
        </w:rPr>
      </w:pPr>
    </w:p>
    <w:p>
      <w:pPr>
        <w:adjustRightInd w:val="0"/>
        <w:snapToGrid w:val="0"/>
        <w:spacing w:line="360" w:lineRule="auto"/>
        <w:rPr>
          <w:rFonts w:hint="eastAsia" w:ascii="仿宋" w:hAnsi="仿宋" w:eastAsia="仿宋" w:cs="仿宋"/>
          <w:b/>
          <w:color w:val="000000"/>
          <w:sz w:val="44"/>
          <w:szCs w:val="44"/>
          <w:highlight w:val="none"/>
        </w:rPr>
      </w:pPr>
    </w:p>
    <w:p>
      <w:pPr>
        <w:spacing w:before="240"/>
        <w:jc w:val="center"/>
        <w:rPr>
          <w:rStyle w:val="51"/>
          <w:color w:val="000000" w:themeColor="text1"/>
          <w:highlight w:val="none"/>
          <w14:textFill>
            <w14:solidFill>
              <w14:schemeClr w14:val="tx1"/>
            </w14:solidFill>
          </w14:textFill>
        </w:rPr>
      </w:pPr>
      <w:r>
        <w:rPr>
          <w:rFonts w:hint="eastAsia" w:ascii="仿宋" w:hAnsi="仿宋" w:eastAsia="仿宋" w:cs="宋体"/>
          <w:b/>
          <w:color w:val="000000" w:themeColor="text1"/>
          <w:spacing w:val="40"/>
          <w:sz w:val="36"/>
          <w:szCs w:val="36"/>
          <w:highlight w:val="none"/>
          <w14:textFill>
            <w14:solidFill>
              <w14:schemeClr w14:val="tx1"/>
            </w14:solidFill>
          </w14:textFill>
        </w:rPr>
        <w:t>人保财险吉林省分公司自建系统等保测评服务采购项目</w:t>
      </w:r>
    </w:p>
    <w:p>
      <w:pPr>
        <w:tabs>
          <w:tab w:val="left" w:pos="720"/>
          <w:tab w:val="left" w:pos="8295"/>
        </w:tabs>
        <w:spacing w:line="360" w:lineRule="auto"/>
        <w:jc w:val="center"/>
        <w:rPr>
          <w:rFonts w:hint="eastAsia" w:ascii="仿宋" w:hAnsi="仿宋" w:eastAsia="仿宋" w:cs="仿宋"/>
          <w:b/>
          <w:color w:val="000000" w:themeColor="text1"/>
          <w:sz w:val="28"/>
          <w:szCs w:val="28"/>
          <w:highlight w:val="none"/>
          <w14:textFill>
            <w14:solidFill>
              <w14:schemeClr w14:val="tx1"/>
            </w14:solidFill>
          </w14:textFill>
        </w:rPr>
      </w:pPr>
    </w:p>
    <w:p>
      <w:pPr>
        <w:pStyle w:val="2"/>
        <w:rPr>
          <w:rFonts w:hint="eastAsia"/>
          <w:color w:val="000000" w:themeColor="text1"/>
          <w:highlight w:val="none"/>
          <w14:textFill>
            <w14:solidFill>
              <w14:schemeClr w14:val="tx1"/>
            </w14:solidFill>
          </w14:textFill>
        </w:rPr>
      </w:pPr>
    </w:p>
    <w:p>
      <w:pPr>
        <w:rPr>
          <w:rFonts w:hint="eastAsia" w:ascii="仿宋" w:hAnsi="仿宋" w:eastAsia="仿宋" w:cs="仿宋"/>
          <w:color w:val="000000" w:themeColor="text1"/>
          <w:highlight w:val="none"/>
          <w14:textFill>
            <w14:solidFill>
              <w14:schemeClr w14:val="tx1"/>
            </w14:solidFill>
          </w14:textFill>
        </w:rPr>
      </w:pPr>
    </w:p>
    <w:p>
      <w:pPr>
        <w:tabs>
          <w:tab w:val="left" w:pos="720"/>
          <w:tab w:val="left" w:pos="8295"/>
        </w:tabs>
        <w:spacing w:line="360" w:lineRule="auto"/>
        <w:jc w:val="center"/>
        <w:rPr>
          <w:rFonts w:hint="eastAsia" w:ascii="仿宋" w:hAnsi="仿宋" w:eastAsia="仿宋" w:cs="仿宋"/>
          <w:b/>
          <w:color w:val="000000" w:themeColor="text1"/>
          <w:sz w:val="28"/>
          <w:szCs w:val="28"/>
          <w:highlight w:val="none"/>
          <w14:textFill>
            <w14:solidFill>
              <w14:schemeClr w14:val="tx1"/>
            </w14:solidFill>
          </w14:textFill>
        </w:rPr>
      </w:pPr>
    </w:p>
    <w:p>
      <w:pPr>
        <w:pStyle w:val="2"/>
        <w:rPr>
          <w:rFonts w:hint="eastAsia"/>
          <w:color w:val="000000" w:themeColor="text1"/>
          <w:highlight w:val="none"/>
          <w14:textFill>
            <w14:solidFill>
              <w14:schemeClr w14:val="tx1"/>
            </w14:solidFill>
          </w14:textFill>
        </w:rPr>
      </w:pPr>
    </w:p>
    <w:p>
      <w:pPr>
        <w:tabs>
          <w:tab w:val="left" w:pos="720"/>
          <w:tab w:val="left" w:pos="8295"/>
        </w:tabs>
        <w:spacing w:line="360" w:lineRule="auto"/>
        <w:jc w:val="center"/>
        <w:rPr>
          <w:rFonts w:hint="eastAsia" w:ascii="仿宋" w:hAnsi="仿宋" w:eastAsia="仿宋" w:cs="仿宋"/>
          <w:b/>
          <w:bCs/>
          <w:color w:val="000000" w:themeColor="text1"/>
          <w:sz w:val="84"/>
          <w:szCs w:val="84"/>
          <w:highlight w:val="none"/>
          <w14:textFill>
            <w14:solidFill>
              <w14:schemeClr w14:val="tx1"/>
            </w14:solidFill>
          </w14:textFill>
        </w:rPr>
      </w:pPr>
      <w:r>
        <w:rPr>
          <w:rFonts w:hint="eastAsia" w:ascii="仿宋" w:hAnsi="仿宋" w:eastAsia="仿宋" w:cs="仿宋"/>
          <w:b/>
          <w:bCs/>
          <w:color w:val="000000" w:themeColor="text1"/>
          <w:sz w:val="84"/>
          <w:szCs w:val="84"/>
          <w:highlight w:val="none"/>
          <w:lang w:eastAsia="zh-CN"/>
          <w14:textFill>
            <w14:solidFill>
              <w14:schemeClr w14:val="tx1"/>
            </w14:solidFill>
          </w14:textFill>
        </w:rPr>
        <w:t>比选</w:t>
      </w:r>
      <w:r>
        <w:rPr>
          <w:rFonts w:hint="eastAsia" w:ascii="仿宋" w:hAnsi="仿宋" w:eastAsia="仿宋" w:cs="仿宋"/>
          <w:b/>
          <w:bCs/>
          <w:color w:val="000000" w:themeColor="text1"/>
          <w:sz w:val="84"/>
          <w:szCs w:val="84"/>
          <w:highlight w:val="none"/>
          <w14:textFill>
            <w14:solidFill>
              <w14:schemeClr w14:val="tx1"/>
            </w14:solidFill>
          </w14:textFill>
        </w:rPr>
        <w:t>文件</w:t>
      </w:r>
    </w:p>
    <w:p>
      <w:pPr>
        <w:tabs>
          <w:tab w:val="left" w:pos="720"/>
          <w:tab w:val="left" w:pos="8295"/>
        </w:tabs>
        <w:spacing w:line="360" w:lineRule="auto"/>
        <w:jc w:val="center"/>
        <w:rPr>
          <w:rFonts w:hint="eastAsia" w:ascii="仿宋" w:hAnsi="仿宋" w:eastAsia="仿宋" w:cs="仿宋"/>
          <w:b/>
          <w:color w:val="000000" w:themeColor="text1"/>
          <w:sz w:val="28"/>
          <w:szCs w:val="28"/>
          <w:highlight w:val="none"/>
          <w14:textFill>
            <w14:solidFill>
              <w14:schemeClr w14:val="tx1"/>
            </w14:solidFill>
          </w14:textFill>
        </w:rPr>
      </w:pPr>
    </w:p>
    <w:p>
      <w:pPr>
        <w:tabs>
          <w:tab w:val="left" w:pos="720"/>
          <w:tab w:val="left" w:pos="8295"/>
        </w:tabs>
        <w:spacing w:line="360" w:lineRule="auto"/>
        <w:jc w:val="center"/>
        <w:rPr>
          <w:rFonts w:hint="eastAsia" w:ascii="仿宋" w:hAnsi="仿宋" w:eastAsia="仿宋" w:cs="仿宋"/>
          <w:b/>
          <w:color w:val="000000" w:themeColor="text1"/>
          <w:sz w:val="28"/>
          <w:szCs w:val="28"/>
          <w:highlight w:val="none"/>
          <w14:textFill>
            <w14:solidFill>
              <w14:schemeClr w14:val="tx1"/>
            </w14:solidFill>
          </w14:textFill>
        </w:rPr>
      </w:pPr>
    </w:p>
    <w:p>
      <w:pPr>
        <w:tabs>
          <w:tab w:val="left" w:pos="720"/>
          <w:tab w:val="left" w:pos="8295"/>
        </w:tabs>
        <w:spacing w:line="360" w:lineRule="auto"/>
        <w:jc w:val="center"/>
        <w:rPr>
          <w:rFonts w:hint="eastAsia" w:ascii="仿宋" w:hAnsi="仿宋" w:eastAsia="仿宋" w:cs="仿宋"/>
          <w:b/>
          <w:color w:val="000000" w:themeColor="text1"/>
          <w:sz w:val="28"/>
          <w:szCs w:val="28"/>
          <w:highlight w:val="none"/>
          <w14:textFill>
            <w14:solidFill>
              <w14:schemeClr w14:val="tx1"/>
            </w14:solidFill>
          </w14:textFill>
        </w:rPr>
      </w:pPr>
    </w:p>
    <w:p>
      <w:pPr>
        <w:tabs>
          <w:tab w:val="left" w:pos="720"/>
          <w:tab w:val="left" w:pos="8295"/>
        </w:tabs>
        <w:spacing w:line="360" w:lineRule="auto"/>
        <w:jc w:val="center"/>
        <w:rPr>
          <w:rFonts w:ascii="仿宋" w:hAnsi="仿宋" w:eastAsia="仿宋" w:cs="仿宋"/>
          <w:b/>
          <w:color w:val="000000" w:themeColor="text1"/>
          <w:sz w:val="36"/>
          <w:szCs w:val="36"/>
          <w:highlight w:val="none"/>
          <w14:textFill>
            <w14:solidFill>
              <w14:schemeClr w14:val="tx1"/>
            </w14:solidFill>
          </w14:textFill>
        </w:rPr>
      </w:pPr>
    </w:p>
    <w:p>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000000" w:themeColor="text1"/>
          <w:kern w:val="0"/>
          <w:sz w:val="28"/>
          <w:szCs w:val="28"/>
          <w:highlight w:val="none"/>
          <w14:textFill>
            <w14:solidFill>
              <w14:schemeClr w14:val="tx1"/>
            </w14:solidFill>
          </w14:textFill>
        </w:rPr>
      </w:pPr>
      <w:r>
        <w:rPr>
          <w:rFonts w:hint="eastAsia" w:ascii="仿宋" w:hAnsi="仿宋" w:eastAsia="仿宋" w:cs="仿宋"/>
          <w:b/>
          <w:color w:val="000000" w:themeColor="text1"/>
          <w:kern w:val="0"/>
          <w:sz w:val="28"/>
          <w:szCs w:val="28"/>
          <w:highlight w:val="none"/>
          <w14:textFill>
            <w14:solidFill>
              <w14:schemeClr w14:val="tx1"/>
            </w14:solidFill>
          </w14:textFill>
        </w:rPr>
        <w:t>采购人：中国人民财产保险股份有限公司</w:t>
      </w:r>
      <w:r>
        <w:rPr>
          <w:rFonts w:hint="eastAsia" w:ascii="仿宋" w:hAnsi="仿宋" w:eastAsia="仿宋" w:cs="仿宋"/>
          <w:b/>
          <w:color w:val="000000" w:themeColor="text1"/>
          <w:kern w:val="0"/>
          <w:sz w:val="28"/>
          <w:szCs w:val="28"/>
          <w:highlight w:val="none"/>
          <w:lang w:val="en-US" w:eastAsia="zh-CN"/>
          <w14:textFill>
            <w14:solidFill>
              <w14:schemeClr w14:val="tx1"/>
            </w14:solidFill>
          </w14:textFill>
        </w:rPr>
        <w:t>吉林</w:t>
      </w:r>
      <w:r>
        <w:rPr>
          <w:rFonts w:hint="eastAsia" w:ascii="仿宋" w:hAnsi="仿宋" w:eastAsia="仿宋" w:cs="仿宋"/>
          <w:b/>
          <w:color w:val="000000" w:themeColor="text1"/>
          <w:kern w:val="0"/>
          <w:sz w:val="28"/>
          <w:szCs w:val="28"/>
          <w:highlight w:val="none"/>
          <w14:textFill>
            <w14:solidFill>
              <w14:schemeClr w14:val="tx1"/>
            </w14:solidFill>
          </w14:textFill>
        </w:rPr>
        <w:t>分公司</w:t>
      </w:r>
    </w:p>
    <w:p>
      <w:pPr>
        <w:tabs>
          <w:tab w:val="left" w:pos="720"/>
          <w:tab w:val="left" w:pos="8295"/>
        </w:tabs>
        <w:spacing w:line="360" w:lineRule="auto"/>
        <w:jc w:val="center"/>
        <w:rPr>
          <w:rFonts w:hint="eastAsia" w:ascii="仿宋" w:hAnsi="仿宋" w:eastAsia="仿宋" w:cs="仿宋"/>
          <w:b/>
          <w:color w:val="FF0000"/>
          <w:sz w:val="36"/>
          <w:szCs w:val="36"/>
          <w:highlight w:val="none"/>
        </w:rPr>
      </w:pPr>
      <w:r>
        <w:rPr>
          <w:rFonts w:hint="eastAsia" w:ascii="仿宋" w:hAnsi="仿宋" w:eastAsia="仿宋" w:cs="仿宋"/>
          <w:b/>
          <w:color w:val="000000" w:themeColor="text1"/>
          <w:sz w:val="28"/>
          <w:szCs w:val="28"/>
          <w:highlight w:val="none"/>
          <w14:textFill>
            <w14:solidFill>
              <w14:schemeClr w14:val="tx1"/>
            </w14:solidFill>
          </w14:textFill>
        </w:rPr>
        <w:t>日期：20</w:t>
      </w:r>
      <w:r>
        <w:rPr>
          <w:rFonts w:hint="eastAsia" w:ascii="仿宋" w:hAnsi="仿宋" w:eastAsia="仿宋" w:cs="仿宋"/>
          <w:b/>
          <w:color w:val="000000" w:themeColor="text1"/>
          <w:sz w:val="28"/>
          <w:szCs w:val="28"/>
          <w:highlight w:val="none"/>
          <w:lang w:val="en-US" w:eastAsia="zh-CN"/>
          <w14:textFill>
            <w14:solidFill>
              <w14:schemeClr w14:val="tx1"/>
            </w14:solidFill>
          </w14:textFill>
        </w:rPr>
        <w:t>26</w:t>
      </w:r>
      <w:r>
        <w:rPr>
          <w:rFonts w:hint="eastAsia" w:ascii="仿宋" w:hAnsi="仿宋" w:eastAsia="仿宋" w:cs="仿宋"/>
          <w:b/>
          <w:color w:val="000000" w:themeColor="text1"/>
          <w:sz w:val="28"/>
          <w:szCs w:val="28"/>
          <w:highlight w:val="none"/>
          <w14:textFill>
            <w14:solidFill>
              <w14:schemeClr w14:val="tx1"/>
            </w14:solidFill>
          </w14:textFill>
        </w:rPr>
        <w:t>年</w:t>
      </w:r>
      <w:r>
        <w:rPr>
          <w:rFonts w:hint="eastAsia" w:ascii="仿宋" w:hAnsi="仿宋" w:eastAsia="仿宋" w:cs="仿宋"/>
          <w:b/>
          <w:color w:val="000000" w:themeColor="text1"/>
          <w:sz w:val="28"/>
          <w:szCs w:val="28"/>
          <w:highlight w:val="none"/>
          <w:lang w:val="en-US" w:eastAsia="zh-CN"/>
          <w14:textFill>
            <w14:solidFill>
              <w14:schemeClr w14:val="tx1"/>
            </w14:solidFill>
          </w14:textFill>
        </w:rPr>
        <w:t>5</w:t>
      </w:r>
      <w:r>
        <w:rPr>
          <w:rFonts w:hint="eastAsia" w:ascii="仿宋" w:hAnsi="仿宋" w:eastAsia="仿宋" w:cs="仿宋"/>
          <w:b/>
          <w:color w:val="000000" w:themeColor="text1"/>
          <w:sz w:val="28"/>
          <w:szCs w:val="28"/>
          <w:highlight w:val="none"/>
          <w14:textFill>
            <w14:solidFill>
              <w14:schemeClr w14:val="tx1"/>
            </w14:solidFill>
          </w14:textFill>
        </w:rPr>
        <w:t>月</w:t>
      </w:r>
    </w:p>
    <w:p>
      <w:pPr>
        <w:spacing w:line="360" w:lineRule="auto"/>
        <w:jc w:val="center"/>
        <w:rPr>
          <w:rFonts w:hint="eastAsia" w:ascii="仿宋" w:hAnsi="仿宋" w:eastAsia="仿宋" w:cs="仿宋"/>
          <w:color w:val="000000"/>
          <w:sz w:val="36"/>
          <w:highlight w:val="none"/>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pPr>
        <w:jc w:val="center"/>
        <w:rPr>
          <w:rFonts w:hint="eastAsia" w:ascii="仿宋" w:hAnsi="仿宋" w:eastAsia="仿宋" w:cs="仿宋"/>
          <w:b/>
          <w:bCs/>
          <w:color w:val="000000"/>
          <w:sz w:val="28"/>
          <w:szCs w:val="28"/>
          <w:highlight w:val="none"/>
        </w:rPr>
      </w:pPr>
      <w:bookmarkStart w:id="0" w:name="_Toc23584"/>
      <w:r>
        <w:rPr>
          <w:rFonts w:hint="eastAsia" w:ascii="仿宋" w:hAnsi="仿宋" w:eastAsia="仿宋" w:cs="仿宋"/>
          <w:b/>
          <w:bCs/>
          <w:color w:val="000000"/>
          <w:sz w:val="28"/>
          <w:szCs w:val="28"/>
          <w:highlight w:val="none"/>
          <w:lang w:val="zh-CN"/>
        </w:rPr>
        <w:t>目  录</w:t>
      </w:r>
      <w:bookmarkEnd w:id="0"/>
    </w:p>
    <w:p>
      <w:pPr>
        <w:pStyle w:val="28"/>
        <w:tabs>
          <w:tab w:val="right" w:leader="dot" w:pos="9638"/>
        </w:tabs>
      </w:pPr>
      <w:r>
        <w:rPr>
          <w:rFonts w:hint="eastAsia" w:ascii="仿宋" w:hAnsi="仿宋" w:eastAsia="仿宋" w:cs="仿宋"/>
          <w:b w:val="0"/>
          <w:bCs w:val="0"/>
          <w:caps w:val="0"/>
          <w:color w:val="000000"/>
          <w:sz w:val="24"/>
          <w:szCs w:val="24"/>
          <w:highlight w:val="none"/>
        </w:rPr>
        <w:fldChar w:fldCharType="begin"/>
      </w:r>
      <w:r>
        <w:rPr>
          <w:rFonts w:hint="eastAsia" w:ascii="仿宋" w:hAnsi="仿宋" w:eastAsia="仿宋" w:cs="仿宋"/>
          <w:b w:val="0"/>
          <w:bCs w:val="0"/>
          <w:caps w:val="0"/>
          <w:color w:val="000000"/>
          <w:sz w:val="24"/>
          <w:szCs w:val="24"/>
          <w:highlight w:val="none"/>
        </w:rPr>
        <w:instrText xml:space="preserve"> TOC \o "1-3" \h \z \u </w:instrText>
      </w:r>
      <w:r>
        <w:rPr>
          <w:rFonts w:hint="eastAsia" w:ascii="仿宋" w:hAnsi="仿宋" w:eastAsia="仿宋" w:cs="仿宋"/>
          <w:b w:val="0"/>
          <w:bCs w:val="0"/>
          <w:caps w:val="0"/>
          <w:color w:val="000000"/>
          <w:sz w:val="24"/>
          <w:szCs w:val="24"/>
          <w:highlight w:val="none"/>
        </w:rPr>
        <w:fldChar w:fldCharType="separate"/>
      </w:r>
      <w:r>
        <w:rPr>
          <w:rFonts w:hint="eastAsia" w:ascii="仿宋" w:hAnsi="仿宋" w:eastAsia="仿宋" w:cs="仿宋"/>
          <w:bCs w:val="0"/>
          <w:caps w:val="0"/>
          <w:color w:val="000000"/>
          <w:szCs w:val="24"/>
          <w:highlight w:val="none"/>
        </w:rPr>
        <w:fldChar w:fldCharType="begin"/>
      </w:r>
      <w:r>
        <w:rPr>
          <w:rFonts w:hint="eastAsia" w:ascii="仿宋" w:hAnsi="仿宋" w:eastAsia="仿宋" w:cs="仿宋"/>
          <w:bCs w:val="0"/>
          <w:caps w:val="0"/>
          <w:szCs w:val="24"/>
          <w:highlight w:val="none"/>
        </w:rPr>
        <w:instrText xml:space="preserve"> HYPERLINK \l _Toc14033 </w:instrText>
      </w:r>
      <w:r>
        <w:rPr>
          <w:rFonts w:hint="eastAsia" w:ascii="仿宋" w:hAnsi="仿宋" w:eastAsia="仿宋" w:cs="仿宋"/>
          <w:bCs w:val="0"/>
          <w:caps w:val="0"/>
          <w:szCs w:val="24"/>
          <w:highlight w:val="none"/>
        </w:rPr>
        <w:fldChar w:fldCharType="separate"/>
      </w:r>
      <w:r>
        <w:rPr>
          <w:rFonts w:hint="eastAsia" w:ascii="仿宋" w:hAnsi="仿宋" w:eastAsia="仿宋" w:cs="仿宋"/>
          <w:bCs w:val="0"/>
          <w:szCs w:val="28"/>
          <w:highlight w:val="none"/>
        </w:rPr>
        <w:t xml:space="preserve">第一章 </w:t>
      </w:r>
      <w:r>
        <w:rPr>
          <w:rFonts w:hint="eastAsia" w:ascii="仿宋" w:hAnsi="仿宋" w:eastAsia="仿宋" w:cs="仿宋"/>
          <w:bCs w:val="0"/>
          <w:szCs w:val="28"/>
          <w:highlight w:val="none"/>
          <w:lang w:eastAsia="zh-CN"/>
        </w:rPr>
        <w:t>比选</w:t>
      </w:r>
      <w:r>
        <w:rPr>
          <w:rFonts w:hint="eastAsia" w:ascii="仿宋" w:hAnsi="仿宋" w:eastAsia="仿宋" w:cs="仿宋"/>
          <w:bCs w:val="0"/>
          <w:szCs w:val="28"/>
          <w:highlight w:val="none"/>
        </w:rPr>
        <w:t>公告</w:t>
      </w:r>
      <w:r>
        <w:tab/>
      </w:r>
      <w:r>
        <w:fldChar w:fldCharType="begin"/>
      </w:r>
      <w:r>
        <w:instrText xml:space="preserve"> PAGEREF _Toc14033 \h </w:instrText>
      </w:r>
      <w:r>
        <w:fldChar w:fldCharType="separate"/>
      </w:r>
      <w:r>
        <w:t>2</w:t>
      </w:r>
      <w:r>
        <w:fldChar w:fldCharType="end"/>
      </w:r>
      <w:r>
        <w:rPr>
          <w:rFonts w:hint="eastAsia" w:ascii="仿宋" w:hAnsi="仿宋" w:eastAsia="仿宋" w:cs="仿宋"/>
          <w:bCs w:val="0"/>
          <w:caps w:val="0"/>
          <w:color w:val="000000"/>
          <w:szCs w:val="24"/>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_Toc7928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一、项目概况与采购范围</w:t>
      </w:r>
      <w:r>
        <w:tab/>
      </w:r>
      <w:r>
        <w:fldChar w:fldCharType="begin"/>
      </w:r>
      <w:r>
        <w:instrText xml:space="preserve"> PAGEREF _Toc7928 \h </w:instrText>
      </w:r>
      <w:r>
        <w:fldChar w:fldCharType="separate"/>
      </w:r>
      <w:r>
        <w:t>2</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_Toc28128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二、供应商资格要求</w:t>
      </w:r>
      <w:r>
        <w:tab/>
      </w:r>
      <w:r>
        <w:fldChar w:fldCharType="begin"/>
      </w:r>
      <w:r>
        <w:instrText xml:space="preserve"> PAGEREF _Toc28128 \h </w:instrText>
      </w:r>
      <w:r>
        <w:fldChar w:fldCharType="separate"/>
      </w:r>
      <w:r>
        <w:t>2</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_Toc32061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三、资格审查方法</w:t>
      </w:r>
      <w:r>
        <w:tab/>
      </w:r>
      <w:r>
        <w:fldChar w:fldCharType="begin"/>
      </w:r>
      <w:r>
        <w:instrText xml:space="preserve"> PAGEREF _Toc32061 \h </w:instrText>
      </w:r>
      <w:r>
        <w:fldChar w:fldCharType="separate"/>
      </w:r>
      <w:r>
        <w:t>3</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_Toc25690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四、磋商文件的获取</w:t>
      </w:r>
      <w:r>
        <w:tab/>
      </w:r>
      <w:r>
        <w:fldChar w:fldCharType="begin"/>
      </w:r>
      <w:r>
        <w:instrText xml:space="preserve"> PAGEREF _Toc25690 \h </w:instrText>
      </w:r>
      <w:r>
        <w:fldChar w:fldCharType="separate"/>
      </w:r>
      <w:r>
        <w:t>3</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_Toc4885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五、响应文件的递交</w:t>
      </w:r>
      <w:r>
        <w:tab/>
      </w:r>
      <w:r>
        <w:fldChar w:fldCharType="begin"/>
      </w:r>
      <w:r>
        <w:instrText xml:space="preserve"> PAGEREF _Toc4885 \h </w:instrText>
      </w:r>
      <w:r>
        <w:fldChar w:fldCharType="separate"/>
      </w:r>
      <w:r>
        <w:t>4</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_Toc12194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六</w:t>
      </w:r>
      <w:r>
        <w:rPr>
          <w:rFonts w:hint="eastAsia" w:ascii="仿宋" w:hAnsi="仿宋" w:eastAsia="仿宋" w:cs="仿宋"/>
          <w:szCs w:val="24"/>
          <w:highlight w:val="none"/>
        </w:rPr>
        <w:t>、发布公告的媒介</w:t>
      </w:r>
      <w:r>
        <w:tab/>
      </w:r>
      <w:r>
        <w:fldChar w:fldCharType="begin"/>
      </w:r>
      <w:r>
        <w:instrText xml:space="preserve"> PAGEREF _Toc12194 \h </w:instrText>
      </w:r>
      <w:r>
        <w:fldChar w:fldCharType="separate"/>
      </w:r>
      <w:r>
        <w:t>4</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_Toc8431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、联系方式</w:t>
      </w:r>
      <w:r>
        <w:tab/>
      </w:r>
      <w:r>
        <w:fldChar w:fldCharType="begin"/>
      </w:r>
      <w:r>
        <w:instrText xml:space="preserve"> PAGEREF _Toc8431 \h </w:instrText>
      </w:r>
      <w:r>
        <w:fldChar w:fldCharType="separate"/>
      </w:r>
      <w:r>
        <w:t>4</w:t>
      </w:r>
      <w:r>
        <w:fldChar w:fldCharType="end"/>
      </w:r>
      <w:r>
        <w:rPr>
          <w:rFonts w:hint="eastAsia" w:ascii="仿宋" w:hAnsi="仿宋" w:eastAsia="仿宋" w:cs="仿宋"/>
          <w:caps/>
          <w:color w:val="000000"/>
          <w:highlight w:val="none"/>
        </w:rPr>
        <w:fldChar w:fldCharType="end"/>
      </w:r>
    </w:p>
    <w:p>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_Toc29851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第二章 供应商须知</w:t>
      </w:r>
      <w:r>
        <w:tab/>
      </w:r>
      <w:r>
        <w:fldChar w:fldCharType="begin"/>
      </w:r>
      <w:r>
        <w:instrText xml:space="preserve"> PAGEREF _Toc29851 \h </w:instrText>
      </w:r>
      <w:r>
        <w:fldChar w:fldCharType="separate"/>
      </w:r>
      <w:r>
        <w:t>5</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_Toc19855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一、供应商须知前附表</w:t>
      </w:r>
      <w:r>
        <w:tab/>
      </w:r>
      <w:r>
        <w:fldChar w:fldCharType="begin"/>
      </w:r>
      <w:r>
        <w:instrText xml:space="preserve"> PAGEREF _Toc19855 \h </w:instrText>
      </w:r>
      <w:r>
        <w:fldChar w:fldCharType="separate"/>
      </w:r>
      <w:r>
        <w:t>5</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_Toc9917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二、供应商须知正文</w:t>
      </w:r>
      <w:r>
        <w:tab/>
      </w:r>
      <w:r>
        <w:fldChar w:fldCharType="begin"/>
      </w:r>
      <w:r>
        <w:instrText xml:space="preserve"> PAGEREF _Toc9917 \h </w:instrText>
      </w:r>
      <w:r>
        <w:fldChar w:fldCharType="separate"/>
      </w:r>
      <w:r>
        <w:t>9</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_Toc3907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（一）总 则</w:t>
      </w:r>
      <w:r>
        <w:tab/>
      </w:r>
      <w:r>
        <w:fldChar w:fldCharType="begin"/>
      </w:r>
      <w:r>
        <w:instrText xml:space="preserve"> PAGEREF _Toc3907 \h </w:instrText>
      </w:r>
      <w:r>
        <w:fldChar w:fldCharType="separate"/>
      </w:r>
      <w:r>
        <w:t>9</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_Toc22765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（二）磋商文件</w:t>
      </w:r>
      <w:r>
        <w:tab/>
      </w:r>
      <w:r>
        <w:fldChar w:fldCharType="begin"/>
      </w:r>
      <w:r>
        <w:instrText xml:space="preserve"> PAGEREF _Toc22765 \h </w:instrText>
      </w:r>
      <w:r>
        <w:fldChar w:fldCharType="separate"/>
      </w:r>
      <w:r>
        <w:t>9</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_Toc5099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（三）响应文件</w:t>
      </w:r>
      <w:r>
        <w:tab/>
      </w:r>
      <w:r>
        <w:fldChar w:fldCharType="begin"/>
      </w:r>
      <w:r>
        <w:instrText xml:space="preserve"> PAGEREF _Toc5099 \h </w:instrText>
      </w:r>
      <w:r>
        <w:fldChar w:fldCharType="separate"/>
      </w:r>
      <w:r>
        <w:t>10</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_Toc30195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（四）响应文件的递交</w:t>
      </w:r>
      <w:r>
        <w:tab/>
      </w:r>
      <w:r>
        <w:fldChar w:fldCharType="begin"/>
      </w:r>
      <w:r>
        <w:instrText xml:space="preserve"> PAGEREF _Toc30195 \h </w:instrText>
      </w:r>
      <w:r>
        <w:fldChar w:fldCharType="separate"/>
      </w:r>
      <w:r>
        <w:t>12</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_Toc17924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w:t>
      </w:r>
      <w:r>
        <w:rPr>
          <w:rFonts w:hint="eastAsia" w:ascii="仿宋" w:hAnsi="仿宋" w:eastAsia="仿宋" w:cs="仿宋"/>
          <w:szCs w:val="24"/>
          <w:highlight w:val="none"/>
          <w:lang w:eastAsia="zh-CN"/>
        </w:rPr>
        <w:t>比选</w:t>
      </w:r>
      <w:r>
        <w:rPr>
          <w:rFonts w:hint="eastAsia" w:ascii="仿宋" w:hAnsi="仿宋" w:eastAsia="仿宋" w:cs="仿宋"/>
          <w:szCs w:val="24"/>
          <w:highlight w:val="none"/>
        </w:rPr>
        <w:t>和评审</w:t>
      </w:r>
      <w:r>
        <w:tab/>
      </w:r>
      <w:r>
        <w:fldChar w:fldCharType="begin"/>
      </w:r>
      <w:r>
        <w:instrText xml:space="preserve"> PAGEREF _Toc17924 \h </w:instrText>
      </w:r>
      <w:r>
        <w:fldChar w:fldCharType="separate"/>
      </w:r>
      <w:r>
        <w:t>12</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_Toc9668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（六）授予合同</w:t>
      </w:r>
      <w:r>
        <w:tab/>
      </w:r>
      <w:r>
        <w:fldChar w:fldCharType="begin"/>
      </w:r>
      <w:r>
        <w:instrText xml:space="preserve"> PAGEREF _Toc9668 \h </w:instrText>
      </w:r>
      <w:r>
        <w:fldChar w:fldCharType="separate"/>
      </w:r>
      <w:r>
        <w:t>14</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_Toc16219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（七）其他</w:t>
      </w:r>
      <w:r>
        <w:tab/>
      </w:r>
      <w:r>
        <w:fldChar w:fldCharType="begin"/>
      </w:r>
      <w:r>
        <w:instrText xml:space="preserve"> PAGEREF _Toc16219 \h </w:instrText>
      </w:r>
      <w:r>
        <w:fldChar w:fldCharType="separate"/>
      </w:r>
      <w:r>
        <w:t>14</w:t>
      </w:r>
      <w:r>
        <w:fldChar w:fldCharType="end"/>
      </w:r>
      <w:r>
        <w:rPr>
          <w:rFonts w:hint="eastAsia" w:ascii="仿宋" w:hAnsi="仿宋" w:eastAsia="仿宋" w:cs="仿宋"/>
          <w:caps/>
          <w:color w:val="000000"/>
          <w:highlight w:val="none"/>
        </w:rPr>
        <w:fldChar w:fldCharType="end"/>
      </w:r>
    </w:p>
    <w:p>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_Toc3580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第三章 评审办法</w:t>
      </w:r>
      <w:r>
        <w:tab/>
      </w:r>
      <w:r>
        <w:fldChar w:fldCharType="begin"/>
      </w:r>
      <w:r>
        <w:instrText xml:space="preserve"> PAGEREF _Toc3580 \h </w:instrText>
      </w:r>
      <w:r>
        <w:fldChar w:fldCharType="separate"/>
      </w:r>
      <w:r>
        <w:t>16</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_Toc15897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一、评审程序</w:t>
      </w:r>
      <w:r>
        <w:tab/>
      </w:r>
      <w:r>
        <w:fldChar w:fldCharType="begin"/>
      </w:r>
      <w:r>
        <w:instrText xml:space="preserve"> PAGEREF _Toc15897 \h </w:instrText>
      </w:r>
      <w:r>
        <w:fldChar w:fldCharType="separate"/>
      </w:r>
      <w:r>
        <w:t>16</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_Toc20277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二、初步评审</w:t>
      </w:r>
      <w:r>
        <w:tab/>
      </w:r>
      <w:r>
        <w:fldChar w:fldCharType="begin"/>
      </w:r>
      <w:r>
        <w:instrText xml:space="preserve"> PAGEREF _Toc20277 \h </w:instrText>
      </w:r>
      <w:r>
        <w:fldChar w:fldCharType="separate"/>
      </w:r>
      <w:r>
        <w:t>17</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_Toc5942 </w:instrText>
      </w:r>
      <w:r>
        <w:rPr>
          <w:rFonts w:hint="eastAsia" w:ascii="仿宋" w:hAnsi="仿宋" w:eastAsia="仿宋" w:cs="仿宋"/>
          <w:caps/>
          <w:highlight w:val="none"/>
        </w:rPr>
        <w:fldChar w:fldCharType="separate"/>
      </w:r>
      <w:r>
        <w:rPr>
          <w:rFonts w:hint="eastAsia" w:ascii="仿宋" w:hAnsi="仿宋" w:eastAsia="仿宋" w:cs="仿宋"/>
          <w:szCs w:val="24"/>
        </w:rPr>
        <w:t xml:space="preserve">三、 </w:t>
      </w:r>
      <w:r>
        <w:rPr>
          <w:rFonts w:hint="eastAsia" w:ascii="仿宋" w:hAnsi="仿宋" w:eastAsia="仿宋" w:cs="仿宋"/>
          <w:szCs w:val="24"/>
          <w:highlight w:val="none"/>
        </w:rPr>
        <w:t>详细评审</w:t>
      </w:r>
      <w:r>
        <w:tab/>
      </w:r>
      <w:r>
        <w:fldChar w:fldCharType="begin"/>
      </w:r>
      <w:r>
        <w:instrText xml:space="preserve"> PAGEREF _Toc5942 \h </w:instrText>
      </w:r>
      <w:r>
        <w:fldChar w:fldCharType="separate"/>
      </w:r>
      <w:r>
        <w:t>19</w:t>
      </w:r>
      <w:r>
        <w:fldChar w:fldCharType="end"/>
      </w:r>
      <w:r>
        <w:rPr>
          <w:rFonts w:hint="eastAsia" w:ascii="仿宋" w:hAnsi="仿宋" w:eastAsia="仿宋" w:cs="仿宋"/>
          <w:caps/>
          <w:color w:val="000000"/>
          <w:highlight w:val="none"/>
        </w:rPr>
        <w:fldChar w:fldCharType="end"/>
      </w:r>
    </w:p>
    <w:p>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_Toc28200 </w:instrText>
      </w:r>
      <w:r>
        <w:rPr>
          <w:rFonts w:hint="eastAsia" w:ascii="仿宋" w:hAnsi="仿宋" w:eastAsia="仿宋" w:cs="仿宋"/>
          <w:caps/>
          <w:highlight w:val="none"/>
        </w:rPr>
        <w:fldChar w:fldCharType="separate"/>
      </w:r>
      <w:r>
        <w:rPr>
          <w:rFonts w:hint="eastAsia" w:ascii="仿宋" w:hAnsi="仿宋" w:eastAsia="仿宋" w:cs="仿宋"/>
          <w:szCs w:val="28"/>
        </w:rPr>
        <w:t xml:space="preserve">第四章 </w:t>
      </w:r>
      <w:r>
        <w:rPr>
          <w:rFonts w:hint="eastAsia" w:ascii="仿宋" w:hAnsi="仿宋" w:eastAsia="仿宋" w:cs="仿宋"/>
          <w:szCs w:val="28"/>
          <w:highlight w:val="none"/>
          <w:lang w:val="en-US" w:eastAsia="zh-CN"/>
        </w:rPr>
        <w:t>合同模版</w:t>
      </w:r>
      <w:r>
        <w:tab/>
      </w:r>
      <w:r>
        <w:fldChar w:fldCharType="begin"/>
      </w:r>
      <w:r>
        <w:instrText xml:space="preserve"> PAGEREF _Toc28200 \h </w:instrText>
      </w:r>
      <w:r>
        <w:fldChar w:fldCharType="separate"/>
      </w:r>
      <w:r>
        <w:t>21</w:t>
      </w:r>
      <w:r>
        <w:fldChar w:fldCharType="end"/>
      </w:r>
      <w:r>
        <w:rPr>
          <w:rFonts w:hint="eastAsia" w:ascii="仿宋" w:hAnsi="仿宋" w:eastAsia="仿宋" w:cs="仿宋"/>
          <w:caps/>
          <w:color w:val="000000"/>
          <w:highlight w:val="none"/>
        </w:rPr>
        <w:fldChar w:fldCharType="end"/>
      </w:r>
    </w:p>
    <w:p>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_Toc14754 </w:instrText>
      </w:r>
      <w:r>
        <w:rPr>
          <w:rFonts w:hint="eastAsia" w:ascii="仿宋" w:hAnsi="仿宋" w:eastAsia="仿宋" w:cs="仿宋"/>
          <w:caps/>
          <w:highlight w:val="none"/>
        </w:rPr>
        <w:fldChar w:fldCharType="separate"/>
      </w:r>
      <w:r>
        <w:rPr>
          <w:rFonts w:hint="eastAsia" w:ascii="仿宋" w:hAnsi="仿宋" w:eastAsia="仿宋" w:cs="仿宋"/>
          <w:szCs w:val="28"/>
        </w:rPr>
        <w:t xml:space="preserve">第五章 </w:t>
      </w:r>
      <w:r>
        <w:rPr>
          <w:rFonts w:hint="eastAsia" w:ascii="仿宋" w:hAnsi="仿宋" w:eastAsia="仿宋" w:cs="仿宋"/>
          <w:szCs w:val="28"/>
          <w:highlight w:val="none"/>
        </w:rPr>
        <w:t>采购需求</w:t>
      </w:r>
      <w:r>
        <w:tab/>
      </w:r>
      <w:r>
        <w:fldChar w:fldCharType="begin"/>
      </w:r>
      <w:r>
        <w:instrText xml:space="preserve"> PAGEREF _Toc14754 \h </w:instrText>
      </w:r>
      <w:r>
        <w:fldChar w:fldCharType="separate"/>
      </w:r>
      <w:r>
        <w:t>27</w:t>
      </w:r>
      <w:r>
        <w:fldChar w:fldCharType="end"/>
      </w:r>
      <w:r>
        <w:rPr>
          <w:rFonts w:hint="eastAsia" w:ascii="仿宋" w:hAnsi="仿宋" w:eastAsia="仿宋" w:cs="仿宋"/>
          <w:caps/>
          <w:color w:val="000000"/>
          <w:highlight w:val="none"/>
        </w:rPr>
        <w:fldChar w:fldCharType="end"/>
      </w:r>
    </w:p>
    <w:p>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_Toc3765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w:t>
      </w:r>
      <w:r>
        <w:rPr>
          <w:rFonts w:hint="eastAsia" w:ascii="仿宋" w:hAnsi="仿宋" w:eastAsia="仿宋" w:cs="仿宋"/>
          <w:szCs w:val="28"/>
          <w:highlight w:val="none"/>
          <w:lang w:val="en-US" w:eastAsia="zh-CN"/>
        </w:rPr>
        <w:t>六</w:t>
      </w:r>
      <w:r>
        <w:rPr>
          <w:rFonts w:hint="eastAsia" w:ascii="仿宋" w:hAnsi="仿宋" w:eastAsia="仿宋" w:cs="仿宋"/>
          <w:szCs w:val="28"/>
          <w:highlight w:val="none"/>
        </w:rPr>
        <w:t>章 响应文件格式</w:t>
      </w:r>
      <w:r>
        <w:tab/>
      </w:r>
      <w:r>
        <w:fldChar w:fldCharType="begin"/>
      </w:r>
      <w:r>
        <w:instrText xml:space="preserve"> PAGEREF _Toc3765 \h </w:instrText>
      </w:r>
      <w:r>
        <w:fldChar w:fldCharType="separate"/>
      </w:r>
      <w:r>
        <w:t>30</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_Toc12198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一、</w:t>
      </w:r>
      <w:r>
        <w:rPr>
          <w:rFonts w:hint="eastAsia" w:ascii="仿宋" w:hAnsi="仿宋" w:eastAsia="仿宋" w:cs="仿宋"/>
          <w:szCs w:val="24"/>
          <w:highlight w:val="none"/>
        </w:rPr>
        <w:t>商务文件</w:t>
      </w:r>
      <w:r>
        <w:tab/>
      </w:r>
      <w:r>
        <w:fldChar w:fldCharType="begin"/>
      </w:r>
      <w:r>
        <w:instrText xml:space="preserve"> PAGEREF _Toc12198 \h </w:instrText>
      </w:r>
      <w:r>
        <w:fldChar w:fldCharType="separate"/>
      </w:r>
      <w:r>
        <w:t>31</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_Toc22597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（一）响应函</w:t>
      </w:r>
      <w:r>
        <w:tab/>
      </w:r>
      <w:r>
        <w:fldChar w:fldCharType="begin"/>
      </w:r>
      <w:r>
        <w:instrText xml:space="preserve"> PAGEREF _Toc22597 \h </w:instrText>
      </w:r>
      <w:r>
        <w:fldChar w:fldCharType="separate"/>
      </w:r>
      <w:r>
        <w:t>33</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_Toc14404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（二）法定代表人（负责人）身份证明书</w:t>
      </w:r>
      <w:r>
        <w:tab/>
      </w:r>
      <w:r>
        <w:fldChar w:fldCharType="begin"/>
      </w:r>
      <w:r>
        <w:instrText xml:space="preserve"> PAGEREF _Toc14404 \h </w:instrText>
      </w:r>
      <w:r>
        <w:fldChar w:fldCharType="separate"/>
      </w:r>
      <w:r>
        <w:t>34</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_Toc22052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（三）法定代表人（负责人）授权委托书</w:t>
      </w:r>
      <w:r>
        <w:tab/>
      </w:r>
      <w:r>
        <w:fldChar w:fldCharType="begin"/>
      </w:r>
      <w:r>
        <w:instrText xml:space="preserve"> PAGEREF _Toc22052 \h </w:instrText>
      </w:r>
      <w:r>
        <w:fldChar w:fldCharType="separate"/>
      </w:r>
      <w:r>
        <w:t>35</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_Toc8353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（四）资格证明文件</w:t>
      </w:r>
      <w:r>
        <w:tab/>
      </w:r>
      <w:r>
        <w:fldChar w:fldCharType="begin"/>
      </w:r>
      <w:r>
        <w:instrText xml:space="preserve"> PAGEREF _Toc8353 \h </w:instrText>
      </w:r>
      <w:r>
        <w:fldChar w:fldCharType="separate"/>
      </w:r>
      <w:r>
        <w:t>36</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_Toc31683 </w:instrText>
      </w:r>
      <w:r>
        <w:rPr>
          <w:rFonts w:hint="eastAsia" w:ascii="仿宋" w:hAnsi="仿宋" w:eastAsia="仿宋" w:cs="仿宋"/>
          <w:caps/>
          <w:highlight w:val="none"/>
        </w:rPr>
        <w:fldChar w:fldCharType="separate"/>
      </w:r>
      <w:r>
        <w:rPr>
          <w:rFonts w:ascii="仿宋" w:hAnsi="仿宋" w:eastAsia="仿宋" w:cs="仿宋"/>
          <w:szCs w:val="24"/>
          <w:highlight w:val="none"/>
        </w:rPr>
        <w:t>（</w:t>
      </w:r>
      <w:r>
        <w:rPr>
          <w:rFonts w:hint="eastAsia" w:ascii="仿宋" w:hAnsi="仿宋" w:eastAsia="仿宋" w:cs="仿宋"/>
          <w:szCs w:val="24"/>
          <w:highlight w:val="none"/>
          <w:lang w:val="en-US" w:eastAsia="zh-CN"/>
        </w:rPr>
        <w:t>五</w:t>
      </w:r>
      <w:r>
        <w:rPr>
          <w:rFonts w:ascii="仿宋" w:hAnsi="仿宋" w:eastAsia="仿宋" w:cs="仿宋"/>
          <w:szCs w:val="24"/>
          <w:highlight w:val="none"/>
        </w:rPr>
        <w:t>）</w:t>
      </w:r>
      <w:r>
        <w:rPr>
          <w:rFonts w:hint="eastAsia" w:ascii="仿宋" w:hAnsi="仿宋" w:eastAsia="仿宋" w:cs="仿宋"/>
          <w:szCs w:val="24"/>
          <w:highlight w:val="none"/>
        </w:rPr>
        <w:t>供应商</w:t>
      </w:r>
      <w:r>
        <w:rPr>
          <w:rFonts w:ascii="仿宋" w:hAnsi="仿宋" w:eastAsia="仿宋" w:cs="仿宋"/>
          <w:szCs w:val="24"/>
          <w:highlight w:val="none"/>
        </w:rPr>
        <w:t>须知应答偏离表</w:t>
      </w:r>
      <w:r>
        <w:tab/>
      </w:r>
      <w:r>
        <w:fldChar w:fldCharType="begin"/>
      </w:r>
      <w:r>
        <w:instrText xml:space="preserve"> PAGEREF _Toc31683 \h </w:instrText>
      </w:r>
      <w:r>
        <w:fldChar w:fldCharType="separate"/>
      </w:r>
      <w:r>
        <w:t>45</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_Toc1472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）供应商行为准则承诺书</w:t>
      </w:r>
      <w:r>
        <w:tab/>
      </w:r>
      <w:r>
        <w:fldChar w:fldCharType="begin"/>
      </w:r>
      <w:r>
        <w:instrText xml:space="preserve"> PAGEREF _Toc1472 \h </w:instrText>
      </w:r>
      <w:r>
        <w:fldChar w:fldCharType="separate"/>
      </w:r>
      <w:r>
        <w:t>47</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_Toc29706 </w:instrText>
      </w:r>
      <w:r>
        <w:rPr>
          <w:rFonts w:hint="eastAsia" w:ascii="仿宋" w:hAnsi="仿宋" w:eastAsia="仿宋" w:cs="仿宋"/>
          <w:caps/>
          <w:highlight w:val="none"/>
        </w:rPr>
        <w:fldChar w:fldCharType="separate"/>
      </w:r>
      <w:r>
        <w:rPr>
          <w:rFonts w:hint="eastAsia" w:ascii="仿宋" w:hAnsi="仿宋" w:eastAsia="仿宋" w:cs="宋体"/>
          <w:bCs w:val="0"/>
          <w:szCs w:val="24"/>
          <w:highlight w:val="none"/>
        </w:rPr>
        <w:t>（</w:t>
      </w:r>
      <w:r>
        <w:rPr>
          <w:rFonts w:hint="eastAsia" w:ascii="仿宋" w:hAnsi="仿宋" w:eastAsia="仿宋" w:cs="宋体"/>
          <w:bCs w:val="0"/>
          <w:szCs w:val="24"/>
          <w:highlight w:val="none"/>
          <w:lang w:val="en-US" w:eastAsia="zh-CN"/>
        </w:rPr>
        <w:t>八</w:t>
      </w:r>
      <w:r>
        <w:rPr>
          <w:rFonts w:hint="eastAsia" w:ascii="仿宋" w:hAnsi="仿宋" w:eastAsia="仿宋" w:cs="宋体"/>
          <w:bCs w:val="0"/>
          <w:szCs w:val="24"/>
          <w:highlight w:val="none"/>
        </w:rPr>
        <w:t>）供应商廉洁诚信承诺书</w:t>
      </w:r>
      <w:r>
        <w:tab/>
      </w:r>
      <w:r>
        <w:fldChar w:fldCharType="begin"/>
      </w:r>
      <w:r>
        <w:instrText xml:space="preserve"> PAGEREF _Toc29706 \h </w:instrText>
      </w:r>
      <w:r>
        <w:fldChar w:fldCharType="separate"/>
      </w:r>
      <w:r>
        <w:t>49</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_Toc10522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二、技术文件</w:t>
      </w:r>
      <w:r>
        <w:tab/>
      </w:r>
      <w:r>
        <w:fldChar w:fldCharType="begin"/>
      </w:r>
      <w:r>
        <w:instrText xml:space="preserve"> PAGEREF _Toc10522 \h </w:instrText>
      </w:r>
      <w:r>
        <w:fldChar w:fldCharType="separate"/>
      </w:r>
      <w:r>
        <w:t>53</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_Toc23574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（一）采购需求应答偏离表</w:t>
      </w:r>
      <w:r>
        <w:tab/>
      </w:r>
      <w:r>
        <w:fldChar w:fldCharType="begin"/>
      </w:r>
      <w:r>
        <w:instrText xml:space="preserve"> PAGEREF _Toc23574 \h </w:instrText>
      </w:r>
      <w:r>
        <w:fldChar w:fldCharType="separate"/>
      </w:r>
      <w:r>
        <w:t>54</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_Toc5835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（二）技术方案</w:t>
      </w:r>
      <w:r>
        <w:tab/>
      </w:r>
      <w:r>
        <w:fldChar w:fldCharType="begin"/>
      </w:r>
      <w:r>
        <w:instrText xml:space="preserve"> PAGEREF _Toc5835 \h </w:instrText>
      </w:r>
      <w:r>
        <w:fldChar w:fldCharType="separate"/>
      </w:r>
      <w:r>
        <w:t>55</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_Toc19744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（三）其他材料</w:t>
      </w:r>
      <w:r>
        <w:tab/>
      </w:r>
      <w:r>
        <w:fldChar w:fldCharType="begin"/>
      </w:r>
      <w:r>
        <w:instrText xml:space="preserve"> PAGEREF _Toc19744 \h </w:instrText>
      </w:r>
      <w:r>
        <w:fldChar w:fldCharType="separate"/>
      </w:r>
      <w:r>
        <w:t>58</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_Toc4728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三、报价文件</w:t>
      </w:r>
      <w:r>
        <w:tab/>
      </w:r>
      <w:r>
        <w:fldChar w:fldCharType="begin"/>
      </w:r>
      <w:r>
        <w:instrText xml:space="preserve"> PAGEREF _Toc4728 \h </w:instrText>
      </w:r>
      <w:r>
        <w:fldChar w:fldCharType="separate"/>
      </w:r>
      <w:r>
        <w:t>59</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_Toc30300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（一）报价一览表</w:t>
      </w:r>
      <w:r>
        <w:tab/>
      </w:r>
      <w:r>
        <w:fldChar w:fldCharType="begin"/>
      </w:r>
      <w:r>
        <w:instrText xml:space="preserve"> PAGEREF _Toc30300 \h </w:instrText>
      </w:r>
      <w:r>
        <w:fldChar w:fldCharType="separate"/>
      </w:r>
      <w:r>
        <w:t>59</w:t>
      </w:r>
      <w:r>
        <w:fldChar w:fldCharType="end"/>
      </w:r>
      <w:r>
        <w:rPr>
          <w:rFonts w:hint="eastAsia" w:ascii="仿宋" w:hAnsi="仿宋" w:eastAsia="仿宋" w:cs="仿宋"/>
          <w:caps/>
          <w:color w:val="000000"/>
          <w:highlight w:val="none"/>
        </w:rPr>
        <w:fldChar w:fldCharType="end"/>
      </w:r>
    </w:p>
    <w:p>
      <w:pPr>
        <w:pStyle w:val="20"/>
        <w:tabs>
          <w:tab w:val="right" w:leader="dot" w:pos="9638"/>
        </w:tabs>
        <w:rPr>
          <w:rFonts w:hint="eastAsia" w:ascii="仿宋" w:hAnsi="仿宋" w:eastAsia="仿宋" w:cs="仿宋"/>
          <w:color w:val="000000"/>
          <w:sz w:val="24"/>
          <w:highlight w:val="none"/>
        </w:rPr>
        <w:sectPr>
          <w:headerReference r:id="rId8" w:type="default"/>
          <w:footerReference r:id="rId9" w:type="default"/>
          <w:pgSz w:w="11906" w:h="16838"/>
          <w:pgMar w:top="1417" w:right="1134" w:bottom="1134" w:left="1134" w:header="851" w:footer="992" w:gutter="0"/>
          <w:pgNumType w:start="1"/>
          <w:cols w:space="720" w:num="1"/>
          <w:docGrid w:type="lines" w:linePitch="312" w:charSpace="0"/>
        </w:sectPr>
      </w:pPr>
      <w:r>
        <w:rPr>
          <w:rFonts w:hint="eastAsia" w:ascii="仿宋" w:hAnsi="仿宋" w:eastAsia="仿宋" w:cs="仿宋"/>
          <w:caps/>
          <w:color w:val="000000"/>
          <w:highlight w:val="none"/>
        </w:rPr>
        <w:fldChar w:fldCharType="end"/>
      </w:r>
    </w:p>
    <w:p>
      <w:pPr>
        <w:pStyle w:val="3"/>
        <w:spacing w:before="0" w:after="0" w:line="360" w:lineRule="auto"/>
        <w:jc w:val="center"/>
        <w:rPr>
          <w:rFonts w:ascii="仿宋" w:hAnsi="仿宋" w:eastAsia="仿宋" w:cs="仿宋"/>
          <w:bCs w:val="0"/>
          <w:color w:val="000000"/>
          <w:sz w:val="28"/>
          <w:szCs w:val="28"/>
          <w:highlight w:val="none"/>
        </w:rPr>
      </w:pPr>
      <w:bookmarkStart w:id="1" w:name="_Toc14033"/>
      <w:bookmarkStart w:id="2" w:name="_Toc11826"/>
      <w:bookmarkStart w:id="3" w:name="_Toc517281813"/>
      <w:bookmarkStart w:id="4" w:name="_Toc11838"/>
      <w:bookmarkStart w:id="5" w:name="_Toc444891333"/>
      <w:bookmarkStart w:id="6" w:name="_Toc19709"/>
      <w:bookmarkStart w:id="7" w:name="_Toc7300"/>
      <w:bookmarkStart w:id="8" w:name="_Toc287600115"/>
      <w:r>
        <w:rPr>
          <w:rFonts w:hint="eastAsia" w:ascii="仿宋" w:hAnsi="仿宋" w:eastAsia="仿宋" w:cs="仿宋"/>
          <w:bCs w:val="0"/>
          <w:color w:val="000000"/>
          <w:sz w:val="28"/>
          <w:szCs w:val="28"/>
          <w:highlight w:val="none"/>
        </w:rPr>
        <w:t xml:space="preserve">第一章 </w:t>
      </w:r>
      <w:r>
        <w:rPr>
          <w:rFonts w:hint="eastAsia" w:ascii="仿宋" w:hAnsi="仿宋" w:eastAsia="仿宋" w:cs="仿宋"/>
          <w:bCs w:val="0"/>
          <w:color w:val="000000"/>
          <w:sz w:val="28"/>
          <w:szCs w:val="28"/>
          <w:highlight w:val="none"/>
          <w:lang w:eastAsia="zh-CN"/>
        </w:rPr>
        <w:t>比选</w:t>
      </w:r>
      <w:r>
        <w:rPr>
          <w:rFonts w:hint="eastAsia" w:ascii="仿宋" w:hAnsi="仿宋" w:eastAsia="仿宋" w:cs="仿宋"/>
          <w:bCs w:val="0"/>
          <w:color w:val="000000"/>
          <w:sz w:val="28"/>
          <w:szCs w:val="28"/>
          <w:highlight w:val="none"/>
        </w:rPr>
        <w:t>公告</w:t>
      </w:r>
      <w:bookmarkEnd w:id="1"/>
    </w:p>
    <w:p>
      <w:pPr>
        <w:wordWrap w:val="0"/>
        <w:spacing w:line="360" w:lineRule="auto"/>
        <w:ind w:firstLine="480" w:firstLineChars="200"/>
        <w:textAlignment w:val="baseline"/>
        <w:rPr>
          <w:rFonts w:hint="eastAsia" w:ascii="仿宋" w:hAnsi="仿宋" w:eastAsia="仿宋" w:cs="Cambria Math"/>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本项目</w:t>
      </w:r>
      <w:r>
        <w:rPr>
          <w:rFonts w:hint="eastAsia" w:ascii="仿宋" w:hAnsi="仿宋" w:eastAsia="仿宋" w:cs="仿宋"/>
          <w:color w:val="000000" w:themeColor="text1"/>
          <w:sz w:val="24"/>
          <w:highlight w:val="none"/>
          <w:u w:val="single"/>
          <w14:textFill>
            <w14:solidFill>
              <w14:schemeClr w14:val="tx1"/>
            </w14:solidFill>
          </w14:textFill>
        </w:rPr>
        <w:t>人保财险吉林省分公司自建系统等保测评服务</w:t>
      </w:r>
      <w:r>
        <w:rPr>
          <w:rFonts w:hint="eastAsia" w:ascii="仿宋" w:hAnsi="仿宋" w:eastAsia="仿宋" w:cs="仿宋"/>
          <w:color w:val="000000" w:themeColor="text1"/>
          <w:sz w:val="24"/>
          <w:highlight w:val="none"/>
          <w:u w:val="single"/>
          <w:lang w:val="en-US" w:eastAsia="zh-CN"/>
          <w14:textFill>
            <w14:solidFill>
              <w14:schemeClr w14:val="tx1"/>
            </w14:solidFill>
          </w14:textFill>
        </w:rPr>
        <w:t>采购项目</w:t>
      </w:r>
      <w:r>
        <w:rPr>
          <w:rFonts w:hint="eastAsia" w:ascii="仿宋" w:hAnsi="仿宋" w:eastAsia="仿宋" w:cs="仿宋"/>
          <w:color w:val="000000" w:themeColor="text1"/>
          <w:sz w:val="24"/>
          <w:highlight w:val="none"/>
          <w14:textFill>
            <w14:solidFill>
              <w14:schemeClr w14:val="tx1"/>
            </w14:solidFill>
          </w14:textFill>
        </w:rPr>
        <w:t>由</w:t>
      </w:r>
      <w:r>
        <w:rPr>
          <w:rFonts w:hint="eastAsia" w:ascii="仿宋" w:hAnsi="仿宋" w:eastAsia="仿宋" w:cs="仿宋"/>
          <w:color w:val="000000" w:themeColor="text1"/>
          <w:sz w:val="24"/>
          <w:highlight w:val="none"/>
          <w:u w:val="single"/>
          <w14:textFill>
            <w14:solidFill>
              <w14:schemeClr w14:val="tx1"/>
            </w14:solidFill>
          </w14:textFill>
        </w:rPr>
        <w:t>中国人民财产保险股份有限公司</w:t>
      </w:r>
      <w:r>
        <w:rPr>
          <w:rFonts w:hint="eastAsia" w:ascii="仿宋" w:hAnsi="仿宋" w:eastAsia="仿宋" w:cs="仿宋"/>
          <w:color w:val="000000" w:themeColor="text1"/>
          <w:sz w:val="24"/>
          <w:highlight w:val="none"/>
          <w:u w:val="single"/>
          <w:lang w:val="en-US" w:eastAsia="zh-CN"/>
          <w14:textFill>
            <w14:solidFill>
              <w14:schemeClr w14:val="tx1"/>
            </w14:solidFill>
          </w14:textFill>
        </w:rPr>
        <w:t>吉林省</w:t>
      </w:r>
      <w:r>
        <w:rPr>
          <w:rFonts w:hint="eastAsia" w:ascii="仿宋" w:hAnsi="仿宋" w:eastAsia="仿宋" w:cs="仿宋"/>
          <w:color w:val="000000" w:themeColor="text1"/>
          <w:sz w:val="24"/>
          <w:highlight w:val="none"/>
          <w:u w:val="single"/>
          <w14:textFill>
            <w14:solidFill>
              <w14:schemeClr w14:val="tx1"/>
            </w14:solidFill>
          </w14:textFill>
        </w:rPr>
        <w:t>分公司</w:t>
      </w:r>
      <w:r>
        <w:rPr>
          <w:rFonts w:hint="eastAsia" w:ascii="仿宋" w:hAnsi="仿宋" w:eastAsia="仿宋" w:cs="仿宋"/>
          <w:color w:val="000000" w:themeColor="text1"/>
          <w:sz w:val="24"/>
          <w:highlight w:val="none"/>
          <w14:textFill>
            <w14:solidFill>
              <w14:schemeClr w14:val="tx1"/>
            </w14:solidFill>
          </w14:textFill>
        </w:rPr>
        <w:t>（以下简称“采购人”）</w:t>
      </w:r>
      <w:r>
        <w:rPr>
          <w:rFonts w:hint="eastAsia" w:ascii="仿宋" w:hAnsi="仿宋" w:eastAsia="仿宋" w:cs="Cambria Math"/>
          <w:color w:val="000000" w:themeColor="text1"/>
          <w:sz w:val="24"/>
          <w:highlight w:val="none"/>
          <w14:textFill>
            <w14:solidFill>
              <w14:schemeClr w14:val="tx1"/>
            </w14:solidFill>
          </w14:textFill>
        </w:rPr>
        <w:t>批准并落实资金，组织本项目的</w:t>
      </w:r>
      <w:r>
        <w:rPr>
          <w:rFonts w:hint="eastAsia" w:ascii="仿宋" w:hAnsi="仿宋" w:eastAsia="仿宋" w:cs="Cambria Math"/>
          <w:color w:val="000000" w:themeColor="text1"/>
          <w:sz w:val="24"/>
          <w:highlight w:val="none"/>
          <w:lang w:eastAsia="zh-CN"/>
          <w14:textFill>
            <w14:solidFill>
              <w14:schemeClr w14:val="tx1"/>
            </w14:solidFill>
          </w14:textFill>
        </w:rPr>
        <w:t>比选</w:t>
      </w:r>
      <w:r>
        <w:rPr>
          <w:rFonts w:hint="eastAsia" w:ascii="仿宋" w:hAnsi="仿宋" w:eastAsia="仿宋" w:cs="Cambria Math"/>
          <w:color w:val="000000" w:themeColor="text1"/>
          <w:sz w:val="24"/>
          <w:highlight w:val="none"/>
          <w14:textFill>
            <w14:solidFill>
              <w14:schemeClr w14:val="tx1"/>
            </w14:solidFill>
          </w14:textFill>
        </w:rPr>
        <w:t>工作</w:t>
      </w:r>
      <w:r>
        <w:rPr>
          <w:rFonts w:hint="eastAsia" w:ascii="仿宋" w:hAnsi="仿宋" w:eastAsia="仿宋" w:cs="仿宋"/>
          <w:color w:val="000000" w:themeColor="text1"/>
          <w:sz w:val="24"/>
          <w:highlight w:val="none"/>
          <w14:textFill>
            <w14:solidFill>
              <w14:schemeClr w14:val="tx1"/>
            </w14:solidFill>
          </w14:textFill>
        </w:rPr>
        <w:t>，采购合同由</w:t>
      </w:r>
      <w:r>
        <w:rPr>
          <w:rFonts w:hint="eastAsia" w:ascii="仿宋" w:hAnsi="仿宋" w:eastAsia="仿宋" w:cs="宋体"/>
          <w:color w:val="000000" w:themeColor="text1"/>
          <w:sz w:val="24"/>
          <w:highlight w:val="none"/>
          <w:u w:val="single"/>
          <w14:textFill>
            <w14:solidFill>
              <w14:schemeClr w14:val="tx1"/>
            </w14:solidFill>
          </w14:textFill>
        </w:rPr>
        <w:t>中国人民财产保险股份有限公司</w:t>
      </w:r>
      <w:r>
        <w:rPr>
          <w:rFonts w:hint="eastAsia" w:ascii="仿宋" w:hAnsi="仿宋" w:eastAsia="仿宋" w:cs="宋体"/>
          <w:color w:val="000000" w:themeColor="text1"/>
          <w:sz w:val="24"/>
          <w:highlight w:val="none"/>
          <w:u w:val="single"/>
          <w:lang w:val="en-US" w:eastAsia="zh-CN"/>
          <w14:textFill>
            <w14:solidFill>
              <w14:schemeClr w14:val="tx1"/>
            </w14:solidFill>
          </w14:textFill>
        </w:rPr>
        <w:t>吉林省</w:t>
      </w:r>
      <w:r>
        <w:rPr>
          <w:rFonts w:hint="eastAsia" w:ascii="仿宋" w:hAnsi="仿宋" w:eastAsia="仿宋" w:cs="宋体"/>
          <w:color w:val="000000" w:themeColor="text1"/>
          <w:sz w:val="24"/>
          <w:highlight w:val="none"/>
          <w:u w:val="single"/>
          <w14:textFill>
            <w14:solidFill>
              <w14:schemeClr w14:val="tx1"/>
            </w14:solidFill>
          </w14:textFill>
        </w:rPr>
        <w:t>分公司</w:t>
      </w:r>
      <w:r>
        <w:rPr>
          <w:rFonts w:hint="eastAsia" w:ascii="仿宋" w:hAnsi="仿宋" w:eastAsia="仿宋" w:cs="宋体"/>
          <w:color w:val="000000" w:themeColor="text1"/>
          <w:sz w:val="24"/>
          <w:highlight w:val="none"/>
          <w14:textFill>
            <w14:solidFill>
              <w14:schemeClr w14:val="tx1"/>
            </w14:solidFill>
          </w14:textFill>
        </w:rPr>
        <w:t>（以下简称“人保</w:t>
      </w:r>
      <w:r>
        <w:rPr>
          <w:rFonts w:hint="eastAsia" w:ascii="仿宋" w:hAnsi="仿宋" w:eastAsia="仿宋" w:cs="宋体"/>
          <w:color w:val="000000" w:themeColor="text1"/>
          <w:sz w:val="24"/>
          <w:highlight w:val="none"/>
          <w:lang w:val="en-US" w:eastAsia="zh-CN"/>
          <w14:textFill>
            <w14:solidFill>
              <w14:schemeClr w14:val="tx1"/>
            </w14:solidFill>
          </w14:textFill>
        </w:rPr>
        <w:t>财险吉林省分公司</w:t>
      </w:r>
      <w:r>
        <w:rPr>
          <w:rFonts w:hint="eastAsia" w:ascii="仿宋" w:hAnsi="仿宋" w:eastAsia="仿宋" w:cs="宋体"/>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根据成交结果与成交人签署。</w:t>
      </w:r>
      <w:r>
        <w:rPr>
          <w:rFonts w:hint="eastAsia" w:ascii="仿宋" w:hAnsi="仿宋" w:eastAsia="仿宋" w:cs="Cambria Math"/>
          <w:color w:val="000000" w:themeColor="text1"/>
          <w:sz w:val="24"/>
          <w:highlight w:val="none"/>
          <w14:textFill>
            <w14:solidFill>
              <w14:schemeClr w14:val="tx1"/>
            </w14:solidFill>
          </w14:textFill>
        </w:rPr>
        <w:t>有意向且具有提供标的物能力的潜在供应商（以下简称“供应商”）可前来参与</w:t>
      </w:r>
      <w:r>
        <w:rPr>
          <w:rFonts w:hint="eastAsia" w:ascii="仿宋" w:hAnsi="仿宋" w:eastAsia="仿宋" w:cs="Cambria Math"/>
          <w:color w:val="000000" w:themeColor="text1"/>
          <w:sz w:val="24"/>
          <w:highlight w:val="none"/>
          <w:lang w:eastAsia="zh-CN"/>
          <w14:textFill>
            <w14:solidFill>
              <w14:schemeClr w14:val="tx1"/>
            </w14:solidFill>
          </w14:textFill>
        </w:rPr>
        <w:t>比选</w:t>
      </w:r>
      <w:r>
        <w:rPr>
          <w:rFonts w:hint="eastAsia" w:ascii="仿宋" w:hAnsi="仿宋" w:eastAsia="仿宋" w:cs="Cambria Math"/>
          <w:color w:val="000000" w:themeColor="text1"/>
          <w:sz w:val="24"/>
          <w:highlight w:val="none"/>
          <w14:textFill>
            <w14:solidFill>
              <w14:schemeClr w14:val="tx1"/>
            </w14:solidFill>
          </w14:textFill>
        </w:rPr>
        <w:t xml:space="preserve">响应。 </w:t>
      </w:r>
    </w:p>
    <w:p>
      <w:pPr>
        <w:pStyle w:val="4"/>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bookmarkStart w:id="9" w:name="_Toc7928"/>
      <w:r>
        <w:rPr>
          <w:rFonts w:hint="eastAsia" w:ascii="仿宋" w:hAnsi="仿宋" w:eastAsia="仿宋" w:cs="仿宋"/>
          <w:color w:val="000000" w:themeColor="text1"/>
          <w:sz w:val="24"/>
          <w:szCs w:val="24"/>
          <w:highlight w:val="none"/>
          <w14:textFill>
            <w14:solidFill>
              <w14:schemeClr w14:val="tx1"/>
            </w14:solidFill>
          </w14:textFill>
        </w:rPr>
        <w:t>一、项目概况与采购范围</w:t>
      </w:r>
      <w:bookmarkEnd w:id="9"/>
    </w:p>
    <w:p>
      <w:pPr>
        <w:adjustRightInd w:val="0"/>
        <w:snapToGrid w:val="0"/>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 项目名称：人保财险吉林省分公司自建系统等保测评服务</w:t>
      </w:r>
      <w:r>
        <w:rPr>
          <w:rFonts w:hint="eastAsia" w:ascii="仿宋" w:hAnsi="仿宋" w:eastAsia="仿宋" w:cs="仿宋"/>
          <w:color w:val="000000" w:themeColor="text1"/>
          <w:sz w:val="24"/>
          <w:highlight w:val="none"/>
          <w:lang w:val="en-US" w:eastAsia="zh-CN"/>
          <w14:textFill>
            <w14:solidFill>
              <w14:schemeClr w14:val="tx1"/>
            </w14:solidFill>
          </w14:textFill>
        </w:rPr>
        <w:t>采购项目</w:t>
      </w:r>
      <w:r>
        <w:rPr>
          <w:rFonts w:hint="eastAsia" w:ascii="仿宋" w:hAnsi="仿宋" w:eastAsia="仿宋" w:cs="仿宋"/>
          <w:color w:val="000000" w:themeColor="text1"/>
          <w:sz w:val="24"/>
          <w:highlight w:val="none"/>
          <w14:textFill>
            <w14:solidFill>
              <w14:schemeClr w14:val="tx1"/>
            </w14:solidFill>
          </w14:textFill>
        </w:rPr>
        <w:t>。</w:t>
      </w:r>
    </w:p>
    <w:p>
      <w:pPr>
        <w:adjustRightInd w:val="0"/>
        <w:snapToGrid w:val="0"/>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1.2 采购范围：本项目拟采购</w:t>
      </w:r>
      <w:r>
        <w:rPr>
          <w:rFonts w:hint="eastAsia" w:ascii="仿宋" w:hAnsi="仿宋" w:eastAsia="仿宋" w:cs="仿宋"/>
          <w:color w:val="000000" w:themeColor="text1"/>
          <w:sz w:val="24"/>
          <w:highlight w:val="none"/>
          <w:lang w:val="en-US" w:eastAsia="zh-CN"/>
          <w14:textFill>
            <w14:solidFill>
              <w14:schemeClr w14:val="tx1"/>
            </w14:solidFill>
          </w14:textFill>
        </w:rPr>
        <w:t>等级保护测评和备案服务</w:t>
      </w:r>
      <w:r>
        <w:rPr>
          <w:rFonts w:hint="eastAsia" w:ascii="仿宋" w:hAnsi="仿宋" w:eastAsia="仿宋" w:cs="仿宋"/>
          <w:color w:val="000000" w:themeColor="text1"/>
          <w:sz w:val="24"/>
          <w:highlight w:val="none"/>
          <w14:textFill>
            <w14:solidFill>
              <w14:schemeClr w14:val="tx1"/>
            </w14:solidFill>
          </w14:textFill>
        </w:rPr>
        <w:t>，具体技术要求详见第五章采购需求。</w:t>
      </w:r>
    </w:p>
    <w:p>
      <w:pPr>
        <w:adjustRightInd w:val="0"/>
        <w:snapToGrid w:val="0"/>
        <w:spacing w:line="360" w:lineRule="auto"/>
        <w:ind w:firstLine="480" w:firstLineChars="200"/>
        <w:jc w:val="left"/>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1.3 标包划分：</w:t>
      </w:r>
      <w:r>
        <w:rPr>
          <w:rFonts w:hint="eastAsia" w:ascii="仿宋" w:hAnsi="仿宋" w:eastAsia="仿宋" w:cs="宋体"/>
          <w:color w:val="000000" w:themeColor="text1"/>
          <w:sz w:val="24"/>
          <w:highlight w:val="none"/>
          <w14:textFill>
            <w14:solidFill>
              <w14:schemeClr w14:val="tx1"/>
            </w14:solidFill>
          </w14:textFill>
        </w:rPr>
        <w:t>本项目不划分标包</w:t>
      </w:r>
    </w:p>
    <w:p>
      <w:pPr>
        <w:adjustRightInd w:val="0"/>
        <w:snapToGrid w:val="0"/>
        <w:spacing w:line="360" w:lineRule="auto"/>
        <w:ind w:firstLine="480" w:firstLineChars="200"/>
        <w:jc w:val="left"/>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t>1.4</w:t>
      </w:r>
      <w:r>
        <w:rPr>
          <w:rFonts w:ascii="仿宋" w:hAnsi="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项目性质：</w:t>
      </w:r>
      <w:r>
        <w:rPr>
          <w:rFonts w:hint="eastAsia" w:ascii="仿宋" w:hAnsi="仿宋" w:eastAsia="仿宋" w:cs="宋体"/>
          <w:color w:val="000000" w:themeColor="text1"/>
          <w:sz w:val="24"/>
          <w:highlight w:val="none"/>
          <w14:textFill>
            <w14:solidFill>
              <w14:schemeClr w14:val="tx1"/>
            </w14:solidFill>
          </w14:textFill>
        </w:rPr>
        <w:t>服务</w:t>
      </w:r>
    </w:p>
    <w:p>
      <w:pPr>
        <w:adjustRightInd w:val="0"/>
        <w:snapToGrid w:val="0"/>
        <w:spacing w:line="360" w:lineRule="auto"/>
        <w:ind w:firstLine="480" w:firstLineChars="200"/>
        <w:jc w:val="lef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ascii="仿宋" w:hAnsi="仿宋" w:eastAsia="仿宋" w:cs="仿宋"/>
          <w:color w:val="000000" w:themeColor="text1"/>
          <w:sz w:val="24"/>
          <w:highlight w:val="none"/>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服务期限：</w:t>
      </w:r>
      <w:r>
        <w:rPr>
          <w:rFonts w:hint="eastAsia" w:ascii="仿宋" w:hAnsi="仿宋" w:eastAsia="仿宋" w:cs="宋体"/>
          <w:color w:val="000000" w:themeColor="text1"/>
          <w:sz w:val="24"/>
          <w:highlight w:val="none"/>
          <w14:textFill>
            <w14:solidFill>
              <w14:schemeClr w14:val="tx1"/>
            </w14:solidFill>
          </w14:textFill>
        </w:rPr>
        <w:t>自合同签订之日起</w:t>
      </w:r>
      <w:r>
        <w:rPr>
          <w:rFonts w:hint="eastAsia" w:ascii="仿宋" w:hAnsi="仿宋" w:eastAsia="仿宋" w:cs="宋体"/>
          <w:color w:val="000000" w:themeColor="text1"/>
          <w:sz w:val="24"/>
          <w:highlight w:val="none"/>
          <w:lang w:val="en-US" w:eastAsia="zh-CN"/>
          <w14:textFill>
            <w14:solidFill>
              <w14:schemeClr w14:val="tx1"/>
            </w14:solidFill>
          </w14:textFill>
        </w:rPr>
        <w:t>1</w:t>
      </w:r>
      <w:r>
        <w:rPr>
          <w:rFonts w:hint="eastAsia" w:ascii="仿宋" w:hAnsi="仿宋" w:eastAsia="仿宋" w:cs="宋体"/>
          <w:color w:val="000000" w:themeColor="text1"/>
          <w:sz w:val="24"/>
          <w:highlight w:val="none"/>
          <w14:textFill>
            <w14:solidFill>
              <w14:schemeClr w14:val="tx1"/>
            </w14:solidFill>
          </w14:textFill>
        </w:rPr>
        <w:t>年。</w:t>
      </w:r>
    </w:p>
    <w:p>
      <w:pPr>
        <w:adjustRightInd w:val="0"/>
        <w:snapToGrid w:val="0"/>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ascii="仿宋" w:hAnsi="仿宋" w:eastAsia="仿宋" w:cs="仿宋"/>
          <w:color w:val="000000" w:themeColor="text1"/>
          <w:sz w:val="24"/>
          <w:highlight w:val="none"/>
          <w14:textFill>
            <w14:solidFill>
              <w14:schemeClr w14:val="tx1"/>
            </w14:solidFill>
          </w14:textFill>
        </w:rPr>
        <w:t>6</w:t>
      </w:r>
      <w:r>
        <w:rPr>
          <w:rFonts w:hint="eastAsia" w:ascii="仿宋" w:hAnsi="仿宋" w:eastAsia="仿宋" w:cs="宋体"/>
          <w:color w:val="000000" w:themeColor="text1"/>
          <w:sz w:val="24"/>
          <w:highlight w:val="none"/>
          <w14:textFill>
            <w14:solidFill>
              <w14:schemeClr w14:val="tx1"/>
            </w14:solidFill>
          </w14:textFill>
        </w:rPr>
        <w:t>服务地点：</w:t>
      </w:r>
      <w:r>
        <w:rPr>
          <w:rFonts w:hint="eastAsia" w:ascii="仿宋" w:hAnsi="仿宋" w:eastAsia="仿宋" w:cs="宋体"/>
          <w:color w:val="000000" w:themeColor="text1"/>
          <w:sz w:val="24"/>
          <w:highlight w:val="none"/>
          <w:lang w:val="en-US" w:eastAsia="zh-CN"/>
          <w14:textFill>
            <w14:solidFill>
              <w14:schemeClr w14:val="tx1"/>
            </w14:solidFill>
          </w14:textFill>
        </w:rPr>
        <w:t>吉林省</w:t>
      </w:r>
      <w:r>
        <w:rPr>
          <w:rFonts w:hint="eastAsia" w:ascii="仿宋" w:hAnsi="仿宋" w:eastAsia="仿宋" w:cs="宋体"/>
          <w:color w:val="000000" w:themeColor="text1"/>
          <w:sz w:val="24"/>
          <w:highlight w:val="none"/>
          <w14:textFill>
            <w14:solidFill>
              <w14:schemeClr w14:val="tx1"/>
            </w14:solidFill>
          </w14:textFill>
        </w:rPr>
        <w:t>。</w:t>
      </w:r>
    </w:p>
    <w:p>
      <w:pPr>
        <w:pStyle w:val="4"/>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bookmarkStart w:id="10" w:name="_Toc28128"/>
      <w:r>
        <w:rPr>
          <w:rFonts w:hint="eastAsia" w:ascii="仿宋" w:hAnsi="仿宋" w:eastAsia="仿宋" w:cs="仿宋"/>
          <w:color w:val="000000" w:themeColor="text1"/>
          <w:sz w:val="24"/>
          <w:szCs w:val="24"/>
          <w:highlight w:val="none"/>
          <w14:textFill>
            <w14:solidFill>
              <w14:schemeClr w14:val="tx1"/>
            </w14:solidFill>
          </w14:textFill>
        </w:rPr>
        <w:t>二、供应商资格要求</w:t>
      </w:r>
      <w:bookmarkEnd w:id="10"/>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2.1</w:t>
      </w:r>
      <w:r>
        <w:rPr>
          <w:rFonts w:hint="eastAsia" w:ascii="仿宋" w:hAnsi="仿宋" w:eastAsia="仿宋" w:cs="宋体"/>
          <w:b/>
          <w:bCs/>
          <w:color w:val="000000" w:themeColor="text1"/>
          <w:sz w:val="24"/>
          <w:highlight w:val="none"/>
          <w14:textFill>
            <w14:solidFill>
              <w14:schemeClr w14:val="tx1"/>
            </w14:solidFill>
          </w14:textFill>
        </w:rPr>
        <w:t>在中华人民共和国境内依法登记的法人或其他组织，具有独立承担民事责任的能力，</w:t>
      </w:r>
      <w:r>
        <w:rPr>
          <w:rFonts w:hint="eastAsia" w:ascii="仿宋" w:hAnsi="仿宋" w:eastAsia="仿宋" w:cs="宋体"/>
          <w:color w:val="000000" w:themeColor="text1"/>
          <w:sz w:val="24"/>
          <w:highlight w:val="none"/>
          <w14:textFill>
            <w14:solidFill>
              <w14:schemeClr w14:val="tx1"/>
            </w14:solidFill>
          </w14:textFill>
        </w:rPr>
        <w:t>供应商如为企业法人，须提供企业法人营业执照</w:t>
      </w:r>
      <w:r>
        <w:rPr>
          <w:rFonts w:hint="eastAsia" w:ascii="仿宋" w:hAnsi="仿宋" w:eastAsia="仿宋" w:cs="Monaco"/>
          <w:color w:val="000000" w:themeColor="text1"/>
          <w:sz w:val="24"/>
          <w14:textFill>
            <w14:solidFill>
              <w14:schemeClr w14:val="tx1"/>
            </w14:solidFill>
          </w14:textFill>
        </w:rPr>
        <w:t>（复印件）</w:t>
      </w:r>
      <w:r>
        <w:rPr>
          <w:rFonts w:hint="eastAsia" w:ascii="仿宋" w:hAnsi="仿宋" w:eastAsia="仿宋" w:cs="宋体"/>
          <w:color w:val="000000" w:themeColor="text1"/>
          <w:sz w:val="24"/>
          <w:highlight w:val="none"/>
          <w14:textFill>
            <w14:solidFill>
              <w14:schemeClr w14:val="tx1"/>
            </w14:solidFill>
          </w14:textFill>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2.2</w:t>
      </w:r>
      <w:r>
        <w:rPr>
          <w:rFonts w:hint="eastAsia" w:ascii="仿宋" w:hAnsi="仿宋" w:eastAsia="仿宋" w:cs="宋体"/>
          <w:b/>
          <w:bCs/>
          <w:color w:val="000000" w:themeColor="text1"/>
          <w:sz w:val="24"/>
          <w:highlight w:val="none"/>
          <w14:textFill>
            <w14:solidFill>
              <w14:schemeClr w14:val="tx1"/>
            </w14:solidFill>
          </w14:textFill>
        </w:rPr>
        <w:t>具有良好的商业信誉和健全的财务会计制度</w:t>
      </w:r>
      <w:r>
        <w:rPr>
          <w:rFonts w:hint="eastAsia" w:ascii="仿宋" w:hAnsi="仿宋" w:eastAsia="仿宋" w:cs="宋体"/>
          <w:color w:val="000000" w:themeColor="text1"/>
          <w:sz w:val="24"/>
          <w:highlight w:val="none"/>
          <w14:textFill>
            <w14:solidFill>
              <w14:schemeClr w14:val="tx1"/>
            </w14:solidFill>
          </w14:textFill>
        </w:rPr>
        <w:t>，需提供20</w:t>
      </w:r>
      <w:r>
        <w:rPr>
          <w:rFonts w:hint="eastAsia" w:ascii="仿宋" w:hAnsi="仿宋" w:eastAsia="仿宋" w:cs="宋体"/>
          <w:color w:val="000000" w:themeColor="text1"/>
          <w:sz w:val="24"/>
          <w:highlight w:val="none"/>
          <w:lang w:val="en-US" w:eastAsia="zh-CN"/>
          <w14:textFill>
            <w14:solidFill>
              <w14:schemeClr w14:val="tx1"/>
            </w14:solidFill>
          </w14:textFill>
        </w:rPr>
        <w:t>25</w:t>
      </w:r>
      <w:r>
        <w:rPr>
          <w:rFonts w:hint="eastAsia" w:ascii="仿宋" w:hAnsi="仿宋" w:eastAsia="仿宋" w:cs="宋体"/>
          <w:color w:val="000000" w:themeColor="text1"/>
          <w:sz w:val="24"/>
          <w:highlight w:val="none"/>
          <w14:textFill>
            <w14:solidFill>
              <w14:schemeClr w14:val="tx1"/>
            </w14:solidFill>
          </w14:textFill>
        </w:rPr>
        <w:t>年度经会计师事务所或审计机构审计的财务审计报告及财务报表（至少包含会计师事务所或审计机构签章页、资产负债表、现金流量表、损益表/利润表）或提供响应文件递交截止日前6个月内开具的银行资信证明。</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 xml:space="preserve">2.3 </w:t>
      </w:r>
      <w:r>
        <w:rPr>
          <w:rFonts w:hint="eastAsia" w:ascii="仿宋" w:hAnsi="仿宋" w:eastAsia="仿宋" w:cs="宋体"/>
          <w:b/>
          <w:bCs/>
          <w:color w:val="000000" w:themeColor="text1"/>
          <w:sz w:val="24"/>
          <w:highlight w:val="none"/>
          <w14:textFill>
            <w14:solidFill>
              <w14:schemeClr w14:val="tx1"/>
            </w14:solidFill>
          </w14:textFill>
        </w:rPr>
        <w:t>供应商应具有履行合同所必需的设备和专业技术能力</w:t>
      </w:r>
      <w:r>
        <w:rPr>
          <w:rFonts w:hint="eastAsia" w:ascii="仿宋" w:hAnsi="仿宋" w:eastAsia="仿宋" w:cs="Cambria Math"/>
          <w:color w:val="000000" w:themeColor="text1"/>
          <w:kern w:val="0"/>
          <w:sz w:val="24"/>
          <w:highlight w:val="none"/>
          <w:lang w:val="en-US" w:eastAsia="zh-CN"/>
          <w14:textFill>
            <w14:solidFill>
              <w14:schemeClr w14:val="tx1"/>
            </w14:solidFill>
          </w14:textFill>
        </w:rPr>
        <w:t>，</w:t>
      </w:r>
      <w:r>
        <w:rPr>
          <w:rFonts w:hint="eastAsia" w:ascii="仿宋" w:hAnsi="仿宋" w:eastAsia="仿宋" w:cs="宋体"/>
          <w:color w:val="000000" w:themeColor="text1"/>
          <w:sz w:val="24"/>
          <w:highlight w:val="none"/>
          <w14:textFill>
            <w14:solidFill>
              <w14:schemeClr w14:val="tx1"/>
            </w14:solidFill>
          </w14:textFill>
        </w:rPr>
        <w:t>近三年（20</w:t>
      </w:r>
      <w:r>
        <w:rPr>
          <w:rFonts w:hint="eastAsia" w:ascii="仿宋" w:hAnsi="仿宋" w:eastAsia="仿宋" w:cs="宋体"/>
          <w:color w:val="000000" w:themeColor="text1"/>
          <w:sz w:val="24"/>
          <w:highlight w:val="none"/>
          <w:lang w:val="en-US" w:eastAsia="zh-CN"/>
          <w14:textFill>
            <w14:solidFill>
              <w14:schemeClr w14:val="tx1"/>
            </w14:solidFill>
          </w14:textFill>
        </w:rPr>
        <w:t>23</w:t>
      </w:r>
      <w:r>
        <w:rPr>
          <w:rFonts w:hint="eastAsia" w:ascii="仿宋" w:hAnsi="仿宋" w:eastAsia="仿宋" w:cs="宋体"/>
          <w:color w:val="000000" w:themeColor="text1"/>
          <w:sz w:val="24"/>
          <w:highlight w:val="none"/>
          <w14:textFill>
            <w14:solidFill>
              <w14:schemeClr w14:val="tx1"/>
            </w14:solidFill>
          </w14:textFill>
        </w:rPr>
        <w:t>年1月1日至今）应具</w:t>
      </w:r>
      <w:r>
        <w:rPr>
          <w:rFonts w:hint="eastAsia" w:ascii="仿宋" w:hAnsi="仿宋" w:eastAsia="仿宋" w:cs="宋体"/>
          <w:color w:val="000000" w:themeColor="text1"/>
          <w:sz w:val="24"/>
          <w:highlight w:val="none"/>
          <w:lang w:val="en-US" w:eastAsia="zh-CN"/>
          <w14:textFill>
            <w14:solidFill>
              <w14:schemeClr w14:val="tx1"/>
            </w14:solidFill>
          </w14:textFill>
        </w:rPr>
        <w:t>有</w:t>
      </w:r>
      <w:r>
        <w:rPr>
          <w:rFonts w:hint="eastAsia" w:ascii="仿宋" w:hAnsi="仿宋" w:eastAsia="仿宋" w:cs="宋体"/>
          <w:color w:val="000000" w:themeColor="text1"/>
          <w:sz w:val="24"/>
          <w:highlight w:val="none"/>
          <w14:textFill>
            <w14:solidFill>
              <w14:schemeClr w14:val="tx1"/>
            </w14:solidFill>
          </w14:textFill>
        </w:rPr>
        <w:t>同类项目实施案例，并提供符合上述要求的合同关键页作为有效的业绩证明材料。合同关键页包含但不限于合同首页、合同标的页、签署日期页及盖章页等。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2.4</w:t>
      </w:r>
      <w:r>
        <w:rPr>
          <w:rFonts w:hint="eastAsia" w:ascii="仿宋" w:hAnsi="仿宋" w:eastAsia="仿宋" w:cs="宋体"/>
          <w:b/>
          <w:bCs/>
          <w:color w:val="000000" w:themeColor="text1"/>
          <w:sz w:val="24"/>
          <w:highlight w:val="none"/>
          <w14:textFill>
            <w14:solidFill>
              <w14:schemeClr w14:val="tx1"/>
            </w14:solidFill>
          </w14:textFill>
        </w:rPr>
        <w:t>具有依法缴纳税收和社会保障资金的良好记录</w:t>
      </w:r>
      <w:r>
        <w:rPr>
          <w:rFonts w:hint="eastAsia" w:ascii="仿宋" w:hAnsi="仿宋" w:eastAsia="仿宋" w:cs="宋体"/>
          <w:color w:val="000000" w:themeColor="text1"/>
          <w:sz w:val="24"/>
          <w:highlight w:val="none"/>
          <w14:textFill>
            <w14:solidFill>
              <w14:schemeClr w14:val="tx1"/>
            </w14:solidFill>
          </w14:textFill>
        </w:rPr>
        <w:t>，提供近6个月任意一个月的税收和社会保障资金缴纳凭证。</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2.5</w:t>
      </w:r>
      <w:r>
        <w:rPr>
          <w:rFonts w:hint="eastAsia" w:ascii="仿宋" w:hAnsi="仿宋" w:eastAsia="仿宋" w:cs="宋体"/>
          <w:b/>
          <w:bCs/>
          <w:color w:val="000000" w:themeColor="text1"/>
          <w:sz w:val="24"/>
          <w:highlight w:val="none"/>
          <w14:textFill>
            <w14:solidFill>
              <w14:schemeClr w14:val="tx1"/>
            </w14:solidFill>
          </w14:textFill>
        </w:rPr>
        <w:t>供应商应经营状况良好，且近三年内（20</w:t>
      </w:r>
      <w:r>
        <w:rPr>
          <w:rFonts w:hint="eastAsia" w:ascii="仿宋" w:hAnsi="仿宋" w:eastAsia="仿宋" w:cs="宋体"/>
          <w:b/>
          <w:bCs/>
          <w:color w:val="000000" w:themeColor="text1"/>
          <w:sz w:val="24"/>
          <w:highlight w:val="none"/>
          <w:lang w:val="en-US" w:eastAsia="zh-CN"/>
          <w14:textFill>
            <w14:solidFill>
              <w14:schemeClr w14:val="tx1"/>
            </w14:solidFill>
          </w14:textFill>
        </w:rPr>
        <w:t>23</w:t>
      </w:r>
      <w:r>
        <w:rPr>
          <w:rFonts w:hint="eastAsia" w:ascii="仿宋" w:hAnsi="仿宋" w:eastAsia="仿宋" w:cs="宋体"/>
          <w:b/>
          <w:bCs/>
          <w:color w:val="000000" w:themeColor="text1"/>
          <w:sz w:val="24"/>
          <w:highlight w:val="none"/>
          <w14:textFill>
            <w14:solidFill>
              <w14:schemeClr w14:val="tx1"/>
            </w14:solidFill>
          </w14:textFill>
        </w:rPr>
        <w:t>年1月1日至今）无违法违规记录。</w:t>
      </w:r>
      <w:r>
        <w:rPr>
          <w:rFonts w:hint="eastAsia" w:ascii="仿宋" w:hAnsi="仿宋" w:eastAsia="仿宋" w:cs="宋体"/>
          <w:color w:val="000000" w:themeColor="text1"/>
          <w:sz w:val="24"/>
          <w:highlight w:val="none"/>
          <w14:textFill>
            <w14:solidFill>
              <w14:schemeClr w14:val="tx1"/>
            </w14:solidFill>
          </w14:textFill>
        </w:rPr>
        <w:t>违法违规记录是指被“信用中国”列入失信被执行人、重大税收违法失信主体、政府采购严重违法失信行为记录名单。供应商需提供自</w:t>
      </w:r>
      <w:r>
        <w:rPr>
          <w:rFonts w:hint="eastAsia" w:ascii="仿宋" w:hAnsi="仿宋" w:eastAsia="仿宋" w:cs="宋体"/>
          <w:color w:val="000000" w:themeColor="text1"/>
          <w:sz w:val="24"/>
          <w:highlight w:val="none"/>
          <w:lang w:eastAsia="zh-CN"/>
          <w14:textFill>
            <w14:solidFill>
              <w14:schemeClr w14:val="tx1"/>
            </w14:solidFill>
          </w14:textFill>
        </w:rPr>
        <w:t>比选</w:t>
      </w:r>
      <w:r>
        <w:rPr>
          <w:rFonts w:hint="eastAsia" w:ascii="仿宋" w:hAnsi="仿宋" w:eastAsia="仿宋" w:cs="宋体"/>
          <w:color w:val="000000" w:themeColor="text1"/>
          <w:sz w:val="24"/>
          <w:highlight w:val="none"/>
          <w14:textFill>
            <w14:solidFill>
              <w14:schemeClr w14:val="tx1"/>
            </w14:solidFill>
          </w14:textFill>
        </w:rPr>
        <w:t>公告发布之日至响应文件递交截止之日期间对以上三项内容的查询截图。</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信用中国查询网址：https://www.creditchina.gov.cn/xinyongfuwu/?navPage=5</w:t>
      </w:r>
    </w:p>
    <w:p>
      <w:pPr>
        <w:spacing w:line="360" w:lineRule="auto"/>
        <w:ind w:firstLine="480" w:firstLineChars="200"/>
        <w:textAlignment w:val="baseline"/>
        <w:rPr>
          <w:rFonts w:hint="eastAsia" w:ascii="仿宋" w:hAnsi="仿宋" w:eastAsia="仿宋" w:cs="宋体"/>
          <w:b/>
          <w:bCs/>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 xml:space="preserve">2.6 </w:t>
      </w:r>
      <w:r>
        <w:rPr>
          <w:rFonts w:hint="eastAsia" w:ascii="仿宋" w:hAnsi="仿宋" w:eastAsia="仿宋" w:cs="宋体"/>
          <w:b/>
          <w:bCs/>
          <w:color w:val="000000" w:themeColor="text1"/>
          <w:sz w:val="24"/>
          <w:highlight w:val="none"/>
          <w14:textFill>
            <w14:solidFill>
              <w14:schemeClr w14:val="tx1"/>
            </w14:solidFill>
          </w14:textFill>
        </w:rPr>
        <w:t>严禁列入</w:t>
      </w:r>
      <w:r>
        <w:rPr>
          <w:rFonts w:hint="eastAsia" w:ascii="仿宋" w:hAnsi="仿宋" w:eastAsia="仿宋" w:cs="宋体"/>
          <w:b/>
          <w:bCs/>
          <w:color w:val="000000" w:themeColor="text1"/>
          <w:sz w:val="24"/>
          <w:highlight w:val="none"/>
          <w:lang w:val="en-US" w:eastAsia="zh-CN"/>
          <w14:textFill>
            <w14:solidFill>
              <w14:schemeClr w14:val="tx1"/>
            </w14:solidFill>
          </w14:textFill>
        </w:rPr>
        <w:t>采购</w:t>
      </w:r>
      <w:r>
        <w:rPr>
          <w:rFonts w:hint="eastAsia" w:ascii="仿宋" w:hAnsi="仿宋" w:eastAsia="仿宋" w:cs="宋体"/>
          <w:b/>
          <w:bCs/>
          <w:color w:val="000000" w:themeColor="text1"/>
          <w:sz w:val="24"/>
          <w:highlight w:val="none"/>
          <w14:textFill>
            <w14:solidFill>
              <w14:schemeClr w14:val="tx1"/>
            </w14:solidFill>
          </w14:textFill>
        </w:rPr>
        <w:t>人及其所隶属的中国人民保险各级机构的供应商黑名单且在禁入期内的供应商参与采购活动。</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2.7单位负责人为同一人或存在控股、管理关系的不同单位，不得参加同一标段/标包</w:t>
      </w:r>
      <w:r>
        <w:rPr>
          <w:rFonts w:hint="eastAsia" w:ascii="仿宋" w:hAnsi="仿宋" w:eastAsia="仿宋" w:cs="宋体"/>
          <w:color w:val="000000" w:themeColor="text1"/>
          <w:sz w:val="24"/>
          <w:highlight w:val="none"/>
          <w:lang w:eastAsia="zh-CN"/>
          <w14:textFill>
            <w14:solidFill>
              <w14:schemeClr w14:val="tx1"/>
            </w14:solidFill>
          </w14:textFill>
        </w:rPr>
        <w:t>比选</w:t>
      </w:r>
      <w:r>
        <w:rPr>
          <w:rFonts w:hint="eastAsia" w:ascii="仿宋" w:hAnsi="仿宋" w:eastAsia="仿宋" w:cs="宋体"/>
          <w:color w:val="000000" w:themeColor="text1"/>
          <w:sz w:val="24"/>
          <w:highlight w:val="none"/>
          <w14:textFill>
            <w14:solidFill>
              <w14:schemeClr w14:val="tx1"/>
            </w14:solidFill>
          </w14:textFill>
        </w:rPr>
        <w:t>响应或未划分标段/标包的同一采购项目的</w:t>
      </w:r>
      <w:r>
        <w:rPr>
          <w:rFonts w:hint="eastAsia" w:ascii="仿宋" w:hAnsi="仿宋" w:eastAsia="仿宋" w:cs="宋体"/>
          <w:color w:val="000000" w:themeColor="text1"/>
          <w:sz w:val="24"/>
          <w:highlight w:val="none"/>
          <w:lang w:eastAsia="zh-CN"/>
          <w14:textFill>
            <w14:solidFill>
              <w14:schemeClr w14:val="tx1"/>
            </w14:solidFill>
          </w14:textFill>
        </w:rPr>
        <w:t>比选</w:t>
      </w:r>
      <w:r>
        <w:rPr>
          <w:rFonts w:hint="eastAsia" w:ascii="仿宋" w:hAnsi="仿宋" w:eastAsia="仿宋" w:cs="宋体"/>
          <w:color w:val="000000" w:themeColor="text1"/>
          <w:sz w:val="24"/>
          <w:highlight w:val="none"/>
          <w14:textFill>
            <w14:solidFill>
              <w14:schemeClr w14:val="tx1"/>
            </w14:solidFill>
          </w14:textFill>
        </w:rPr>
        <w:t>响应，需填写《供应商控股及管理关系情况申报表》。</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2.8本项目不接受联合体</w:t>
      </w:r>
      <w:r>
        <w:rPr>
          <w:rFonts w:hint="eastAsia" w:ascii="仿宋" w:hAnsi="仿宋" w:eastAsia="仿宋" w:cs="宋体"/>
          <w:color w:val="000000" w:themeColor="text1"/>
          <w:sz w:val="24"/>
          <w:highlight w:val="none"/>
          <w:lang w:eastAsia="zh-CN"/>
          <w14:textFill>
            <w14:solidFill>
              <w14:schemeClr w14:val="tx1"/>
            </w14:solidFill>
          </w14:textFill>
        </w:rPr>
        <w:t>比选</w:t>
      </w:r>
      <w:r>
        <w:rPr>
          <w:rFonts w:hint="eastAsia" w:ascii="仿宋" w:hAnsi="仿宋" w:eastAsia="仿宋" w:cs="宋体"/>
          <w:color w:val="000000" w:themeColor="text1"/>
          <w:sz w:val="24"/>
          <w:highlight w:val="none"/>
          <w14:textFill>
            <w14:solidFill>
              <w14:schemeClr w14:val="tx1"/>
            </w14:solidFill>
          </w14:textFill>
        </w:rPr>
        <w:t>响应。</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2.</w:t>
      </w:r>
      <w:r>
        <w:rPr>
          <w:rFonts w:hint="eastAsia" w:ascii="仿宋" w:hAnsi="仿宋" w:eastAsia="仿宋" w:cs="宋体"/>
          <w:color w:val="000000" w:themeColor="text1"/>
          <w:sz w:val="24"/>
          <w:highlight w:val="none"/>
          <w:lang w:val="en-US" w:eastAsia="zh-CN"/>
          <w14:textFill>
            <w14:solidFill>
              <w14:schemeClr w14:val="tx1"/>
            </w14:solidFill>
          </w14:textFill>
        </w:rPr>
        <w:t>9</w:t>
      </w:r>
      <w:r>
        <w:rPr>
          <w:rFonts w:hint="eastAsia" w:ascii="仿宋" w:hAnsi="仿宋" w:eastAsia="仿宋" w:cs="宋体"/>
          <w:color w:val="000000" w:themeColor="text1"/>
          <w:sz w:val="24"/>
          <w:highlight w:val="none"/>
          <w14:textFill>
            <w14:solidFill>
              <w14:schemeClr w14:val="tx1"/>
            </w14:solidFill>
          </w14:textFill>
        </w:rPr>
        <w:t>投标人必须具备公安部第三研究所颁发的《网络安全等级测评与检测评估机构服务认证证书》，且已列入《全国网络安全等级测评与检测评估机构目录》（中国网络安全等级保护网可查），并提供资质证书复印件（加盖投标人公章），投标时需携原件备查。</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lang w:val="en-US" w:eastAsia="zh-CN"/>
          <w14:textFill>
            <w14:solidFill>
              <w14:schemeClr w14:val="tx1"/>
            </w14:solidFill>
          </w14:textFill>
        </w:rPr>
        <w:t>2.10</w:t>
      </w:r>
      <w:r>
        <w:rPr>
          <w:rFonts w:hint="eastAsia" w:ascii="仿宋" w:hAnsi="仿宋" w:eastAsia="仿宋" w:cs="宋体"/>
          <w:color w:val="000000" w:themeColor="text1"/>
          <w:sz w:val="24"/>
          <w:highlight w:val="none"/>
          <w14:textFill>
            <w14:solidFill>
              <w14:schemeClr w14:val="tx1"/>
            </w14:solidFill>
          </w14:textFill>
        </w:rPr>
        <w:t>如果投标人为省外测评机构，应根据吉林省信息安全等级保护协调小组办公室2024年11月1日发布的“关于试行《网络安全等级保护备案实施细则（试行）》的通知”，对异地开展测评活动的等级测评机构，其每个测评项目实施前均需先行到吉林省公安厅总队进行报备，并取得吉林省公安厅总队出具加盖等级保护专用章的《吉林省异地测评报备回执》后才可进行测评项目实施，并协助甲方获得被测信息系统的《网络安全等级保护备案证明》”等内容，投标时应在投标文件中提供备案回执或公示截图或服务承诺函，证明材料需加盖投标人公章，否则拒绝投标。</w:t>
      </w:r>
    </w:p>
    <w:p>
      <w:pPr>
        <w:pStyle w:val="2"/>
        <w:rPr>
          <w:rFonts w:hint="default"/>
          <w:lang w:val="en-US" w:eastAsia="zh-CN"/>
        </w:rPr>
      </w:pPr>
    </w:p>
    <w:p>
      <w:pPr>
        <w:pStyle w:val="4"/>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bookmarkStart w:id="11" w:name="_Toc32061"/>
      <w:r>
        <w:rPr>
          <w:rFonts w:hint="eastAsia" w:ascii="仿宋" w:hAnsi="仿宋" w:eastAsia="仿宋" w:cs="仿宋"/>
          <w:color w:val="000000" w:themeColor="text1"/>
          <w:sz w:val="24"/>
          <w:szCs w:val="24"/>
          <w:highlight w:val="none"/>
          <w14:textFill>
            <w14:solidFill>
              <w14:schemeClr w14:val="tx1"/>
            </w14:solidFill>
          </w14:textFill>
        </w:rPr>
        <w:t>三、资格审查方法</w:t>
      </w:r>
      <w:bookmarkEnd w:id="11"/>
    </w:p>
    <w:p>
      <w:pPr>
        <w:spacing w:line="360" w:lineRule="auto"/>
        <w:ind w:firstLine="480" w:firstLineChars="200"/>
        <w:textAlignment w:val="baseline"/>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本项目将进行资格后审，资格审查方法为合格制，资格审查标准和内容见</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文件第三章评审办法。未通过资格后审的供应商，响应文件将被否决，不进入</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、详细评审等后续环节。</w:t>
      </w:r>
    </w:p>
    <w:p>
      <w:pPr>
        <w:pStyle w:val="4"/>
        <w:spacing w:after="240"/>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bookmarkStart w:id="12" w:name="_Toc25690"/>
      <w:r>
        <w:rPr>
          <w:rFonts w:hint="eastAsia" w:ascii="仿宋" w:hAnsi="仿宋" w:eastAsia="仿宋" w:cs="仿宋"/>
          <w:color w:val="000000" w:themeColor="text1"/>
          <w:sz w:val="24"/>
          <w:szCs w:val="24"/>
          <w:highlight w:val="none"/>
          <w14:textFill>
            <w14:solidFill>
              <w14:schemeClr w14:val="tx1"/>
            </w14:solidFill>
          </w14:textFill>
        </w:rPr>
        <w:t>四、</w:t>
      </w:r>
      <w:r>
        <w:rPr>
          <w:rFonts w:hint="eastAsia" w:ascii="仿宋" w:hAnsi="仿宋" w:eastAsia="仿宋" w:cs="仿宋"/>
          <w:color w:val="000000" w:themeColor="text1"/>
          <w:sz w:val="24"/>
          <w:szCs w:val="24"/>
          <w:highlight w:val="none"/>
          <w:lang w:eastAsia="zh-CN"/>
          <w14:textFill>
            <w14:solidFill>
              <w14:schemeClr w14:val="tx1"/>
            </w14:solidFill>
          </w14:textFill>
        </w:rPr>
        <w:t>比选</w:t>
      </w:r>
      <w:r>
        <w:rPr>
          <w:rFonts w:hint="eastAsia" w:ascii="仿宋" w:hAnsi="仿宋" w:eastAsia="仿宋" w:cs="仿宋"/>
          <w:color w:val="000000" w:themeColor="text1"/>
          <w:sz w:val="24"/>
          <w:szCs w:val="24"/>
          <w:highlight w:val="none"/>
          <w14:textFill>
            <w14:solidFill>
              <w14:schemeClr w14:val="tx1"/>
            </w14:solidFill>
          </w14:textFill>
        </w:rPr>
        <w:t>文件的获取</w:t>
      </w:r>
      <w:bookmarkEnd w:id="12"/>
    </w:p>
    <w:p>
      <w:pPr>
        <w:pStyle w:val="82"/>
        <w:adjustRightInd w:val="0"/>
        <w:snapToGrid w:val="0"/>
        <w:ind w:firstLineChars="175"/>
        <w:jc w:val="left"/>
        <w:rPr>
          <w:rFonts w:hint="eastAsia" w:ascii="仿宋" w:hAnsi="仿宋" w:eastAsia="仿宋" w:cs="仿宋"/>
          <w:color w:val="000000" w:themeColor="text1"/>
          <w:sz w:val="24"/>
          <w:szCs w:val="24"/>
          <w:highlight w:val="none"/>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比选</w:t>
      </w:r>
      <w:r>
        <w:rPr>
          <w:rFonts w:hint="eastAsia" w:ascii="仿宋" w:hAnsi="仿宋" w:eastAsia="仿宋" w:cs="仿宋"/>
          <w:color w:val="000000" w:themeColor="text1"/>
          <w:sz w:val="24"/>
          <w:szCs w:val="24"/>
          <w:highlight w:val="none"/>
          <w14:textFill>
            <w14:solidFill>
              <w14:schemeClr w14:val="tx1"/>
            </w14:solidFill>
          </w14:textFill>
        </w:rPr>
        <w:t>文件</w:t>
      </w:r>
      <w:r>
        <w:rPr>
          <w:rFonts w:hint="eastAsia" w:ascii="仿宋" w:hAnsi="仿宋" w:eastAsia="仿宋" w:cs="宋体"/>
          <w:color w:val="000000" w:themeColor="text1"/>
          <w:sz w:val="24"/>
          <w:szCs w:val="24"/>
          <w:highlight w:val="none"/>
          <w14:textFill>
            <w14:solidFill>
              <w14:schemeClr w14:val="tx1"/>
            </w14:solidFill>
          </w14:textFill>
        </w:rPr>
        <w:t>获取</w:t>
      </w:r>
      <w:r>
        <w:rPr>
          <w:rFonts w:hint="eastAsia" w:ascii="仿宋" w:hAnsi="仿宋" w:eastAsia="仿宋" w:cs="宋体"/>
          <w:color w:val="000000" w:themeColor="text1"/>
          <w:sz w:val="24"/>
          <w:szCs w:val="24"/>
          <w:highlight w:val="none"/>
          <w:lang w:val="en-US" w:eastAsia="zh-CN"/>
          <w14:textFill>
            <w14:solidFill>
              <w14:schemeClr w14:val="tx1"/>
            </w14:solidFill>
          </w14:textFill>
        </w:rPr>
        <w:t>及报名</w:t>
      </w:r>
      <w:r>
        <w:rPr>
          <w:rFonts w:hint="eastAsia" w:ascii="仿宋" w:hAnsi="仿宋" w:eastAsia="仿宋" w:cs="仿宋"/>
          <w:color w:val="000000" w:themeColor="text1"/>
          <w:sz w:val="24"/>
          <w:szCs w:val="24"/>
          <w:highlight w:val="none"/>
          <w14:textFill>
            <w14:solidFill>
              <w14:schemeClr w14:val="tx1"/>
            </w14:solidFill>
          </w14:textFill>
        </w:rPr>
        <w:t>时间：</w:t>
      </w:r>
      <w:r>
        <w:rPr>
          <w:rFonts w:hint="eastAsia" w:ascii="仿宋" w:hAnsi="仿宋" w:eastAsia="仿宋" w:cs="宋体"/>
          <w:b/>
          <w:color w:val="000000" w:themeColor="text1"/>
          <w:sz w:val="24"/>
          <w:szCs w:val="24"/>
          <w:highlight w:val="none"/>
          <w:u w:val="single"/>
          <w14:textFill>
            <w14:solidFill>
              <w14:schemeClr w14:val="tx1"/>
            </w14:solidFill>
          </w14:textFill>
        </w:rPr>
        <w:t>202</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6</w:t>
      </w:r>
      <w:r>
        <w:rPr>
          <w:rFonts w:hint="eastAsia" w:ascii="仿宋" w:hAnsi="仿宋" w:eastAsia="仿宋" w:cs="宋体"/>
          <w:b/>
          <w:color w:val="000000" w:themeColor="text1"/>
          <w:sz w:val="24"/>
          <w:szCs w:val="24"/>
          <w:highlight w:val="none"/>
          <w:u w:val="single"/>
          <w14:textFill>
            <w14:solidFill>
              <w14:schemeClr w14:val="tx1"/>
            </w14:solidFill>
          </w14:textFill>
        </w:rPr>
        <w:t>年</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5</w:t>
      </w:r>
      <w:r>
        <w:rPr>
          <w:rFonts w:hint="eastAsia" w:ascii="仿宋" w:hAnsi="仿宋" w:eastAsia="仿宋" w:cs="宋体"/>
          <w:b/>
          <w:color w:val="000000" w:themeColor="text1"/>
          <w:sz w:val="24"/>
          <w:szCs w:val="24"/>
          <w:highlight w:val="none"/>
          <w:u w:val="single"/>
          <w14:textFill>
            <w14:solidFill>
              <w14:schemeClr w14:val="tx1"/>
            </w14:solidFill>
          </w14:textFill>
        </w:rPr>
        <w:t>月</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21</w:t>
      </w:r>
      <w:r>
        <w:rPr>
          <w:rFonts w:hint="eastAsia" w:ascii="仿宋" w:hAnsi="仿宋" w:eastAsia="仿宋" w:cs="宋体"/>
          <w:b/>
          <w:color w:val="000000" w:themeColor="text1"/>
          <w:sz w:val="24"/>
          <w:szCs w:val="24"/>
          <w:highlight w:val="none"/>
          <w:u w:val="single"/>
          <w14:textFill>
            <w14:solidFill>
              <w14:schemeClr w14:val="tx1"/>
            </w14:solidFill>
          </w14:textFill>
        </w:rPr>
        <w:t>日</w:t>
      </w:r>
      <w:r>
        <w:rPr>
          <w:rFonts w:hint="eastAsia" w:ascii="仿宋" w:hAnsi="仿宋" w:eastAsia="仿宋" w:cs="宋体"/>
          <w:b/>
          <w:color w:val="000000" w:themeColor="text1"/>
          <w:sz w:val="24"/>
          <w:szCs w:val="24"/>
          <w:highlight w:val="none"/>
          <w14:textFill>
            <w14:solidFill>
              <w14:schemeClr w14:val="tx1"/>
            </w14:solidFill>
          </w14:textFill>
        </w:rPr>
        <w:t>至</w:t>
      </w:r>
      <w:r>
        <w:rPr>
          <w:rFonts w:hint="eastAsia" w:ascii="仿宋" w:hAnsi="仿宋" w:eastAsia="仿宋" w:cs="宋体"/>
          <w:b/>
          <w:color w:val="000000" w:themeColor="text1"/>
          <w:sz w:val="24"/>
          <w:szCs w:val="24"/>
          <w:highlight w:val="none"/>
          <w:u w:val="single"/>
          <w14:textFill>
            <w14:solidFill>
              <w14:schemeClr w14:val="tx1"/>
            </w14:solidFill>
          </w14:textFill>
        </w:rPr>
        <w:t>202</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6</w:t>
      </w:r>
      <w:r>
        <w:rPr>
          <w:rFonts w:hint="eastAsia" w:ascii="仿宋" w:hAnsi="仿宋" w:eastAsia="仿宋" w:cs="宋体"/>
          <w:b/>
          <w:color w:val="000000" w:themeColor="text1"/>
          <w:sz w:val="24"/>
          <w:szCs w:val="24"/>
          <w:highlight w:val="none"/>
          <w:u w:val="single"/>
          <w14:textFill>
            <w14:solidFill>
              <w14:schemeClr w14:val="tx1"/>
            </w14:solidFill>
          </w14:textFill>
        </w:rPr>
        <w:t>年</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5</w:t>
      </w:r>
      <w:r>
        <w:rPr>
          <w:rFonts w:hint="eastAsia" w:ascii="仿宋" w:hAnsi="仿宋" w:eastAsia="仿宋" w:cs="宋体"/>
          <w:b/>
          <w:color w:val="000000" w:themeColor="text1"/>
          <w:sz w:val="24"/>
          <w:szCs w:val="24"/>
          <w:highlight w:val="none"/>
          <w:u w:val="single"/>
          <w14:textFill>
            <w14:solidFill>
              <w14:schemeClr w14:val="tx1"/>
            </w14:solidFill>
          </w14:textFill>
        </w:rPr>
        <w:t>月</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25</w:t>
      </w:r>
      <w:r>
        <w:rPr>
          <w:rFonts w:hint="eastAsia" w:ascii="仿宋" w:hAnsi="仿宋" w:eastAsia="仿宋" w:cs="宋体"/>
          <w:b/>
          <w:color w:val="000000" w:themeColor="text1"/>
          <w:sz w:val="24"/>
          <w:szCs w:val="24"/>
          <w:highlight w:val="none"/>
          <w:u w:val="single"/>
          <w14:textFill>
            <w14:solidFill>
              <w14:schemeClr w14:val="tx1"/>
            </w14:solidFill>
          </w14:textFill>
        </w:rPr>
        <w:t>日</w:t>
      </w:r>
      <w:r>
        <w:rPr>
          <w:rFonts w:hint="eastAsia" w:ascii="仿宋" w:hAnsi="仿宋" w:eastAsia="仿宋" w:cs="宋体"/>
          <w:color w:val="000000" w:themeColor="text1"/>
          <w:sz w:val="24"/>
          <w:szCs w:val="24"/>
          <w:highlight w:val="none"/>
          <w14:textFill>
            <w14:solidFill>
              <w14:schemeClr w14:val="tx1"/>
            </w14:solidFill>
          </w14:textFill>
        </w:rPr>
        <w:t>。</w:t>
      </w:r>
    </w:p>
    <w:p>
      <w:pPr>
        <w:pStyle w:val="13"/>
        <w:spacing w:line="360" w:lineRule="auto"/>
        <w:ind w:firstLine="480" w:firstLineChars="200"/>
        <w:rPr>
          <w:rFonts w:hint="default" w:ascii="仿宋" w:hAnsi="仿宋" w:eastAsia="仿宋" w:cs="仿宋_GB2312"/>
          <w:color w:val="000000" w:themeColor="text1"/>
          <w:sz w:val="24"/>
          <w:szCs w:val="24"/>
          <w:highlight w:val="none"/>
          <w:lang w:val="en-US" w:eastAsia="zh-CN"/>
          <w14:textFill>
            <w14:solidFill>
              <w14:schemeClr w14:val="tx1"/>
            </w14:solidFill>
          </w14:textFill>
        </w:rPr>
      </w:pPr>
      <w:r>
        <w:rPr>
          <w:rFonts w:ascii="仿宋" w:hAnsi="仿宋" w:eastAsia="仿宋" w:cs="宋体"/>
          <w:color w:val="000000" w:themeColor="text1"/>
          <w:sz w:val="24"/>
          <w:highlight w:val="none"/>
          <w14:textFill>
            <w14:solidFill>
              <w14:schemeClr w14:val="tx1"/>
            </w14:solidFill>
          </w14:textFill>
        </w:rPr>
        <w:t>4</w:t>
      </w:r>
      <w:r>
        <w:rPr>
          <w:rFonts w:hint="eastAsia" w:ascii="仿宋" w:hAnsi="仿宋" w:eastAsia="仿宋" w:cs="宋体"/>
          <w:color w:val="000000" w:themeColor="text1"/>
          <w:sz w:val="24"/>
          <w:highlight w:val="none"/>
          <w14:textFill>
            <w14:solidFill>
              <w14:schemeClr w14:val="tx1"/>
            </w14:solidFill>
          </w14:textFill>
        </w:rPr>
        <w:t>.2拟报名参加本项目的供应商，请</w:t>
      </w:r>
      <w:r>
        <w:rPr>
          <w:rFonts w:hint="eastAsia" w:ascii="仿宋" w:hAnsi="仿宋" w:eastAsia="仿宋" w:cs="宋体"/>
          <w:color w:val="000000" w:themeColor="text1"/>
          <w:sz w:val="24"/>
          <w:highlight w:val="none"/>
          <w:lang w:val="en-US" w:eastAsia="zh-CN"/>
          <w14:textFill>
            <w14:solidFill>
              <w14:schemeClr w14:val="tx1"/>
            </w14:solidFill>
          </w14:textFill>
        </w:rPr>
        <w:t>通过</w:t>
      </w:r>
      <w:r>
        <w:rPr>
          <w:rFonts w:hint="eastAsia" w:ascii="仿宋" w:hAnsi="仿宋" w:eastAsia="仿宋" w:cs="宋体"/>
          <w:color w:val="000000" w:themeColor="text1"/>
          <w:sz w:val="24"/>
          <w:highlight w:val="none"/>
          <w:u w:val="single"/>
          <w14:textFill>
            <w14:solidFill>
              <w14:schemeClr w14:val="tx1"/>
            </w14:solidFill>
          </w14:textFill>
        </w:rPr>
        <w:t>“人保e采”外网门户（https://ec.picc.com/）</w:t>
      </w:r>
      <w:r>
        <w:rPr>
          <w:rFonts w:hint="eastAsia" w:ascii="仿宋" w:hAnsi="仿宋" w:eastAsia="仿宋" w:cs="宋体"/>
          <w:color w:val="000000" w:themeColor="text1"/>
          <w:sz w:val="24"/>
          <w:highlight w:val="none"/>
          <w:u w:val="single"/>
          <w:lang w:val="en-US" w:eastAsia="zh-CN"/>
          <w14:textFill>
            <w14:solidFill>
              <w14:schemeClr w14:val="tx1"/>
            </w14:solidFill>
          </w14:textFill>
        </w:rPr>
        <w:t>报名参加并</w:t>
      </w:r>
      <w:r>
        <w:rPr>
          <w:rFonts w:hint="eastAsia" w:ascii="仿宋" w:hAnsi="仿宋" w:eastAsia="仿宋" w:cs="宋体"/>
          <w:color w:val="000000" w:themeColor="text1"/>
          <w:sz w:val="24"/>
          <w:highlight w:val="none"/>
          <w14:textFill>
            <w14:solidFill>
              <w14:schemeClr w14:val="tx1"/>
            </w14:solidFill>
          </w14:textFill>
        </w:rPr>
        <w:t>获取</w:t>
      </w:r>
      <w:r>
        <w:rPr>
          <w:rFonts w:hint="eastAsia" w:ascii="仿宋" w:hAnsi="仿宋" w:eastAsia="仿宋" w:cs="宋体"/>
          <w:color w:val="000000" w:themeColor="text1"/>
          <w:sz w:val="24"/>
          <w:highlight w:val="none"/>
          <w:lang w:val="en-US" w:eastAsia="zh-CN"/>
          <w14:textFill>
            <w14:solidFill>
              <w14:schemeClr w14:val="tx1"/>
            </w14:solidFill>
          </w14:textFill>
        </w:rPr>
        <w:t>比选</w:t>
      </w:r>
      <w:r>
        <w:rPr>
          <w:rFonts w:hint="eastAsia" w:ascii="仿宋" w:hAnsi="仿宋" w:eastAsia="仿宋" w:cs="宋体"/>
          <w:color w:val="000000" w:themeColor="text1"/>
          <w:sz w:val="24"/>
          <w:highlight w:val="none"/>
          <w14:textFill>
            <w14:solidFill>
              <w14:schemeClr w14:val="tx1"/>
            </w14:solidFill>
          </w14:textFill>
        </w:rPr>
        <w:t>文件</w:t>
      </w:r>
      <w:r>
        <w:rPr>
          <w:rFonts w:hint="eastAsia" w:ascii="仿宋" w:hAnsi="仿宋" w:eastAsia="仿宋" w:cs="仿宋_GB2312"/>
          <w:color w:val="000000" w:themeColor="text1"/>
          <w:sz w:val="24"/>
          <w:szCs w:val="24"/>
          <w:highlight w:val="none"/>
          <w14:textFill>
            <w14:solidFill>
              <w14:schemeClr w14:val="tx1"/>
            </w14:solidFill>
          </w14:textFill>
        </w:rPr>
        <w:t>。</w:t>
      </w:r>
      <w:r>
        <w:rPr>
          <w:rFonts w:hint="eastAsia" w:ascii="仿宋" w:hAnsi="仿宋" w:eastAsia="仿宋" w:cs="仿宋_GB2312"/>
          <w:color w:val="000000" w:themeColor="text1"/>
          <w:sz w:val="24"/>
          <w:szCs w:val="24"/>
          <w:highlight w:val="none"/>
          <w:lang w:val="en-US" w:eastAsia="zh-CN"/>
          <w14:textFill>
            <w14:solidFill>
              <w14:schemeClr w14:val="tx1"/>
            </w14:solidFill>
          </w14:textFill>
        </w:rPr>
        <w:t>具体报名方式详见附件。</w:t>
      </w:r>
    </w:p>
    <w:p>
      <w:pPr>
        <w:pStyle w:val="4"/>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bookmarkStart w:id="13" w:name="_Toc4885"/>
      <w:r>
        <w:rPr>
          <w:rFonts w:hint="eastAsia" w:ascii="仿宋" w:hAnsi="仿宋" w:eastAsia="仿宋" w:cs="仿宋"/>
          <w:color w:val="000000" w:themeColor="text1"/>
          <w:sz w:val="24"/>
          <w:szCs w:val="24"/>
          <w:highlight w:val="none"/>
          <w14:textFill>
            <w14:solidFill>
              <w14:schemeClr w14:val="tx1"/>
            </w14:solidFill>
          </w14:textFill>
        </w:rPr>
        <w:t>五、响应文件的递交</w:t>
      </w:r>
      <w:bookmarkEnd w:id="13"/>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ascii="仿宋" w:hAnsi="仿宋" w:eastAsia="仿宋" w:cs="宋体"/>
          <w:color w:val="000000" w:themeColor="text1"/>
          <w:sz w:val="24"/>
          <w:highlight w:val="none"/>
          <w14:textFill>
            <w14:solidFill>
              <w14:schemeClr w14:val="tx1"/>
            </w14:solidFill>
          </w14:textFill>
        </w:rPr>
        <w:t>5</w:t>
      </w:r>
      <w:r>
        <w:rPr>
          <w:rFonts w:hint="eastAsia" w:ascii="仿宋" w:hAnsi="仿宋" w:eastAsia="仿宋" w:cs="宋体"/>
          <w:color w:val="000000" w:themeColor="text1"/>
          <w:sz w:val="24"/>
          <w:highlight w:val="none"/>
          <w14:textFill>
            <w14:solidFill>
              <w14:schemeClr w14:val="tx1"/>
            </w14:solidFill>
          </w14:textFill>
        </w:rPr>
        <w:t>.1响应文件递交截止时间：</w:t>
      </w:r>
      <w:r>
        <w:rPr>
          <w:rFonts w:hint="eastAsia" w:ascii="仿宋" w:hAnsi="仿宋" w:eastAsia="仿宋" w:cs="宋体"/>
          <w:color w:val="000000" w:themeColor="text1"/>
          <w:sz w:val="24"/>
          <w:highlight w:val="none"/>
          <w:u w:val="single"/>
          <w14:textFill>
            <w14:solidFill>
              <w14:schemeClr w14:val="tx1"/>
            </w14:solidFill>
          </w14:textFill>
        </w:rPr>
        <w:t>20</w:t>
      </w:r>
      <w:r>
        <w:rPr>
          <w:rFonts w:hint="eastAsia" w:ascii="仿宋" w:hAnsi="仿宋" w:eastAsia="仿宋" w:cs="宋体"/>
          <w:color w:val="000000" w:themeColor="text1"/>
          <w:sz w:val="24"/>
          <w:highlight w:val="none"/>
          <w:u w:val="single"/>
          <w:lang w:val="en-US" w:eastAsia="zh-CN"/>
          <w14:textFill>
            <w14:solidFill>
              <w14:schemeClr w14:val="tx1"/>
            </w14:solidFill>
          </w14:textFill>
        </w:rPr>
        <w:t>26</w:t>
      </w:r>
      <w:r>
        <w:rPr>
          <w:rFonts w:hint="eastAsia" w:ascii="仿宋" w:hAnsi="仿宋" w:eastAsia="仿宋" w:cs="宋体"/>
          <w:color w:val="000000" w:themeColor="text1"/>
          <w:sz w:val="24"/>
          <w:highlight w:val="none"/>
          <w:u w:val="single"/>
          <w14:textFill>
            <w14:solidFill>
              <w14:schemeClr w14:val="tx1"/>
            </w14:solidFill>
          </w14:textFill>
        </w:rPr>
        <w:t>年</w:t>
      </w:r>
      <w:r>
        <w:rPr>
          <w:rFonts w:hint="eastAsia" w:ascii="仿宋" w:hAnsi="仿宋" w:eastAsia="仿宋" w:cs="宋体"/>
          <w:color w:val="000000" w:themeColor="text1"/>
          <w:sz w:val="24"/>
          <w:highlight w:val="none"/>
          <w:u w:val="single"/>
          <w:lang w:val="en-US" w:eastAsia="zh-CN"/>
          <w14:textFill>
            <w14:solidFill>
              <w14:schemeClr w14:val="tx1"/>
            </w14:solidFill>
          </w14:textFill>
        </w:rPr>
        <w:t>5</w:t>
      </w:r>
      <w:r>
        <w:rPr>
          <w:rFonts w:hint="eastAsia" w:ascii="仿宋" w:hAnsi="仿宋" w:eastAsia="仿宋" w:cs="宋体"/>
          <w:color w:val="000000" w:themeColor="text1"/>
          <w:sz w:val="24"/>
          <w:highlight w:val="none"/>
          <w:u w:val="single"/>
          <w14:textFill>
            <w14:solidFill>
              <w14:schemeClr w14:val="tx1"/>
            </w14:solidFill>
          </w14:textFill>
        </w:rPr>
        <w:t>月</w:t>
      </w:r>
      <w:r>
        <w:rPr>
          <w:rFonts w:hint="eastAsia" w:ascii="仿宋" w:hAnsi="仿宋" w:eastAsia="仿宋" w:cs="宋体"/>
          <w:color w:val="000000" w:themeColor="text1"/>
          <w:sz w:val="24"/>
          <w:highlight w:val="none"/>
          <w:u w:val="single"/>
          <w:lang w:val="en-US" w:eastAsia="zh-CN"/>
          <w14:textFill>
            <w14:solidFill>
              <w14:schemeClr w14:val="tx1"/>
            </w14:solidFill>
          </w14:textFill>
        </w:rPr>
        <w:t>29</w:t>
      </w:r>
      <w:r>
        <w:rPr>
          <w:rFonts w:hint="eastAsia" w:ascii="仿宋" w:hAnsi="仿宋" w:eastAsia="仿宋" w:cs="宋体"/>
          <w:color w:val="000000" w:themeColor="text1"/>
          <w:sz w:val="24"/>
          <w:highlight w:val="none"/>
          <w:u w:val="single"/>
          <w14:textFill>
            <w14:solidFill>
              <w14:schemeClr w14:val="tx1"/>
            </w14:solidFill>
          </w14:textFill>
        </w:rPr>
        <w:t>日</w:t>
      </w:r>
      <w:r>
        <w:rPr>
          <w:rFonts w:hint="eastAsia" w:ascii="仿宋" w:hAnsi="仿宋" w:eastAsia="仿宋" w:cs="宋体"/>
          <w:color w:val="000000" w:themeColor="text1"/>
          <w:sz w:val="24"/>
          <w:highlight w:val="none"/>
          <w:u w:val="single"/>
          <w:lang w:val="en-US" w:eastAsia="zh-CN"/>
          <w14:textFill>
            <w14:solidFill>
              <w14:schemeClr w14:val="tx1"/>
            </w14:solidFill>
          </w14:textFill>
        </w:rPr>
        <w:t>9</w:t>
      </w:r>
      <w:r>
        <w:rPr>
          <w:rFonts w:hint="eastAsia" w:ascii="仿宋" w:hAnsi="仿宋" w:eastAsia="仿宋" w:cs="宋体"/>
          <w:color w:val="000000" w:themeColor="text1"/>
          <w:sz w:val="24"/>
          <w:highlight w:val="none"/>
          <w:u w:val="single"/>
          <w14:textFill>
            <w14:solidFill>
              <w14:schemeClr w14:val="tx1"/>
            </w14:solidFill>
          </w14:textFill>
        </w:rPr>
        <w:t>时</w:t>
      </w:r>
      <w:r>
        <w:rPr>
          <w:rFonts w:hint="eastAsia" w:ascii="仿宋" w:hAnsi="仿宋" w:eastAsia="仿宋" w:cs="宋体"/>
          <w:color w:val="000000" w:themeColor="text1"/>
          <w:sz w:val="24"/>
          <w:highlight w:val="none"/>
          <w:u w:val="single"/>
          <w:lang w:val="en-US" w:eastAsia="zh-CN"/>
          <w14:textFill>
            <w14:solidFill>
              <w14:schemeClr w14:val="tx1"/>
            </w14:solidFill>
          </w14:textFill>
        </w:rPr>
        <w:t>00</w:t>
      </w:r>
      <w:r>
        <w:rPr>
          <w:rFonts w:hint="eastAsia" w:ascii="仿宋" w:hAnsi="仿宋" w:eastAsia="仿宋" w:cs="宋体"/>
          <w:color w:val="000000" w:themeColor="text1"/>
          <w:sz w:val="24"/>
          <w:highlight w:val="none"/>
          <w:u w:val="single"/>
          <w14:textFill>
            <w14:solidFill>
              <w14:schemeClr w14:val="tx1"/>
            </w14:solidFill>
          </w14:textFill>
        </w:rPr>
        <w:t>分00秒</w:t>
      </w:r>
      <w:r>
        <w:rPr>
          <w:rFonts w:hint="eastAsia" w:ascii="仿宋" w:hAnsi="仿宋" w:eastAsia="仿宋" w:cs="宋体"/>
          <w:color w:val="000000" w:themeColor="text1"/>
          <w:sz w:val="24"/>
          <w:highlight w:val="none"/>
          <w14:textFill>
            <w14:solidFill>
              <w14:schemeClr w14:val="tx1"/>
            </w14:solidFill>
          </w14:textFill>
        </w:rPr>
        <w:t>。</w:t>
      </w:r>
    </w:p>
    <w:p>
      <w:pPr>
        <w:spacing w:line="360" w:lineRule="auto"/>
        <w:ind w:firstLine="480" w:firstLineChars="200"/>
        <w:jc w:val="left"/>
        <w:textAlignment w:val="baseline"/>
        <w:rPr>
          <w:rFonts w:hint="eastAsia"/>
          <w:color w:val="000000" w:themeColor="text1"/>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5.2响应文件的递交：须现场递交，</w:t>
      </w:r>
      <w:r>
        <w:rPr>
          <w:rFonts w:hint="eastAsia" w:ascii="仿宋" w:hAnsi="仿宋" w:eastAsia="仿宋" w:cs="宋体"/>
          <w:b/>
          <w:bCs/>
          <w:color w:val="000000" w:themeColor="text1"/>
          <w:sz w:val="24"/>
          <w:highlight w:val="none"/>
          <w14:textFill>
            <w14:solidFill>
              <w14:schemeClr w14:val="tx1"/>
            </w14:solidFill>
          </w14:textFill>
        </w:rPr>
        <w:t>逾期送达或者未送达指定地点或者未按照</w:t>
      </w:r>
      <w:r>
        <w:rPr>
          <w:rFonts w:hint="eastAsia" w:ascii="仿宋" w:hAnsi="仿宋" w:eastAsia="仿宋" w:cs="宋体"/>
          <w:b/>
          <w:bCs/>
          <w:color w:val="000000" w:themeColor="text1"/>
          <w:sz w:val="24"/>
          <w:highlight w:val="none"/>
          <w:lang w:eastAsia="zh-CN"/>
          <w14:textFill>
            <w14:solidFill>
              <w14:schemeClr w14:val="tx1"/>
            </w14:solidFill>
          </w14:textFill>
        </w:rPr>
        <w:t>比选</w:t>
      </w:r>
      <w:r>
        <w:rPr>
          <w:rFonts w:hint="eastAsia" w:ascii="仿宋" w:hAnsi="仿宋" w:eastAsia="仿宋" w:cs="宋体"/>
          <w:b/>
          <w:bCs/>
          <w:color w:val="000000" w:themeColor="text1"/>
          <w:sz w:val="24"/>
          <w:highlight w:val="none"/>
          <w14:textFill>
            <w14:solidFill>
              <w14:schemeClr w14:val="tx1"/>
            </w14:solidFill>
          </w14:textFill>
        </w:rPr>
        <w:t>文件要求封装的纸质响应文件不予接收。</w:t>
      </w:r>
    </w:p>
    <w:p>
      <w:pPr>
        <w:spacing w:line="360" w:lineRule="auto"/>
        <w:ind w:firstLine="480" w:firstLineChars="200"/>
        <w:textAlignment w:val="baseline"/>
        <w:rPr>
          <w:rFonts w:hint="eastAsia" w:ascii="仿宋" w:hAnsi="仿宋" w:eastAsia="仿宋"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宋体"/>
          <w:b w:val="0"/>
          <w:color w:val="000000" w:themeColor="text1"/>
          <w:kern w:val="2"/>
          <w:sz w:val="24"/>
          <w:szCs w:val="24"/>
          <w:highlight w:val="none"/>
          <w:lang w:val="en-US" w:eastAsia="zh-CN" w:bidi="ar-SA"/>
          <w14:textFill>
            <w14:solidFill>
              <w14:schemeClr w14:val="tx1"/>
            </w14:solidFill>
          </w14:textFill>
        </w:rPr>
        <w:t>5.3</w:t>
      </w:r>
      <w:r>
        <w:rPr>
          <w:rFonts w:hint="eastAsia" w:ascii="仿宋" w:hAnsi="仿宋" w:eastAsia="仿宋" w:cs="宋体"/>
          <w:b w:val="0"/>
          <w:bCs w:val="0"/>
          <w:color w:val="000000" w:themeColor="text1"/>
          <w:kern w:val="2"/>
          <w:sz w:val="24"/>
          <w:szCs w:val="24"/>
          <w:highlight w:val="none"/>
          <w:lang w:val="en-US" w:eastAsia="zh-CN" w:bidi="ar-SA"/>
          <w14:textFill>
            <w14:solidFill>
              <w14:schemeClr w14:val="tx1"/>
            </w14:solidFill>
          </w14:textFill>
        </w:rPr>
        <w:t>本项目将于上述同一时间、地点进行比选，采购人邀请供应商代表准时参加。</w:t>
      </w:r>
    </w:p>
    <w:p>
      <w:pPr>
        <w:spacing w:line="360" w:lineRule="auto"/>
        <w:ind w:firstLine="480" w:firstLineChars="200"/>
        <w:textAlignment w:val="baseline"/>
        <w:rPr>
          <w:rFonts w:hint="eastAsia" w:ascii="仿宋" w:hAnsi="仿宋" w:eastAsia="仿宋" w:cs="宋体"/>
          <w:b/>
          <w:bCs/>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宋体"/>
          <w:b w:val="0"/>
          <w:color w:val="000000" w:themeColor="text1"/>
          <w:kern w:val="2"/>
          <w:sz w:val="24"/>
          <w:szCs w:val="24"/>
          <w:highlight w:val="none"/>
          <w:lang w:val="en-US" w:eastAsia="zh-CN" w:bidi="ar-SA"/>
          <w14:textFill>
            <w14:solidFill>
              <w14:schemeClr w14:val="tx1"/>
            </w14:solidFill>
          </w14:textFill>
        </w:rPr>
        <w:t>5.4</w:t>
      </w:r>
      <w:r>
        <w:rPr>
          <w:rFonts w:hint="eastAsia" w:ascii="仿宋" w:hAnsi="仿宋" w:eastAsia="仿宋" w:cs="宋体"/>
          <w:b/>
          <w:bCs/>
          <w:color w:val="000000" w:themeColor="text1"/>
          <w:kern w:val="2"/>
          <w:sz w:val="24"/>
          <w:szCs w:val="24"/>
          <w:highlight w:val="none"/>
          <w:lang w:val="en-US" w:eastAsia="zh-CN" w:bidi="ar-SA"/>
          <w14:textFill>
            <w14:solidFill>
              <w14:schemeClr w14:val="tx1"/>
            </w14:solidFill>
          </w14:textFill>
        </w:rPr>
        <w:t>出现以下情形之一时，采购人不予接收投标文件：</w:t>
      </w:r>
    </w:p>
    <w:p>
      <w:pPr>
        <w:spacing w:line="360" w:lineRule="auto"/>
        <w:ind w:firstLine="480" w:firstLineChars="200"/>
        <w:textAlignment w:val="baseline"/>
        <w:rPr>
          <w:rFonts w:hint="eastAsia" w:ascii="仿宋" w:hAnsi="仿宋" w:eastAsia="仿宋" w:cs="宋体"/>
          <w:b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宋体"/>
          <w:b w:val="0"/>
          <w:color w:val="000000" w:themeColor="text1"/>
          <w:kern w:val="2"/>
          <w:sz w:val="24"/>
          <w:szCs w:val="24"/>
          <w:highlight w:val="none"/>
          <w:lang w:val="en-US" w:eastAsia="zh-CN" w:bidi="ar-SA"/>
          <w14:textFill>
            <w14:solidFill>
              <w14:schemeClr w14:val="tx1"/>
            </w14:solidFill>
          </w14:textFill>
        </w:rPr>
        <w:t>5.4.1  逾期送达或者未送达指定地点的；</w:t>
      </w:r>
    </w:p>
    <w:p>
      <w:pPr>
        <w:spacing w:line="360" w:lineRule="auto"/>
        <w:ind w:firstLine="480" w:firstLineChars="200"/>
        <w:textAlignment w:val="baseline"/>
        <w:rPr>
          <w:rFonts w:hint="eastAsia" w:ascii="仿宋" w:hAnsi="仿宋" w:eastAsia="仿宋" w:cs="宋体"/>
          <w:b w:val="0"/>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宋体"/>
          <w:b w:val="0"/>
          <w:color w:val="000000" w:themeColor="text1"/>
          <w:kern w:val="2"/>
          <w:sz w:val="24"/>
          <w:szCs w:val="24"/>
          <w:highlight w:val="none"/>
          <w:lang w:val="en-US" w:eastAsia="zh-CN" w:bidi="ar-SA"/>
          <w14:textFill>
            <w14:solidFill>
              <w14:schemeClr w14:val="tx1"/>
            </w14:solidFill>
          </w14:textFill>
        </w:rPr>
        <w:t>5.4.2  未按照响应文件要求密封的；</w:t>
      </w:r>
    </w:p>
    <w:p>
      <w:pPr>
        <w:spacing w:line="360" w:lineRule="auto"/>
        <w:ind w:firstLine="480" w:firstLineChars="200"/>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b w:val="0"/>
          <w:color w:val="000000" w:themeColor="text1"/>
          <w:kern w:val="2"/>
          <w:sz w:val="24"/>
          <w:szCs w:val="24"/>
          <w:highlight w:val="none"/>
          <w:lang w:val="en-US" w:eastAsia="zh-CN" w:bidi="ar-SA"/>
          <w14:textFill>
            <w14:solidFill>
              <w14:schemeClr w14:val="tx1"/>
            </w14:solidFill>
          </w14:textFill>
        </w:rPr>
        <w:t>5.4.3  未按照比选公告要求获取比选文件的。</w:t>
      </w:r>
    </w:p>
    <w:p>
      <w:pPr>
        <w:pStyle w:val="4"/>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bookmarkStart w:id="14" w:name="_Toc12194"/>
      <w:r>
        <w:rPr>
          <w:rFonts w:hint="eastAsia" w:ascii="仿宋" w:hAnsi="仿宋" w:eastAsia="仿宋" w:cs="仿宋"/>
          <w:color w:val="000000" w:themeColor="text1"/>
          <w:sz w:val="24"/>
          <w:szCs w:val="24"/>
          <w:highlight w:val="none"/>
          <w:lang w:val="en-US" w:eastAsia="zh-CN"/>
          <w14:textFill>
            <w14:solidFill>
              <w14:schemeClr w14:val="tx1"/>
            </w14:solidFill>
          </w14:textFill>
        </w:rPr>
        <w:t>六</w:t>
      </w:r>
      <w:r>
        <w:rPr>
          <w:rFonts w:hint="eastAsia" w:ascii="仿宋" w:hAnsi="仿宋" w:eastAsia="仿宋" w:cs="仿宋"/>
          <w:color w:val="000000" w:themeColor="text1"/>
          <w:sz w:val="24"/>
          <w:szCs w:val="24"/>
          <w:highlight w:val="none"/>
          <w14:textFill>
            <w14:solidFill>
              <w14:schemeClr w14:val="tx1"/>
            </w14:solidFill>
          </w14:textFill>
        </w:rPr>
        <w:t>、发布公告的媒介</w:t>
      </w:r>
      <w:bookmarkEnd w:id="14"/>
    </w:p>
    <w:p>
      <w:pPr>
        <w:spacing w:line="360" w:lineRule="auto"/>
        <w:ind w:firstLine="480" w:firstLineChars="200"/>
        <w:textAlignment w:val="baseline"/>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本项目</w:t>
      </w:r>
      <w:r>
        <w:rPr>
          <w:rFonts w:hint="eastAsia" w:ascii="仿宋" w:hAnsi="仿宋" w:eastAsia="仿宋" w:cs="仿宋"/>
          <w:color w:val="000000" w:themeColor="text1"/>
          <w:sz w:val="24"/>
          <w:highlight w:val="none"/>
          <w:lang w:eastAsia="zh-CN"/>
          <w14:textFill>
            <w14:solidFill>
              <w14:schemeClr w14:val="tx1"/>
            </w14:solidFill>
          </w14:textFill>
        </w:rPr>
        <w:t>比选</w:t>
      </w:r>
      <w:r>
        <w:rPr>
          <w:rFonts w:hint="eastAsia" w:ascii="仿宋" w:hAnsi="仿宋" w:eastAsia="仿宋" w:cs="仿宋"/>
          <w:color w:val="000000" w:themeColor="text1"/>
          <w:sz w:val="24"/>
          <w:highlight w:val="none"/>
          <w14:textFill>
            <w14:solidFill>
              <w14:schemeClr w14:val="tx1"/>
            </w14:solidFill>
          </w14:textFill>
        </w:rPr>
        <w:t>公告在</w:t>
      </w:r>
      <w:r>
        <w:rPr>
          <w:rFonts w:hint="eastAsia" w:ascii="仿宋" w:hAnsi="仿宋" w:eastAsia="仿宋" w:cs="宋体"/>
          <w:color w:val="000000" w:themeColor="text1"/>
          <w:sz w:val="24"/>
          <w:highlight w:val="none"/>
          <w:u w:val="single"/>
          <w14:textFill>
            <w14:solidFill>
              <w14:schemeClr w14:val="tx1"/>
            </w14:solidFill>
          </w14:textFill>
        </w:rPr>
        <w:t>“人保e采”外网门户（https://ec.picc.com/）</w:t>
      </w:r>
      <w:r>
        <w:rPr>
          <w:rFonts w:hint="eastAsia" w:ascii="仿宋" w:hAnsi="仿宋" w:eastAsia="仿宋" w:cs="仿宋"/>
          <w:color w:val="000000" w:themeColor="text1"/>
          <w:sz w:val="24"/>
          <w:highlight w:val="none"/>
          <w14:textFill>
            <w14:solidFill>
              <w14:schemeClr w14:val="tx1"/>
            </w14:solidFill>
          </w14:textFill>
        </w:rPr>
        <w:t>上发布，</w:t>
      </w:r>
      <w:r>
        <w:rPr>
          <w:rFonts w:hint="eastAsia" w:ascii="仿宋" w:hAnsi="仿宋" w:eastAsia="仿宋" w:cs="宋体"/>
          <w:color w:val="000000" w:themeColor="text1"/>
          <w:sz w:val="24"/>
          <w:highlight w:val="none"/>
          <w14:textFill>
            <w14:solidFill>
              <w14:schemeClr w14:val="tx1"/>
            </w14:solidFill>
          </w14:textFill>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000000" w:themeColor="text1"/>
          <w:sz w:val="24"/>
          <w:highlight w:val="none"/>
          <w14:textFill>
            <w14:solidFill>
              <w14:schemeClr w14:val="tx1"/>
            </w14:solidFill>
          </w14:textFill>
        </w:rPr>
        <w:t>。对于非法转载、篡改采购公告信息的组织或个人，采购人保留追究其法律责任的权利。</w:t>
      </w:r>
    </w:p>
    <w:p>
      <w:pPr>
        <w:pStyle w:val="4"/>
        <w:ind w:firstLine="0" w:firstLineChars="0"/>
        <w:jc w:val="left"/>
        <w:rPr>
          <w:rFonts w:hint="eastAsia" w:ascii="仿宋" w:hAnsi="仿宋" w:eastAsia="仿宋" w:cs="仿宋"/>
          <w:color w:val="000000" w:themeColor="text1"/>
          <w:sz w:val="24"/>
          <w:szCs w:val="24"/>
          <w:highlight w:val="none"/>
          <w14:textFill>
            <w14:solidFill>
              <w14:schemeClr w14:val="tx1"/>
            </w14:solidFill>
          </w14:textFill>
        </w:rPr>
      </w:pPr>
      <w:bookmarkStart w:id="15" w:name="_Toc8431"/>
      <w:r>
        <w:rPr>
          <w:rFonts w:hint="eastAsia" w:ascii="仿宋" w:hAnsi="仿宋" w:eastAsia="仿宋" w:cs="仿宋"/>
          <w:color w:val="000000" w:themeColor="text1"/>
          <w:sz w:val="24"/>
          <w:szCs w:val="24"/>
          <w:highlight w:val="none"/>
          <w:lang w:val="en-US" w:eastAsia="zh-CN"/>
          <w14:textFill>
            <w14:solidFill>
              <w14:schemeClr w14:val="tx1"/>
            </w14:solidFill>
          </w14:textFill>
        </w:rPr>
        <w:t>七</w:t>
      </w:r>
      <w:r>
        <w:rPr>
          <w:rFonts w:hint="eastAsia" w:ascii="仿宋" w:hAnsi="仿宋" w:eastAsia="仿宋" w:cs="仿宋"/>
          <w:color w:val="000000" w:themeColor="text1"/>
          <w:sz w:val="24"/>
          <w:szCs w:val="24"/>
          <w:highlight w:val="none"/>
          <w14:textFill>
            <w14:solidFill>
              <w14:schemeClr w14:val="tx1"/>
            </w14:solidFill>
          </w14:textFill>
        </w:rPr>
        <w:t>、联系方式</w:t>
      </w:r>
      <w:bookmarkEnd w:id="15"/>
    </w:p>
    <w:p>
      <w:pPr>
        <w:tabs>
          <w:tab w:val="left" w:pos="-105"/>
          <w:tab w:val="left" w:pos="420"/>
          <w:tab w:val="left" w:pos="630"/>
          <w:tab w:val="left" w:pos="1155"/>
          <w:tab w:val="left" w:pos="1890"/>
          <w:tab w:val="left" w:pos="3150"/>
          <w:tab w:val="left" w:pos="3780"/>
        </w:tabs>
        <w:spacing w:line="360" w:lineRule="auto"/>
        <w:ind w:firstLine="422" w:firstLineChars="175"/>
        <w:jc w:val="lef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采购人：中国人民财产保险股份有限公司</w:t>
      </w:r>
      <w:r>
        <w:rPr>
          <w:rFonts w:hint="eastAsia" w:ascii="仿宋" w:hAnsi="仿宋" w:eastAsia="仿宋" w:cs="仿宋"/>
          <w:b/>
          <w:bCs/>
          <w:color w:val="000000" w:themeColor="text1"/>
          <w:sz w:val="24"/>
          <w:highlight w:val="none"/>
          <w:lang w:val="en-US" w:eastAsia="zh-CN"/>
          <w14:textFill>
            <w14:solidFill>
              <w14:schemeClr w14:val="tx1"/>
            </w14:solidFill>
          </w14:textFill>
        </w:rPr>
        <w:t>吉林省</w:t>
      </w:r>
      <w:r>
        <w:rPr>
          <w:rFonts w:hint="eastAsia" w:ascii="仿宋" w:hAnsi="仿宋" w:eastAsia="仿宋" w:cs="仿宋"/>
          <w:b/>
          <w:bCs/>
          <w:color w:val="000000" w:themeColor="text1"/>
          <w:sz w:val="24"/>
          <w:highlight w:val="none"/>
          <w14:textFill>
            <w14:solidFill>
              <w14:schemeClr w14:val="tx1"/>
            </w14:solidFill>
          </w14:textFill>
        </w:rPr>
        <w:t>分公司</w:t>
      </w:r>
    </w:p>
    <w:p>
      <w:pPr>
        <w:spacing w:line="360" w:lineRule="auto"/>
        <w:ind w:firstLine="420" w:firstLineChars="175"/>
        <w:jc w:val="left"/>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地址：</w:t>
      </w:r>
      <w:r>
        <w:rPr>
          <w:rFonts w:hint="eastAsia" w:ascii="仿宋" w:hAnsi="仿宋" w:eastAsia="仿宋" w:cs="仿宋"/>
          <w:color w:val="000000" w:themeColor="text1"/>
          <w:sz w:val="24"/>
          <w:highlight w:val="none"/>
          <w:lang w:val="en-US" w:eastAsia="zh-CN"/>
          <w14:textFill>
            <w14:solidFill>
              <w14:schemeClr w14:val="tx1"/>
            </w14:solidFill>
          </w14:textFill>
        </w:rPr>
        <w:t>吉林省长春市西安大路402号保险大厦</w:t>
      </w:r>
    </w:p>
    <w:p>
      <w:pPr>
        <w:spacing w:line="360" w:lineRule="auto"/>
        <w:ind w:firstLine="480" w:firstLineChars="200"/>
        <w:jc w:val="right"/>
        <w:textAlignment w:val="baseline"/>
        <w:rPr>
          <w:rFonts w:hint="eastAsia" w:ascii="仿宋" w:hAnsi="仿宋" w:eastAsia="仿宋" w:cs="宋体"/>
          <w:color w:val="000000" w:themeColor="text1"/>
          <w:sz w:val="24"/>
          <w:highlight w:val="none"/>
          <w14:textFill>
            <w14:solidFill>
              <w14:schemeClr w14:val="tx1"/>
            </w14:solidFill>
          </w14:textFill>
        </w:rPr>
      </w:pPr>
    </w:p>
    <w:p>
      <w:pPr>
        <w:spacing w:line="360" w:lineRule="auto"/>
        <w:ind w:firstLine="480" w:firstLineChars="200"/>
        <w:jc w:val="right"/>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采购人：中国人民财产保险股份有限公司</w:t>
      </w:r>
      <w:r>
        <w:rPr>
          <w:rFonts w:hint="eastAsia" w:ascii="仿宋" w:hAnsi="仿宋" w:eastAsia="仿宋" w:cs="宋体"/>
          <w:color w:val="000000" w:themeColor="text1"/>
          <w:sz w:val="24"/>
          <w:highlight w:val="none"/>
          <w:lang w:val="en-US" w:eastAsia="zh-CN"/>
          <w14:textFill>
            <w14:solidFill>
              <w14:schemeClr w14:val="tx1"/>
            </w14:solidFill>
          </w14:textFill>
        </w:rPr>
        <w:t>吉林省</w:t>
      </w:r>
      <w:r>
        <w:rPr>
          <w:rFonts w:hint="eastAsia" w:ascii="仿宋" w:hAnsi="仿宋" w:eastAsia="仿宋" w:cs="宋体"/>
          <w:color w:val="000000" w:themeColor="text1"/>
          <w:sz w:val="24"/>
          <w:highlight w:val="none"/>
          <w14:textFill>
            <w14:solidFill>
              <w14:schemeClr w14:val="tx1"/>
            </w14:solidFill>
          </w14:textFill>
        </w:rPr>
        <w:t>分公司</w:t>
      </w:r>
    </w:p>
    <w:p>
      <w:pPr>
        <w:spacing w:line="360" w:lineRule="auto"/>
        <w:ind w:firstLine="480" w:firstLineChars="200"/>
        <w:jc w:val="right"/>
        <w:textAlignment w:val="baseline"/>
        <w:rPr>
          <w:color w:val="000000" w:themeColor="text1"/>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202</w:t>
      </w:r>
      <w:r>
        <w:rPr>
          <w:rFonts w:hint="eastAsia" w:ascii="仿宋" w:hAnsi="仿宋" w:eastAsia="仿宋" w:cs="宋体"/>
          <w:color w:val="000000" w:themeColor="text1"/>
          <w:sz w:val="24"/>
          <w:highlight w:val="none"/>
          <w:lang w:val="en-US" w:eastAsia="zh-CN"/>
          <w14:textFill>
            <w14:solidFill>
              <w14:schemeClr w14:val="tx1"/>
            </w14:solidFill>
          </w14:textFill>
        </w:rPr>
        <w:t>6</w:t>
      </w:r>
      <w:r>
        <w:rPr>
          <w:rFonts w:hint="eastAsia" w:ascii="仿宋" w:hAnsi="仿宋" w:eastAsia="仿宋" w:cs="宋体"/>
          <w:color w:val="000000" w:themeColor="text1"/>
          <w:sz w:val="24"/>
          <w:highlight w:val="none"/>
          <w14:textFill>
            <w14:solidFill>
              <w14:schemeClr w14:val="tx1"/>
            </w14:solidFill>
          </w14:textFill>
        </w:rPr>
        <w:t>年</w:t>
      </w:r>
      <w:r>
        <w:rPr>
          <w:rFonts w:hint="eastAsia" w:ascii="仿宋" w:hAnsi="仿宋" w:eastAsia="仿宋" w:cs="宋体"/>
          <w:color w:val="000000" w:themeColor="text1"/>
          <w:sz w:val="24"/>
          <w:highlight w:val="none"/>
          <w:lang w:val="en-US" w:eastAsia="zh-CN"/>
          <w14:textFill>
            <w14:solidFill>
              <w14:schemeClr w14:val="tx1"/>
            </w14:solidFill>
          </w14:textFill>
        </w:rPr>
        <w:t>5</w:t>
      </w:r>
      <w:r>
        <w:rPr>
          <w:rFonts w:hint="eastAsia" w:ascii="仿宋" w:hAnsi="仿宋" w:eastAsia="仿宋" w:cs="宋体"/>
          <w:color w:val="000000" w:themeColor="text1"/>
          <w:sz w:val="24"/>
          <w:highlight w:val="none"/>
          <w14:textFill>
            <w14:solidFill>
              <w14:schemeClr w14:val="tx1"/>
            </w14:solidFill>
          </w14:textFill>
        </w:rPr>
        <w:t>月</w:t>
      </w:r>
      <w:r>
        <w:rPr>
          <w:rFonts w:hint="eastAsia" w:ascii="仿宋" w:hAnsi="仿宋" w:eastAsia="仿宋" w:cs="宋体"/>
          <w:color w:val="000000" w:themeColor="text1"/>
          <w:sz w:val="24"/>
          <w:highlight w:val="none"/>
          <w:lang w:val="en-US" w:eastAsia="zh-CN"/>
          <w14:textFill>
            <w14:solidFill>
              <w14:schemeClr w14:val="tx1"/>
            </w14:solidFill>
          </w14:textFill>
        </w:rPr>
        <w:t>20</w:t>
      </w:r>
      <w:r>
        <w:rPr>
          <w:rFonts w:hint="eastAsia" w:ascii="仿宋" w:hAnsi="仿宋" w:eastAsia="仿宋" w:cs="宋体"/>
          <w:color w:val="000000" w:themeColor="text1"/>
          <w:sz w:val="24"/>
          <w:highlight w:val="none"/>
          <w14:textFill>
            <w14:solidFill>
              <w14:schemeClr w14:val="tx1"/>
            </w14:solidFill>
          </w14:textFill>
        </w:rPr>
        <w:t>日</w:t>
      </w:r>
    </w:p>
    <w:bookmarkEnd w:id="2"/>
    <w:bookmarkEnd w:id="3"/>
    <w:bookmarkEnd w:id="4"/>
    <w:bookmarkEnd w:id="5"/>
    <w:bookmarkEnd w:id="6"/>
    <w:bookmarkEnd w:id="7"/>
    <w:bookmarkEnd w:id="8"/>
    <w:p>
      <w:pPr>
        <w:pStyle w:val="3"/>
        <w:spacing w:before="0" w:after="0" w:line="360" w:lineRule="auto"/>
        <w:jc w:val="center"/>
        <w:rPr>
          <w:rFonts w:hint="eastAsia" w:ascii="仿宋" w:hAnsi="仿宋" w:eastAsia="仿宋" w:cs="仿宋"/>
          <w:color w:val="000000"/>
          <w:sz w:val="28"/>
          <w:szCs w:val="28"/>
          <w:highlight w:val="none"/>
        </w:rPr>
      </w:pPr>
      <w:bookmarkStart w:id="16" w:name="_Toc444891334"/>
      <w:bookmarkStart w:id="17" w:name="_Toc2797"/>
      <w:bookmarkStart w:id="18" w:name="_Toc17103"/>
      <w:bookmarkStart w:id="19" w:name="_Toc1895"/>
      <w:bookmarkStart w:id="20" w:name="_Toc23165"/>
      <w:bookmarkStart w:id="21" w:name="_Toc517281814"/>
      <w:bookmarkStart w:id="22" w:name="_Toc287600116"/>
      <w:r>
        <w:rPr>
          <w:rFonts w:ascii="仿宋" w:hAnsi="仿宋" w:eastAsia="仿宋" w:cs="仿宋"/>
          <w:color w:val="000000"/>
          <w:sz w:val="28"/>
          <w:szCs w:val="28"/>
          <w:highlight w:val="none"/>
        </w:rPr>
        <w:br w:type="page"/>
      </w:r>
      <w:bookmarkStart w:id="23" w:name="_Toc29851"/>
      <w:r>
        <w:rPr>
          <w:rFonts w:hint="eastAsia" w:ascii="仿宋" w:hAnsi="仿宋" w:eastAsia="仿宋" w:cs="仿宋"/>
          <w:color w:val="000000"/>
          <w:sz w:val="28"/>
          <w:szCs w:val="28"/>
          <w:highlight w:val="none"/>
        </w:rPr>
        <w:t>第二章 供应商须知</w:t>
      </w:r>
      <w:bookmarkEnd w:id="16"/>
      <w:bookmarkEnd w:id="17"/>
      <w:bookmarkEnd w:id="18"/>
      <w:bookmarkEnd w:id="19"/>
      <w:bookmarkEnd w:id="20"/>
      <w:bookmarkEnd w:id="21"/>
      <w:bookmarkEnd w:id="22"/>
      <w:bookmarkEnd w:id="23"/>
    </w:p>
    <w:p>
      <w:pPr>
        <w:pStyle w:val="4"/>
        <w:ind w:firstLine="0" w:firstLineChars="0"/>
        <w:jc w:val="left"/>
        <w:rPr>
          <w:rFonts w:hint="eastAsia" w:ascii="仿宋" w:hAnsi="仿宋" w:eastAsia="仿宋" w:cs="仿宋"/>
          <w:color w:val="000000"/>
          <w:sz w:val="24"/>
          <w:szCs w:val="24"/>
          <w:highlight w:val="none"/>
        </w:rPr>
      </w:pPr>
      <w:bookmarkStart w:id="24" w:name="_Toc19855"/>
      <w:bookmarkStart w:id="25" w:name="_Toc19783312"/>
      <w:bookmarkStart w:id="26" w:name="_Toc29571"/>
      <w:bookmarkStart w:id="27" w:name="_Toc287600117"/>
      <w:bookmarkStart w:id="28" w:name="_Toc17721"/>
      <w:bookmarkStart w:id="29" w:name="_Toc444891335"/>
      <w:bookmarkStart w:id="30" w:name="_Toc517281815"/>
      <w:bookmarkStart w:id="31" w:name="_Toc32464"/>
      <w:bookmarkStart w:id="32" w:name="_Toc27353"/>
      <w:r>
        <w:rPr>
          <w:rFonts w:hint="eastAsia" w:ascii="仿宋" w:hAnsi="仿宋" w:eastAsia="仿宋" w:cs="仿宋"/>
          <w:color w:val="000000"/>
          <w:sz w:val="24"/>
          <w:szCs w:val="24"/>
          <w:highlight w:val="none"/>
        </w:rPr>
        <w:t>一、供应商须知前附表</w:t>
      </w:r>
      <w:bookmarkEnd w:id="24"/>
      <w:bookmarkEnd w:id="25"/>
      <w:bookmarkEnd w:id="26"/>
      <w:bookmarkEnd w:id="27"/>
      <w:bookmarkEnd w:id="28"/>
      <w:bookmarkEnd w:id="29"/>
      <w:bookmarkEnd w:id="30"/>
      <w:bookmarkEnd w:id="31"/>
      <w:bookmarkEnd w:id="32"/>
    </w:p>
    <w:p>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本须知前附表是对供应商须知正文的具体补充和修改，如有矛盾，以本前附表为准。</w:t>
      </w:r>
    </w:p>
    <w:tbl>
      <w:tblPr>
        <w:tblStyle w:val="40"/>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949"/>
        <w:gridCol w:w="1822"/>
        <w:gridCol w:w="7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69" w:hRule="atLeast"/>
          <w:tblHeader/>
          <w:jc w:val="center"/>
        </w:trPr>
        <w:tc>
          <w:tcPr>
            <w:tcW w:w="483" w:type="pct"/>
            <w:noWrap w:val="0"/>
            <w:vAlign w:val="center"/>
          </w:tcPr>
          <w:p>
            <w:pPr>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条款号</w:t>
            </w:r>
          </w:p>
        </w:tc>
        <w:tc>
          <w:tcPr>
            <w:tcW w:w="927" w:type="pct"/>
            <w:noWrap w:val="0"/>
            <w:vAlign w:val="center"/>
          </w:tcPr>
          <w:p>
            <w:pPr>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条款名称</w:t>
            </w:r>
          </w:p>
        </w:tc>
        <w:tc>
          <w:tcPr>
            <w:tcW w:w="3589" w:type="pct"/>
            <w:noWrap w:val="0"/>
            <w:vAlign w:val="center"/>
          </w:tcPr>
          <w:p>
            <w:pPr>
              <w:tabs>
                <w:tab w:val="left" w:pos="1180"/>
              </w:tabs>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采购范围</w:t>
            </w:r>
          </w:p>
        </w:tc>
        <w:tc>
          <w:tcPr>
            <w:tcW w:w="3589" w:type="pct"/>
            <w:noWrap w:val="0"/>
            <w:vAlign w:val="center"/>
          </w:tcPr>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 xml:space="preserve">第一章 </w:t>
            </w:r>
            <w:r>
              <w:rPr>
                <w:rFonts w:hint="eastAsia" w:ascii="仿宋" w:hAnsi="仿宋" w:eastAsia="仿宋" w:cs="仿宋"/>
                <w:color w:val="000000"/>
                <w:highlight w:val="none"/>
                <w:u w:val="single"/>
                <w:lang w:eastAsia="zh-CN"/>
              </w:rPr>
              <w:t>比选</w:t>
            </w:r>
            <w:r>
              <w:rPr>
                <w:rFonts w:hint="eastAsia" w:ascii="仿宋" w:hAnsi="仿宋" w:eastAsia="仿宋" w:cs="仿宋"/>
                <w:color w:val="000000"/>
                <w:highlight w:val="none"/>
                <w:u w:val="single"/>
              </w:rPr>
              <w:t>公告“一、项目概况与采购范围”</w:t>
            </w:r>
            <w:r>
              <w:rPr>
                <w:rFonts w:hint="eastAsia" w:ascii="仿宋" w:hAnsi="仿宋" w:eastAsia="仿宋" w:cs="仿宋"/>
                <w:color w:val="00000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资格审查方式及供应商应具备的资格条件</w:t>
            </w:r>
          </w:p>
        </w:tc>
        <w:tc>
          <w:tcPr>
            <w:tcW w:w="3589" w:type="pct"/>
            <w:noWrap w:val="0"/>
            <w:vAlign w:val="center"/>
          </w:tcPr>
          <w:p>
            <w:pPr>
              <w:pStyle w:val="139"/>
              <w:topLinePunct/>
              <w:spacing w:before="62" w:beforeLines="20" w:after="62" w:afterLines="20"/>
              <w:rPr>
                <w:rFonts w:hint="eastAsia" w:ascii="仿宋" w:hAnsi="仿宋" w:eastAsia="仿宋" w:cs="宋体"/>
                <w:color w:val="000000" w:themeColor="text1"/>
                <w:sz w:val="21"/>
                <w:szCs w:val="21"/>
                <w:highlight w:val="none"/>
                <w14:textFill>
                  <w14:solidFill>
                    <w14:schemeClr w14:val="tx1"/>
                  </w14:solidFill>
                </w14:textFill>
              </w:rPr>
            </w:pPr>
            <w:r>
              <w:rPr>
                <w:rFonts w:hint="eastAsia" w:ascii="仿宋" w:hAnsi="仿宋" w:eastAsia="仿宋" w:cs="宋体"/>
                <w:color w:val="000000" w:themeColor="text1"/>
                <w:sz w:val="21"/>
                <w:szCs w:val="21"/>
                <w:highlight w:val="none"/>
                <w14:textFill>
                  <w14:solidFill>
                    <w14:schemeClr w14:val="tx1"/>
                  </w14:solidFill>
                </w14:textFill>
              </w:rPr>
              <w:t>□资格预审</w:t>
            </w:r>
          </w:p>
          <w:p>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sym w:font="Wingdings 2" w:char="0052"/>
            </w:r>
            <w:r>
              <w:rPr>
                <w:rFonts w:hint="eastAsia" w:ascii="仿宋" w:hAnsi="仿宋" w:eastAsia="仿宋" w:cs="宋体"/>
                <w:color w:val="000000" w:themeColor="text1"/>
                <w:highlight w:val="none"/>
                <w14:textFill>
                  <w14:solidFill>
                    <w14:schemeClr w14:val="tx1"/>
                  </w14:solidFill>
                </w14:textFill>
              </w:rPr>
              <w:t>资格后审，</w:t>
            </w:r>
            <w:r>
              <w:rPr>
                <w:rFonts w:hint="eastAsia" w:ascii="仿宋" w:hAnsi="仿宋" w:eastAsia="仿宋" w:cs="仿宋"/>
                <w:color w:val="000000" w:themeColor="text1"/>
                <w:highlight w:val="none"/>
                <w14:textFill>
                  <w14:solidFill>
                    <w14:schemeClr w14:val="tx1"/>
                  </w14:solidFill>
                </w14:textFill>
              </w:rPr>
              <w:t>详见</w:t>
            </w:r>
            <w:r>
              <w:rPr>
                <w:rFonts w:hint="eastAsia" w:ascii="仿宋" w:hAnsi="仿宋" w:eastAsia="仿宋" w:cs="仿宋"/>
                <w:color w:val="000000" w:themeColor="text1"/>
                <w:highlight w:val="none"/>
                <w:u w:val="single"/>
                <w14:textFill>
                  <w14:solidFill>
                    <w14:schemeClr w14:val="tx1"/>
                  </w14:solidFill>
                </w14:textFill>
              </w:rPr>
              <w:t xml:space="preserve">第一章 </w:t>
            </w:r>
            <w:r>
              <w:rPr>
                <w:rFonts w:hint="eastAsia" w:ascii="仿宋" w:hAnsi="仿宋" w:eastAsia="仿宋" w:cs="仿宋"/>
                <w:color w:val="000000" w:themeColor="text1"/>
                <w:highlight w:val="none"/>
                <w:u w:val="single"/>
                <w:lang w:eastAsia="zh-CN"/>
                <w14:textFill>
                  <w14:solidFill>
                    <w14:schemeClr w14:val="tx1"/>
                  </w14:solidFill>
                </w14:textFill>
              </w:rPr>
              <w:t>比选</w:t>
            </w:r>
            <w:r>
              <w:rPr>
                <w:rFonts w:hint="eastAsia" w:ascii="仿宋" w:hAnsi="仿宋" w:eastAsia="仿宋" w:cs="仿宋"/>
                <w:color w:val="000000" w:themeColor="text1"/>
                <w:highlight w:val="none"/>
                <w:u w:val="single"/>
                <w14:textFill>
                  <w14:solidFill>
                    <w14:schemeClr w14:val="tx1"/>
                  </w14:solidFill>
                </w14:textFill>
              </w:rPr>
              <w:t>公告“二、供应商资格要求”</w:t>
            </w:r>
            <w:r>
              <w:rPr>
                <w:rFonts w:hint="eastAsia" w:ascii="仿宋" w:hAnsi="仿宋" w:eastAsia="仿宋" w:cs="仿宋"/>
                <w:color w:val="000000" w:themeColor="text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spacing w:before="62" w:beforeLines="20" w:after="62" w:afterLines="20" w:line="36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eastAsia="zh-CN"/>
                <w14:textFill>
                  <w14:solidFill>
                    <w14:schemeClr w14:val="tx1"/>
                  </w14:solidFill>
                </w14:textFill>
              </w:rPr>
              <w:t>比选</w:t>
            </w:r>
            <w:r>
              <w:rPr>
                <w:rFonts w:hint="eastAsia" w:ascii="仿宋" w:hAnsi="仿宋" w:eastAsia="仿宋" w:cs="仿宋"/>
                <w:color w:val="000000" w:themeColor="text1"/>
                <w:szCs w:val="21"/>
                <w:highlight w:val="none"/>
                <w14:textFill>
                  <w14:solidFill>
                    <w14:schemeClr w14:val="tx1"/>
                  </w14:solidFill>
                </w14:textFill>
              </w:rPr>
              <w:t>文件实质性要求的标识</w:t>
            </w:r>
          </w:p>
        </w:tc>
        <w:tc>
          <w:tcPr>
            <w:tcW w:w="3589" w:type="pct"/>
            <w:noWrap w:val="0"/>
            <w:vAlign w:val="center"/>
          </w:tcPr>
          <w:p>
            <w:pPr>
              <w:pStyle w:val="139"/>
              <w:topLinePunct/>
              <w:spacing w:before="62" w:beforeLines="20" w:after="62" w:afterLines="20" w:line="360" w:lineRule="auto"/>
              <w:rPr>
                <w:rFonts w:hint="eastAsia" w:ascii="仿宋" w:hAnsi="仿宋" w:eastAsia="仿宋" w:cs="Cambria Math"/>
                <w:b/>
                <w:color w:val="000000" w:themeColor="text1"/>
                <w:sz w:val="21"/>
                <w:szCs w:val="21"/>
                <w:highlight w:val="none"/>
                <w14:textFill>
                  <w14:solidFill>
                    <w14:schemeClr w14:val="tx1"/>
                  </w14:solidFill>
                </w14:textFill>
              </w:rPr>
            </w:pPr>
            <w:r>
              <w:rPr>
                <w:rFonts w:hint="eastAsia" w:ascii="仿宋" w:hAnsi="仿宋" w:eastAsia="仿宋" w:cs="Cambria Math"/>
                <w:color w:val="000000" w:themeColor="text1"/>
                <w:sz w:val="21"/>
                <w:szCs w:val="21"/>
                <w:highlight w:val="none"/>
                <w:u w:val="single"/>
                <w:lang w:eastAsia="zh-CN"/>
                <w14:textFill>
                  <w14:solidFill>
                    <w14:schemeClr w14:val="tx1"/>
                  </w14:solidFill>
                </w14:textFill>
              </w:rPr>
              <w:t>比选</w:t>
            </w:r>
            <w:r>
              <w:rPr>
                <w:rFonts w:hint="eastAsia" w:ascii="仿宋" w:hAnsi="仿宋" w:eastAsia="仿宋" w:cs="Cambria Math"/>
                <w:color w:val="000000" w:themeColor="text1"/>
                <w:sz w:val="21"/>
                <w:szCs w:val="21"/>
                <w:highlight w:val="none"/>
                <w:u w:val="single"/>
                <w14:textFill>
                  <w14:solidFill>
                    <w14:schemeClr w14:val="tx1"/>
                  </w14:solidFill>
                </w14:textFill>
              </w:rPr>
              <w:t>文件中标识“★”条款、注明“</w:t>
            </w:r>
            <w:r>
              <w:rPr>
                <w:rFonts w:hint="eastAsia" w:ascii="仿宋" w:hAnsi="仿宋" w:eastAsia="仿宋" w:cs="Cambria Math"/>
                <w:color w:val="000000" w:themeColor="text1"/>
                <w:sz w:val="21"/>
                <w:szCs w:val="21"/>
                <w:highlight w:val="none"/>
                <w:u w:val="single"/>
                <w:lang w:eastAsia="zh-CN"/>
                <w14:textFill>
                  <w14:solidFill>
                    <w14:schemeClr w14:val="tx1"/>
                  </w14:solidFill>
                </w14:textFill>
              </w:rPr>
              <w:t>比选</w:t>
            </w:r>
            <w:r>
              <w:rPr>
                <w:rFonts w:hint="eastAsia" w:ascii="仿宋" w:hAnsi="仿宋" w:eastAsia="仿宋" w:cs="Cambria Math"/>
                <w:color w:val="000000" w:themeColor="text1"/>
                <w:sz w:val="21"/>
                <w:szCs w:val="21"/>
                <w:highlight w:val="none"/>
                <w:u w:val="single"/>
                <w14:textFill>
                  <w14:solidFill>
                    <w14:schemeClr w14:val="tx1"/>
                  </w14:solidFill>
                </w14:textFill>
              </w:rPr>
              <w:t>响应将被否决”、“对其响应做否决处理”</w:t>
            </w:r>
            <w:r>
              <w:rPr>
                <w:rFonts w:hint="eastAsia" w:ascii="仿宋" w:hAnsi="仿宋" w:eastAsia="仿宋" w:cs="宋体"/>
                <w:color w:val="000000" w:themeColor="text1"/>
                <w:sz w:val="21"/>
                <w:szCs w:val="21"/>
                <w:highlight w:val="none"/>
                <w:u w:val="single"/>
                <w14:textFill>
                  <w14:solidFill>
                    <w14:schemeClr w14:val="tx1"/>
                  </w14:solidFill>
                </w14:textFill>
              </w:rPr>
              <w:t>等</w:t>
            </w:r>
            <w:r>
              <w:rPr>
                <w:rFonts w:hint="eastAsia" w:ascii="仿宋" w:hAnsi="仿宋" w:eastAsia="仿宋" w:cs="Cambria Math"/>
                <w:color w:val="000000" w:themeColor="text1"/>
                <w:sz w:val="21"/>
                <w:szCs w:val="21"/>
                <w:highlight w:val="none"/>
                <w:u w:val="single"/>
                <w14:textFill>
                  <w14:solidFill>
                    <w14:schemeClr w14:val="tx1"/>
                  </w14:solidFill>
                </w14:textFill>
              </w:rPr>
              <w:t>的条款</w:t>
            </w:r>
            <w:r>
              <w:rPr>
                <w:rFonts w:hint="eastAsia" w:ascii="仿宋" w:hAnsi="仿宋" w:eastAsia="仿宋" w:cs="Cambria Math"/>
                <w:color w:val="000000" w:themeColor="text1"/>
                <w:sz w:val="21"/>
                <w:szCs w:val="21"/>
                <w:highlight w:val="none"/>
                <w14:textFill>
                  <w14:solidFill>
                    <w14:schemeClr w14:val="tx1"/>
                  </w14:solidFill>
                </w14:textFill>
              </w:rPr>
              <w:t>，均为实质性条款，</w:t>
            </w:r>
            <w:r>
              <w:rPr>
                <w:rFonts w:hint="eastAsia" w:ascii="仿宋" w:hAnsi="仿宋" w:eastAsia="仿宋" w:cs="宋体"/>
                <w:b/>
                <w:color w:val="000000" w:themeColor="text1"/>
                <w:sz w:val="21"/>
                <w:szCs w:val="21"/>
                <w:highlight w:val="none"/>
                <w14:textFill>
                  <w14:solidFill>
                    <w14:schemeClr w14:val="tx1"/>
                  </w14:solidFill>
                </w14:textFill>
              </w:rPr>
              <w:t>不满足任意一项</w:t>
            </w:r>
            <w:r>
              <w:rPr>
                <w:rFonts w:hint="eastAsia" w:ascii="仿宋" w:hAnsi="仿宋" w:eastAsia="仿宋" w:cs="Cambria Math"/>
                <w:b/>
                <w:color w:val="000000" w:themeColor="text1"/>
                <w:sz w:val="21"/>
                <w:szCs w:val="21"/>
                <w:highlight w:val="none"/>
                <w14:textFill>
                  <w14:solidFill>
                    <w14:schemeClr w14:val="tx1"/>
                  </w14:solidFill>
                </w14:textFill>
              </w:rPr>
              <w:t>实质性条款的响应将被否决。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供应商提出澄清的截止时间和方式</w:t>
            </w:r>
          </w:p>
        </w:tc>
        <w:tc>
          <w:tcPr>
            <w:tcW w:w="3589" w:type="pct"/>
            <w:noWrap w:val="0"/>
            <w:vAlign w:val="center"/>
          </w:tcPr>
          <w:p>
            <w:pPr>
              <w:pStyle w:val="139"/>
              <w:topLinePunct/>
              <w:spacing w:before="62" w:beforeLines="20" w:after="62" w:afterLines="20"/>
              <w:rPr>
                <w:rFonts w:hint="eastAsia" w:ascii="仿宋" w:hAnsi="仿宋" w:eastAsia="仿宋" w:cs="宋体"/>
                <w:color w:val="000000" w:themeColor="text1"/>
                <w:sz w:val="21"/>
                <w:szCs w:val="21"/>
                <w:highlight w:val="none"/>
                <w14:textFill>
                  <w14:solidFill>
                    <w14:schemeClr w14:val="tx1"/>
                  </w14:solidFill>
                </w14:textFill>
              </w:rPr>
            </w:pPr>
            <w:r>
              <w:rPr>
                <w:rFonts w:hint="eastAsia" w:ascii="仿宋" w:hAnsi="仿宋" w:eastAsia="仿宋" w:cs="宋体"/>
                <w:b/>
                <w:color w:val="000000" w:themeColor="text1"/>
                <w:sz w:val="21"/>
                <w:szCs w:val="21"/>
                <w:highlight w:val="none"/>
                <w14:textFill>
                  <w14:solidFill>
                    <w14:schemeClr w14:val="tx1"/>
                  </w14:solidFill>
                </w14:textFill>
              </w:rPr>
              <w:t>截止时间：</w:t>
            </w:r>
            <w:r>
              <w:rPr>
                <w:rFonts w:hint="eastAsia" w:ascii="仿宋" w:hAnsi="仿宋" w:eastAsia="仿宋" w:cs="宋体"/>
                <w:b/>
                <w:color w:val="000000" w:themeColor="text1"/>
                <w:sz w:val="21"/>
                <w:szCs w:val="21"/>
                <w:highlight w:val="none"/>
                <w:u w:val="single"/>
                <w14:textFill>
                  <w14:solidFill>
                    <w14:schemeClr w14:val="tx1"/>
                  </w14:solidFill>
                </w14:textFill>
              </w:rPr>
              <w:t>202</w:t>
            </w:r>
            <w:r>
              <w:rPr>
                <w:rFonts w:hint="eastAsia" w:ascii="仿宋" w:hAnsi="仿宋" w:eastAsia="仿宋" w:cs="宋体"/>
                <w:b/>
                <w:color w:val="000000" w:themeColor="text1"/>
                <w:sz w:val="21"/>
                <w:szCs w:val="21"/>
                <w:highlight w:val="none"/>
                <w:u w:val="single"/>
                <w:lang w:val="en-US" w:eastAsia="zh-CN"/>
                <w14:textFill>
                  <w14:solidFill>
                    <w14:schemeClr w14:val="tx1"/>
                  </w14:solidFill>
                </w14:textFill>
              </w:rPr>
              <w:t>6</w:t>
            </w:r>
            <w:r>
              <w:rPr>
                <w:rFonts w:hint="eastAsia" w:ascii="仿宋" w:hAnsi="仿宋" w:eastAsia="仿宋" w:cs="宋体"/>
                <w:b/>
                <w:color w:val="000000" w:themeColor="text1"/>
                <w:sz w:val="21"/>
                <w:szCs w:val="21"/>
                <w:highlight w:val="none"/>
                <w:u w:val="single"/>
                <w14:textFill>
                  <w14:solidFill>
                    <w14:schemeClr w14:val="tx1"/>
                  </w14:solidFill>
                </w14:textFill>
              </w:rPr>
              <w:t>年</w:t>
            </w:r>
            <w:r>
              <w:rPr>
                <w:rFonts w:hint="eastAsia" w:ascii="仿宋" w:hAnsi="仿宋" w:eastAsia="仿宋" w:cs="宋体"/>
                <w:b/>
                <w:color w:val="000000" w:themeColor="text1"/>
                <w:sz w:val="21"/>
                <w:szCs w:val="21"/>
                <w:highlight w:val="none"/>
                <w:u w:val="single"/>
                <w:lang w:val="en-US" w:eastAsia="zh-CN"/>
                <w14:textFill>
                  <w14:solidFill>
                    <w14:schemeClr w14:val="tx1"/>
                  </w14:solidFill>
                </w14:textFill>
              </w:rPr>
              <w:t>5</w:t>
            </w:r>
            <w:r>
              <w:rPr>
                <w:rFonts w:hint="eastAsia" w:ascii="仿宋" w:hAnsi="仿宋" w:eastAsia="仿宋" w:cs="宋体"/>
                <w:b/>
                <w:color w:val="000000" w:themeColor="text1"/>
                <w:sz w:val="21"/>
                <w:szCs w:val="21"/>
                <w:highlight w:val="none"/>
                <w:u w:val="single"/>
                <w14:textFill>
                  <w14:solidFill>
                    <w14:schemeClr w14:val="tx1"/>
                  </w14:solidFill>
                </w14:textFill>
              </w:rPr>
              <w:t>月</w:t>
            </w:r>
            <w:r>
              <w:rPr>
                <w:rFonts w:hint="eastAsia" w:ascii="仿宋" w:hAnsi="仿宋" w:eastAsia="仿宋" w:cs="宋体"/>
                <w:b/>
                <w:color w:val="000000" w:themeColor="text1"/>
                <w:sz w:val="21"/>
                <w:szCs w:val="21"/>
                <w:highlight w:val="none"/>
                <w:u w:val="single"/>
                <w:lang w:val="en-US" w:eastAsia="zh-CN"/>
                <w14:textFill>
                  <w14:solidFill>
                    <w14:schemeClr w14:val="tx1"/>
                  </w14:solidFill>
                </w14:textFill>
              </w:rPr>
              <w:t>29</w:t>
            </w:r>
            <w:bookmarkStart w:id="226" w:name="_GoBack"/>
            <w:bookmarkEnd w:id="226"/>
            <w:r>
              <w:rPr>
                <w:rFonts w:hint="eastAsia" w:ascii="仿宋" w:hAnsi="仿宋" w:eastAsia="仿宋" w:cs="宋体"/>
                <w:b/>
                <w:color w:val="000000" w:themeColor="text1"/>
                <w:sz w:val="21"/>
                <w:szCs w:val="21"/>
                <w:highlight w:val="none"/>
                <w:u w:val="single"/>
                <w14:textFill>
                  <w14:solidFill>
                    <w14:schemeClr w14:val="tx1"/>
                  </w14:solidFill>
                </w14:textFill>
              </w:rPr>
              <w:t xml:space="preserve">日 </w:t>
            </w:r>
            <w:r>
              <w:rPr>
                <w:rFonts w:hint="eastAsia" w:ascii="仿宋" w:hAnsi="仿宋" w:eastAsia="仿宋" w:cs="宋体"/>
                <w:b/>
                <w:color w:val="000000" w:themeColor="text1"/>
                <w:sz w:val="21"/>
                <w:szCs w:val="21"/>
                <w:highlight w:val="none"/>
                <w:u w:val="single"/>
                <w:lang w:val="en-US" w:eastAsia="zh-CN"/>
                <w14:textFill>
                  <w14:solidFill>
                    <w14:schemeClr w14:val="tx1"/>
                  </w14:solidFill>
                </w14:textFill>
              </w:rPr>
              <w:t>17</w:t>
            </w:r>
            <w:r>
              <w:rPr>
                <w:rFonts w:hint="eastAsia" w:ascii="仿宋" w:hAnsi="仿宋" w:eastAsia="仿宋" w:cs="宋体"/>
                <w:b/>
                <w:color w:val="000000" w:themeColor="text1"/>
                <w:sz w:val="21"/>
                <w:szCs w:val="21"/>
                <w:highlight w:val="none"/>
                <w:u w:val="single"/>
                <w14:textFill>
                  <w14:solidFill>
                    <w14:schemeClr w14:val="tx1"/>
                  </w14:solidFill>
                </w14:textFill>
              </w:rPr>
              <w:t xml:space="preserve">时 </w:t>
            </w:r>
            <w:r>
              <w:rPr>
                <w:rFonts w:hint="eastAsia" w:ascii="仿宋" w:hAnsi="仿宋" w:eastAsia="仿宋" w:cs="宋体"/>
                <w:b/>
                <w:color w:val="000000" w:themeColor="text1"/>
                <w:sz w:val="21"/>
                <w:szCs w:val="21"/>
                <w:highlight w:val="none"/>
                <w:u w:val="single"/>
                <w:lang w:val="en-US" w:eastAsia="zh-CN"/>
                <w14:textFill>
                  <w14:solidFill>
                    <w14:schemeClr w14:val="tx1"/>
                  </w14:solidFill>
                </w14:textFill>
              </w:rPr>
              <w:t>30</w:t>
            </w:r>
            <w:r>
              <w:rPr>
                <w:rFonts w:hint="eastAsia" w:ascii="仿宋" w:hAnsi="仿宋" w:eastAsia="仿宋" w:cs="宋体"/>
                <w:b/>
                <w:color w:val="000000" w:themeColor="text1"/>
                <w:sz w:val="21"/>
                <w:szCs w:val="21"/>
                <w:highlight w:val="none"/>
                <w:u w:val="single"/>
                <w14:textFill>
                  <w14:solidFill>
                    <w14:schemeClr w14:val="tx1"/>
                  </w14:solidFill>
                </w14:textFill>
              </w:rPr>
              <w:t>分</w:t>
            </w:r>
            <w:r>
              <w:rPr>
                <w:rFonts w:hint="eastAsia" w:ascii="仿宋" w:hAnsi="仿宋" w:eastAsia="仿宋" w:cs="宋体"/>
                <w:b/>
                <w:color w:val="000000" w:themeColor="text1"/>
                <w:sz w:val="21"/>
                <w:szCs w:val="21"/>
                <w:highlight w:val="none"/>
                <w14:textFill>
                  <w14:solidFill>
                    <w14:schemeClr w14:val="tx1"/>
                  </w14:solidFill>
                </w14:textFill>
              </w:rPr>
              <w:t>（北京时间）。</w:t>
            </w:r>
          </w:p>
          <w:p>
            <w:pPr>
              <w:pStyle w:val="149"/>
              <w:spacing w:before="62" w:beforeLines="20" w:after="62" w:afterLines="20" w:line="360" w:lineRule="auto"/>
              <w:rPr>
                <w:rFonts w:hint="eastAsia" w:ascii="仿宋" w:hAnsi="仿宋" w:eastAsia="仿宋" w:cs="宋体"/>
                <w:color w:val="000000" w:themeColor="text1"/>
                <w:sz w:val="21"/>
                <w:szCs w:val="21"/>
                <w:highlight w:val="none"/>
                <w:lang w:val="en-US" w:eastAsia="zh-CN"/>
                <w14:textFill>
                  <w14:solidFill>
                    <w14:schemeClr w14:val="tx1"/>
                  </w14:solidFill>
                </w14:textFill>
              </w:rPr>
            </w:pPr>
            <w:r>
              <w:rPr>
                <w:rFonts w:hint="eastAsia" w:ascii="仿宋" w:hAnsi="仿宋" w:eastAsia="仿宋" w:cs="宋体"/>
                <w:color w:val="000000" w:themeColor="text1"/>
                <w:sz w:val="21"/>
                <w:szCs w:val="21"/>
                <w:highlight w:val="none"/>
                <w14:textFill>
                  <w14:solidFill>
                    <w14:schemeClr w14:val="tx1"/>
                  </w14:solidFill>
                </w14:textFill>
              </w:rPr>
              <w:t>提出澄清的方式：书面方式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供应商确认收到澄清或修改的截止时间和方式</w:t>
            </w:r>
          </w:p>
        </w:tc>
        <w:tc>
          <w:tcPr>
            <w:tcW w:w="3589" w:type="pct"/>
            <w:noWrap w:val="0"/>
            <w:vAlign w:val="center"/>
          </w:tcPr>
          <w:p>
            <w:pPr>
              <w:spacing w:line="360" w:lineRule="auto"/>
              <w:rPr>
                <w:rFonts w:hint="eastAsia" w:ascii="仿宋" w:hAnsi="仿宋" w:eastAsia="仿宋" w:cs="宋体"/>
                <w:b w:val="0"/>
                <w:bCs/>
                <w:color w:val="000000" w:themeColor="text1"/>
                <w:szCs w:val="21"/>
                <w:highlight w:val="none"/>
                <w14:textFill>
                  <w14:solidFill>
                    <w14:schemeClr w14:val="tx1"/>
                  </w14:solidFill>
                </w14:textFill>
              </w:rPr>
            </w:pPr>
            <w:r>
              <w:rPr>
                <w:rFonts w:hint="eastAsia" w:ascii="仿宋" w:hAnsi="仿宋" w:eastAsia="仿宋" w:cs="宋体"/>
                <w:b/>
                <w:color w:val="000000" w:themeColor="text1"/>
                <w:szCs w:val="21"/>
                <w:highlight w:val="none"/>
                <w14:textFill>
                  <w14:solidFill>
                    <w14:schemeClr w14:val="tx1"/>
                  </w14:solidFill>
                </w14:textFill>
              </w:rPr>
              <w:t>确认收到澄清或修改的时间：</w:t>
            </w:r>
            <w:r>
              <w:rPr>
                <w:rFonts w:hint="eastAsia" w:ascii="仿宋" w:hAnsi="仿宋" w:eastAsia="仿宋" w:cs="宋体"/>
                <w:b w:val="0"/>
                <w:bCs/>
                <w:color w:val="000000" w:themeColor="text1"/>
                <w:szCs w:val="21"/>
                <w:highlight w:val="none"/>
                <w:u w:val="single"/>
                <w14:textFill>
                  <w14:solidFill>
                    <w14:schemeClr w14:val="tx1"/>
                  </w14:solidFill>
                </w14:textFill>
              </w:rPr>
              <w:t>收到</w:t>
            </w:r>
            <w:r>
              <w:rPr>
                <w:rFonts w:hint="eastAsia" w:ascii="仿宋" w:hAnsi="仿宋" w:eastAsia="仿宋" w:cs="宋体"/>
                <w:b w:val="0"/>
                <w:bCs/>
                <w:color w:val="000000" w:themeColor="text1"/>
                <w:szCs w:val="21"/>
                <w:highlight w:val="none"/>
                <w:u w:val="single"/>
                <w:lang w:val="en-US" w:eastAsia="zh-CN"/>
                <w14:textFill>
                  <w14:solidFill>
                    <w14:schemeClr w14:val="tx1"/>
                  </w14:solidFill>
                </w14:textFill>
              </w:rPr>
              <w:t>比选</w:t>
            </w:r>
            <w:r>
              <w:rPr>
                <w:rFonts w:hint="eastAsia" w:ascii="仿宋" w:hAnsi="仿宋" w:eastAsia="仿宋" w:cs="宋体"/>
                <w:b w:val="0"/>
                <w:bCs/>
                <w:color w:val="000000" w:themeColor="text1"/>
                <w:szCs w:val="21"/>
                <w:highlight w:val="none"/>
                <w:u w:val="single"/>
                <w14:textFill>
                  <w14:solidFill>
                    <w14:schemeClr w14:val="tx1"/>
                  </w14:solidFill>
                </w14:textFill>
              </w:rPr>
              <w:t>文件澄清或修改通知后</w:t>
            </w:r>
            <w:r>
              <w:rPr>
                <w:rFonts w:hint="eastAsia" w:ascii="仿宋" w:hAnsi="仿宋" w:eastAsia="仿宋" w:cs="宋体"/>
                <w:b w:val="0"/>
                <w:bCs/>
                <w:color w:val="000000" w:themeColor="text1"/>
                <w:szCs w:val="21"/>
                <w:highlight w:val="none"/>
                <w:u w:val="single"/>
                <w:lang w:val="en-US" w:eastAsia="zh-CN"/>
                <w14:textFill>
                  <w14:solidFill>
                    <w14:schemeClr w14:val="tx1"/>
                  </w14:solidFill>
                </w14:textFill>
              </w:rPr>
              <w:t>3</w:t>
            </w:r>
            <w:r>
              <w:rPr>
                <w:rFonts w:hint="eastAsia" w:ascii="仿宋" w:hAnsi="仿宋" w:eastAsia="仿宋" w:cs="宋体"/>
                <w:b w:val="0"/>
                <w:bCs/>
                <w:color w:val="000000" w:themeColor="text1"/>
                <w:szCs w:val="21"/>
                <w:highlight w:val="none"/>
                <w:u w:val="single"/>
                <w14:textFill>
                  <w14:solidFill>
                    <w14:schemeClr w14:val="tx1"/>
                  </w14:solidFill>
                </w14:textFill>
              </w:rPr>
              <w:t>个工作日内。</w:t>
            </w:r>
          </w:p>
          <w:p>
            <w:pPr>
              <w:spacing w:line="360" w:lineRule="auto"/>
              <w:rPr>
                <w:rFonts w:hint="eastAsia" w:ascii="仿宋" w:hAnsi="仿宋" w:eastAsia="仿宋" w:cs="宋体"/>
                <w:color w:val="000000" w:themeColor="text1"/>
                <w:szCs w:val="21"/>
                <w:highlight w:val="none"/>
                <w:lang w:val="en-US" w:eastAsia="zh-CN"/>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确认收到澄清或修改文件的方式：</w:t>
            </w:r>
            <w:r>
              <w:rPr>
                <w:rFonts w:hint="eastAsia" w:ascii="仿宋" w:hAnsi="仿宋" w:eastAsia="仿宋" w:cs="宋体"/>
                <w:color w:val="000000" w:themeColor="text1"/>
                <w:szCs w:val="21"/>
                <w:highlight w:val="none"/>
                <w:lang w:val="en-US" w:eastAsia="zh-CN"/>
                <w14:textFill>
                  <w14:solidFill>
                    <w14:schemeClr w14:val="tx1"/>
                  </w14:solidFill>
                </w14:textFill>
              </w:rPr>
              <w:t>邮件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响应文件的组成</w:t>
            </w:r>
          </w:p>
        </w:tc>
        <w:tc>
          <w:tcPr>
            <w:tcW w:w="3589" w:type="pct"/>
            <w:noWrap w:val="0"/>
            <w:vAlign w:val="center"/>
          </w:tcPr>
          <w:p>
            <w:pPr>
              <w:pStyle w:val="149"/>
              <w:spacing w:before="62" w:beforeLines="20" w:after="62" w:afterLines="20" w:line="276" w:lineRule="auto"/>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z w:val="21"/>
                <w:szCs w:val="21"/>
                <w:highlight w:val="none"/>
                <w14:textFill>
                  <w14:solidFill>
                    <w14:schemeClr w14:val="tx1"/>
                  </w14:solidFill>
                </w14:textFill>
              </w:rPr>
              <w:t>响应文件按照以下架构分成三册并顺序编制：</w:t>
            </w:r>
          </w:p>
          <w:p>
            <w:pPr>
              <w:pStyle w:val="156"/>
              <w:spacing w:before="62" w:beforeLines="20" w:after="62" w:afterLines="20" w:line="276" w:lineRule="auto"/>
              <w:rPr>
                <w:rFonts w:hint="eastAsia"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w:t>一、商务文件</w:t>
            </w:r>
          </w:p>
          <w:p>
            <w:pPr>
              <w:autoSpaceDE w:val="0"/>
              <w:autoSpaceDN w:val="0"/>
              <w:spacing w:line="276" w:lineRule="auto"/>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初步评审索引表</w:t>
            </w:r>
          </w:p>
          <w:p>
            <w:pPr>
              <w:autoSpaceDE w:val="0"/>
              <w:autoSpaceDN w:val="0"/>
              <w:spacing w:line="276" w:lineRule="auto"/>
              <w:rPr>
                <w:color w:val="000000" w:themeColor="text1"/>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详细评审索引表</w:t>
            </w:r>
          </w:p>
          <w:p>
            <w:pPr>
              <w:pStyle w:val="156"/>
              <w:spacing w:before="62" w:beforeLines="20" w:after="62" w:afterLines="20"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（一）响应函</w:t>
            </w:r>
          </w:p>
          <w:p>
            <w:pPr>
              <w:pStyle w:val="149"/>
              <w:spacing w:before="62" w:beforeLines="20" w:after="62" w:afterLines="20"/>
              <w:rPr>
                <w:rFonts w:hint="eastAsia" w:ascii="仿宋" w:hAnsi="仿宋" w:eastAsia="仿宋" w:cs="宋体"/>
                <w:color w:val="000000" w:themeColor="text1"/>
                <w:sz w:val="21"/>
                <w:szCs w:val="21"/>
                <w:highlight w:val="none"/>
                <w14:textFill>
                  <w14:solidFill>
                    <w14:schemeClr w14:val="tx1"/>
                  </w14:solidFill>
                </w14:textFill>
              </w:rPr>
            </w:pPr>
            <w:r>
              <w:rPr>
                <w:rFonts w:hint="eastAsia" w:ascii="仿宋" w:hAnsi="仿宋" w:eastAsia="仿宋" w:cs="宋体"/>
                <w:color w:val="000000" w:themeColor="text1"/>
                <w:sz w:val="21"/>
                <w:szCs w:val="21"/>
                <w:highlight w:val="none"/>
                <w14:textFill>
                  <w14:solidFill>
                    <w14:schemeClr w14:val="tx1"/>
                  </w14:solidFill>
                </w14:textFill>
              </w:rPr>
              <w:t>（二）法定代表人（负责人）身份证明</w:t>
            </w:r>
          </w:p>
          <w:p>
            <w:pPr>
              <w:pStyle w:val="149"/>
              <w:spacing w:before="62" w:beforeLines="20" w:after="62" w:afterLines="20"/>
              <w:rPr>
                <w:rFonts w:hint="eastAsia" w:ascii="仿宋" w:hAnsi="仿宋" w:eastAsia="仿宋" w:cs="宋体"/>
                <w:color w:val="000000" w:themeColor="text1"/>
                <w:sz w:val="21"/>
                <w:szCs w:val="21"/>
                <w:highlight w:val="none"/>
                <w14:textFill>
                  <w14:solidFill>
                    <w14:schemeClr w14:val="tx1"/>
                  </w14:solidFill>
                </w14:textFill>
              </w:rPr>
            </w:pPr>
            <w:r>
              <w:rPr>
                <w:rFonts w:hint="eastAsia" w:ascii="仿宋" w:hAnsi="仿宋" w:eastAsia="仿宋" w:cs="宋体"/>
                <w:color w:val="000000" w:themeColor="text1"/>
                <w:sz w:val="21"/>
                <w:szCs w:val="21"/>
                <w:highlight w:val="none"/>
                <w14:textFill>
                  <w14:solidFill>
                    <w14:schemeClr w14:val="tx1"/>
                  </w14:solidFill>
                </w14:textFill>
              </w:rPr>
              <w:t>（三）法定代表人（负责人）授权委托书</w:t>
            </w:r>
          </w:p>
          <w:p>
            <w:pPr>
              <w:pStyle w:val="156"/>
              <w:spacing w:before="62" w:beforeLines="20" w:after="62" w:afterLines="20"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（四）资格证明文件</w:t>
            </w:r>
          </w:p>
          <w:p>
            <w:pPr>
              <w:pStyle w:val="149"/>
              <w:spacing w:before="62" w:beforeLines="20" w:after="62" w:afterLines="2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宋体"/>
                <w:color w:val="000000" w:themeColor="text1"/>
                <w:sz w:val="21"/>
                <w:szCs w:val="21"/>
                <w:highlight w:val="none"/>
                <w14:textFill>
                  <w14:solidFill>
                    <w14:schemeClr w14:val="tx1"/>
                  </w14:solidFill>
                </w14:textFill>
              </w:rPr>
              <w:t>（五）供应商须知应答偏离表</w:t>
            </w:r>
          </w:p>
          <w:p>
            <w:pPr>
              <w:pStyle w:val="156"/>
              <w:spacing w:before="62" w:beforeLines="20" w:after="62" w:afterLines="20"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（六）合同条款应答偏离表</w:t>
            </w:r>
          </w:p>
          <w:p>
            <w:pPr>
              <w:pStyle w:val="156"/>
              <w:spacing w:before="62" w:beforeLines="20" w:after="62" w:afterLines="20"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（七）供应商行为准则承诺书</w:t>
            </w:r>
          </w:p>
          <w:p>
            <w:pPr>
              <w:pStyle w:val="156"/>
              <w:spacing w:before="62" w:beforeLines="20" w:after="62" w:afterLines="20"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（八）供应商廉洁诚信承诺书</w:t>
            </w:r>
          </w:p>
          <w:p>
            <w:pPr>
              <w:pStyle w:val="156"/>
              <w:spacing w:before="62" w:beforeLines="20" w:after="62" w:afterLines="20"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（九）其他材料</w:t>
            </w:r>
            <w:r>
              <w:rPr>
                <w:rFonts w:hint="eastAsia" w:ascii="仿宋" w:hAnsi="仿宋" w:eastAsia="仿宋" w:cs="宋体"/>
                <w:color w:val="000000" w:themeColor="text1"/>
                <w:sz w:val="21"/>
                <w:szCs w:val="21"/>
                <w:highlight w:val="none"/>
                <w14:textFill>
                  <w14:solidFill>
                    <w14:schemeClr w14:val="tx1"/>
                  </w14:solidFill>
                </w14:textFill>
              </w:rPr>
              <w:t>（如有）</w:t>
            </w:r>
          </w:p>
          <w:p>
            <w:pPr>
              <w:autoSpaceDE w:val="0"/>
              <w:autoSpaceDN w:val="0"/>
              <w:spacing w:line="276" w:lineRule="auto"/>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二、技术文件</w:t>
            </w:r>
          </w:p>
          <w:p>
            <w:pPr>
              <w:autoSpaceDE w:val="0"/>
              <w:autoSpaceDN w:val="0"/>
              <w:spacing w:line="276" w:lineRule="auto"/>
              <w:rPr>
                <w:rFonts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详细评审索引表</w:t>
            </w:r>
          </w:p>
          <w:p>
            <w:pPr>
              <w:autoSpaceDE w:val="0"/>
              <w:autoSpaceDN w:val="0"/>
              <w:spacing w:line="276" w:lineRule="auto"/>
              <w:rPr>
                <w:rFonts w:hint="eastAsia" w:ascii="仿宋" w:hAnsi="仿宋" w:eastAsia="仿宋" w:cs="仿宋"/>
                <w:bCs/>
                <w:color w:val="000000" w:themeColor="text1"/>
                <w:szCs w:val="21"/>
                <w:highlight w:val="none"/>
                <w14:textFill>
                  <w14:solidFill>
                    <w14:schemeClr w14:val="tx1"/>
                  </w14:solidFill>
                </w14:textFill>
              </w:rPr>
            </w:pPr>
            <w:r>
              <w:rPr>
                <w:rFonts w:hint="eastAsia" w:ascii="仿宋" w:hAnsi="仿宋" w:eastAsia="仿宋" w:cs="仿宋"/>
                <w:bCs/>
                <w:color w:val="000000" w:themeColor="text1"/>
                <w:szCs w:val="21"/>
                <w:highlight w:val="none"/>
                <w14:textFill>
                  <w14:solidFill>
                    <w14:schemeClr w14:val="tx1"/>
                  </w14:solidFill>
                </w14:textFill>
              </w:rPr>
              <w:t>（一）采购需求应答偏离表</w:t>
            </w:r>
          </w:p>
          <w:p>
            <w:pPr>
              <w:pStyle w:val="156"/>
              <w:spacing w:before="62" w:beforeLines="20" w:after="62" w:afterLines="20"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（二）技术方案</w:t>
            </w:r>
          </w:p>
          <w:p>
            <w:pPr>
              <w:pStyle w:val="156"/>
              <w:spacing w:before="62" w:beforeLines="20" w:after="62" w:afterLines="20"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（三）其他材料</w:t>
            </w:r>
            <w:r>
              <w:rPr>
                <w:rFonts w:hint="eastAsia" w:ascii="仿宋" w:hAnsi="仿宋" w:eastAsia="仿宋" w:cs="宋体"/>
                <w:color w:val="000000" w:themeColor="text1"/>
                <w:sz w:val="21"/>
                <w:szCs w:val="21"/>
                <w:highlight w:val="none"/>
                <w14:textFill>
                  <w14:solidFill>
                    <w14:schemeClr w14:val="tx1"/>
                  </w14:solidFill>
                </w14:textFill>
              </w:rPr>
              <w:t>（如有）</w:t>
            </w:r>
          </w:p>
          <w:p>
            <w:pPr>
              <w:autoSpaceDE w:val="0"/>
              <w:autoSpaceDN w:val="0"/>
              <w:spacing w:line="276" w:lineRule="auto"/>
              <w:rPr>
                <w:rFonts w:hint="eastAsia" w:ascii="仿宋" w:hAnsi="仿宋" w:eastAsia="仿宋" w:cs="仿宋"/>
                <w:b/>
                <w:color w:val="000000" w:themeColor="text1"/>
                <w:szCs w:val="21"/>
                <w:highlight w:val="none"/>
                <w14:textFill>
                  <w14:solidFill>
                    <w14:schemeClr w14:val="tx1"/>
                  </w14:solidFill>
                </w14:textFill>
              </w:rPr>
            </w:pPr>
            <w:r>
              <w:rPr>
                <w:rFonts w:hint="eastAsia" w:ascii="仿宋" w:hAnsi="仿宋" w:eastAsia="仿宋" w:cs="仿宋"/>
                <w:b/>
                <w:color w:val="000000" w:themeColor="text1"/>
                <w:szCs w:val="21"/>
                <w:highlight w:val="none"/>
                <w14:textFill>
                  <w14:solidFill>
                    <w14:schemeClr w14:val="tx1"/>
                  </w14:solidFill>
                </w14:textFill>
              </w:rPr>
              <w:t>三、报价文件</w:t>
            </w:r>
          </w:p>
          <w:p>
            <w:pPr>
              <w:pStyle w:val="156"/>
              <w:spacing w:before="62" w:beforeLines="20" w:after="62" w:afterLines="20"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（一）报价一览表</w:t>
            </w:r>
          </w:p>
          <w:p>
            <w:pPr>
              <w:pStyle w:val="156"/>
              <w:spacing w:before="62" w:beforeLines="20" w:after="62" w:afterLines="20"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（二）分项报价表</w:t>
            </w:r>
            <w:r>
              <w:rPr>
                <w:rFonts w:hint="eastAsia" w:ascii="仿宋" w:hAnsi="仿宋" w:eastAsia="仿宋" w:cs="宋体"/>
                <w:color w:val="000000" w:themeColor="text1"/>
                <w:sz w:val="21"/>
                <w:szCs w:val="21"/>
                <w:highlight w:val="none"/>
                <w14:textFill>
                  <w14:solidFill>
                    <w14:schemeClr w14:val="tx1"/>
                  </w14:solidFill>
                </w14:textFill>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响应文件的递交</w:t>
            </w:r>
          </w:p>
        </w:tc>
        <w:tc>
          <w:tcPr>
            <w:tcW w:w="3589" w:type="pct"/>
            <w:noWrap w:val="0"/>
            <w:vAlign w:val="center"/>
          </w:tcPr>
          <w:p>
            <w:pPr>
              <w:autoSpaceDE w:val="0"/>
              <w:autoSpaceDN w:val="0"/>
              <w:spacing w:line="360" w:lineRule="auto"/>
              <w:rPr>
                <w:rFonts w:hint="eastAsia" w:ascii="仿宋" w:hAnsi="仿宋" w:eastAsia="仿宋" w:cs="宋体"/>
                <w:bCs/>
                <w:color w:val="000000" w:themeColor="text1"/>
                <w:szCs w:val="2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详见</w:t>
            </w:r>
            <w:r>
              <w:rPr>
                <w:rFonts w:hint="eastAsia" w:ascii="仿宋" w:hAnsi="仿宋" w:eastAsia="仿宋" w:cs="仿宋"/>
                <w:color w:val="000000" w:themeColor="text1"/>
                <w:highlight w:val="none"/>
                <w:u w:val="single"/>
                <w14:textFill>
                  <w14:solidFill>
                    <w14:schemeClr w14:val="tx1"/>
                  </w14:solidFill>
                </w14:textFill>
              </w:rPr>
              <w:t xml:space="preserve">第一章 </w:t>
            </w:r>
            <w:r>
              <w:rPr>
                <w:rFonts w:hint="eastAsia" w:ascii="仿宋" w:hAnsi="仿宋" w:eastAsia="仿宋" w:cs="仿宋"/>
                <w:color w:val="000000" w:themeColor="text1"/>
                <w:highlight w:val="none"/>
                <w:u w:val="single"/>
                <w:lang w:eastAsia="zh-CN"/>
                <w14:textFill>
                  <w14:solidFill>
                    <w14:schemeClr w14:val="tx1"/>
                  </w14:solidFill>
                </w14:textFill>
              </w:rPr>
              <w:t>比选</w:t>
            </w:r>
            <w:r>
              <w:rPr>
                <w:rFonts w:hint="eastAsia" w:ascii="仿宋" w:hAnsi="仿宋" w:eastAsia="仿宋" w:cs="仿宋"/>
                <w:color w:val="000000" w:themeColor="text1"/>
                <w:highlight w:val="none"/>
                <w:u w:val="single"/>
                <w14:textFill>
                  <w14:solidFill>
                    <w14:schemeClr w14:val="tx1"/>
                  </w14:solidFill>
                </w14:textFill>
              </w:rPr>
              <w:t>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Cambria Math"/>
                <w:color w:val="000000" w:themeColor="text1"/>
                <w:szCs w:val="21"/>
                <w:highlight w:val="none"/>
                <w14:textFill>
                  <w14:solidFill>
                    <w14:schemeClr w14:val="tx1"/>
                  </w14:solidFill>
                </w14:textFill>
              </w:rPr>
              <w:t>★</w:t>
            </w:r>
            <w:r>
              <w:rPr>
                <w:rFonts w:hint="eastAsia" w:ascii="仿宋" w:hAnsi="仿宋" w:eastAsia="仿宋" w:cs="宋体"/>
                <w:color w:val="000000" w:themeColor="text1"/>
                <w:szCs w:val="21"/>
                <w:highlight w:val="none"/>
                <w14:textFill>
                  <w14:solidFill>
                    <w14:schemeClr w14:val="tx1"/>
                  </w14:solidFill>
                </w14:textFill>
              </w:rPr>
              <w:t>响应文件的盖章或签字要求</w:t>
            </w:r>
          </w:p>
        </w:tc>
        <w:tc>
          <w:tcPr>
            <w:tcW w:w="3589" w:type="pct"/>
            <w:noWrap w:val="0"/>
            <w:vAlign w:val="center"/>
          </w:tcPr>
          <w:p>
            <w:pPr>
              <w:pStyle w:val="139"/>
              <w:topLinePunct/>
              <w:spacing w:before="62" w:beforeLines="20" w:after="62" w:afterLines="20" w:line="360" w:lineRule="auto"/>
              <w:rPr>
                <w:rFonts w:hint="eastAsia" w:ascii="仿宋" w:hAnsi="仿宋" w:eastAsia="仿宋" w:cs="宋体"/>
                <w:color w:val="000000" w:themeColor="text1"/>
                <w:sz w:val="21"/>
                <w:szCs w:val="21"/>
                <w:highlight w:val="none"/>
                <w14:textFill>
                  <w14:solidFill>
                    <w14:schemeClr w14:val="tx1"/>
                  </w14:solidFill>
                </w14:textFill>
              </w:rPr>
            </w:pPr>
            <w:r>
              <w:rPr>
                <w:rFonts w:hint="eastAsia" w:ascii="仿宋" w:hAnsi="仿宋" w:eastAsia="仿宋" w:cs="宋体"/>
                <w:color w:val="000000" w:themeColor="text1"/>
                <w:sz w:val="21"/>
                <w:szCs w:val="21"/>
                <w:highlight w:val="none"/>
                <w14:textFill>
                  <w14:solidFill>
                    <w14:schemeClr w14:val="tx1"/>
                  </w14:solidFill>
                </w14:textFill>
              </w:rPr>
              <w:t>（1）《法定代表人（负责人）身份证明》的落款处应加盖公章。</w:t>
            </w:r>
          </w:p>
          <w:p>
            <w:pPr>
              <w:pStyle w:val="139"/>
              <w:topLinePunct/>
              <w:spacing w:before="62" w:beforeLines="20" w:after="62" w:afterLines="20" w:line="360" w:lineRule="auto"/>
              <w:rPr>
                <w:rFonts w:hint="eastAsia" w:ascii="仿宋" w:hAnsi="仿宋" w:eastAsia="仿宋" w:cs="宋体"/>
                <w:color w:val="000000" w:themeColor="text1"/>
                <w:sz w:val="21"/>
                <w:szCs w:val="21"/>
                <w:highlight w:val="none"/>
                <w14:textFill>
                  <w14:solidFill>
                    <w14:schemeClr w14:val="tx1"/>
                  </w14:solidFill>
                </w14:textFill>
              </w:rPr>
            </w:pPr>
            <w:r>
              <w:rPr>
                <w:rFonts w:hint="eastAsia" w:ascii="仿宋" w:hAnsi="仿宋" w:eastAsia="仿宋" w:cs="宋体"/>
                <w:color w:val="000000" w:themeColor="text1"/>
                <w:sz w:val="21"/>
                <w:szCs w:val="21"/>
                <w:highlight w:val="none"/>
                <w14:textFill>
                  <w14:solidFill>
                    <w14:schemeClr w14:val="tx1"/>
                  </w14:solidFill>
                </w14:textFill>
              </w:rPr>
              <w:t>（2）《法定代表人（负责人）授权委托书》的落款处应加盖公章</w:t>
            </w:r>
            <w:r>
              <w:rPr>
                <w:rFonts w:hint="eastAsia" w:ascii="仿宋" w:hAnsi="仿宋" w:eastAsia="仿宋" w:cs="宋体"/>
                <w:b/>
                <w:color w:val="000000" w:themeColor="text1"/>
                <w:sz w:val="21"/>
                <w:szCs w:val="21"/>
                <w:highlight w:val="none"/>
                <w14:textFill>
                  <w14:solidFill>
                    <w14:schemeClr w14:val="tx1"/>
                  </w14:solidFill>
                </w14:textFill>
              </w:rPr>
              <w:t>并由</w:t>
            </w:r>
            <w:r>
              <w:rPr>
                <w:rFonts w:hint="eastAsia" w:ascii="仿宋" w:hAnsi="仿宋" w:eastAsia="仿宋" w:cs="宋体"/>
                <w:color w:val="000000" w:themeColor="text1"/>
                <w:sz w:val="21"/>
                <w:szCs w:val="21"/>
                <w:highlight w:val="none"/>
                <w14:textFill>
                  <w14:solidFill>
                    <w14:schemeClr w14:val="tx1"/>
                  </w14:solidFill>
                </w14:textFill>
              </w:rPr>
              <w:t>法定代表人（负责人）</w:t>
            </w:r>
            <w:r>
              <w:rPr>
                <w:rFonts w:hint="eastAsia" w:ascii="仿宋" w:hAnsi="仿宋" w:eastAsia="仿宋" w:cs="宋体"/>
                <w:b/>
                <w:color w:val="000000" w:themeColor="text1"/>
                <w:sz w:val="21"/>
                <w:szCs w:val="21"/>
                <w:highlight w:val="none"/>
                <w14:textFill>
                  <w14:solidFill>
                    <w14:schemeClr w14:val="tx1"/>
                  </w14:solidFill>
                </w14:textFill>
              </w:rPr>
              <w:t>和</w:t>
            </w:r>
            <w:r>
              <w:rPr>
                <w:rFonts w:hint="eastAsia" w:ascii="仿宋" w:hAnsi="仿宋" w:eastAsia="仿宋" w:cs="宋体"/>
                <w:color w:val="000000" w:themeColor="text1"/>
                <w:sz w:val="21"/>
                <w:szCs w:val="21"/>
                <w:highlight w:val="none"/>
                <w14:textFill>
                  <w14:solidFill>
                    <w14:schemeClr w14:val="tx1"/>
                  </w14:solidFill>
                </w14:textFill>
              </w:rPr>
              <w:t>其委托代理人</w:t>
            </w:r>
            <w:r>
              <w:rPr>
                <w:rFonts w:hint="eastAsia" w:ascii="仿宋" w:hAnsi="仿宋" w:eastAsia="仿宋" w:cs="宋体"/>
                <w:b/>
                <w:color w:val="000000" w:themeColor="text1"/>
                <w:sz w:val="21"/>
                <w:szCs w:val="21"/>
                <w:highlight w:val="none"/>
                <w14:textFill>
                  <w14:solidFill>
                    <w14:schemeClr w14:val="tx1"/>
                  </w14:solidFill>
                </w14:textFill>
              </w:rPr>
              <w:t>双方</w:t>
            </w:r>
            <w:r>
              <w:rPr>
                <w:rFonts w:hint="eastAsia" w:ascii="仿宋" w:hAnsi="仿宋" w:eastAsia="仿宋" w:cs="宋体"/>
                <w:color w:val="000000" w:themeColor="text1"/>
                <w:sz w:val="21"/>
                <w:szCs w:val="21"/>
                <w:highlight w:val="none"/>
                <w14:textFill>
                  <w14:solidFill>
                    <w14:schemeClr w14:val="tx1"/>
                  </w14:solidFill>
                </w14:textFill>
              </w:rPr>
              <w:t>签字。</w:t>
            </w:r>
          </w:p>
          <w:p>
            <w:pPr>
              <w:pStyle w:val="139"/>
              <w:topLinePunct/>
              <w:spacing w:before="62" w:beforeLines="20" w:after="62" w:afterLines="20" w:line="360" w:lineRule="auto"/>
              <w:rPr>
                <w:rFonts w:hint="eastAsia" w:ascii="仿宋" w:hAnsi="仿宋" w:eastAsia="仿宋" w:cs="宋体"/>
                <w:color w:val="000000" w:themeColor="text1"/>
                <w:sz w:val="21"/>
                <w:szCs w:val="21"/>
                <w:highlight w:val="none"/>
                <w14:textFill>
                  <w14:solidFill>
                    <w14:schemeClr w14:val="tx1"/>
                  </w14:solidFill>
                </w14:textFill>
              </w:rPr>
            </w:pPr>
            <w:r>
              <w:rPr>
                <w:rFonts w:hint="eastAsia" w:ascii="仿宋" w:hAnsi="仿宋" w:eastAsia="仿宋" w:cs="宋体"/>
                <w:color w:val="000000" w:themeColor="text1"/>
                <w:sz w:val="21"/>
                <w:szCs w:val="21"/>
                <w:highlight w:val="none"/>
                <w14:textFill>
                  <w14:solidFill>
                    <w14:schemeClr w14:val="tx1"/>
                  </w14:solidFill>
                </w14:textFill>
              </w:rPr>
              <w:t>（3）响应文件格式中其他有落款的文件，</w:t>
            </w:r>
            <w:r>
              <w:rPr>
                <w:rFonts w:hint="eastAsia" w:ascii="仿宋" w:hAnsi="仿宋" w:eastAsia="仿宋" w:cs="宋体"/>
                <w:b/>
                <w:color w:val="000000" w:themeColor="text1"/>
                <w:sz w:val="21"/>
                <w:szCs w:val="21"/>
                <w:highlight w:val="none"/>
                <w14:textFill>
                  <w14:solidFill>
                    <w14:schemeClr w14:val="tx1"/>
                  </w14:solidFill>
                </w14:textFill>
              </w:rPr>
              <w:t>均需</w:t>
            </w:r>
            <w:r>
              <w:rPr>
                <w:rFonts w:hint="eastAsia" w:ascii="仿宋" w:hAnsi="仿宋" w:eastAsia="仿宋" w:cs="宋体"/>
                <w:color w:val="000000" w:themeColor="text1"/>
                <w:sz w:val="21"/>
                <w:szCs w:val="21"/>
                <w:highlight w:val="none"/>
                <w14:textFill>
                  <w14:solidFill>
                    <w14:schemeClr w14:val="tx1"/>
                  </w14:solidFill>
                </w14:textFill>
              </w:rPr>
              <w:t>加盖公章。</w:t>
            </w:r>
          </w:p>
          <w:p>
            <w:pPr>
              <w:pStyle w:val="139"/>
              <w:topLinePunct/>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宋体"/>
                <w:color w:val="000000" w:themeColor="text1"/>
                <w:sz w:val="21"/>
                <w:szCs w:val="21"/>
                <w:highlight w:val="none"/>
                <w14:textFill>
                  <w14:solidFill>
                    <w14:schemeClr w14:val="tx1"/>
                  </w14:solidFill>
                </w14:textFill>
              </w:rPr>
              <w:t>（4）响应文件的所有签字处均指手写签字</w:t>
            </w:r>
            <w:r>
              <w:rPr>
                <w:rFonts w:hint="eastAsia" w:ascii="仿宋" w:hAnsi="仿宋" w:eastAsia="仿宋" w:cs="宋体"/>
                <w:b/>
                <w:color w:val="000000" w:themeColor="text1"/>
                <w:sz w:val="21"/>
                <w:szCs w:val="21"/>
                <w:highlight w:val="none"/>
                <w14:textFill>
                  <w14:solidFill>
                    <w14:schemeClr w14:val="tx1"/>
                  </w14:solidFill>
                </w14:textFill>
              </w:rPr>
              <w:t>或</w:t>
            </w:r>
            <w:r>
              <w:rPr>
                <w:rFonts w:hint="eastAsia" w:ascii="仿宋" w:hAnsi="仿宋" w:eastAsia="仿宋" w:cs="宋体"/>
                <w:color w:val="000000" w:themeColor="text1"/>
                <w:sz w:val="21"/>
                <w:szCs w:val="21"/>
                <w:highlight w:val="none"/>
                <w14:textFill>
                  <w14:solidFill>
                    <w14:schemeClr w14:val="tx1"/>
                  </w14:solidFill>
                </w14:textFill>
              </w:rPr>
              <w:t>签名章/印章</w:t>
            </w:r>
            <w:r>
              <w:rPr>
                <w:rFonts w:hint="eastAsia" w:ascii="仿宋" w:hAnsi="仿宋" w:eastAsia="仿宋" w:cs="宋体"/>
                <w:b/>
                <w:bCs/>
                <w:color w:val="000000" w:themeColor="text1"/>
                <w:sz w:val="21"/>
                <w:szCs w:val="21"/>
                <w:highlight w:val="none"/>
                <w14:textFill>
                  <w14:solidFill>
                    <w14:schemeClr w14:val="tx1"/>
                  </w14:solidFill>
                </w14:textFill>
              </w:rPr>
              <w:t>或</w:t>
            </w:r>
            <w:r>
              <w:rPr>
                <w:rFonts w:hint="eastAsia" w:ascii="仿宋" w:hAnsi="仿宋" w:eastAsia="仿宋" w:cs="宋体"/>
                <w:color w:val="000000" w:themeColor="text1"/>
                <w:sz w:val="21"/>
                <w:szCs w:val="21"/>
                <w:highlight w:val="none"/>
                <w14:textFill>
                  <w14:solidFill>
                    <w14:schemeClr w14:val="tx1"/>
                  </w14:solidFill>
                </w14:textFill>
              </w:rPr>
              <w:t>CA签名章，</w:t>
            </w:r>
            <w:r>
              <w:rPr>
                <w:rFonts w:hint="eastAsia" w:ascii="仿宋" w:hAnsi="仿宋" w:eastAsia="仿宋" w:cs="宋体"/>
                <w:b/>
                <w:color w:val="000000" w:themeColor="text1"/>
                <w:sz w:val="21"/>
                <w:szCs w:val="21"/>
                <w:highlight w:val="none"/>
                <w14:textFill>
                  <w14:solidFill>
                    <w14:schemeClr w14:val="tx1"/>
                  </w14:solidFill>
                </w14:textFill>
              </w:rPr>
              <w:t>不得</w:t>
            </w:r>
            <w:r>
              <w:rPr>
                <w:rFonts w:hint="eastAsia" w:ascii="仿宋" w:hAnsi="仿宋" w:eastAsia="仿宋" w:cs="宋体"/>
                <w:color w:val="000000" w:themeColor="text1"/>
                <w:sz w:val="21"/>
                <w:szCs w:val="21"/>
                <w:highlight w:val="none"/>
                <w14:textFill>
                  <w14:solidFill>
                    <w14:schemeClr w14:val="tx1"/>
                  </w14:solidFill>
                </w14:textFill>
              </w:rPr>
              <w:t>以打印体代替。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磋商响应报价</w:t>
            </w:r>
          </w:p>
        </w:tc>
        <w:tc>
          <w:tcPr>
            <w:tcW w:w="3589" w:type="pct"/>
            <w:noWrap w:val="0"/>
            <w:vAlign w:val="center"/>
          </w:tcPr>
          <w:p>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1）供应商应结合自身实力与经验、市场价格竞争及合同实施风险等因素进行综合考虑进行报价。</w:t>
            </w:r>
          </w:p>
          <w:p>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2）磋商小组将视磋商情况决定是否进行多轮次报价，供应商</w:t>
            </w:r>
            <w:r>
              <w:rPr>
                <w:rFonts w:hint="eastAsia" w:ascii="仿宋" w:hAnsi="仿宋" w:eastAsia="仿宋" w:cs="仿宋"/>
                <w:color w:val="000000" w:themeColor="text1"/>
                <w:highlight w:val="none"/>
                <w:u w:val="single"/>
                <w14:textFill>
                  <w14:solidFill>
                    <w14:schemeClr w14:val="tx1"/>
                  </w14:solidFill>
                </w14:textFill>
              </w:rPr>
              <w:t>最后一轮磋商提交的报价</w:t>
            </w:r>
            <w:r>
              <w:rPr>
                <w:rFonts w:hint="eastAsia" w:ascii="仿宋" w:hAnsi="仿宋" w:eastAsia="仿宋" w:cs="仿宋"/>
                <w:color w:val="000000" w:themeColor="text1"/>
                <w:highlight w:val="none"/>
                <w14:textFill>
                  <w14:solidFill>
                    <w14:schemeClr w14:val="tx1"/>
                  </w14:solidFill>
                </w14:textFill>
              </w:rPr>
              <w:t>将作为该供应商的</w:t>
            </w:r>
            <w:r>
              <w:rPr>
                <w:rFonts w:hint="eastAsia" w:ascii="仿宋" w:hAnsi="仿宋" w:eastAsia="仿宋" w:cs="仿宋"/>
                <w:b/>
                <w:bCs/>
                <w:color w:val="000000" w:themeColor="text1"/>
                <w:highlight w:val="none"/>
                <w14:textFill>
                  <w14:solidFill>
                    <w14:schemeClr w14:val="tx1"/>
                  </w14:solidFill>
                </w14:textFill>
              </w:rPr>
              <w:t>最终报价</w:t>
            </w:r>
            <w:r>
              <w:rPr>
                <w:rFonts w:hint="eastAsia" w:ascii="仿宋" w:hAnsi="仿宋" w:eastAsia="仿宋" w:cs="仿宋"/>
                <w:color w:val="000000" w:themeColor="text1"/>
                <w:highlight w:val="none"/>
                <w14:textFill>
                  <w14:solidFill>
                    <w14:schemeClr w14:val="tx1"/>
                  </w14:solidFill>
                </w14:textFill>
              </w:rPr>
              <w:t>进行评审。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★磋商响应有效期</w:t>
            </w:r>
          </w:p>
        </w:tc>
        <w:tc>
          <w:tcPr>
            <w:tcW w:w="3589" w:type="pct"/>
            <w:noWrap w:val="0"/>
            <w:vAlign w:val="center"/>
          </w:tcPr>
          <w:p>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磋商响应有效期：</w:t>
            </w:r>
            <w:r>
              <w:rPr>
                <w:rFonts w:hint="eastAsia" w:ascii="仿宋" w:hAnsi="仿宋" w:eastAsia="仿宋" w:cs="仿宋"/>
                <w:color w:val="000000" w:themeColor="text1"/>
                <w:highlight w:val="none"/>
                <w:u w:val="single"/>
                <w:lang w:val="en-US" w:eastAsia="zh-CN"/>
                <w14:textFill>
                  <w14:solidFill>
                    <w14:schemeClr w14:val="tx1"/>
                  </w14:solidFill>
                </w14:textFill>
              </w:rPr>
              <w:t>90</w:t>
            </w:r>
            <w:r>
              <w:rPr>
                <w:rFonts w:hint="eastAsia" w:ascii="仿宋" w:hAnsi="仿宋" w:eastAsia="仿宋" w:cs="仿宋"/>
                <w:color w:val="000000" w:themeColor="text1"/>
                <w:highlight w:val="none"/>
                <w:u w:val="single"/>
                <w14:textFill>
                  <w14:solidFill>
                    <w14:schemeClr w14:val="tx1"/>
                  </w14:solidFill>
                </w14:textFill>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★磋商保证金</w:t>
            </w:r>
            <w:r>
              <w:rPr>
                <w:rFonts w:hint="eastAsia" w:ascii="仿宋" w:hAnsi="仿宋" w:eastAsia="仿宋" w:cs="宋体"/>
                <w:color w:val="000000" w:themeColor="text1"/>
                <w:szCs w:val="21"/>
                <w:highlight w:val="none"/>
                <w:lang w:val="en-US" w:eastAsia="zh-CN"/>
                <w14:textFill>
                  <w14:solidFill>
                    <w14:schemeClr w14:val="tx1"/>
                  </w14:solidFill>
                </w14:textFill>
              </w:rPr>
              <w:t>的金额</w:t>
            </w:r>
          </w:p>
        </w:tc>
        <w:tc>
          <w:tcPr>
            <w:tcW w:w="3589" w:type="pct"/>
            <w:noWrap w:val="0"/>
            <w:vAlign w:val="center"/>
          </w:tcPr>
          <w:p>
            <w:pPr>
              <w:pStyle w:val="156"/>
              <w:spacing w:before="62" w:beforeLines="20" w:after="62" w:afterLines="20" w:line="360" w:lineRule="auto"/>
              <w:rPr>
                <w:rFonts w:hint="default" w:ascii="仿宋" w:hAnsi="仿宋" w:eastAsia="仿宋" w:cs="仿宋"/>
                <w:color w:val="000000" w:themeColor="text1"/>
                <w:highlight w:val="none"/>
                <w:u w:val="singl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磋商保证金金额：</w:t>
            </w:r>
            <w:r>
              <w:rPr>
                <w:rFonts w:hint="eastAsia" w:ascii="仿宋" w:hAnsi="仿宋" w:eastAsia="仿宋" w:cs="仿宋"/>
                <w:color w:val="000000" w:themeColor="text1"/>
                <w:highlight w:val="none"/>
                <w:lang w:val="en-US" w:eastAsia="zh-CN"/>
                <w14:textFill>
                  <w14:solidFill>
                    <w14:schemeClr w14:val="tx1"/>
                  </w14:solidFill>
                </w14:textFill>
              </w:rPr>
              <w:t>本次不设置挫伤保证金金额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Cambria Math"/>
                <w:color w:val="000000" w:themeColor="text1"/>
                <w:szCs w:val="21"/>
                <w:highlight w:val="none"/>
                <w14:textFill>
                  <w14:solidFill>
                    <w14:schemeClr w14:val="tx1"/>
                  </w14:solidFill>
                </w14:textFill>
              </w:rPr>
              <w:t>★</w:t>
            </w:r>
            <w:r>
              <w:rPr>
                <w:rFonts w:hint="eastAsia" w:ascii="仿宋" w:hAnsi="仿宋" w:eastAsia="仿宋" w:cs="宋体"/>
                <w:color w:val="000000" w:themeColor="text1"/>
                <w:szCs w:val="21"/>
                <w:highlight w:val="none"/>
                <w:lang w:val="en-US" w:eastAsia="zh-CN"/>
                <w14:textFill>
                  <w14:solidFill>
                    <w14:schemeClr w14:val="tx1"/>
                  </w14:solidFill>
                </w14:textFill>
              </w:rPr>
              <w:t>磋商</w:t>
            </w:r>
            <w:r>
              <w:rPr>
                <w:rFonts w:hint="eastAsia" w:ascii="仿宋" w:hAnsi="仿宋" w:eastAsia="仿宋" w:cs="宋体"/>
                <w:color w:val="000000" w:themeColor="text1"/>
                <w:szCs w:val="21"/>
                <w:highlight w:val="none"/>
                <w14:textFill>
                  <w14:solidFill>
                    <w14:schemeClr w14:val="tx1"/>
                  </w14:solidFill>
                </w14:textFill>
              </w:rPr>
              <w:t>保证金</w:t>
            </w:r>
            <w:r>
              <w:rPr>
                <w:rFonts w:hint="eastAsia" w:ascii="仿宋" w:hAnsi="仿宋" w:eastAsia="仿宋" w:cs="宋体"/>
                <w:color w:val="000000" w:themeColor="text1"/>
                <w:szCs w:val="21"/>
                <w:highlight w:val="none"/>
                <w:lang w:val="en-US" w:eastAsia="zh-CN"/>
                <w14:textFill>
                  <w14:solidFill>
                    <w14:schemeClr w14:val="tx1"/>
                  </w14:solidFill>
                </w14:textFill>
              </w:rPr>
              <w:t>的</w:t>
            </w:r>
            <w:r>
              <w:rPr>
                <w:rFonts w:hint="eastAsia" w:ascii="仿宋" w:hAnsi="仿宋" w:eastAsia="仿宋" w:cs="宋体"/>
                <w:color w:val="000000" w:themeColor="text1"/>
                <w:szCs w:val="21"/>
                <w:highlight w:val="none"/>
                <w14:textFill>
                  <w14:solidFill>
                    <w14:schemeClr w14:val="tx1"/>
                  </w14:solidFill>
                </w14:textFill>
              </w:rPr>
              <w:t>形式</w:t>
            </w:r>
          </w:p>
        </w:tc>
        <w:tc>
          <w:tcPr>
            <w:tcW w:w="3589" w:type="pct"/>
            <w:noWrap w:val="0"/>
            <w:vAlign w:val="center"/>
          </w:tcPr>
          <w:p>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w:t>
            </w:r>
            <w:r>
              <w:rPr>
                <w:rFonts w:hint="eastAsia" w:ascii="仿宋" w:hAnsi="仿宋" w:eastAsia="仿宋" w:cs="仿宋"/>
                <w:color w:val="000000" w:themeColor="text1"/>
                <w:highlight w:val="none"/>
                <w:lang w:val="en-US" w:eastAsia="zh-CN"/>
                <w14:textFill>
                  <w14:solidFill>
                    <w14:schemeClr w14:val="tx1"/>
                  </w14:solidFill>
                </w14:textFill>
              </w:rPr>
              <w:t>磋商</w:t>
            </w:r>
            <w:r>
              <w:rPr>
                <w:rFonts w:hint="eastAsia" w:ascii="仿宋" w:hAnsi="仿宋" w:eastAsia="仿宋" w:cs="仿宋"/>
                <w:color w:val="000000" w:themeColor="text1"/>
                <w:highlight w:val="none"/>
                <w14:textFill>
                  <w14:solidFill>
                    <w14:schemeClr w14:val="tx1"/>
                  </w14:solidFill>
                </w14:textFill>
              </w:rPr>
              <w:t>保证金的形式：银行电汇/银行转账/在中国注册的银行出具的银行保函/电子保函。</w:t>
            </w:r>
          </w:p>
          <w:p>
            <w:pPr>
              <w:pStyle w:val="156"/>
              <w:spacing w:before="62" w:beforeLines="20" w:after="62" w:afterLines="20" w:line="360" w:lineRule="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（2）缴纳方式：</w:t>
            </w:r>
            <w:r>
              <w:rPr>
                <w:rFonts w:hint="eastAsia" w:ascii="仿宋" w:hAnsi="仿宋" w:eastAsia="仿宋" w:cs="仿宋"/>
                <w:color w:val="000000" w:themeColor="text1"/>
                <w:highlight w:val="none"/>
                <w:lang w:val="en-US" w:eastAsia="zh-CN"/>
                <w14:textFill>
                  <w14:solidFill>
                    <w14:schemeClr w14:val="tx1"/>
                  </w14:solidFill>
                </w14:textFill>
              </w:rPr>
              <w:t>不涉及</w:t>
            </w:r>
          </w:p>
          <w:p>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（3）未在文件递交截止时间前提交</w:t>
            </w:r>
            <w:r>
              <w:rPr>
                <w:rFonts w:hint="eastAsia" w:ascii="仿宋" w:hAnsi="仿宋" w:eastAsia="仿宋" w:cs="仿宋"/>
                <w:color w:val="000000" w:themeColor="text1"/>
                <w:highlight w:val="none"/>
                <w:lang w:val="en-US" w:eastAsia="zh-CN"/>
                <w14:textFill>
                  <w14:solidFill>
                    <w14:schemeClr w14:val="tx1"/>
                  </w14:solidFill>
                </w14:textFill>
              </w:rPr>
              <w:t>磋商</w:t>
            </w:r>
            <w:r>
              <w:rPr>
                <w:rFonts w:hint="eastAsia" w:ascii="仿宋" w:hAnsi="仿宋" w:eastAsia="仿宋" w:cs="仿宋"/>
                <w:color w:val="000000" w:themeColor="text1"/>
                <w:highlight w:val="none"/>
                <w14:textFill>
                  <w14:solidFill>
                    <w14:schemeClr w14:val="tx1"/>
                  </w14:solidFill>
                </w14:textFill>
              </w:rPr>
              <w:t>保证保险的或者提交的</w:t>
            </w:r>
            <w:r>
              <w:rPr>
                <w:rFonts w:hint="eastAsia" w:ascii="仿宋" w:hAnsi="仿宋" w:eastAsia="仿宋" w:cs="仿宋"/>
                <w:color w:val="000000" w:themeColor="text1"/>
                <w:highlight w:val="none"/>
                <w:lang w:val="en-US" w:eastAsia="zh-CN"/>
                <w14:textFill>
                  <w14:solidFill>
                    <w14:schemeClr w14:val="tx1"/>
                  </w14:solidFill>
                </w14:textFill>
              </w:rPr>
              <w:t>磋商</w:t>
            </w:r>
            <w:r>
              <w:rPr>
                <w:rFonts w:hint="eastAsia" w:ascii="仿宋" w:hAnsi="仿宋" w:eastAsia="仿宋" w:cs="仿宋"/>
                <w:color w:val="000000" w:themeColor="text1"/>
                <w:highlight w:val="none"/>
                <w14:textFill>
                  <w14:solidFill>
                    <w14:schemeClr w14:val="tx1"/>
                  </w14:solidFill>
                </w14:textFill>
              </w:rPr>
              <w:t>保证保险有瑕疵的，</w:t>
            </w:r>
            <w:r>
              <w:rPr>
                <w:rFonts w:hint="eastAsia" w:ascii="仿宋" w:hAnsi="仿宋" w:eastAsia="仿宋" w:cs="仿宋"/>
                <w:color w:val="000000" w:themeColor="text1"/>
                <w:highlight w:val="none"/>
                <w:lang w:val="en-US" w:eastAsia="zh-CN"/>
                <w14:textFill>
                  <w14:solidFill>
                    <w14:schemeClr w14:val="tx1"/>
                  </w14:solidFill>
                </w14:textFill>
              </w:rPr>
              <w:t>响应</w:t>
            </w:r>
            <w:r>
              <w:rPr>
                <w:rFonts w:hint="eastAsia" w:ascii="仿宋" w:hAnsi="仿宋" w:eastAsia="仿宋" w:cs="仿宋"/>
                <w:color w:val="000000" w:themeColor="text1"/>
                <w:highlight w:val="none"/>
                <w14:textFill>
                  <w14:solidFill>
                    <w14:schemeClr w14:val="tx1"/>
                  </w14:solidFill>
                </w14:textFill>
              </w:rPr>
              <w:t>将被否决。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pStyle w:val="156"/>
              <w:spacing w:before="62" w:beforeLines="20" w:after="62" w:afterLines="20" w:line="276" w:lineRule="auto"/>
              <w:jc w:val="center"/>
              <w:rPr>
                <w:rFonts w:hint="eastAsia" w:ascii="仿宋" w:hAnsi="仿宋" w:eastAsia="仿宋" w:cs="仿宋"/>
                <w:color w:val="000000"/>
                <w:highlight w:val="none"/>
              </w:rPr>
            </w:pPr>
          </w:p>
        </w:tc>
        <w:tc>
          <w:tcPr>
            <w:tcW w:w="927" w:type="pct"/>
            <w:noWrap w:val="0"/>
            <w:vAlign w:val="center"/>
          </w:tcPr>
          <w:p>
            <w:pPr>
              <w:pStyle w:val="156"/>
              <w:spacing w:before="62" w:beforeLines="20" w:after="62" w:afterLines="20" w:line="276"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★磋商保证金不予退还情形</w:t>
            </w:r>
          </w:p>
        </w:tc>
        <w:tc>
          <w:tcPr>
            <w:tcW w:w="3589" w:type="pct"/>
            <w:noWrap w:val="0"/>
            <w:vAlign w:val="center"/>
          </w:tcPr>
          <w:p>
            <w:pPr>
              <w:pStyle w:val="2"/>
              <w:spacing w:line="360" w:lineRule="auto"/>
              <w:jc w:val="left"/>
              <w:rPr>
                <w:rFonts w:ascii="仿宋" w:hAnsi="仿宋" w:eastAsia="仿宋" w:cs="仿宋"/>
                <w:color w:val="000000" w:themeColor="text1"/>
                <w:kern w:val="0"/>
                <w:sz w:val="21"/>
                <w:szCs w:val="21"/>
                <w:highlight w:val="none"/>
                <w:lang w:bidi="ar"/>
                <w14:textFill>
                  <w14:solidFill>
                    <w14:schemeClr w14:val="tx1"/>
                  </w14:solidFill>
                </w14:textFill>
              </w:rPr>
            </w:pPr>
            <w:r>
              <w:rPr>
                <w:rFonts w:hint="eastAsia" w:ascii="仿宋" w:hAnsi="仿宋" w:eastAsia="仿宋" w:cs="仿宋"/>
                <w:color w:val="000000" w:themeColor="text1"/>
                <w:kern w:val="0"/>
                <w:sz w:val="21"/>
                <w:szCs w:val="21"/>
                <w:highlight w:val="none"/>
                <w:lang w:bidi="ar"/>
                <w14:textFill>
                  <w14:solidFill>
                    <w14:schemeClr w14:val="tx1"/>
                  </w14:solidFill>
                </w14:textFill>
              </w:rPr>
              <w:t>供应商或成交供应商出现下列行为之一，磋商保证金不予退还：</w:t>
            </w:r>
          </w:p>
          <w:p>
            <w:pPr>
              <w:pStyle w:val="2"/>
              <w:spacing w:line="360" w:lineRule="auto"/>
              <w:jc w:val="left"/>
              <w:rPr>
                <w:rFonts w:hint="eastAsia" w:ascii="仿宋" w:hAnsi="仿宋" w:eastAsia="仿宋" w:cs="仿宋"/>
                <w:color w:val="000000" w:themeColor="text1"/>
                <w:kern w:val="0"/>
                <w:sz w:val="21"/>
                <w:szCs w:val="21"/>
                <w:highlight w:val="none"/>
                <w:lang w:bidi="ar"/>
                <w14:textFill>
                  <w14:solidFill>
                    <w14:schemeClr w14:val="tx1"/>
                  </w14:solidFill>
                </w14:textFill>
              </w:rPr>
            </w:pPr>
            <w:r>
              <w:rPr>
                <w:rFonts w:hint="eastAsia" w:ascii="仿宋" w:hAnsi="仿宋" w:eastAsia="仿宋" w:cs="仿宋"/>
                <w:color w:val="000000" w:themeColor="text1"/>
                <w:kern w:val="0"/>
                <w:sz w:val="21"/>
                <w:szCs w:val="21"/>
                <w:highlight w:val="none"/>
                <w:lang w:bidi="ar"/>
                <w14:textFill>
                  <w14:solidFill>
                    <w14:schemeClr w14:val="tx1"/>
                  </w14:solidFill>
                </w14:textFill>
              </w:rPr>
              <w:t>（1）供应商在磋商截止后至磋商有效期期满前,要求撤回已递交的响应文件；</w:t>
            </w:r>
          </w:p>
          <w:p>
            <w:pPr>
              <w:pStyle w:val="2"/>
              <w:spacing w:line="360" w:lineRule="auto"/>
              <w:jc w:val="left"/>
              <w:rPr>
                <w:rFonts w:hint="eastAsia" w:ascii="仿宋" w:hAnsi="仿宋" w:eastAsia="仿宋" w:cs="仿宋"/>
                <w:color w:val="000000" w:themeColor="text1"/>
                <w:kern w:val="0"/>
                <w:sz w:val="21"/>
                <w:szCs w:val="21"/>
                <w:highlight w:val="none"/>
                <w:lang w:bidi="ar"/>
                <w14:textFill>
                  <w14:solidFill>
                    <w14:schemeClr w14:val="tx1"/>
                  </w14:solidFill>
                </w14:textFill>
              </w:rPr>
            </w:pPr>
            <w:r>
              <w:rPr>
                <w:rFonts w:hint="eastAsia" w:ascii="仿宋" w:hAnsi="仿宋" w:eastAsia="仿宋" w:cs="仿宋"/>
                <w:color w:val="000000" w:themeColor="text1"/>
                <w:kern w:val="0"/>
                <w:sz w:val="21"/>
                <w:szCs w:val="21"/>
                <w:highlight w:val="none"/>
                <w:lang w:bidi="ar"/>
                <w14:textFill>
                  <w14:solidFill>
                    <w14:schemeClr w14:val="tx1"/>
                  </w14:solidFill>
                </w14:textFill>
              </w:rPr>
              <w:t>（2）成交后放弃成交的；</w:t>
            </w:r>
          </w:p>
          <w:p>
            <w:pPr>
              <w:pStyle w:val="2"/>
              <w:spacing w:line="360" w:lineRule="auto"/>
              <w:jc w:val="left"/>
              <w:rPr>
                <w:rFonts w:hint="eastAsia" w:ascii="仿宋" w:hAnsi="仿宋" w:eastAsia="仿宋" w:cs="仿宋"/>
                <w:color w:val="000000" w:themeColor="text1"/>
                <w:kern w:val="0"/>
                <w:sz w:val="21"/>
                <w:szCs w:val="21"/>
                <w:highlight w:val="none"/>
                <w:lang w:bidi="ar"/>
                <w14:textFill>
                  <w14:solidFill>
                    <w14:schemeClr w14:val="tx1"/>
                  </w14:solidFill>
                </w14:textFill>
              </w:rPr>
            </w:pPr>
            <w:r>
              <w:rPr>
                <w:rFonts w:hint="eastAsia" w:ascii="仿宋" w:hAnsi="仿宋" w:eastAsia="仿宋" w:cs="仿宋"/>
                <w:color w:val="000000" w:themeColor="text1"/>
                <w:kern w:val="0"/>
                <w:sz w:val="21"/>
                <w:szCs w:val="21"/>
                <w:highlight w:val="none"/>
                <w:lang w:bidi="ar"/>
                <w14:textFill>
                  <w14:solidFill>
                    <w14:schemeClr w14:val="tx1"/>
                  </w14:solidFill>
                </w14:textFill>
              </w:rPr>
              <w:t>（3）成交后无正当理由不与采购人订立合同的；</w:t>
            </w:r>
          </w:p>
          <w:p>
            <w:pPr>
              <w:pStyle w:val="2"/>
              <w:spacing w:line="360" w:lineRule="auto"/>
              <w:jc w:val="left"/>
              <w:rPr>
                <w:rFonts w:hint="eastAsia" w:ascii="仿宋" w:hAnsi="仿宋" w:eastAsia="仿宋" w:cs="仿宋"/>
                <w:color w:val="000000" w:themeColor="text1"/>
                <w:kern w:val="0"/>
                <w:sz w:val="21"/>
                <w:szCs w:val="21"/>
                <w:highlight w:val="none"/>
                <w:lang w:bidi="ar"/>
                <w14:textFill>
                  <w14:solidFill>
                    <w14:schemeClr w14:val="tx1"/>
                  </w14:solidFill>
                </w14:textFill>
              </w:rPr>
            </w:pPr>
            <w:r>
              <w:rPr>
                <w:rFonts w:hint="eastAsia" w:ascii="仿宋" w:hAnsi="仿宋" w:eastAsia="仿宋" w:cs="仿宋"/>
                <w:color w:val="000000" w:themeColor="text1"/>
                <w:kern w:val="0"/>
                <w:sz w:val="21"/>
                <w:szCs w:val="21"/>
                <w:highlight w:val="none"/>
                <w:lang w:bidi="ar"/>
                <w14:textFill>
                  <w14:solidFill>
                    <w14:schemeClr w14:val="tx1"/>
                  </w14:solidFill>
                </w14:textFill>
              </w:rPr>
              <w:t>（4）成交供应商在签订合同时向采购人提出附加条件或要求变更实质性合同条款的；</w:t>
            </w:r>
          </w:p>
          <w:p>
            <w:pPr>
              <w:pStyle w:val="2"/>
              <w:spacing w:line="360" w:lineRule="auto"/>
              <w:jc w:val="left"/>
              <w:rPr>
                <w:rFonts w:hint="eastAsia" w:ascii="仿宋" w:hAnsi="仿宋" w:eastAsia="仿宋" w:cs="仿宋"/>
                <w:color w:val="000000" w:themeColor="text1"/>
                <w:kern w:val="0"/>
                <w:sz w:val="21"/>
                <w:szCs w:val="21"/>
                <w:highlight w:val="none"/>
                <w:lang w:bidi="ar"/>
                <w14:textFill>
                  <w14:solidFill>
                    <w14:schemeClr w14:val="tx1"/>
                  </w14:solidFill>
                </w14:textFill>
              </w:rPr>
            </w:pPr>
            <w:r>
              <w:rPr>
                <w:rFonts w:hint="eastAsia" w:ascii="仿宋" w:hAnsi="仿宋" w:eastAsia="仿宋" w:cs="仿宋"/>
                <w:color w:val="000000" w:themeColor="text1"/>
                <w:kern w:val="0"/>
                <w:sz w:val="21"/>
                <w:szCs w:val="21"/>
                <w:highlight w:val="none"/>
                <w:lang w:bidi="ar"/>
                <w14:textFill>
                  <w14:solidFill>
                    <w14:schemeClr w14:val="tx1"/>
                  </w14:solidFill>
                </w14:textFill>
              </w:rPr>
              <w:t>（5）成交供应商不按照磋商文件要求提交履约保证金的；</w:t>
            </w:r>
          </w:p>
          <w:p>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bidi="ar"/>
                <w14:textFill>
                  <w14:solidFill>
                    <w14:schemeClr w14:val="tx1"/>
                  </w14:solidFill>
                </w14:textFill>
              </w:rPr>
              <w:t>（6）供应商有恶意欺诈、弄虚作假、围标串标、哄抬标价、徇私行贿等法律法规中所列违规行为的。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pStyle w:val="156"/>
              <w:spacing w:before="62" w:beforeLines="20" w:after="62" w:afterLines="20" w:line="360" w:lineRule="auto"/>
              <w:jc w:val="center"/>
              <w:rPr>
                <w:rFonts w:hint="eastAsia" w:ascii="仿宋" w:hAnsi="仿宋" w:eastAsia="仿宋" w:cs="仿宋"/>
                <w:color w:val="000000"/>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响应文件的份数</w:t>
            </w:r>
          </w:p>
        </w:tc>
        <w:tc>
          <w:tcPr>
            <w:tcW w:w="3589" w:type="pct"/>
            <w:noWrap w:val="0"/>
            <w:vAlign w:val="center"/>
          </w:tcPr>
          <w:p>
            <w:pPr>
              <w:pStyle w:val="16"/>
              <w:rPr>
                <w:rFonts w:hint="eastAsia"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sz w:val="21"/>
                <w:szCs w:val="21"/>
                <w:highlight w:val="none"/>
                <w14:textFill>
                  <w14:solidFill>
                    <w14:schemeClr w14:val="tx1"/>
                  </w14:solidFill>
                </w14:textFill>
              </w:rPr>
              <w:t>电子文件</w:t>
            </w:r>
            <w:r>
              <w:rPr>
                <w:rFonts w:hint="eastAsia" w:ascii="仿宋" w:hAnsi="仿宋" w:eastAsia="仿宋" w:cs="宋体"/>
                <w:color w:val="000000" w:themeColor="text1"/>
                <w:sz w:val="21"/>
                <w:szCs w:val="21"/>
                <w:highlight w:val="none"/>
                <w:u w:val="single"/>
                <w14:textFill>
                  <w14:solidFill>
                    <w14:schemeClr w14:val="tx1"/>
                  </w14:solidFill>
                </w14:textFill>
              </w:rPr>
              <w:t>1</w:t>
            </w:r>
            <w:r>
              <w:rPr>
                <w:rFonts w:hint="eastAsia" w:ascii="仿宋" w:hAnsi="仿宋" w:eastAsia="仿宋" w:cs="宋体"/>
                <w:color w:val="000000" w:themeColor="text1"/>
                <w:sz w:val="21"/>
                <w:szCs w:val="21"/>
                <w:highlight w:val="none"/>
                <w14:textFill>
                  <w14:solidFill>
                    <w14:schemeClr w14:val="tx1"/>
                  </w14:solidFill>
                </w14:textFill>
              </w:rPr>
              <w:t>份（</w:t>
            </w:r>
            <w:r>
              <w:rPr>
                <w:rFonts w:hint="eastAsia" w:ascii="仿宋" w:hAnsi="仿宋" w:eastAsia="仿宋" w:cs="宋体"/>
                <w:color w:val="000000" w:themeColor="text1"/>
                <w:sz w:val="21"/>
                <w:szCs w:val="21"/>
                <w:highlight w:val="none"/>
                <w:lang w:val="en-US" w:eastAsia="zh-CN"/>
                <w14:textFill>
                  <w14:solidFill>
                    <w14:schemeClr w14:val="tx1"/>
                  </w14:solidFill>
                </w14:textFill>
              </w:rPr>
              <w:t>具体格式要求</w:t>
            </w:r>
            <w:r>
              <w:rPr>
                <w:rFonts w:hint="eastAsia" w:ascii="仿宋" w:hAnsi="仿宋" w:eastAsia="仿宋" w:cs="宋体"/>
                <w:color w:val="000000" w:themeColor="text1"/>
                <w:sz w:val="21"/>
                <w:szCs w:val="21"/>
                <w:highlight w:val="none"/>
                <w14:textFill>
                  <w14:solidFill>
                    <w14:schemeClr w14:val="tx1"/>
                  </w14:solidFill>
                </w14:textFill>
              </w:rPr>
              <w:t>）；纸质文件正本</w:t>
            </w:r>
            <w:r>
              <w:rPr>
                <w:rFonts w:hint="eastAsia" w:ascii="仿宋" w:hAnsi="仿宋" w:eastAsia="仿宋" w:cs="宋体"/>
                <w:color w:val="000000" w:themeColor="text1"/>
                <w:sz w:val="21"/>
                <w:szCs w:val="21"/>
                <w:highlight w:val="none"/>
                <w:u w:val="single"/>
                <w14:textFill>
                  <w14:solidFill>
                    <w14:schemeClr w14:val="tx1"/>
                  </w14:solidFill>
                </w14:textFill>
              </w:rPr>
              <w:t xml:space="preserve"> 1 </w:t>
            </w:r>
            <w:r>
              <w:rPr>
                <w:rFonts w:hint="eastAsia" w:ascii="仿宋" w:hAnsi="仿宋" w:eastAsia="仿宋" w:cs="宋体"/>
                <w:color w:val="000000" w:themeColor="text1"/>
                <w:sz w:val="21"/>
                <w:szCs w:val="21"/>
                <w:highlight w:val="none"/>
                <w14:textFill>
                  <w14:solidFill>
                    <w14:schemeClr w14:val="tx1"/>
                  </w14:solidFill>
                </w14:textFill>
              </w:rPr>
              <w:t>份，副本</w:t>
            </w:r>
            <w:r>
              <w:rPr>
                <w:rFonts w:hint="default" w:ascii="仿宋" w:hAnsi="仿宋" w:eastAsia="仿宋" w:cs="宋体"/>
                <w:color w:val="000000" w:themeColor="text1"/>
                <w:sz w:val="21"/>
                <w:szCs w:val="21"/>
                <w:highlight w:val="none"/>
                <w:u w:val="single"/>
                <w14:textFill>
                  <w14:solidFill>
                    <w14:schemeClr w14:val="tx1"/>
                  </w14:solidFill>
                </w14:textFill>
              </w:rPr>
              <w:t xml:space="preserve"> </w:t>
            </w:r>
            <w:r>
              <w:rPr>
                <w:rFonts w:hint="eastAsia" w:ascii="仿宋" w:hAnsi="仿宋" w:eastAsia="仿宋" w:cs="宋体"/>
                <w:color w:val="000000" w:themeColor="text1"/>
                <w:sz w:val="21"/>
                <w:szCs w:val="21"/>
                <w:highlight w:val="none"/>
                <w:u w:val="single"/>
                <w:lang w:val="en-US" w:eastAsia="zh-CN"/>
                <w14:textFill>
                  <w14:solidFill>
                    <w14:schemeClr w14:val="tx1"/>
                  </w14:solidFill>
                </w14:textFill>
              </w:rPr>
              <w:t>2</w:t>
            </w:r>
            <w:r>
              <w:rPr>
                <w:rFonts w:hint="eastAsia" w:ascii="仿宋" w:hAnsi="仿宋" w:eastAsia="仿宋" w:cs="宋体"/>
                <w:color w:val="000000" w:themeColor="text1"/>
                <w:sz w:val="21"/>
                <w:szCs w:val="21"/>
                <w:highlight w:val="none"/>
                <w:u w:val="single"/>
                <w14:textFill>
                  <w14:solidFill>
                    <w14:schemeClr w14:val="tx1"/>
                  </w14:solidFill>
                </w14:textFill>
              </w:rPr>
              <w:t xml:space="preserve"> </w:t>
            </w:r>
            <w:r>
              <w:rPr>
                <w:rFonts w:hint="eastAsia" w:ascii="仿宋" w:hAnsi="仿宋" w:eastAsia="仿宋" w:cs="宋体"/>
                <w:color w:val="000000" w:themeColor="text1"/>
                <w:sz w:val="21"/>
                <w:szCs w:val="21"/>
                <w:highlight w:val="none"/>
                <w14:textFill>
                  <w14:solidFill>
                    <w14:schemeClr w14:val="tx1"/>
                  </w14:solidFill>
                </w14:textFill>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纸质</w:t>
            </w:r>
            <w:r>
              <w:rPr>
                <w:rFonts w:hint="eastAsia" w:ascii="仿宋" w:hAnsi="仿宋" w:eastAsia="仿宋" w:cs="仿宋"/>
                <w:color w:val="000000" w:themeColor="text1"/>
                <w:szCs w:val="21"/>
                <w:highlight w:val="none"/>
                <w14:textFill>
                  <w14:solidFill>
                    <w14:schemeClr w14:val="tx1"/>
                  </w14:solidFill>
                </w14:textFill>
              </w:rPr>
              <w:t>响应文件的装订、密封和标记</w:t>
            </w:r>
          </w:p>
        </w:tc>
        <w:tc>
          <w:tcPr>
            <w:tcW w:w="3589" w:type="pct"/>
            <w:noWrap w:val="0"/>
            <w:vAlign w:val="center"/>
          </w:tcPr>
          <w:p>
            <w:pPr>
              <w:spacing w:line="360" w:lineRule="auto"/>
              <w:rPr>
                <w:rFonts w:hint="eastAsia" w:ascii="仿宋" w:hAnsi="仿宋" w:eastAsia="仿宋" w:cs="Cambria Math"/>
                <w:color w:val="000000" w:themeColor="text1"/>
                <w:szCs w:val="21"/>
                <w:highlight w:val="none"/>
                <w14:textFill>
                  <w14:solidFill>
                    <w14:schemeClr w14:val="tx1"/>
                  </w14:solidFill>
                </w14:textFill>
              </w:rPr>
            </w:pPr>
            <w:r>
              <w:rPr>
                <w:rFonts w:hint="eastAsia" w:ascii="仿宋" w:hAnsi="仿宋" w:eastAsia="仿宋" w:cs="Cambria Math"/>
                <w:color w:val="000000" w:themeColor="text1"/>
                <w:szCs w:val="21"/>
                <w:highlight w:val="none"/>
                <w14:textFill>
                  <w14:solidFill>
                    <w14:schemeClr w14:val="tx1"/>
                  </w14:solidFill>
                </w14:textFill>
              </w:rPr>
              <w:t>（1）采用A4纸胶装，双面打印，商务、技术、报价文件分别装订成册，密封粘接缝隙加盖供应商公章或由法定代表人（负责人）或其委托代理人签字。未按要求密封的</w:t>
            </w:r>
            <w:r>
              <w:rPr>
                <w:rFonts w:hint="eastAsia" w:ascii="仿宋" w:hAnsi="仿宋" w:eastAsia="仿宋" w:cs="Cambria Math"/>
                <w:color w:val="000000" w:themeColor="text1"/>
                <w:szCs w:val="21"/>
                <w:highlight w:val="none"/>
                <w:lang w:eastAsia="zh-Hans"/>
                <w14:textFill>
                  <w14:solidFill>
                    <w14:schemeClr w14:val="tx1"/>
                  </w14:solidFill>
                </w14:textFill>
              </w:rPr>
              <w:t>纸质</w:t>
            </w:r>
            <w:r>
              <w:rPr>
                <w:rFonts w:hint="eastAsia" w:ascii="仿宋" w:hAnsi="仿宋" w:eastAsia="仿宋" w:cs="Cambria Math"/>
                <w:color w:val="000000" w:themeColor="text1"/>
                <w:szCs w:val="21"/>
                <w:highlight w:val="none"/>
                <w14:textFill>
                  <w14:solidFill>
                    <w14:schemeClr w14:val="tx1"/>
                  </w14:solidFill>
                </w14:textFill>
              </w:rPr>
              <w:t>响应文件不予接收。</w:t>
            </w:r>
          </w:p>
          <w:p>
            <w:pPr>
              <w:rPr>
                <w:rFonts w:ascii="仿宋" w:hAnsi="仿宋" w:eastAsia="仿宋"/>
                <w:color w:val="000000" w:themeColor="text1"/>
                <w:highlight w:val="none"/>
                <w14:textFill>
                  <w14:solidFill>
                    <w14:schemeClr w14:val="tx1"/>
                  </w14:solidFill>
                </w14:textFill>
              </w:rPr>
            </w:pPr>
            <w:r>
              <w:rPr>
                <w:rFonts w:hint="eastAsia" w:ascii="仿宋" w:hAnsi="仿宋" w:eastAsia="仿宋" w:cs="Cambria Math"/>
                <w:color w:val="000000" w:themeColor="text1"/>
                <w:szCs w:val="21"/>
                <w:highlight w:val="none"/>
                <w14:textFill>
                  <w14:solidFill>
                    <w14:schemeClr w14:val="tx1"/>
                  </w14:solidFill>
                </w14:textFill>
              </w:rPr>
              <w:t>（2）外层包封具体样式如下：</w:t>
            </w:r>
          </w:p>
          <w:p>
            <w:pPr>
              <w:pStyle w:val="156"/>
              <w:spacing w:before="62" w:beforeLines="20" w:after="62" w:afterLines="20" w:line="360" w:lineRule="auto"/>
              <w:rPr>
                <w:rFonts w:hint="eastAsia" w:ascii="仿宋" w:hAnsi="仿宋" w:eastAsia="仿宋" w:cs="Cambria Math"/>
                <w:b/>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lang w:val="en-US" w:eastAsia="zh-CN"/>
                                    </w:rPr>
                                    <w:t>2026</w:t>
                                  </w:r>
                                  <w:r>
                                    <w:rPr>
                                      <w:rFonts w:hint="eastAsia" w:ascii="仿宋" w:hAnsi="仿宋" w:eastAsia="仿宋" w:cs="仿宋"/>
                                      <w:szCs w:val="21"/>
                                    </w:rPr>
                                    <w:t>】年【</w:t>
                                  </w:r>
                                  <w:r>
                                    <w:rPr>
                                      <w:rFonts w:hint="eastAsia" w:ascii="仿宋" w:hAnsi="仿宋" w:eastAsia="仿宋" w:cs="仿宋"/>
                                      <w:szCs w:val="21"/>
                                      <w:lang w:val="en-US" w:eastAsia="zh-CN"/>
                                    </w:rPr>
                                    <w:t>5</w:t>
                                  </w:r>
                                  <w:r>
                                    <w:rPr>
                                      <w:rFonts w:hint="eastAsia" w:ascii="仿宋" w:hAnsi="仿宋" w:eastAsia="仿宋" w:cs="仿宋"/>
                                      <w:szCs w:val="21"/>
                                    </w:rPr>
                                    <w:t>】月【</w:t>
                                  </w:r>
                                  <w:r>
                                    <w:rPr>
                                      <w:rFonts w:hint="eastAsia" w:ascii="仿宋" w:hAnsi="仿宋" w:eastAsia="仿宋" w:cs="仿宋"/>
                                      <w:szCs w:val="21"/>
                                      <w:lang w:val="en-US" w:eastAsia="zh-CN"/>
                                    </w:rPr>
                                    <w:t>27</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lang w:val="en-US" w:eastAsia="zh-CN"/>
                              </w:rPr>
                              <w:t>2026</w:t>
                            </w:r>
                            <w:r>
                              <w:rPr>
                                <w:rFonts w:hint="eastAsia" w:ascii="仿宋" w:hAnsi="仿宋" w:eastAsia="仿宋" w:cs="仿宋"/>
                                <w:szCs w:val="21"/>
                              </w:rPr>
                              <w:t>】年【</w:t>
                            </w:r>
                            <w:r>
                              <w:rPr>
                                <w:rFonts w:hint="eastAsia" w:ascii="仿宋" w:hAnsi="仿宋" w:eastAsia="仿宋" w:cs="仿宋"/>
                                <w:szCs w:val="21"/>
                                <w:lang w:val="en-US" w:eastAsia="zh-CN"/>
                              </w:rPr>
                              <w:t>5</w:t>
                            </w:r>
                            <w:r>
                              <w:rPr>
                                <w:rFonts w:hint="eastAsia" w:ascii="仿宋" w:hAnsi="仿宋" w:eastAsia="仿宋" w:cs="仿宋"/>
                                <w:szCs w:val="21"/>
                              </w:rPr>
                              <w:t>】月【</w:t>
                            </w:r>
                            <w:r>
                              <w:rPr>
                                <w:rFonts w:hint="eastAsia" w:ascii="仿宋" w:hAnsi="仿宋" w:eastAsia="仿宋" w:cs="仿宋"/>
                                <w:szCs w:val="21"/>
                                <w:lang w:val="en-US" w:eastAsia="zh-CN"/>
                              </w:rPr>
                              <w:t>27</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pStyle w:val="156"/>
              <w:spacing w:before="62" w:beforeLines="20" w:after="62" w:afterLines="20" w:line="360"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响应文件的递交</w:t>
            </w:r>
          </w:p>
        </w:tc>
        <w:tc>
          <w:tcPr>
            <w:tcW w:w="3589" w:type="pct"/>
            <w:noWrap w:val="0"/>
            <w:vAlign w:val="center"/>
          </w:tcPr>
          <w:p>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详见</w:t>
            </w:r>
            <w:r>
              <w:rPr>
                <w:rFonts w:hint="eastAsia" w:ascii="仿宋" w:hAnsi="仿宋" w:eastAsia="仿宋" w:cs="仿宋"/>
                <w:color w:val="000000" w:themeColor="text1"/>
                <w:highlight w:val="none"/>
                <w:u w:val="single"/>
                <w14:textFill>
                  <w14:solidFill>
                    <w14:schemeClr w14:val="tx1"/>
                  </w14:solidFill>
                </w14:textFill>
              </w:rPr>
              <w:t xml:space="preserve">第一章 </w:t>
            </w:r>
            <w:r>
              <w:rPr>
                <w:rFonts w:hint="eastAsia" w:ascii="仿宋" w:hAnsi="仿宋" w:eastAsia="仿宋" w:cs="仿宋"/>
                <w:color w:val="000000" w:themeColor="text1"/>
                <w:highlight w:val="none"/>
                <w:u w:val="single"/>
                <w:lang w:eastAsia="zh-CN"/>
                <w14:textFill>
                  <w14:solidFill>
                    <w14:schemeClr w14:val="tx1"/>
                  </w14:solidFill>
                </w14:textFill>
              </w:rPr>
              <w:t>比选</w:t>
            </w:r>
            <w:r>
              <w:rPr>
                <w:rFonts w:hint="eastAsia" w:ascii="仿宋" w:hAnsi="仿宋" w:eastAsia="仿宋" w:cs="仿宋"/>
                <w:color w:val="000000" w:themeColor="text1"/>
                <w:highlight w:val="none"/>
                <w:u w:val="single"/>
                <w14:textFill>
                  <w14:solidFill>
                    <w14:schemeClr w14:val="tx1"/>
                  </w14:solidFill>
                </w14:textFill>
              </w:rPr>
              <w:t>公告“五、响应文件的递交”</w:t>
            </w:r>
            <w:r>
              <w:rPr>
                <w:rFonts w:hint="eastAsia" w:ascii="仿宋" w:hAnsi="仿宋" w:eastAsia="仿宋" w:cs="仿宋"/>
                <w:color w:val="000000" w:themeColor="text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组建磋商小组</w:t>
            </w:r>
          </w:p>
        </w:tc>
        <w:tc>
          <w:tcPr>
            <w:tcW w:w="3589" w:type="pct"/>
            <w:noWrap w:val="0"/>
            <w:vAlign w:val="center"/>
          </w:tcPr>
          <w:p>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本项目磋商小组成员人数为</w:t>
            </w:r>
            <w:r>
              <w:rPr>
                <w:rFonts w:hint="eastAsia" w:ascii="仿宋" w:hAnsi="仿宋" w:eastAsia="仿宋" w:cs="仿宋"/>
                <w:color w:val="000000" w:themeColor="text1"/>
                <w:highlight w:val="none"/>
                <w:lang w:val="en-US" w:eastAsia="zh-CN"/>
                <w14:textFill>
                  <w14:solidFill>
                    <w14:schemeClr w14:val="tx1"/>
                  </w14:solidFill>
                </w14:textFill>
              </w:rPr>
              <w:t>3</w:t>
            </w:r>
            <w:r>
              <w:rPr>
                <w:rFonts w:hint="eastAsia" w:ascii="仿宋" w:hAnsi="仿宋" w:eastAsia="仿宋" w:cs="仿宋"/>
                <w:color w:val="000000" w:themeColor="text1"/>
                <w:highlight w:val="none"/>
                <w:u w:val="single"/>
                <w14:textFill>
                  <w14:solidFill>
                    <w14:schemeClr w14:val="tx1"/>
                  </w14:solidFill>
                </w14:textFill>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磋商程序及方式</w:t>
            </w:r>
          </w:p>
        </w:tc>
        <w:tc>
          <w:tcPr>
            <w:tcW w:w="3589" w:type="pct"/>
            <w:noWrap w:val="0"/>
            <w:vAlign w:val="center"/>
          </w:tcPr>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（1）磋商小组将与通过初步评审的有效供应商按照</w:t>
            </w:r>
            <w:r>
              <w:rPr>
                <w:rFonts w:hint="eastAsia" w:ascii="仿宋" w:hAnsi="仿宋" w:eastAsia="仿宋" w:cs="仿宋"/>
                <w:color w:val="000000"/>
                <w:highlight w:val="none"/>
                <w:u w:val="single"/>
              </w:rPr>
              <w:t>响应文件递交顺序/供应商随机抽取顺序</w:t>
            </w:r>
            <w:r>
              <w:rPr>
                <w:rFonts w:hint="eastAsia" w:ascii="仿宋" w:hAnsi="仿宋" w:eastAsia="仿宋" w:cs="仿宋"/>
                <w:color w:val="000000"/>
                <w:highlight w:val="none"/>
              </w:rPr>
              <w:t>逐一进行磋商，供应商至少应派法定代表人或其授权委托人准时参会。</w:t>
            </w:r>
          </w:p>
          <w:p>
            <w:pPr>
              <w:pStyle w:val="156"/>
              <w:spacing w:before="62" w:beforeLines="20" w:after="62" w:afterLines="20" w:line="360" w:lineRule="auto"/>
              <w:rPr>
                <w:rFonts w:ascii="仿宋" w:hAnsi="仿宋" w:eastAsia="仿宋" w:cs="仿宋"/>
                <w:color w:val="000000"/>
                <w:highlight w:val="none"/>
              </w:rPr>
            </w:pPr>
            <w:r>
              <w:rPr>
                <w:rFonts w:hint="eastAsia" w:ascii="仿宋" w:hAnsi="仿宋" w:eastAsia="仿宋" w:cs="仿宋"/>
                <w:color w:val="000000"/>
                <w:highlight w:val="none"/>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磋商内容</w:t>
            </w:r>
          </w:p>
        </w:tc>
        <w:tc>
          <w:tcPr>
            <w:tcW w:w="3589" w:type="pct"/>
            <w:noWrap w:val="0"/>
            <w:vAlign w:val="center"/>
          </w:tcPr>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rPr>
              <w:t>包含但不仅限于</w:t>
            </w:r>
            <w:r>
              <w:rPr>
                <w:rFonts w:hint="eastAsia" w:ascii="仿宋" w:hAnsi="仿宋" w:eastAsia="仿宋" w:cs="仿宋"/>
                <w:color w:val="000000"/>
                <w:u w:val="single"/>
              </w:rPr>
              <w:t>报价、对采购需求的理解、产品配置、实施方案、人员配置、服务承诺、商务条款</w:t>
            </w:r>
            <w:r>
              <w:rPr>
                <w:rFonts w:hint="eastAsia" w:ascii="仿宋" w:hAnsi="仿宋" w:eastAsia="仿宋" w:cs="仿宋"/>
                <w:color w:val="000000"/>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622" w:hRule="atLeast"/>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成交候选人推荐原则</w:t>
            </w:r>
          </w:p>
        </w:tc>
        <w:tc>
          <w:tcPr>
            <w:tcW w:w="3589" w:type="pct"/>
            <w:noWrap w:val="0"/>
            <w:vAlign w:val="center"/>
          </w:tcPr>
          <w:p>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磋商小组根据有效供应商</w:t>
            </w:r>
            <w:r>
              <w:rPr>
                <w:rFonts w:hint="eastAsia" w:ascii="仿宋" w:hAnsi="仿宋" w:eastAsia="仿宋" w:cs="宋体"/>
                <w:color w:val="000000" w:themeColor="text1"/>
                <w:highlight w:val="none"/>
                <w14:textFill>
                  <w14:solidFill>
                    <w14:schemeClr w14:val="tx1"/>
                  </w14:solidFill>
                </w14:textFill>
              </w:rPr>
              <w:t>综合得分由高至低排出的名次，顺序推荐</w:t>
            </w:r>
            <w:r>
              <w:rPr>
                <w:rFonts w:hint="eastAsia" w:ascii="仿宋" w:hAnsi="仿宋" w:eastAsia="仿宋" w:cs="宋体"/>
                <w:color w:val="000000" w:themeColor="text1"/>
                <w:highlight w:val="none"/>
                <w:u w:val="single"/>
                <w14:textFill>
                  <w14:solidFill>
                    <w14:schemeClr w14:val="tx1"/>
                  </w14:solidFill>
                </w14:textFill>
              </w:rPr>
              <w:t>综合得分前</w:t>
            </w:r>
            <w:r>
              <w:rPr>
                <w:rFonts w:hint="eastAsia" w:ascii="仿宋" w:hAnsi="仿宋" w:eastAsia="仿宋" w:cs="宋体"/>
                <w:color w:val="000000" w:themeColor="text1"/>
                <w:highlight w:val="none"/>
                <w:u w:val="single"/>
                <w:lang w:val="en-US" w:eastAsia="zh-CN"/>
                <w14:textFill>
                  <w14:solidFill>
                    <w14:schemeClr w14:val="tx1"/>
                  </w14:solidFill>
                </w14:textFill>
              </w:rPr>
              <w:t>1</w:t>
            </w:r>
            <w:r>
              <w:rPr>
                <w:rFonts w:hint="eastAsia" w:ascii="仿宋" w:hAnsi="仿宋" w:eastAsia="仿宋" w:cs="宋体"/>
                <w:color w:val="000000" w:themeColor="text1"/>
                <w:highlight w:val="none"/>
                <w:u w:val="single"/>
                <w14:textFill>
                  <w14:solidFill>
                    <w14:schemeClr w14:val="tx1"/>
                  </w14:solidFill>
                </w14:textFill>
              </w:rPr>
              <w:t>名</w:t>
            </w:r>
            <w:r>
              <w:rPr>
                <w:rFonts w:hint="eastAsia" w:ascii="仿宋" w:hAnsi="仿宋" w:eastAsia="仿宋" w:cs="宋体"/>
                <w:color w:val="000000" w:themeColor="text1"/>
                <w:highlight w:val="none"/>
                <w14:textFill>
                  <w14:solidFill>
                    <w14:schemeClr w14:val="tx1"/>
                  </w14:solidFill>
                </w14:textFill>
              </w:rPr>
              <w:t>为成交候选人。</w:t>
            </w:r>
            <w:r>
              <w:rPr>
                <w:rFonts w:hint="eastAsia" w:ascii="仿宋" w:hAnsi="仿宋" w:eastAsia="仿宋" w:cs="仿宋"/>
                <w:color w:val="000000" w:themeColor="text1"/>
                <w:highlight w:val="none"/>
                <w14:textFill>
                  <w14:solidFill>
                    <w14:schemeClr w14:val="tx1"/>
                  </w14:solidFill>
                </w14:textFill>
              </w:rPr>
              <w:t>综合得分相同时，价格得分高者排名优先；价格得分也相同时，</w:t>
            </w:r>
            <w:r>
              <w:rPr>
                <w:rFonts w:hint="eastAsia" w:ascii="仿宋" w:hAnsi="仿宋" w:eastAsia="仿宋" w:cs="仿宋"/>
                <w:color w:val="000000" w:themeColor="text1"/>
                <w:highlight w:val="none"/>
                <w:u w:val="single"/>
                <w14:textFill>
                  <w14:solidFill>
                    <w14:schemeClr w14:val="tx1"/>
                  </w14:solidFill>
                </w14:textFill>
              </w:rPr>
              <w:t>技术/商务</w:t>
            </w:r>
            <w:r>
              <w:rPr>
                <w:rFonts w:hint="eastAsia" w:ascii="仿宋" w:hAnsi="仿宋" w:eastAsia="仿宋" w:cs="仿宋"/>
                <w:color w:val="000000" w:themeColor="text1"/>
                <w:highlight w:val="none"/>
                <w14:textFill>
                  <w14:solidFill>
                    <w14:schemeClr w14:val="tx1"/>
                  </w14:solidFill>
                </w14:textFill>
              </w:rPr>
              <w:t>得分高者排名优先。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pStyle w:val="156"/>
              <w:spacing w:before="62" w:beforeLines="20" w:after="62" w:afterLines="20" w:line="360"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成交人数量</w:t>
            </w:r>
          </w:p>
        </w:tc>
        <w:tc>
          <w:tcPr>
            <w:tcW w:w="3589" w:type="pct"/>
            <w:noWrap w:val="0"/>
            <w:vAlign w:val="center"/>
          </w:tcPr>
          <w:p>
            <w:pPr>
              <w:pStyle w:val="156"/>
              <w:spacing w:before="62" w:beforeLines="20" w:after="62" w:afterLines="20"/>
              <w:rPr>
                <w:rFonts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成交人数量：</w:t>
            </w:r>
            <w:r>
              <w:rPr>
                <w:rFonts w:hint="eastAsia" w:ascii="仿宋" w:hAnsi="仿宋" w:eastAsia="仿宋" w:cs="仿宋"/>
                <w:color w:val="000000" w:themeColor="text1"/>
                <w:highlight w:val="none"/>
                <w:u w:val="single"/>
                <w14:textFill>
                  <w14:solidFill>
                    <w14:schemeClr w14:val="tx1"/>
                  </w14:solidFill>
                </w14:textFill>
              </w:rPr>
              <w:t>1家</w:t>
            </w:r>
          </w:p>
          <w:p>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宋体"/>
                <w:color w:val="000000" w:themeColor="text1"/>
                <w:highlight w:val="none"/>
                <w:u w:val="single"/>
                <w14:textFill>
                  <w14:solidFill>
                    <w14:schemeClr w14:val="tx1"/>
                  </w14:solidFill>
                </w14:textFill>
              </w:rPr>
              <w:t>综合排名第一的</w:t>
            </w:r>
            <w:r>
              <w:rPr>
                <w:rFonts w:hint="eastAsia" w:ascii="仿宋" w:hAnsi="仿宋" w:eastAsia="仿宋" w:cs="仿宋"/>
                <w:color w:val="000000" w:themeColor="text1"/>
                <w:highlight w:val="none"/>
                <w14:textFill>
                  <w14:solidFill>
                    <w14:schemeClr w14:val="tx1"/>
                  </w14:solidFill>
                </w14:textFill>
              </w:rPr>
              <w:t>成交候选人放弃成交、因不可抗力不能履行合同、</w:t>
            </w:r>
            <w:r>
              <w:rPr>
                <w:rFonts w:hint="eastAsia" w:ascii="仿宋" w:hAnsi="仿宋" w:eastAsia="仿宋" w:cs="宋体"/>
                <w:color w:val="000000" w:themeColor="text1"/>
                <w:highlight w:val="none"/>
                <w14:textFill>
                  <w14:solidFill>
                    <w14:schemeClr w14:val="tx1"/>
                  </w14:solidFill>
                </w14:textFill>
              </w:rPr>
              <w:t>不按照磋商文件要求提交履约保证金</w:t>
            </w:r>
            <w:r>
              <w:rPr>
                <w:rFonts w:hint="eastAsia" w:ascii="仿宋" w:hAnsi="仿宋" w:eastAsia="仿宋" w:cs="仿宋"/>
                <w:color w:val="000000" w:themeColor="text1"/>
                <w:highlight w:val="none"/>
                <w14:textFill>
                  <w14:solidFill>
                    <w14:schemeClr w14:val="tx1"/>
                  </w14:solidFill>
                </w14:textFill>
              </w:rPr>
              <w:t>、存在重大经营或法律风险、被查实存在影响采购结果的违法行为等情形，采购人按照磋商小组提出的成交候选人名单排序依次确定其他成交候选人为成交人，或者重新采购。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履约保证金</w:t>
            </w:r>
          </w:p>
        </w:tc>
        <w:tc>
          <w:tcPr>
            <w:tcW w:w="3589" w:type="pct"/>
            <w:noWrap w:val="0"/>
            <w:vAlign w:val="center"/>
          </w:tcPr>
          <w:p>
            <w:pPr>
              <w:pStyle w:val="156"/>
              <w:spacing w:before="62" w:beforeLines="20" w:after="62" w:afterLines="20" w:line="36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□收取，形式及比例：</w:t>
            </w:r>
          </w:p>
          <w:p>
            <w:pPr>
              <w:autoSpaceDE w:val="0"/>
              <w:autoSpaceDN w:val="0"/>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sym w:font="Wingdings 2" w:char="0052"/>
            </w:r>
            <w:r>
              <w:rPr>
                <w:rFonts w:hint="eastAsia" w:ascii="仿宋" w:hAnsi="仿宋" w:eastAsia="仿宋" w:cs="宋体"/>
                <w:color w:val="000000" w:themeColor="text1"/>
                <w:szCs w:val="21"/>
                <w:highlight w:val="none"/>
                <w14:textFill>
                  <w14:solidFill>
                    <w14:schemeClr w14:val="tx1"/>
                  </w14:solidFill>
                </w14:textFill>
              </w:rPr>
              <w:t>不收取</w:t>
            </w:r>
          </w:p>
        </w:tc>
      </w:tr>
    </w:tbl>
    <w:p>
      <w:pPr>
        <w:pStyle w:val="4"/>
        <w:ind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33" w:name="_Toc444891336"/>
      <w:bookmarkStart w:id="34" w:name="_Toc11071"/>
      <w:bookmarkStart w:id="35" w:name="_Toc27232"/>
      <w:bookmarkStart w:id="36" w:name="_Toc20514"/>
      <w:bookmarkStart w:id="37" w:name="_Toc517281816"/>
      <w:bookmarkStart w:id="38" w:name="_Toc6047"/>
      <w:bookmarkStart w:id="39" w:name="_Toc287600118"/>
      <w:bookmarkStart w:id="40" w:name="_Toc19783313"/>
      <w:bookmarkStart w:id="41" w:name="_Toc9917"/>
      <w:r>
        <w:rPr>
          <w:rFonts w:hint="eastAsia" w:ascii="仿宋" w:hAnsi="仿宋" w:eastAsia="仿宋" w:cs="仿宋"/>
          <w:color w:val="000000"/>
          <w:sz w:val="24"/>
          <w:szCs w:val="24"/>
          <w:highlight w:val="none"/>
        </w:rPr>
        <w:t>二、供应商须知</w:t>
      </w:r>
      <w:bookmarkEnd w:id="33"/>
      <w:bookmarkEnd w:id="34"/>
      <w:bookmarkEnd w:id="35"/>
      <w:bookmarkEnd w:id="36"/>
      <w:bookmarkEnd w:id="37"/>
      <w:bookmarkEnd w:id="38"/>
      <w:bookmarkEnd w:id="39"/>
      <w:bookmarkEnd w:id="40"/>
      <w:r>
        <w:rPr>
          <w:rFonts w:hint="eastAsia" w:ascii="仿宋" w:hAnsi="仿宋" w:eastAsia="仿宋" w:cs="仿宋"/>
          <w:color w:val="000000"/>
          <w:sz w:val="24"/>
          <w:szCs w:val="24"/>
          <w:highlight w:val="none"/>
        </w:rPr>
        <w:t>正文</w:t>
      </w:r>
      <w:bookmarkEnd w:id="41"/>
    </w:p>
    <w:p>
      <w:pPr>
        <w:pStyle w:val="5"/>
        <w:spacing w:before="0" w:after="0" w:line="360" w:lineRule="auto"/>
        <w:ind w:firstLine="482"/>
        <w:rPr>
          <w:rFonts w:hint="eastAsia" w:ascii="仿宋" w:hAnsi="仿宋" w:eastAsia="仿宋" w:cs="仿宋"/>
          <w:color w:val="000000"/>
          <w:sz w:val="24"/>
          <w:szCs w:val="24"/>
          <w:highlight w:val="none"/>
        </w:rPr>
      </w:pPr>
      <w:bookmarkStart w:id="42" w:name="_Toc19783314"/>
      <w:bookmarkStart w:id="43" w:name="_Toc3907"/>
      <w:bookmarkStart w:id="44" w:name="_Toc22969"/>
      <w:bookmarkStart w:id="45" w:name="_Toc444891337"/>
      <w:bookmarkStart w:id="46" w:name="_Toc6681"/>
      <w:bookmarkStart w:id="47" w:name="_Toc16441"/>
      <w:bookmarkStart w:id="48" w:name="_Toc517281817"/>
      <w:bookmarkStart w:id="49" w:name="_Toc431"/>
      <w:bookmarkStart w:id="50" w:name="_Toc11851"/>
      <w:bookmarkStart w:id="51" w:name="_Toc287600119"/>
      <w:r>
        <w:rPr>
          <w:rFonts w:hint="eastAsia" w:ascii="仿宋" w:hAnsi="仿宋" w:eastAsia="仿宋" w:cs="仿宋"/>
          <w:color w:val="000000"/>
          <w:sz w:val="24"/>
          <w:szCs w:val="24"/>
          <w:highlight w:val="none"/>
        </w:rPr>
        <w:t>（一）总 则</w:t>
      </w:r>
      <w:bookmarkEnd w:id="42"/>
      <w:bookmarkEnd w:id="43"/>
      <w:bookmarkEnd w:id="44"/>
      <w:bookmarkEnd w:id="45"/>
      <w:bookmarkEnd w:id="46"/>
      <w:bookmarkEnd w:id="47"/>
      <w:bookmarkEnd w:id="48"/>
      <w:bookmarkEnd w:id="49"/>
      <w:bookmarkEnd w:id="50"/>
      <w:bookmarkEnd w:id="51"/>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1.项目说明</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本项目按照中华人民共和国有关法律、行政法规和部门规章以及采购人的采购管理制度，通过</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方式确定签约供应商。</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2.采购范围</w:t>
      </w:r>
    </w:p>
    <w:p>
      <w:pPr>
        <w:tabs>
          <w:tab w:val="left" w:pos="3150"/>
          <w:tab w:val="left" w:pos="3780"/>
        </w:tabs>
        <w:spacing w:line="360" w:lineRule="auto"/>
        <w:jc w:val="left"/>
        <w:rPr>
          <w:rFonts w:hint="eastAsia" w:ascii="仿宋" w:hAnsi="仿宋" w:eastAsia="仿宋" w:cs="仿宋"/>
          <w:bCs/>
          <w:color w:val="000000"/>
          <w:sz w:val="24"/>
          <w:highlight w:val="none"/>
        </w:rPr>
      </w:pPr>
      <w:r>
        <w:rPr>
          <w:rFonts w:hint="eastAsia" w:ascii="仿宋" w:hAnsi="仿宋" w:eastAsia="仿宋" w:cs="仿宋"/>
          <w:color w:val="000000"/>
          <w:sz w:val="24"/>
          <w:highlight w:val="none"/>
          <w:u w:val="single"/>
        </w:rPr>
        <w:t>详见本须知前附表</w:t>
      </w:r>
      <w:r>
        <w:rPr>
          <w:rFonts w:hint="eastAsia" w:ascii="仿宋" w:hAnsi="仿宋" w:eastAsia="仿宋" w:cs="仿宋"/>
          <w:color w:val="000000"/>
          <w:sz w:val="24"/>
          <w:highlight w:val="none"/>
        </w:rPr>
        <w:t>，</w:t>
      </w:r>
      <w:r>
        <w:rPr>
          <w:rFonts w:hint="eastAsia" w:ascii="仿宋" w:hAnsi="仿宋" w:eastAsia="仿宋" w:cs="仿宋"/>
          <w:bCs/>
          <w:color w:val="000000"/>
          <w:sz w:val="24"/>
          <w:highlight w:val="none"/>
        </w:rPr>
        <w:t>详细内容详见第五章采购需求。</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3.资金来源</w:t>
      </w:r>
    </w:p>
    <w:p>
      <w:pPr>
        <w:tabs>
          <w:tab w:val="left" w:pos="3150"/>
          <w:tab w:val="left" w:pos="3780"/>
        </w:tabs>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资金来源于采购人或其子公司（含分支机构）自筹（比例100%），且资金已落实。</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4.资格审查</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4.1</w:t>
      </w:r>
      <w:r>
        <w:rPr>
          <w:rFonts w:hint="eastAsia" w:ascii="仿宋" w:hAnsi="仿宋" w:eastAsia="仿宋" w:cs="宋体"/>
          <w:color w:val="000000"/>
          <w:kern w:val="0"/>
          <w:sz w:val="24"/>
          <w:highlight w:val="none"/>
        </w:rPr>
        <w:t>资格预审：是指在递交响应文件前对潜在供应商进行的资格审查。采用资格预审方式的，资格条件已经在磋商文件发出前的资格预审文件中作出规定。</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4</w:t>
      </w:r>
      <w:r>
        <w:rPr>
          <w:rFonts w:hint="eastAsia" w:ascii="仿宋" w:hAnsi="仿宋" w:eastAsia="仿宋" w:cs="宋体"/>
          <w:color w:val="000000"/>
          <w:kern w:val="0"/>
          <w:sz w:val="24"/>
          <w:highlight w:val="none"/>
        </w:rPr>
        <w:t>.2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kern w:val="0"/>
          <w:sz w:val="24"/>
          <w:highlight w:val="none"/>
          <w:u w:val="single"/>
        </w:rPr>
        <w:t>详见本须知前附表。</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5.磋商响应费用</w:t>
      </w:r>
    </w:p>
    <w:p>
      <w:pPr>
        <w:spacing w:line="360" w:lineRule="auto"/>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不论结果如何，</w:t>
      </w:r>
      <w:r>
        <w:rPr>
          <w:rFonts w:hint="eastAsia" w:ascii="仿宋" w:hAnsi="仿宋" w:eastAsia="仿宋" w:cs="仿宋"/>
          <w:color w:val="000000"/>
          <w:sz w:val="24"/>
          <w:highlight w:val="none"/>
        </w:rPr>
        <w:t>供应商</w:t>
      </w:r>
      <w:r>
        <w:rPr>
          <w:rFonts w:hint="eastAsia" w:ascii="仿宋" w:hAnsi="仿宋" w:eastAsia="仿宋" w:cs="宋体"/>
          <w:color w:val="000000"/>
          <w:sz w:val="24"/>
          <w:highlight w:val="none"/>
        </w:rPr>
        <w:t>自行承担所有准备和参与本次磋商响应的有关费用。</w:t>
      </w:r>
    </w:p>
    <w:p>
      <w:pPr>
        <w:pStyle w:val="5"/>
        <w:spacing w:after="0" w:line="360" w:lineRule="auto"/>
        <w:ind w:firstLine="482"/>
        <w:rPr>
          <w:rFonts w:hint="eastAsia" w:ascii="仿宋" w:hAnsi="仿宋" w:eastAsia="仿宋" w:cs="仿宋"/>
          <w:color w:val="000000"/>
          <w:sz w:val="24"/>
          <w:szCs w:val="24"/>
          <w:highlight w:val="none"/>
        </w:rPr>
      </w:pPr>
      <w:bookmarkStart w:id="52" w:name="_Toc10975"/>
      <w:bookmarkStart w:id="53" w:name="_Toc19783315"/>
      <w:bookmarkStart w:id="54" w:name="_Toc444891338"/>
      <w:bookmarkStart w:id="55" w:name="_Toc25513"/>
      <w:bookmarkStart w:id="56" w:name="_Toc3016"/>
      <w:bookmarkStart w:id="57" w:name="_Toc22765"/>
      <w:bookmarkStart w:id="58" w:name="_Toc287600120"/>
      <w:bookmarkStart w:id="59" w:name="_Toc24246"/>
      <w:bookmarkStart w:id="60" w:name="_Toc5255"/>
      <w:bookmarkStart w:id="61" w:name="_Toc517281818"/>
      <w:r>
        <w:rPr>
          <w:rFonts w:hint="eastAsia" w:ascii="仿宋" w:hAnsi="仿宋" w:eastAsia="仿宋" w:cs="仿宋"/>
          <w:color w:val="000000"/>
          <w:sz w:val="24"/>
          <w:szCs w:val="24"/>
          <w:highlight w:val="none"/>
        </w:rPr>
        <w:t>（二）磋商文件</w:t>
      </w:r>
      <w:bookmarkEnd w:id="52"/>
      <w:bookmarkEnd w:id="53"/>
      <w:bookmarkEnd w:id="54"/>
      <w:bookmarkEnd w:id="55"/>
      <w:bookmarkEnd w:id="56"/>
      <w:bookmarkEnd w:id="57"/>
      <w:bookmarkEnd w:id="58"/>
      <w:bookmarkEnd w:id="59"/>
      <w:bookmarkEnd w:id="60"/>
      <w:bookmarkEnd w:id="61"/>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6.磋商文件的组成</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6.1磋商文件包括下列内容：</w:t>
      </w:r>
    </w:p>
    <w:p>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第一章 </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公告</w:t>
      </w:r>
    </w:p>
    <w:p>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第二章 供应商须知</w:t>
      </w:r>
    </w:p>
    <w:p>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第三章 评审办法</w:t>
      </w:r>
    </w:p>
    <w:p>
      <w:pPr>
        <w:pStyle w:val="23"/>
        <w:widowControl/>
        <w:spacing w:line="360" w:lineRule="auto"/>
        <w:ind w:left="0" w:leftChars="0" w:firstLine="480" w:firstLineChars="200"/>
        <w:jc w:val="lef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第四章 合同</w:t>
      </w:r>
      <w:r>
        <w:rPr>
          <w:rFonts w:hint="eastAsia" w:ascii="仿宋" w:hAnsi="仿宋" w:eastAsia="仿宋" w:cs="仿宋"/>
          <w:color w:val="000000"/>
          <w:sz w:val="24"/>
          <w:highlight w:val="none"/>
          <w:lang w:val="en-US" w:eastAsia="zh-CN"/>
        </w:rPr>
        <w:t>模版</w:t>
      </w:r>
    </w:p>
    <w:p>
      <w:pPr>
        <w:tabs>
          <w:tab w:val="left" w:pos="540"/>
          <w:tab w:val="left" w:pos="720"/>
        </w:tabs>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第五章 采购需求</w:t>
      </w:r>
    </w:p>
    <w:p>
      <w:pPr>
        <w:tabs>
          <w:tab w:val="left" w:pos="540"/>
          <w:tab w:val="left" w:pos="720"/>
        </w:tabs>
        <w:spacing w:line="360" w:lineRule="auto"/>
        <w:ind w:firstLine="480" w:firstLineChars="200"/>
        <w:jc w:val="left"/>
        <w:rPr>
          <w:rFonts w:ascii="仿宋" w:hAnsi="仿宋" w:eastAsia="仿宋" w:cs="仿宋"/>
          <w:color w:val="000000"/>
          <w:sz w:val="24"/>
          <w:highlight w:val="none"/>
        </w:rPr>
      </w:pPr>
      <w:r>
        <w:rPr>
          <w:rFonts w:hint="eastAsia" w:ascii="仿宋" w:hAnsi="仿宋" w:eastAsia="仿宋" w:cs="仿宋"/>
          <w:color w:val="000000"/>
          <w:sz w:val="24"/>
          <w:highlight w:val="none"/>
        </w:rPr>
        <w:t>第六章 响应文件格式</w:t>
      </w:r>
    </w:p>
    <w:p>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6.</w:t>
      </w:r>
      <w:r>
        <w:rPr>
          <w:rFonts w:ascii="仿宋" w:hAnsi="仿宋" w:eastAsia="仿宋" w:cs="仿宋"/>
          <w:color w:val="000000"/>
          <w:kern w:val="0"/>
          <w:sz w:val="24"/>
          <w:highlight w:val="none"/>
        </w:rPr>
        <w:t>2</w:t>
      </w:r>
      <w:r>
        <w:rPr>
          <w:rFonts w:hint="eastAsia" w:ascii="仿宋" w:hAnsi="仿宋" w:eastAsia="仿宋" w:cs="仿宋"/>
          <w:color w:val="000000"/>
          <w:kern w:val="0"/>
          <w:sz w:val="24"/>
          <w:highlight w:val="none"/>
        </w:rPr>
        <w:t>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000000"/>
          <w:kern w:val="0"/>
          <w:sz w:val="24"/>
          <w:highlight w:val="none"/>
          <w:u w:val="single"/>
        </w:rPr>
        <w:t>见本须知前附表</w:t>
      </w:r>
      <w:r>
        <w:rPr>
          <w:rFonts w:hint="eastAsia" w:ascii="仿宋" w:hAnsi="仿宋" w:eastAsia="仿宋" w:cs="仿宋"/>
          <w:color w:val="000000"/>
          <w:kern w:val="0"/>
          <w:sz w:val="24"/>
          <w:highlight w:val="none"/>
        </w:rPr>
        <w:t>。</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7.磋商文件的修改</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仿宋"/>
          <w:color w:val="000000"/>
          <w:sz w:val="24"/>
          <w:highlight w:val="none"/>
        </w:rPr>
        <w:t>7.1潜在</w:t>
      </w:r>
      <w:r>
        <w:rPr>
          <w:rFonts w:hint="eastAsia" w:ascii="仿宋" w:hAnsi="仿宋" w:eastAsia="仿宋" w:cs="宋体"/>
          <w:color w:val="000000"/>
          <w:kern w:val="0"/>
          <w:sz w:val="24"/>
          <w:highlight w:val="none"/>
        </w:rPr>
        <w:t>供应商对</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有疑问的，应当按照</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规定的时间和方式，要求采购人对</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进行澄清。</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7.2</w:t>
      </w:r>
      <w:r>
        <w:rPr>
          <w:rFonts w:hint="eastAsia" w:ascii="仿宋" w:hAnsi="仿宋" w:eastAsia="仿宋" w:cs="仿宋"/>
          <w:color w:val="000000"/>
          <w:sz w:val="24"/>
          <w:highlight w:val="none"/>
        </w:rPr>
        <w:t>采购人在响应文件递交截止时间前，可以书面形式发出的对磋商文件的澄清或修改内容，</w:t>
      </w:r>
      <w:r>
        <w:rPr>
          <w:rFonts w:hint="eastAsia" w:ascii="仿宋" w:hAnsi="仿宋" w:eastAsia="仿宋" w:cs="宋体"/>
          <w:color w:val="000000"/>
          <w:kern w:val="0"/>
          <w:sz w:val="24"/>
          <w:highlight w:val="none"/>
        </w:rPr>
        <w:t>如澄清或修改的内容可能影响响应文件编制的，原则上应当在响应文件递交截止之日3个工作日前，以书面形式通知所有获取</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的潜在供应商，不足3个工作日的，原则上应顺延响应文件递交截止时间。</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7.</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 xml:space="preserve">  供应商收到澄清或修改后，应当按照供应商须知前附表规定的时间和方式通知采购人，确认已收到该澄清或修改。</w:t>
      </w:r>
    </w:p>
    <w:p>
      <w:pPr>
        <w:spacing w:line="360" w:lineRule="auto"/>
        <w:jc w:val="left"/>
        <w:rPr>
          <w:rFonts w:ascii="仿宋" w:hAnsi="仿宋" w:eastAsia="仿宋" w:cs="仿宋"/>
          <w:color w:val="000000"/>
          <w:sz w:val="24"/>
          <w:highlight w:val="none"/>
        </w:rPr>
      </w:pPr>
      <w:r>
        <w:rPr>
          <w:rFonts w:hint="eastAsia" w:ascii="仿宋" w:hAnsi="仿宋" w:eastAsia="仿宋" w:cs="宋体"/>
          <w:color w:val="000000"/>
          <w:kern w:val="0"/>
          <w:sz w:val="24"/>
          <w:highlight w:val="none"/>
        </w:rPr>
        <w:t>7</w:t>
      </w:r>
      <w:r>
        <w:rPr>
          <w:rFonts w:ascii="仿宋" w:hAnsi="仿宋" w:eastAsia="仿宋" w:cs="宋体"/>
          <w:color w:val="000000"/>
          <w:kern w:val="0"/>
          <w:sz w:val="24"/>
          <w:highlight w:val="none"/>
        </w:rPr>
        <w:t>.</w:t>
      </w:r>
      <w:r>
        <w:rPr>
          <w:rFonts w:hint="eastAsia" w:ascii="仿宋" w:hAnsi="仿宋" w:eastAsia="仿宋" w:cs="宋体"/>
          <w:color w:val="000000"/>
          <w:kern w:val="0"/>
          <w:sz w:val="24"/>
          <w:highlight w:val="none"/>
        </w:rPr>
        <w:t>4</w:t>
      </w:r>
      <w:r>
        <w:rPr>
          <w:rFonts w:hint="eastAsia" w:ascii="仿宋" w:hAnsi="仿宋" w:eastAsia="仿宋" w:cs="仿宋"/>
          <w:color w:val="000000"/>
          <w:sz w:val="24"/>
          <w:highlight w:val="none"/>
        </w:rPr>
        <w:t xml:space="preserve"> </w:t>
      </w:r>
      <w:r>
        <w:rPr>
          <w:rFonts w:hint="eastAsia" w:ascii="仿宋" w:hAnsi="仿宋" w:eastAsia="仿宋" w:cs="宋体"/>
          <w:color w:val="000000"/>
          <w:kern w:val="0"/>
          <w:sz w:val="24"/>
          <w:highlight w:val="none"/>
        </w:rPr>
        <w:t>所有关于</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的澄清和修改均作为</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的补充部分。</w:t>
      </w:r>
      <w:r>
        <w:rPr>
          <w:rFonts w:hint="eastAsia" w:ascii="仿宋" w:hAnsi="仿宋" w:eastAsia="仿宋" w:cs="仿宋"/>
          <w:color w:val="000000"/>
          <w:sz w:val="24"/>
          <w:highlight w:val="none"/>
        </w:rPr>
        <w:t>当磋商文件、磋商文件的澄清或修改等在同一内容的表述上不一致时，以最后发出的书面文件为准。</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8.磋商响应预备会</w:t>
      </w:r>
    </w:p>
    <w:p>
      <w:pPr>
        <w:spacing w:line="360" w:lineRule="auto"/>
        <w:textAlignment w:val="baseline"/>
        <w:rPr>
          <w:rFonts w:hint="eastAsia" w:ascii="仿宋" w:hAnsi="仿宋" w:eastAsia="仿宋" w:cs="宋体"/>
          <w:color w:val="000000"/>
          <w:sz w:val="24"/>
          <w:highlight w:val="none"/>
          <w:u w:val="single"/>
          <w:lang w:eastAsia="zh-CN"/>
        </w:rPr>
      </w:pPr>
      <w:r>
        <w:rPr>
          <w:rFonts w:hint="eastAsia" w:ascii="仿宋" w:hAnsi="仿宋" w:eastAsia="仿宋" w:cs="宋体"/>
          <w:color w:val="000000"/>
          <w:sz w:val="24"/>
          <w:highlight w:val="none"/>
        </w:rPr>
        <w:t>采购人认为必要时，将召开磋商响应预备会(答疑会)，公开解答潜在供应商对磋商文件提出的疑问</w:t>
      </w:r>
      <w:r>
        <w:rPr>
          <w:rFonts w:hint="eastAsia" w:ascii="仿宋" w:hAnsi="仿宋" w:eastAsia="仿宋" w:cs="宋体"/>
          <w:color w:val="000000"/>
          <w:sz w:val="24"/>
          <w:highlight w:val="none"/>
          <w:lang w:eastAsia="zh-CN"/>
        </w:rPr>
        <w:t>。</w:t>
      </w:r>
    </w:p>
    <w:p>
      <w:pPr>
        <w:pStyle w:val="5"/>
        <w:numPr>
          <w:ilvl w:val="0"/>
          <w:numId w:val="0"/>
        </w:numPr>
        <w:spacing w:after="0" w:line="360" w:lineRule="auto"/>
        <w:jc w:val="center"/>
        <w:rPr>
          <w:rFonts w:hint="eastAsia" w:ascii="仿宋" w:hAnsi="仿宋" w:eastAsia="仿宋" w:cs="仿宋"/>
          <w:color w:val="000000"/>
          <w:sz w:val="24"/>
          <w:szCs w:val="24"/>
          <w:highlight w:val="none"/>
        </w:rPr>
      </w:pPr>
      <w:bookmarkStart w:id="62" w:name="_Toc13691"/>
      <w:bookmarkStart w:id="63" w:name="_Toc287600121"/>
      <w:bookmarkStart w:id="64" w:name="_Toc19783316"/>
      <w:bookmarkStart w:id="65" w:name="_Toc27563"/>
      <w:bookmarkStart w:id="66" w:name="_Toc16985"/>
      <w:bookmarkStart w:id="67" w:name="_Toc5099"/>
      <w:bookmarkStart w:id="68" w:name="_Toc14308"/>
      <w:bookmarkStart w:id="69" w:name="_Toc444891339"/>
      <w:bookmarkStart w:id="70" w:name="_Toc27642"/>
      <w:bookmarkStart w:id="71" w:name="_Toc517281819"/>
      <w:r>
        <w:rPr>
          <w:rFonts w:hint="eastAsia" w:ascii="仿宋" w:hAnsi="仿宋" w:eastAsia="仿宋" w:cs="仿宋"/>
          <w:color w:val="000000"/>
          <w:sz w:val="24"/>
          <w:szCs w:val="24"/>
          <w:highlight w:val="none"/>
        </w:rPr>
        <w:t>（三）响应文件</w:t>
      </w:r>
      <w:bookmarkEnd w:id="62"/>
      <w:bookmarkEnd w:id="63"/>
      <w:bookmarkEnd w:id="64"/>
      <w:bookmarkEnd w:id="65"/>
      <w:bookmarkEnd w:id="66"/>
      <w:bookmarkEnd w:id="67"/>
      <w:bookmarkEnd w:id="68"/>
      <w:bookmarkEnd w:id="69"/>
      <w:bookmarkEnd w:id="70"/>
      <w:bookmarkEnd w:id="71"/>
    </w:p>
    <w:p>
      <w:pPr>
        <w:pStyle w:val="6"/>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9</w:t>
      </w:r>
      <w:r>
        <w:rPr>
          <w:rFonts w:hint="eastAsia" w:ascii="仿宋" w:hAnsi="仿宋" w:eastAsia="仿宋" w:cs="仿宋"/>
          <w:color w:val="000000"/>
          <w:sz w:val="24"/>
          <w:szCs w:val="24"/>
          <w:highlight w:val="none"/>
        </w:rPr>
        <w:t>.响应文件的组成</w:t>
      </w:r>
    </w:p>
    <w:p>
      <w:pPr>
        <w:spacing w:line="360" w:lineRule="auto"/>
        <w:jc w:val="left"/>
        <w:rPr>
          <w:rFonts w:hint="eastAsia" w:ascii="仿宋" w:hAnsi="仿宋" w:eastAsia="仿宋" w:cs="仿宋"/>
          <w:color w:val="000000"/>
          <w:sz w:val="24"/>
          <w:highlight w:val="none"/>
        </w:rPr>
      </w:pPr>
      <w:r>
        <w:rPr>
          <w:rFonts w:hint="eastAsia" w:ascii="仿宋" w:hAnsi="仿宋" w:eastAsia="仿宋" w:cs="宋体"/>
          <w:color w:val="000000"/>
          <w:sz w:val="24"/>
          <w:highlight w:val="none"/>
        </w:rPr>
        <w:t>供应商应当按照供应商须知前附表的要求制作并提交响应文件，具体组成</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pPr>
        <w:pStyle w:val="6"/>
        <w:spacing w:before="0" w:after="0" w:line="360" w:lineRule="auto"/>
        <w:jc w:val="left"/>
        <w:rPr>
          <w:rFonts w:ascii="仿宋" w:hAnsi="仿宋" w:eastAsia="仿宋" w:cs="仿宋"/>
          <w:color w:val="000000"/>
          <w:sz w:val="24"/>
          <w:szCs w:val="24"/>
          <w:highlight w:val="none"/>
        </w:rPr>
      </w:pPr>
      <w:r>
        <w:rPr>
          <w:rFonts w:ascii="仿宋" w:hAnsi="仿宋" w:eastAsia="仿宋" w:cs="仿宋"/>
          <w:color w:val="000000"/>
          <w:sz w:val="24"/>
          <w:szCs w:val="24"/>
          <w:highlight w:val="none"/>
        </w:rPr>
        <w:t>10</w:t>
      </w:r>
      <w:r>
        <w:rPr>
          <w:rFonts w:hint="eastAsia" w:ascii="仿宋" w:hAnsi="仿宋" w:eastAsia="仿宋" w:cs="仿宋"/>
          <w:color w:val="000000"/>
          <w:sz w:val="24"/>
          <w:szCs w:val="24"/>
          <w:highlight w:val="none"/>
        </w:rPr>
        <w:t>.响应文件的编制</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 xml:space="preserve">.1 供应商应当按照磋商文件的要求编制响应文件，并对其提交的响应文件的真实性、合法性承担法律责任。响应文件应当对磋商文件提出的实质性要求和条件作出响应。 </w:t>
      </w:r>
    </w:p>
    <w:p>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 xml:space="preserve">.2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 xml:space="preserve">0.3 </w:t>
      </w:r>
      <w:r>
        <w:rPr>
          <w:rFonts w:hint="eastAsia" w:ascii="仿宋" w:hAnsi="仿宋" w:eastAsia="仿宋" w:cs="宋体"/>
          <w:color w:val="000000"/>
          <w:kern w:val="0"/>
          <w:sz w:val="24"/>
          <w:highlight w:val="none"/>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 xml:space="preserve">0.4 </w:t>
      </w:r>
      <w:r>
        <w:rPr>
          <w:rFonts w:hint="eastAsia" w:ascii="仿宋" w:hAnsi="仿宋" w:eastAsia="仿宋" w:cs="宋体"/>
          <w:color w:val="000000"/>
          <w:kern w:val="0"/>
          <w:sz w:val="24"/>
          <w:highlight w:val="none"/>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5</w:t>
      </w:r>
      <w:r>
        <w:rPr>
          <w:rFonts w:hint="eastAsia" w:ascii="仿宋" w:hAnsi="仿宋" w:eastAsia="仿宋" w:cs="宋体"/>
          <w:color w:val="000000"/>
          <w:kern w:val="0"/>
          <w:sz w:val="24"/>
          <w:highlight w:val="none"/>
        </w:rPr>
        <w:t xml:space="preserve"> 供应商提交的响应文件以及供应商与采购人就有关磋商的所有往来函电均应使用中文。供应商提交的证明文件和印刷的文献可以使用另一种语言，但相应内容应当译成中文，在解释响应文件时以中文译本为准。</w:t>
      </w:r>
    </w:p>
    <w:p>
      <w:pPr>
        <w:widowControl/>
        <w:topLinePunct/>
        <w:spacing w:line="360" w:lineRule="auto"/>
        <w:rPr>
          <w:rFonts w:hint="eastAsia" w:ascii="仿宋" w:hAnsi="仿宋" w:eastAsia="仿宋" w:cs="宋体"/>
          <w:color w:val="000000"/>
          <w:kern w:val="0"/>
          <w:sz w:val="24"/>
          <w:highlight w:val="none"/>
          <w:u w:val="singl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6</w:t>
      </w:r>
      <w:r>
        <w:rPr>
          <w:rFonts w:hint="eastAsia" w:ascii="仿宋" w:hAnsi="仿宋" w:eastAsia="仿宋" w:cs="宋体"/>
          <w:color w:val="000000"/>
          <w:kern w:val="0"/>
          <w:sz w:val="24"/>
          <w:highlight w:val="none"/>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72" w:name="_Hlk173250545"/>
      <w:r>
        <w:rPr>
          <w:rFonts w:hint="eastAsia" w:ascii="仿宋" w:hAnsi="仿宋" w:eastAsia="仿宋" w:cs="宋体"/>
          <w:color w:val="000000"/>
          <w:kern w:val="0"/>
          <w:sz w:val="24"/>
          <w:highlight w:val="none"/>
        </w:rPr>
        <w:t>盖章或者签字另有要求的，</w:t>
      </w:r>
      <w:r>
        <w:rPr>
          <w:rFonts w:hint="eastAsia" w:ascii="仿宋" w:hAnsi="仿宋" w:eastAsia="仿宋" w:cs="宋体"/>
          <w:color w:val="000000"/>
          <w:kern w:val="0"/>
          <w:sz w:val="24"/>
          <w:highlight w:val="none"/>
          <w:u w:val="single"/>
        </w:rPr>
        <w:t>见本须知前附表。</w:t>
      </w:r>
    </w:p>
    <w:bookmarkEnd w:id="72"/>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0.7</w:t>
      </w:r>
      <w:r>
        <w:rPr>
          <w:rFonts w:hint="eastAsia" w:ascii="仿宋" w:hAnsi="仿宋" w:eastAsia="仿宋" w:cs="仿宋"/>
          <w:color w:val="000000"/>
          <w:sz w:val="24"/>
          <w:highlight w:val="none"/>
        </w:rPr>
        <w:t>除工程规范另有规定外，响应文件使用的度量衡单位，均采用中华人民共和国法定计量单位。</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11.磋商响应报价</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供应商应当根据磋商文件要求进行报价，供应商应当报出符合磋商文件要求的拟提供货物或服务的单价、总价、费率、税率等内容，采购人不接受供应商的任何低于成本报价的不正当竞争方式，其他报价要求</w:t>
      </w:r>
      <w:r>
        <w:rPr>
          <w:rFonts w:hint="eastAsia" w:ascii="仿宋" w:hAnsi="仿宋" w:eastAsia="仿宋" w:cs="仿宋"/>
          <w:color w:val="000000"/>
          <w:sz w:val="24"/>
          <w:highlight w:val="none"/>
        </w:rPr>
        <w:t>见</w:t>
      </w:r>
      <w:r>
        <w:rPr>
          <w:rFonts w:hint="eastAsia" w:ascii="仿宋" w:hAnsi="仿宋" w:eastAsia="仿宋" w:cs="仿宋"/>
          <w:color w:val="000000"/>
          <w:sz w:val="24"/>
          <w:highlight w:val="none"/>
          <w:u w:val="single"/>
        </w:rPr>
        <w:t>供应商须知前附表</w:t>
      </w:r>
      <w:r>
        <w:rPr>
          <w:rFonts w:hint="eastAsia" w:ascii="仿宋" w:hAnsi="仿宋" w:eastAsia="仿宋" w:cs="仿宋"/>
          <w:color w:val="000000"/>
          <w:sz w:val="24"/>
          <w:highlight w:val="none"/>
        </w:rPr>
        <w:t>。</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.磋商响应有效期</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12</w:t>
      </w:r>
      <w:r>
        <w:rPr>
          <w:rFonts w:hint="eastAsia" w:ascii="仿宋" w:hAnsi="仿宋" w:eastAsia="仿宋" w:cs="宋体"/>
          <w:color w:val="000000"/>
          <w:kern w:val="0"/>
          <w:sz w:val="24"/>
          <w:highlight w:val="none"/>
        </w:rPr>
        <w:t>.1 磋商响应有效期从响应文件递交截止之日起算，具体时间</w:t>
      </w:r>
      <w:r>
        <w:rPr>
          <w:rFonts w:hint="eastAsia" w:ascii="仿宋" w:hAnsi="仿宋" w:eastAsia="仿宋" w:cs="宋体"/>
          <w:color w:val="000000"/>
          <w:kern w:val="0"/>
          <w:sz w:val="24"/>
          <w:highlight w:val="none"/>
          <w:u w:val="single"/>
        </w:rPr>
        <w:t>见本须知前附表</w:t>
      </w:r>
      <w:r>
        <w:rPr>
          <w:rFonts w:hint="eastAsia" w:ascii="仿宋" w:hAnsi="仿宋" w:eastAsia="仿宋" w:cs="宋体"/>
          <w:color w:val="000000"/>
          <w:kern w:val="0"/>
          <w:sz w:val="24"/>
          <w:highlight w:val="none"/>
        </w:rPr>
        <w:t>，在此期间，供应商不得要求撤销或修改其响应文件。供应商承诺的磋商响应有效期必须不短于磋商文件规定的磋商响应有效期，否则将构成对磋商文件的非实质性响应，磋商响应将被否决。</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12</w:t>
      </w:r>
      <w:r>
        <w:rPr>
          <w:rFonts w:hint="eastAsia" w:ascii="仿宋" w:hAnsi="仿宋" w:eastAsia="仿宋" w:cs="宋体"/>
          <w:color w:val="000000"/>
          <w:kern w:val="0"/>
          <w:sz w:val="24"/>
          <w:highlight w:val="none"/>
        </w:rPr>
        <w:t>.2 在原磋商响应有效期结束前，出现特殊情况的，采购人可以书面形式要求所有供应商延长磋商响应有效期。供应商同意延长的，不得要求或被允许修改其响应文件的实质性内容</w:t>
      </w:r>
      <w:r>
        <w:rPr>
          <w:rFonts w:hint="eastAsia" w:ascii="仿宋" w:hAnsi="仿宋" w:eastAsia="仿宋" w:cs="宋体"/>
          <w:color w:val="000000"/>
          <w:kern w:val="0"/>
          <w:sz w:val="24"/>
          <w:highlight w:val="none"/>
          <w:lang w:eastAsia="zh-CN"/>
        </w:rPr>
        <w:t>。</w:t>
      </w:r>
      <w:r>
        <w:rPr>
          <w:rFonts w:hint="eastAsia" w:ascii="仿宋" w:hAnsi="仿宋" w:eastAsia="仿宋" w:cs="宋体"/>
          <w:color w:val="000000"/>
          <w:kern w:val="0"/>
          <w:sz w:val="24"/>
          <w:highlight w:val="none"/>
        </w:rPr>
        <w:t>供应商拒绝延长的，其磋商响应失效。</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3</w:t>
      </w:r>
      <w:r>
        <w:rPr>
          <w:rFonts w:hint="eastAsia" w:ascii="仿宋" w:hAnsi="仿宋" w:eastAsia="仿宋" w:cs="仿宋"/>
          <w:color w:val="000000"/>
          <w:sz w:val="24"/>
          <w:szCs w:val="24"/>
          <w:highlight w:val="none"/>
        </w:rPr>
        <w:t>.磋商保证金</w:t>
      </w:r>
    </w:p>
    <w:p>
      <w:pPr>
        <w:spacing w:line="360" w:lineRule="auto"/>
        <w:jc w:val="left"/>
        <w:rPr>
          <w:rFonts w:ascii="仿宋" w:hAnsi="仿宋" w:eastAsia="仿宋" w:cs="仿宋"/>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3</w:t>
      </w:r>
      <w:r>
        <w:rPr>
          <w:rFonts w:hint="eastAsia" w:ascii="仿宋" w:hAnsi="仿宋" w:eastAsia="仿宋" w:cs="仿宋"/>
          <w:color w:val="000000"/>
          <w:sz w:val="24"/>
          <w:highlight w:val="none"/>
        </w:rPr>
        <w:t>.1</w:t>
      </w:r>
      <w:r>
        <w:rPr>
          <w:rFonts w:hint="eastAsia" w:ascii="仿宋" w:hAnsi="仿宋" w:eastAsia="仿宋" w:cs="宋体"/>
          <w:color w:val="000000"/>
          <w:kern w:val="0"/>
          <w:sz w:val="24"/>
          <w:highlight w:val="none"/>
        </w:rPr>
        <w:t>采购人要求</w:t>
      </w:r>
      <w:r>
        <w:rPr>
          <w:rFonts w:hint="eastAsia" w:ascii="仿宋" w:hAnsi="仿宋" w:eastAsia="仿宋" w:cs="仿宋"/>
          <w:color w:val="000000"/>
          <w:sz w:val="24"/>
          <w:highlight w:val="none"/>
        </w:rPr>
        <w:t>供应商</w:t>
      </w:r>
      <w:r>
        <w:rPr>
          <w:rFonts w:hint="eastAsia" w:ascii="仿宋" w:hAnsi="仿宋" w:eastAsia="仿宋" w:cs="宋体"/>
          <w:color w:val="000000"/>
          <w:kern w:val="0"/>
          <w:sz w:val="24"/>
          <w:highlight w:val="none"/>
        </w:rPr>
        <w:t>提交磋商保证金的，磋商</w:t>
      </w:r>
      <w:r>
        <w:rPr>
          <w:rFonts w:hint="eastAsia" w:ascii="仿宋" w:hAnsi="仿宋" w:eastAsia="仿宋" w:cs="仿宋"/>
          <w:color w:val="000000"/>
          <w:sz w:val="24"/>
          <w:highlight w:val="none"/>
        </w:rPr>
        <w:t>保证金数额应当不超过采购项目预算的2%，磋商保证金有效期与磋商响应有效期一致，本项目磋商保证金金额、形式见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pPr>
        <w:widowControl/>
        <w:topLinePunct/>
        <w:spacing w:line="360" w:lineRule="auto"/>
        <w:rPr>
          <w:rFonts w:ascii="仿宋" w:hAnsi="仿宋" w:eastAsia="仿宋" w:cs="仿宋"/>
          <w:kern w:val="0"/>
          <w:sz w:val="24"/>
          <w:highlight w:val="none"/>
          <w:lang w:bidi="ar"/>
        </w:rPr>
      </w:pPr>
      <w:r>
        <w:rPr>
          <w:rFonts w:ascii="仿宋" w:hAnsi="仿宋" w:eastAsia="仿宋" w:cs="仿宋"/>
          <w:color w:val="000000"/>
          <w:sz w:val="24"/>
          <w:highlight w:val="none"/>
        </w:rPr>
        <w:t>13.2</w:t>
      </w:r>
      <w:r>
        <w:rPr>
          <w:rFonts w:hint="eastAsia" w:ascii="仿宋" w:hAnsi="仿宋" w:eastAsia="仿宋" w:cs="仿宋"/>
          <w:kern w:val="0"/>
          <w:sz w:val="24"/>
          <w:highlight w:val="none"/>
          <w:lang w:bidi="ar"/>
        </w:rPr>
        <w:t>供应商或成交供应商出现下列行为之一，</w:t>
      </w:r>
      <w:r>
        <w:rPr>
          <w:rFonts w:hint="eastAsia" w:ascii="仿宋" w:hAnsi="仿宋" w:eastAsia="仿宋" w:cs="宋体"/>
          <w:sz w:val="24"/>
          <w:highlight w:val="none"/>
        </w:rPr>
        <w:t>磋商</w:t>
      </w:r>
      <w:r>
        <w:rPr>
          <w:rFonts w:hint="eastAsia" w:ascii="仿宋" w:hAnsi="仿宋" w:eastAsia="仿宋" w:cs="仿宋"/>
          <w:kern w:val="0"/>
          <w:sz w:val="24"/>
          <w:highlight w:val="none"/>
          <w:lang w:bidi="ar"/>
        </w:rPr>
        <w:t>保证金不予退还：</w:t>
      </w:r>
    </w:p>
    <w:p>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（1）供应商在磋商截止后至磋商有效期期满前,要求撤回已递交的响应文件；</w:t>
      </w:r>
    </w:p>
    <w:p>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（2）成交后放弃成交的；</w:t>
      </w:r>
    </w:p>
    <w:p>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（3）成交后无正当理由不与采购人订立合同的；</w:t>
      </w:r>
    </w:p>
    <w:p>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（4）成交供应商在签订合同时向采购人提出附加条件或要求变更实质性合同条款的；</w:t>
      </w:r>
    </w:p>
    <w:p>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（5）成交供应商不按照磋商文件要求提交履约保证金的；</w:t>
      </w:r>
    </w:p>
    <w:p>
      <w:pPr>
        <w:pStyle w:val="2"/>
        <w:spacing w:line="360" w:lineRule="auto"/>
        <w:jc w:val="left"/>
        <w:rPr>
          <w:rStyle w:val="89"/>
          <w:rFonts w:hint="default"/>
          <w:highlight w:val="none"/>
        </w:rPr>
      </w:pPr>
      <w:r>
        <w:rPr>
          <w:rFonts w:hint="eastAsia" w:ascii="仿宋" w:hAnsi="仿宋" w:eastAsia="仿宋" w:cs="仿宋"/>
          <w:kern w:val="0"/>
          <w:sz w:val="24"/>
          <w:highlight w:val="none"/>
          <w:lang w:bidi="ar"/>
        </w:rPr>
        <w:t>（6）供应商有恶意欺诈、弄虚作假、围标串标、哄抬标价、徇私行贿等法律法规中所列违规行为的</w:t>
      </w:r>
      <w:r>
        <w:rPr>
          <w:rStyle w:val="89"/>
          <w:rFonts w:hint="default"/>
          <w:highlight w:val="none"/>
        </w:rPr>
        <w:t>。</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4</w:t>
      </w:r>
      <w:r>
        <w:rPr>
          <w:rFonts w:hint="eastAsia" w:ascii="仿宋" w:hAnsi="仿宋" w:eastAsia="仿宋" w:cs="仿宋"/>
          <w:color w:val="000000"/>
          <w:sz w:val="24"/>
          <w:szCs w:val="24"/>
          <w:highlight w:val="none"/>
        </w:rPr>
        <w:t>.响应文件的式样、密封和标记</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14</w:t>
      </w:r>
      <w:r>
        <w:rPr>
          <w:rFonts w:hint="eastAsia" w:ascii="仿宋" w:hAnsi="仿宋" w:eastAsia="仿宋" w:cs="宋体"/>
          <w:color w:val="000000"/>
          <w:kern w:val="0"/>
          <w:sz w:val="24"/>
          <w:highlight w:val="none"/>
        </w:rPr>
        <w:t>.1 供应商应当编制一份响应文件“正本”和</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所述份数的“副本”和“电子版”，副本为正本复印件。纸质版文件与电子版文件不一致时，以</w:t>
      </w:r>
      <w:r>
        <w:rPr>
          <w:rFonts w:hint="eastAsia" w:ascii="仿宋" w:hAnsi="仿宋" w:eastAsia="仿宋" w:cs="宋体"/>
          <w:b/>
          <w:bCs/>
          <w:kern w:val="0"/>
          <w:sz w:val="24"/>
          <w:highlight w:val="none"/>
          <w:lang w:eastAsia="zh-Hans"/>
        </w:rPr>
        <w:t>电子版</w:t>
      </w:r>
      <w:r>
        <w:rPr>
          <w:rFonts w:hint="eastAsia" w:ascii="仿宋" w:hAnsi="仿宋" w:eastAsia="仿宋" w:cs="宋体"/>
          <w:color w:val="000000"/>
          <w:kern w:val="0"/>
          <w:sz w:val="24"/>
          <w:highlight w:val="none"/>
        </w:rPr>
        <w:t>文件为准;响应文件正本与副本不一致时，以正本为准</w:t>
      </w:r>
      <w:r>
        <w:rPr>
          <w:rFonts w:hint="eastAsia" w:ascii="仿宋" w:hAnsi="仿宋" w:eastAsia="仿宋" w:cs="宋体"/>
          <w:color w:val="000000"/>
          <w:kern w:val="0"/>
          <w:sz w:val="24"/>
          <w:highlight w:val="none"/>
          <w:lang w:eastAsia="zh-CN"/>
        </w:rPr>
        <w:t>。</w:t>
      </w:r>
      <w:r>
        <w:rPr>
          <w:rFonts w:hint="eastAsia" w:ascii="仿宋" w:hAnsi="仿宋" w:eastAsia="仿宋" w:cs="宋体"/>
          <w:color w:val="000000"/>
          <w:kern w:val="0"/>
          <w:sz w:val="24"/>
          <w:highlight w:val="none"/>
        </w:rPr>
        <w:t xml:space="preserve"> </w:t>
      </w:r>
    </w:p>
    <w:p>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14</w:t>
      </w:r>
      <w:r>
        <w:rPr>
          <w:rFonts w:hint="eastAsia" w:ascii="仿宋" w:hAnsi="仿宋" w:eastAsia="仿宋" w:cs="宋体"/>
          <w:color w:val="000000"/>
          <w:kern w:val="0"/>
          <w:sz w:val="24"/>
          <w:highlight w:val="none"/>
        </w:rPr>
        <w:t>.2 每份纸质文件响应文件的正本、副本应当分别装订，并于封面上明确标明“正本”“副本”字样。具体要求</w:t>
      </w:r>
      <w:r>
        <w:rPr>
          <w:rFonts w:hint="eastAsia" w:ascii="仿宋" w:hAnsi="仿宋" w:eastAsia="仿宋" w:cs="宋体"/>
          <w:color w:val="000000"/>
          <w:kern w:val="0"/>
          <w:sz w:val="24"/>
          <w:highlight w:val="none"/>
          <w:u w:val="single"/>
        </w:rPr>
        <w:t>见本须知前附表</w:t>
      </w:r>
      <w:r>
        <w:rPr>
          <w:rFonts w:hint="eastAsia" w:ascii="仿宋" w:hAnsi="仿宋" w:eastAsia="仿宋" w:cs="宋体"/>
          <w:color w:val="000000"/>
          <w:kern w:val="0"/>
          <w:sz w:val="24"/>
          <w:highlight w:val="none"/>
        </w:rPr>
        <w:t>。</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14</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 xml:space="preserve"> 对于磋商文件中提及的原件或复印件要求，照片件、扫描件、影印件、截图件等与其具有同等效力（磋商文件有特殊要求的除外）。</w:t>
      </w:r>
    </w:p>
    <w:p>
      <w:pPr>
        <w:pStyle w:val="5"/>
        <w:spacing w:after="0" w:line="360" w:lineRule="auto"/>
        <w:ind w:firstLine="482"/>
        <w:rPr>
          <w:rFonts w:hint="eastAsia" w:ascii="仿宋" w:hAnsi="仿宋" w:eastAsia="仿宋" w:cs="仿宋"/>
          <w:color w:val="000000"/>
          <w:sz w:val="24"/>
          <w:szCs w:val="24"/>
          <w:highlight w:val="none"/>
        </w:rPr>
      </w:pPr>
      <w:bookmarkStart w:id="73" w:name="_Toc287600122"/>
      <w:bookmarkStart w:id="74" w:name="_Toc21600"/>
      <w:bookmarkStart w:id="75" w:name="_Toc4155"/>
      <w:bookmarkStart w:id="76" w:name="_Toc7129"/>
      <w:bookmarkStart w:id="77" w:name="_Toc19783317"/>
      <w:bookmarkStart w:id="78" w:name="_Toc18673"/>
      <w:bookmarkStart w:id="79" w:name="_Toc517281820"/>
      <w:bookmarkStart w:id="80" w:name="_Toc14726"/>
      <w:bookmarkStart w:id="81" w:name="_Toc444891340"/>
      <w:bookmarkStart w:id="82" w:name="_Toc30195"/>
      <w:r>
        <w:rPr>
          <w:rFonts w:hint="eastAsia" w:ascii="仿宋" w:hAnsi="仿宋" w:eastAsia="仿宋" w:cs="仿宋"/>
          <w:color w:val="000000"/>
          <w:sz w:val="24"/>
          <w:szCs w:val="24"/>
          <w:highlight w:val="none"/>
        </w:rPr>
        <w:t>（四）响应文件的</w:t>
      </w:r>
      <w:bookmarkEnd w:id="73"/>
      <w:bookmarkEnd w:id="74"/>
      <w:bookmarkEnd w:id="75"/>
      <w:bookmarkEnd w:id="76"/>
      <w:bookmarkEnd w:id="77"/>
      <w:bookmarkEnd w:id="78"/>
      <w:bookmarkEnd w:id="79"/>
      <w:bookmarkEnd w:id="80"/>
      <w:bookmarkEnd w:id="81"/>
      <w:r>
        <w:rPr>
          <w:rFonts w:hint="eastAsia" w:ascii="仿宋" w:hAnsi="仿宋" w:eastAsia="仿宋" w:cs="仿宋"/>
          <w:color w:val="000000"/>
          <w:sz w:val="24"/>
          <w:szCs w:val="24"/>
          <w:highlight w:val="none"/>
        </w:rPr>
        <w:t>递交</w:t>
      </w:r>
      <w:bookmarkEnd w:id="82"/>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5</w:t>
      </w:r>
      <w:r>
        <w:rPr>
          <w:rFonts w:hint="eastAsia" w:ascii="仿宋" w:hAnsi="仿宋" w:eastAsia="仿宋" w:cs="仿宋"/>
          <w:color w:val="000000"/>
          <w:sz w:val="24"/>
          <w:szCs w:val="24"/>
          <w:highlight w:val="none"/>
        </w:rPr>
        <w:t>.响应文件的递交</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5</w:t>
      </w:r>
      <w:r>
        <w:rPr>
          <w:rFonts w:hint="eastAsia" w:ascii="仿宋" w:hAnsi="仿宋" w:eastAsia="仿宋" w:cs="仿宋"/>
          <w:color w:val="000000"/>
          <w:sz w:val="24"/>
          <w:highlight w:val="none"/>
        </w:rPr>
        <w:t>.1供应商应按</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规定的时间、方式递交响应文件。</w:t>
      </w:r>
    </w:p>
    <w:p>
      <w:pPr>
        <w:spacing w:line="360" w:lineRule="auto"/>
        <w:jc w:val="left"/>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15.2出现下列情形之一时，</w:t>
      </w:r>
      <w:r>
        <w:rPr>
          <w:rFonts w:hint="eastAsia" w:ascii="仿宋" w:hAnsi="仿宋" w:eastAsia="仿宋" w:cs="宋体"/>
          <w:b/>
          <w:bCs/>
          <w:color w:val="000000"/>
          <w:sz w:val="24"/>
          <w:highlight w:val="none"/>
        </w:rPr>
        <w:t>响应文件不予接收或已经递交的响应文件无效；</w:t>
      </w:r>
    </w:p>
    <w:p>
      <w:pPr>
        <w:spacing w:line="360" w:lineRule="auto"/>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（1）电子响应文件逾期递交的；</w:t>
      </w:r>
    </w:p>
    <w:p>
      <w:pPr>
        <w:spacing w:line="360" w:lineRule="auto"/>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（2）纸质响应文件逾期递交或者未送达指定地点或者未按照磋商文件要求封装的；</w:t>
      </w:r>
    </w:p>
    <w:p>
      <w:pPr>
        <w:spacing w:line="360" w:lineRule="auto"/>
        <w:jc w:val="left"/>
        <w:rPr>
          <w:rFonts w:hint="eastAsia" w:ascii="仿宋" w:hAnsi="仿宋" w:eastAsia="仿宋" w:cs="宋体"/>
          <w:sz w:val="24"/>
          <w:highlight w:val="none"/>
        </w:rPr>
      </w:pPr>
      <w:r>
        <w:rPr>
          <w:rFonts w:hint="eastAsia" w:ascii="仿宋" w:hAnsi="仿宋" w:eastAsia="仿宋" w:cs="宋体"/>
          <w:color w:val="000000"/>
          <w:sz w:val="24"/>
          <w:highlight w:val="none"/>
        </w:rPr>
        <w:t>（3）未通过资格预审的申请供应商递交的；</w:t>
      </w:r>
      <w:r>
        <w:rPr>
          <w:rFonts w:hint="eastAsia" w:ascii="仿宋" w:hAnsi="仿宋" w:eastAsia="仿宋" w:cs="宋体"/>
          <w:i/>
          <w:sz w:val="24"/>
          <w:highlight w:val="none"/>
        </w:rPr>
        <w:t>（资格预审项目适用）</w:t>
      </w:r>
    </w:p>
    <w:p>
      <w:pPr>
        <w:spacing w:line="360" w:lineRule="auto"/>
        <w:jc w:val="left"/>
        <w:rPr>
          <w:rFonts w:ascii="仿宋" w:hAnsi="仿宋" w:eastAsia="仿宋" w:cs="宋体"/>
          <w:color w:val="000000"/>
          <w:sz w:val="24"/>
          <w:highlight w:val="none"/>
        </w:rPr>
      </w:pPr>
      <w:r>
        <w:rPr>
          <w:rFonts w:hint="eastAsia" w:ascii="仿宋" w:hAnsi="仿宋" w:eastAsia="仿宋" w:cs="宋体"/>
          <w:color w:val="000000"/>
          <w:sz w:val="24"/>
          <w:highlight w:val="none"/>
        </w:rPr>
        <w:t>（4）未按磋商公告或者响应公告书要求获得本项目磋商文件的。</w:t>
      </w:r>
    </w:p>
    <w:p>
      <w:pPr>
        <w:pStyle w:val="6"/>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16</w:t>
      </w:r>
      <w:r>
        <w:rPr>
          <w:rFonts w:hint="eastAsia" w:ascii="仿宋" w:hAnsi="仿宋" w:eastAsia="仿宋" w:cs="仿宋"/>
          <w:color w:val="000000"/>
          <w:sz w:val="24"/>
          <w:szCs w:val="24"/>
          <w:highlight w:val="none"/>
        </w:rPr>
        <w:t>.响应文件的修改、撤回和撤销</w:t>
      </w:r>
    </w:p>
    <w:p>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16</w:t>
      </w:r>
      <w:r>
        <w:rPr>
          <w:rFonts w:hint="eastAsia" w:ascii="仿宋" w:hAnsi="仿宋" w:eastAsia="仿宋" w:cs="仿宋"/>
          <w:color w:val="000000"/>
          <w:sz w:val="24"/>
          <w:highlight w:val="none"/>
        </w:rPr>
        <w:t>.1</w:t>
      </w:r>
      <w:r>
        <w:rPr>
          <w:rFonts w:hint="eastAsia" w:ascii="仿宋" w:hAnsi="仿宋" w:eastAsia="仿宋" w:cs="宋体"/>
          <w:color w:val="000000"/>
          <w:spacing w:val="-4"/>
          <w:kern w:val="0"/>
          <w:sz w:val="24"/>
          <w:highlight w:val="none"/>
        </w:rPr>
        <w:t>在</w:t>
      </w:r>
      <w:r>
        <w:rPr>
          <w:rFonts w:hint="eastAsia" w:ascii="仿宋" w:hAnsi="仿宋" w:eastAsia="仿宋" w:cs="宋体"/>
          <w:color w:val="000000"/>
          <w:kern w:val="0"/>
          <w:sz w:val="24"/>
          <w:highlight w:val="none"/>
        </w:rPr>
        <w:t>磋商文件</w:t>
      </w:r>
      <w:r>
        <w:rPr>
          <w:rFonts w:hint="eastAsia" w:ascii="仿宋" w:hAnsi="仿宋" w:eastAsia="仿宋" w:cs="宋体"/>
          <w:color w:val="000000"/>
          <w:spacing w:val="-4"/>
          <w:kern w:val="0"/>
          <w:sz w:val="24"/>
          <w:highlight w:val="none"/>
        </w:rPr>
        <w:t>规定的</w:t>
      </w:r>
      <w:r>
        <w:rPr>
          <w:rFonts w:hint="eastAsia" w:ascii="仿宋" w:hAnsi="仿宋" w:eastAsia="仿宋" w:cs="仿宋"/>
          <w:color w:val="000000"/>
          <w:sz w:val="24"/>
          <w:highlight w:val="none"/>
        </w:rPr>
        <w:t>响应文件</w:t>
      </w:r>
      <w:r>
        <w:rPr>
          <w:rFonts w:hint="eastAsia" w:ascii="仿宋" w:hAnsi="仿宋" w:eastAsia="仿宋" w:cs="宋体"/>
          <w:color w:val="000000"/>
          <w:spacing w:val="-4"/>
          <w:kern w:val="0"/>
          <w:sz w:val="24"/>
          <w:highlight w:val="none"/>
        </w:rPr>
        <w:t>递交截止时间前，</w:t>
      </w:r>
      <w:r>
        <w:rPr>
          <w:rFonts w:hint="eastAsia" w:ascii="仿宋" w:hAnsi="仿宋" w:eastAsia="仿宋" w:cs="宋体"/>
          <w:color w:val="000000"/>
          <w:kern w:val="0"/>
          <w:sz w:val="24"/>
          <w:highlight w:val="none"/>
        </w:rPr>
        <w:t>可以补充、修改或撤回已提交的响应文件。</w:t>
      </w:r>
      <w:r>
        <w:rPr>
          <w:rFonts w:ascii="仿宋" w:hAnsi="仿宋" w:eastAsia="仿宋" w:cs="宋体"/>
          <w:color w:val="000000"/>
          <w:kern w:val="0"/>
          <w:sz w:val="24"/>
          <w:highlight w:val="none"/>
        </w:rPr>
        <w:t>补充、修改的内容为</w:t>
      </w:r>
      <w:r>
        <w:rPr>
          <w:rFonts w:hint="eastAsia" w:ascii="仿宋" w:hAnsi="仿宋" w:eastAsia="仿宋" w:cs="宋体"/>
          <w:color w:val="000000"/>
          <w:kern w:val="0"/>
          <w:sz w:val="24"/>
          <w:highlight w:val="none"/>
        </w:rPr>
        <w:t>响应</w:t>
      </w:r>
      <w:r>
        <w:rPr>
          <w:rFonts w:ascii="仿宋" w:hAnsi="仿宋" w:eastAsia="仿宋" w:cs="宋体"/>
          <w:color w:val="000000"/>
          <w:kern w:val="0"/>
          <w:sz w:val="24"/>
          <w:highlight w:val="none"/>
        </w:rPr>
        <w:t>文件的组成部分</w:t>
      </w:r>
      <w:r>
        <w:rPr>
          <w:rFonts w:hint="eastAsia" w:ascii="仿宋" w:hAnsi="仿宋" w:eastAsia="仿宋" w:cs="宋体"/>
          <w:color w:val="000000"/>
          <w:kern w:val="0"/>
          <w:sz w:val="24"/>
          <w:highlight w:val="none"/>
        </w:rPr>
        <w:t>，应当在响应文件递交截止时间前按照磋商文件的规定进行递交。</w:t>
      </w:r>
    </w:p>
    <w:p>
      <w:pPr>
        <w:pStyle w:val="2"/>
        <w:spacing w:line="360" w:lineRule="auto"/>
        <w:jc w:val="left"/>
        <w:rPr>
          <w:rFonts w:hint="eastAsia"/>
          <w:highlight w:val="none"/>
        </w:rPr>
      </w:pPr>
      <w:bookmarkStart w:id="83" w:name="_Toc332188194"/>
      <w:bookmarkStart w:id="84" w:name="_Toc247085716"/>
      <w:bookmarkStart w:id="85" w:name="_Toc144974526"/>
      <w:bookmarkStart w:id="86" w:name="_Toc326223561"/>
      <w:bookmarkStart w:id="87" w:name="_Toc179632576"/>
      <w:bookmarkStart w:id="88" w:name="_Toc334766948"/>
      <w:bookmarkStart w:id="89" w:name="_Toc152042334"/>
      <w:bookmarkStart w:id="90" w:name="_Toc246996945"/>
      <w:bookmarkStart w:id="91" w:name="_Toc246996202"/>
      <w:bookmarkStart w:id="92" w:name="_Toc152045558"/>
      <w:r>
        <w:rPr>
          <w:rFonts w:ascii="仿宋" w:hAnsi="仿宋" w:eastAsia="仿宋" w:cs="仿宋"/>
          <w:color w:val="000000"/>
          <w:sz w:val="24"/>
          <w:highlight w:val="none"/>
        </w:rPr>
        <w:t>16.2</w:t>
      </w:r>
      <w:bookmarkEnd w:id="83"/>
      <w:bookmarkEnd w:id="84"/>
      <w:bookmarkEnd w:id="85"/>
      <w:bookmarkEnd w:id="86"/>
      <w:bookmarkEnd w:id="87"/>
      <w:bookmarkEnd w:id="88"/>
      <w:bookmarkEnd w:id="89"/>
      <w:bookmarkEnd w:id="90"/>
      <w:bookmarkEnd w:id="91"/>
      <w:bookmarkEnd w:id="92"/>
      <w:r>
        <w:rPr>
          <w:rFonts w:hint="eastAsia" w:ascii="仿宋" w:hAnsi="仿宋" w:eastAsia="仿宋" w:cs="仿宋"/>
          <w:color w:val="000000"/>
          <w:sz w:val="24"/>
          <w:highlight w:val="none"/>
          <w:lang w:val="en-US" w:eastAsia="zh-CN"/>
        </w:rPr>
        <w:t xml:space="preserve"> </w:t>
      </w:r>
      <w:r>
        <w:rPr>
          <w:rFonts w:hint="eastAsia" w:ascii="仿宋" w:hAnsi="仿宋" w:eastAsia="仿宋" w:cs="宋体"/>
          <w:color w:val="000000"/>
          <w:kern w:val="0"/>
          <w:sz w:val="24"/>
          <w:highlight w:val="none"/>
        </w:rPr>
        <w:t>响应文件递交截止时间后，供应商在响应有效期内撤销其响应文件，磋商保证金不予退还。</w:t>
      </w:r>
    </w:p>
    <w:p>
      <w:pPr>
        <w:pStyle w:val="5"/>
        <w:spacing w:before="0" w:after="0" w:line="360" w:lineRule="auto"/>
        <w:ind w:firstLine="482"/>
        <w:rPr>
          <w:rFonts w:hint="eastAsia" w:ascii="仿宋" w:hAnsi="仿宋" w:eastAsia="仿宋" w:cs="仿宋"/>
          <w:color w:val="000000"/>
          <w:sz w:val="24"/>
          <w:szCs w:val="24"/>
          <w:highlight w:val="none"/>
        </w:rPr>
      </w:pPr>
      <w:bookmarkStart w:id="93" w:name="_Toc20741"/>
      <w:bookmarkStart w:id="94" w:name="_Toc2636"/>
      <w:bookmarkStart w:id="95" w:name="_Toc287600123"/>
      <w:bookmarkStart w:id="96" w:name="_Toc17924"/>
      <w:bookmarkStart w:id="97" w:name="_Toc517281821"/>
      <w:bookmarkStart w:id="98" w:name="_Toc30466"/>
      <w:bookmarkStart w:id="99" w:name="_Toc11361"/>
      <w:bookmarkStart w:id="100" w:name="_Toc12797"/>
      <w:bookmarkStart w:id="101" w:name="_Toc444891341"/>
      <w:r>
        <w:rPr>
          <w:rFonts w:hint="eastAsia" w:ascii="仿宋" w:hAnsi="仿宋" w:eastAsia="仿宋" w:cs="仿宋"/>
          <w:color w:val="000000"/>
          <w:sz w:val="24"/>
          <w:szCs w:val="24"/>
          <w:highlight w:val="none"/>
        </w:rPr>
        <w:t>（五）</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和评审</w:t>
      </w:r>
      <w:bookmarkEnd w:id="93"/>
      <w:bookmarkEnd w:id="94"/>
      <w:bookmarkEnd w:id="95"/>
      <w:bookmarkEnd w:id="96"/>
      <w:bookmarkEnd w:id="97"/>
      <w:bookmarkEnd w:id="98"/>
      <w:bookmarkEnd w:id="99"/>
      <w:bookmarkEnd w:id="100"/>
      <w:bookmarkEnd w:id="101"/>
    </w:p>
    <w:p>
      <w:pPr>
        <w:pStyle w:val="6"/>
        <w:spacing w:before="0" w:after="0" w:line="360" w:lineRule="auto"/>
        <w:jc w:val="left"/>
        <w:rPr>
          <w:rFonts w:hint="eastAsia" w:ascii="仿宋" w:hAnsi="仿宋" w:eastAsia="仿宋" w:cs="仿宋"/>
          <w:color w:val="000000"/>
          <w:sz w:val="24"/>
          <w:szCs w:val="24"/>
          <w:highlight w:val="none"/>
        </w:rPr>
      </w:pPr>
      <w:bookmarkStart w:id="102" w:name="_Toc234223229"/>
      <w:bookmarkStart w:id="103" w:name="_Toc234223227"/>
      <w:r>
        <w:rPr>
          <w:rFonts w:ascii="仿宋" w:hAnsi="仿宋" w:eastAsia="仿宋" w:cs="仿宋"/>
          <w:color w:val="000000"/>
          <w:sz w:val="24"/>
          <w:szCs w:val="24"/>
          <w:highlight w:val="none"/>
        </w:rPr>
        <w:t>17</w:t>
      </w:r>
      <w:r>
        <w:rPr>
          <w:rFonts w:hint="eastAsia" w:ascii="仿宋" w:hAnsi="仿宋" w:eastAsia="仿宋" w:cs="仿宋"/>
          <w:color w:val="000000"/>
          <w:sz w:val="24"/>
          <w:szCs w:val="24"/>
          <w:highlight w:val="none"/>
        </w:rPr>
        <w:t>.组建</w:t>
      </w:r>
      <w:bookmarkEnd w:id="102"/>
      <w:r>
        <w:rPr>
          <w:rFonts w:hint="eastAsia" w:ascii="仿宋" w:hAnsi="仿宋" w:eastAsia="仿宋" w:cs="仿宋"/>
          <w:color w:val="000000"/>
          <w:sz w:val="24"/>
          <w:szCs w:val="24"/>
          <w:highlight w:val="none"/>
        </w:rPr>
        <w:t>磋商小组</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7.1</w:t>
      </w:r>
      <w:r>
        <w:rPr>
          <w:rFonts w:hint="eastAsia" w:ascii="仿宋" w:hAnsi="仿宋" w:eastAsia="仿宋" w:cs="宋体"/>
          <w:color w:val="000000"/>
          <w:kern w:val="0"/>
          <w:sz w:val="24"/>
          <w:highlight w:val="none"/>
        </w:rPr>
        <w:t>采购人依照企业采购管理制度的相关规定组建</w:t>
      </w:r>
      <w:r>
        <w:rPr>
          <w:rFonts w:hint="eastAsia" w:ascii="仿宋" w:hAnsi="仿宋" w:eastAsia="仿宋" w:cs="宋体"/>
          <w:color w:val="000000"/>
          <w:kern w:val="0"/>
          <w:sz w:val="24"/>
          <w:highlight w:val="none"/>
          <w:lang w:val="en-US" w:eastAsia="zh-CN"/>
        </w:rPr>
        <w:t>3</w:t>
      </w:r>
      <w:r>
        <w:rPr>
          <w:rFonts w:hint="eastAsia" w:ascii="仿宋" w:hAnsi="仿宋" w:eastAsia="仿宋" w:cs="宋体"/>
          <w:color w:val="000000"/>
          <w:kern w:val="0"/>
          <w:sz w:val="24"/>
          <w:highlight w:val="none"/>
        </w:rPr>
        <w:t>人及以上单数的磋商小组，具体人数</w:t>
      </w:r>
      <w:r>
        <w:rPr>
          <w:rFonts w:hint="eastAsia" w:ascii="仿宋" w:hAnsi="仿宋" w:eastAsia="仿宋" w:cs="仿宋"/>
          <w:color w:val="000000"/>
          <w:sz w:val="24"/>
          <w:highlight w:val="none"/>
        </w:rPr>
        <w:t>见</w:t>
      </w:r>
      <w:r>
        <w:rPr>
          <w:rFonts w:hint="eastAsia" w:ascii="仿宋" w:hAnsi="仿宋" w:eastAsia="仿宋" w:cs="仿宋"/>
          <w:color w:val="000000"/>
          <w:sz w:val="24"/>
          <w:highlight w:val="none"/>
          <w:u w:val="single"/>
        </w:rPr>
        <w:t>本须知前附表</w:t>
      </w:r>
      <w:r>
        <w:rPr>
          <w:rFonts w:hint="eastAsia" w:ascii="仿宋" w:hAnsi="仿宋" w:eastAsia="仿宋" w:cs="宋体"/>
          <w:color w:val="000000"/>
          <w:kern w:val="0"/>
          <w:sz w:val="24"/>
          <w:highlight w:val="none"/>
        </w:rPr>
        <w:t>，磋商小组成员名单在成交结果确定前保密。</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7.2</w:t>
      </w:r>
      <w:r>
        <w:rPr>
          <w:rFonts w:hint="eastAsia" w:ascii="仿宋" w:hAnsi="仿宋" w:eastAsia="仿宋" w:cs="宋体"/>
          <w:color w:val="000000"/>
          <w:kern w:val="0"/>
          <w:sz w:val="24"/>
          <w:highlight w:val="none"/>
        </w:rPr>
        <w:t>磋商小组成员应当按照客观、公正、审慎的原则，根据磋商文件规定的评审程序、评审方法和评审标准进行独立评审。</w:t>
      </w:r>
    </w:p>
    <w:p>
      <w:pPr>
        <w:pStyle w:val="6"/>
        <w:spacing w:before="0" w:after="0" w:line="360" w:lineRule="auto"/>
        <w:jc w:val="left"/>
        <w:rPr>
          <w:rFonts w:ascii="仿宋" w:hAnsi="仿宋" w:eastAsia="仿宋" w:cs="仿宋"/>
          <w:color w:val="000000"/>
          <w:sz w:val="24"/>
          <w:szCs w:val="24"/>
          <w:highlight w:val="none"/>
        </w:rPr>
      </w:pPr>
      <w:bookmarkStart w:id="104" w:name="_Toc234223228"/>
      <w:r>
        <w:rPr>
          <w:rFonts w:ascii="仿宋" w:hAnsi="仿宋" w:eastAsia="仿宋" w:cs="仿宋"/>
          <w:color w:val="000000"/>
          <w:sz w:val="24"/>
          <w:szCs w:val="24"/>
          <w:highlight w:val="none"/>
        </w:rPr>
        <w:t>18</w:t>
      </w:r>
      <w:r>
        <w:rPr>
          <w:rFonts w:hint="eastAsia" w:ascii="仿宋" w:hAnsi="仿宋" w:eastAsia="仿宋" w:cs="仿宋"/>
          <w:color w:val="000000"/>
          <w:sz w:val="24"/>
          <w:szCs w:val="24"/>
          <w:highlight w:val="none"/>
        </w:rPr>
        <w:t>.初步评审</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8.1</w:t>
      </w:r>
      <w:r>
        <w:rPr>
          <w:rFonts w:hint="eastAsia" w:ascii="仿宋" w:hAnsi="仿宋" w:eastAsia="仿宋" w:cs="宋体"/>
          <w:color w:val="000000"/>
          <w:kern w:val="0"/>
          <w:sz w:val="24"/>
          <w:highlight w:val="none"/>
        </w:rPr>
        <w:t>磋商小组按照第三章</w:t>
      </w:r>
      <w:r>
        <w:rPr>
          <w:rFonts w:hint="eastAsia" w:ascii="仿宋" w:hAnsi="仿宋" w:eastAsia="仿宋" w:cs="宋体"/>
          <w:color w:val="000000"/>
          <w:kern w:val="0"/>
          <w:sz w:val="24"/>
        </w:rPr>
        <w:t>评审办法中初步评审的内容及要求</w:t>
      </w:r>
      <w:r>
        <w:rPr>
          <w:rFonts w:hint="eastAsia" w:ascii="仿宋" w:hAnsi="仿宋" w:eastAsia="仿宋" w:cs="宋体"/>
          <w:color w:val="000000"/>
          <w:kern w:val="0"/>
          <w:sz w:val="24"/>
          <w:highlight w:val="none"/>
        </w:rPr>
        <w:t>，对响应文件进行初步评审。通过初步评审的供应商进入磋商环节，未通过初步评审的供应商，其磋商响应将被否决，不进入磋商、详细评审等后续环节。</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8.2</w:t>
      </w:r>
      <w:r>
        <w:rPr>
          <w:rFonts w:hint="eastAsia" w:ascii="仿宋" w:hAnsi="仿宋" w:eastAsia="仿宋" w:cs="宋体"/>
          <w:color w:val="000000"/>
          <w:kern w:val="0"/>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widowControl/>
        <w:topLinePunct/>
        <w:spacing w:line="360" w:lineRule="auto"/>
        <w:rPr>
          <w:rFonts w:ascii="仿宋" w:hAnsi="仿宋" w:eastAsia="仿宋" w:cs="仿宋"/>
          <w:b/>
          <w:bCs/>
          <w:sz w:val="24"/>
          <w:highlight w:val="none"/>
        </w:rPr>
      </w:pPr>
      <w:r>
        <w:rPr>
          <w:rFonts w:hint="eastAsia" w:ascii="仿宋" w:hAnsi="仿宋" w:eastAsia="仿宋" w:cs="宋体"/>
          <w:color w:val="000000"/>
          <w:kern w:val="0"/>
          <w:sz w:val="24"/>
          <w:highlight w:val="none"/>
        </w:rPr>
        <w:t>18</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sz w:val="24"/>
          <w:highlight w:val="none"/>
        </w:rPr>
        <w:t>，磋商小组有权对其响应做否决处理。</w:t>
      </w:r>
    </w:p>
    <w:p>
      <w:pPr>
        <w:widowControl/>
        <w:topLinePunct/>
        <w:spacing w:line="360" w:lineRule="auto"/>
        <w:rPr>
          <w:rFonts w:hint="eastAsia"/>
          <w:highlight w:val="none"/>
        </w:rPr>
      </w:pPr>
      <w:r>
        <w:rPr>
          <w:rFonts w:hint="eastAsia" w:ascii="仿宋" w:hAnsi="仿宋" w:eastAsia="仿宋" w:cs="宋体"/>
          <w:color w:val="000000"/>
          <w:kern w:val="0"/>
          <w:sz w:val="24"/>
          <w:highlight w:val="none"/>
        </w:rPr>
        <w:t>18</w:t>
      </w:r>
      <w:r>
        <w:rPr>
          <w:rFonts w:ascii="仿宋" w:hAnsi="仿宋" w:eastAsia="仿宋" w:cs="宋体"/>
          <w:color w:val="000000"/>
          <w:kern w:val="0"/>
          <w:sz w:val="24"/>
          <w:highlight w:val="none"/>
        </w:rPr>
        <w:t>.4</w:t>
      </w:r>
      <w:r>
        <w:rPr>
          <w:rFonts w:hint="eastAsia" w:ascii="仿宋" w:hAnsi="仿宋" w:eastAsia="仿宋" w:cs="宋体"/>
          <w:color w:val="000000"/>
          <w:kern w:val="0"/>
          <w:sz w:val="24"/>
          <w:highlight w:val="none"/>
        </w:rPr>
        <w:t>磋商小组必要时可以要求供应商提交有关证明和证件的原件，以便核验。拒不按要求提供原件的供应商，</w:t>
      </w:r>
      <w:r>
        <w:rPr>
          <w:rFonts w:hint="eastAsia" w:ascii="仿宋" w:hAnsi="仿宋" w:eastAsia="仿宋" w:cs="仿宋"/>
          <w:b/>
          <w:bCs/>
          <w:sz w:val="24"/>
          <w:highlight w:val="none"/>
        </w:rPr>
        <w:t>磋商小组有权对其响应做否决处理。</w:t>
      </w:r>
    </w:p>
    <w:p>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9.</w:t>
      </w:r>
      <w:r>
        <w:rPr>
          <w:rFonts w:hint="eastAsia" w:ascii="仿宋" w:hAnsi="仿宋" w:eastAsia="仿宋" w:cs="仿宋"/>
          <w:color w:val="000000"/>
          <w:sz w:val="24"/>
          <w:szCs w:val="24"/>
          <w:highlight w:val="none"/>
        </w:rPr>
        <w:t>磋商程序</w:t>
      </w:r>
    </w:p>
    <w:p>
      <w:pPr>
        <w:spacing w:line="360" w:lineRule="auto"/>
        <w:jc w:val="left"/>
        <w:rPr>
          <w:rFonts w:ascii="仿宋" w:hAnsi="仿宋" w:eastAsia="仿宋" w:cs="仿宋"/>
          <w:color w:val="000000"/>
          <w:sz w:val="24"/>
          <w:highlight w:val="none"/>
          <w:u w:val="single"/>
        </w:rPr>
      </w:pPr>
      <w:r>
        <w:rPr>
          <w:rFonts w:ascii="仿宋" w:hAnsi="仿宋" w:eastAsia="仿宋" w:cs="仿宋"/>
          <w:color w:val="000000"/>
          <w:sz w:val="24"/>
          <w:highlight w:val="none"/>
        </w:rPr>
        <w:t>19</w:t>
      </w:r>
      <w:r>
        <w:rPr>
          <w:rFonts w:hint="eastAsia" w:ascii="仿宋" w:hAnsi="仿宋" w:eastAsia="仿宋" w:cs="仿宋"/>
          <w:color w:val="000000"/>
          <w:sz w:val="24"/>
          <w:highlight w:val="none"/>
        </w:rPr>
        <w:t>.1磋商小组所有成员应当集中与通过初步评审的单一供应商分别进行磋商，并给予所有参加磋商的供应商平等的磋商机会。供应商磋商顺序、磋商形式以及其他要求等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000000"/>
          <w:sz w:val="24"/>
          <w:highlight w:val="none"/>
          <w:u w:val="single"/>
        </w:rPr>
        <w:t>详见本须知前附表。</w:t>
      </w:r>
    </w:p>
    <w:p>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19.2</w:t>
      </w:r>
      <w:r>
        <w:rPr>
          <w:rFonts w:hint="eastAsia" w:ascii="仿宋" w:hAnsi="仿宋" w:eastAsia="仿宋" w:cs="仿宋"/>
          <w:color w:val="000000"/>
          <w:sz w:val="24"/>
          <w:highlight w:val="none"/>
        </w:rPr>
        <w:t>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19.3</w:t>
      </w:r>
      <w:r>
        <w:rPr>
          <w:rFonts w:hint="eastAsia" w:ascii="仿宋" w:hAnsi="仿宋" w:eastAsia="仿宋" w:cs="仿宋"/>
          <w:color w:val="000000" w:themeColor="text1"/>
          <w:sz w:val="24"/>
          <w:highlight w:val="none"/>
          <w14:textFill>
            <w14:solidFill>
              <w14:schemeClr w14:val="tx1"/>
            </w14:solidFill>
          </w14:textFill>
        </w:rPr>
        <w:t>供应商进行</w:t>
      </w:r>
      <w:r>
        <w:rPr>
          <w:rFonts w:hint="eastAsia" w:ascii="仿宋" w:hAnsi="仿宋" w:eastAsia="仿宋" w:cs="仿宋"/>
          <w:color w:val="000000" w:themeColor="text1"/>
          <w:sz w:val="24"/>
          <w:highlight w:val="none"/>
          <w:lang w:val="en-US" w:eastAsia="zh-CN"/>
          <w14:textFill>
            <w14:solidFill>
              <w14:schemeClr w14:val="tx1"/>
            </w14:solidFill>
          </w14:textFill>
        </w:rPr>
        <w:t>现场一</w:t>
      </w:r>
      <w:r>
        <w:rPr>
          <w:rFonts w:hint="eastAsia" w:ascii="仿宋" w:hAnsi="仿宋" w:eastAsia="仿宋" w:cs="仿宋"/>
          <w:color w:val="000000" w:themeColor="text1"/>
          <w:sz w:val="24"/>
          <w:highlight w:val="none"/>
          <w14:textFill>
            <w14:solidFill>
              <w14:schemeClr w14:val="tx1"/>
            </w14:solidFill>
          </w14:textFill>
        </w:rPr>
        <w:t>轮磋商及报价。磋商中，任何一方不得向第三方透露与磋商有关的任何信息</w:t>
      </w:r>
      <w:r>
        <w:rPr>
          <w:rFonts w:hint="eastAsia" w:ascii="仿宋" w:hAnsi="仿宋" w:eastAsia="仿宋" w:cs="仿宋"/>
          <w:color w:val="000000"/>
          <w:sz w:val="24"/>
          <w:highlight w:val="none"/>
        </w:rPr>
        <w:t>。</w:t>
      </w:r>
    </w:p>
    <w:bookmarkEnd w:id="104"/>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19.4报价有算术错误的，磋商小组按照以下原则对报价进行修正，修正的价格经供应商书面确认后具有约束力。供应商不接受或不确认修正后价格的，磋商小组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000000"/>
          <w:sz w:val="24"/>
          <w:highlight w:val="none"/>
        </w:rPr>
        <w:t>应当否决其响应</w:t>
      </w:r>
      <w:r>
        <w:rPr>
          <w:rFonts w:hint="eastAsia" w:ascii="仿宋" w:hAnsi="仿宋" w:eastAsia="仿宋" w:cs="仿宋"/>
          <w:color w:val="000000"/>
          <w:sz w:val="24"/>
          <w:highlight w:val="none"/>
        </w:rPr>
        <w:t>。</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（1）大写金额与小写金额不一致的，以大写金额为准；</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（2）总价金额与根据单价计算出的结果不一致的，以单价金额为准修正总价，但单价金额小数点有明显错误的除外。</w:t>
      </w:r>
    </w:p>
    <w:bookmarkEnd w:id="103"/>
    <w:p>
      <w:pPr>
        <w:pStyle w:val="6"/>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20</w:t>
      </w:r>
      <w:r>
        <w:rPr>
          <w:rFonts w:hint="eastAsia" w:ascii="仿宋" w:hAnsi="仿宋" w:eastAsia="仿宋" w:cs="仿宋"/>
          <w:color w:val="000000"/>
          <w:sz w:val="24"/>
          <w:szCs w:val="24"/>
          <w:highlight w:val="none"/>
        </w:rPr>
        <w:t>.详细评审</w:t>
      </w:r>
    </w:p>
    <w:p>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20</w:t>
      </w:r>
      <w:r>
        <w:rPr>
          <w:rFonts w:hint="eastAsia" w:ascii="仿宋" w:hAnsi="仿宋" w:eastAsia="仿宋" w:cs="仿宋"/>
          <w:color w:val="000000"/>
          <w:sz w:val="24"/>
          <w:highlight w:val="none"/>
        </w:rPr>
        <w:t>.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20</w:t>
      </w:r>
      <w:r>
        <w:rPr>
          <w:rFonts w:hint="eastAsia" w:ascii="仿宋" w:hAnsi="仿宋" w:eastAsia="仿宋" w:cs="仿宋"/>
          <w:color w:val="000000"/>
          <w:sz w:val="24"/>
          <w:highlight w:val="none"/>
        </w:rPr>
        <w:t>.2发生以下情形之一的，原则上做终止采购处理：</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（1）出现影响采购公正的违法、违规行为的；</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（2）成交候选人报价超过预算金额，采购需求方无法解决的；</w:t>
      </w:r>
    </w:p>
    <w:p>
      <w:pPr>
        <w:spacing w:line="360" w:lineRule="auto"/>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（3）成交人为N家（1＜N≤3）的项目，有效供应商少于2N家（不含本数）；成交人为N家（N＞3）的项目，有效供应商少于1.5N家（不含本数）。 </w:t>
      </w:r>
    </w:p>
    <w:p>
      <w:pPr>
        <w:widowControl/>
        <w:topLinePunct/>
        <w:spacing w:line="360" w:lineRule="auto"/>
        <w:rPr>
          <w:rFonts w:hint="eastAsia" w:ascii="仿宋" w:hAnsi="仿宋" w:eastAsia="仿宋" w:cs="仿宋"/>
          <w:color w:val="000000"/>
          <w:sz w:val="24"/>
          <w:highlight w:val="none"/>
        </w:rPr>
      </w:pPr>
      <w:r>
        <w:rPr>
          <w:rFonts w:ascii="仿宋" w:hAnsi="仿宋" w:eastAsia="仿宋" w:cs="仿宋"/>
          <w:color w:val="000000"/>
          <w:sz w:val="24"/>
          <w:highlight w:val="none"/>
        </w:rPr>
        <w:t>20</w:t>
      </w:r>
      <w:r>
        <w:rPr>
          <w:rFonts w:hint="eastAsia" w:ascii="仿宋" w:hAnsi="仿宋" w:eastAsia="仿宋" w:cs="仿宋"/>
          <w:color w:val="000000"/>
          <w:sz w:val="24"/>
          <w:highlight w:val="none"/>
        </w:rPr>
        <w:t>.</w:t>
      </w:r>
      <w:r>
        <w:rPr>
          <w:rFonts w:ascii="仿宋" w:hAnsi="仿宋" w:eastAsia="仿宋" w:cs="仿宋"/>
          <w:color w:val="000000"/>
          <w:sz w:val="24"/>
          <w:highlight w:val="none"/>
        </w:rPr>
        <w:t>3</w:t>
      </w:r>
      <w:r>
        <w:rPr>
          <w:rFonts w:hint="eastAsia" w:ascii="仿宋" w:hAnsi="仿宋" w:eastAsia="仿宋" w:cs="仿宋"/>
          <w:color w:val="000000"/>
          <w:sz w:val="24"/>
          <w:highlight w:val="none"/>
        </w:rPr>
        <w:t>成交候选人推荐原则</w:t>
      </w:r>
      <w:r>
        <w:rPr>
          <w:rFonts w:hint="eastAsia" w:ascii="仿宋" w:hAnsi="仿宋" w:eastAsia="仿宋" w:cs="仿宋"/>
          <w:color w:val="000000"/>
          <w:sz w:val="24"/>
          <w:highlight w:val="none"/>
          <w:u w:val="single"/>
        </w:rPr>
        <w:t>详见本须知前附表</w:t>
      </w:r>
      <w:r>
        <w:rPr>
          <w:rFonts w:hint="eastAsia" w:ascii="仿宋" w:hAnsi="仿宋" w:eastAsia="仿宋" w:cs="仿宋"/>
          <w:color w:val="000000"/>
          <w:sz w:val="24"/>
          <w:highlight w:val="none"/>
        </w:rPr>
        <w:t>。</w:t>
      </w:r>
      <w:r>
        <w:rPr>
          <w:rFonts w:hint="eastAsia" w:ascii="仿宋" w:hAnsi="仿宋" w:eastAsia="仿宋" w:cs="宋体"/>
          <w:color w:val="000000"/>
          <w:kern w:val="0"/>
          <w:sz w:val="24"/>
          <w:highlight w:val="none"/>
        </w:rPr>
        <w:t>成交候选人的经营、财务状况发生较大变化或者存在违法行为，采购人认为可能影响其履约能力的，应当在发出成交通知书前由原磋商小组会按照磋商文件规定的标准和方法审查确认。</w:t>
      </w:r>
    </w:p>
    <w:p>
      <w:pPr>
        <w:pStyle w:val="5"/>
        <w:spacing w:before="0" w:after="0" w:line="360" w:lineRule="auto"/>
        <w:ind w:firstLine="482"/>
        <w:rPr>
          <w:rFonts w:hint="eastAsia" w:ascii="仿宋" w:hAnsi="仿宋" w:eastAsia="仿宋" w:cs="仿宋"/>
          <w:color w:val="000000"/>
          <w:sz w:val="24"/>
          <w:szCs w:val="24"/>
          <w:highlight w:val="none"/>
        </w:rPr>
      </w:pPr>
      <w:bookmarkStart w:id="105" w:name="_Toc517281822"/>
      <w:bookmarkStart w:id="106" w:name="_Toc287600124"/>
      <w:bookmarkStart w:id="107" w:name="_Toc444891342"/>
      <w:bookmarkStart w:id="108" w:name="_Toc2322"/>
      <w:bookmarkStart w:id="109" w:name="_Toc9668"/>
      <w:bookmarkStart w:id="110" w:name="_Toc9911"/>
      <w:bookmarkStart w:id="111" w:name="_Toc16781"/>
      <w:bookmarkStart w:id="112" w:name="_Toc234223231"/>
      <w:bookmarkStart w:id="113" w:name="_Toc13936"/>
      <w:bookmarkStart w:id="114" w:name="_Toc19451"/>
      <w:r>
        <w:rPr>
          <w:rFonts w:hint="eastAsia" w:ascii="仿宋" w:hAnsi="仿宋" w:eastAsia="仿宋" w:cs="仿宋"/>
          <w:color w:val="000000"/>
          <w:sz w:val="24"/>
          <w:szCs w:val="24"/>
          <w:highlight w:val="none"/>
        </w:rPr>
        <w:t>（六）授予合同</w:t>
      </w:r>
      <w:bookmarkEnd w:id="105"/>
      <w:bookmarkEnd w:id="106"/>
      <w:bookmarkEnd w:id="107"/>
      <w:bookmarkEnd w:id="108"/>
      <w:bookmarkEnd w:id="109"/>
      <w:bookmarkEnd w:id="110"/>
      <w:bookmarkEnd w:id="111"/>
      <w:bookmarkEnd w:id="112"/>
      <w:bookmarkEnd w:id="113"/>
      <w:bookmarkEnd w:id="114"/>
    </w:p>
    <w:p>
      <w:pPr>
        <w:pStyle w:val="6"/>
        <w:spacing w:before="0" w:after="0" w:line="360" w:lineRule="auto"/>
        <w:jc w:val="left"/>
        <w:rPr>
          <w:rFonts w:hint="eastAsia" w:ascii="仿宋" w:hAnsi="仿宋" w:eastAsia="仿宋" w:cs="仿宋"/>
          <w:color w:val="000000"/>
          <w:sz w:val="24"/>
          <w:szCs w:val="24"/>
          <w:highlight w:val="none"/>
        </w:rPr>
      </w:pPr>
      <w:bookmarkStart w:id="115" w:name="_Toc234223232"/>
      <w:r>
        <w:rPr>
          <w:rFonts w:hint="eastAsia" w:ascii="仿宋" w:hAnsi="仿宋" w:eastAsia="仿宋" w:cs="仿宋"/>
          <w:color w:val="000000"/>
          <w:sz w:val="24"/>
          <w:szCs w:val="24"/>
          <w:highlight w:val="none"/>
        </w:rPr>
        <w:t>2</w:t>
      </w:r>
      <w:r>
        <w:rPr>
          <w:rFonts w:ascii="仿宋" w:hAnsi="仿宋" w:eastAsia="仿宋" w:cs="仿宋"/>
          <w:color w:val="000000"/>
          <w:sz w:val="24"/>
          <w:szCs w:val="24"/>
          <w:highlight w:val="none"/>
        </w:rPr>
        <w:t>1</w:t>
      </w:r>
      <w:r>
        <w:rPr>
          <w:rFonts w:hint="eastAsia" w:ascii="仿宋" w:hAnsi="仿宋" w:eastAsia="仿宋" w:cs="仿宋"/>
          <w:color w:val="000000"/>
          <w:sz w:val="24"/>
          <w:szCs w:val="24"/>
          <w:highlight w:val="none"/>
        </w:rPr>
        <w:t>.确定</w:t>
      </w:r>
      <w:bookmarkEnd w:id="115"/>
      <w:r>
        <w:rPr>
          <w:rFonts w:hint="eastAsia" w:ascii="仿宋" w:hAnsi="仿宋" w:eastAsia="仿宋" w:cs="仿宋"/>
          <w:color w:val="000000"/>
          <w:sz w:val="24"/>
          <w:szCs w:val="24"/>
          <w:highlight w:val="none"/>
        </w:rPr>
        <w:t>成交人</w:t>
      </w:r>
    </w:p>
    <w:p>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21.1</w:t>
      </w:r>
      <w:r>
        <w:rPr>
          <w:rFonts w:hint="eastAsia" w:ascii="仿宋" w:hAnsi="仿宋" w:eastAsia="仿宋" w:cs="仿宋"/>
          <w:color w:val="000000"/>
          <w:sz w:val="24"/>
          <w:highlight w:val="none"/>
        </w:rPr>
        <w:t>采购人依据磋商小组推荐的成交候选人名单确定成交人，成交人数量</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21.</w:t>
      </w:r>
      <w:r>
        <w:rPr>
          <w:rFonts w:hint="eastAsia" w:ascii="仿宋" w:hAnsi="仿宋" w:eastAsia="仿宋" w:cs="宋体"/>
          <w:color w:val="000000"/>
          <w:kern w:val="0"/>
          <w:sz w:val="24"/>
          <w:highlight w:val="none"/>
          <w:lang w:val="en-US" w:eastAsia="zh-CN"/>
        </w:rPr>
        <w:t>2</w:t>
      </w:r>
      <w:r>
        <w:rPr>
          <w:rFonts w:hint="eastAsia" w:ascii="仿宋" w:hAnsi="仿宋" w:eastAsia="仿宋" w:cs="宋体"/>
          <w:color w:val="000000"/>
          <w:kern w:val="0"/>
          <w:sz w:val="24"/>
          <w:highlight w:val="none"/>
        </w:rPr>
        <w:t>成交人确定后，采购人应当向成交人发出成交通知书，同时将成交结果通知所有未成交的供应商。成交通知书对采购人和成交人</w:t>
      </w:r>
      <w:r>
        <w:rPr>
          <w:rFonts w:hint="eastAsia" w:ascii="仿宋" w:hAnsi="仿宋" w:eastAsia="仿宋" w:cs="宋体"/>
          <w:color w:val="000000"/>
          <w:kern w:val="0"/>
          <w:sz w:val="24"/>
          <w:highlight w:val="none"/>
          <w:lang w:val="en-US" w:eastAsia="zh-CN"/>
        </w:rPr>
        <w:t>均</w:t>
      </w:r>
      <w:r>
        <w:rPr>
          <w:rFonts w:hint="eastAsia" w:ascii="仿宋" w:hAnsi="仿宋" w:eastAsia="仿宋" w:cs="宋体"/>
          <w:color w:val="000000"/>
          <w:kern w:val="0"/>
          <w:sz w:val="24"/>
          <w:highlight w:val="none"/>
        </w:rPr>
        <w:t>具有法律效力。成交人收到成交通知书后放弃成交的，应当承担法律责任。</w:t>
      </w:r>
    </w:p>
    <w:p>
      <w:pPr>
        <w:pStyle w:val="6"/>
        <w:spacing w:before="0" w:after="0" w:line="360" w:lineRule="auto"/>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签订合同</w:t>
      </w:r>
    </w:p>
    <w:p>
      <w:pPr>
        <w:widowControl/>
        <w:topLinePunc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2</w:t>
      </w:r>
      <w:r>
        <w:rPr>
          <w:rFonts w:ascii="仿宋" w:hAnsi="仿宋" w:eastAsia="仿宋" w:cs="仿宋"/>
          <w:color w:val="000000"/>
          <w:sz w:val="24"/>
          <w:highlight w:val="none"/>
        </w:rPr>
        <w:t>2.1</w:t>
      </w:r>
      <w:r>
        <w:rPr>
          <w:rFonts w:hint="eastAsia" w:ascii="仿宋" w:hAnsi="仿宋" w:eastAsia="仿宋" w:cs="仿宋"/>
          <w:color w:val="000000"/>
          <w:sz w:val="24"/>
          <w:highlight w:val="none"/>
        </w:rPr>
        <w:t>采购人与成交人按照磋商文件和成交人的响应文件</w:t>
      </w:r>
      <w:r>
        <w:rPr>
          <w:rFonts w:hint="eastAsia" w:ascii="仿宋" w:hAnsi="仿宋" w:eastAsia="仿宋" w:cs="宋体"/>
          <w:color w:val="000000"/>
          <w:kern w:val="0"/>
          <w:sz w:val="24"/>
          <w:highlight w:val="none"/>
        </w:rPr>
        <w:t>订立书面合同。合同的标的、价款、质量、履行期限等主要条款应当与</w:t>
      </w:r>
      <w:r>
        <w:rPr>
          <w:rFonts w:hint="eastAsia" w:ascii="仿宋" w:hAnsi="仿宋" w:eastAsia="仿宋" w:cs="仿宋"/>
          <w:color w:val="000000"/>
          <w:sz w:val="24"/>
          <w:highlight w:val="none"/>
        </w:rPr>
        <w:t>磋商</w:t>
      </w:r>
      <w:r>
        <w:rPr>
          <w:rFonts w:hint="eastAsia" w:ascii="仿宋" w:hAnsi="仿宋" w:eastAsia="仿宋" w:cs="宋体"/>
          <w:color w:val="000000"/>
          <w:kern w:val="0"/>
          <w:sz w:val="24"/>
          <w:highlight w:val="none"/>
        </w:rPr>
        <w:t>文件和</w:t>
      </w:r>
      <w:r>
        <w:rPr>
          <w:rFonts w:hint="eastAsia" w:ascii="仿宋" w:hAnsi="仿宋" w:eastAsia="仿宋" w:cs="仿宋"/>
          <w:color w:val="000000"/>
          <w:sz w:val="24"/>
          <w:highlight w:val="none"/>
        </w:rPr>
        <w:t>成交</w:t>
      </w:r>
      <w:r>
        <w:rPr>
          <w:rFonts w:hint="eastAsia" w:ascii="仿宋" w:hAnsi="仿宋" w:eastAsia="仿宋" w:cs="宋体"/>
          <w:color w:val="000000"/>
          <w:kern w:val="0"/>
          <w:sz w:val="24"/>
          <w:highlight w:val="none"/>
        </w:rPr>
        <w:t>人的</w:t>
      </w:r>
      <w:r>
        <w:rPr>
          <w:rFonts w:hint="eastAsia" w:ascii="仿宋" w:hAnsi="仿宋" w:eastAsia="仿宋" w:cs="仿宋"/>
          <w:color w:val="000000"/>
          <w:sz w:val="24"/>
          <w:highlight w:val="none"/>
        </w:rPr>
        <w:t>响应</w:t>
      </w:r>
      <w:r>
        <w:rPr>
          <w:rFonts w:hint="eastAsia" w:ascii="仿宋" w:hAnsi="仿宋" w:eastAsia="仿宋" w:cs="宋体"/>
          <w:color w:val="000000"/>
          <w:kern w:val="0"/>
          <w:sz w:val="24"/>
          <w:highlight w:val="none"/>
        </w:rPr>
        <w:t>文件的内容一致。</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仿宋"/>
          <w:color w:val="000000"/>
          <w:sz w:val="24"/>
          <w:highlight w:val="none"/>
        </w:rPr>
        <w:t>2</w:t>
      </w:r>
      <w:r>
        <w:rPr>
          <w:rFonts w:ascii="仿宋" w:hAnsi="仿宋" w:eastAsia="仿宋" w:cs="仿宋"/>
          <w:color w:val="000000"/>
          <w:sz w:val="24"/>
          <w:highlight w:val="none"/>
        </w:rPr>
        <w:t>2.2</w:t>
      </w:r>
      <w:r>
        <w:rPr>
          <w:rFonts w:hint="eastAsia" w:ascii="仿宋" w:hAnsi="仿宋" w:eastAsia="仿宋" w:cs="仿宋"/>
          <w:color w:val="000000"/>
          <w:sz w:val="24"/>
          <w:highlight w:val="none"/>
        </w:rPr>
        <w:t xml:space="preserve"> </w:t>
      </w:r>
      <w:r>
        <w:rPr>
          <w:rFonts w:hint="eastAsia" w:ascii="仿宋" w:hAnsi="仿宋" w:eastAsia="仿宋" w:cs="宋体"/>
          <w:color w:val="000000"/>
          <w:kern w:val="0"/>
          <w:sz w:val="24"/>
          <w:highlight w:val="none"/>
        </w:rPr>
        <w:t>成交人无正当理由不与采购人订立合同，在签订合同时向采购人提出附加条件，将取消其成交资格。给采购人造成损失的，成交人应当予以赔偿。</w:t>
      </w:r>
    </w:p>
    <w:p>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22.3</w:t>
      </w:r>
      <w:r>
        <w:rPr>
          <w:rFonts w:hint="eastAsia" w:ascii="仿宋" w:hAnsi="仿宋" w:eastAsia="仿宋" w:cs="宋体"/>
          <w:color w:val="000000"/>
          <w:kern w:val="0"/>
          <w:sz w:val="24"/>
          <w:highlight w:val="none"/>
        </w:rPr>
        <w:t>磋商文件要求成交人提交履约保证金的，成交人应当按照</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要求的金额和方式递交。成交人如不按要求提交履约保证金，将取消其成交资格，磋商保证金不予退还。</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22.4成交供应商</w:t>
      </w:r>
      <w:r>
        <w:rPr>
          <w:rFonts w:ascii="仿宋" w:hAnsi="仿宋" w:eastAsia="仿宋" w:cs="宋体"/>
          <w:color w:val="000000"/>
          <w:kern w:val="0"/>
          <w:sz w:val="24"/>
          <w:highlight w:val="none"/>
        </w:rPr>
        <w:t>不履行与</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人订立的合同的，</w:t>
      </w:r>
      <w:r>
        <w:rPr>
          <w:rFonts w:hint="eastAsia" w:ascii="仿宋" w:hAnsi="仿宋" w:eastAsia="仿宋" w:cs="宋体"/>
          <w:color w:val="000000"/>
          <w:kern w:val="0"/>
          <w:sz w:val="24"/>
          <w:highlight w:val="none"/>
        </w:rPr>
        <w:t>履约</w:t>
      </w:r>
      <w:r>
        <w:rPr>
          <w:rFonts w:ascii="仿宋" w:hAnsi="仿宋" w:eastAsia="仿宋" w:cs="宋体"/>
          <w:color w:val="000000"/>
          <w:kern w:val="0"/>
          <w:sz w:val="24"/>
          <w:highlight w:val="none"/>
        </w:rPr>
        <w:t>保证金不予退还，给</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人造成的损失超过履约保证金数额的，还应当对超过部分予以赔偿；没有提交履约保证金的，应当对</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人的损失承担赔偿责任。</w:t>
      </w:r>
    </w:p>
    <w:p>
      <w:pPr>
        <w:pStyle w:val="5"/>
        <w:spacing w:before="0" w:after="0" w:line="360" w:lineRule="auto"/>
        <w:ind w:firstLine="482"/>
        <w:jc w:val="both"/>
        <w:rPr>
          <w:rFonts w:hint="eastAsia" w:ascii="仿宋" w:hAnsi="仿宋" w:eastAsia="仿宋" w:cs="仿宋"/>
          <w:color w:val="000000"/>
          <w:sz w:val="24"/>
          <w:szCs w:val="24"/>
          <w:highlight w:val="none"/>
        </w:rPr>
      </w:pPr>
      <w:bookmarkStart w:id="116" w:name="_Toc16219"/>
      <w:bookmarkStart w:id="117" w:name="_Toc14533"/>
      <w:bookmarkStart w:id="118" w:name="_Toc234223235"/>
      <w:r>
        <w:rPr>
          <w:rFonts w:hint="eastAsia" w:ascii="仿宋" w:hAnsi="仿宋" w:eastAsia="仿宋" w:cs="仿宋"/>
          <w:color w:val="000000"/>
          <w:sz w:val="24"/>
          <w:szCs w:val="24"/>
          <w:highlight w:val="none"/>
        </w:rPr>
        <w:t>（七）其他</w:t>
      </w:r>
      <w:bookmarkEnd w:id="116"/>
      <w:bookmarkEnd w:id="117"/>
    </w:p>
    <w:bookmarkEnd w:id="118"/>
    <w:p>
      <w:pPr>
        <w:pStyle w:val="6"/>
        <w:spacing w:before="0" w:after="0" w:line="360" w:lineRule="auto"/>
        <w:jc w:val="left"/>
        <w:rPr>
          <w:rFonts w:hint="eastAsia" w:ascii="仿宋" w:hAnsi="仿宋" w:eastAsia="仿宋" w:cs="仿宋"/>
          <w:bCs w:val="0"/>
          <w:color w:val="000000"/>
          <w:sz w:val="24"/>
          <w:szCs w:val="24"/>
          <w:highlight w:val="none"/>
        </w:rPr>
      </w:pPr>
      <w:r>
        <w:rPr>
          <w:rFonts w:hint="eastAsia" w:ascii="仿宋" w:hAnsi="仿宋" w:eastAsia="仿宋" w:cs="仿宋"/>
          <w:bCs w:val="0"/>
          <w:color w:val="000000"/>
          <w:sz w:val="24"/>
          <w:szCs w:val="24"/>
          <w:highlight w:val="none"/>
        </w:rPr>
        <w:t>2</w:t>
      </w:r>
      <w:r>
        <w:rPr>
          <w:rFonts w:hint="eastAsia" w:ascii="仿宋" w:hAnsi="仿宋" w:eastAsia="仿宋" w:cs="仿宋"/>
          <w:bCs w:val="0"/>
          <w:color w:val="000000"/>
          <w:sz w:val="24"/>
          <w:szCs w:val="24"/>
          <w:highlight w:val="none"/>
          <w:lang w:val="en-US" w:eastAsia="zh-CN"/>
        </w:rPr>
        <w:t>3</w:t>
      </w:r>
      <w:r>
        <w:rPr>
          <w:rFonts w:ascii="仿宋" w:hAnsi="仿宋" w:eastAsia="仿宋" w:cs="仿宋"/>
          <w:bCs w:val="0"/>
          <w:color w:val="000000"/>
          <w:sz w:val="24"/>
          <w:szCs w:val="24"/>
          <w:highlight w:val="none"/>
        </w:rPr>
        <w:t>.</w:t>
      </w:r>
      <w:r>
        <w:rPr>
          <w:rFonts w:hint="eastAsia" w:ascii="仿宋" w:hAnsi="仿宋" w:eastAsia="仿宋" w:cs="仿宋"/>
          <w:bCs w:val="0"/>
          <w:color w:val="000000"/>
          <w:sz w:val="24"/>
          <w:szCs w:val="24"/>
          <w:highlight w:val="none"/>
        </w:rPr>
        <w:t>其他情况</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pPr>
        <w:rPr>
          <w:color w:val="000000"/>
          <w:highlight w:val="none"/>
        </w:rPr>
        <w:sectPr>
          <w:footerReference r:id="rId10" w:type="default"/>
          <w:pgSz w:w="11906" w:h="16838"/>
          <w:pgMar w:top="1417" w:right="1134" w:bottom="1134" w:left="1134" w:header="851" w:footer="992" w:gutter="0"/>
          <w:cols w:space="720" w:num="1"/>
          <w:docGrid w:type="lines" w:linePitch="312" w:charSpace="0"/>
        </w:sectPr>
      </w:pPr>
    </w:p>
    <w:p>
      <w:pPr>
        <w:pStyle w:val="3"/>
        <w:spacing w:before="0" w:after="0" w:line="360" w:lineRule="auto"/>
        <w:jc w:val="center"/>
        <w:rPr>
          <w:rFonts w:hint="eastAsia" w:ascii="仿宋" w:hAnsi="仿宋" w:eastAsia="仿宋" w:cs="仿宋"/>
          <w:color w:val="000000"/>
          <w:sz w:val="28"/>
          <w:szCs w:val="28"/>
          <w:highlight w:val="none"/>
        </w:rPr>
      </w:pPr>
      <w:bookmarkStart w:id="119" w:name="_Toc3580"/>
      <w:bookmarkStart w:id="120" w:name="_Toc517281824"/>
      <w:bookmarkStart w:id="121" w:name="_Toc444891343"/>
      <w:r>
        <w:rPr>
          <w:rFonts w:hint="eastAsia" w:ascii="仿宋" w:hAnsi="仿宋" w:eastAsia="仿宋" w:cs="仿宋"/>
          <w:color w:val="000000"/>
          <w:sz w:val="28"/>
          <w:szCs w:val="28"/>
          <w:highlight w:val="none"/>
        </w:rPr>
        <w:t>第三章 评审办法</w:t>
      </w:r>
      <w:bookmarkEnd w:id="119"/>
    </w:p>
    <w:p>
      <w:pPr>
        <w:pStyle w:val="4"/>
        <w:ind w:firstLine="0" w:firstLineChars="0"/>
        <w:jc w:val="left"/>
        <w:rPr>
          <w:rFonts w:hint="eastAsia" w:ascii="仿宋" w:hAnsi="仿宋" w:eastAsia="仿宋" w:cs="仿宋"/>
          <w:color w:val="000000"/>
          <w:sz w:val="24"/>
          <w:szCs w:val="24"/>
          <w:highlight w:val="none"/>
        </w:rPr>
      </w:pPr>
      <w:bookmarkStart w:id="122" w:name="_Toc517281825"/>
      <w:bookmarkStart w:id="123" w:name="_Toc15897"/>
      <w:bookmarkStart w:id="124" w:name="_Toc444891344"/>
      <w:bookmarkStart w:id="125" w:name="_Toc227057964"/>
      <w:bookmarkStart w:id="126" w:name="_Toc226969358"/>
      <w:r>
        <w:rPr>
          <w:rFonts w:hint="eastAsia" w:ascii="仿宋" w:hAnsi="仿宋" w:eastAsia="仿宋" w:cs="仿宋"/>
          <w:color w:val="000000"/>
          <w:sz w:val="24"/>
          <w:szCs w:val="24"/>
          <w:highlight w:val="none"/>
        </w:rPr>
        <w:t>一、评审程序</w:t>
      </w:r>
      <w:bookmarkEnd w:id="122"/>
      <w:bookmarkEnd w:id="123"/>
      <w:bookmarkEnd w:id="124"/>
    </w:p>
    <w:p>
      <w:pPr>
        <w:spacing w:line="360" w:lineRule="auto"/>
        <w:ind w:firstLine="480" w:firstLineChars="200"/>
        <w:jc w:val="left"/>
        <w:rPr>
          <w:rFonts w:hint="eastAsia" w:ascii="仿宋" w:hAnsi="仿宋" w:eastAsia="仿宋" w:cs="仿宋"/>
          <w:color w:val="000000"/>
          <w:kern w:val="0"/>
          <w:sz w:val="24"/>
          <w:highlight w:val="none"/>
        </w:rPr>
      </w:pPr>
      <w:r>
        <w:rPr>
          <w:rFonts w:hint="eastAsia" w:ascii="仿宋" w:hAnsi="仿宋" w:eastAsia="仿宋" w:cs="仿宋"/>
          <w:color w:val="000000"/>
          <w:sz w:val="24"/>
          <w:highlight w:val="none"/>
        </w:rPr>
        <w:t>磋商小组</w:t>
      </w:r>
      <w:r>
        <w:rPr>
          <w:rFonts w:hint="eastAsia" w:ascii="仿宋" w:hAnsi="仿宋" w:eastAsia="仿宋" w:cs="仿宋"/>
          <w:color w:val="000000"/>
          <w:kern w:val="0"/>
          <w:sz w:val="24"/>
          <w:highlight w:val="none"/>
        </w:rPr>
        <w:t>对响应文件中的相关内容进行评审。评审按照以下程序进行：</w:t>
      </w:r>
    </w:p>
    <w:p>
      <w:pPr>
        <w:spacing w:line="360" w:lineRule="auto"/>
        <w:ind w:firstLine="420" w:firstLineChars="175"/>
        <w:jc w:val="left"/>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1.</w:t>
      </w:r>
      <w:r>
        <w:rPr>
          <w:rFonts w:hint="eastAsia" w:ascii="仿宋" w:hAnsi="仿宋" w:eastAsia="仿宋" w:cs="仿宋"/>
          <w:color w:val="000000"/>
          <w:kern w:val="0"/>
          <w:sz w:val="24"/>
          <w:highlight w:val="none"/>
        </w:rPr>
        <w:t>熟悉磋商文件；</w:t>
      </w:r>
    </w:p>
    <w:p>
      <w:pPr>
        <w:spacing w:line="360" w:lineRule="auto"/>
        <w:ind w:firstLine="420" w:firstLineChars="175"/>
        <w:jc w:val="left"/>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2.</w:t>
      </w:r>
      <w:r>
        <w:rPr>
          <w:rFonts w:hint="eastAsia" w:ascii="仿宋" w:hAnsi="仿宋" w:eastAsia="仿宋" w:cs="仿宋"/>
          <w:color w:val="000000"/>
          <w:kern w:val="0"/>
          <w:sz w:val="24"/>
          <w:highlight w:val="none"/>
        </w:rPr>
        <w:t>对响应文件进行初步评审，检查响应文件是否满足磋商文件的初审要求；初步评审中不符合评审标准的，将做否决磋商响应处理；</w:t>
      </w:r>
    </w:p>
    <w:p>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3.</w:t>
      </w:r>
      <w:r>
        <w:rPr>
          <w:rFonts w:hint="eastAsia" w:ascii="仿宋" w:hAnsi="仿宋" w:eastAsia="仿宋" w:cs="仿宋"/>
          <w:color w:val="000000"/>
          <w:kern w:val="0"/>
          <w:sz w:val="24"/>
          <w:highlight w:val="none"/>
        </w:rPr>
        <w:t>供应商有以下情形之一的，磋商小组应当否决其磋商响应：</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（1）按照</w:t>
      </w:r>
      <w:r>
        <w:rPr>
          <w:rFonts w:hint="eastAsia" w:ascii="仿宋" w:hAnsi="仿宋" w:eastAsia="仿宋" w:cs="仿宋"/>
          <w:kern w:val="0"/>
          <w:sz w:val="24"/>
          <w:highlight w:val="none"/>
          <w:lang w:val="en-US" w:eastAsia="zh-CN"/>
        </w:rPr>
        <w:t>磋商</w:t>
      </w:r>
      <w:r>
        <w:rPr>
          <w:rFonts w:hint="eastAsia" w:ascii="仿宋" w:hAnsi="仿宋" w:eastAsia="仿宋" w:cs="仿宋"/>
          <w:kern w:val="0"/>
          <w:sz w:val="24"/>
          <w:highlight w:val="none"/>
        </w:rPr>
        <w:t>公告要求已经递交电子</w:t>
      </w:r>
      <w:r>
        <w:rPr>
          <w:rFonts w:hint="eastAsia" w:ascii="仿宋" w:hAnsi="仿宋" w:eastAsia="仿宋" w:cs="仿宋"/>
          <w:kern w:val="0"/>
          <w:sz w:val="24"/>
          <w:highlight w:val="none"/>
          <w:lang w:val="en-US" w:eastAsia="zh-CN"/>
        </w:rPr>
        <w:t>响应</w:t>
      </w:r>
      <w:r>
        <w:rPr>
          <w:rFonts w:hint="eastAsia" w:ascii="仿宋" w:hAnsi="仿宋" w:eastAsia="仿宋" w:cs="仿宋"/>
          <w:kern w:val="0"/>
          <w:sz w:val="24"/>
          <w:highlight w:val="none"/>
        </w:rPr>
        <w:t>文件，</w:t>
      </w:r>
      <w:r>
        <w:rPr>
          <w:rFonts w:hint="eastAsia" w:ascii="仿宋" w:hAnsi="仿宋" w:eastAsia="仿宋" w:cs="仿宋"/>
          <w:kern w:val="0"/>
          <w:sz w:val="24"/>
          <w:highlight w:val="none"/>
          <w:lang w:val="en-US" w:eastAsia="zh-CN"/>
        </w:rPr>
        <w:t>但</w:t>
      </w:r>
      <w:r>
        <w:rPr>
          <w:rFonts w:hint="eastAsia" w:ascii="仿宋" w:hAnsi="仿宋" w:eastAsia="仿宋" w:cs="仿宋"/>
          <w:kern w:val="0"/>
          <w:sz w:val="24"/>
          <w:highlight w:val="none"/>
        </w:rPr>
        <w:t>未按要求递交纸质响应文件；</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（2）响应文件未经供应商盖章和单位负责人签字；</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（3）允许联合体响应的，联合体没有递交共同响应协议；</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（4）不符合国家或者磋商文件规定的资格条件；</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（5）同一供应商提交两个以上不同的响应文件或者响应报价，但磋商文件要求提交备选文件的除外；</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lang w:eastAsia="zh-CN"/>
        </w:rPr>
        <w:t>）</w:t>
      </w:r>
      <w:r>
        <w:rPr>
          <w:rFonts w:hint="eastAsia" w:ascii="仿宋" w:hAnsi="仿宋" w:eastAsia="仿宋" w:cs="宋体"/>
          <w:color w:val="000000"/>
          <w:kern w:val="0"/>
          <w:sz w:val="24"/>
          <w:szCs w:val="24"/>
          <w:highlight w:val="none"/>
          <w:lang w:val="en-US" w:eastAsia="zh-CN"/>
        </w:rPr>
        <w:t>最终</w:t>
      </w:r>
      <w:r>
        <w:rPr>
          <w:rFonts w:hint="eastAsia" w:ascii="仿宋" w:hAnsi="仿宋" w:eastAsia="仿宋" w:cs="宋体"/>
          <w:color w:val="000000"/>
          <w:kern w:val="0"/>
          <w:sz w:val="24"/>
          <w:szCs w:val="24"/>
          <w:highlight w:val="none"/>
        </w:rPr>
        <w:t>报价低于成本或者高于</w:t>
      </w:r>
      <w:r>
        <w:rPr>
          <w:rFonts w:hint="eastAsia" w:ascii="仿宋" w:hAnsi="仿宋" w:eastAsia="仿宋" w:cs="宋体"/>
          <w:color w:val="000000"/>
          <w:kern w:val="0"/>
          <w:sz w:val="24"/>
          <w:szCs w:val="24"/>
          <w:highlight w:val="none"/>
          <w:lang w:val="en-US" w:eastAsia="zh-CN"/>
        </w:rPr>
        <w:t>磋商</w:t>
      </w:r>
      <w:r>
        <w:rPr>
          <w:rFonts w:hint="eastAsia" w:ascii="仿宋" w:hAnsi="仿宋" w:eastAsia="仿宋" w:cs="宋体"/>
          <w:color w:val="000000"/>
          <w:kern w:val="0"/>
          <w:sz w:val="24"/>
          <w:szCs w:val="24"/>
          <w:highlight w:val="none"/>
        </w:rPr>
        <w:t>文件设定的最高投标限价；</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（7）</w:t>
      </w:r>
      <w:r>
        <w:rPr>
          <w:rFonts w:hint="eastAsia" w:ascii="仿宋" w:hAnsi="仿宋" w:eastAsia="仿宋" w:cs="宋体"/>
          <w:color w:val="000000"/>
          <w:kern w:val="0"/>
          <w:sz w:val="24"/>
          <w:szCs w:val="24"/>
          <w:highlight w:val="none"/>
          <w:lang w:val="en-US" w:eastAsia="zh-CN"/>
        </w:rPr>
        <w:t>响应</w:t>
      </w:r>
      <w:r>
        <w:rPr>
          <w:rFonts w:hint="eastAsia" w:ascii="仿宋" w:hAnsi="仿宋" w:eastAsia="仿宋" w:cs="宋体"/>
          <w:color w:val="000000"/>
          <w:kern w:val="0"/>
          <w:sz w:val="24"/>
          <w:szCs w:val="24"/>
          <w:highlight w:val="none"/>
        </w:rPr>
        <w:t>文件未对</w:t>
      </w:r>
      <w:r>
        <w:rPr>
          <w:rFonts w:hint="eastAsia" w:ascii="仿宋" w:hAnsi="仿宋" w:eastAsia="仿宋" w:cs="宋体"/>
          <w:color w:val="000000"/>
          <w:kern w:val="0"/>
          <w:sz w:val="24"/>
          <w:szCs w:val="24"/>
          <w:highlight w:val="none"/>
          <w:lang w:val="en-US" w:eastAsia="zh-CN"/>
        </w:rPr>
        <w:t>磋商</w:t>
      </w:r>
      <w:r>
        <w:rPr>
          <w:rFonts w:hint="eastAsia" w:ascii="仿宋" w:hAnsi="仿宋" w:eastAsia="仿宋" w:cs="宋体"/>
          <w:color w:val="000000"/>
          <w:kern w:val="0"/>
          <w:sz w:val="24"/>
          <w:szCs w:val="24"/>
          <w:highlight w:val="none"/>
        </w:rPr>
        <w:t xml:space="preserve">文件的实质性要求和条件作出响应； </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（8）</w:t>
      </w:r>
      <w:r>
        <w:rPr>
          <w:rFonts w:hint="eastAsia" w:ascii="仿宋" w:hAnsi="仿宋" w:eastAsia="仿宋" w:cs="宋体"/>
          <w:color w:val="000000"/>
          <w:kern w:val="0"/>
          <w:sz w:val="24"/>
          <w:szCs w:val="24"/>
          <w:highlight w:val="none"/>
          <w:lang w:val="en-US" w:eastAsia="zh-CN"/>
        </w:rPr>
        <w:t>供应商</w:t>
      </w:r>
      <w:r>
        <w:rPr>
          <w:rFonts w:hint="eastAsia" w:ascii="仿宋" w:hAnsi="仿宋" w:eastAsia="仿宋" w:cs="宋体"/>
          <w:color w:val="000000"/>
          <w:kern w:val="0"/>
          <w:sz w:val="24"/>
          <w:szCs w:val="24"/>
          <w:highlight w:val="none"/>
        </w:rPr>
        <w:t>有串通投标、弄虚作假、行贿等违法行为；</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（9）不接受或不确认因算术性错误进行的价格修正；</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（10）</w:t>
      </w:r>
      <w:r>
        <w:rPr>
          <w:rFonts w:hint="eastAsia" w:ascii="仿宋" w:hAnsi="仿宋" w:eastAsia="仿宋" w:cs="宋体"/>
          <w:color w:val="000000"/>
          <w:kern w:val="0"/>
          <w:sz w:val="24"/>
          <w:szCs w:val="24"/>
          <w:highlight w:val="none"/>
          <w:lang w:val="en-US" w:eastAsia="zh-CN"/>
        </w:rPr>
        <w:t>响应</w:t>
      </w:r>
      <w:r>
        <w:rPr>
          <w:rFonts w:hint="eastAsia" w:ascii="仿宋" w:hAnsi="仿宋" w:eastAsia="仿宋" w:cs="宋体"/>
          <w:color w:val="000000"/>
          <w:kern w:val="0"/>
          <w:sz w:val="24"/>
          <w:szCs w:val="24"/>
          <w:highlight w:val="none"/>
        </w:rPr>
        <w:t>文件附有</w:t>
      </w:r>
      <w:r>
        <w:rPr>
          <w:rFonts w:hint="eastAsia" w:ascii="仿宋" w:hAnsi="仿宋" w:eastAsia="仿宋" w:cs="宋体"/>
          <w:color w:val="000000"/>
          <w:kern w:val="0"/>
          <w:sz w:val="24"/>
          <w:szCs w:val="24"/>
          <w:highlight w:val="none"/>
          <w:lang w:val="en-US" w:eastAsia="zh-CN"/>
        </w:rPr>
        <w:t>采购</w:t>
      </w:r>
      <w:r>
        <w:rPr>
          <w:rFonts w:hint="eastAsia" w:ascii="仿宋" w:hAnsi="仿宋" w:eastAsia="仿宋" w:cs="宋体"/>
          <w:color w:val="000000"/>
          <w:kern w:val="0"/>
          <w:sz w:val="24"/>
          <w:szCs w:val="24"/>
          <w:highlight w:val="none"/>
        </w:rPr>
        <w:t>人不能接受的条件；</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（11）不符合</w:t>
      </w:r>
      <w:r>
        <w:rPr>
          <w:rFonts w:hint="eastAsia" w:ascii="仿宋" w:hAnsi="仿宋" w:eastAsia="仿宋" w:cs="宋体"/>
          <w:color w:val="000000"/>
          <w:kern w:val="0"/>
          <w:sz w:val="24"/>
          <w:szCs w:val="24"/>
          <w:highlight w:val="none"/>
          <w:lang w:val="en-US" w:eastAsia="zh-CN"/>
        </w:rPr>
        <w:t>磋商</w:t>
      </w:r>
      <w:r>
        <w:rPr>
          <w:rFonts w:hint="eastAsia" w:ascii="仿宋" w:hAnsi="仿宋" w:eastAsia="仿宋" w:cs="宋体"/>
          <w:color w:val="000000"/>
          <w:kern w:val="0"/>
          <w:sz w:val="24"/>
          <w:szCs w:val="24"/>
          <w:highlight w:val="none"/>
        </w:rPr>
        <w:t>文件中规定的其他实质性要求。</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color w:val="000000"/>
          <w:kern w:val="0"/>
          <w:sz w:val="24"/>
          <w:highlight w:val="none"/>
          <w:lang w:val="en-US" w:eastAsia="zh-CN"/>
        </w:rPr>
        <w:t>4.初步评审</w:t>
      </w:r>
      <w:r>
        <w:rPr>
          <w:rFonts w:hint="eastAsia" w:ascii="仿宋" w:hAnsi="仿宋" w:eastAsia="仿宋" w:cs="仿宋"/>
          <w:color w:val="000000"/>
          <w:kern w:val="0"/>
          <w:sz w:val="24"/>
          <w:highlight w:val="none"/>
          <w:lang w:val="zh-CN" w:eastAsia="zh-CN"/>
        </w:rPr>
        <w:t>内容允许在磋商过程中按磋商小组规定的时间内补充，若未在规定时间内补充则将导致响应无效。</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通过初步评审的供应商分别进行磋商；</w:t>
      </w:r>
    </w:p>
    <w:p>
      <w:pPr>
        <w:spacing w:line="360" w:lineRule="auto"/>
        <w:ind w:firstLine="420" w:firstLineChars="175"/>
        <w:jc w:val="left"/>
        <w:rPr>
          <w:rFonts w:ascii="仿宋" w:hAnsi="仿宋" w:eastAsia="仿宋" w:cs="仿宋"/>
          <w:kern w:val="0"/>
          <w:sz w:val="24"/>
          <w:highlight w:val="none"/>
        </w:rPr>
      </w:pP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rPr>
        <w:t>通过初步评审的供应商进行最终报价；</w:t>
      </w:r>
    </w:p>
    <w:p>
      <w:pPr>
        <w:spacing w:line="360" w:lineRule="auto"/>
        <w:ind w:firstLine="420" w:firstLineChars="175"/>
        <w:jc w:val="left"/>
        <w:rPr>
          <w:rFonts w:ascii="仿宋" w:hAnsi="仿宋" w:eastAsia="仿宋" w:cs="仿宋"/>
          <w:kern w:val="0"/>
          <w:sz w:val="24"/>
          <w:highlight w:val="none"/>
        </w:rPr>
      </w:pPr>
      <w:r>
        <w:rPr>
          <w:rFonts w:hint="eastAsia" w:ascii="仿宋" w:hAnsi="仿宋" w:eastAsia="仿宋" w:cs="仿宋"/>
          <w:kern w:val="0"/>
          <w:sz w:val="24"/>
          <w:highlight w:val="none"/>
          <w:lang w:val="en-US" w:eastAsia="zh-CN"/>
        </w:rPr>
        <w:t>7.</w:t>
      </w:r>
      <w:r>
        <w:rPr>
          <w:rFonts w:hint="eastAsia" w:ascii="仿宋" w:hAnsi="仿宋" w:eastAsia="仿宋" w:cs="仿宋"/>
          <w:kern w:val="0"/>
          <w:sz w:val="24"/>
          <w:highlight w:val="none"/>
        </w:rPr>
        <w:t>通过初步评审的响应文件进行详细评审及打分；</w:t>
      </w:r>
    </w:p>
    <w:p>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kern w:val="0"/>
          <w:sz w:val="24"/>
          <w:highlight w:val="none"/>
          <w:lang w:val="en-US" w:eastAsia="zh-CN"/>
        </w:rPr>
        <w:t>8.</w:t>
      </w:r>
      <w:r>
        <w:rPr>
          <w:rFonts w:hint="eastAsia" w:ascii="仿宋" w:hAnsi="仿宋" w:eastAsia="仿宋" w:cs="仿宋"/>
          <w:kern w:val="0"/>
          <w:sz w:val="24"/>
          <w:highlight w:val="none"/>
        </w:rPr>
        <w:t>按照综合评分由高到低的次序推荐成交候选人，提交评审报告，评审报告应</w:t>
      </w:r>
      <w:r>
        <w:rPr>
          <w:rFonts w:hint="eastAsia" w:ascii="仿宋" w:hAnsi="仿宋" w:eastAsia="仿宋" w:cs="仿宋"/>
          <w:color w:val="000000"/>
          <w:kern w:val="0"/>
          <w:sz w:val="24"/>
          <w:highlight w:val="none"/>
        </w:rPr>
        <w:t>包含评审情况说明、排名次序、推荐成交候选人名单及其他说明事项。</w:t>
      </w:r>
    </w:p>
    <w:p>
      <w:pPr>
        <w:pStyle w:val="4"/>
        <w:ind w:firstLine="0" w:firstLineChars="0"/>
        <w:jc w:val="left"/>
        <w:rPr>
          <w:rFonts w:hint="eastAsia" w:ascii="仿宋" w:hAnsi="仿宋" w:eastAsia="仿宋" w:cs="仿宋"/>
          <w:color w:val="000000"/>
          <w:sz w:val="24"/>
          <w:szCs w:val="24"/>
          <w:highlight w:val="none"/>
        </w:rPr>
      </w:pPr>
      <w:bookmarkStart w:id="127" w:name="_Toc444891345"/>
      <w:bookmarkStart w:id="128" w:name="_Toc517281826"/>
      <w:r>
        <w:rPr>
          <w:rFonts w:hint="eastAsia" w:ascii="仿宋" w:hAnsi="仿宋" w:eastAsia="仿宋" w:cs="仿宋"/>
          <w:color w:val="000000"/>
          <w:sz w:val="24"/>
          <w:szCs w:val="24"/>
          <w:highlight w:val="none"/>
        </w:rPr>
        <w:br w:type="page"/>
      </w:r>
      <w:bookmarkStart w:id="129" w:name="_Toc20277"/>
      <w:r>
        <w:rPr>
          <w:rFonts w:hint="eastAsia" w:ascii="仿宋" w:hAnsi="仿宋" w:eastAsia="仿宋" w:cs="仿宋"/>
          <w:color w:val="000000"/>
          <w:sz w:val="24"/>
          <w:szCs w:val="24"/>
          <w:highlight w:val="none"/>
        </w:rPr>
        <w:t>二、初步评审</w:t>
      </w:r>
      <w:bookmarkEnd w:id="127"/>
      <w:bookmarkEnd w:id="128"/>
      <w:bookmarkEnd w:id="129"/>
    </w:p>
    <w:bookmarkEnd w:id="125"/>
    <w:bookmarkEnd w:id="126"/>
    <w:tbl>
      <w:tblPr>
        <w:tblStyle w:val="40"/>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2"/>
        <w:gridCol w:w="1167"/>
        <w:gridCol w:w="1952"/>
        <w:gridCol w:w="6073"/>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noWrap w:val="0"/>
            <w:vAlign w:val="center"/>
          </w:tcPr>
          <w:p>
            <w:pPr>
              <w:widowControl/>
              <w:spacing w:line="360" w:lineRule="auto"/>
              <w:jc w:val="center"/>
              <w:rPr>
                <w:rFonts w:hint="eastAsia" w:ascii="仿宋" w:hAnsi="仿宋" w:eastAsia="仿宋" w:cs="仿宋"/>
                <w:b/>
                <w:color w:val="000000"/>
                <w:kern w:val="0"/>
                <w:szCs w:val="21"/>
                <w:highlight w:val="none"/>
              </w:rPr>
            </w:pPr>
            <w:bookmarkStart w:id="130" w:name="_Toc426620345"/>
            <w:bookmarkStart w:id="131" w:name="_Toc13468"/>
            <w:bookmarkStart w:id="132" w:name="_Toc444891346"/>
            <w:bookmarkStart w:id="133" w:name="_Toc517281827"/>
            <w:bookmarkStart w:id="134" w:name="_Toc4633"/>
            <w:bookmarkStart w:id="135" w:name="_Toc9003"/>
            <w:r>
              <w:rPr>
                <w:rFonts w:hint="eastAsia" w:ascii="仿宋" w:hAnsi="仿宋" w:eastAsia="仿宋" w:cs="仿宋"/>
                <w:b/>
                <w:color w:val="000000"/>
                <w:kern w:val="0"/>
                <w:szCs w:val="21"/>
                <w:highlight w:val="none"/>
              </w:rPr>
              <w:t>序号</w:t>
            </w:r>
          </w:p>
        </w:tc>
        <w:tc>
          <w:tcPr>
            <w:tcW w:w="592" w:type="pct"/>
            <w:noWrap w:val="0"/>
            <w:vAlign w:val="top"/>
          </w:tcPr>
          <w:p>
            <w:pPr>
              <w:widowControl/>
              <w:spacing w:before="24" w:after="24"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评审环节</w:t>
            </w:r>
          </w:p>
        </w:tc>
        <w:tc>
          <w:tcPr>
            <w:tcW w:w="990" w:type="pct"/>
            <w:noWrap w:val="0"/>
            <w:vAlign w:val="center"/>
          </w:tcPr>
          <w:p>
            <w:pPr>
              <w:widowControl/>
              <w:spacing w:before="24" w:after="24"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评审因素</w:t>
            </w:r>
          </w:p>
        </w:tc>
        <w:tc>
          <w:tcPr>
            <w:tcW w:w="3080" w:type="pct"/>
            <w:noWrap w:val="0"/>
            <w:vAlign w:val="center"/>
          </w:tcPr>
          <w:p>
            <w:pPr>
              <w:widowControl/>
              <w:spacing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w:t>
            </w:r>
          </w:p>
        </w:tc>
        <w:tc>
          <w:tcPr>
            <w:tcW w:w="592" w:type="pct"/>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990" w:type="pct"/>
            <w:noWrap w:val="0"/>
            <w:vAlign w:val="center"/>
          </w:tcPr>
          <w:p>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供应商名称</w:t>
            </w:r>
          </w:p>
        </w:tc>
        <w:tc>
          <w:tcPr>
            <w:tcW w:w="3080" w:type="pct"/>
            <w:noWrap w:val="0"/>
            <w:vAlign w:val="center"/>
          </w:tcPr>
          <w:p>
            <w:pPr>
              <w:spacing w:before="24" w:after="24" w:line="276" w:lineRule="auto"/>
              <w:jc w:val="left"/>
              <w:rPr>
                <w:rFonts w:hint="eastAsia" w:ascii="仿宋" w:hAnsi="仿宋" w:eastAsia="仿宋" w:cs="仿宋"/>
                <w:color w:val="000000"/>
                <w:kern w:val="0"/>
                <w:szCs w:val="21"/>
                <w:highlight w:val="none"/>
              </w:rPr>
            </w:pPr>
            <w:r>
              <w:rPr>
                <w:rFonts w:hint="eastAsia" w:ascii="仿宋" w:hAnsi="仿宋" w:eastAsia="仿宋" w:cs="Cambria Math"/>
                <w:color w:val="000000"/>
                <w:szCs w:val="21"/>
                <w:highlight w:val="none"/>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spacing w:before="24" w:after="24" w:line="276" w:lineRule="auto"/>
              <w:jc w:val="center"/>
              <w:rPr>
                <w:rFonts w:hint="eastAsia" w:ascii="仿宋" w:hAnsi="仿宋" w:eastAsia="仿宋" w:cs="仿宋"/>
                <w:color w:val="000000"/>
                <w:spacing w:val="-4"/>
                <w:kern w:val="0"/>
                <w:szCs w:val="21"/>
                <w:highlight w:val="none"/>
              </w:rPr>
            </w:pPr>
            <w:r>
              <w:rPr>
                <w:rFonts w:hint="eastAsia" w:ascii="仿宋" w:hAnsi="仿宋" w:eastAsia="仿宋" w:cs="仿宋"/>
                <w:color w:val="000000"/>
                <w:szCs w:val="21"/>
                <w:highlight w:val="none"/>
              </w:rPr>
              <w:t>法定代表人（负责人）身份证明</w:t>
            </w:r>
          </w:p>
        </w:tc>
        <w:tc>
          <w:tcPr>
            <w:tcW w:w="3080" w:type="pct"/>
            <w:noWrap w:val="0"/>
            <w:vAlign w:val="center"/>
          </w:tcPr>
          <w:p>
            <w:pPr>
              <w:pStyle w:val="174"/>
              <w:topLinePunct/>
              <w:jc w:val="left"/>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1、提供法定代表人（负责人）身份证复印件。</w:t>
            </w:r>
          </w:p>
          <w:p>
            <w:pPr>
              <w:pStyle w:val="137"/>
              <w:tabs>
                <w:tab w:val="left" w:pos="630"/>
              </w:tabs>
              <w:topLinePunct/>
              <w:spacing w:before="62" w:beforeLines="20" w:after="62" w:afterLines="20"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2"/>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3080" w:type="pct"/>
            <w:noWrap w:val="0"/>
            <w:vAlign w:val="center"/>
          </w:tcPr>
          <w:p>
            <w:pPr>
              <w:pStyle w:val="174"/>
              <w:topLinePunc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1、提供委托代理人身份证复印件。</w:t>
            </w:r>
          </w:p>
          <w:p>
            <w:pPr>
              <w:pStyle w:val="174"/>
              <w:topLinePunct/>
              <w:spacing w:line="276" w:lineRule="auto"/>
              <w:rPr>
                <w:rFonts w:hint="eastAsia" w:ascii="仿宋" w:hAnsi="仿宋" w:eastAsia="仿宋" w:cs="Cambria Math"/>
                <w:color w:val="000000"/>
                <w:sz w:val="21"/>
                <w:szCs w:val="21"/>
                <w:highlight w:val="none"/>
              </w:rPr>
            </w:pPr>
            <w:r>
              <w:rPr>
                <w:rFonts w:hint="eastAsia" w:ascii="仿宋" w:hAnsi="仿宋" w:eastAsia="仿宋" w:cs="仿宋"/>
                <w:color w:val="000000"/>
                <w:sz w:val="22"/>
                <w:highlight w:val="none"/>
              </w:rPr>
              <w:t>2、落款</w:t>
            </w:r>
            <w:r>
              <w:rPr>
                <w:rFonts w:hint="eastAsia" w:ascii="仿宋" w:hAnsi="仿宋" w:eastAsia="仿宋" w:cs="仿宋"/>
                <w:bCs/>
                <w:color w:val="000000"/>
                <w:sz w:val="22"/>
                <w:highlight w:val="none"/>
              </w:rPr>
              <w:t>加盖公章</w:t>
            </w:r>
            <w:r>
              <w:rPr>
                <w:rFonts w:hint="eastAsia" w:ascii="仿宋" w:hAnsi="仿宋" w:eastAsia="仿宋" w:cs="仿宋"/>
                <w:b/>
                <w:bCs/>
                <w:color w:val="000000"/>
                <w:sz w:val="22"/>
                <w:highlight w:val="none"/>
              </w:rPr>
              <w:t>并由</w:t>
            </w:r>
            <w:r>
              <w:rPr>
                <w:rFonts w:hint="eastAsia" w:ascii="仿宋" w:hAnsi="仿宋" w:eastAsia="仿宋" w:cs="仿宋"/>
                <w:color w:val="000000"/>
                <w:sz w:val="22"/>
                <w:highlight w:val="none"/>
              </w:rPr>
              <w:t>法定代表人（负责人）签字</w:t>
            </w:r>
            <w:r>
              <w:rPr>
                <w:rFonts w:hint="eastAsia" w:ascii="仿宋" w:hAnsi="仿宋" w:eastAsia="仿宋" w:cs="仿宋"/>
                <w:b/>
                <w:bCs/>
                <w:color w:val="000000"/>
                <w:sz w:val="22"/>
                <w:highlight w:val="none"/>
              </w:rPr>
              <w:t>和</w:t>
            </w:r>
            <w:r>
              <w:rPr>
                <w:rFonts w:hint="eastAsia" w:ascii="仿宋" w:hAnsi="仿宋" w:eastAsia="仿宋" w:cs="仿宋"/>
                <w:color w:val="000000"/>
                <w:sz w:val="22"/>
                <w:highlight w:val="none"/>
              </w:rPr>
              <w:t>其委托代理人</w:t>
            </w:r>
            <w:r>
              <w:rPr>
                <w:rFonts w:hint="eastAsia" w:ascii="仿宋" w:hAnsi="仿宋" w:eastAsia="仿宋" w:cs="仿宋"/>
                <w:b/>
                <w:bCs/>
                <w:color w:val="000000"/>
                <w:sz w:val="22"/>
                <w:highlight w:val="none"/>
              </w:rPr>
              <w:t>双方</w:t>
            </w:r>
            <w:r>
              <w:rPr>
                <w:rFonts w:hint="eastAsia" w:ascii="仿宋" w:hAnsi="仿宋" w:eastAsia="仿宋" w:cs="仿宋"/>
                <w:bCs/>
                <w:color w:val="000000"/>
                <w:sz w:val="22"/>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响应文件签字或盖章</w:t>
            </w:r>
          </w:p>
        </w:tc>
        <w:tc>
          <w:tcPr>
            <w:tcW w:w="3080" w:type="pct"/>
            <w:noWrap w:val="0"/>
            <w:vAlign w:val="center"/>
          </w:tcPr>
          <w:p>
            <w:pPr>
              <w:spacing w:before="24" w:after="24"/>
              <w:jc w:val="left"/>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1、上述两款以外的响应文件格式中有落款的文件，</w:t>
            </w:r>
            <w:r>
              <w:rPr>
                <w:rFonts w:hint="eastAsia" w:ascii="仿宋" w:hAnsi="仿宋" w:eastAsia="仿宋" w:cs="宋体"/>
                <w:b/>
                <w:color w:val="000000"/>
                <w:szCs w:val="21"/>
                <w:highlight w:val="none"/>
              </w:rPr>
              <w:t>均需</w:t>
            </w:r>
            <w:r>
              <w:rPr>
                <w:rFonts w:hint="eastAsia" w:ascii="仿宋" w:hAnsi="仿宋" w:eastAsia="仿宋" w:cs="宋体"/>
                <w:color w:val="000000"/>
                <w:szCs w:val="21"/>
                <w:highlight w:val="none"/>
              </w:rPr>
              <w:t>加盖公章</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由法定代表人（负责人）签字</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其委托代理人签字。</w:t>
            </w:r>
          </w:p>
          <w:p>
            <w:pPr>
              <w:pStyle w:val="156"/>
              <w:spacing w:before="62" w:beforeLines="20" w:after="62" w:afterLines="20" w:line="276" w:lineRule="auto"/>
              <w:rPr>
                <w:rFonts w:hint="eastAsia" w:ascii="仿宋" w:hAnsi="仿宋" w:eastAsia="仿宋" w:cs="宋体"/>
                <w:color w:val="000000"/>
                <w:highlight w:val="none"/>
              </w:rPr>
            </w:pPr>
            <w:r>
              <w:rPr>
                <w:rFonts w:hint="eastAsia" w:ascii="仿宋" w:hAnsi="仿宋" w:eastAsia="仿宋" w:cs="宋体"/>
                <w:color w:val="000000"/>
                <w:highlight w:val="none"/>
              </w:rPr>
              <w:t>2、响应文件的所有签字处均指手写签字</w:t>
            </w:r>
            <w:r>
              <w:rPr>
                <w:rFonts w:hint="eastAsia" w:ascii="仿宋" w:hAnsi="仿宋" w:eastAsia="仿宋" w:cs="宋体"/>
                <w:b/>
                <w:color w:val="000000"/>
                <w:highlight w:val="none"/>
              </w:rPr>
              <w:t>或</w:t>
            </w:r>
            <w:r>
              <w:rPr>
                <w:rFonts w:hint="eastAsia" w:ascii="仿宋" w:hAnsi="仿宋" w:eastAsia="仿宋" w:cs="宋体"/>
                <w:color w:val="000000"/>
                <w:highlight w:val="none"/>
              </w:rPr>
              <w:t>签名章/印章</w:t>
            </w:r>
            <w:r>
              <w:rPr>
                <w:rFonts w:hint="eastAsia" w:ascii="仿宋" w:hAnsi="仿宋" w:eastAsia="仿宋" w:cs="宋体"/>
                <w:b/>
                <w:bCs/>
                <w:color w:val="000000"/>
                <w:highlight w:val="none"/>
              </w:rPr>
              <w:t>或</w:t>
            </w:r>
            <w:r>
              <w:rPr>
                <w:rFonts w:hint="eastAsia" w:ascii="仿宋" w:hAnsi="仿宋" w:eastAsia="仿宋" w:cs="宋体"/>
                <w:color w:val="000000"/>
                <w:highlight w:val="none"/>
              </w:rPr>
              <w:t>CA签名章，</w:t>
            </w:r>
            <w:r>
              <w:rPr>
                <w:rFonts w:hint="eastAsia" w:ascii="仿宋" w:hAnsi="仿宋" w:eastAsia="仿宋" w:cs="宋体"/>
                <w:b/>
                <w:color w:val="000000"/>
                <w:highlight w:val="none"/>
              </w:rPr>
              <w:t>不得</w:t>
            </w:r>
            <w:r>
              <w:rPr>
                <w:rFonts w:hint="eastAsia" w:ascii="仿宋" w:hAnsi="仿宋" w:eastAsia="仿宋" w:cs="宋体"/>
                <w:color w:val="000000"/>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w:t>
            </w:r>
          </w:p>
        </w:tc>
        <w:tc>
          <w:tcPr>
            <w:tcW w:w="592" w:type="pct"/>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990" w:type="pct"/>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营业执照</w:t>
            </w:r>
          </w:p>
        </w:tc>
        <w:tc>
          <w:tcPr>
            <w:tcW w:w="3080"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财务审计报告及财务报表</w:t>
            </w:r>
          </w:p>
        </w:tc>
        <w:tc>
          <w:tcPr>
            <w:tcW w:w="3080"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spacing w:before="24" w:after="24" w:line="276"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同类项目合同</w:t>
            </w:r>
          </w:p>
        </w:tc>
        <w:tc>
          <w:tcPr>
            <w:tcW w:w="3080"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税收和社会保障资金缴纳凭证</w:t>
            </w:r>
          </w:p>
        </w:tc>
        <w:tc>
          <w:tcPr>
            <w:tcW w:w="3080"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无违法违规记录</w:t>
            </w:r>
          </w:p>
        </w:tc>
        <w:tc>
          <w:tcPr>
            <w:tcW w:w="3080"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未列入供应商黑名单且未在禁入期承诺函</w:t>
            </w:r>
          </w:p>
        </w:tc>
        <w:tc>
          <w:tcPr>
            <w:tcW w:w="3080"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控股、管理关系</w:t>
            </w:r>
          </w:p>
        </w:tc>
        <w:tc>
          <w:tcPr>
            <w:tcW w:w="3080" w:type="pct"/>
            <w:noWrap w:val="0"/>
            <w:vAlign w:val="center"/>
          </w:tcPr>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非联合体声明</w:t>
            </w:r>
          </w:p>
        </w:tc>
        <w:tc>
          <w:tcPr>
            <w:tcW w:w="3080"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szCs w:val="21"/>
                <w:highlight w:val="none"/>
              </w:rPr>
              <w:t>《网络安全等级测评与检测评估机构服务认证证书》</w:t>
            </w:r>
          </w:p>
        </w:tc>
        <w:tc>
          <w:tcPr>
            <w:tcW w:w="3080" w:type="pct"/>
            <w:noWrap w:val="0"/>
            <w:vAlign w:val="center"/>
          </w:tcPr>
          <w:p>
            <w:pPr>
              <w:spacing w:before="24" w:after="24" w:line="276" w:lineRule="auto"/>
              <w:jc w:val="left"/>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《吉林省异地测评报备回执》</w:t>
            </w:r>
          </w:p>
        </w:tc>
        <w:tc>
          <w:tcPr>
            <w:tcW w:w="3080"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ascii="仿宋" w:hAnsi="仿宋" w:eastAsia="仿宋" w:cs="仿宋"/>
                <w:color w:val="000000"/>
                <w:kern w:val="0"/>
                <w:szCs w:val="21"/>
                <w:highlight w:val="none"/>
              </w:rPr>
              <w:t>3</w:t>
            </w:r>
          </w:p>
        </w:tc>
        <w:tc>
          <w:tcPr>
            <w:tcW w:w="592" w:type="pct"/>
            <w:vMerge w:val="restart"/>
            <w:noWrap w:val="0"/>
            <w:vAlign w:val="center"/>
          </w:tcPr>
          <w:p>
            <w:pPr>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响应性评审标准</w:t>
            </w:r>
          </w:p>
        </w:tc>
        <w:tc>
          <w:tcPr>
            <w:tcW w:w="990" w:type="pct"/>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响应函</w:t>
            </w:r>
          </w:p>
        </w:tc>
        <w:tc>
          <w:tcPr>
            <w:tcW w:w="3080"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olor w:val="000000"/>
                <w:szCs w:val="21"/>
                <w:highlight w:val="none"/>
              </w:rPr>
              <w:t>除填写双方名称、项目名称外，未修改原文内容</w:t>
            </w:r>
            <w:r>
              <w:rPr>
                <w:rFonts w:hint="eastAsia" w:ascii="仿宋" w:hAnsi="仿宋" w:eastAsia="仿宋" w:cs="Cambria Math"/>
                <w:color w:val="000000"/>
                <w:szCs w:val="21"/>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供应商行为准则承诺书</w:t>
            </w:r>
          </w:p>
        </w:tc>
        <w:tc>
          <w:tcPr>
            <w:tcW w:w="3080" w:type="pct"/>
            <w:noWrap w:val="0"/>
            <w:vAlign w:val="center"/>
          </w:tcPr>
          <w:p>
            <w:pPr>
              <w:spacing w:before="24" w:after="24" w:line="276" w:lineRule="auto"/>
              <w:jc w:val="left"/>
              <w:rPr>
                <w:rFonts w:hint="eastAsia" w:ascii="仿宋" w:hAnsi="仿宋" w:eastAsia="仿宋" w:cs="Cambria Math"/>
                <w:color w:val="000000"/>
                <w:szCs w:val="21"/>
                <w:highlight w:val="none"/>
              </w:rPr>
            </w:pPr>
            <w:r>
              <w:rPr>
                <w:rFonts w:hint="eastAsia" w:ascii="仿宋" w:hAnsi="仿宋" w:eastAsia="仿宋" w:cs="仿宋"/>
                <w:color w:val="000000"/>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供应商廉洁诚信承诺书</w:t>
            </w:r>
          </w:p>
        </w:tc>
        <w:tc>
          <w:tcPr>
            <w:tcW w:w="3080" w:type="pct"/>
            <w:noWrap w:val="0"/>
            <w:vAlign w:val="center"/>
          </w:tcPr>
          <w:p>
            <w:pPr>
              <w:spacing w:before="24" w:after="24" w:line="276" w:lineRule="auto"/>
              <w:jc w:val="left"/>
              <w:rPr>
                <w:rFonts w:hint="eastAsia" w:ascii="仿宋" w:hAnsi="仿宋" w:eastAsia="仿宋" w:cs="Cambria Math"/>
                <w:color w:val="000000"/>
                <w:szCs w:val="21"/>
                <w:highlight w:val="none"/>
              </w:rPr>
            </w:pPr>
            <w:r>
              <w:rPr>
                <w:rFonts w:hint="eastAsia" w:ascii="仿宋" w:hAnsi="仿宋" w:eastAsia="仿宋" w:cs="仿宋"/>
                <w:color w:val="000000"/>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noWrap w:val="0"/>
            <w:vAlign w:val="center"/>
          </w:tcPr>
          <w:p>
            <w:pPr>
              <w:widowControl/>
              <w:spacing w:line="360" w:lineRule="auto"/>
              <w:jc w:val="center"/>
              <w:rPr>
                <w:rFonts w:ascii="仿宋" w:hAnsi="仿宋" w:eastAsia="仿宋" w:cs="仿宋"/>
                <w:color w:val="000000"/>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Cambria Math"/>
                <w:color w:val="000000" w:themeColor="text1"/>
                <w:szCs w:val="21"/>
                <w:highlight w:val="none"/>
                <w14:textFill>
                  <w14:solidFill>
                    <w14:schemeClr w14:val="tx1"/>
                  </w14:solidFill>
                </w14:textFill>
              </w:rPr>
              <w:t>供应商偏离应答</w:t>
            </w:r>
          </w:p>
        </w:tc>
        <w:tc>
          <w:tcPr>
            <w:tcW w:w="3080" w:type="pct"/>
            <w:noWrap w:val="0"/>
            <w:vAlign w:val="center"/>
          </w:tcPr>
          <w:p>
            <w:pPr>
              <w:spacing w:before="24" w:after="24" w:line="276" w:lineRule="auto"/>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《供应商须知应答偏离表》、《合同条款应答偏离表》、《采购需求应答偏离表》》进行了符合第二章“供应商须知”的应答</w:t>
            </w:r>
          </w:p>
        </w:tc>
      </w:tr>
    </w:tbl>
    <w:p>
      <w:pPr>
        <w:pStyle w:val="4"/>
        <w:numPr>
          <w:ilvl w:val="0"/>
          <w:numId w:val="4"/>
        </w:numPr>
        <w:ind w:firstLine="420" w:firstLineChars="200"/>
        <w:jc w:val="left"/>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1"/>
          <w:szCs w:val="21"/>
          <w:highlight w:val="none"/>
        </w:rPr>
        <w:br w:type="page"/>
      </w:r>
      <w:bookmarkEnd w:id="130"/>
      <w:bookmarkEnd w:id="131"/>
      <w:bookmarkEnd w:id="132"/>
      <w:bookmarkEnd w:id="133"/>
      <w:bookmarkEnd w:id="134"/>
      <w:bookmarkEnd w:id="135"/>
      <w:bookmarkStart w:id="136" w:name="_Toc5942"/>
      <w:r>
        <w:rPr>
          <w:rFonts w:hint="eastAsia" w:ascii="仿宋" w:hAnsi="仿宋" w:eastAsia="仿宋" w:cs="仿宋"/>
          <w:color w:val="000000"/>
          <w:sz w:val="24"/>
          <w:szCs w:val="24"/>
          <w:highlight w:val="none"/>
        </w:rPr>
        <w:t>详细评审</w:t>
      </w:r>
      <w:bookmarkEnd w:id="136"/>
    </w:p>
    <w:p>
      <w:pPr>
        <w:pStyle w:val="3"/>
        <w:spacing w:before="0" w:after="0" w:line="360" w:lineRule="auto"/>
        <w:jc w:val="both"/>
        <w:rPr>
          <w:rFonts w:hint="eastAsia" w:ascii="仿宋" w:hAnsi="仿宋" w:eastAsia="仿宋" w:cs="仿宋"/>
          <w:color w:val="000000"/>
          <w:sz w:val="28"/>
          <w:szCs w:val="28"/>
          <w:highlight w:val="none"/>
        </w:rPr>
      </w:pPr>
    </w:p>
    <w:tbl>
      <w:tblPr>
        <w:tblStyle w:val="40"/>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widowControl/>
              <w:spacing w:line="320" w:lineRule="exact"/>
              <w:jc w:val="center"/>
              <w:rPr>
                <w:rFonts w:asciiTheme="minorEastAsia" w:hAnsiTheme="minorEastAsia" w:eastAsiaTheme="minorEastAsia"/>
                <w:b/>
                <w:color w:val="000000" w:themeColor="text1"/>
                <w:kern w:val="0"/>
                <w:sz w:val="24"/>
                <w14:textFill>
                  <w14:solidFill>
                    <w14:schemeClr w14:val="tx1"/>
                  </w14:solidFill>
                </w14:textFill>
              </w:rPr>
            </w:pPr>
            <w:r>
              <w:rPr>
                <w:rFonts w:asciiTheme="minorEastAsia" w:hAnsiTheme="minorEastAsia" w:eastAsiaTheme="minorEastAsia"/>
                <w:b/>
                <w:color w:val="000000" w:themeColor="text1"/>
                <w:kern w:val="0"/>
                <w:sz w:val="24"/>
                <w14:textFill>
                  <w14:solidFill>
                    <w14:schemeClr w14:val="tx1"/>
                  </w14:solidFill>
                </w14:textFill>
              </w:rPr>
              <w:t>项 目</w:t>
            </w:r>
          </w:p>
        </w:tc>
        <w:tc>
          <w:tcPr>
            <w:tcW w:w="6454" w:type="dxa"/>
            <w:vAlign w:val="center"/>
          </w:tcPr>
          <w:p>
            <w:pPr>
              <w:widowControl/>
              <w:spacing w:line="320" w:lineRule="exact"/>
              <w:jc w:val="center"/>
              <w:rPr>
                <w:rFonts w:asciiTheme="minorEastAsia" w:hAnsiTheme="minorEastAsia" w:eastAsiaTheme="minorEastAsia"/>
                <w:b/>
                <w:color w:val="000000" w:themeColor="text1"/>
                <w:kern w:val="0"/>
                <w:sz w:val="24"/>
                <w14:textFill>
                  <w14:solidFill>
                    <w14:schemeClr w14:val="tx1"/>
                  </w14:solidFill>
                </w14:textFill>
              </w:rPr>
            </w:pPr>
            <w:r>
              <w:rPr>
                <w:rFonts w:asciiTheme="minorEastAsia" w:hAnsiTheme="minorEastAsia" w:eastAsiaTheme="minorEastAsia"/>
                <w:b/>
                <w:color w:val="000000" w:themeColor="text1"/>
                <w:kern w:val="0"/>
                <w:sz w:val="24"/>
                <w:u w:color="FF0000"/>
                <w14:textFill>
                  <w14:solidFill>
                    <w14:schemeClr w14:val="tx1"/>
                  </w14:solidFill>
                </w14:textFill>
              </w:rPr>
              <w:t>评分内容</w:t>
            </w:r>
          </w:p>
        </w:tc>
        <w:tc>
          <w:tcPr>
            <w:tcW w:w="992" w:type="dxa"/>
            <w:vAlign w:val="center"/>
          </w:tcPr>
          <w:p>
            <w:pPr>
              <w:widowControl/>
              <w:spacing w:line="320" w:lineRule="exact"/>
              <w:jc w:val="center"/>
              <w:rPr>
                <w:rFonts w:asciiTheme="minorEastAsia" w:hAnsiTheme="minorEastAsia" w:eastAsiaTheme="minorEastAsia"/>
                <w:b/>
                <w:color w:val="000000" w:themeColor="text1"/>
                <w:kern w:val="0"/>
                <w:sz w:val="24"/>
                <w14:textFill>
                  <w14:solidFill>
                    <w14:schemeClr w14:val="tx1"/>
                  </w14:solidFill>
                </w14:textFill>
              </w:rPr>
            </w:pPr>
            <w:r>
              <w:rPr>
                <w:rFonts w:asciiTheme="minorEastAsia" w:hAnsiTheme="minorEastAsia" w:eastAsiaTheme="minorEastAsia"/>
                <w:b/>
                <w:color w:val="000000" w:themeColor="text1"/>
                <w:kern w:val="0"/>
                <w:sz w:val="24"/>
                <w14:textFill>
                  <w14:solidFill>
                    <w14:schemeClr w14:val="tx1"/>
                  </w14:solidFill>
                </w14:textFill>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color w:val="000000" w:themeColor="text1"/>
                <w:kern w:val="0"/>
                <w:sz w:val="24"/>
                <w14:textFill>
                  <w14:solidFill>
                    <w14:schemeClr w14:val="tx1"/>
                  </w14:solidFill>
                </w14:textFill>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pPr>
              <w:widowControl/>
              <w:spacing w:line="320" w:lineRule="exact"/>
              <w:jc w:val="center"/>
              <w:rPr>
                <w:rFonts w:asciiTheme="minorEastAsia" w:hAnsiTheme="minorEastAsia" w:eastAsiaTheme="minorEastAsia"/>
                <w:color w:val="000000" w:themeColor="text1"/>
                <w:kern w:val="0"/>
                <w:sz w:val="24"/>
                <w14:textFill>
                  <w14:solidFill>
                    <w14:schemeClr w14:val="tx1"/>
                  </w14:solidFill>
                </w14:textFill>
              </w:rPr>
            </w:pPr>
            <w:r>
              <w:rPr>
                <w:rFonts w:asciiTheme="minorEastAsia" w:hAnsiTheme="minorEastAsia" w:eastAsiaTheme="minorEastAsia"/>
                <w:color w:val="000000" w:themeColor="text1"/>
                <w:kern w:val="0"/>
                <w:sz w:val="24"/>
                <w14:textFill>
                  <w14:solidFill>
                    <w14:schemeClr w14:val="tx1"/>
                  </w14:solidFill>
                </w14:textFill>
              </w:rPr>
              <w:t>价格得分</w:t>
            </w:r>
            <w:r>
              <w:rPr>
                <w:rFonts w:hint="eastAsia" w:asciiTheme="minorEastAsia" w:hAnsiTheme="minorEastAsia" w:eastAsiaTheme="minorEastAsia"/>
                <w:color w:val="000000" w:themeColor="text1"/>
                <w:kern w:val="0"/>
                <w:sz w:val="24"/>
                <w14:textFill>
                  <w14:solidFill>
                    <w14:schemeClr w14:val="tx1"/>
                  </w14:solidFill>
                </w14:textFill>
              </w:rPr>
              <w:t>（</w:t>
            </w:r>
            <w:r>
              <w:rPr>
                <w:rFonts w:hint="eastAsia" w:asciiTheme="minorEastAsia" w:hAnsiTheme="minorEastAsia" w:eastAsiaTheme="minorEastAsia"/>
                <w:color w:val="000000" w:themeColor="text1"/>
                <w:kern w:val="0"/>
                <w:sz w:val="24"/>
                <w:lang w:val="en-US" w:eastAsia="zh-CN"/>
                <w14:textFill>
                  <w14:solidFill>
                    <w14:schemeClr w14:val="tx1"/>
                  </w14:solidFill>
                </w14:textFill>
              </w:rPr>
              <w:t>30</w:t>
            </w:r>
            <w:r>
              <w:rPr>
                <w:rFonts w:asciiTheme="minorEastAsia" w:hAnsiTheme="minorEastAsia" w:eastAsiaTheme="minorEastAsia"/>
                <w:color w:val="000000" w:themeColor="text1"/>
                <w:kern w:val="0"/>
                <w:sz w:val="24"/>
                <w14:textFill>
                  <w14:solidFill>
                    <w14:schemeClr w14:val="tx1"/>
                  </w14:solidFill>
                </w14:textFill>
              </w:rPr>
              <w:t>）</w:t>
            </w:r>
          </w:p>
        </w:tc>
        <w:tc>
          <w:tcPr>
            <w:tcW w:w="6454" w:type="dxa"/>
            <w:vAlign w:val="center"/>
          </w:tcPr>
          <w:p>
            <w:pPr>
              <w:spacing w:line="320" w:lineRule="exact"/>
              <w:rPr>
                <w:rFonts w:hint="eastAsia" w:cs="Arial" w:asciiTheme="minorEastAsia" w:hAnsiTheme="minorEastAsia" w:eastAsiaTheme="minorEastAsia"/>
                <w:color w:val="000000" w:themeColor="text1"/>
                <w:sz w:val="24"/>
                <w:lang w:val="en-US" w:eastAsia="zh-CN"/>
                <w14:textFill>
                  <w14:solidFill>
                    <w14:schemeClr w14:val="tx1"/>
                  </w14:solidFill>
                </w14:textFill>
              </w:rPr>
            </w:pPr>
            <w:r>
              <w:rPr>
                <w:rFonts w:hint="eastAsia" w:cs="Arial" w:asciiTheme="minorEastAsia" w:hAnsiTheme="minorEastAsia" w:eastAsiaTheme="minorEastAsia"/>
                <w:color w:val="000000" w:themeColor="text1"/>
                <w:sz w:val="24"/>
                <w:lang w:val="en-US" w:eastAsia="zh-CN"/>
                <w14:textFill>
                  <w14:solidFill>
                    <w14:schemeClr w14:val="tx1"/>
                  </w14:solidFill>
                </w14:textFill>
              </w:rPr>
              <w:t>当</w:t>
            </w:r>
            <w:r>
              <w:rPr>
                <w:rFonts w:hint="eastAsia" w:cs="Arial" w:asciiTheme="minorEastAsia" w:hAnsiTheme="minorEastAsia" w:eastAsiaTheme="minorEastAsia"/>
                <w:color w:val="000000" w:themeColor="text1"/>
                <w:sz w:val="24"/>
                <w14:textFill>
                  <w14:solidFill>
                    <w14:schemeClr w14:val="tx1"/>
                  </w14:solidFill>
                </w14:textFill>
              </w:rPr>
              <w:t>有效投标人</w:t>
            </w:r>
            <w:r>
              <w:rPr>
                <w:rFonts w:hint="eastAsia" w:cs="Arial" w:asciiTheme="minorEastAsia" w:hAnsiTheme="minorEastAsia" w:eastAsiaTheme="minorEastAsia"/>
                <w:color w:val="000000" w:themeColor="text1"/>
                <w:sz w:val="24"/>
                <w:lang w:val="en-US" w:eastAsia="zh-CN"/>
                <w14:textFill>
                  <w14:solidFill>
                    <w14:schemeClr w14:val="tx1"/>
                  </w14:solidFill>
                </w14:textFill>
              </w:rPr>
              <w:t>小于等于3</w:t>
            </w:r>
            <w:r>
              <w:rPr>
                <w:rFonts w:hint="eastAsia" w:cs="Arial" w:asciiTheme="minorEastAsia" w:hAnsiTheme="minorEastAsia" w:eastAsiaTheme="minorEastAsia"/>
                <w:color w:val="000000" w:themeColor="text1"/>
                <w:sz w:val="24"/>
                <w14:textFill>
                  <w14:solidFill>
                    <w14:schemeClr w14:val="tx1"/>
                  </w14:solidFill>
                </w14:textFill>
              </w:rPr>
              <w:t>家</w:t>
            </w:r>
            <w:r>
              <w:rPr>
                <w:rFonts w:hint="eastAsia" w:cs="Arial" w:asciiTheme="minorEastAsia" w:hAnsiTheme="minorEastAsia" w:eastAsiaTheme="minorEastAsia"/>
                <w:color w:val="000000" w:themeColor="text1"/>
                <w:sz w:val="24"/>
                <w:lang w:val="en-US" w:eastAsia="zh-CN"/>
                <w14:textFill>
                  <w14:solidFill>
                    <w14:schemeClr w14:val="tx1"/>
                  </w14:solidFill>
                </w14:textFill>
              </w:rPr>
              <w:t>时采用</w:t>
            </w:r>
            <w:r>
              <w:rPr>
                <w:rFonts w:hint="eastAsia" w:cs="Arial" w:asciiTheme="minorEastAsia" w:hAnsiTheme="minorEastAsia" w:eastAsiaTheme="minorEastAsia"/>
                <w:color w:val="000000" w:themeColor="text1"/>
                <w:sz w:val="24"/>
                <w14:textFill>
                  <w14:solidFill>
                    <w14:schemeClr w14:val="tx1"/>
                  </w14:solidFill>
                </w14:textFill>
              </w:rPr>
              <w:t>低价优先法</w:t>
            </w:r>
            <w:r>
              <w:rPr>
                <w:rFonts w:hint="eastAsia" w:cs="Arial" w:asciiTheme="minorEastAsia" w:hAnsiTheme="minorEastAsia" w:eastAsiaTheme="minorEastAsia"/>
                <w:color w:val="000000" w:themeColor="text1"/>
                <w:sz w:val="24"/>
                <w:lang w:val="en-US" w:eastAsia="zh-CN"/>
                <w14:textFill>
                  <w14:solidFill>
                    <w14:schemeClr w14:val="tx1"/>
                  </w14:solidFill>
                </w14:textFill>
              </w:rPr>
              <w:t>计算：</w:t>
            </w:r>
          </w:p>
          <w:p>
            <w:pPr>
              <w:spacing w:line="320" w:lineRule="exact"/>
              <w:rPr>
                <w:rFonts w:hint="eastAsia" w:cs="Arial" w:asciiTheme="minorEastAsia" w:hAnsiTheme="minorEastAsia" w:eastAsiaTheme="minorEastAsia"/>
                <w:color w:val="000000" w:themeColor="text1"/>
                <w:sz w:val="24"/>
                <w14:textFill>
                  <w14:solidFill>
                    <w14:schemeClr w14:val="tx1"/>
                  </w14:solidFill>
                </w14:textFill>
              </w:rPr>
            </w:pPr>
            <w:r>
              <w:rPr>
                <w:rFonts w:hint="eastAsia" w:cs="Arial" w:asciiTheme="minorEastAsia" w:hAnsiTheme="minorEastAsia" w:eastAsiaTheme="minorEastAsia"/>
                <w:color w:val="000000" w:themeColor="text1"/>
                <w:sz w:val="24"/>
                <w14:textFill>
                  <w14:solidFill>
                    <w14:schemeClr w14:val="tx1"/>
                  </w14:solidFill>
                </w14:textFill>
              </w:rPr>
              <w:t>评分法中的价格分采用低价优先法计算，即满足招标文件要求且最低的评审价格为评标基准价，等于评标基准价得</w:t>
            </w:r>
            <w:r>
              <w:rPr>
                <w:rFonts w:hint="eastAsia" w:cs="Arial" w:asciiTheme="minorEastAsia" w:hAnsiTheme="minorEastAsia" w:eastAsiaTheme="minorEastAsia"/>
                <w:color w:val="000000" w:themeColor="text1"/>
                <w:sz w:val="24"/>
                <w:lang w:val="en-US" w:eastAsia="zh-CN"/>
                <w14:textFill>
                  <w14:solidFill>
                    <w14:schemeClr w14:val="tx1"/>
                  </w14:solidFill>
                </w14:textFill>
              </w:rPr>
              <w:t>3</w:t>
            </w:r>
            <w:r>
              <w:rPr>
                <w:rFonts w:hint="eastAsia" w:cs="Arial" w:asciiTheme="minorEastAsia" w:hAnsiTheme="minorEastAsia" w:eastAsiaTheme="minorEastAsia"/>
                <w:color w:val="000000" w:themeColor="text1"/>
                <w:sz w:val="24"/>
                <w14:textFill>
                  <w14:solidFill>
                    <w14:schemeClr w14:val="tx1"/>
                  </w14:solidFill>
                </w14:textFill>
              </w:rPr>
              <w:t>0分。其他供应商的价格分统一按照下列公式计算，精确到小数点后两位：</w:t>
            </w:r>
          </w:p>
          <w:p>
            <w:pPr>
              <w:spacing w:line="320" w:lineRule="exact"/>
              <w:rPr>
                <w:rFonts w:hint="eastAsia" w:cs="Arial" w:asciiTheme="minorEastAsia" w:hAnsiTheme="minorEastAsia" w:eastAsiaTheme="minorEastAsia"/>
                <w:color w:val="000000" w:themeColor="text1"/>
                <w:sz w:val="24"/>
                <w14:textFill>
                  <w14:solidFill>
                    <w14:schemeClr w14:val="tx1"/>
                  </w14:solidFill>
                </w14:textFill>
              </w:rPr>
            </w:pPr>
            <w:r>
              <w:rPr>
                <w:rFonts w:hint="eastAsia" w:cs="Arial" w:asciiTheme="minorEastAsia" w:hAnsiTheme="minorEastAsia" w:eastAsiaTheme="minorEastAsia"/>
                <w:color w:val="000000" w:themeColor="text1"/>
                <w:sz w:val="24"/>
                <w14:textFill>
                  <w14:solidFill>
                    <w14:schemeClr w14:val="tx1"/>
                  </w14:solidFill>
                </w14:textFill>
              </w:rPr>
              <w:t>供应商报价得分＝（评标基准价/评审价格）×</w:t>
            </w:r>
            <w:r>
              <w:rPr>
                <w:rFonts w:hint="eastAsia" w:cs="Arial" w:asciiTheme="minorEastAsia" w:hAnsiTheme="minorEastAsia" w:eastAsiaTheme="minorEastAsia"/>
                <w:color w:val="000000" w:themeColor="text1"/>
                <w:sz w:val="24"/>
                <w:lang w:val="en-US" w:eastAsia="zh-CN"/>
                <w14:textFill>
                  <w14:solidFill>
                    <w14:schemeClr w14:val="tx1"/>
                  </w14:solidFill>
                </w14:textFill>
              </w:rPr>
              <w:t>30</w:t>
            </w:r>
            <w:r>
              <w:rPr>
                <w:rFonts w:hint="eastAsia" w:cs="Arial" w:asciiTheme="minorEastAsia" w:hAnsiTheme="minorEastAsia" w:eastAsiaTheme="minorEastAsia"/>
                <w:color w:val="000000" w:themeColor="text1"/>
                <w:sz w:val="24"/>
                <w14:textFill>
                  <w14:solidFill>
                    <w14:schemeClr w14:val="tx1"/>
                  </w14:solidFill>
                </w14:textFill>
              </w:rPr>
              <w:t>；</w:t>
            </w:r>
          </w:p>
          <w:p>
            <w:pPr>
              <w:spacing w:line="320" w:lineRule="exact"/>
              <w:rPr>
                <w:rFonts w:hint="eastAsia" w:cs="Arial" w:asciiTheme="minorEastAsia" w:hAnsiTheme="minorEastAsia" w:eastAsiaTheme="minorEastAsia"/>
                <w:color w:val="000000" w:themeColor="text1"/>
                <w:sz w:val="24"/>
                <w14:textFill>
                  <w14:solidFill>
                    <w14:schemeClr w14:val="tx1"/>
                  </w14:solidFill>
                </w14:textFill>
              </w:rPr>
            </w:pPr>
            <w:r>
              <w:rPr>
                <w:rFonts w:hint="eastAsia" w:cs="Arial" w:asciiTheme="minorEastAsia" w:hAnsiTheme="minorEastAsia" w:eastAsiaTheme="minorEastAsia"/>
                <w:color w:val="000000" w:themeColor="text1"/>
                <w:sz w:val="24"/>
                <w14:textFill>
                  <w14:solidFill>
                    <w14:schemeClr w14:val="tx1"/>
                  </w14:solidFill>
                </w14:textFill>
              </w:rPr>
              <w:t>评审价格按照如下方式定义：</w:t>
            </w:r>
          </w:p>
          <w:p>
            <w:pPr>
              <w:spacing w:line="320" w:lineRule="exact"/>
              <w:rPr>
                <w:rFonts w:hint="eastAsia" w:cs="Arial" w:asciiTheme="minorEastAsia" w:hAnsiTheme="minorEastAsia" w:eastAsiaTheme="minorEastAsia"/>
                <w:color w:val="000000" w:themeColor="text1"/>
                <w:sz w:val="24"/>
                <w14:textFill>
                  <w14:solidFill>
                    <w14:schemeClr w14:val="tx1"/>
                  </w14:solidFill>
                </w14:textFill>
              </w:rPr>
            </w:pPr>
            <w:r>
              <w:rPr>
                <w:rFonts w:hint="eastAsia" w:cs="Arial" w:asciiTheme="minorEastAsia" w:hAnsiTheme="minorEastAsia" w:eastAsiaTheme="minorEastAsia"/>
                <w:color w:val="000000" w:themeColor="text1"/>
                <w:sz w:val="24"/>
                <w14:textFill>
                  <w14:solidFill>
                    <w14:schemeClr w14:val="tx1"/>
                  </w14:solidFill>
                </w14:textFill>
              </w:rPr>
              <w:t>对于承诺提供增值税专用发票的供应商，评审价格即不含税的投标总价净价；</w:t>
            </w:r>
          </w:p>
          <w:p>
            <w:pPr>
              <w:spacing w:line="320" w:lineRule="exact"/>
              <w:rPr>
                <w:rFonts w:hint="eastAsia" w:cs="Arial" w:asciiTheme="minorEastAsia" w:hAnsiTheme="minorEastAsia" w:eastAsiaTheme="minorEastAsia"/>
                <w:color w:val="000000" w:themeColor="text1"/>
                <w:sz w:val="24"/>
                <w14:textFill>
                  <w14:solidFill>
                    <w14:schemeClr w14:val="tx1"/>
                  </w14:solidFill>
                </w14:textFill>
              </w:rPr>
            </w:pPr>
            <w:r>
              <w:rPr>
                <w:rFonts w:hint="eastAsia" w:cs="Arial" w:asciiTheme="minorEastAsia" w:hAnsiTheme="minorEastAsia" w:eastAsiaTheme="minorEastAsia"/>
                <w:color w:val="000000" w:themeColor="text1"/>
                <w:sz w:val="24"/>
                <w14:textFill>
                  <w14:solidFill>
                    <w14:schemeClr w14:val="tx1"/>
                  </w14:solidFill>
                </w14:textFill>
              </w:rPr>
              <w:t>对于不能提供增值税专用发票的供应商，评审价格是含税的投标总价</w:t>
            </w:r>
          </w:p>
          <w:p>
            <w:pPr>
              <w:spacing w:line="320" w:lineRule="exact"/>
              <w:rPr>
                <w:rFonts w:hint="eastAsia" w:cs="Arial" w:asciiTheme="minorEastAsia" w:hAnsiTheme="minorEastAsia" w:eastAsiaTheme="minorEastAsia"/>
                <w:color w:val="000000" w:themeColor="text1"/>
                <w:sz w:val="24"/>
                <w:lang w:val="en-US" w:eastAsia="zh-CN"/>
                <w14:textFill>
                  <w14:solidFill>
                    <w14:schemeClr w14:val="tx1"/>
                  </w14:solidFill>
                </w14:textFill>
              </w:rPr>
            </w:pPr>
            <w:r>
              <w:rPr>
                <w:rFonts w:hint="eastAsia" w:cs="Arial" w:asciiTheme="minorEastAsia" w:hAnsiTheme="minorEastAsia" w:eastAsiaTheme="minorEastAsia"/>
                <w:color w:val="000000" w:themeColor="text1"/>
                <w:sz w:val="24"/>
                <w:lang w:val="en-US" w:eastAsia="zh-CN"/>
                <w14:textFill>
                  <w14:solidFill>
                    <w14:schemeClr w14:val="tx1"/>
                  </w14:solidFill>
                </w14:textFill>
              </w:rPr>
              <w:t>当</w:t>
            </w:r>
            <w:r>
              <w:rPr>
                <w:rFonts w:hint="eastAsia" w:cs="Arial" w:asciiTheme="minorEastAsia" w:hAnsiTheme="minorEastAsia" w:eastAsiaTheme="minorEastAsia"/>
                <w:color w:val="000000" w:themeColor="text1"/>
                <w:sz w:val="24"/>
                <w14:textFill>
                  <w14:solidFill>
                    <w14:schemeClr w14:val="tx1"/>
                  </w14:solidFill>
                </w14:textFill>
              </w:rPr>
              <w:t>有效投标人</w:t>
            </w:r>
            <w:r>
              <w:rPr>
                <w:rFonts w:hint="eastAsia" w:cs="Arial" w:asciiTheme="minorEastAsia" w:hAnsiTheme="minorEastAsia" w:eastAsiaTheme="minorEastAsia"/>
                <w:color w:val="000000" w:themeColor="text1"/>
                <w:sz w:val="24"/>
                <w:lang w:val="en-US" w:eastAsia="zh-CN"/>
                <w14:textFill>
                  <w14:solidFill>
                    <w14:schemeClr w14:val="tx1"/>
                  </w14:solidFill>
                </w14:textFill>
              </w:rPr>
              <w:t>大于3</w:t>
            </w:r>
            <w:r>
              <w:rPr>
                <w:rFonts w:hint="eastAsia" w:cs="Arial" w:asciiTheme="minorEastAsia" w:hAnsiTheme="minorEastAsia" w:eastAsiaTheme="minorEastAsia"/>
                <w:color w:val="000000" w:themeColor="text1"/>
                <w:sz w:val="24"/>
                <w14:textFill>
                  <w14:solidFill>
                    <w14:schemeClr w14:val="tx1"/>
                  </w14:solidFill>
                </w14:textFill>
              </w:rPr>
              <w:t>家</w:t>
            </w:r>
            <w:r>
              <w:rPr>
                <w:rFonts w:hint="eastAsia" w:cs="Arial" w:asciiTheme="minorEastAsia" w:hAnsiTheme="minorEastAsia" w:eastAsiaTheme="minorEastAsia"/>
                <w:color w:val="000000" w:themeColor="text1"/>
                <w:sz w:val="24"/>
                <w:lang w:val="en-US" w:eastAsia="zh-CN"/>
                <w14:textFill>
                  <w14:solidFill>
                    <w14:schemeClr w14:val="tx1"/>
                  </w14:solidFill>
                </w14:textFill>
              </w:rPr>
              <w:t>时采用</w:t>
            </w:r>
            <w:r>
              <w:rPr>
                <w:rFonts w:hint="eastAsia" w:cs="Arial" w:asciiTheme="minorEastAsia" w:hAnsiTheme="minorEastAsia" w:eastAsiaTheme="minorEastAsia"/>
                <w:color w:val="000000" w:themeColor="text1"/>
                <w:sz w:val="24"/>
                <w14:textFill>
                  <w14:solidFill>
                    <w14:schemeClr w14:val="tx1"/>
                  </w14:solidFill>
                </w14:textFill>
              </w:rPr>
              <w:t>偏离度计算法</w:t>
            </w:r>
            <w:r>
              <w:rPr>
                <w:rFonts w:hint="eastAsia" w:cs="Arial" w:asciiTheme="minorEastAsia" w:hAnsiTheme="minorEastAsia" w:eastAsiaTheme="minorEastAsia"/>
                <w:color w:val="000000" w:themeColor="text1"/>
                <w:sz w:val="24"/>
                <w:lang w:val="en-US" w:eastAsia="zh-CN"/>
                <w14:textFill>
                  <w14:solidFill>
                    <w14:schemeClr w14:val="tx1"/>
                  </w14:solidFill>
                </w14:textFill>
              </w:rPr>
              <w:t>计算：</w:t>
            </w:r>
          </w:p>
          <w:p>
            <w:pPr>
              <w:spacing w:line="320" w:lineRule="exact"/>
              <w:rPr>
                <w:rFonts w:hint="eastAsia" w:cs="Arial" w:asciiTheme="minorEastAsia" w:hAnsiTheme="minorEastAsia" w:eastAsiaTheme="minorEastAsia"/>
                <w:color w:val="000000" w:themeColor="text1"/>
                <w:sz w:val="24"/>
                <w:lang w:val="en-US" w:eastAsia="zh-CN"/>
                <w14:textFill>
                  <w14:solidFill>
                    <w14:schemeClr w14:val="tx1"/>
                  </w14:solidFill>
                </w14:textFill>
              </w:rPr>
            </w:pPr>
            <w:r>
              <w:rPr>
                <w:rFonts w:hint="eastAsia" w:cs="Arial" w:asciiTheme="minorEastAsia" w:hAnsiTheme="minorEastAsia" w:eastAsiaTheme="minorEastAsia"/>
                <w:color w:val="000000" w:themeColor="text1"/>
                <w:sz w:val="24"/>
                <w14:textFill>
                  <w14:solidFill>
                    <w14:schemeClr w14:val="tx1"/>
                  </w14:solidFill>
                </w14:textFill>
              </w:rPr>
              <w:t>评分法中的价格分采用偏离度计算法计算</w:t>
            </w:r>
            <w:r>
              <w:rPr>
                <w:rFonts w:hint="eastAsia" w:cs="Arial" w:asciiTheme="minorEastAsia" w:hAnsiTheme="minorEastAsia" w:eastAsiaTheme="minorEastAsia"/>
                <w:b w:val="0"/>
                <w:bCs w:val="0"/>
                <w:color w:val="000000" w:themeColor="text1"/>
                <w:sz w:val="24"/>
                <w14:textFill>
                  <w14:solidFill>
                    <w14:schemeClr w14:val="tx1"/>
                  </w14:solidFill>
                </w14:textFill>
              </w:rPr>
              <w:t>，</w:t>
            </w:r>
            <w:r>
              <w:rPr>
                <w:rFonts w:hint="eastAsia" w:cs="Arial" w:asciiTheme="minorEastAsia" w:hAnsiTheme="minorEastAsia" w:eastAsiaTheme="minorEastAsia"/>
                <w:b w:val="0"/>
                <w:bCs w:val="0"/>
                <w:color w:val="000000" w:themeColor="text1"/>
                <w:sz w:val="24"/>
                <w:lang w:val="en-US" w:eastAsia="zh-CN"/>
                <w14:textFill>
                  <w14:solidFill>
                    <w14:schemeClr w14:val="tx1"/>
                  </w14:solidFill>
                </w14:textFill>
              </w:rPr>
              <w:t>剔除一个有效评标价中的最低价和有效评标价中的最高价，</w:t>
            </w:r>
            <w:r>
              <w:rPr>
                <w:rFonts w:hint="eastAsia" w:cs="Arial" w:asciiTheme="minorEastAsia" w:hAnsiTheme="minorEastAsia" w:eastAsiaTheme="minorEastAsia"/>
                <w:b w:val="0"/>
                <w:bCs w:val="0"/>
                <w:color w:val="000000" w:themeColor="text1"/>
                <w:sz w:val="24"/>
                <w14:textFill>
                  <w14:solidFill>
                    <w14:schemeClr w14:val="tx1"/>
                  </w14:solidFill>
                </w14:textFill>
              </w:rPr>
              <w:t>取</w:t>
            </w:r>
            <w:r>
              <w:rPr>
                <w:rFonts w:hint="eastAsia" w:cs="Arial" w:asciiTheme="minorEastAsia" w:hAnsiTheme="minorEastAsia" w:eastAsiaTheme="minorEastAsia"/>
                <w:b w:val="0"/>
                <w:bCs w:val="0"/>
                <w:color w:val="000000" w:themeColor="text1"/>
                <w:sz w:val="24"/>
                <w:lang w:val="en-US" w:eastAsia="zh-CN"/>
                <w14:textFill>
                  <w14:solidFill>
                    <w14:schemeClr w14:val="tx1"/>
                  </w14:solidFill>
                </w14:textFill>
              </w:rPr>
              <w:t>余下</w:t>
            </w:r>
            <w:r>
              <w:rPr>
                <w:rFonts w:hint="eastAsia" w:cs="Arial" w:asciiTheme="minorEastAsia" w:hAnsiTheme="minorEastAsia" w:eastAsiaTheme="minorEastAsia"/>
                <w:b w:val="0"/>
                <w:bCs w:val="0"/>
                <w:color w:val="000000" w:themeColor="text1"/>
                <w:sz w:val="24"/>
                <w14:textFill>
                  <w14:solidFill>
                    <w14:schemeClr w14:val="tx1"/>
                  </w14:solidFill>
                </w14:textFill>
              </w:rPr>
              <w:t>所有有效评标价的算术平均值</w:t>
            </w:r>
            <w:r>
              <w:rPr>
                <w:rFonts w:hint="eastAsia" w:cs="Arial" w:asciiTheme="minorEastAsia" w:hAnsiTheme="minorEastAsia" w:eastAsiaTheme="minorEastAsia"/>
                <w:b w:val="0"/>
                <w:bCs w:val="0"/>
                <w:color w:val="000000" w:themeColor="text1"/>
                <w:sz w:val="24"/>
                <w:lang w:val="en-US" w:eastAsia="zh-CN"/>
                <w14:textFill>
                  <w14:solidFill>
                    <w14:schemeClr w14:val="tx1"/>
                  </w14:solidFill>
                </w14:textFill>
              </w:rPr>
              <w:t>作为评标基准价</w:t>
            </w:r>
            <w:r>
              <w:rPr>
                <w:rFonts w:hint="eastAsia" w:cs="Arial" w:asciiTheme="minorEastAsia" w:hAnsiTheme="minorEastAsia" w:eastAsiaTheme="minorEastAsia"/>
                <w:b w:val="0"/>
                <w:bCs w:val="0"/>
                <w:color w:val="000000" w:themeColor="text1"/>
                <w:sz w:val="24"/>
                <w14:textFill>
                  <w14:solidFill>
                    <w14:schemeClr w14:val="tx1"/>
                  </w14:solidFill>
                </w14:textFill>
              </w:rPr>
              <w:t>，</w:t>
            </w:r>
            <w:r>
              <w:rPr>
                <w:rFonts w:hint="eastAsia" w:cs="Arial" w:asciiTheme="minorEastAsia" w:hAnsiTheme="minorEastAsia" w:eastAsiaTheme="minorEastAsia"/>
                <w:color w:val="000000" w:themeColor="text1"/>
                <w:sz w:val="24"/>
                <w:lang w:val="en-US" w:eastAsia="zh-CN"/>
                <w14:textFill>
                  <w14:solidFill>
                    <w14:schemeClr w14:val="tx1"/>
                  </w14:solidFill>
                </w14:textFill>
              </w:rPr>
              <w:t>价格分计算按照以下公式计算，并精确到小数点后两位：价格得分=(1-A*│1－该投标人的评标价／评标基准价│)*30</w:t>
            </w:r>
          </w:p>
          <w:p>
            <w:pPr>
              <w:spacing w:line="320" w:lineRule="exact"/>
              <w:rPr>
                <w:rFonts w:asciiTheme="minorEastAsia" w:hAnsiTheme="minorEastAsia" w:eastAsiaTheme="minorEastAsia"/>
                <w:snapToGrid w:val="0"/>
                <w:color w:val="000000" w:themeColor="text1"/>
                <w:sz w:val="24"/>
                <w14:textFill>
                  <w14:solidFill>
                    <w14:schemeClr w14:val="tx1"/>
                  </w14:solidFill>
                </w14:textFill>
              </w:rPr>
            </w:pPr>
            <w:r>
              <w:rPr>
                <w:rFonts w:hint="eastAsia" w:cs="Arial" w:asciiTheme="minorEastAsia" w:hAnsiTheme="minorEastAsia" w:eastAsiaTheme="minorEastAsia"/>
                <w:color w:val="000000" w:themeColor="text1"/>
                <w:sz w:val="24"/>
                <w:lang w:val="en-US" w:eastAsia="zh-CN"/>
                <w14:textFill>
                  <w14:solidFill>
                    <w14:schemeClr w14:val="tx1"/>
                  </w14:solidFill>
                </w14:textFill>
              </w:rPr>
              <w:t>A：价格调整系数，当该投标人的评标价低于评标基准价时，A=0.5；当该投标人的评标价高于评标基准价时，A=1；当价格得分&lt;0时，取0。</w:t>
            </w:r>
          </w:p>
        </w:tc>
        <w:tc>
          <w:tcPr>
            <w:tcW w:w="992" w:type="dxa"/>
            <w:vAlign w:val="center"/>
          </w:tcPr>
          <w:p>
            <w:pPr>
              <w:widowControl/>
              <w:spacing w:line="320" w:lineRule="exact"/>
              <w:jc w:val="center"/>
              <w:rPr>
                <w:rFonts w:hint="default" w:asciiTheme="minorEastAsia" w:hAnsiTheme="minorEastAsia" w:eastAsiaTheme="minorEastAsia"/>
                <w:color w:val="000000" w:themeColor="text1"/>
                <w:kern w:val="0"/>
                <w:sz w:val="24"/>
                <w:lang w:val="en-US" w:eastAsia="zh-CN"/>
                <w14:textFill>
                  <w14:solidFill>
                    <w14:schemeClr w14:val="tx1"/>
                  </w14:solidFill>
                </w14:textFill>
              </w:rPr>
            </w:pPr>
            <w:r>
              <w:rPr>
                <w:rFonts w:hint="eastAsia" w:asciiTheme="minorEastAsia" w:hAnsiTheme="minorEastAsia" w:eastAsiaTheme="minorEastAsia"/>
                <w:color w:val="000000" w:themeColor="text1"/>
                <w:kern w:val="0"/>
                <w:sz w:val="24"/>
                <w:lang w:val="en-US" w:eastAsia="zh-CN"/>
                <w14:textFill>
                  <w14:solidFill>
                    <w14:schemeClr w14:val="tx1"/>
                  </w14:solidFill>
                </w14:textFill>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color w:val="000000" w:themeColor="text1"/>
                <w:kern w:val="0"/>
                <w:sz w:val="24"/>
                <w14:textFill>
                  <w14:solidFill>
                    <w14:schemeClr w14:val="tx1"/>
                  </w14:solidFill>
                </w14:textFill>
              </w:rPr>
              <w:t>二、技术和服务评审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restart"/>
            <w:shd w:val="clear" w:color="auto" w:fill="auto"/>
            <w:vAlign w:val="center"/>
          </w:tcPr>
          <w:p>
            <w:pPr>
              <w:snapToGrid w:val="0"/>
              <w:spacing w:line="320" w:lineRule="exact"/>
              <w:jc w:val="center"/>
              <w:rPr>
                <w:rFonts w:asciiTheme="minorEastAsia" w:hAnsiTheme="minorEastAsia" w:eastAsiaTheme="minorEastAsia"/>
                <w:color w:val="000000" w:themeColor="text1"/>
                <w:kern w:val="0"/>
                <w:sz w:val="24"/>
                <w14:textFill>
                  <w14:solidFill>
                    <w14:schemeClr w14:val="tx1"/>
                  </w14:solidFill>
                </w14:textFill>
              </w:rPr>
            </w:pPr>
            <w:r>
              <w:rPr>
                <w:rFonts w:asciiTheme="minorEastAsia" w:hAnsiTheme="minorEastAsia" w:eastAsiaTheme="minorEastAsia"/>
                <w:color w:val="000000" w:themeColor="text1"/>
                <w:kern w:val="0"/>
                <w:sz w:val="24"/>
                <w14:textFill>
                  <w14:solidFill>
                    <w14:schemeClr w14:val="tx1"/>
                  </w14:solidFill>
                </w14:textFill>
              </w:rPr>
              <w:t>技术</w:t>
            </w:r>
            <w:r>
              <w:rPr>
                <w:rFonts w:hint="eastAsia" w:asciiTheme="minorEastAsia" w:hAnsiTheme="minorEastAsia" w:eastAsiaTheme="minorEastAsia"/>
                <w:color w:val="000000" w:themeColor="text1"/>
                <w:kern w:val="0"/>
                <w:sz w:val="24"/>
                <w14:textFill>
                  <w14:solidFill>
                    <w14:schemeClr w14:val="tx1"/>
                  </w14:solidFill>
                </w14:textFill>
              </w:rPr>
              <w:t>质量</w:t>
            </w:r>
            <w:r>
              <w:rPr>
                <w:rFonts w:asciiTheme="minorEastAsia" w:hAnsiTheme="minorEastAsia" w:eastAsiaTheme="minorEastAsia"/>
                <w:color w:val="000000" w:themeColor="text1"/>
                <w:kern w:val="0"/>
                <w:sz w:val="24"/>
                <w14:textFill>
                  <w14:solidFill>
                    <w14:schemeClr w14:val="tx1"/>
                  </w14:solidFill>
                </w14:textFill>
              </w:rPr>
              <w:t>得分</w:t>
            </w:r>
          </w:p>
          <w:p>
            <w:pPr>
              <w:snapToGrid w:val="0"/>
              <w:spacing w:line="320" w:lineRule="exact"/>
              <w:jc w:val="center"/>
              <w:rPr>
                <w:rFonts w:asciiTheme="minorEastAsia" w:hAnsiTheme="minorEastAsia" w:eastAsiaTheme="minorEastAsia"/>
                <w:color w:val="000000" w:themeColor="text1"/>
                <w:kern w:val="0"/>
                <w:sz w:val="24"/>
                <w:u w:color="FF0000"/>
                <w14:textFill>
                  <w14:solidFill>
                    <w14:schemeClr w14:val="tx1"/>
                  </w14:solidFill>
                </w14:textFill>
              </w:rPr>
            </w:pPr>
            <w:r>
              <w:rPr>
                <w:rFonts w:hint="eastAsia" w:asciiTheme="minorEastAsia" w:hAnsiTheme="minorEastAsia" w:eastAsiaTheme="minorEastAsia"/>
                <w:color w:val="000000" w:themeColor="text1"/>
                <w:kern w:val="0"/>
                <w:sz w:val="24"/>
                <w14:textFill>
                  <w14:solidFill>
                    <w14:schemeClr w14:val="tx1"/>
                  </w14:solidFill>
                </w14:textFill>
              </w:rPr>
              <w:t>（</w:t>
            </w:r>
            <w:r>
              <w:rPr>
                <w:rFonts w:hint="eastAsia" w:asciiTheme="minorEastAsia" w:hAnsiTheme="minorEastAsia" w:eastAsiaTheme="minorEastAsia"/>
                <w:color w:val="000000" w:themeColor="text1"/>
                <w:kern w:val="0"/>
                <w:sz w:val="24"/>
                <w:lang w:val="en-US" w:eastAsia="zh-CN"/>
                <w14:textFill>
                  <w14:solidFill>
                    <w14:schemeClr w14:val="tx1"/>
                  </w14:solidFill>
                </w14:textFill>
              </w:rPr>
              <w:t>65</w:t>
            </w:r>
            <w:r>
              <w:rPr>
                <w:rFonts w:asciiTheme="minorEastAsia" w:hAnsiTheme="minorEastAsia" w:eastAsiaTheme="minorEastAsia"/>
                <w:color w:val="000000" w:themeColor="text1"/>
                <w:kern w:val="0"/>
                <w:sz w:val="24"/>
                <w14:textFill>
                  <w14:solidFill>
                    <w14:schemeClr w14:val="tx1"/>
                  </w14:solidFill>
                </w14:textFill>
              </w:rPr>
              <w:t>）</w:t>
            </w:r>
          </w:p>
        </w:tc>
        <w:tc>
          <w:tcPr>
            <w:tcW w:w="6454" w:type="dxa"/>
            <w:vAlign w:val="center"/>
          </w:tcPr>
          <w:p>
            <w:pPr>
              <w:spacing w:line="320" w:lineRule="exact"/>
              <w:rPr>
                <w:rFonts w:cs="Arial" w:asciiTheme="minorEastAsia" w:hAnsiTheme="minorEastAsia" w:eastAsiaTheme="minorEastAsia"/>
                <w:color w:val="000000" w:themeColor="text1"/>
                <w:sz w:val="24"/>
                <w14:textFill>
                  <w14:solidFill>
                    <w14:schemeClr w14:val="tx1"/>
                  </w14:solidFill>
                </w14:textFill>
              </w:rPr>
            </w:pPr>
            <w:r>
              <w:rPr>
                <w:rFonts w:cs="Arial" w:asciiTheme="minorEastAsia" w:hAnsiTheme="minorEastAsia" w:eastAsiaTheme="minorEastAsia"/>
                <w:color w:val="000000" w:themeColor="text1"/>
                <w:sz w:val="24"/>
                <w14:textFill>
                  <w14:solidFill>
                    <w14:schemeClr w14:val="tx1"/>
                  </w14:solidFill>
                </w14:textFill>
              </w:rPr>
              <w:t>项目技术方案</w:t>
            </w:r>
            <w:r>
              <w:rPr>
                <w:rFonts w:hint="eastAsia" w:cs="Arial" w:asciiTheme="minorEastAsia" w:hAnsiTheme="minorEastAsia" w:eastAsiaTheme="minorEastAsia"/>
                <w:color w:val="000000" w:themeColor="text1"/>
                <w:sz w:val="24"/>
                <w14:textFill>
                  <w14:solidFill>
                    <w14:schemeClr w14:val="tx1"/>
                  </w14:solidFill>
                </w14:textFill>
              </w:rPr>
              <w:t>满足技术需求书要求，对项目工作目标和内容理解充分，</w:t>
            </w:r>
            <w:r>
              <w:rPr>
                <w:rFonts w:cs="Arial" w:asciiTheme="minorEastAsia" w:hAnsiTheme="minorEastAsia" w:eastAsiaTheme="minorEastAsia"/>
                <w:color w:val="000000" w:themeColor="text1"/>
                <w:sz w:val="24"/>
                <w14:textFill>
                  <w14:solidFill>
                    <w14:schemeClr w14:val="tx1"/>
                  </w14:solidFill>
                </w14:textFill>
              </w:rPr>
              <w:t>内容全面</w:t>
            </w:r>
            <w:r>
              <w:rPr>
                <w:rFonts w:hint="eastAsia" w:cs="Arial" w:asciiTheme="minorEastAsia" w:hAnsiTheme="minorEastAsia" w:eastAsiaTheme="minorEastAsia"/>
                <w:color w:val="000000" w:themeColor="text1"/>
                <w:sz w:val="24"/>
                <w14:textFill>
                  <w14:solidFill>
                    <w14:schemeClr w14:val="tx1"/>
                  </w14:solidFill>
                </w14:textFill>
              </w:rPr>
              <w:t>、</w:t>
            </w:r>
            <w:r>
              <w:rPr>
                <w:rFonts w:cs="Arial" w:asciiTheme="minorEastAsia" w:hAnsiTheme="minorEastAsia" w:eastAsiaTheme="minorEastAsia"/>
                <w:color w:val="000000" w:themeColor="text1"/>
                <w:sz w:val="24"/>
                <w14:textFill>
                  <w14:solidFill>
                    <w14:schemeClr w14:val="tx1"/>
                  </w14:solidFill>
                </w14:textFill>
              </w:rPr>
              <w:t>合理可行，系统架构合理</w:t>
            </w:r>
            <w:r>
              <w:rPr>
                <w:rFonts w:hint="eastAsia" w:cs="Arial" w:asciiTheme="minorEastAsia" w:hAnsiTheme="minorEastAsia" w:eastAsiaTheme="minorEastAsia"/>
                <w:color w:val="000000" w:themeColor="text1"/>
                <w:sz w:val="24"/>
                <w14:textFill>
                  <w14:solidFill>
                    <w14:schemeClr w14:val="tx1"/>
                  </w14:solidFill>
                </w14:textFill>
              </w:rPr>
              <w:t>，能快速承接现有</w:t>
            </w:r>
            <w:r>
              <w:rPr>
                <w:rFonts w:hint="eastAsia" w:cs="Arial" w:asciiTheme="minorEastAsia" w:hAnsiTheme="minorEastAsia" w:eastAsiaTheme="minorEastAsia"/>
                <w:color w:val="000000" w:themeColor="text1"/>
                <w:sz w:val="24"/>
                <w:lang w:val="en-US" w:eastAsia="zh-CN"/>
                <w14:textFill>
                  <w14:solidFill>
                    <w14:schemeClr w14:val="tx1"/>
                  </w14:solidFill>
                </w14:textFill>
              </w:rPr>
              <w:t>系统测评工作</w:t>
            </w:r>
            <w:r>
              <w:rPr>
                <w:rFonts w:hint="eastAsia" w:cs="Arial" w:asciiTheme="minorEastAsia" w:hAnsiTheme="minorEastAsia" w:eastAsiaTheme="minorEastAsia"/>
                <w:color w:val="000000" w:themeColor="text1"/>
                <w:sz w:val="24"/>
                <w14:textFill>
                  <w14:solidFill>
                    <w14:schemeClr w14:val="tx1"/>
                  </w14:solidFill>
                </w14:textFill>
              </w:rPr>
              <w:t>，得</w:t>
            </w:r>
            <w:r>
              <w:rPr>
                <w:rFonts w:hint="eastAsia" w:cs="Arial" w:asciiTheme="minorEastAsia" w:hAnsiTheme="minorEastAsia" w:eastAsiaTheme="minorEastAsia"/>
                <w:color w:val="000000" w:themeColor="text1"/>
                <w:sz w:val="24"/>
                <w:lang w:val="en-US" w:eastAsia="zh-CN"/>
                <w14:textFill>
                  <w14:solidFill>
                    <w14:schemeClr w14:val="tx1"/>
                  </w14:solidFill>
                </w14:textFill>
              </w:rPr>
              <w:t>11-15</w:t>
            </w:r>
            <w:r>
              <w:rPr>
                <w:rFonts w:hint="eastAsia" w:cs="Arial" w:asciiTheme="minorEastAsia" w:hAnsiTheme="minorEastAsia" w:eastAsiaTheme="minorEastAsia"/>
                <w:color w:val="000000" w:themeColor="text1"/>
                <w:sz w:val="24"/>
                <w14:textFill>
                  <w14:solidFill>
                    <w14:schemeClr w14:val="tx1"/>
                  </w14:solidFill>
                </w14:textFill>
              </w:rPr>
              <w:t>分；</w:t>
            </w:r>
          </w:p>
          <w:p>
            <w:pPr>
              <w:spacing w:line="320" w:lineRule="exact"/>
              <w:rPr>
                <w:rFonts w:cs="Arial" w:asciiTheme="minorEastAsia" w:hAnsiTheme="minorEastAsia" w:eastAsiaTheme="minorEastAsia"/>
                <w:color w:val="000000" w:themeColor="text1"/>
                <w:sz w:val="24"/>
                <w14:textFill>
                  <w14:solidFill>
                    <w14:schemeClr w14:val="tx1"/>
                  </w14:solidFill>
                </w14:textFill>
              </w:rPr>
            </w:pPr>
            <w:r>
              <w:rPr>
                <w:rFonts w:cs="Arial" w:asciiTheme="minorEastAsia" w:hAnsiTheme="minorEastAsia" w:eastAsiaTheme="minorEastAsia"/>
                <w:color w:val="000000" w:themeColor="text1"/>
                <w:sz w:val="24"/>
                <w14:textFill>
                  <w14:solidFill>
                    <w14:schemeClr w14:val="tx1"/>
                  </w14:solidFill>
                </w14:textFill>
              </w:rPr>
              <w:t>项目技术方案</w:t>
            </w:r>
            <w:r>
              <w:rPr>
                <w:rFonts w:hint="eastAsia" w:cs="Arial" w:asciiTheme="minorEastAsia" w:hAnsiTheme="minorEastAsia" w:eastAsiaTheme="minorEastAsia"/>
                <w:color w:val="000000" w:themeColor="text1"/>
                <w:sz w:val="24"/>
                <w14:textFill>
                  <w14:solidFill>
                    <w14:schemeClr w14:val="tx1"/>
                  </w14:solidFill>
                </w14:textFill>
              </w:rPr>
              <w:t>基本满足技术需求书要求，对项目工作目标和内容理解较充分，</w:t>
            </w:r>
            <w:r>
              <w:rPr>
                <w:rFonts w:cs="Arial" w:asciiTheme="minorEastAsia" w:hAnsiTheme="minorEastAsia" w:eastAsiaTheme="minorEastAsia"/>
                <w:color w:val="000000" w:themeColor="text1"/>
                <w:sz w:val="24"/>
                <w14:textFill>
                  <w14:solidFill>
                    <w14:schemeClr w14:val="tx1"/>
                  </w14:solidFill>
                </w14:textFill>
              </w:rPr>
              <w:t>内容</w:t>
            </w:r>
            <w:r>
              <w:rPr>
                <w:rFonts w:hint="eastAsia" w:cs="Arial" w:asciiTheme="minorEastAsia" w:hAnsiTheme="minorEastAsia" w:eastAsiaTheme="minorEastAsia"/>
                <w:color w:val="000000" w:themeColor="text1"/>
                <w:sz w:val="24"/>
                <w14:textFill>
                  <w14:solidFill>
                    <w14:schemeClr w14:val="tx1"/>
                  </w14:solidFill>
                </w14:textFill>
              </w:rPr>
              <w:t>较</w:t>
            </w:r>
            <w:r>
              <w:rPr>
                <w:rFonts w:cs="Arial" w:asciiTheme="minorEastAsia" w:hAnsiTheme="minorEastAsia" w:eastAsiaTheme="minorEastAsia"/>
                <w:color w:val="000000" w:themeColor="text1"/>
                <w:sz w:val="24"/>
                <w14:textFill>
                  <w14:solidFill>
                    <w14:schemeClr w14:val="tx1"/>
                  </w14:solidFill>
                </w14:textFill>
              </w:rPr>
              <w:t>全面</w:t>
            </w:r>
            <w:r>
              <w:rPr>
                <w:rFonts w:hint="eastAsia" w:cs="Arial" w:asciiTheme="minorEastAsia" w:hAnsiTheme="minorEastAsia" w:eastAsiaTheme="minorEastAsia"/>
                <w:color w:val="000000" w:themeColor="text1"/>
                <w:sz w:val="24"/>
                <w14:textFill>
                  <w14:solidFill>
                    <w14:schemeClr w14:val="tx1"/>
                  </w14:solidFill>
                </w14:textFill>
              </w:rPr>
              <w:t>、</w:t>
            </w:r>
            <w:r>
              <w:rPr>
                <w:rFonts w:cs="Arial" w:asciiTheme="minorEastAsia" w:hAnsiTheme="minorEastAsia" w:eastAsiaTheme="minorEastAsia"/>
                <w:color w:val="000000" w:themeColor="text1"/>
                <w:sz w:val="24"/>
                <w14:textFill>
                  <w14:solidFill>
                    <w14:schemeClr w14:val="tx1"/>
                  </w14:solidFill>
                </w14:textFill>
              </w:rPr>
              <w:t>合理可行</w:t>
            </w:r>
            <w:r>
              <w:rPr>
                <w:rFonts w:hint="eastAsia" w:cs="Arial" w:asciiTheme="minorEastAsia" w:hAnsiTheme="minorEastAsia" w:eastAsiaTheme="minorEastAsia"/>
                <w:color w:val="000000" w:themeColor="text1"/>
                <w:sz w:val="24"/>
                <w14:textFill>
                  <w14:solidFill>
                    <w14:schemeClr w14:val="tx1"/>
                  </w14:solidFill>
                </w14:textFill>
              </w:rPr>
              <w:t>性较好</w:t>
            </w:r>
            <w:r>
              <w:rPr>
                <w:rFonts w:cs="Arial" w:asciiTheme="minorEastAsia" w:hAnsiTheme="minorEastAsia" w:eastAsiaTheme="minorEastAsia"/>
                <w:color w:val="000000" w:themeColor="text1"/>
                <w:sz w:val="24"/>
                <w14:textFill>
                  <w14:solidFill>
                    <w14:schemeClr w14:val="tx1"/>
                  </w14:solidFill>
                </w14:textFill>
              </w:rPr>
              <w:t>，</w:t>
            </w:r>
            <w:r>
              <w:rPr>
                <w:rFonts w:hint="eastAsia" w:cs="Arial" w:asciiTheme="minorEastAsia" w:hAnsiTheme="minorEastAsia" w:eastAsiaTheme="minorEastAsia"/>
                <w:color w:val="000000" w:themeColor="text1"/>
                <w:sz w:val="24"/>
                <w14:textFill>
                  <w14:solidFill>
                    <w14:schemeClr w14:val="tx1"/>
                  </w14:solidFill>
                </w14:textFill>
              </w:rPr>
              <w:t>能承接现有现有</w:t>
            </w:r>
            <w:r>
              <w:rPr>
                <w:rFonts w:hint="eastAsia" w:cs="Arial" w:asciiTheme="minorEastAsia" w:hAnsiTheme="minorEastAsia" w:eastAsiaTheme="minorEastAsia"/>
                <w:color w:val="000000" w:themeColor="text1"/>
                <w:sz w:val="24"/>
                <w:lang w:val="en-US" w:eastAsia="zh-CN"/>
                <w14:textFill>
                  <w14:solidFill>
                    <w14:schemeClr w14:val="tx1"/>
                  </w14:solidFill>
                </w14:textFill>
              </w:rPr>
              <w:t>系统测评工作</w:t>
            </w:r>
            <w:r>
              <w:rPr>
                <w:rFonts w:hint="eastAsia" w:cs="Arial" w:asciiTheme="minorEastAsia" w:hAnsiTheme="minorEastAsia" w:eastAsiaTheme="minorEastAsia"/>
                <w:color w:val="000000" w:themeColor="text1"/>
                <w:sz w:val="24"/>
                <w14:textFill>
                  <w14:solidFill>
                    <w14:schemeClr w14:val="tx1"/>
                  </w14:solidFill>
                </w14:textFill>
              </w:rPr>
              <w:t>，得</w:t>
            </w:r>
            <w:r>
              <w:rPr>
                <w:rFonts w:hint="eastAsia" w:cs="Arial" w:asciiTheme="minorEastAsia" w:hAnsiTheme="minorEastAsia" w:eastAsiaTheme="minorEastAsia"/>
                <w:color w:val="000000" w:themeColor="text1"/>
                <w:sz w:val="24"/>
                <w:lang w:val="en-US" w:eastAsia="zh-CN"/>
                <w14:textFill>
                  <w14:solidFill>
                    <w14:schemeClr w14:val="tx1"/>
                  </w14:solidFill>
                </w14:textFill>
              </w:rPr>
              <w:t>6-10</w:t>
            </w:r>
            <w:r>
              <w:rPr>
                <w:rFonts w:hint="eastAsia" w:cs="Arial" w:asciiTheme="minorEastAsia" w:hAnsiTheme="minorEastAsia" w:eastAsiaTheme="minorEastAsia"/>
                <w:color w:val="000000" w:themeColor="text1"/>
                <w:sz w:val="24"/>
                <w14:textFill>
                  <w14:solidFill>
                    <w14:schemeClr w14:val="tx1"/>
                  </w14:solidFill>
                </w14:textFill>
              </w:rPr>
              <w:t>分；</w:t>
            </w:r>
          </w:p>
          <w:p>
            <w:pPr>
              <w:spacing w:line="320" w:lineRule="exact"/>
              <w:rPr>
                <w:rFonts w:asciiTheme="minorEastAsia" w:hAnsiTheme="minorEastAsia" w:eastAsiaTheme="minorEastAsia"/>
                <w:color w:val="000000" w:themeColor="text1"/>
                <w:kern w:val="0"/>
                <w:sz w:val="24"/>
                <w14:textFill>
                  <w14:solidFill>
                    <w14:schemeClr w14:val="tx1"/>
                  </w14:solidFill>
                </w14:textFill>
              </w:rPr>
            </w:pPr>
            <w:r>
              <w:rPr>
                <w:rFonts w:cs="Arial" w:asciiTheme="minorEastAsia" w:hAnsiTheme="minorEastAsia" w:eastAsiaTheme="minorEastAsia"/>
                <w:color w:val="000000" w:themeColor="text1"/>
                <w:sz w:val="24"/>
                <w14:textFill>
                  <w14:solidFill>
                    <w14:schemeClr w14:val="tx1"/>
                  </w14:solidFill>
                </w14:textFill>
              </w:rPr>
              <w:t>项目技术方案</w:t>
            </w:r>
            <w:r>
              <w:rPr>
                <w:rFonts w:hint="eastAsia" w:cs="Arial" w:asciiTheme="minorEastAsia" w:hAnsiTheme="minorEastAsia" w:eastAsiaTheme="minorEastAsia"/>
                <w:color w:val="000000" w:themeColor="text1"/>
                <w:sz w:val="24"/>
                <w14:textFill>
                  <w14:solidFill>
                    <w14:schemeClr w14:val="tx1"/>
                  </w14:solidFill>
                </w14:textFill>
              </w:rPr>
              <w:t>不能满足技术需求书要求，对项目工作目标和内容理解不充分，</w:t>
            </w:r>
            <w:r>
              <w:rPr>
                <w:rFonts w:cs="Arial" w:asciiTheme="minorEastAsia" w:hAnsiTheme="minorEastAsia" w:eastAsiaTheme="minorEastAsia"/>
                <w:color w:val="000000" w:themeColor="text1"/>
                <w:sz w:val="24"/>
                <w14:textFill>
                  <w14:solidFill>
                    <w14:schemeClr w14:val="tx1"/>
                  </w14:solidFill>
                </w14:textFill>
              </w:rPr>
              <w:t>内容</w:t>
            </w:r>
            <w:r>
              <w:rPr>
                <w:rFonts w:hint="eastAsia" w:cs="Arial" w:asciiTheme="minorEastAsia" w:hAnsiTheme="minorEastAsia" w:eastAsiaTheme="minorEastAsia"/>
                <w:color w:val="000000" w:themeColor="text1"/>
                <w:sz w:val="24"/>
                <w14:textFill>
                  <w14:solidFill>
                    <w14:schemeClr w14:val="tx1"/>
                  </w14:solidFill>
                </w14:textFill>
              </w:rPr>
              <w:t>有欠缺、</w:t>
            </w:r>
            <w:r>
              <w:rPr>
                <w:rFonts w:cs="Arial" w:asciiTheme="minorEastAsia" w:hAnsiTheme="minorEastAsia" w:eastAsiaTheme="minorEastAsia"/>
                <w:color w:val="000000" w:themeColor="text1"/>
                <w:sz w:val="24"/>
                <w14:textFill>
                  <w14:solidFill>
                    <w14:schemeClr w14:val="tx1"/>
                  </w14:solidFill>
                </w14:textFill>
              </w:rPr>
              <w:t>合理可行</w:t>
            </w:r>
            <w:r>
              <w:rPr>
                <w:rFonts w:hint="eastAsia" w:cs="Arial" w:asciiTheme="minorEastAsia" w:hAnsiTheme="minorEastAsia" w:eastAsiaTheme="minorEastAsia"/>
                <w:color w:val="000000" w:themeColor="text1"/>
                <w:sz w:val="24"/>
                <w14:textFill>
                  <w14:solidFill>
                    <w14:schemeClr w14:val="tx1"/>
                  </w14:solidFill>
                </w14:textFill>
              </w:rPr>
              <w:t>性差</w:t>
            </w:r>
            <w:r>
              <w:rPr>
                <w:rFonts w:cs="Arial" w:asciiTheme="minorEastAsia" w:hAnsiTheme="minorEastAsia" w:eastAsiaTheme="minorEastAsia"/>
                <w:color w:val="000000" w:themeColor="text1"/>
                <w:sz w:val="24"/>
                <w14:textFill>
                  <w14:solidFill>
                    <w14:schemeClr w14:val="tx1"/>
                  </w14:solidFill>
                </w14:textFill>
              </w:rPr>
              <w:t>，系统架构</w:t>
            </w:r>
            <w:r>
              <w:rPr>
                <w:rFonts w:hint="eastAsia" w:cs="Arial" w:asciiTheme="minorEastAsia" w:hAnsiTheme="minorEastAsia" w:eastAsiaTheme="minorEastAsia"/>
                <w:color w:val="000000" w:themeColor="text1"/>
                <w:sz w:val="24"/>
                <w14:textFill>
                  <w14:solidFill>
                    <w14:schemeClr w14:val="tx1"/>
                  </w14:solidFill>
                </w14:textFill>
              </w:rPr>
              <w:t>不</w:t>
            </w:r>
            <w:r>
              <w:rPr>
                <w:rFonts w:cs="Arial" w:asciiTheme="minorEastAsia" w:hAnsiTheme="minorEastAsia" w:eastAsiaTheme="minorEastAsia"/>
                <w:color w:val="000000" w:themeColor="text1"/>
                <w:sz w:val="24"/>
                <w14:textFill>
                  <w14:solidFill>
                    <w14:schemeClr w14:val="tx1"/>
                  </w14:solidFill>
                </w14:textFill>
              </w:rPr>
              <w:t>合理</w:t>
            </w:r>
            <w:r>
              <w:rPr>
                <w:rFonts w:hint="eastAsia" w:cs="Arial" w:asciiTheme="minorEastAsia" w:hAnsiTheme="minorEastAsia" w:eastAsiaTheme="minorEastAsia"/>
                <w:color w:val="000000" w:themeColor="text1"/>
                <w:sz w:val="24"/>
                <w14:textFill>
                  <w14:solidFill>
                    <w14:schemeClr w14:val="tx1"/>
                  </w14:solidFill>
                </w14:textFill>
              </w:rPr>
              <w:t>，不能快速承接现有现有</w:t>
            </w:r>
            <w:r>
              <w:rPr>
                <w:rFonts w:hint="eastAsia" w:cs="Arial" w:asciiTheme="minorEastAsia" w:hAnsiTheme="minorEastAsia" w:eastAsiaTheme="minorEastAsia"/>
                <w:color w:val="000000" w:themeColor="text1"/>
                <w:sz w:val="24"/>
                <w:lang w:val="en-US" w:eastAsia="zh-CN"/>
                <w14:textFill>
                  <w14:solidFill>
                    <w14:schemeClr w14:val="tx1"/>
                  </w14:solidFill>
                </w14:textFill>
              </w:rPr>
              <w:t>系统测评工作</w:t>
            </w:r>
            <w:r>
              <w:rPr>
                <w:rFonts w:hint="eastAsia" w:cs="Arial" w:asciiTheme="minorEastAsia" w:hAnsiTheme="minorEastAsia" w:eastAsiaTheme="minorEastAsia"/>
                <w:color w:val="000000" w:themeColor="text1"/>
                <w:sz w:val="24"/>
                <w:lang w:eastAsia="zh-CN"/>
                <w14:textFill>
                  <w14:solidFill>
                    <w14:schemeClr w14:val="tx1"/>
                  </w14:solidFill>
                </w14:textFill>
              </w:rPr>
              <w:t>，</w:t>
            </w:r>
            <w:r>
              <w:rPr>
                <w:rFonts w:hint="eastAsia" w:cs="Arial" w:asciiTheme="minorEastAsia" w:hAnsiTheme="minorEastAsia" w:eastAsiaTheme="minorEastAsia"/>
                <w:color w:val="000000" w:themeColor="text1"/>
                <w:sz w:val="24"/>
                <w14:textFill>
                  <w14:solidFill>
                    <w14:schemeClr w14:val="tx1"/>
                  </w14:solidFill>
                </w14:textFill>
              </w:rPr>
              <w:t>得</w:t>
            </w:r>
            <w:r>
              <w:rPr>
                <w:rFonts w:hint="eastAsia" w:cs="Arial" w:asciiTheme="minorEastAsia" w:hAnsiTheme="minorEastAsia" w:eastAsiaTheme="minorEastAsia"/>
                <w:color w:val="000000" w:themeColor="text1"/>
                <w:sz w:val="24"/>
                <w:lang w:val="en-US" w:eastAsia="zh-CN"/>
                <w14:textFill>
                  <w14:solidFill>
                    <w14:schemeClr w14:val="tx1"/>
                  </w14:solidFill>
                </w14:textFill>
              </w:rPr>
              <w:t>0-5</w:t>
            </w:r>
            <w:r>
              <w:rPr>
                <w:rFonts w:hint="eastAsia" w:cs="Arial" w:asciiTheme="minorEastAsia" w:hAnsiTheme="minorEastAsia" w:eastAsiaTheme="minorEastAsia"/>
                <w:color w:val="000000" w:themeColor="text1"/>
                <w:sz w:val="24"/>
                <w14:textFill>
                  <w14:solidFill>
                    <w14:schemeClr w14:val="tx1"/>
                  </w14:solidFill>
                </w14:textFill>
              </w:rPr>
              <w:t>分。</w:t>
            </w:r>
          </w:p>
        </w:tc>
        <w:tc>
          <w:tcPr>
            <w:tcW w:w="992" w:type="dxa"/>
            <w:vAlign w:val="center"/>
          </w:tcPr>
          <w:p>
            <w:pPr>
              <w:widowControl/>
              <w:snapToGrid w:val="0"/>
              <w:spacing w:line="320" w:lineRule="exact"/>
              <w:jc w:val="center"/>
              <w:rPr>
                <w:rFonts w:hint="default" w:asciiTheme="minorEastAsia" w:hAnsiTheme="minorEastAsia" w:eastAsiaTheme="minorEastAsia"/>
                <w:color w:val="000000" w:themeColor="text1"/>
                <w:kern w:val="0"/>
                <w:sz w:val="24"/>
                <w:u w:color="FF0000"/>
                <w:lang w:val="en-US" w:eastAsia="zh-CN"/>
                <w14:textFill>
                  <w14:solidFill>
                    <w14:schemeClr w14:val="tx1"/>
                  </w14:solidFill>
                </w14:textFill>
              </w:rPr>
            </w:pPr>
            <w:r>
              <w:rPr>
                <w:rFonts w:hint="eastAsia" w:cs="Arial" w:asciiTheme="minorEastAsia" w:hAnsiTheme="minorEastAsia" w:eastAsiaTheme="minorEastAsia"/>
                <w:color w:val="000000" w:themeColor="text1"/>
                <w:sz w:val="24"/>
                <w:lang w:val="en-US" w:eastAsia="zh-CN"/>
                <w14:textFill>
                  <w14:solidFill>
                    <w14:schemeClr w14:val="tx1"/>
                  </w14:solidFill>
                </w14:textFill>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jc w:val="center"/>
              <w:rPr>
                <w:rFonts w:asciiTheme="minorEastAsia" w:hAnsiTheme="minorEastAsia" w:eastAsiaTheme="minorEastAsia"/>
                <w:color w:val="000000" w:themeColor="text1"/>
                <w:kern w:val="0"/>
                <w:sz w:val="24"/>
                <w14:textFill>
                  <w14:solidFill>
                    <w14:schemeClr w14:val="tx1"/>
                  </w14:solidFill>
                </w14:textFill>
              </w:rPr>
            </w:pPr>
          </w:p>
        </w:tc>
        <w:tc>
          <w:tcPr>
            <w:tcW w:w="6454" w:type="dxa"/>
            <w:vAlign w:val="center"/>
          </w:tcPr>
          <w:p>
            <w:pPr>
              <w:spacing w:line="320" w:lineRule="exac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snapToGrid w:val="0"/>
                <w:color w:val="000000" w:themeColor="text1"/>
                <w:sz w:val="24"/>
                <w14:textFill>
                  <w14:solidFill>
                    <w14:schemeClr w14:val="tx1"/>
                  </w14:solidFill>
                </w14:textFill>
              </w:rPr>
              <w:t>项目团队对需求的响应程度高，项目团队人员配备合理，职责分工明确，团队人员工作年限、技术能力、综合素质</w:t>
            </w:r>
            <w:r>
              <w:rPr>
                <w:rFonts w:hint="eastAsia" w:asciiTheme="minorEastAsia" w:hAnsiTheme="minorEastAsia" w:eastAsiaTheme="minorEastAsia"/>
                <w:color w:val="000000" w:themeColor="text1"/>
                <w:sz w:val="24"/>
                <w14:textFill>
                  <w14:solidFill>
                    <w14:schemeClr w14:val="tx1"/>
                  </w14:solidFill>
                </w14:textFill>
              </w:rPr>
              <w:t>等，评价</w:t>
            </w:r>
            <w:r>
              <w:rPr>
                <w:rFonts w:asciiTheme="minorEastAsia" w:hAnsiTheme="minorEastAsia" w:eastAsiaTheme="minorEastAsia"/>
                <w:color w:val="000000" w:themeColor="text1"/>
                <w:sz w:val="24"/>
                <w14:textFill>
                  <w14:solidFill>
                    <w14:schemeClr w14:val="tx1"/>
                  </w14:solidFill>
                </w14:textFill>
              </w:rPr>
              <w:t>优的</w:t>
            </w:r>
            <w:r>
              <w:rPr>
                <w:rFonts w:hint="eastAsia" w:asciiTheme="minorEastAsia" w:hAnsiTheme="minorEastAsia" w:eastAsiaTheme="minorEastAsia"/>
                <w:color w:val="000000" w:themeColor="text1"/>
                <w:sz w:val="24"/>
                <w14:textFill>
                  <w14:solidFill>
                    <w14:schemeClr w14:val="tx1"/>
                  </w14:solidFill>
                </w14:textFill>
              </w:rPr>
              <w:t>得</w:t>
            </w:r>
            <w:r>
              <w:rPr>
                <w:rFonts w:hint="eastAsia" w:asciiTheme="minorEastAsia" w:hAnsiTheme="minorEastAsia" w:eastAsiaTheme="minorEastAsia"/>
                <w:color w:val="000000" w:themeColor="text1"/>
                <w:sz w:val="24"/>
                <w:lang w:val="en-US" w:eastAsia="zh-CN"/>
                <w14:textFill>
                  <w14:solidFill>
                    <w14:schemeClr w14:val="tx1"/>
                  </w14:solidFill>
                </w14:textFill>
              </w:rPr>
              <w:t>11</w:t>
            </w:r>
            <w:r>
              <w:rPr>
                <w:rFonts w:hint="eastAsia" w:cs="Arial" w:asciiTheme="minorEastAsia" w:hAnsiTheme="minorEastAsia" w:eastAsiaTheme="minorEastAsia"/>
                <w:color w:val="000000" w:themeColor="text1"/>
                <w:sz w:val="24"/>
                <w:lang w:val="en-US" w:eastAsia="zh-CN"/>
                <w14:textFill>
                  <w14:solidFill>
                    <w14:schemeClr w14:val="tx1"/>
                  </w14:solidFill>
                </w14:textFill>
              </w:rPr>
              <w:t>-15</w:t>
            </w:r>
            <w:r>
              <w:rPr>
                <w:rFonts w:hint="eastAsia" w:asciiTheme="minorEastAsia" w:hAnsiTheme="minorEastAsia" w:eastAsiaTheme="minorEastAsia"/>
                <w:color w:val="000000" w:themeColor="text1"/>
                <w:sz w:val="24"/>
                <w14:textFill>
                  <w14:solidFill>
                    <w14:schemeClr w14:val="tx1"/>
                  </w14:solidFill>
                </w14:textFill>
              </w:rPr>
              <w:t>分；</w:t>
            </w:r>
          </w:p>
          <w:p>
            <w:pPr>
              <w:spacing w:line="320" w:lineRule="exac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snapToGrid w:val="0"/>
                <w:color w:val="000000" w:themeColor="text1"/>
                <w:sz w:val="24"/>
                <w14:textFill>
                  <w14:solidFill>
                    <w14:schemeClr w14:val="tx1"/>
                  </w14:solidFill>
                </w14:textFill>
              </w:rPr>
              <w:t>项目团队对需求的响应程度较高，项目团队人员配备合理，职责分工明确，团队人员工作年限、技术能力、综合素质</w:t>
            </w:r>
            <w:r>
              <w:rPr>
                <w:rFonts w:hint="eastAsia" w:asciiTheme="minorEastAsia" w:hAnsiTheme="minorEastAsia" w:eastAsiaTheme="minorEastAsia"/>
                <w:color w:val="000000" w:themeColor="text1"/>
                <w:sz w:val="24"/>
                <w14:textFill>
                  <w14:solidFill>
                    <w14:schemeClr w14:val="tx1"/>
                  </w14:solidFill>
                </w14:textFill>
              </w:rPr>
              <w:t>等，评价良</w:t>
            </w:r>
            <w:r>
              <w:rPr>
                <w:rFonts w:asciiTheme="minorEastAsia" w:hAnsiTheme="minorEastAsia" w:eastAsiaTheme="minorEastAsia"/>
                <w:color w:val="000000" w:themeColor="text1"/>
                <w:sz w:val="24"/>
                <w14:textFill>
                  <w14:solidFill>
                    <w14:schemeClr w14:val="tx1"/>
                  </w14:solidFill>
                </w14:textFill>
              </w:rPr>
              <w:t>的</w:t>
            </w:r>
            <w:r>
              <w:rPr>
                <w:rFonts w:hint="eastAsia" w:asciiTheme="minorEastAsia" w:hAnsiTheme="minorEastAsia" w:eastAsiaTheme="minorEastAsia"/>
                <w:color w:val="000000" w:themeColor="text1"/>
                <w:sz w:val="24"/>
                <w14:textFill>
                  <w14:solidFill>
                    <w14:schemeClr w14:val="tx1"/>
                  </w14:solidFill>
                </w14:textFill>
              </w:rPr>
              <w:t>得</w:t>
            </w:r>
            <w:r>
              <w:rPr>
                <w:rFonts w:hint="eastAsia" w:asciiTheme="minorEastAsia" w:hAnsiTheme="minorEastAsia" w:eastAsiaTheme="minorEastAsia"/>
                <w:color w:val="000000" w:themeColor="text1"/>
                <w:sz w:val="24"/>
                <w:lang w:val="en-US" w:eastAsia="zh-CN"/>
                <w14:textFill>
                  <w14:solidFill>
                    <w14:schemeClr w14:val="tx1"/>
                  </w14:solidFill>
                </w14:textFill>
              </w:rPr>
              <w:t>6</w:t>
            </w:r>
            <w:r>
              <w:rPr>
                <w:rFonts w:hint="eastAsia" w:cs="Arial" w:asciiTheme="minorEastAsia" w:hAnsiTheme="minorEastAsia" w:eastAsiaTheme="minorEastAsia"/>
                <w:color w:val="000000" w:themeColor="text1"/>
                <w:sz w:val="24"/>
                <w:lang w:val="en-US" w:eastAsia="zh-CN"/>
                <w14:textFill>
                  <w14:solidFill>
                    <w14:schemeClr w14:val="tx1"/>
                  </w14:solidFill>
                </w14:textFill>
              </w:rPr>
              <w:t>-10</w:t>
            </w:r>
            <w:r>
              <w:rPr>
                <w:rFonts w:hint="eastAsia" w:asciiTheme="minorEastAsia" w:hAnsiTheme="minorEastAsia" w:eastAsiaTheme="minorEastAsia"/>
                <w:color w:val="000000" w:themeColor="text1"/>
                <w:sz w:val="24"/>
                <w14:textFill>
                  <w14:solidFill>
                    <w14:schemeClr w14:val="tx1"/>
                  </w14:solidFill>
                </w14:textFill>
              </w:rPr>
              <w:t>分；</w:t>
            </w:r>
          </w:p>
          <w:p>
            <w:pPr>
              <w:spacing w:line="320" w:lineRule="exac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snapToGrid w:val="0"/>
                <w:color w:val="000000" w:themeColor="text1"/>
                <w:sz w:val="24"/>
                <w14:textFill>
                  <w14:solidFill>
                    <w14:schemeClr w14:val="tx1"/>
                  </w14:solidFill>
                </w14:textFill>
              </w:rPr>
              <w:t>项目团队对需求的响应程度一般，项目团队人员配备合理，职责分工明确，团队人员工作年限、技术能力、综合素质</w:t>
            </w:r>
            <w:r>
              <w:rPr>
                <w:rFonts w:hint="eastAsia" w:asciiTheme="minorEastAsia" w:hAnsiTheme="minorEastAsia" w:eastAsiaTheme="minorEastAsia"/>
                <w:color w:val="000000" w:themeColor="text1"/>
                <w:sz w:val="24"/>
                <w14:textFill>
                  <w14:solidFill>
                    <w14:schemeClr w14:val="tx1"/>
                  </w14:solidFill>
                </w14:textFill>
              </w:rPr>
              <w:t>等，评价一般</w:t>
            </w:r>
            <w:r>
              <w:rPr>
                <w:rFonts w:asciiTheme="minorEastAsia" w:hAnsiTheme="minorEastAsia" w:eastAsiaTheme="minorEastAsia"/>
                <w:color w:val="000000" w:themeColor="text1"/>
                <w:sz w:val="24"/>
                <w14:textFill>
                  <w14:solidFill>
                    <w14:schemeClr w14:val="tx1"/>
                  </w14:solidFill>
                </w14:textFill>
              </w:rPr>
              <w:t>的</w:t>
            </w:r>
            <w:r>
              <w:rPr>
                <w:rFonts w:hint="eastAsia" w:asciiTheme="minorEastAsia" w:hAnsiTheme="minorEastAsia" w:eastAsiaTheme="minorEastAsia"/>
                <w:color w:val="000000" w:themeColor="text1"/>
                <w:sz w:val="24"/>
                <w14:textFill>
                  <w14:solidFill>
                    <w14:schemeClr w14:val="tx1"/>
                  </w14:solidFill>
                </w14:textFill>
              </w:rPr>
              <w:t>得</w:t>
            </w:r>
            <w:r>
              <w:rPr>
                <w:rFonts w:hint="eastAsia" w:cs="Arial" w:asciiTheme="minorEastAsia" w:hAnsiTheme="minorEastAsia" w:eastAsiaTheme="minorEastAsia"/>
                <w:color w:val="000000" w:themeColor="text1"/>
                <w:sz w:val="24"/>
                <w:lang w:val="en-US" w:eastAsia="zh-CN"/>
                <w14:textFill>
                  <w14:solidFill>
                    <w14:schemeClr w14:val="tx1"/>
                  </w14:solidFill>
                </w14:textFill>
              </w:rPr>
              <w:t>0-5</w:t>
            </w:r>
            <w:r>
              <w:rPr>
                <w:rFonts w:hint="eastAsia" w:asciiTheme="minorEastAsia" w:hAnsiTheme="minorEastAsia" w:eastAsiaTheme="minorEastAsia"/>
                <w:color w:val="000000" w:themeColor="text1"/>
                <w:sz w:val="24"/>
                <w14:textFill>
                  <w14:solidFill>
                    <w14:schemeClr w14:val="tx1"/>
                  </w14:solidFill>
                </w14:textFill>
              </w:rPr>
              <w:t>分；</w:t>
            </w:r>
          </w:p>
          <w:p>
            <w:pPr>
              <w:spacing w:line="320" w:lineRule="exact"/>
              <w:rPr>
                <w:rFonts w:hint="eastAsia" w:asciiTheme="minorEastAsia" w:hAnsiTheme="minorEastAsia" w:eastAsiaTheme="minorEastAsia"/>
                <w:color w:val="000000" w:themeColor="text1"/>
                <w:kern w:val="0"/>
                <w:sz w:val="24"/>
                <w:lang w:eastAsia="zh-CN"/>
                <w14:textFill>
                  <w14:solidFill>
                    <w14:schemeClr w14:val="tx1"/>
                  </w14:solidFill>
                </w14:textFill>
              </w:rPr>
            </w:pPr>
            <w:r>
              <w:rPr>
                <w:rFonts w:hint="eastAsia" w:asciiTheme="minorEastAsia" w:hAnsiTheme="minorEastAsia" w:eastAsiaTheme="minorEastAsia"/>
                <w:snapToGrid w:val="0"/>
                <w:color w:val="000000" w:themeColor="text1"/>
                <w:sz w:val="24"/>
                <w14:textFill>
                  <w14:solidFill>
                    <w14:schemeClr w14:val="tx1"/>
                  </w14:solidFill>
                </w14:textFill>
              </w:rPr>
              <w:t>注：需提供项目团队成员简历、相关证书等有效证明文件</w:t>
            </w:r>
            <w:r>
              <w:rPr>
                <w:rFonts w:hint="eastAsia" w:asciiTheme="minorEastAsia" w:hAnsiTheme="minorEastAsia" w:eastAsiaTheme="minorEastAsia"/>
                <w:snapToGrid w:val="0"/>
                <w:color w:val="000000" w:themeColor="text1"/>
                <w:sz w:val="24"/>
                <w:lang w:eastAsia="zh-CN"/>
                <w14:textFill>
                  <w14:solidFill>
                    <w14:schemeClr w14:val="tx1"/>
                  </w14:solidFill>
                </w14:textFill>
              </w:rPr>
              <w:t>。</w:t>
            </w:r>
          </w:p>
        </w:tc>
        <w:tc>
          <w:tcPr>
            <w:tcW w:w="992" w:type="dxa"/>
            <w:vAlign w:val="center"/>
          </w:tcPr>
          <w:p>
            <w:pPr>
              <w:widowControl/>
              <w:snapToGrid w:val="0"/>
              <w:spacing w:line="320" w:lineRule="exact"/>
              <w:jc w:val="center"/>
              <w:rPr>
                <w:rFonts w:hint="default" w:asciiTheme="minorEastAsia" w:hAnsiTheme="minorEastAsia" w:eastAsiaTheme="minorEastAsia"/>
                <w:color w:val="000000" w:themeColor="text1"/>
                <w:kern w:val="0"/>
                <w:sz w:val="24"/>
                <w:u w:color="FF0000"/>
                <w:lang w:val="en-US" w:eastAsia="zh-CN"/>
                <w14:textFill>
                  <w14:solidFill>
                    <w14:schemeClr w14:val="tx1"/>
                  </w14:solidFill>
                </w14:textFill>
              </w:rPr>
            </w:pPr>
            <w: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rPr>
                <w:rFonts w:asciiTheme="minorEastAsia" w:hAnsiTheme="minorEastAsia" w:eastAsiaTheme="minorEastAsia"/>
                <w:color w:val="000000" w:themeColor="text1"/>
                <w:kern w:val="0"/>
                <w:sz w:val="24"/>
                <w:u w:color="FF0000"/>
                <w14:textFill>
                  <w14:solidFill>
                    <w14:schemeClr w14:val="tx1"/>
                  </w14:solidFill>
                </w14:textFill>
              </w:rPr>
            </w:pPr>
          </w:p>
        </w:tc>
        <w:tc>
          <w:tcPr>
            <w:tcW w:w="6454" w:type="dxa"/>
            <w:vAlign w:val="center"/>
          </w:tcPr>
          <w:p>
            <w:pPr>
              <w:spacing w:line="320" w:lineRule="exact"/>
              <w:rPr>
                <w:rFonts w:hint="default" w:asciiTheme="minorEastAsia" w:hAnsiTheme="minorEastAsia" w:eastAsiaTheme="minorEastAsia"/>
                <w:snapToGrid w:val="0"/>
                <w:color w:val="000000" w:themeColor="text1"/>
                <w:sz w:val="24"/>
                <w:lang w:val="en-US" w:eastAsia="zh-CN"/>
                <w14:textFill>
                  <w14:solidFill>
                    <w14:schemeClr w14:val="tx1"/>
                  </w14:solidFill>
                </w14:textFill>
              </w:rPr>
            </w:pPr>
            <w:r>
              <w:rPr>
                <w:rFonts w:hint="eastAsia" w:asciiTheme="minorEastAsia" w:hAnsiTheme="minorEastAsia" w:eastAsiaTheme="minorEastAsia"/>
                <w:snapToGrid w:val="0"/>
                <w:color w:val="000000" w:themeColor="text1"/>
                <w:sz w:val="24"/>
                <w:lang w:val="en-US" w:eastAsia="zh-CN"/>
                <w14:textFill>
                  <w14:solidFill>
                    <w14:schemeClr w14:val="tx1"/>
                  </w14:solidFill>
                </w14:textFill>
              </w:rPr>
              <w:t>在项目服务地针对本项目需求提供完善的项目质量保障方案，体现投标人具备完善的质量管理体系和充分的质量保证措施。方案内容应包含但不限于质量管理目标、质量管理体系、质量保证措施及针对本项目的专项质量管理方式等，得11-15分；</w:t>
            </w:r>
          </w:p>
          <w:p>
            <w:pPr>
              <w:spacing w:line="320" w:lineRule="exact"/>
              <w:rPr>
                <w:rFonts w:hint="default" w:asciiTheme="minorEastAsia" w:hAnsiTheme="minorEastAsia" w:eastAsiaTheme="minorEastAsia"/>
                <w:snapToGrid w:val="0"/>
                <w:color w:val="000000" w:themeColor="text1"/>
                <w:sz w:val="24"/>
                <w:lang w:val="en-US" w:eastAsia="zh-CN"/>
                <w14:textFill>
                  <w14:solidFill>
                    <w14:schemeClr w14:val="tx1"/>
                  </w14:solidFill>
                </w14:textFill>
              </w:rPr>
            </w:pPr>
            <w:r>
              <w:rPr>
                <w:rFonts w:hint="eastAsia" w:asciiTheme="minorEastAsia" w:hAnsiTheme="minorEastAsia" w:eastAsiaTheme="minorEastAsia"/>
                <w:snapToGrid w:val="0"/>
                <w:color w:val="000000" w:themeColor="text1"/>
                <w:sz w:val="24"/>
                <w:lang w:val="en-US" w:eastAsia="zh-CN"/>
                <w14:textFill>
                  <w14:solidFill>
                    <w14:schemeClr w14:val="tx1"/>
                  </w14:solidFill>
                </w14:textFill>
              </w:rPr>
              <w:t>在项目服务地针对本项目需求提供比较完善的项目质量保障方案，体现投标人具备比较完善的质量管理体系和充分的质量保证措施。方案内容应包含但不限于质量管理目标、质量管理体系、质量保证措施及针对本项目的专项质量管理方式等，得6-10分；</w:t>
            </w:r>
          </w:p>
          <w:p>
            <w:pPr>
              <w:spacing w:line="320" w:lineRule="exact"/>
              <w:rPr>
                <w:rFonts w:hint="default" w:asciiTheme="minorEastAsia" w:hAnsiTheme="minorEastAsia" w:eastAsiaTheme="minorEastAsia"/>
                <w:snapToGrid w:val="0"/>
                <w:color w:val="000000" w:themeColor="text1"/>
                <w:sz w:val="24"/>
                <w:lang w:val="en-US" w:eastAsia="zh-CN"/>
                <w14:textFill>
                  <w14:solidFill>
                    <w14:schemeClr w14:val="tx1"/>
                  </w14:solidFill>
                </w14:textFill>
              </w:rPr>
            </w:pPr>
            <w:r>
              <w:rPr>
                <w:rFonts w:hint="eastAsia" w:asciiTheme="minorEastAsia" w:hAnsiTheme="minorEastAsia" w:eastAsiaTheme="minorEastAsia"/>
                <w:snapToGrid w:val="0"/>
                <w:color w:val="000000" w:themeColor="text1"/>
                <w:sz w:val="24"/>
                <w:lang w:val="en-US" w:eastAsia="zh-CN"/>
                <w14:textFill>
                  <w14:solidFill>
                    <w14:schemeClr w14:val="tx1"/>
                  </w14:solidFill>
                </w14:textFill>
              </w:rPr>
              <w:t>在项目服务地针对本项目需求没有完善的项目质量保障方案，不能体现投标人具备质量管理体系和充分的质量保证措施。方案内容应包含但不限于质量管理目标、质量管理体系、质量保证措施及针对本项目的专项质量管理方式等，得0-5分。</w:t>
            </w:r>
          </w:p>
        </w:tc>
        <w:tc>
          <w:tcPr>
            <w:tcW w:w="992" w:type="dxa"/>
            <w:vAlign w:val="center"/>
          </w:tcPr>
          <w:p>
            <w:pPr>
              <w:widowControl/>
              <w:snapToGrid w:val="0"/>
              <w:spacing w:line="320" w:lineRule="exact"/>
              <w:jc w:val="center"/>
              <w:rPr>
                <w:rFonts w:hint="default" w:asciiTheme="minorEastAsia" w:hAnsiTheme="minorEastAsia" w:eastAsiaTheme="minorEastAsia"/>
                <w:color w:val="000000" w:themeColor="text1"/>
                <w:kern w:val="0"/>
                <w:sz w:val="24"/>
                <w:u w:color="FF0000"/>
                <w:lang w:val="en-US" w:eastAsia="zh-CN"/>
                <w14:textFill>
                  <w14:solidFill>
                    <w14:schemeClr w14:val="tx1"/>
                  </w14:solidFill>
                </w14:textFill>
              </w:rPr>
            </w:pPr>
            <w: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rPr>
                <w:rFonts w:asciiTheme="minorEastAsia" w:hAnsiTheme="minorEastAsia" w:eastAsiaTheme="minorEastAsia"/>
                <w:color w:val="000000" w:themeColor="text1"/>
                <w:kern w:val="0"/>
                <w:sz w:val="24"/>
                <w:u w:color="FF0000"/>
                <w14:textFill>
                  <w14:solidFill>
                    <w14:schemeClr w14:val="tx1"/>
                  </w14:solidFill>
                </w14:textFill>
              </w:rPr>
            </w:pPr>
          </w:p>
        </w:tc>
        <w:tc>
          <w:tcPr>
            <w:tcW w:w="6454" w:type="dxa"/>
            <w:vAlign w:val="center"/>
          </w:tcPr>
          <w:p>
            <w:pPr>
              <w:spacing w:line="320" w:lineRule="exact"/>
              <w:rPr>
                <w:rFonts w:hint="eastAsia" w:asciiTheme="minorEastAsia" w:hAnsiTheme="minorEastAsia" w:eastAsiaTheme="minorEastAsia"/>
                <w:snapToGrid w:val="0"/>
                <w:color w:val="000000" w:themeColor="text1"/>
                <w:sz w:val="24"/>
                <w:lang w:val="en-US" w:eastAsia="zh-CN"/>
                <w14:textFill>
                  <w14:solidFill>
                    <w14:schemeClr w14:val="tx1"/>
                  </w14:solidFill>
                </w14:textFill>
              </w:rPr>
            </w:pPr>
            <w:r>
              <w:rPr>
                <w:rFonts w:hint="eastAsia" w:asciiTheme="minorEastAsia" w:hAnsiTheme="minorEastAsia" w:eastAsiaTheme="minorEastAsia"/>
                <w:snapToGrid w:val="0"/>
                <w:color w:val="000000" w:themeColor="text1"/>
                <w:sz w:val="24"/>
                <w:lang w:val="en-US" w:eastAsia="zh-CN"/>
                <w14:textFill>
                  <w14:solidFill>
                    <w14:schemeClr w14:val="tx1"/>
                  </w14:solidFill>
                </w14:textFill>
              </w:rPr>
              <w:t>在项目交付期间应提供网络安全应急服务，具有完善的紧急事件应急服务方案，方案内容应包括但不限于应急处置方法、应急处理服务流程、应急处理各阶段方法以及专为本项目设置的应急小组组织架构，得8-10分；</w:t>
            </w:r>
          </w:p>
          <w:p>
            <w:pPr>
              <w:spacing w:line="320" w:lineRule="exact"/>
              <w:rPr>
                <w:rFonts w:hint="default" w:asciiTheme="minorEastAsia" w:hAnsiTheme="minorEastAsia" w:eastAsiaTheme="minorEastAsia"/>
                <w:snapToGrid w:val="0"/>
                <w:color w:val="000000" w:themeColor="text1"/>
                <w:sz w:val="24"/>
                <w:lang w:val="en-US" w:eastAsia="zh-CN"/>
                <w14:textFill>
                  <w14:solidFill>
                    <w14:schemeClr w14:val="tx1"/>
                  </w14:solidFill>
                </w14:textFill>
              </w:rPr>
            </w:pPr>
            <w:r>
              <w:rPr>
                <w:rFonts w:hint="eastAsia" w:asciiTheme="minorEastAsia" w:hAnsiTheme="minorEastAsia" w:eastAsiaTheme="minorEastAsia"/>
                <w:snapToGrid w:val="0"/>
                <w:color w:val="000000" w:themeColor="text1"/>
                <w:sz w:val="24"/>
                <w:lang w:val="en-US" w:eastAsia="zh-CN"/>
                <w14:textFill>
                  <w14:solidFill>
                    <w14:schemeClr w14:val="tx1"/>
                  </w14:solidFill>
                </w14:textFill>
              </w:rPr>
              <w:t>在项目交付期间应提供网络安全应急服务，具有较完善的紧急事件应急服务方案，方案内容应包括但不限于应急处置方法、应急处理服务流程、应急处理各阶段方法以及专为本项目设置的应急小组组织架构，得5-7分；</w:t>
            </w:r>
          </w:p>
          <w:p>
            <w:pPr>
              <w:spacing w:line="320" w:lineRule="exact"/>
              <w:rPr>
                <w:rFonts w:hint="eastAsia" w:asciiTheme="minorEastAsia" w:hAnsiTheme="minorEastAsia" w:eastAsiaTheme="minorEastAsia"/>
                <w:snapToGrid w:val="0"/>
                <w:color w:val="000000" w:themeColor="text1"/>
                <w:sz w:val="24"/>
                <w:lang w:val="en-US" w:eastAsia="zh-CN"/>
                <w14:textFill>
                  <w14:solidFill>
                    <w14:schemeClr w14:val="tx1"/>
                  </w14:solidFill>
                </w14:textFill>
              </w:rPr>
            </w:pPr>
            <w:r>
              <w:rPr>
                <w:rFonts w:hint="eastAsia" w:asciiTheme="minorEastAsia" w:hAnsiTheme="minorEastAsia" w:eastAsiaTheme="minorEastAsia"/>
                <w:snapToGrid w:val="0"/>
                <w:color w:val="000000" w:themeColor="text1"/>
                <w:sz w:val="24"/>
                <w:lang w:val="en-US" w:eastAsia="zh-CN"/>
                <w14:textFill>
                  <w14:solidFill>
                    <w14:schemeClr w14:val="tx1"/>
                  </w14:solidFill>
                </w14:textFill>
              </w:rPr>
              <w:t>在项目交付期间应提供网络安全应急服务，没有较完善紧急事件应急服务方案，方案内容应包括但不限于应急处置方法、应急处理服务流程、应急处理各阶段方法以及专为本项目设置的应急小组组织架构，得0-4分。</w:t>
            </w:r>
          </w:p>
        </w:tc>
        <w:tc>
          <w:tcPr>
            <w:tcW w:w="992" w:type="dxa"/>
            <w:vAlign w:val="center"/>
          </w:tcPr>
          <w:p>
            <w:pPr>
              <w:widowControl/>
              <w:snapToGrid w:val="0"/>
              <w:spacing w:line="320" w:lineRule="exact"/>
              <w:jc w:val="center"/>
              <w:rPr>
                <w:rFonts w:hint="default" w:asciiTheme="minorEastAsia" w:hAnsiTheme="minorEastAsia" w:eastAsiaTheme="minorEastAsia"/>
                <w:color w:val="000000" w:themeColor="text1"/>
                <w:kern w:val="0"/>
                <w:sz w:val="24"/>
                <w:u w:color="FF0000"/>
                <w:lang w:val="en-US" w:eastAsia="zh-CN"/>
                <w14:textFill>
                  <w14:solidFill>
                    <w14:schemeClr w14:val="tx1"/>
                  </w14:solidFill>
                </w14:textFill>
              </w:rPr>
            </w:pPr>
            <w: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rPr>
                <w:rFonts w:asciiTheme="minorEastAsia" w:hAnsiTheme="minorEastAsia" w:eastAsiaTheme="minorEastAsia"/>
                <w:color w:val="000000" w:themeColor="text1"/>
                <w:kern w:val="0"/>
                <w:sz w:val="24"/>
                <w:u w:color="FF0000"/>
                <w14:textFill>
                  <w14:solidFill>
                    <w14:schemeClr w14:val="tx1"/>
                  </w14:solidFill>
                </w14:textFill>
              </w:rPr>
            </w:pPr>
          </w:p>
        </w:tc>
        <w:tc>
          <w:tcPr>
            <w:tcW w:w="6454" w:type="dxa"/>
            <w:vAlign w:val="center"/>
          </w:tcPr>
          <w:p>
            <w:pPr>
              <w:spacing w:line="320" w:lineRule="exact"/>
              <w:rPr>
                <w:rFonts w:hint="default" w:asciiTheme="minorEastAsia" w:hAnsiTheme="minorEastAsia" w:eastAsiaTheme="minorEastAsia"/>
                <w:snapToGrid w:val="0"/>
                <w:color w:val="000000" w:themeColor="text1"/>
                <w:sz w:val="24"/>
                <w:lang w:val="en-US" w:eastAsia="zh-CN"/>
                <w14:textFill>
                  <w14:solidFill>
                    <w14:schemeClr w14:val="tx1"/>
                  </w14:solidFill>
                </w14:textFill>
              </w:rPr>
            </w:pPr>
            <w:r>
              <w:rPr>
                <w:rFonts w:hint="default" w:asciiTheme="minorEastAsia" w:hAnsiTheme="minorEastAsia" w:eastAsiaTheme="minorEastAsia"/>
                <w:snapToGrid w:val="0"/>
                <w:color w:val="000000" w:themeColor="text1"/>
                <w:sz w:val="24"/>
                <w:lang w:val="en-US" w:eastAsia="zh-CN"/>
                <w14:textFill>
                  <w14:solidFill>
                    <w14:schemeClr w14:val="tx1"/>
                  </w14:solidFill>
                </w14:textFill>
              </w:rPr>
              <w:t>投标人根据对项目需求的理解，提供增值服务方案，对增值服务与本项目需求契合度，方案完整性等方面进行评价，优良8-10分，较好5-7分，一般0-4分。</w:t>
            </w:r>
          </w:p>
        </w:tc>
        <w:tc>
          <w:tcPr>
            <w:tcW w:w="992" w:type="dxa"/>
            <w:vAlign w:val="center"/>
          </w:tcPr>
          <w:p>
            <w:pPr>
              <w:widowControl/>
              <w:snapToGrid w:val="0"/>
              <w:spacing w:line="320" w:lineRule="exact"/>
              <w:jc w:val="center"/>
              <w:rPr>
                <w:rFonts w:hint="default" w:asciiTheme="minorEastAsia" w:hAnsiTheme="minorEastAsia" w:eastAsiaTheme="minorEastAsia"/>
                <w:color w:val="000000" w:themeColor="text1"/>
                <w:kern w:val="0"/>
                <w:sz w:val="24"/>
                <w:u w:color="FF0000"/>
                <w:lang w:val="en-US" w:eastAsia="zh-CN"/>
                <w14:textFill>
                  <w14:solidFill>
                    <w14:schemeClr w14:val="tx1"/>
                  </w14:solidFill>
                </w14:textFill>
              </w:rPr>
            </w:pPr>
            <w: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snapToGrid w:val="0"/>
              <w:spacing w:line="320" w:lineRule="exact"/>
              <w:jc w:val="cente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pPr>
            <w: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t>商务部分评分</w:t>
            </w:r>
          </w:p>
          <w:p>
            <w:pPr>
              <w:snapToGrid w:val="0"/>
              <w:spacing w:line="320" w:lineRule="exact"/>
              <w:jc w:val="center"/>
              <w:rPr>
                <w:rFonts w:hint="default" w:asciiTheme="minorEastAsia" w:hAnsiTheme="minorEastAsia" w:eastAsiaTheme="minorEastAsia"/>
                <w:color w:val="000000" w:themeColor="text1"/>
                <w:kern w:val="0"/>
                <w:sz w:val="24"/>
                <w:u w:color="FF0000"/>
                <w:lang w:val="en-US" w:eastAsia="zh-CN"/>
                <w14:textFill>
                  <w14:solidFill>
                    <w14:schemeClr w14:val="tx1"/>
                  </w14:solidFill>
                </w14:textFill>
              </w:rPr>
            </w:pPr>
            <w: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t>（2.5）</w:t>
            </w:r>
          </w:p>
        </w:tc>
        <w:tc>
          <w:tcPr>
            <w:tcW w:w="6454" w:type="dxa"/>
            <w:vAlign w:val="center"/>
          </w:tcPr>
          <w:p>
            <w:pPr>
              <w:spacing w:line="320" w:lineRule="exact"/>
              <w:rPr>
                <w:rFonts w:hint="eastAsia" w:cs="Times New Roman" w:asciiTheme="minorEastAsia" w:hAnsiTheme="minorEastAsia" w:eastAsiaTheme="minorEastAsia"/>
                <w:snapToGrid w:val="0"/>
                <w:color w:val="000000" w:themeColor="text1"/>
                <w:kern w:val="2"/>
                <w:sz w:val="24"/>
                <w:szCs w:val="24"/>
                <w:lang w:val="en-US" w:eastAsia="zh-CN" w:bidi="ar-SA"/>
                <w14:textFill>
                  <w14:solidFill>
                    <w14:schemeClr w14:val="tx1"/>
                  </w14:solidFill>
                </w14:textFill>
              </w:rPr>
            </w:pPr>
            <w:r>
              <w:rPr>
                <w:rFonts w:hint="eastAsia" w:asciiTheme="minorEastAsia" w:hAnsiTheme="minorEastAsia" w:eastAsiaTheme="minorEastAsia"/>
                <w:snapToGrid w:val="0"/>
                <w:color w:val="000000" w:themeColor="text1"/>
                <w:sz w:val="24"/>
                <w:lang w:val="en-US" w:eastAsia="zh-CN"/>
                <w14:textFill>
                  <w14:solidFill>
                    <w14:schemeClr w14:val="tx1"/>
                  </w14:solidFill>
                </w14:textFill>
              </w:rPr>
              <w:t>为了高效协助甲方完成被测系统备案、配合监管检查等后续流程，提升项目进度，保证项目实施质量，投标人应提供（2022年-至今）完成过等保测评类似业绩，每提供1个业绩得分0.5分，最多得2.5分，没有则不得分。</w:t>
            </w:r>
            <w:r>
              <w:rPr>
                <w:rFonts w:hint="eastAsia" w:asciiTheme="minorEastAsia" w:hAnsiTheme="minorEastAsia" w:eastAsiaTheme="minorEastAsia"/>
                <w:snapToGrid w:val="0"/>
                <w:color w:val="000000" w:themeColor="text1"/>
                <w:sz w:val="24"/>
                <w:lang w:val="en-US" w:eastAsia="zh-CN"/>
                <w14:textFill>
                  <w14:solidFill>
                    <w14:schemeClr w14:val="tx1"/>
                  </w14:solidFill>
                </w14:textFill>
              </w:rPr>
              <w:br w:type="textWrapping"/>
            </w:r>
            <w:r>
              <w:rPr>
                <w:rFonts w:hint="eastAsia" w:asciiTheme="minorEastAsia" w:hAnsiTheme="minorEastAsia" w:eastAsiaTheme="minorEastAsia"/>
                <w:snapToGrid w:val="0"/>
                <w:color w:val="000000" w:themeColor="text1"/>
                <w:sz w:val="24"/>
                <w:lang w:val="en-US" w:eastAsia="zh-CN"/>
                <w14:textFill>
                  <w14:solidFill>
                    <w14:schemeClr w14:val="tx1"/>
                  </w14:solidFill>
                </w14:textFill>
              </w:rPr>
              <w:t>评分依据：应提供合同复印件（需体现项目地点、服务内容、金额）、加盖甲方公章的验收报告或测评报告首页（缺一不可），所有证明材料应加盖投标人公章。</w:t>
            </w:r>
          </w:p>
        </w:tc>
        <w:tc>
          <w:tcPr>
            <w:tcW w:w="992" w:type="dxa"/>
            <w:vAlign w:val="center"/>
          </w:tcPr>
          <w:p>
            <w:pPr>
              <w:widowControl/>
              <w:snapToGrid w:val="0"/>
              <w:spacing w:line="320" w:lineRule="exact"/>
              <w:jc w:val="center"/>
              <w:rPr>
                <w:rFonts w:hint="eastAsia" w:cs="Times New Roman" w:asciiTheme="minorEastAsia" w:hAnsiTheme="minorEastAsia" w:eastAsiaTheme="minorEastAsia"/>
                <w:color w:val="000000" w:themeColor="text1"/>
                <w:kern w:val="0"/>
                <w:sz w:val="24"/>
                <w:szCs w:val="24"/>
                <w:u w:color="FF0000"/>
                <w:lang w:val="en-US" w:eastAsia="zh-CN" w:bidi="ar-SA"/>
                <w14:textFill>
                  <w14:solidFill>
                    <w14:schemeClr w14:val="tx1"/>
                  </w14:solidFill>
                </w14:textFill>
              </w:rPr>
            </w:pPr>
            <w: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snapToGrid w:val="0"/>
              <w:spacing w:line="320" w:lineRule="exact"/>
              <w:jc w:val="center"/>
              <w:rPr>
                <w:rFonts w:asciiTheme="minorEastAsia" w:hAnsiTheme="minorEastAsia" w:eastAsiaTheme="minorEastAsia"/>
                <w:color w:val="000000" w:themeColor="text1"/>
                <w:kern w:val="0"/>
                <w:sz w:val="24"/>
                <w:u w:color="FF0000"/>
                <w14:textFill>
                  <w14:solidFill>
                    <w14:schemeClr w14:val="tx1"/>
                  </w14:solidFill>
                </w14:textFill>
              </w:rPr>
            </w:pPr>
            <w:r>
              <w:rPr>
                <w:rFonts w:asciiTheme="minorEastAsia" w:hAnsiTheme="minorEastAsia" w:eastAsiaTheme="minorEastAsia"/>
                <w:color w:val="000000" w:themeColor="text1"/>
                <w:kern w:val="0"/>
                <w:sz w:val="24"/>
                <w:u w:color="FF0000"/>
                <w14:textFill>
                  <w14:solidFill>
                    <w14:schemeClr w14:val="tx1"/>
                  </w14:solidFill>
                </w14:textFill>
              </w:rPr>
              <w:t>服务</w:t>
            </w:r>
            <w:r>
              <w:rPr>
                <w:rFonts w:hint="eastAsia" w:asciiTheme="minorEastAsia" w:hAnsiTheme="minorEastAsia" w:eastAsiaTheme="minorEastAsia"/>
                <w:color w:val="000000" w:themeColor="text1"/>
                <w:kern w:val="0"/>
                <w:sz w:val="24"/>
                <w:u w:color="FF0000"/>
                <w14:textFill>
                  <w14:solidFill>
                    <w14:schemeClr w14:val="tx1"/>
                  </w14:solidFill>
                </w14:textFill>
              </w:rPr>
              <w:t>水平</w:t>
            </w:r>
          </w:p>
          <w:p>
            <w:pPr>
              <w:snapToGrid w:val="0"/>
              <w:spacing w:line="320" w:lineRule="exact"/>
              <w:jc w:val="center"/>
              <w:rPr>
                <w:rFonts w:asciiTheme="minorEastAsia" w:hAnsiTheme="minorEastAsia" w:eastAsiaTheme="minorEastAsia"/>
                <w:color w:val="000000" w:themeColor="text1"/>
                <w:kern w:val="0"/>
                <w:sz w:val="24"/>
                <w:u w:color="FF0000"/>
                <w14:textFill>
                  <w14:solidFill>
                    <w14:schemeClr w14:val="tx1"/>
                  </w14:solidFill>
                </w14:textFill>
              </w:rPr>
            </w:pPr>
            <w:r>
              <w:rPr>
                <w:rFonts w:asciiTheme="minorEastAsia" w:hAnsiTheme="minorEastAsia" w:eastAsiaTheme="minorEastAsia"/>
                <w:color w:val="000000" w:themeColor="text1"/>
                <w:kern w:val="0"/>
                <w:sz w:val="24"/>
                <w:u w:color="FF0000"/>
                <w14:textFill>
                  <w14:solidFill>
                    <w14:schemeClr w14:val="tx1"/>
                  </w14:solidFill>
                </w14:textFill>
              </w:rPr>
              <w:t>评分</w:t>
            </w:r>
          </w:p>
          <w:p>
            <w:pPr>
              <w:snapToGrid w:val="0"/>
              <w:spacing w:line="320" w:lineRule="exact"/>
              <w:jc w:val="center"/>
              <w:rPr>
                <w:rFonts w:asciiTheme="minorEastAsia" w:hAnsiTheme="minorEastAsia" w:eastAsiaTheme="minorEastAsia"/>
                <w:color w:val="000000" w:themeColor="text1"/>
                <w:kern w:val="0"/>
                <w:sz w:val="24"/>
                <w:u w:color="FF0000"/>
                <w14:textFill>
                  <w14:solidFill>
                    <w14:schemeClr w14:val="tx1"/>
                  </w14:solidFill>
                </w14:textFill>
              </w:rPr>
            </w:pPr>
            <w:r>
              <w:rPr>
                <w:rFonts w:hint="eastAsia" w:asciiTheme="minorEastAsia" w:hAnsiTheme="minorEastAsia" w:eastAsiaTheme="minorEastAsia"/>
                <w:color w:val="000000" w:themeColor="text1"/>
                <w:kern w:val="0"/>
                <w:sz w:val="24"/>
                <w:u w:color="FF0000"/>
                <w14:textFill>
                  <w14:solidFill>
                    <w14:schemeClr w14:val="tx1"/>
                  </w14:solidFill>
                </w14:textFill>
              </w:rPr>
              <w:t>（</w:t>
            </w:r>
            <w: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t>2.5</w:t>
            </w:r>
            <w:r>
              <w:rPr>
                <w:rFonts w:asciiTheme="minorEastAsia" w:hAnsiTheme="minorEastAsia" w:eastAsiaTheme="minorEastAsia"/>
                <w:color w:val="000000" w:themeColor="text1"/>
                <w:kern w:val="0"/>
                <w:sz w:val="24"/>
                <w:u w:color="FF0000"/>
                <w14:textFill>
                  <w14:solidFill>
                    <w14:schemeClr w14:val="tx1"/>
                  </w14:solidFill>
                </w14:textFill>
              </w:rPr>
              <w:t>）</w:t>
            </w:r>
          </w:p>
        </w:tc>
        <w:tc>
          <w:tcPr>
            <w:tcW w:w="6454" w:type="dxa"/>
            <w:vAlign w:val="center"/>
          </w:tcPr>
          <w:p>
            <w:pPr>
              <w:spacing w:line="320" w:lineRule="exact"/>
              <w:rPr>
                <w:rFonts w:hint="eastAsia" w:asciiTheme="minorEastAsia" w:hAnsiTheme="minorEastAsia" w:eastAsiaTheme="minorEastAsia"/>
                <w:snapToGrid w:val="0"/>
                <w:color w:val="000000" w:themeColor="text1"/>
                <w:sz w:val="24"/>
                <w:lang w:val="en-US" w:eastAsia="zh-CN"/>
                <w14:textFill>
                  <w14:solidFill>
                    <w14:schemeClr w14:val="tx1"/>
                  </w14:solidFill>
                </w14:textFill>
              </w:rPr>
            </w:pPr>
            <w:r>
              <w:rPr>
                <w:rFonts w:hint="eastAsia" w:asciiTheme="minorEastAsia" w:hAnsiTheme="minorEastAsia" w:eastAsiaTheme="minorEastAsia"/>
                <w:snapToGrid w:val="0"/>
                <w:color w:val="000000" w:themeColor="text1"/>
                <w:sz w:val="24"/>
                <w:lang w:val="en-US" w:eastAsia="zh-CN"/>
                <w14:textFill>
                  <w14:solidFill>
                    <w14:schemeClr w14:val="tx1"/>
                  </w14:solidFill>
                </w14:textFill>
              </w:rPr>
              <w:t>为更好服务于本项目实施，投标人每具有中国网络安全审查技术与认证中心颁发的以下证书中的其中一个得0.5分，最多得2.5分，具体证书如下：</w:t>
            </w:r>
          </w:p>
          <w:p>
            <w:pPr>
              <w:spacing w:line="320" w:lineRule="exact"/>
              <w:rPr>
                <w:rFonts w:hint="eastAsia" w:asciiTheme="minorEastAsia" w:hAnsiTheme="minorEastAsia" w:eastAsiaTheme="minorEastAsia"/>
                <w:snapToGrid w:val="0"/>
                <w:color w:val="000000" w:themeColor="text1"/>
                <w:sz w:val="24"/>
                <w:lang w:eastAsia="zh-CN"/>
                <w14:textFill>
                  <w14:solidFill>
                    <w14:schemeClr w14:val="tx1"/>
                  </w14:solidFill>
                </w14:textFill>
              </w:rPr>
            </w:pPr>
            <w:r>
              <w:rPr>
                <w:rFonts w:hint="eastAsia" w:asciiTheme="minorEastAsia" w:hAnsiTheme="minorEastAsia" w:eastAsiaTheme="minorEastAsia"/>
                <w:snapToGrid w:val="0"/>
                <w:color w:val="000000" w:themeColor="text1"/>
                <w:sz w:val="24"/>
                <w14:textFill>
                  <w14:solidFill>
                    <w14:schemeClr w14:val="tx1"/>
                  </w14:solidFill>
                </w14:textFill>
              </w:rPr>
              <w:t>信息安全服务资质认证证书-信息安全应急处理</w:t>
            </w:r>
            <w:r>
              <w:rPr>
                <w:rFonts w:hint="eastAsia" w:asciiTheme="minorEastAsia" w:hAnsiTheme="minorEastAsia" w:eastAsiaTheme="minorEastAsia"/>
                <w:snapToGrid w:val="0"/>
                <w:color w:val="000000" w:themeColor="text1"/>
                <w:sz w:val="24"/>
                <w:lang w:eastAsia="zh-CN"/>
                <w14:textFill>
                  <w14:solidFill>
                    <w14:schemeClr w14:val="tx1"/>
                  </w14:solidFill>
                </w14:textFill>
              </w:rPr>
              <w:t>；</w:t>
            </w:r>
          </w:p>
          <w:p>
            <w:pPr>
              <w:spacing w:line="320" w:lineRule="exact"/>
              <w:rPr>
                <w:rFonts w:hint="eastAsia" w:asciiTheme="minorEastAsia" w:hAnsiTheme="minorEastAsia" w:eastAsiaTheme="minorEastAsia"/>
                <w:snapToGrid w:val="0"/>
                <w:color w:val="000000" w:themeColor="text1"/>
                <w:sz w:val="24"/>
                <w:lang w:eastAsia="zh-CN"/>
                <w14:textFill>
                  <w14:solidFill>
                    <w14:schemeClr w14:val="tx1"/>
                  </w14:solidFill>
                </w14:textFill>
              </w:rPr>
            </w:pPr>
            <w:r>
              <w:rPr>
                <w:rFonts w:hint="eastAsia" w:asciiTheme="minorEastAsia" w:hAnsiTheme="minorEastAsia" w:eastAsiaTheme="minorEastAsia"/>
                <w:snapToGrid w:val="0"/>
                <w:color w:val="000000" w:themeColor="text1"/>
                <w:sz w:val="24"/>
                <w14:textFill>
                  <w14:solidFill>
                    <w14:schemeClr w14:val="tx1"/>
                  </w14:solidFill>
                </w14:textFill>
              </w:rPr>
              <w:t>信息安全服务资质认证证书-信息安全风险评估</w:t>
            </w:r>
            <w:r>
              <w:rPr>
                <w:rFonts w:hint="eastAsia" w:asciiTheme="minorEastAsia" w:hAnsiTheme="minorEastAsia" w:eastAsiaTheme="minorEastAsia"/>
                <w:snapToGrid w:val="0"/>
                <w:color w:val="000000" w:themeColor="text1"/>
                <w:sz w:val="24"/>
                <w:lang w:eastAsia="zh-CN"/>
                <w14:textFill>
                  <w14:solidFill>
                    <w14:schemeClr w14:val="tx1"/>
                  </w14:solidFill>
                </w14:textFill>
              </w:rPr>
              <w:t>；</w:t>
            </w:r>
          </w:p>
          <w:p>
            <w:pPr>
              <w:spacing w:line="320" w:lineRule="exact"/>
              <w:rPr>
                <w:rFonts w:hint="eastAsia" w:asciiTheme="minorEastAsia" w:hAnsiTheme="minorEastAsia" w:eastAsiaTheme="minorEastAsia"/>
                <w:snapToGrid w:val="0"/>
                <w:color w:val="000000" w:themeColor="text1"/>
                <w:sz w:val="24"/>
                <w:lang w:eastAsia="zh-CN"/>
                <w14:textFill>
                  <w14:solidFill>
                    <w14:schemeClr w14:val="tx1"/>
                  </w14:solidFill>
                </w14:textFill>
              </w:rPr>
            </w:pPr>
            <w:r>
              <w:rPr>
                <w:rFonts w:hint="eastAsia" w:asciiTheme="minorEastAsia" w:hAnsiTheme="minorEastAsia" w:eastAsiaTheme="minorEastAsia"/>
                <w:snapToGrid w:val="0"/>
                <w:color w:val="000000" w:themeColor="text1"/>
                <w:sz w:val="24"/>
                <w14:textFill>
                  <w14:solidFill>
                    <w14:schemeClr w14:val="tx1"/>
                  </w14:solidFill>
                </w14:textFill>
              </w:rPr>
              <w:t>信息安全服务资质认证证书-信息系统安全运维</w:t>
            </w:r>
            <w:r>
              <w:rPr>
                <w:rFonts w:hint="eastAsia" w:asciiTheme="minorEastAsia" w:hAnsiTheme="minorEastAsia" w:eastAsiaTheme="minorEastAsia"/>
                <w:snapToGrid w:val="0"/>
                <w:color w:val="000000" w:themeColor="text1"/>
                <w:sz w:val="24"/>
                <w:lang w:eastAsia="zh-CN"/>
                <w14:textFill>
                  <w14:solidFill>
                    <w14:schemeClr w14:val="tx1"/>
                  </w14:solidFill>
                </w14:textFill>
              </w:rPr>
              <w:t>；</w:t>
            </w:r>
          </w:p>
          <w:p>
            <w:pPr>
              <w:spacing w:line="320" w:lineRule="exact"/>
              <w:rPr>
                <w:rFonts w:hint="eastAsia" w:asciiTheme="minorEastAsia" w:hAnsiTheme="minorEastAsia" w:eastAsiaTheme="minorEastAsia"/>
                <w:snapToGrid w:val="0"/>
                <w:color w:val="000000" w:themeColor="text1"/>
                <w:sz w:val="24"/>
                <w:lang w:eastAsia="zh-CN"/>
                <w14:textFill>
                  <w14:solidFill>
                    <w14:schemeClr w14:val="tx1"/>
                  </w14:solidFill>
                </w14:textFill>
              </w:rPr>
            </w:pPr>
            <w:r>
              <w:rPr>
                <w:rFonts w:hint="eastAsia" w:asciiTheme="minorEastAsia" w:hAnsiTheme="minorEastAsia" w:eastAsiaTheme="minorEastAsia"/>
                <w:snapToGrid w:val="0"/>
                <w:color w:val="000000" w:themeColor="text1"/>
                <w:sz w:val="24"/>
                <w14:textFill>
                  <w14:solidFill>
                    <w14:schemeClr w14:val="tx1"/>
                  </w14:solidFill>
                </w14:textFill>
              </w:rPr>
              <w:t>信息安全服务资质认证证书-信息系统网络安全审计服务资质</w:t>
            </w:r>
            <w:r>
              <w:rPr>
                <w:rFonts w:hint="eastAsia" w:asciiTheme="minorEastAsia" w:hAnsiTheme="minorEastAsia" w:eastAsiaTheme="minorEastAsia"/>
                <w:snapToGrid w:val="0"/>
                <w:color w:val="000000" w:themeColor="text1"/>
                <w:sz w:val="24"/>
                <w:lang w:eastAsia="zh-CN"/>
                <w14:textFill>
                  <w14:solidFill>
                    <w14:schemeClr w14:val="tx1"/>
                  </w14:solidFill>
                </w14:textFill>
              </w:rPr>
              <w:t>；</w:t>
            </w:r>
          </w:p>
          <w:p>
            <w:pPr>
              <w:spacing w:line="320" w:lineRule="exact"/>
              <w:rPr>
                <w:color w:val="000000"/>
                <w:sz w:val="20"/>
                <w:szCs w:val="20"/>
              </w:rPr>
            </w:pPr>
            <w:r>
              <w:rPr>
                <w:rFonts w:hint="eastAsia" w:asciiTheme="minorEastAsia" w:hAnsiTheme="minorEastAsia" w:eastAsiaTheme="minorEastAsia"/>
                <w:snapToGrid w:val="0"/>
                <w:color w:val="000000" w:themeColor="text1"/>
                <w:sz w:val="24"/>
                <w14:textFill>
                  <w14:solidFill>
                    <w14:schemeClr w14:val="tx1"/>
                  </w14:solidFill>
                </w14:textFill>
              </w:rPr>
              <w:t>数据安全服务能力评定资格证书（一级及以上）</w:t>
            </w:r>
          </w:p>
        </w:tc>
        <w:tc>
          <w:tcPr>
            <w:tcW w:w="992" w:type="dxa"/>
            <w:vAlign w:val="center"/>
          </w:tcPr>
          <w:p>
            <w:pPr>
              <w:widowControl/>
              <w:snapToGrid w:val="0"/>
              <w:spacing w:line="320" w:lineRule="exact"/>
              <w:jc w:val="center"/>
              <w:rPr>
                <w:rFonts w:hint="default" w:asciiTheme="minorEastAsia" w:hAnsiTheme="minorEastAsia" w:eastAsiaTheme="minorEastAsia"/>
                <w:color w:val="000000" w:themeColor="text1"/>
                <w:kern w:val="0"/>
                <w:sz w:val="24"/>
                <w:u w:color="FF0000"/>
                <w:lang w:val="en-US" w:eastAsia="zh-CN"/>
                <w14:textFill>
                  <w14:solidFill>
                    <w14:schemeClr w14:val="tx1"/>
                  </w14:solidFill>
                </w14:textFill>
              </w:rPr>
            </w:pPr>
            <w: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777" w:type="dxa"/>
            <w:gridSpan w:val="2"/>
            <w:vAlign w:val="center"/>
          </w:tcPr>
          <w:p>
            <w:pPr>
              <w:spacing w:line="320" w:lineRule="exact"/>
              <w:jc w:val="center"/>
              <w:rPr>
                <w:rFonts w:asciiTheme="minorEastAsia" w:hAnsiTheme="minorEastAsia" w:eastAsiaTheme="minorEastAsia"/>
                <w:b/>
                <w:snapToGrid w:val="0"/>
                <w:color w:val="000000" w:themeColor="text1"/>
                <w:sz w:val="24"/>
                <w14:textFill>
                  <w14:solidFill>
                    <w14:schemeClr w14:val="tx1"/>
                  </w14:solidFill>
                </w14:textFill>
              </w:rPr>
            </w:pPr>
            <w:r>
              <w:rPr>
                <w:rFonts w:hint="eastAsia" w:asciiTheme="minorEastAsia" w:hAnsiTheme="minorEastAsia" w:eastAsiaTheme="minorEastAsia"/>
                <w:b/>
                <w:snapToGrid w:val="0"/>
                <w:color w:val="000000" w:themeColor="text1"/>
                <w:sz w:val="24"/>
                <w14:textFill>
                  <w14:solidFill>
                    <w14:schemeClr w14:val="tx1"/>
                  </w14:solidFill>
                </w14:textFill>
              </w:rPr>
              <w:t>合计</w:t>
            </w:r>
          </w:p>
        </w:tc>
        <w:tc>
          <w:tcPr>
            <w:tcW w:w="992" w:type="dxa"/>
            <w:vAlign w:val="center"/>
          </w:tcPr>
          <w:p>
            <w:pPr>
              <w:widowControl/>
              <w:snapToGrid w:val="0"/>
              <w:spacing w:line="320" w:lineRule="exact"/>
              <w:jc w:val="center"/>
              <w:rPr>
                <w:rFonts w:asciiTheme="minorEastAsia" w:hAnsiTheme="minorEastAsia" w:eastAsiaTheme="minorEastAsia"/>
                <w:b/>
                <w:color w:val="000000" w:themeColor="text1"/>
                <w:kern w:val="0"/>
                <w:sz w:val="24"/>
                <w:u w:color="FF0000"/>
                <w14:textFill>
                  <w14:solidFill>
                    <w14:schemeClr w14:val="tx1"/>
                  </w14:solidFill>
                </w14:textFill>
              </w:rPr>
            </w:pPr>
            <w:r>
              <w:rPr>
                <w:rFonts w:hint="eastAsia" w:asciiTheme="minorEastAsia" w:hAnsiTheme="minorEastAsia" w:eastAsiaTheme="minorEastAsia"/>
                <w:b/>
                <w:color w:val="000000" w:themeColor="text1"/>
                <w:kern w:val="0"/>
                <w:sz w:val="24"/>
                <w:u w:color="FF0000"/>
                <w14:textFill>
                  <w14:solidFill>
                    <w14:schemeClr w14:val="tx1"/>
                  </w14:solidFill>
                </w14:textFill>
              </w:rPr>
              <w:t>100</w:t>
            </w:r>
          </w:p>
        </w:tc>
      </w:tr>
    </w:tbl>
    <w:p/>
    <w:p>
      <w:pPr>
        <w:pStyle w:val="2"/>
        <w:jc w:val="both"/>
        <w:rPr>
          <w:rFonts w:hint="eastAsia" w:eastAsia="仿宋"/>
          <w:lang w:val="en-US" w:eastAsia="zh-CN"/>
        </w:rPr>
        <w:sectPr>
          <w:footerReference r:id="rId11" w:type="default"/>
          <w:pgSz w:w="11906" w:h="16838"/>
          <w:pgMar w:top="1417" w:right="1134" w:bottom="1134" w:left="1134" w:header="851" w:footer="992" w:gutter="0"/>
          <w:cols w:space="720" w:num="1"/>
          <w:titlePg/>
          <w:docGrid w:type="lines" w:linePitch="312" w:charSpace="0"/>
        </w:sectPr>
      </w:pPr>
    </w:p>
    <w:bookmarkEnd w:id="120"/>
    <w:bookmarkEnd w:id="121"/>
    <w:p>
      <w:pPr>
        <w:pStyle w:val="3"/>
        <w:numPr>
          <w:ilvl w:val="0"/>
          <w:numId w:val="5"/>
        </w:numPr>
        <w:spacing w:before="0" w:after="0"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bookmarkStart w:id="137" w:name="_Toc28200"/>
      <w:bookmarkStart w:id="138" w:name="_Toc517281828"/>
      <w:r>
        <w:rPr>
          <w:rFonts w:hint="eastAsia" w:ascii="仿宋" w:hAnsi="仿宋" w:eastAsia="仿宋" w:cs="仿宋"/>
          <w:color w:val="000000" w:themeColor="text1"/>
          <w:sz w:val="28"/>
          <w:szCs w:val="28"/>
          <w:highlight w:val="none"/>
          <w:lang w:val="en-US" w:eastAsia="zh-CN"/>
          <w14:textFill>
            <w14:solidFill>
              <w14:schemeClr w14:val="tx1"/>
            </w14:solidFill>
          </w14:textFill>
        </w:rPr>
        <w:t>合同模版</w:t>
      </w:r>
      <w:bookmarkEnd w:id="137"/>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center"/>
        <w:rPr>
          <w:rFonts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44"/>
          <w:szCs w:val="44"/>
          <w:shd w:val="clear" w:fill="FFFFFF"/>
          <w:lang w:val="en-US" w:eastAsia="zh-CN" w:bidi="ar"/>
        </w:rPr>
        <w:t>服务合同</w:t>
      </w:r>
    </w:p>
    <w:p>
      <w:pPr>
        <w:keepNext w:val="0"/>
        <w:keepLines w:val="0"/>
        <w:widowControl/>
        <w:suppressLineNumbers w:val="0"/>
        <w:jc w:val="left"/>
      </w:pP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甲方：中国人民财产保险股份有限公司吉林省分公司</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地址：吉林省长春市西安大路402号</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乙方：</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地址：</w:t>
      </w:r>
    </w:p>
    <w:p>
      <w:pPr>
        <w:keepNext w:val="0"/>
        <w:keepLines w:val="0"/>
        <w:widowControl/>
        <w:suppressLineNumbers w:val="0"/>
        <w:spacing w:after="240" w:afterAutospacing="0"/>
        <w:jc w:val="left"/>
      </w:pP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鉴于：</w:t>
      </w:r>
      <w:r>
        <w:rPr>
          <w:rFonts w:hint="eastAsia" w:ascii="宋体" w:hAnsi="宋体" w:eastAsia="宋体" w:cs="宋体"/>
          <w:i w:val="0"/>
          <w:iCs w:val="0"/>
          <w:caps w:val="0"/>
          <w:color w:val="3A3A3A"/>
          <w:spacing w:val="0"/>
          <w:kern w:val="0"/>
          <w:sz w:val="28"/>
          <w:szCs w:val="28"/>
          <w:shd w:val="clear" w:fill="FFFFFF"/>
          <w:lang w:val="en-US" w:eastAsia="zh-CN" w:bidi="ar"/>
        </w:rPr>
        <w:br w:type="textWrapping"/>
      </w:r>
      <w:r>
        <w:rPr>
          <w:rFonts w:hint="eastAsia" w:ascii="宋体" w:hAnsi="宋体" w:eastAsia="宋体" w:cs="宋体"/>
          <w:i w:val="0"/>
          <w:iCs w:val="0"/>
          <w:caps w:val="0"/>
          <w:color w:val="3A3A3A"/>
          <w:spacing w:val="0"/>
          <w:kern w:val="0"/>
          <w:sz w:val="28"/>
          <w:szCs w:val="28"/>
          <w:shd w:val="clear" w:fill="FFFFFF"/>
          <w:lang w:val="en-US" w:eastAsia="zh-CN" w:bidi="ar"/>
        </w:rPr>
        <w:t>   因业务需要，为此，甲、乙双方经友好协商，达成如下协议：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center"/>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商务部分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第一条 项目内容及要求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本合同项下甲乙双方约定的项目内容及要求见本合同【附件】。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第二条 合同价格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（一） 本合同服务费用总额为___元（大写）。合同价格明细见【附件】。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（三） 本合同付款安排见【附件】。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（四） 由于乙方未提供或未及时提供足额有效的增值税专用发票，或乙方变更账户信息但未提前通知甲方而导致的付款迟延，甲方不承担任何责任。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第三条 双方的权利和义务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除本合同约定的双方的权利义务外，甲乙双方在本合同项下的其他权利和义务见【附件】的约定。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第四条 违约责任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甲、乙任一方或双方违约的，违约一方应当向相对方承担相应的违约责任。违约责任的具体约定见【附件】。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center"/>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通用部分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第五条 双方的权利和义务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（一） 甲方的权利和义务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（1）甲方有权获得本合同项下乙方应提供的全部合格的服务；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（2）甲方有权在合同期内对乙方的产品及服务进行监督；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（3）乙方未按照合同约定履行义务的，甲方有权采取相应的措施；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（4）甲方应按照合同约定向乙方支付合同价款；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（5）甲方享有其它双方约定的权利、承担其它双方约定的义务。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（二） 乙方的权利和义务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（1）乙方有权获得甲方支付的合同价款；</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（2）乙方应按照合同约定向甲方提供全部合格的服务；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（3）乙方应当按照合同约定的期限及要求完成项目内容；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（5）乙方享有其它双方约定的权利、承担其它双方约定的义务。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第六条 禁止转让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未经甲方事先书面同意，乙方不得将其本合同项下之全部义务或其中一部分义务转让给第三方执行。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第七条 商标使用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未经甲方书面许可，乙方不得将甲方的商标、公司名称、标识等用于宣传和/或展示。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第八条 权利保证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第九条 违约责任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宋体" w:hAnsi="宋体" w:eastAsia="宋体" w:cs="宋体"/>
          <w:i w:val="0"/>
          <w:iCs w:val="0"/>
          <w:caps w:val="0"/>
          <w:color w:val="3A3A3A"/>
          <w:spacing w:val="0"/>
          <w:kern w:val="0"/>
          <w:sz w:val="28"/>
          <w:szCs w:val="28"/>
          <w:shd w:val="clear" w:fill="FFFFFF"/>
          <w:lang w:val="en-US" w:eastAsia="zh-CN" w:bidi="ar"/>
        </w:rPr>
      </w:pPr>
      <w:r>
        <w:rPr>
          <w:rFonts w:hint="eastAsia" w:ascii="宋体" w:hAnsi="宋体" w:eastAsia="宋体" w:cs="宋体"/>
          <w:i w:val="0"/>
          <w:iCs w:val="0"/>
          <w:caps w:val="0"/>
          <w:color w:val="3A3A3A"/>
          <w:spacing w:val="0"/>
          <w:kern w:val="0"/>
          <w:sz w:val="28"/>
          <w:szCs w:val="28"/>
          <w:shd w:val="clear" w:fill="FFFFFF"/>
          <w:lang w:val="en-US" w:eastAsia="zh-CN" w:bidi="ar"/>
        </w:rPr>
        <w:t>（一） 由于甲方原因不能按合同约定时间付款的，每延迟10个工作日，甲方按合同应付金额的_____1__%向乙方支付违约金。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（二） 乙方延迟交付的违约责任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（1）由于乙方原因造成项目延迟的，每延迟10个工作日，乙方向甲方支付违约金为合同服务费用总额的</w:t>
      </w:r>
      <w:r>
        <w:rPr>
          <w:rFonts w:hint="eastAsia" w:ascii="宋体" w:hAnsi="宋体" w:eastAsia="宋体" w:cs="宋体"/>
          <w:i w:val="0"/>
          <w:iCs w:val="0"/>
          <w:caps w:val="0"/>
          <w:color w:val="8B4513"/>
          <w:spacing w:val="0"/>
          <w:kern w:val="0"/>
          <w:sz w:val="28"/>
          <w:szCs w:val="28"/>
          <w:shd w:val="clear" w:fill="FFFFFF"/>
          <w:lang w:val="en-US" w:eastAsia="zh-CN" w:bidi="ar"/>
        </w:rPr>
        <w:t>1</w:t>
      </w:r>
      <w:r>
        <w:rPr>
          <w:rFonts w:hint="eastAsia" w:ascii="宋体" w:hAnsi="宋体" w:eastAsia="宋体" w:cs="宋体"/>
          <w:i w:val="0"/>
          <w:iCs w:val="0"/>
          <w:caps w:val="0"/>
          <w:color w:val="3A3A3A"/>
          <w:spacing w:val="0"/>
          <w:kern w:val="0"/>
          <w:sz w:val="28"/>
          <w:szCs w:val="28"/>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（2）由于乙方原因造成项目迟延，经甲方催促后乙方继续延误的，甲方有权单方面解除合同，乙方应按照合同服务费用总额的</w:t>
      </w:r>
      <w:r>
        <w:rPr>
          <w:rFonts w:hint="eastAsia" w:ascii="宋体" w:hAnsi="宋体" w:eastAsia="宋体" w:cs="宋体"/>
          <w:i w:val="0"/>
          <w:iCs w:val="0"/>
          <w:caps w:val="0"/>
          <w:color w:val="8B4513"/>
          <w:spacing w:val="0"/>
          <w:kern w:val="0"/>
          <w:sz w:val="28"/>
          <w:szCs w:val="28"/>
          <w:shd w:val="clear" w:fill="FFFFFF"/>
          <w:lang w:val="en-US" w:eastAsia="zh-CN" w:bidi="ar"/>
        </w:rPr>
        <w:t>1</w:t>
      </w:r>
      <w:r>
        <w:rPr>
          <w:rFonts w:hint="eastAsia" w:ascii="宋体" w:hAnsi="宋体" w:eastAsia="宋体" w:cs="宋体"/>
          <w:i w:val="0"/>
          <w:iCs w:val="0"/>
          <w:caps w:val="0"/>
          <w:color w:val="3A3A3A"/>
          <w:spacing w:val="0"/>
          <w:kern w:val="0"/>
          <w:sz w:val="28"/>
          <w:szCs w:val="28"/>
          <w:shd w:val="clear" w:fill="FFFFFF"/>
          <w:lang w:val="en-US" w:eastAsia="zh-CN" w:bidi="ar"/>
        </w:rPr>
        <w:t>%向甲方支付违约金，并赔偿由此引起的甲方全部损失。</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（二） 验收不合格并且乙方在甲方指定期限内无法完成整改、提交合格的工作成果的，乙方应向甲方支付合同服务费用总额</w:t>
      </w:r>
      <w:r>
        <w:rPr>
          <w:rFonts w:hint="eastAsia" w:ascii="宋体" w:hAnsi="宋体" w:eastAsia="宋体" w:cs="宋体"/>
          <w:i w:val="0"/>
          <w:iCs w:val="0"/>
          <w:caps w:val="0"/>
          <w:color w:val="8B4513"/>
          <w:spacing w:val="0"/>
          <w:kern w:val="0"/>
          <w:sz w:val="28"/>
          <w:szCs w:val="28"/>
          <w:shd w:val="clear" w:fill="FFFFFF"/>
          <w:lang w:val="en-US" w:eastAsia="zh-CN" w:bidi="ar"/>
        </w:rPr>
        <w:t>1</w:t>
      </w:r>
      <w:r>
        <w:rPr>
          <w:rFonts w:hint="eastAsia" w:ascii="宋体" w:hAnsi="宋体" w:eastAsia="宋体" w:cs="宋体"/>
          <w:i w:val="0"/>
          <w:iCs w:val="0"/>
          <w:caps w:val="0"/>
          <w:color w:val="3A3A3A"/>
          <w:spacing w:val="0"/>
          <w:kern w:val="0"/>
          <w:sz w:val="28"/>
          <w:szCs w:val="28"/>
          <w:shd w:val="clear" w:fill="FFFFFF"/>
          <w:lang w:val="en-US" w:eastAsia="zh-CN" w:bidi="ar"/>
        </w:rPr>
        <w:t>%的违约金，并赔偿由此引起的甲方全部损失。</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（三） 如果乙方违反本合同约定的保密义务，乙方应向甲方支付相当于合同服务费用总额</w:t>
      </w:r>
      <w:r>
        <w:rPr>
          <w:rFonts w:hint="eastAsia" w:ascii="宋体" w:hAnsi="宋体" w:eastAsia="宋体" w:cs="宋体"/>
          <w:i w:val="0"/>
          <w:iCs w:val="0"/>
          <w:caps w:val="0"/>
          <w:color w:val="8B4513"/>
          <w:spacing w:val="0"/>
          <w:kern w:val="0"/>
          <w:sz w:val="28"/>
          <w:szCs w:val="28"/>
          <w:shd w:val="clear" w:fill="FFFFFF"/>
          <w:lang w:val="en-US" w:eastAsia="zh-CN" w:bidi="ar"/>
        </w:rPr>
        <w:t>1</w:t>
      </w:r>
      <w:r>
        <w:rPr>
          <w:rFonts w:hint="eastAsia" w:ascii="宋体" w:hAnsi="宋体" w:eastAsia="宋体" w:cs="宋体"/>
          <w:i w:val="0"/>
          <w:iCs w:val="0"/>
          <w:caps w:val="0"/>
          <w:color w:val="3A3A3A"/>
          <w:spacing w:val="0"/>
          <w:kern w:val="0"/>
          <w:sz w:val="28"/>
          <w:szCs w:val="28"/>
          <w:shd w:val="clear" w:fill="FFFFFF"/>
          <w:lang w:val="en-US" w:eastAsia="zh-CN" w:bidi="ar"/>
        </w:rPr>
        <w:t>%的违约金，甲方受到的损失超出违约金的部分，由乙方继续承担赔偿责任。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（四） 除本合同的约定外，因乙方的违约行为给甲方造成损失的，乙方应向甲方支付相当于合同服务费用总额</w:t>
      </w:r>
      <w:r>
        <w:rPr>
          <w:rFonts w:hint="eastAsia" w:ascii="宋体" w:hAnsi="宋体" w:eastAsia="宋体" w:cs="宋体"/>
          <w:i w:val="0"/>
          <w:iCs w:val="0"/>
          <w:caps w:val="0"/>
          <w:color w:val="8B4513"/>
          <w:spacing w:val="0"/>
          <w:kern w:val="0"/>
          <w:sz w:val="28"/>
          <w:szCs w:val="28"/>
          <w:shd w:val="clear" w:fill="FFFFFF"/>
          <w:lang w:val="en-US" w:eastAsia="zh-CN" w:bidi="ar"/>
        </w:rPr>
        <w:t>1</w:t>
      </w:r>
      <w:r>
        <w:rPr>
          <w:rFonts w:hint="eastAsia" w:ascii="宋体" w:hAnsi="宋体" w:eastAsia="宋体" w:cs="宋体"/>
          <w:i w:val="0"/>
          <w:iCs w:val="0"/>
          <w:caps w:val="0"/>
          <w:color w:val="3A3A3A"/>
          <w:spacing w:val="0"/>
          <w:kern w:val="0"/>
          <w:sz w:val="28"/>
          <w:szCs w:val="28"/>
          <w:shd w:val="clear" w:fill="FFFFFF"/>
          <w:lang w:val="en-US" w:eastAsia="zh-CN" w:bidi="ar"/>
        </w:rPr>
        <w:t>%的违约金，如甲方受到的损失超过违约金的，超出部分由乙方继续承担赔偿责任。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第十条 保密义务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（二） 乙方在本合同中所受领的保密信息应及时返还甲方或在甲方监督下予以销毁。乙方擅自留存备份信息，视为违反保密约定。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（三） 无论本合同因何种原因终止，本保密条款依然有效。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第十一条 不可抗力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（三） 合同一方迟延履行后发生不可抗力的，不能免除其责任。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第十二条 合同变更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对本合同的任何变更或补充，须经甲乙双方协商一致，并另行签订书面补充协议。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第十三条 合同特别终止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（一） 甲乙双方同意在乙方出现下列情形时，甲方可以书面形式通知乙方（或者乙方的破产清算组或相关管理人）提出终止合同而不向其提供任何补偿：</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（1）乙方破产、解散（包括但不限于乙方股东会决议解散、乙方被吊销营业执照、被责令关闭、被撤销、被司法机关裁决解散等情形）；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（二） 如果因上述原因导致本合同终止，甲方已经采取或者将要采取任何补救措施的权利不受任何影响。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第十四条 法律适用与争议解决</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（一） 本合同的订立、效力、解释、履行和争议的解决均适用中华人民共和国法律（不包括港澳台地区法律）。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（二） 凡因本合同引起的或与本合同有关的任何争议，双方首先应友好协商解决。协商不成的，任何一方均可向甲方所在地有管辖权的法院提起诉讼。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第十五条 合同生效及其他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（一） 本合同经甲乙双方法定代表人或授权代表签字并加盖公章或合同专用章后生效。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（二） 合同期限自</w:t>
      </w:r>
      <w:r>
        <w:rPr>
          <w:rFonts w:hint="eastAsia" w:ascii="宋体" w:hAnsi="宋体" w:eastAsia="宋体" w:cs="宋体"/>
          <w:i w:val="0"/>
          <w:iCs w:val="0"/>
          <w:caps w:val="0"/>
          <w:color w:val="8B4513"/>
          <w:spacing w:val="0"/>
          <w:kern w:val="0"/>
          <w:sz w:val="28"/>
          <w:szCs w:val="28"/>
          <w:shd w:val="clear" w:fill="FFFFFF"/>
          <w:lang w:val="en-US" w:eastAsia="zh-CN" w:bidi="ar"/>
        </w:rPr>
        <w:t>202X</w:t>
      </w:r>
      <w:r>
        <w:rPr>
          <w:rFonts w:hint="eastAsia" w:ascii="宋体" w:hAnsi="宋体" w:eastAsia="宋体" w:cs="宋体"/>
          <w:i w:val="0"/>
          <w:iCs w:val="0"/>
          <w:caps w:val="0"/>
          <w:color w:val="3A3A3A"/>
          <w:spacing w:val="0"/>
          <w:kern w:val="0"/>
          <w:sz w:val="28"/>
          <w:szCs w:val="28"/>
          <w:shd w:val="clear" w:fill="FFFFFF"/>
          <w:lang w:val="en-US" w:eastAsia="zh-CN" w:bidi="ar"/>
        </w:rPr>
        <w:t>年X月</w:t>
      </w:r>
      <w:r>
        <w:rPr>
          <w:rFonts w:hint="eastAsia" w:ascii="宋体" w:hAnsi="宋体" w:eastAsia="宋体" w:cs="宋体"/>
          <w:i w:val="0"/>
          <w:iCs w:val="0"/>
          <w:caps w:val="0"/>
          <w:color w:val="8B4513"/>
          <w:spacing w:val="0"/>
          <w:kern w:val="0"/>
          <w:sz w:val="28"/>
          <w:szCs w:val="28"/>
          <w:shd w:val="clear" w:fill="FFFFFF"/>
          <w:lang w:val="en-US" w:eastAsia="zh-CN" w:bidi="ar"/>
        </w:rPr>
        <w:t>X</w:t>
      </w:r>
      <w:r>
        <w:rPr>
          <w:rFonts w:hint="eastAsia" w:ascii="宋体" w:hAnsi="宋体" w:eastAsia="宋体" w:cs="宋体"/>
          <w:i w:val="0"/>
          <w:iCs w:val="0"/>
          <w:caps w:val="0"/>
          <w:color w:val="3A3A3A"/>
          <w:spacing w:val="0"/>
          <w:kern w:val="0"/>
          <w:sz w:val="28"/>
          <w:szCs w:val="28"/>
          <w:shd w:val="clear" w:fill="FFFFFF"/>
          <w:lang w:val="en-US" w:eastAsia="zh-CN" w:bidi="ar"/>
        </w:rPr>
        <w:t>日始，至</w:t>
      </w:r>
      <w:r>
        <w:rPr>
          <w:rFonts w:hint="eastAsia" w:ascii="宋体" w:hAnsi="宋体" w:eastAsia="宋体" w:cs="宋体"/>
          <w:i w:val="0"/>
          <w:iCs w:val="0"/>
          <w:caps w:val="0"/>
          <w:color w:val="8B4513"/>
          <w:spacing w:val="0"/>
          <w:kern w:val="0"/>
          <w:sz w:val="28"/>
          <w:szCs w:val="28"/>
          <w:shd w:val="clear" w:fill="FFFFFF"/>
          <w:lang w:val="en-US" w:eastAsia="zh-CN" w:bidi="ar"/>
        </w:rPr>
        <w:t>202X</w:t>
      </w:r>
      <w:r>
        <w:rPr>
          <w:rFonts w:hint="eastAsia" w:ascii="宋体" w:hAnsi="宋体" w:eastAsia="宋体" w:cs="宋体"/>
          <w:i w:val="0"/>
          <w:iCs w:val="0"/>
          <w:caps w:val="0"/>
          <w:color w:val="3A3A3A"/>
          <w:spacing w:val="0"/>
          <w:kern w:val="0"/>
          <w:sz w:val="28"/>
          <w:szCs w:val="28"/>
          <w:shd w:val="clear" w:fill="FFFFFF"/>
          <w:lang w:val="en-US" w:eastAsia="zh-CN" w:bidi="ar"/>
        </w:rPr>
        <w:t>年X月X日止。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（三） 本合同一式</w:t>
      </w:r>
      <w:r>
        <w:rPr>
          <w:rFonts w:hint="eastAsia" w:ascii="宋体" w:hAnsi="宋体" w:eastAsia="宋体" w:cs="宋体"/>
          <w:i w:val="0"/>
          <w:iCs w:val="0"/>
          <w:caps w:val="0"/>
          <w:color w:val="8B4513"/>
          <w:spacing w:val="0"/>
          <w:kern w:val="0"/>
          <w:sz w:val="28"/>
          <w:szCs w:val="28"/>
          <w:shd w:val="clear" w:fill="FFFFFF"/>
          <w:lang w:val="en-US" w:eastAsia="zh-CN" w:bidi="ar"/>
        </w:rPr>
        <w:t>4</w:t>
      </w:r>
      <w:r>
        <w:rPr>
          <w:rFonts w:hint="eastAsia" w:ascii="宋体" w:hAnsi="宋体" w:eastAsia="宋体" w:cs="宋体"/>
          <w:i w:val="0"/>
          <w:iCs w:val="0"/>
          <w:caps w:val="0"/>
          <w:color w:val="3A3A3A"/>
          <w:spacing w:val="0"/>
          <w:kern w:val="0"/>
          <w:sz w:val="28"/>
          <w:szCs w:val="28"/>
          <w:shd w:val="clear" w:fill="FFFFFF"/>
          <w:lang w:val="en-US" w:eastAsia="zh-CN" w:bidi="ar"/>
        </w:rPr>
        <w:t>份，其中正本</w:t>
      </w:r>
      <w:r>
        <w:rPr>
          <w:rFonts w:hint="eastAsia" w:ascii="宋体" w:hAnsi="宋体" w:eastAsia="宋体" w:cs="宋体"/>
          <w:i w:val="0"/>
          <w:iCs w:val="0"/>
          <w:caps w:val="0"/>
          <w:color w:val="8B4513"/>
          <w:spacing w:val="0"/>
          <w:kern w:val="0"/>
          <w:sz w:val="28"/>
          <w:szCs w:val="28"/>
          <w:shd w:val="clear" w:fill="FFFFFF"/>
          <w:lang w:val="en-US" w:eastAsia="zh-CN" w:bidi="ar"/>
        </w:rPr>
        <w:t>4</w:t>
      </w:r>
      <w:r>
        <w:rPr>
          <w:rFonts w:hint="eastAsia" w:ascii="宋体" w:hAnsi="宋体" w:eastAsia="宋体" w:cs="宋体"/>
          <w:i w:val="0"/>
          <w:iCs w:val="0"/>
          <w:caps w:val="0"/>
          <w:color w:val="3A3A3A"/>
          <w:spacing w:val="0"/>
          <w:kern w:val="0"/>
          <w:sz w:val="28"/>
          <w:szCs w:val="28"/>
          <w:shd w:val="clear" w:fill="FFFFFF"/>
          <w:lang w:val="en-US" w:eastAsia="zh-CN" w:bidi="ar"/>
        </w:rPr>
        <w:t>份，副本</w:t>
      </w:r>
      <w:r>
        <w:rPr>
          <w:rFonts w:hint="eastAsia" w:ascii="宋体" w:hAnsi="宋体" w:eastAsia="宋体" w:cs="宋体"/>
          <w:i w:val="0"/>
          <w:iCs w:val="0"/>
          <w:caps w:val="0"/>
          <w:color w:val="8B4513"/>
          <w:spacing w:val="0"/>
          <w:kern w:val="0"/>
          <w:sz w:val="28"/>
          <w:szCs w:val="28"/>
          <w:shd w:val="clear" w:fill="FFFFFF"/>
          <w:lang w:val="en-US" w:eastAsia="zh-CN" w:bidi="ar"/>
        </w:rPr>
        <w:t>0</w:t>
      </w:r>
      <w:r>
        <w:rPr>
          <w:rFonts w:hint="eastAsia" w:ascii="宋体" w:hAnsi="宋体" w:eastAsia="宋体" w:cs="宋体"/>
          <w:i w:val="0"/>
          <w:iCs w:val="0"/>
          <w:caps w:val="0"/>
          <w:color w:val="3A3A3A"/>
          <w:spacing w:val="0"/>
          <w:kern w:val="0"/>
          <w:sz w:val="28"/>
          <w:szCs w:val="28"/>
          <w:shd w:val="clear" w:fill="FFFFFF"/>
          <w:lang w:val="en-US" w:eastAsia="zh-CN" w:bidi="ar"/>
        </w:rPr>
        <w:t>份。甲方执</w:t>
      </w:r>
      <w:r>
        <w:rPr>
          <w:rFonts w:hint="eastAsia" w:ascii="宋体" w:hAnsi="宋体" w:eastAsia="宋体" w:cs="宋体"/>
          <w:i w:val="0"/>
          <w:iCs w:val="0"/>
          <w:caps w:val="0"/>
          <w:color w:val="8B4513"/>
          <w:spacing w:val="0"/>
          <w:kern w:val="0"/>
          <w:sz w:val="28"/>
          <w:szCs w:val="28"/>
          <w:shd w:val="clear" w:fill="FFFFFF"/>
          <w:lang w:val="en-US" w:eastAsia="zh-CN" w:bidi="ar"/>
        </w:rPr>
        <w:t>2</w:t>
      </w:r>
      <w:r>
        <w:rPr>
          <w:rFonts w:hint="eastAsia" w:ascii="宋体" w:hAnsi="宋体" w:eastAsia="宋体" w:cs="宋体"/>
          <w:i w:val="0"/>
          <w:iCs w:val="0"/>
          <w:caps w:val="0"/>
          <w:color w:val="3A3A3A"/>
          <w:spacing w:val="0"/>
          <w:kern w:val="0"/>
          <w:sz w:val="28"/>
          <w:szCs w:val="28"/>
          <w:shd w:val="clear" w:fill="FFFFFF"/>
          <w:lang w:val="en-US" w:eastAsia="zh-CN" w:bidi="ar"/>
        </w:rPr>
        <w:t>份正本，</w:t>
      </w:r>
      <w:r>
        <w:rPr>
          <w:rFonts w:hint="eastAsia" w:ascii="宋体" w:hAnsi="宋体" w:eastAsia="宋体" w:cs="宋体"/>
          <w:i w:val="0"/>
          <w:iCs w:val="0"/>
          <w:caps w:val="0"/>
          <w:color w:val="8B4513"/>
          <w:spacing w:val="0"/>
          <w:kern w:val="0"/>
          <w:sz w:val="28"/>
          <w:szCs w:val="28"/>
          <w:shd w:val="clear" w:fill="FFFFFF"/>
          <w:lang w:val="en-US" w:eastAsia="zh-CN" w:bidi="ar"/>
        </w:rPr>
        <w:t>0</w:t>
      </w:r>
      <w:r>
        <w:rPr>
          <w:rFonts w:hint="eastAsia" w:ascii="宋体" w:hAnsi="宋体" w:eastAsia="宋体" w:cs="宋体"/>
          <w:i w:val="0"/>
          <w:iCs w:val="0"/>
          <w:caps w:val="0"/>
          <w:color w:val="3A3A3A"/>
          <w:spacing w:val="0"/>
          <w:kern w:val="0"/>
          <w:sz w:val="28"/>
          <w:szCs w:val="28"/>
          <w:shd w:val="clear" w:fill="FFFFFF"/>
          <w:lang w:val="en-US" w:eastAsia="zh-CN" w:bidi="ar"/>
        </w:rPr>
        <w:t>份副本；乙方执</w:t>
      </w:r>
      <w:r>
        <w:rPr>
          <w:rFonts w:hint="eastAsia" w:ascii="宋体" w:hAnsi="宋体" w:eastAsia="宋体" w:cs="宋体"/>
          <w:i w:val="0"/>
          <w:iCs w:val="0"/>
          <w:caps w:val="0"/>
          <w:color w:val="8B4513"/>
          <w:spacing w:val="0"/>
          <w:kern w:val="0"/>
          <w:sz w:val="28"/>
          <w:szCs w:val="28"/>
          <w:shd w:val="clear" w:fill="FFFFFF"/>
          <w:lang w:val="en-US" w:eastAsia="zh-CN" w:bidi="ar"/>
        </w:rPr>
        <w:t>2</w:t>
      </w:r>
      <w:r>
        <w:rPr>
          <w:rFonts w:hint="eastAsia" w:ascii="宋体" w:hAnsi="宋体" w:eastAsia="宋体" w:cs="宋体"/>
          <w:i w:val="0"/>
          <w:iCs w:val="0"/>
          <w:caps w:val="0"/>
          <w:color w:val="3A3A3A"/>
          <w:spacing w:val="0"/>
          <w:kern w:val="0"/>
          <w:sz w:val="28"/>
          <w:szCs w:val="28"/>
          <w:shd w:val="clear" w:fill="FFFFFF"/>
          <w:lang w:val="en-US" w:eastAsia="zh-CN" w:bidi="ar"/>
        </w:rPr>
        <w:t>份正本，</w:t>
      </w:r>
      <w:r>
        <w:rPr>
          <w:rFonts w:hint="eastAsia" w:ascii="宋体" w:hAnsi="宋体" w:eastAsia="宋体" w:cs="宋体"/>
          <w:i w:val="0"/>
          <w:iCs w:val="0"/>
          <w:caps w:val="0"/>
          <w:color w:val="8B4513"/>
          <w:spacing w:val="0"/>
          <w:kern w:val="0"/>
          <w:sz w:val="28"/>
          <w:szCs w:val="28"/>
          <w:shd w:val="clear" w:fill="FFFFFF"/>
          <w:lang w:val="en-US" w:eastAsia="zh-CN" w:bidi="ar"/>
        </w:rPr>
        <w:t>0</w:t>
      </w:r>
      <w:r>
        <w:rPr>
          <w:rFonts w:hint="eastAsia" w:ascii="宋体" w:hAnsi="宋体" w:eastAsia="宋体" w:cs="宋体"/>
          <w:i w:val="0"/>
          <w:iCs w:val="0"/>
          <w:caps w:val="0"/>
          <w:color w:val="3A3A3A"/>
          <w:spacing w:val="0"/>
          <w:kern w:val="0"/>
          <w:sz w:val="28"/>
          <w:szCs w:val="28"/>
          <w:shd w:val="clear" w:fill="FFFFFF"/>
          <w:lang w:val="en-US" w:eastAsia="zh-CN" w:bidi="ar"/>
        </w:rPr>
        <w:t>份副本。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i w:val="0"/>
          <w:iCs w:val="0"/>
          <w:caps w:val="0"/>
          <w:color w:val="3A3A3A"/>
          <w:spacing w:val="0"/>
          <w:kern w:val="0"/>
          <w:sz w:val="28"/>
          <w:szCs w:val="28"/>
          <w:shd w:val="clear" w:fill="FFFFFF"/>
          <w:lang w:val="en-US" w:eastAsia="zh-CN" w:bidi="ar"/>
        </w:rPr>
        <w:t>（六） 由于法律和法规、政策而导致本合同任何条款无效或无法执行，则该条款无效，但不影响剩余其他条款的效力。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Calibri" w:hAnsi="Calibri" w:cs="Calibri"/>
          <w:i w:val="0"/>
          <w:iCs w:val="0"/>
          <w:caps w:val="0"/>
          <w:color w:val="3A3A3A"/>
          <w:spacing w:val="0"/>
          <w:sz w:val="21"/>
          <w:szCs w:val="21"/>
        </w:rPr>
      </w:pPr>
      <w:r>
        <w:rPr>
          <w:rFonts w:hint="eastAsia" w:ascii="宋体" w:hAnsi="宋体" w:eastAsia="宋体" w:cs="宋体"/>
          <w:b/>
          <w:bCs/>
          <w:i w:val="0"/>
          <w:iCs w:val="0"/>
          <w:caps w:val="0"/>
          <w:color w:val="3A3A3A"/>
          <w:spacing w:val="0"/>
          <w:kern w:val="0"/>
          <w:sz w:val="28"/>
          <w:szCs w:val="28"/>
          <w:shd w:val="clear" w:fill="FFFFFF"/>
          <w:lang w:val="en-US" w:eastAsia="zh-CN" w:bidi="ar"/>
        </w:rPr>
        <w:t>第十六条 附件的组成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eastAsia" w:ascii="宋体" w:hAnsi="宋体" w:eastAsia="宋体" w:cs="宋体"/>
          <w:i w:val="0"/>
          <w:iCs w:val="0"/>
          <w:caps w:val="0"/>
          <w:color w:val="3A3A3A"/>
          <w:spacing w:val="0"/>
          <w:kern w:val="0"/>
          <w:sz w:val="28"/>
          <w:szCs w:val="28"/>
          <w:shd w:val="clear" w:fill="FFFFFF"/>
          <w:lang w:val="en-US" w:eastAsia="zh-CN" w:bidi="ar"/>
        </w:rPr>
      </w:pPr>
      <w:r>
        <w:rPr>
          <w:rFonts w:hint="eastAsia" w:ascii="宋体" w:hAnsi="宋体" w:eastAsia="宋体" w:cs="宋体"/>
          <w:i w:val="0"/>
          <w:iCs w:val="0"/>
          <w:caps w:val="0"/>
          <w:color w:val="3A3A3A"/>
          <w:spacing w:val="0"/>
          <w:kern w:val="0"/>
          <w:sz w:val="28"/>
          <w:szCs w:val="28"/>
          <w:shd w:val="clear" w:fill="FFFFFF"/>
          <w:lang w:val="en-US" w:eastAsia="zh-CN" w:bidi="ar"/>
        </w:rPr>
        <w:t>附件1：合同标的物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525"/>
        <w:jc w:val="left"/>
        <w:rPr>
          <w:rFonts w:hint="default" w:ascii="宋体" w:hAnsi="宋体" w:eastAsia="宋体" w:cs="宋体"/>
          <w:i w:val="0"/>
          <w:iCs w:val="0"/>
          <w:caps w:val="0"/>
          <w:color w:val="3A3A3A"/>
          <w:spacing w:val="0"/>
          <w:kern w:val="0"/>
          <w:sz w:val="28"/>
          <w:szCs w:val="28"/>
          <w:shd w:val="clear" w:fill="FFFFFF"/>
          <w:lang w:val="en-US" w:eastAsia="zh-CN" w:bidi="ar"/>
        </w:rPr>
      </w:pPr>
      <w:r>
        <w:rPr>
          <w:rFonts w:hint="eastAsia" w:ascii="宋体" w:hAnsi="宋体" w:eastAsia="宋体" w:cs="宋体"/>
          <w:i w:val="0"/>
          <w:iCs w:val="0"/>
          <w:caps w:val="0"/>
          <w:color w:val="3A3A3A"/>
          <w:spacing w:val="0"/>
          <w:kern w:val="0"/>
          <w:sz w:val="28"/>
          <w:szCs w:val="28"/>
          <w:shd w:val="clear" w:fill="FFFFFF"/>
          <w:lang w:val="en-US" w:eastAsia="zh-CN" w:bidi="ar"/>
        </w:rPr>
        <w:t>附件</w:t>
      </w:r>
      <w:r>
        <w:rPr>
          <w:rFonts w:hint="eastAsia" w:ascii="宋体" w:hAnsi="宋体" w:cs="宋体"/>
          <w:i w:val="0"/>
          <w:iCs w:val="0"/>
          <w:caps w:val="0"/>
          <w:color w:val="3A3A3A"/>
          <w:spacing w:val="0"/>
          <w:kern w:val="0"/>
          <w:sz w:val="28"/>
          <w:szCs w:val="28"/>
          <w:shd w:val="clear" w:fill="FFFFFF"/>
          <w:lang w:val="en-US" w:eastAsia="zh-CN" w:bidi="ar"/>
        </w:rPr>
        <w:t>2</w:t>
      </w:r>
      <w:r>
        <w:rPr>
          <w:rFonts w:hint="eastAsia" w:ascii="宋体" w:hAnsi="宋体" w:eastAsia="宋体" w:cs="宋体"/>
          <w:i w:val="0"/>
          <w:iCs w:val="0"/>
          <w:caps w:val="0"/>
          <w:color w:val="3A3A3A"/>
          <w:spacing w:val="0"/>
          <w:kern w:val="0"/>
          <w:sz w:val="28"/>
          <w:szCs w:val="28"/>
          <w:shd w:val="clear" w:fill="FFFFFF"/>
          <w:lang w:val="en-US" w:eastAsia="zh-CN" w:bidi="ar"/>
        </w:rPr>
        <w:t>：</w:t>
      </w:r>
      <w:r>
        <w:rPr>
          <w:rFonts w:hint="eastAsia" w:ascii="宋体" w:hAnsi="宋体" w:cs="宋体"/>
          <w:i w:val="0"/>
          <w:iCs w:val="0"/>
          <w:caps w:val="0"/>
          <w:color w:val="3A3A3A"/>
          <w:spacing w:val="0"/>
          <w:kern w:val="0"/>
          <w:sz w:val="28"/>
          <w:szCs w:val="28"/>
          <w:shd w:val="clear" w:fill="FFFFFF"/>
          <w:lang w:val="en-US" w:eastAsia="zh-CN" w:bidi="ar"/>
        </w:rPr>
        <w:t>付款</w:t>
      </w:r>
    </w:p>
    <w:p>
      <w:pPr>
        <w:pStyle w:val="2"/>
        <w:rPr>
          <w:rFonts w:hint="default"/>
          <w:lang w:val="en-US"/>
        </w:rPr>
      </w:pPr>
    </w:p>
    <w:p>
      <w:pPr>
        <w:pStyle w:val="2"/>
        <w:jc w:val="both"/>
        <w:rPr>
          <w:rFonts w:hint="eastAsia" w:ascii="仿宋" w:hAnsi="仿宋" w:eastAsia="仿宋" w:cs="仿宋"/>
          <w:color w:val="FF0000"/>
          <w:sz w:val="28"/>
          <w:szCs w:val="28"/>
          <w:highlight w:val="none"/>
          <w:lang w:val="en-US" w:eastAsia="zh-CN"/>
        </w:rPr>
      </w:pPr>
    </w:p>
    <w:p>
      <w:pPr>
        <w:pStyle w:val="2"/>
        <w:rPr>
          <w:rFonts w:hint="eastAsia" w:ascii="仿宋" w:hAnsi="仿宋" w:eastAsia="仿宋" w:cs="仿宋"/>
          <w:color w:val="FF0000"/>
          <w:sz w:val="28"/>
          <w:szCs w:val="28"/>
          <w:highlight w:val="none"/>
          <w:lang w:val="en-US" w:eastAsia="zh-CN"/>
        </w:rPr>
      </w:pPr>
    </w:p>
    <w:p>
      <w:pPr>
        <w:pStyle w:val="2"/>
        <w:rPr>
          <w:rFonts w:hint="eastAsia" w:ascii="仿宋" w:hAnsi="仿宋" w:eastAsia="仿宋" w:cs="仿宋"/>
          <w:color w:val="FF0000"/>
          <w:sz w:val="28"/>
          <w:szCs w:val="28"/>
          <w:highlight w:val="none"/>
          <w:lang w:val="en-US" w:eastAsia="zh-CN"/>
        </w:rPr>
      </w:pPr>
    </w:p>
    <w:p>
      <w:pPr>
        <w:pStyle w:val="2"/>
        <w:rPr>
          <w:rFonts w:hint="eastAsia" w:ascii="仿宋" w:hAnsi="仿宋" w:eastAsia="仿宋" w:cs="仿宋"/>
          <w:color w:val="FF0000"/>
          <w:sz w:val="28"/>
          <w:szCs w:val="28"/>
          <w:highlight w:val="none"/>
          <w:lang w:val="en-US" w:eastAsia="zh-CN"/>
        </w:rPr>
      </w:pPr>
    </w:p>
    <w:p>
      <w:pPr>
        <w:pStyle w:val="2"/>
        <w:rPr>
          <w:rFonts w:hint="eastAsia" w:ascii="仿宋" w:hAnsi="仿宋" w:eastAsia="仿宋" w:cs="仿宋"/>
          <w:color w:val="FF0000"/>
          <w:sz w:val="28"/>
          <w:szCs w:val="28"/>
          <w:highlight w:val="none"/>
          <w:lang w:val="en-US" w:eastAsia="zh-CN"/>
        </w:rPr>
      </w:pPr>
    </w:p>
    <w:p>
      <w:pPr>
        <w:pStyle w:val="2"/>
        <w:rPr>
          <w:rFonts w:hint="eastAsia" w:ascii="仿宋" w:hAnsi="仿宋" w:eastAsia="仿宋" w:cs="仿宋"/>
          <w:color w:val="FF0000"/>
          <w:sz w:val="28"/>
          <w:szCs w:val="28"/>
          <w:highlight w:val="none"/>
          <w:lang w:val="en-US" w:eastAsia="zh-CN"/>
        </w:rPr>
      </w:pPr>
    </w:p>
    <w:p>
      <w:pPr>
        <w:pStyle w:val="2"/>
        <w:jc w:val="both"/>
        <w:rPr>
          <w:rFonts w:hint="eastAsia" w:ascii="仿宋" w:hAnsi="仿宋" w:eastAsia="仿宋" w:cs="仿宋"/>
          <w:color w:val="FF0000"/>
          <w:sz w:val="28"/>
          <w:szCs w:val="28"/>
          <w:highlight w:val="none"/>
          <w:lang w:val="en-US" w:eastAsia="zh-CN"/>
        </w:rPr>
      </w:pPr>
    </w:p>
    <w:p>
      <w:pPr>
        <w:pStyle w:val="2"/>
        <w:jc w:val="both"/>
        <w:rPr>
          <w:rFonts w:hint="eastAsia" w:ascii="仿宋" w:hAnsi="仿宋" w:eastAsia="仿宋" w:cs="仿宋"/>
          <w:color w:val="000000" w:themeColor="text1"/>
          <w:sz w:val="28"/>
          <w:szCs w:val="28"/>
          <w:highlight w:val="none"/>
          <w:lang w:val="en-US" w:eastAsia="zh-CN"/>
          <w14:textFill>
            <w14:solidFill>
              <w14:schemeClr w14:val="tx1"/>
            </w14:solidFill>
          </w14:textFill>
        </w:rPr>
      </w:pPr>
    </w:p>
    <w:p>
      <w:pPr>
        <w:pStyle w:val="3"/>
        <w:numPr>
          <w:ilvl w:val="0"/>
          <w:numId w:val="5"/>
        </w:numPr>
        <w:spacing w:before="0" w:after="0"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bookmarkStart w:id="139" w:name="_Toc14754"/>
      <w:r>
        <w:rPr>
          <w:rFonts w:hint="eastAsia" w:ascii="仿宋" w:hAnsi="仿宋" w:eastAsia="仿宋" w:cs="仿宋"/>
          <w:color w:val="000000" w:themeColor="text1"/>
          <w:sz w:val="28"/>
          <w:szCs w:val="28"/>
          <w:highlight w:val="none"/>
          <w14:textFill>
            <w14:solidFill>
              <w14:schemeClr w14:val="tx1"/>
            </w14:solidFill>
          </w14:textFill>
        </w:rPr>
        <w:t>采购需求</w:t>
      </w:r>
      <w:bookmarkEnd w:id="138"/>
      <w:bookmarkEnd w:id="139"/>
    </w:p>
    <w:p>
      <w:pPr>
        <w:numPr>
          <w:ilvl w:val="0"/>
          <w:numId w:val="0"/>
        </w:numPr>
        <w:rPr>
          <w:rFonts w:hint="eastAsia"/>
        </w:rPr>
      </w:pPr>
    </w:p>
    <w:p>
      <w:pPr>
        <w:spacing w:line="360" w:lineRule="auto"/>
        <w:ind w:firstLine="640" w:firstLineChars="200"/>
        <w:rPr>
          <w:rFonts w:hint="eastAsia" w:ascii="仿宋_GB2312" w:hAnsi="楷体" w:eastAsia="仿宋_GB2312"/>
          <w:b w:val="0"/>
          <w:bCs/>
          <w:sz w:val="32"/>
          <w:szCs w:val="32"/>
          <w:lang w:val="en-US" w:eastAsia="zh-CN"/>
        </w:rPr>
      </w:pPr>
      <w:r>
        <w:rPr>
          <w:rFonts w:hint="eastAsia" w:ascii="仿宋_GB2312" w:hAnsi="楷体" w:eastAsia="仿宋_GB2312"/>
          <w:b w:val="0"/>
          <w:bCs/>
          <w:sz w:val="32"/>
          <w:szCs w:val="32"/>
          <w:lang w:val="en-US" w:eastAsia="zh-CN"/>
        </w:rPr>
        <w:t>我公司拟选取一家具有等保测评资质的服务商为我公司提供两个自建系统的等级保护测评和备案相关服务。投标人应能通过访谈、核查、测试等三种不同技术手段对目标系统进行充分测评，对测评过程中发现的各类问题定期汇报，并给出整改建议。项目预算为12万元。具体服务内容及要求如下：</w:t>
      </w:r>
    </w:p>
    <w:p>
      <w:pPr>
        <w:spacing w:line="600" w:lineRule="exact"/>
        <w:ind w:firstLine="640" w:firstLineChars="200"/>
        <w:rPr>
          <w:rFonts w:hint="eastAsia" w:ascii="仿宋_GB2312" w:hAnsi="楷体" w:eastAsia="仿宋_GB2312"/>
          <w:b w:val="0"/>
          <w:bCs/>
          <w:sz w:val="32"/>
          <w:szCs w:val="32"/>
          <w:lang w:val="en-US" w:eastAsia="zh-CN"/>
        </w:rPr>
      </w:pPr>
      <w:r>
        <w:rPr>
          <w:rFonts w:hint="eastAsia" w:ascii="仿宋_GB2312" w:hAnsi="楷体" w:eastAsia="仿宋_GB2312"/>
          <w:b w:val="0"/>
          <w:bCs/>
          <w:sz w:val="32"/>
          <w:szCs w:val="32"/>
          <w:lang w:val="en-US" w:eastAsia="zh-CN"/>
        </w:rPr>
        <w:t>一、服务范围</w:t>
      </w:r>
    </w:p>
    <w:p>
      <w:pPr>
        <w:spacing w:line="600" w:lineRule="exact"/>
        <w:ind w:firstLine="640" w:firstLineChars="200"/>
        <w:rPr>
          <w:rFonts w:hint="eastAsia" w:ascii="仿宋_GB2312" w:hAnsi="楷体" w:eastAsia="仿宋_GB2312"/>
          <w:b w:val="0"/>
          <w:bCs/>
          <w:sz w:val="32"/>
          <w:szCs w:val="32"/>
          <w:lang w:val="en-US" w:eastAsia="zh-CN"/>
        </w:rPr>
      </w:pPr>
      <w:r>
        <w:rPr>
          <w:rFonts w:hint="eastAsia" w:ascii="仿宋_GB2312" w:hAnsi="楷体" w:eastAsia="仿宋_GB2312"/>
          <w:b w:val="0"/>
          <w:bCs/>
          <w:sz w:val="32"/>
          <w:szCs w:val="32"/>
          <w:lang w:val="en-US" w:eastAsia="zh-CN"/>
        </w:rPr>
        <w:t>等保测评服务包括：定级备案服务、渗透测试服务、漏洞扫描服务、安全差距分析服务、安全管理咨询服务、应急响应服务。</w:t>
      </w:r>
    </w:p>
    <w:p>
      <w:pPr>
        <w:spacing w:line="600" w:lineRule="exact"/>
        <w:ind w:firstLine="640" w:firstLineChars="200"/>
        <w:rPr>
          <w:rFonts w:hint="eastAsia" w:ascii="仿宋_GB2312" w:hAnsi="楷体" w:eastAsia="仿宋_GB2312"/>
          <w:b w:val="0"/>
          <w:bCs/>
          <w:sz w:val="32"/>
          <w:szCs w:val="32"/>
          <w:lang w:val="en-US" w:eastAsia="zh-CN"/>
        </w:rPr>
      </w:pPr>
      <w:r>
        <w:rPr>
          <w:rFonts w:hint="eastAsia" w:ascii="仿宋_GB2312" w:hAnsi="楷体" w:eastAsia="仿宋_GB2312"/>
          <w:b w:val="0"/>
          <w:bCs/>
          <w:sz w:val="32"/>
          <w:szCs w:val="32"/>
          <w:lang w:val="en-US" w:eastAsia="zh-CN"/>
        </w:rPr>
        <w:t>二、测评工具要求</w:t>
      </w:r>
    </w:p>
    <w:p>
      <w:pPr>
        <w:spacing w:line="600" w:lineRule="exact"/>
        <w:ind w:firstLine="640" w:firstLineChars="200"/>
        <w:rPr>
          <w:rFonts w:hint="eastAsia" w:ascii="仿宋_GB2312" w:hAnsi="楷体" w:eastAsia="仿宋_GB2312"/>
          <w:b w:val="0"/>
          <w:bCs/>
          <w:sz w:val="32"/>
          <w:szCs w:val="32"/>
          <w:lang w:val="en-US" w:eastAsia="zh-CN"/>
        </w:rPr>
      </w:pPr>
      <w:r>
        <w:rPr>
          <w:rFonts w:hint="eastAsia" w:ascii="仿宋_GB2312" w:hAnsi="楷体" w:eastAsia="仿宋_GB2312"/>
          <w:b w:val="0"/>
          <w:bCs/>
          <w:sz w:val="32"/>
          <w:szCs w:val="32"/>
          <w:lang w:val="en-US" w:eastAsia="zh-CN"/>
        </w:rPr>
        <w:t>按照等保2.0要求，在人工辅助下综合利用专业技术工具对目标系统进行信息收集、漏洞扫描和渗透测试。该服务工具产品（软、硬件及备件）需由投标方自行配备，不包含在本项目采购范围内。中标人必须保证所使用的所有工具和软件不会产生所有权和知识产权纠纷，并保证工具和软件的可用性、安全性和可靠性。由此产生的一切责任由成交供应商负完全责任，测评工具功能应能满足如下要求并提供相关证明材料加盖投标人公章，证明材料不符合或不提供否则拒绝投标。</w:t>
      </w:r>
    </w:p>
    <w:p>
      <w:pPr>
        <w:spacing w:line="600" w:lineRule="exact"/>
        <w:ind w:firstLine="640" w:firstLineChars="200"/>
        <w:rPr>
          <w:rFonts w:hint="eastAsia" w:ascii="仿宋_GB2312" w:hAnsi="楷体" w:eastAsia="仿宋_GB2312"/>
          <w:b w:val="0"/>
          <w:bCs/>
          <w:sz w:val="32"/>
          <w:szCs w:val="32"/>
          <w:lang w:val="en-US" w:eastAsia="zh-CN"/>
        </w:rPr>
      </w:pPr>
      <w:r>
        <w:rPr>
          <w:rFonts w:hint="eastAsia" w:ascii="仿宋_GB2312" w:hAnsi="楷体" w:eastAsia="仿宋_GB2312"/>
          <w:b w:val="0"/>
          <w:bCs/>
          <w:sz w:val="32"/>
          <w:szCs w:val="32"/>
          <w:lang w:val="en-US" w:eastAsia="zh-CN"/>
        </w:rPr>
        <w:t>漏洞扫描工具要求：投标人应具有满足项目实施要求的检测设备，需涵盖主机系统安全、应用系统安全、数据库系统安全、网络系统安全、基于等级保护2.0设备基线配置核查5项功能（以上功能需提供设备功能截图并加盖投标人公章）</w:t>
      </w:r>
    </w:p>
    <w:p>
      <w:pPr>
        <w:spacing w:line="600" w:lineRule="exact"/>
        <w:ind w:firstLine="640" w:firstLineChars="200"/>
        <w:rPr>
          <w:rFonts w:hint="eastAsia" w:ascii="仿宋_GB2312" w:hAnsi="楷体" w:eastAsia="仿宋_GB2312"/>
          <w:b w:val="0"/>
          <w:bCs/>
          <w:sz w:val="32"/>
          <w:szCs w:val="32"/>
          <w:lang w:val="en-US" w:eastAsia="zh-CN"/>
        </w:rPr>
      </w:pPr>
      <w:r>
        <w:rPr>
          <w:rFonts w:hint="eastAsia" w:ascii="仿宋_GB2312" w:hAnsi="楷体" w:eastAsia="仿宋_GB2312"/>
          <w:b w:val="0"/>
          <w:bCs/>
          <w:sz w:val="32"/>
          <w:szCs w:val="32"/>
          <w:lang w:val="en-US" w:eastAsia="zh-CN"/>
        </w:rPr>
        <w:t>渗透测试工具要求：投标人应具有满足项目实施要求的检测设备，功能满足如下：①项目实施过程中进行的渗透测试的部分工作可以由检测设备进行自动化渗透测试；②项目实施过程中使用的检测设备的渗透测试部分可以自定义攻击插件，实现自定义的攻击能力；③检测设备具有社会工程学测试攻击的功能；④检测设备可通过内置的方法反弹交互shell，执行基本命令、交互执行操作等功能。（以上功能需提供设备功能截图并加盖投标人公章）</w:t>
      </w:r>
    </w:p>
    <w:p>
      <w:pPr>
        <w:spacing w:line="600" w:lineRule="exact"/>
        <w:ind w:firstLine="640" w:firstLineChars="200"/>
        <w:rPr>
          <w:rFonts w:hint="eastAsia" w:ascii="仿宋_GB2312" w:hAnsi="楷体" w:eastAsia="仿宋_GB2312"/>
          <w:b w:val="0"/>
          <w:bCs/>
          <w:sz w:val="32"/>
          <w:szCs w:val="32"/>
          <w:lang w:val="en-US" w:eastAsia="zh-CN"/>
        </w:rPr>
      </w:pPr>
      <w:r>
        <w:rPr>
          <w:rFonts w:hint="eastAsia" w:ascii="仿宋_GB2312" w:hAnsi="楷体" w:eastAsia="仿宋_GB2312"/>
          <w:b w:val="0"/>
          <w:bCs/>
          <w:sz w:val="32"/>
          <w:szCs w:val="32"/>
          <w:lang w:val="en-US" w:eastAsia="zh-CN"/>
        </w:rPr>
        <w:t>三、售后服务要求</w:t>
      </w:r>
    </w:p>
    <w:p>
      <w:pPr>
        <w:spacing w:line="600" w:lineRule="exact"/>
        <w:ind w:firstLine="640" w:firstLineChars="200"/>
        <w:rPr>
          <w:rFonts w:hint="eastAsia" w:ascii="仿宋_GB2312" w:hAnsi="楷体" w:eastAsia="仿宋_GB2312"/>
          <w:b w:val="0"/>
          <w:bCs/>
          <w:sz w:val="32"/>
          <w:szCs w:val="32"/>
          <w:lang w:val="en-US" w:eastAsia="zh-CN"/>
        </w:rPr>
      </w:pPr>
      <w:r>
        <w:rPr>
          <w:rFonts w:hint="eastAsia" w:ascii="仿宋_GB2312" w:hAnsi="楷体" w:eastAsia="仿宋_GB2312"/>
          <w:b w:val="0"/>
          <w:bCs/>
          <w:sz w:val="32"/>
          <w:szCs w:val="32"/>
          <w:lang w:val="en-US" w:eastAsia="zh-CN"/>
        </w:rPr>
        <w:t>1、本服务包含一年质保。测评机构应按技术规范提供现场服务、远程技术支持服务，</w:t>
      </w:r>
      <w:r>
        <w:rPr>
          <w:rFonts w:hint="eastAsia" w:ascii="仿宋_GB2312" w:hAnsi="楷体" w:eastAsia="仿宋_GB2312"/>
          <w:bCs/>
          <w:sz w:val="32"/>
          <w:szCs w:val="32"/>
        </w:rPr>
        <w:t>接到现场应急响应服务需求后，本地团队≤1小时内抵达项目现场；应急问题响应≤0.5小时内提供解决方案。</w:t>
      </w:r>
    </w:p>
    <w:p>
      <w:pPr>
        <w:spacing w:line="600" w:lineRule="exact"/>
        <w:ind w:firstLine="640" w:firstLineChars="200"/>
        <w:rPr>
          <w:rFonts w:hint="eastAsia" w:ascii="仿宋_GB2312" w:hAnsi="楷体" w:eastAsia="仿宋_GB2312"/>
          <w:b w:val="0"/>
          <w:bCs/>
          <w:sz w:val="32"/>
          <w:szCs w:val="32"/>
          <w:lang w:val="en-US" w:eastAsia="zh-CN"/>
        </w:rPr>
      </w:pPr>
      <w:r>
        <w:rPr>
          <w:rFonts w:hint="eastAsia" w:ascii="仿宋_GB2312" w:hAnsi="楷体" w:eastAsia="仿宋_GB2312"/>
          <w:b w:val="0"/>
          <w:bCs/>
          <w:sz w:val="32"/>
          <w:szCs w:val="32"/>
          <w:lang w:val="en-US" w:eastAsia="zh-CN"/>
        </w:rPr>
        <w:t>2、测评机构应提供的服务响应级别为7*24小时。</w:t>
      </w:r>
    </w:p>
    <w:p>
      <w:pPr>
        <w:pStyle w:val="2"/>
        <w:ind w:firstLine="640" w:firstLineChars="200"/>
        <w:jc w:val="both"/>
        <w:rPr>
          <w:rFonts w:hint="default" w:ascii="仿宋_GB2312" w:hAnsi="楷体" w:eastAsia="仿宋_GB2312"/>
          <w:b w:val="0"/>
          <w:bCs/>
          <w:sz w:val="32"/>
          <w:szCs w:val="32"/>
          <w:lang w:val="en-US" w:eastAsia="zh-CN"/>
        </w:rPr>
      </w:pPr>
      <w:r>
        <w:rPr>
          <w:rFonts w:hint="eastAsia" w:ascii="仿宋_GB2312" w:hAnsi="楷体" w:eastAsia="仿宋_GB2312"/>
          <w:b w:val="0"/>
          <w:bCs/>
          <w:sz w:val="32"/>
          <w:szCs w:val="32"/>
          <w:lang w:val="en-US" w:eastAsia="zh-CN"/>
        </w:rPr>
        <w:t>四、其他要求</w:t>
      </w:r>
    </w:p>
    <w:p>
      <w:pPr>
        <w:pStyle w:val="3"/>
        <w:keepNext/>
        <w:keepLines/>
        <w:pageBreakBefore w:val="0"/>
        <w:widowControl w:val="0"/>
        <w:kinsoku/>
        <w:wordWrap/>
        <w:overflowPunct/>
        <w:topLinePunct w:val="0"/>
        <w:autoSpaceDE/>
        <w:autoSpaceDN/>
        <w:bidi w:val="0"/>
        <w:adjustRightInd/>
        <w:snapToGrid/>
        <w:spacing w:before="0" w:after="0" w:line="600" w:lineRule="exact"/>
        <w:ind w:firstLine="640" w:firstLineChars="200"/>
        <w:jc w:val="left"/>
        <w:textAlignment w:val="auto"/>
        <w:rPr>
          <w:rFonts w:hint="eastAsia" w:ascii="仿宋" w:hAnsi="仿宋" w:eastAsia="仿宋" w:cs="仿宋"/>
          <w:color w:val="000000"/>
          <w:sz w:val="28"/>
          <w:szCs w:val="28"/>
          <w:highlight w:val="none"/>
        </w:rPr>
      </w:pPr>
      <w:bookmarkStart w:id="140" w:name="_Toc444891352"/>
      <w:bookmarkStart w:id="141" w:name="_Toc21125"/>
      <w:bookmarkStart w:id="142" w:name="_Toc287600128"/>
      <w:bookmarkStart w:id="143" w:name="_Toc17141"/>
      <w:bookmarkStart w:id="144" w:name="_Toc10693"/>
      <w:bookmarkStart w:id="145" w:name="_Toc517281835"/>
      <w:bookmarkStart w:id="146" w:name="_Toc11206"/>
      <w:r>
        <w:rPr>
          <w:rFonts w:hint="eastAsia" w:ascii="仿宋_GB2312" w:hAnsi="楷体" w:eastAsia="仿宋_GB2312" w:cs="Times New Roman"/>
          <w:b w:val="0"/>
          <w:bCs/>
          <w:kern w:val="2"/>
          <w:sz w:val="32"/>
          <w:szCs w:val="32"/>
          <w:lang w:val="en-US" w:eastAsia="zh-CN" w:bidi="ar-SA"/>
        </w:rPr>
        <w:t>如果中标人为省外测评机构，应承诺在5个工作日取得《吉林省异地测评报备回执》后才可进行测评项目实施，若因中标人原因未能在规定时间内取得《吉林省异地测评报备回执》影响项目进度，按照合同约定进行违约赔偿。</w:t>
      </w:r>
      <w:r>
        <w:rPr>
          <w:rFonts w:hint="eastAsia" w:ascii="仿宋" w:hAnsi="仿宋" w:eastAsia="仿宋" w:cs="仿宋"/>
          <w:color w:val="000000"/>
          <w:sz w:val="28"/>
          <w:szCs w:val="28"/>
          <w:highlight w:val="none"/>
        </w:rPr>
        <w:br w:type="page"/>
      </w:r>
      <w:bookmarkStart w:id="147" w:name="_Toc3765"/>
      <w:r>
        <w:rPr>
          <w:rFonts w:hint="eastAsia" w:ascii="仿宋" w:hAnsi="仿宋" w:eastAsia="仿宋" w:cs="仿宋"/>
          <w:color w:val="000000"/>
          <w:sz w:val="28"/>
          <w:szCs w:val="28"/>
          <w:highlight w:val="none"/>
        </w:rPr>
        <w:t>第</w:t>
      </w:r>
      <w:r>
        <w:rPr>
          <w:rFonts w:hint="eastAsia" w:ascii="仿宋" w:hAnsi="仿宋" w:eastAsia="仿宋" w:cs="仿宋"/>
          <w:color w:val="000000"/>
          <w:sz w:val="28"/>
          <w:szCs w:val="28"/>
          <w:highlight w:val="none"/>
          <w:lang w:val="en-US" w:eastAsia="zh-CN"/>
        </w:rPr>
        <w:t>六</w:t>
      </w:r>
      <w:r>
        <w:rPr>
          <w:rFonts w:hint="eastAsia" w:ascii="仿宋" w:hAnsi="仿宋" w:eastAsia="仿宋" w:cs="仿宋"/>
          <w:color w:val="000000"/>
          <w:sz w:val="28"/>
          <w:szCs w:val="28"/>
          <w:highlight w:val="none"/>
        </w:rPr>
        <w:t>章 响应文件格式</w:t>
      </w:r>
      <w:bookmarkEnd w:id="140"/>
      <w:bookmarkEnd w:id="141"/>
      <w:bookmarkEnd w:id="142"/>
      <w:bookmarkEnd w:id="143"/>
      <w:bookmarkEnd w:id="144"/>
      <w:bookmarkEnd w:id="145"/>
      <w:bookmarkEnd w:id="146"/>
      <w:bookmarkEnd w:id="147"/>
    </w:p>
    <w:p>
      <w:pPr>
        <w:spacing w:line="360" w:lineRule="auto"/>
        <w:rPr>
          <w:rFonts w:hint="eastAsia" w:ascii="仿宋" w:hAnsi="仿宋" w:eastAsia="仿宋" w:cs="仿宋"/>
          <w:b/>
          <w:color w:val="000000"/>
          <w:highlight w:val="none"/>
        </w:rPr>
      </w:pPr>
      <w:r>
        <w:rPr>
          <w:rFonts w:hint="eastAsia" w:ascii="仿宋" w:hAnsi="仿宋" w:eastAsia="仿宋" w:cs="宋体"/>
          <w:b/>
          <w:color w:val="000000"/>
          <w:sz w:val="24"/>
          <w:highlight w:val="none"/>
        </w:rPr>
        <w:t>封面格式</w:t>
      </w:r>
      <w:r>
        <w:rPr>
          <w:rFonts w:hint="eastAsia" w:ascii="仿宋" w:hAnsi="仿宋" w:eastAsia="仿宋" w:cs="仿宋"/>
          <w:b w:val="0"/>
          <w:bCs w:val="0"/>
          <w:color w:val="FF0000"/>
          <w:sz w:val="24"/>
          <w:szCs w:val="24"/>
          <w:highlight w:val="none"/>
        </w:rPr>
        <w:t>（可以根据项目实际情况选择是否设置）</w:t>
      </w:r>
    </w:p>
    <w:tbl>
      <w:tblPr>
        <w:tblStyle w:val="40"/>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vAlign w:val="top"/>
          </w:tcPr>
          <w:p>
            <w:pPr>
              <w:pStyle w:val="156"/>
              <w:spacing w:before="156" w:after="312"/>
              <w:ind w:right="508"/>
              <w:jc w:val="right"/>
              <w:rPr>
                <w:rFonts w:hint="eastAsia" w:ascii="仿宋" w:hAnsi="仿宋" w:eastAsia="仿宋" w:cs="仿宋"/>
                <w:color w:val="000000"/>
                <w:sz w:val="32"/>
                <w:highlight w:val="none"/>
              </w:rPr>
            </w:pPr>
            <w:r>
              <w:rPr>
                <w:rFonts w:hint="eastAsia" w:ascii="仿宋" w:hAnsi="仿宋" w:eastAsia="仿宋" w:cs="仿宋"/>
                <w:color w:val="000000"/>
                <w:sz w:val="32"/>
                <w:highlight w:val="none"/>
              </w:rPr>
              <w:t>正本/副本</w:t>
            </w:r>
          </w:p>
          <w:p>
            <w:pPr>
              <w:pStyle w:val="156"/>
              <w:spacing w:before="156" w:after="312"/>
              <w:ind w:right="-284"/>
              <w:jc w:val="center"/>
              <w:rPr>
                <w:rFonts w:hint="eastAsia" w:ascii="仿宋" w:hAnsi="仿宋" w:eastAsia="仿宋" w:cs="仿宋"/>
                <w:color w:val="000000"/>
                <w:sz w:val="32"/>
                <w:highlight w:val="none"/>
              </w:rPr>
            </w:pPr>
            <w:r>
              <w:rPr>
                <w:rFonts w:hint="eastAsia" w:ascii="仿宋" w:hAnsi="仿宋" w:eastAsia="仿宋" w:cs="仿宋"/>
                <w:color w:val="000000"/>
                <w:sz w:val="32"/>
                <w:highlight w:val="none"/>
              </w:rPr>
              <w:t>（项目名称）项目</w:t>
            </w:r>
          </w:p>
          <w:p>
            <w:pPr>
              <w:pStyle w:val="156"/>
              <w:ind w:right="-284" w:firstLine="2240"/>
              <w:rPr>
                <w:rFonts w:hint="eastAsia" w:ascii="仿宋" w:hAnsi="仿宋" w:eastAsia="仿宋" w:cs="仿宋"/>
                <w:color w:val="000000"/>
                <w:sz w:val="28"/>
                <w:highlight w:val="none"/>
                <w:u w:val="single"/>
              </w:rPr>
            </w:pPr>
          </w:p>
          <w:p>
            <w:pPr>
              <w:pStyle w:val="156"/>
              <w:spacing w:before="624" w:after="156" w:line="160" w:lineRule="atLeast"/>
              <w:ind w:right="-284"/>
              <w:jc w:val="center"/>
              <w:rPr>
                <w:rFonts w:hint="eastAsia" w:ascii="仿宋" w:hAnsi="仿宋" w:eastAsia="仿宋" w:cs="仿宋"/>
                <w:color w:val="000000"/>
                <w:sz w:val="52"/>
                <w:highlight w:val="none"/>
              </w:rPr>
            </w:pPr>
            <w:r>
              <w:rPr>
                <w:rFonts w:hint="eastAsia" w:ascii="仿宋" w:hAnsi="仿宋" w:eastAsia="仿宋" w:cs="仿宋"/>
                <w:color w:val="000000"/>
                <w:sz w:val="52"/>
                <w:highlight w:val="none"/>
              </w:rPr>
              <w:t>磋商响应文件</w:t>
            </w:r>
          </w:p>
          <w:p>
            <w:pPr>
              <w:pStyle w:val="156"/>
              <w:spacing w:before="624" w:after="156" w:line="160" w:lineRule="atLeast"/>
              <w:ind w:right="-284"/>
              <w:jc w:val="center"/>
              <w:rPr>
                <w:rFonts w:hint="eastAsia" w:ascii="仿宋" w:hAnsi="仿宋" w:eastAsia="仿宋" w:cs="仿宋"/>
                <w:color w:val="000000"/>
                <w:sz w:val="52"/>
                <w:highlight w:val="none"/>
              </w:rPr>
            </w:pPr>
          </w:p>
          <w:p>
            <w:pPr>
              <w:pStyle w:val="156"/>
              <w:spacing w:before="624" w:after="156" w:line="240" w:lineRule="atLeast"/>
              <w:jc w:val="center"/>
              <w:rPr>
                <w:rFonts w:hint="eastAsia" w:ascii="仿宋" w:hAnsi="仿宋" w:eastAsia="仿宋" w:cs="仿宋"/>
                <w:color w:val="000000"/>
                <w:sz w:val="40"/>
                <w:highlight w:val="none"/>
              </w:rPr>
            </w:pPr>
            <w:r>
              <w:rPr>
                <w:rFonts w:hint="eastAsia" w:ascii="仿宋" w:hAnsi="仿宋" w:eastAsia="仿宋" w:cs="仿宋"/>
                <w:color w:val="000000"/>
                <w:sz w:val="40"/>
                <w:highlight w:val="none"/>
              </w:rPr>
              <w:t>（商务文件/技术文件/报价文件）</w:t>
            </w:r>
          </w:p>
          <w:p>
            <w:pPr>
              <w:pStyle w:val="156"/>
              <w:spacing w:before="1560" w:line="400" w:lineRule="atLeast"/>
              <w:ind w:right="-284" w:firstLine="2520" w:firstLineChars="1050"/>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w:t>
            </w:r>
            <w:r>
              <w:rPr>
                <w:rFonts w:hint="eastAsia" w:ascii="仿宋" w:hAnsi="仿宋" w:eastAsia="仿宋" w:cs="仿宋"/>
                <w:color w:val="000000"/>
                <w:sz w:val="24"/>
                <w:highlight w:val="none"/>
                <w:u w:val="single"/>
              </w:rPr>
              <w:t>（盖章）</w:t>
            </w:r>
          </w:p>
          <w:p>
            <w:pPr>
              <w:pStyle w:val="156"/>
              <w:spacing w:after="156" w:line="400" w:lineRule="atLeast"/>
              <w:ind w:right="-284"/>
              <w:jc w:val="cente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法定代表人或其委托的代理人：（签字或盖章）</w:t>
            </w:r>
          </w:p>
          <w:p>
            <w:pPr>
              <w:pStyle w:val="156"/>
              <w:spacing w:after="624"/>
              <w:ind w:right="-284"/>
              <w:jc w:val="center"/>
              <w:rPr>
                <w:rFonts w:hint="eastAsia" w:ascii="仿宋" w:hAnsi="仿宋" w:eastAsia="仿宋" w:cs="仿宋"/>
                <w:color w:val="000000"/>
                <w:sz w:val="24"/>
                <w:highlight w:val="none"/>
              </w:rPr>
            </w:pPr>
          </w:p>
          <w:p>
            <w:pPr>
              <w:pStyle w:val="156"/>
              <w:spacing w:after="624"/>
              <w:ind w:right="-284"/>
              <w:jc w:val="center"/>
              <w:rPr>
                <w:rFonts w:hint="eastAsia" w:ascii="仿宋" w:hAnsi="仿宋" w:eastAsia="仿宋" w:cs="仿宋"/>
                <w:color w:val="000000"/>
                <w:highlight w:val="none"/>
              </w:rPr>
            </w:pPr>
            <w:r>
              <w:rPr>
                <w:rFonts w:hint="eastAsia" w:ascii="仿宋" w:hAnsi="仿宋" w:eastAsia="仿宋" w:cs="仿宋"/>
                <w:color w:val="000000"/>
                <w:sz w:val="24"/>
                <w:highlight w:val="none"/>
              </w:rPr>
              <w:t>年     月      日</w:t>
            </w:r>
          </w:p>
        </w:tc>
      </w:tr>
    </w:tbl>
    <w:p>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格式：封口</w:t>
      </w:r>
    </w:p>
    <w:tbl>
      <w:tblPr>
        <w:tblStyle w:val="40"/>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pPr>
              <w:pStyle w:val="156"/>
              <w:ind w:right="-284"/>
              <w:jc w:val="center"/>
              <w:rPr>
                <w:rFonts w:hint="eastAsia" w:ascii="仿宋" w:hAnsi="仿宋" w:eastAsia="仿宋" w:cs="仿宋"/>
                <w:b/>
                <w:color w:val="000000"/>
                <w:highlight w:val="none"/>
              </w:rPr>
            </w:pPr>
            <w:r>
              <w:rPr>
                <w:rFonts w:hint="eastAsia" w:ascii="仿宋" w:hAnsi="仿宋" w:eastAsia="仿宋" w:cs="仿宋"/>
                <w:b/>
                <w:color w:val="000000"/>
                <w:highlight w:val="none"/>
              </w:rPr>
              <w:t>-------------于年月日时分之前不准启封（公章）------------</w:t>
            </w:r>
          </w:p>
        </w:tc>
      </w:tr>
    </w:tbl>
    <w:p>
      <w:pPr>
        <w:rPr>
          <w:rFonts w:hint="eastAsia" w:ascii="仿宋" w:hAnsi="仿宋" w:eastAsia="仿宋" w:cs="仿宋"/>
          <w:color w:val="000000"/>
          <w:kern w:val="0"/>
          <w:szCs w:val="21"/>
          <w:highlight w:val="none"/>
        </w:rPr>
      </w:pPr>
    </w:p>
    <w:p>
      <w:pPr>
        <w:pStyle w:val="4"/>
        <w:numPr>
          <w:ilvl w:val="0"/>
          <w:numId w:val="0"/>
        </w:numPr>
        <w:ind w:leftChars="0"/>
        <w:jc w:val="both"/>
        <w:rPr>
          <w:rFonts w:ascii="仿宋" w:hAnsi="仿宋" w:eastAsia="仿宋" w:cs="仿宋"/>
          <w:color w:val="000000"/>
          <w:sz w:val="24"/>
          <w:szCs w:val="24"/>
          <w:highlight w:val="none"/>
        </w:rPr>
      </w:pPr>
      <w:bookmarkStart w:id="148" w:name="_Toc3936"/>
      <w:bookmarkStart w:id="149" w:name="_Toc287600131"/>
      <w:bookmarkStart w:id="150" w:name="_Toc517281836"/>
      <w:bookmarkStart w:id="151" w:name="_Toc19783362"/>
      <w:bookmarkStart w:id="152" w:name="_Toc11783"/>
      <w:bookmarkStart w:id="153" w:name="_Toc19910"/>
      <w:bookmarkStart w:id="154" w:name="_Toc444891353"/>
      <w:bookmarkStart w:id="155" w:name="_Toc21280"/>
      <w:bookmarkStart w:id="156" w:name="_Toc25957"/>
      <w:bookmarkStart w:id="157" w:name="_Toc287600129"/>
      <w:bookmarkStart w:id="158" w:name="_Toc19783360"/>
      <w:r>
        <w:rPr>
          <w:rFonts w:ascii="仿宋" w:hAnsi="仿宋" w:eastAsia="仿宋" w:cs="仿宋"/>
          <w:color w:val="000000"/>
          <w:sz w:val="24"/>
          <w:szCs w:val="24"/>
          <w:highlight w:val="none"/>
        </w:rPr>
        <w:br w:type="page"/>
      </w:r>
      <w:bookmarkStart w:id="159" w:name="_Toc12198"/>
      <w:r>
        <w:rPr>
          <w:rFonts w:hint="eastAsia" w:ascii="仿宋" w:hAnsi="仿宋" w:eastAsia="仿宋" w:cs="仿宋"/>
          <w:color w:val="000000"/>
          <w:sz w:val="24"/>
          <w:szCs w:val="24"/>
          <w:highlight w:val="none"/>
          <w:lang w:val="en-US" w:eastAsia="zh-CN"/>
        </w:rPr>
        <w:t>一、</w:t>
      </w:r>
      <w:r>
        <w:rPr>
          <w:rFonts w:hint="eastAsia" w:ascii="仿宋" w:hAnsi="仿宋" w:eastAsia="仿宋" w:cs="仿宋"/>
          <w:color w:val="000000"/>
          <w:sz w:val="24"/>
          <w:szCs w:val="24"/>
          <w:highlight w:val="none"/>
        </w:rPr>
        <w:t>商务文件</w:t>
      </w:r>
      <w:bookmarkEnd w:id="148"/>
      <w:bookmarkEnd w:id="159"/>
    </w:p>
    <w:p>
      <w:pPr>
        <w:bidi w:val="0"/>
        <w:jc w:val="center"/>
        <w:rPr>
          <w:rFonts w:hint="eastAsia"/>
        </w:rPr>
      </w:pPr>
      <w:bookmarkStart w:id="160" w:name="_Toc26744"/>
      <w:r>
        <w:rPr>
          <w:rFonts w:hint="eastAsia" w:ascii="仿宋" w:hAnsi="仿宋" w:eastAsia="仿宋" w:cs="仿宋"/>
          <w:b/>
          <w:bCs/>
          <w:sz w:val="24"/>
          <w:szCs w:val="24"/>
        </w:rPr>
        <w:t>初步评审索引表</w:t>
      </w:r>
      <w:bookmarkEnd w:id="160"/>
      <w:r>
        <w:rPr>
          <w:rFonts w:hint="eastAsia" w:ascii="仿宋" w:hAnsi="仿宋" w:eastAsia="仿宋" w:cs="仿宋"/>
          <w:b w:val="0"/>
          <w:bCs w:val="0"/>
          <w:color w:val="FF0000"/>
          <w:sz w:val="24"/>
          <w:szCs w:val="24"/>
          <w:highlight w:val="none"/>
        </w:rPr>
        <w:t>（可以根据项目实际情况选择是否设置）</w:t>
      </w:r>
    </w:p>
    <w:tbl>
      <w:tblPr>
        <w:tblStyle w:val="40"/>
        <w:tblW w:w="5091"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300"/>
        <w:gridCol w:w="4217"/>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序号</w:t>
            </w:r>
          </w:p>
        </w:tc>
        <w:tc>
          <w:tcPr>
            <w:tcW w:w="1701" w:type="dxa"/>
            <w:noWrap w:val="0"/>
            <w:vAlign w:val="top"/>
          </w:tcPr>
          <w:p>
            <w:pPr>
              <w:widowControl/>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b/>
                <w:color w:val="000000"/>
                <w:kern w:val="0"/>
                <w:szCs w:val="21"/>
                <w:highlight w:val="none"/>
              </w:rPr>
              <w:t>评审环节</w:t>
            </w:r>
          </w:p>
        </w:tc>
        <w:tc>
          <w:tcPr>
            <w:tcW w:w="3301" w:type="dxa"/>
            <w:noWrap w:val="0"/>
            <w:vAlign w:val="center"/>
          </w:tcPr>
          <w:p>
            <w:pPr>
              <w:widowControl/>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评审因素</w:t>
            </w:r>
          </w:p>
        </w:tc>
        <w:tc>
          <w:tcPr>
            <w:tcW w:w="4218" w:type="dxa"/>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w:t>
            </w:r>
          </w:p>
        </w:tc>
        <w:tc>
          <w:tcPr>
            <w:tcW w:w="1701" w:type="dxa"/>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3301"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供应商名称</w:t>
            </w:r>
          </w:p>
        </w:tc>
        <w:tc>
          <w:tcPr>
            <w:tcW w:w="4218" w:type="dxa"/>
            <w:noWrap w:val="0"/>
            <w:vAlign w:val="center"/>
          </w:tcPr>
          <w:p>
            <w:pPr>
              <w:spacing w:before="24" w:after="24" w:line="276" w:lineRule="auto"/>
              <w:jc w:val="left"/>
              <w:rPr>
                <w:rFonts w:ascii="仿宋" w:hAnsi="仿宋" w:eastAsia="仿宋" w:cs="仿宋"/>
                <w:color w:val="000000"/>
                <w:szCs w:val="21"/>
                <w:highlight w:val="none"/>
              </w:rPr>
            </w:pPr>
            <w:r>
              <w:rPr>
                <w:rFonts w:hint="eastAsia" w:ascii="仿宋" w:hAnsi="仿宋" w:eastAsia="仿宋" w:cs="仿宋"/>
                <w:color w:val="000000"/>
                <w:szCs w:val="21"/>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301" w:type="dxa"/>
            <w:noWrap w:val="0"/>
            <w:vAlign w:val="center"/>
          </w:tcPr>
          <w:p>
            <w:pPr>
              <w:spacing w:before="24" w:after="24" w:line="276" w:lineRule="auto"/>
              <w:jc w:val="center"/>
              <w:rPr>
                <w:rFonts w:hint="eastAsia" w:ascii="仿宋" w:hAnsi="仿宋" w:eastAsia="仿宋" w:cs="宋体"/>
                <w:color w:val="000000"/>
                <w:kern w:val="0"/>
                <w:szCs w:val="21"/>
                <w:highlight w:val="none"/>
              </w:rPr>
            </w:pPr>
            <w:r>
              <w:rPr>
                <w:rFonts w:hint="eastAsia" w:ascii="仿宋" w:hAnsi="仿宋" w:eastAsia="仿宋" w:cs="仿宋"/>
                <w:color w:val="000000"/>
                <w:szCs w:val="21"/>
                <w:highlight w:val="none"/>
              </w:rPr>
              <w:t>法定代表人（负责人）身份证明</w:t>
            </w:r>
          </w:p>
        </w:tc>
        <w:tc>
          <w:tcPr>
            <w:tcW w:w="4218" w:type="dxa"/>
            <w:noWrap w:val="0"/>
            <w:vAlign w:val="center"/>
          </w:tcPr>
          <w:p>
            <w:pPr>
              <w:pStyle w:val="137"/>
              <w:tabs>
                <w:tab w:val="left" w:pos="630"/>
              </w:tabs>
              <w:topLinePunct/>
              <w:spacing w:before="48" w:beforeLines="20" w:after="48" w:afterLines="20" w:line="276" w:lineRule="auto"/>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301"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4218" w:type="dxa"/>
            <w:noWrap w:val="0"/>
            <w:vAlign w:val="center"/>
          </w:tcPr>
          <w:p>
            <w:pPr>
              <w:pStyle w:val="137"/>
              <w:tabs>
                <w:tab w:val="left" w:pos="630"/>
              </w:tabs>
              <w:topLinePunct/>
              <w:spacing w:before="48" w:beforeLines="20" w:after="48" w:afterLines="20" w:line="276" w:lineRule="auto"/>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301" w:type="dxa"/>
            <w:noWrap w:val="0"/>
            <w:vAlign w:val="center"/>
          </w:tcPr>
          <w:p>
            <w:pPr>
              <w:spacing w:before="24" w:after="24" w:line="276" w:lineRule="auto"/>
              <w:jc w:val="center"/>
              <w:rPr>
                <w:rFonts w:hint="eastAsia" w:ascii="仿宋" w:hAnsi="仿宋" w:eastAsia="仿宋" w:cs="宋体"/>
                <w:color w:val="000000"/>
                <w:spacing w:val="-4"/>
                <w:kern w:val="0"/>
                <w:szCs w:val="21"/>
                <w:highlight w:val="none"/>
              </w:rPr>
            </w:pPr>
            <w:r>
              <w:rPr>
                <w:rFonts w:hint="eastAsia" w:ascii="仿宋" w:hAnsi="仿宋" w:eastAsia="仿宋" w:cs="仿宋"/>
                <w:color w:val="000000"/>
                <w:szCs w:val="21"/>
                <w:highlight w:val="none"/>
              </w:rPr>
              <w:t>响应文件签字或盖章</w:t>
            </w:r>
          </w:p>
        </w:tc>
        <w:tc>
          <w:tcPr>
            <w:tcW w:w="4218" w:type="dxa"/>
            <w:noWrap w:val="0"/>
            <w:vAlign w:val="center"/>
          </w:tcPr>
          <w:p>
            <w:pPr>
              <w:pStyle w:val="156"/>
              <w:spacing w:before="48" w:beforeLines="20" w:after="48" w:afterLines="20" w:line="276" w:lineRule="auto"/>
              <w:rPr>
                <w:rFonts w:hint="eastAsia" w:ascii="仿宋" w:hAnsi="仿宋" w:eastAsia="仿宋" w:cs="仿宋"/>
                <w:color w:val="000000"/>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w:t>
            </w:r>
          </w:p>
        </w:tc>
        <w:tc>
          <w:tcPr>
            <w:tcW w:w="1701" w:type="dxa"/>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3301"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营业执照</w:t>
            </w:r>
          </w:p>
        </w:tc>
        <w:tc>
          <w:tcPr>
            <w:tcW w:w="4218"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3301"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财务审计报告及财务报表</w:t>
            </w:r>
          </w:p>
        </w:tc>
        <w:tc>
          <w:tcPr>
            <w:tcW w:w="4218"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301" w:type="dxa"/>
            <w:noWrap w:val="0"/>
            <w:vAlign w:val="center"/>
          </w:tcPr>
          <w:p>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lang w:val="en-US" w:eastAsia="zh-CN"/>
              </w:rPr>
              <w:t>同类项目合同</w:t>
            </w:r>
          </w:p>
        </w:tc>
        <w:tc>
          <w:tcPr>
            <w:tcW w:w="4218"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3301" w:type="dxa"/>
            <w:noWrap w:val="0"/>
            <w:vAlign w:val="center"/>
          </w:tcPr>
          <w:p>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税收和社会保障资金缴纳凭证</w:t>
            </w:r>
          </w:p>
        </w:tc>
        <w:tc>
          <w:tcPr>
            <w:tcW w:w="4218"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3301" w:type="dxa"/>
            <w:noWrap w:val="0"/>
            <w:vAlign w:val="center"/>
          </w:tcPr>
          <w:p>
            <w:pPr>
              <w:spacing w:before="24" w:after="24" w:line="276" w:lineRule="auto"/>
              <w:jc w:val="center"/>
              <w:rPr>
                <w:rFonts w:hint="eastAsia" w:ascii="仿宋" w:hAnsi="仿宋" w:eastAsia="仿宋" w:cs="仿宋"/>
                <w:color w:val="FF0000"/>
                <w:kern w:val="0"/>
                <w:szCs w:val="21"/>
                <w:highlight w:val="none"/>
              </w:rPr>
            </w:pPr>
            <w:r>
              <w:rPr>
                <w:rFonts w:hint="eastAsia" w:ascii="仿宋" w:hAnsi="仿宋" w:eastAsia="仿宋" w:cs="仿宋"/>
                <w:color w:val="000000"/>
                <w:szCs w:val="21"/>
                <w:highlight w:val="none"/>
              </w:rPr>
              <w:t>无违法违规记录</w:t>
            </w:r>
          </w:p>
        </w:tc>
        <w:tc>
          <w:tcPr>
            <w:tcW w:w="4218"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3301" w:type="dxa"/>
            <w:noWrap w:val="0"/>
            <w:vAlign w:val="center"/>
          </w:tcPr>
          <w:p>
            <w:pPr>
              <w:spacing w:before="24" w:after="24" w:line="276" w:lineRule="auto"/>
              <w:jc w:val="center"/>
              <w:rPr>
                <w:rFonts w:ascii="仿宋" w:hAnsi="仿宋" w:eastAsia="仿宋" w:cs="仿宋"/>
                <w:color w:val="FF0000"/>
                <w:kern w:val="0"/>
                <w:szCs w:val="21"/>
                <w:highlight w:val="none"/>
              </w:rPr>
            </w:pPr>
            <w:r>
              <w:rPr>
                <w:rFonts w:hint="eastAsia" w:ascii="仿宋" w:hAnsi="仿宋" w:eastAsia="仿宋" w:cs="仿宋"/>
                <w:color w:val="000000"/>
                <w:szCs w:val="21"/>
                <w:highlight w:val="none"/>
              </w:rPr>
              <w:t>未列入供应商黑名单且未在禁入期承诺函</w:t>
            </w:r>
          </w:p>
        </w:tc>
        <w:tc>
          <w:tcPr>
            <w:tcW w:w="4218"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3301" w:type="dxa"/>
            <w:noWrap w:val="0"/>
            <w:vAlign w:val="center"/>
          </w:tcPr>
          <w:p>
            <w:pPr>
              <w:spacing w:before="24" w:after="24" w:line="276" w:lineRule="auto"/>
              <w:jc w:val="center"/>
              <w:rPr>
                <w:rFonts w:ascii="仿宋" w:hAnsi="仿宋" w:eastAsia="仿宋" w:cs="仿宋"/>
                <w:color w:val="FF0000"/>
                <w:szCs w:val="21"/>
                <w:highlight w:val="none"/>
              </w:rPr>
            </w:pPr>
            <w:r>
              <w:rPr>
                <w:rFonts w:hint="eastAsia" w:ascii="仿宋" w:hAnsi="仿宋" w:eastAsia="仿宋" w:cs="仿宋"/>
                <w:color w:val="000000"/>
                <w:szCs w:val="21"/>
                <w:highlight w:val="none"/>
              </w:rPr>
              <w:t>控股、管理关系</w:t>
            </w:r>
          </w:p>
        </w:tc>
        <w:tc>
          <w:tcPr>
            <w:tcW w:w="4218" w:type="dxa"/>
            <w:noWrap w:val="0"/>
            <w:vAlign w:val="center"/>
          </w:tcPr>
          <w:p>
            <w:pPr>
              <w:spacing w:before="24" w:after="24" w:line="276" w:lineRule="auto"/>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3301" w:type="dxa"/>
            <w:noWrap w:val="0"/>
            <w:vAlign w:val="center"/>
          </w:tcPr>
          <w:p>
            <w:pPr>
              <w:spacing w:before="24" w:after="24" w:line="276" w:lineRule="auto"/>
              <w:jc w:val="center"/>
              <w:rPr>
                <w:rFonts w:hint="eastAsia" w:ascii="仿宋" w:hAnsi="仿宋" w:eastAsia="仿宋" w:cs="仿宋"/>
                <w:color w:val="FF0000"/>
                <w:szCs w:val="21"/>
                <w:highlight w:val="none"/>
                <w:lang w:val="en-US" w:eastAsia="zh-CN"/>
              </w:rPr>
            </w:pPr>
            <w:r>
              <w:rPr>
                <w:rFonts w:hint="eastAsia" w:ascii="仿宋" w:hAnsi="仿宋" w:eastAsia="仿宋" w:cs="仿宋"/>
                <w:color w:val="000000"/>
                <w:szCs w:val="21"/>
                <w:highlight w:val="none"/>
                <w:lang w:val="en-US" w:eastAsia="zh-CN"/>
              </w:rPr>
              <w:t>非联合体声明</w:t>
            </w:r>
          </w:p>
        </w:tc>
        <w:tc>
          <w:tcPr>
            <w:tcW w:w="4218"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3301" w:type="dxa"/>
            <w:noWrap w:val="0"/>
            <w:vAlign w:val="center"/>
          </w:tcPr>
          <w:p>
            <w:pPr>
              <w:spacing w:before="24" w:after="24" w:line="276" w:lineRule="auto"/>
              <w:jc w:val="center"/>
              <w:rPr>
                <w:rFonts w:ascii="仿宋" w:hAnsi="仿宋" w:eastAsia="仿宋" w:cs="仿宋"/>
                <w:color w:val="FF0000"/>
                <w:kern w:val="0"/>
                <w:szCs w:val="21"/>
                <w:highlight w:val="none"/>
              </w:rPr>
            </w:pPr>
            <w:r>
              <w:rPr>
                <w:rFonts w:hint="eastAsia" w:ascii="仿宋" w:hAnsi="仿宋" w:eastAsia="仿宋" w:cs="仿宋"/>
                <w:color w:val="000000"/>
                <w:szCs w:val="21"/>
                <w:highlight w:val="none"/>
              </w:rPr>
              <w:t>《网络安全等级测评与检测评估机构服务认证证书》</w:t>
            </w:r>
          </w:p>
        </w:tc>
        <w:tc>
          <w:tcPr>
            <w:tcW w:w="4218"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ascii="仿宋" w:hAnsi="仿宋" w:eastAsia="仿宋" w:cs="仿宋"/>
                <w:color w:val="000000"/>
                <w:kern w:val="0"/>
                <w:szCs w:val="21"/>
                <w:highlight w:val="none"/>
              </w:rPr>
              <w:t>3</w:t>
            </w:r>
          </w:p>
        </w:tc>
        <w:tc>
          <w:tcPr>
            <w:tcW w:w="1701" w:type="dxa"/>
            <w:vMerge w:val="restart"/>
            <w:noWrap w:val="0"/>
            <w:vAlign w:val="center"/>
          </w:tcPr>
          <w:p>
            <w:pPr>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响应性评审标准</w:t>
            </w:r>
          </w:p>
        </w:tc>
        <w:tc>
          <w:tcPr>
            <w:tcW w:w="3301" w:type="dxa"/>
            <w:noWrap w:val="0"/>
            <w:vAlign w:val="center"/>
          </w:tcPr>
          <w:p>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响应函</w:t>
            </w:r>
          </w:p>
        </w:tc>
        <w:tc>
          <w:tcPr>
            <w:tcW w:w="4218"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301" w:type="dxa"/>
            <w:noWrap w:val="0"/>
            <w:vAlign w:val="center"/>
          </w:tcPr>
          <w:p>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供应商行为准则承诺书</w:t>
            </w:r>
          </w:p>
        </w:tc>
        <w:tc>
          <w:tcPr>
            <w:tcW w:w="4218"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301" w:type="dxa"/>
            <w:noWrap w:val="0"/>
            <w:vAlign w:val="center"/>
          </w:tcPr>
          <w:p>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供应商廉洁诚信承诺书</w:t>
            </w:r>
          </w:p>
        </w:tc>
        <w:tc>
          <w:tcPr>
            <w:tcW w:w="4218"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301" w:type="dxa"/>
            <w:noWrap w:val="0"/>
            <w:vAlign w:val="center"/>
          </w:tcPr>
          <w:p>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Cambria Math"/>
                <w:color w:val="FF0000"/>
                <w:szCs w:val="21"/>
                <w:highlight w:val="none"/>
              </w:rPr>
              <w:t>供应商偏离应答</w:t>
            </w:r>
          </w:p>
        </w:tc>
        <w:tc>
          <w:tcPr>
            <w:tcW w:w="4218" w:type="dxa"/>
            <w:noWrap w:val="0"/>
            <w:vAlign w:val="center"/>
          </w:tcPr>
          <w:p>
            <w:pPr>
              <w:spacing w:before="24" w:after="24" w:line="276" w:lineRule="auto"/>
              <w:jc w:val="left"/>
              <w:rPr>
                <w:rFonts w:hint="eastAsia" w:ascii="仿宋" w:hAnsi="仿宋" w:eastAsia="仿宋" w:cs="仿宋"/>
                <w:color w:val="000000"/>
                <w:szCs w:val="21"/>
                <w:highlight w:val="none"/>
              </w:rPr>
            </w:pPr>
          </w:p>
        </w:tc>
      </w:tr>
    </w:tbl>
    <w:p>
      <w:pPr>
        <w:rPr>
          <w:rFonts w:hint="eastAsia" w:ascii="宋体" w:hAnsi="宋体"/>
          <w:kern w:val="0"/>
          <w:szCs w:val="21"/>
          <w:highlight w:val="none"/>
        </w:rPr>
        <w:sectPr>
          <w:footerReference r:id="rId12" w:type="default"/>
          <w:pgSz w:w="11906" w:h="16838"/>
          <w:pgMar w:top="1417" w:right="1134" w:bottom="1134" w:left="1134" w:header="964" w:footer="964" w:gutter="0"/>
          <w:cols w:space="720" w:num="1"/>
          <w:docGrid w:linePitch="312" w:charSpace="0"/>
        </w:sectPr>
      </w:pPr>
    </w:p>
    <w:bookmarkEnd w:id="149"/>
    <w:bookmarkEnd w:id="150"/>
    <w:bookmarkEnd w:id="151"/>
    <w:bookmarkEnd w:id="152"/>
    <w:bookmarkEnd w:id="153"/>
    <w:bookmarkEnd w:id="154"/>
    <w:bookmarkEnd w:id="155"/>
    <w:bookmarkEnd w:id="156"/>
    <w:p>
      <w:pPr>
        <w:bidi w:val="0"/>
        <w:jc w:val="center"/>
        <w:rPr>
          <w:rFonts w:hint="eastAsia" w:ascii="仿宋" w:hAnsi="仿宋" w:eastAsia="仿宋" w:cs="仿宋"/>
          <w:b/>
          <w:bCs/>
          <w:sz w:val="24"/>
          <w:szCs w:val="24"/>
        </w:rPr>
      </w:pPr>
      <w:bookmarkStart w:id="161" w:name="_Toc27799"/>
      <w:bookmarkStart w:id="162" w:name="_Toc517281837"/>
      <w:bookmarkStart w:id="163" w:name="_Toc12140"/>
      <w:bookmarkStart w:id="164" w:name="_Toc444891354"/>
      <w:bookmarkStart w:id="165" w:name="_Toc7202"/>
      <w:bookmarkStart w:id="166" w:name="_Toc25121"/>
      <w:r>
        <w:rPr>
          <w:rFonts w:hint="eastAsia" w:ascii="仿宋" w:hAnsi="仿宋" w:eastAsia="仿宋" w:cs="仿宋"/>
          <w:b/>
          <w:bCs/>
          <w:sz w:val="24"/>
          <w:szCs w:val="24"/>
        </w:rPr>
        <w:t>详细评审索引表</w:t>
      </w:r>
      <w:r>
        <w:rPr>
          <w:rFonts w:hint="eastAsia" w:ascii="仿宋" w:hAnsi="仿宋" w:eastAsia="仿宋" w:cs="仿宋"/>
          <w:b w:val="0"/>
          <w:bCs w:val="0"/>
          <w:color w:val="FF0000"/>
          <w:sz w:val="24"/>
          <w:szCs w:val="24"/>
          <w:highlight w:val="none"/>
        </w:rPr>
        <w:t>（可以根据项目实际情况选择是否设置）</w:t>
      </w:r>
    </w:p>
    <w:tbl>
      <w:tblPr>
        <w:tblStyle w:val="4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b/>
                <w:color w:val="000000"/>
                <w:szCs w:val="21"/>
                <w:highlight w:val="none"/>
              </w:rPr>
            </w:pPr>
            <w:r>
              <w:rPr>
                <w:rFonts w:hint="eastAsia" w:ascii="仿宋" w:hAnsi="仿宋" w:eastAsia="仿宋" w:cs="宋体"/>
                <w:b/>
                <w:color w:val="000000"/>
                <w:kern w:val="0"/>
                <w:szCs w:val="21"/>
                <w:highlight w:val="none"/>
                <w:lang w:bidi="ar"/>
              </w:rPr>
              <w:t>序号</w:t>
            </w:r>
          </w:p>
        </w:tc>
        <w:tc>
          <w:tcPr>
            <w:tcW w:w="1696" w:type="dxa"/>
            <w:noWrap w:val="0"/>
            <w:tcMar>
              <w:top w:w="15" w:type="dxa"/>
              <w:left w:w="15" w:type="dxa"/>
              <w:right w:w="15" w:type="dxa"/>
            </w:tcMar>
            <w:vAlign w:val="center"/>
          </w:tcPr>
          <w:p>
            <w:pPr>
              <w:jc w:val="center"/>
              <w:rPr>
                <w:rFonts w:hint="eastAsia" w:ascii="仿宋" w:hAnsi="仿宋" w:eastAsia="仿宋" w:cs="宋体"/>
                <w:b/>
                <w:color w:val="000000"/>
                <w:kern w:val="0"/>
                <w:szCs w:val="21"/>
                <w:highlight w:val="none"/>
                <w:lang w:bidi="ar"/>
              </w:rPr>
            </w:pPr>
            <w:r>
              <w:rPr>
                <w:rFonts w:hint="eastAsia" w:ascii="仿宋" w:hAnsi="仿宋" w:eastAsia="仿宋" w:cs="宋体"/>
                <w:b/>
                <w:bCs/>
                <w:color w:val="000000"/>
                <w:szCs w:val="21"/>
                <w:highlight w:val="none"/>
              </w:rPr>
              <w:t>评审项</w:t>
            </w:r>
          </w:p>
        </w:tc>
        <w:tc>
          <w:tcPr>
            <w:tcW w:w="2268" w:type="dxa"/>
            <w:noWrap w:val="0"/>
            <w:vAlign w:val="top"/>
          </w:tcPr>
          <w:p>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lang w:bidi="ar"/>
              </w:rPr>
              <w:t>评审因素</w:t>
            </w:r>
          </w:p>
        </w:tc>
        <w:tc>
          <w:tcPr>
            <w:tcW w:w="4820" w:type="dxa"/>
            <w:noWrap w:val="0"/>
            <w:tcMar>
              <w:top w:w="15" w:type="dxa"/>
              <w:left w:w="15" w:type="dxa"/>
              <w:right w:w="15" w:type="dxa"/>
            </w:tcMar>
            <w:vAlign w:val="center"/>
          </w:tcPr>
          <w:p>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1</w:t>
            </w:r>
          </w:p>
        </w:tc>
        <w:tc>
          <w:tcPr>
            <w:tcW w:w="1696" w:type="dxa"/>
            <w:vMerge w:val="restart"/>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商务得分</w:t>
            </w:r>
          </w:p>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（XX分）</w:t>
            </w:r>
          </w:p>
        </w:tc>
        <w:tc>
          <w:tcPr>
            <w:tcW w:w="2268" w:type="dxa"/>
            <w:noWrap w:val="0"/>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综合实力</w:t>
            </w:r>
          </w:p>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（XX分）</w:t>
            </w:r>
          </w:p>
        </w:tc>
        <w:tc>
          <w:tcPr>
            <w:tcW w:w="4820" w:type="dxa"/>
            <w:noWrap w:val="0"/>
            <w:tcMar>
              <w:top w:w="15" w:type="dxa"/>
              <w:left w:w="15" w:type="dxa"/>
              <w:right w:w="15" w:type="dxa"/>
            </w:tcMar>
            <w:vAlign w:val="center"/>
          </w:tcPr>
          <w:p>
            <w:pPr>
              <w:widowControl/>
              <w:adjustRightInd w:val="0"/>
              <w:snapToGrid w:val="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说明：XX</w:t>
            </w:r>
          </w:p>
          <w:p>
            <w:pPr>
              <w:rPr>
                <w:rStyle w:val="117"/>
                <w:rFonts w:hint="default" w:cs="宋体"/>
                <w:color w:val="000000"/>
                <w:highlight w:val="none"/>
                <w:lang w:bidi="ar"/>
              </w:rPr>
            </w:pPr>
            <w:r>
              <w:rPr>
                <w:rFonts w:hint="eastAsia" w:ascii="仿宋" w:hAnsi="仿宋" w:eastAsia="仿宋" w:cs="宋体"/>
                <w:color w:val="000000"/>
                <w:kern w:val="0"/>
                <w:szCs w:val="21"/>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2</w:t>
            </w:r>
          </w:p>
        </w:tc>
        <w:tc>
          <w:tcPr>
            <w:tcW w:w="1696" w:type="dxa"/>
            <w:vMerge w:val="continue"/>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p>
        </w:tc>
        <w:tc>
          <w:tcPr>
            <w:tcW w:w="2268" w:type="dxa"/>
            <w:noWrap w:val="0"/>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同类业绩</w:t>
            </w:r>
          </w:p>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（XX分）</w:t>
            </w:r>
          </w:p>
        </w:tc>
        <w:tc>
          <w:tcPr>
            <w:tcW w:w="4820" w:type="dxa"/>
            <w:noWrap w:val="0"/>
            <w:tcMar>
              <w:top w:w="15" w:type="dxa"/>
              <w:left w:w="15" w:type="dxa"/>
              <w:right w:w="15" w:type="dxa"/>
            </w:tcMar>
            <w:vAlign w:val="center"/>
          </w:tcPr>
          <w:p>
            <w:pPr>
              <w:rPr>
                <w:rStyle w:val="117"/>
                <w:rFonts w:hint="default" w:cs="宋体"/>
                <w:color w:val="000000"/>
                <w:highlight w:val="none"/>
                <w:lang w:bidi="ar"/>
              </w:rPr>
            </w:pP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r>
    </w:p>
    <w:p>
      <w:pPr>
        <w:pStyle w:val="5"/>
        <w:numPr>
          <w:ilvl w:val="0"/>
          <w:numId w:val="0"/>
        </w:numPr>
        <w:spacing w:before="0" w:line="440" w:lineRule="exact"/>
        <w:rPr>
          <w:rFonts w:hint="eastAsia" w:ascii="仿宋" w:hAnsi="仿宋" w:eastAsia="仿宋" w:cs="仿宋"/>
          <w:color w:val="000000"/>
          <w:sz w:val="24"/>
          <w:szCs w:val="24"/>
          <w:highlight w:val="none"/>
        </w:rPr>
      </w:pPr>
      <w:bookmarkStart w:id="167" w:name="_Toc22597"/>
      <w:r>
        <w:rPr>
          <w:rFonts w:hint="eastAsia" w:ascii="仿宋" w:hAnsi="仿宋" w:eastAsia="仿宋" w:cs="仿宋"/>
          <w:color w:val="000000"/>
          <w:sz w:val="24"/>
          <w:szCs w:val="24"/>
          <w:highlight w:val="none"/>
        </w:rPr>
        <w:t>（一）响应函</w:t>
      </w:r>
      <w:bookmarkEnd w:id="167"/>
    </w:p>
    <w:p>
      <w:pPr>
        <w:pStyle w:val="156"/>
        <w:spacing w:line="440" w:lineRule="exact"/>
        <w:rPr>
          <w:rFonts w:hint="eastAsia" w:ascii="仿宋" w:hAnsi="仿宋" w:eastAsia="仿宋" w:cs="Cambria Math"/>
          <w:color w:val="000000"/>
          <w:sz w:val="24"/>
          <w:szCs w:val="24"/>
          <w:highlight w:val="none"/>
          <w:u w:val="single"/>
        </w:rPr>
      </w:pPr>
      <w:r>
        <w:rPr>
          <w:rFonts w:hint="eastAsia" w:ascii="仿宋" w:hAnsi="仿宋" w:eastAsia="仿宋" w:cs="Cambria Math"/>
          <w:color w:val="000000"/>
          <w:sz w:val="24"/>
          <w:szCs w:val="24"/>
          <w:highlight w:val="none"/>
          <w:u w:val="single"/>
        </w:rPr>
        <w:t>致：</w:t>
      </w:r>
      <w:r>
        <w:rPr>
          <w:rFonts w:hint="eastAsia" w:ascii="仿宋" w:hAnsi="仿宋" w:eastAsia="仿宋" w:cs="Cambria Math"/>
          <w:color w:val="000000"/>
          <w:sz w:val="24"/>
          <w:szCs w:val="24"/>
          <w:highlight w:val="none"/>
          <w:u w:val="single"/>
          <w:lang w:eastAsia="zh-CN"/>
        </w:rPr>
        <w:t>（</w:t>
      </w:r>
      <w:r>
        <w:rPr>
          <w:rFonts w:hint="eastAsia" w:ascii="仿宋" w:hAnsi="仿宋" w:eastAsia="仿宋" w:cs="Cambria Math"/>
          <w:color w:val="000000"/>
          <w:sz w:val="24"/>
          <w:szCs w:val="24"/>
          <w:highlight w:val="none"/>
          <w:u w:val="single"/>
          <w:lang w:val="en-US" w:eastAsia="zh-CN"/>
        </w:rPr>
        <w:t>采购人名称</w:t>
      </w:r>
      <w:r>
        <w:rPr>
          <w:rFonts w:hint="eastAsia" w:ascii="仿宋" w:hAnsi="仿宋" w:eastAsia="仿宋" w:cs="Cambria Math"/>
          <w:color w:val="000000"/>
          <w:sz w:val="24"/>
          <w:szCs w:val="24"/>
          <w:highlight w:val="none"/>
          <w:u w:val="single"/>
          <w:lang w:eastAsia="zh-CN"/>
        </w:rPr>
        <w:t>）</w:t>
      </w:r>
      <w:r>
        <w:rPr>
          <w:rFonts w:hint="eastAsia" w:ascii="仿宋" w:hAnsi="仿宋" w:eastAsia="仿宋" w:cs="Cambria Math"/>
          <w:color w:val="000000"/>
          <w:sz w:val="24"/>
          <w:szCs w:val="24"/>
          <w:highlight w:val="none"/>
          <w:u w:val="single"/>
        </w:rPr>
        <w:t xml:space="preserve">     </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u w:val="single"/>
        </w:rPr>
        <w:t xml:space="preserve">   （供应商名称）   </w:t>
      </w:r>
      <w:r>
        <w:rPr>
          <w:rFonts w:hint="eastAsia" w:ascii="仿宋" w:hAnsi="仿宋" w:eastAsia="仿宋" w:cs="Cambria Math"/>
          <w:color w:val="000000"/>
          <w:kern w:val="0"/>
          <w:sz w:val="24"/>
          <w:highlight w:val="none"/>
        </w:rPr>
        <w:t>（以下称“我方”）已仔细研究了</w:t>
      </w:r>
      <w:r>
        <w:rPr>
          <w:rFonts w:hint="eastAsia" w:ascii="仿宋" w:hAnsi="仿宋" w:eastAsia="仿宋" w:cs="Cambria Math"/>
          <w:color w:val="000000"/>
          <w:kern w:val="0"/>
          <w:sz w:val="24"/>
          <w:highlight w:val="none"/>
          <w:u w:val="single"/>
        </w:rPr>
        <w:t xml:space="preserve"> </w:t>
      </w:r>
      <w:r>
        <w:rPr>
          <w:rFonts w:ascii="仿宋" w:hAnsi="仿宋" w:eastAsia="仿宋" w:cs="Cambria Math"/>
          <w:color w:val="000000"/>
          <w:kern w:val="0"/>
          <w:sz w:val="24"/>
          <w:highlight w:val="none"/>
          <w:u w:val="single"/>
        </w:rPr>
        <w:t xml:space="preserve"> </w:t>
      </w:r>
      <w:r>
        <w:rPr>
          <w:rFonts w:hint="eastAsia" w:ascii="仿宋" w:hAnsi="仿宋" w:eastAsia="仿宋" w:cs="Cambria Math"/>
          <w:color w:val="000000"/>
          <w:kern w:val="0"/>
          <w:sz w:val="24"/>
          <w:highlight w:val="none"/>
          <w:u w:val="single"/>
        </w:rPr>
        <w:t xml:space="preserve">（项目名称）    </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文件的全部内容，包括澄清或者修改文件以及有关附件，我方将严格按照</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文件要求递交符合要求的全部磋商响应文件。</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现我方承诺如下内容：</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1. 本响应函及磋商响应文件自磋商响应文件提交截止日起有效期为</w:t>
      </w:r>
      <w:r>
        <w:rPr>
          <w:rFonts w:hint="eastAsia" w:ascii="仿宋" w:hAnsi="仿宋" w:eastAsia="仿宋" w:cs="Cambria Math"/>
          <w:color w:val="000000"/>
          <w:kern w:val="0"/>
          <w:sz w:val="24"/>
          <w:highlight w:val="none"/>
          <w:u w:val="single"/>
          <w:lang w:val="en-US" w:eastAsia="zh-CN"/>
        </w:rPr>
        <w:t>XX</w:t>
      </w:r>
      <w:r>
        <w:rPr>
          <w:rFonts w:hint="eastAsia" w:ascii="仿宋" w:hAnsi="仿宋" w:eastAsia="仿宋" w:cs="Cambria Math"/>
          <w:color w:val="000000"/>
          <w:kern w:val="0"/>
          <w:sz w:val="24"/>
          <w:highlight w:val="none"/>
          <w:u w:val="single"/>
        </w:rPr>
        <w:t>天</w:t>
      </w:r>
      <w:r>
        <w:rPr>
          <w:rFonts w:hint="eastAsia" w:ascii="仿宋" w:hAnsi="仿宋" w:eastAsia="仿宋" w:cs="Cambria Math"/>
          <w:color w:val="000000"/>
          <w:kern w:val="0"/>
          <w:sz w:val="24"/>
          <w:highlight w:val="none"/>
        </w:rPr>
        <w:t>，我方承诺在响应有效期内不修改、撤销磋商响应文件。</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2</w:t>
      </w:r>
      <w:r>
        <w:rPr>
          <w:rFonts w:hint="eastAsia" w:ascii="仿宋" w:hAnsi="仿宋" w:eastAsia="仿宋" w:cs="Cambria Math"/>
          <w:color w:val="000000"/>
          <w:kern w:val="0"/>
          <w:sz w:val="24"/>
          <w:highlight w:val="none"/>
        </w:rPr>
        <w:t>. 我方承诺提供磋商过程中可能要求的澄清、说明、补正或者算术性错误修正确认，并同意我方提供的以上材料构成我方响应文件的组成部分。</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3</w:t>
      </w:r>
      <w:r>
        <w:rPr>
          <w:rFonts w:hint="eastAsia" w:ascii="仿宋" w:hAnsi="仿宋" w:eastAsia="仿宋" w:cs="Cambria Math"/>
          <w:color w:val="000000"/>
          <w:kern w:val="0"/>
          <w:sz w:val="24"/>
          <w:highlight w:val="none"/>
        </w:rPr>
        <w:t>. 我方同意提供贵方可能要求的与我方响应文件有关的一切数据、资料、证明原件、证件原件，并完全理解贵方不一定接受最低价的响应。</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4</w:t>
      </w:r>
      <w:r>
        <w:rPr>
          <w:rFonts w:hint="eastAsia" w:ascii="仿宋" w:hAnsi="仿宋" w:eastAsia="仿宋" w:cs="Cambria Math"/>
          <w:color w:val="000000"/>
          <w:kern w:val="0"/>
          <w:sz w:val="24"/>
          <w:highlight w:val="none"/>
        </w:rPr>
        <w:t>．我方承诺对在本次采购活动过程中所获知贵方一切商业秘密保密，不会向任何第三方泄露，不会用于本次采购活动之外的任何其他目的。</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宋体"/>
          <w:color w:val="000000"/>
          <w:kern w:val="0"/>
          <w:sz w:val="24"/>
          <w:highlight w:val="none"/>
          <w:lang w:val="en-US" w:eastAsia="zh-CN"/>
        </w:rPr>
        <w:t>5</w:t>
      </w:r>
      <w:r>
        <w:rPr>
          <w:rFonts w:hint="eastAsia" w:ascii="仿宋" w:hAnsi="仿宋" w:eastAsia="仿宋" w:cs="宋体"/>
          <w:color w:val="000000"/>
          <w:kern w:val="0"/>
          <w:sz w:val="24"/>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6</w:t>
      </w:r>
      <w:r>
        <w:rPr>
          <w:rFonts w:hint="eastAsia" w:ascii="仿宋" w:hAnsi="仿宋" w:eastAsia="仿宋" w:cs="Cambria Math"/>
          <w:color w:val="000000"/>
          <w:kern w:val="0"/>
          <w:sz w:val="24"/>
          <w:highlight w:val="none"/>
        </w:rPr>
        <w:t>. 如我方成交：</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（1）我方承诺在收到成交通知书后，在成交通知书规定的期限内与贵方签订合同。</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w:t>
      </w:r>
      <w:r>
        <w:rPr>
          <w:rFonts w:hint="eastAsia" w:ascii="仿宋" w:hAnsi="仿宋" w:eastAsia="仿宋" w:cs="Cambria Math"/>
          <w:color w:val="000000"/>
          <w:kern w:val="0"/>
          <w:sz w:val="24"/>
          <w:highlight w:val="none"/>
          <w:lang w:val="en-US" w:eastAsia="zh-CN"/>
        </w:rPr>
        <w:t>2</w:t>
      </w:r>
      <w:r>
        <w:rPr>
          <w:rFonts w:hint="eastAsia" w:ascii="仿宋" w:hAnsi="仿宋" w:eastAsia="仿宋" w:cs="Cambria Math"/>
          <w:color w:val="000000"/>
          <w:kern w:val="0"/>
          <w:sz w:val="24"/>
          <w:highlight w:val="none"/>
        </w:rPr>
        <w:t>）我方承诺按照</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文件的规定及合同约定履行相关责任和义务。</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w:t>
      </w:r>
      <w:r>
        <w:rPr>
          <w:rFonts w:hint="eastAsia" w:ascii="仿宋" w:hAnsi="仿宋" w:eastAsia="仿宋" w:cs="Cambria Math"/>
          <w:color w:val="000000"/>
          <w:kern w:val="0"/>
          <w:sz w:val="24"/>
          <w:highlight w:val="none"/>
          <w:lang w:val="en-US" w:eastAsia="zh-CN"/>
        </w:rPr>
        <w:t>3</w:t>
      </w:r>
      <w:r>
        <w:rPr>
          <w:rFonts w:hint="eastAsia" w:ascii="仿宋" w:hAnsi="仿宋" w:eastAsia="仿宋" w:cs="Cambria Math"/>
          <w:color w:val="000000"/>
          <w:kern w:val="0"/>
          <w:sz w:val="24"/>
          <w:highlight w:val="none"/>
        </w:rPr>
        <w:t>）我方在此承诺，双方合作后可开具增值税专用发票。</w:t>
      </w:r>
    </w:p>
    <w:p>
      <w:pPr>
        <w:spacing w:line="440" w:lineRule="exact"/>
        <w:ind w:firstLine="4080" w:firstLineChars="1700"/>
        <w:jc w:val="right"/>
        <w:rPr>
          <w:rFonts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pStyle w:val="5"/>
        <w:numPr>
          <w:ilvl w:val="0"/>
          <w:numId w:val="0"/>
        </w:numPr>
        <w:spacing w:before="0" w:after="0" w:line="360" w:lineRule="auto"/>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br w:type="page"/>
      </w:r>
      <w:bookmarkEnd w:id="157"/>
      <w:bookmarkEnd w:id="158"/>
      <w:bookmarkEnd w:id="161"/>
      <w:bookmarkEnd w:id="162"/>
      <w:bookmarkEnd w:id="163"/>
      <w:bookmarkEnd w:id="164"/>
      <w:bookmarkEnd w:id="165"/>
      <w:bookmarkEnd w:id="166"/>
      <w:bookmarkStart w:id="168" w:name="_Toc14404"/>
      <w:r>
        <w:rPr>
          <w:rFonts w:hint="eastAsia" w:ascii="仿宋" w:hAnsi="仿宋" w:eastAsia="仿宋" w:cs="仿宋"/>
          <w:color w:val="000000"/>
          <w:sz w:val="24"/>
          <w:szCs w:val="24"/>
          <w:highlight w:val="none"/>
        </w:rPr>
        <w:t>（二）法定代表人（负责人）身份证明书</w:t>
      </w:r>
      <w:bookmarkEnd w:id="168"/>
      <w:r>
        <w:rPr>
          <w:rFonts w:hint="eastAsia" w:ascii="仿宋" w:hAnsi="仿宋" w:eastAsia="仿宋" w:cs="仿宋"/>
          <w:color w:val="000000"/>
          <w:sz w:val="24"/>
          <w:szCs w:val="24"/>
          <w:highlight w:val="none"/>
        </w:rPr>
        <w:tab/>
      </w:r>
    </w:p>
    <w:p>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法定代表人（负责人）身份证明书</w:t>
      </w:r>
      <w:r>
        <w:rPr>
          <w:rFonts w:hint="eastAsia" w:ascii="仿宋" w:hAnsi="仿宋" w:eastAsia="仿宋" w:cs="仿宋"/>
          <w:b/>
          <w:color w:val="000000"/>
          <w:sz w:val="24"/>
          <w:highlight w:val="none"/>
        </w:rPr>
        <w:tab/>
      </w:r>
    </w:p>
    <w:p>
      <w:pPr>
        <w:spacing w:line="360" w:lineRule="auto"/>
        <w:rPr>
          <w:rFonts w:hint="eastAsia" w:ascii="仿宋" w:hAnsi="仿宋" w:eastAsia="仿宋" w:cs="仿宋"/>
          <w:b/>
          <w:color w:val="000000"/>
          <w:sz w:val="24"/>
          <w:highlight w:val="none"/>
        </w:rPr>
      </w:pPr>
    </w:p>
    <w:p>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供应商名称：</w:t>
      </w:r>
      <w:r>
        <w:rPr>
          <w:rFonts w:hint="eastAsia" w:ascii="仿宋" w:hAnsi="仿宋" w:eastAsia="仿宋" w:cs="仿宋"/>
          <w:color w:val="000000"/>
          <w:kern w:val="0"/>
          <w:sz w:val="24"/>
          <w:highlight w:val="none"/>
          <w:u w:val="single"/>
        </w:rPr>
        <w:t xml:space="preserve">                         </w:t>
      </w:r>
    </w:p>
    <w:p>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成立时间：</w:t>
      </w:r>
      <w:r>
        <w:rPr>
          <w:rFonts w:hint="eastAsia" w:ascii="仿宋" w:hAnsi="仿宋" w:eastAsia="仿宋" w:cs="仿宋"/>
          <w:color w:val="000000"/>
          <w:kern w:val="0"/>
          <w:sz w:val="24"/>
          <w:highlight w:val="none"/>
          <w:u w:val="single"/>
        </w:rPr>
        <w:t xml:space="preserve"> </w:t>
      </w:r>
      <w:r>
        <w:rPr>
          <w:rFonts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月</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日</w:t>
      </w:r>
    </w:p>
    <w:p>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姓名：</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性别：</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年龄：</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职务：</w:t>
      </w:r>
      <w:r>
        <w:rPr>
          <w:rFonts w:hint="eastAsia" w:ascii="仿宋" w:hAnsi="仿宋" w:eastAsia="仿宋" w:cs="仿宋"/>
          <w:color w:val="000000"/>
          <w:kern w:val="0"/>
          <w:sz w:val="24"/>
          <w:highlight w:val="none"/>
          <w:u w:val="single"/>
        </w:rPr>
        <w:t xml:space="preserve">         </w:t>
      </w:r>
    </w:p>
    <w:p>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系</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（供应商名称）的法定代表人</w:t>
      </w:r>
      <w:r>
        <w:rPr>
          <w:rFonts w:hint="eastAsia" w:ascii="仿宋" w:hAnsi="仿宋" w:eastAsia="仿宋" w:cs="仿宋"/>
          <w:color w:val="000000"/>
          <w:sz w:val="24"/>
          <w:highlight w:val="none"/>
        </w:rPr>
        <w:t>（负责人）</w:t>
      </w:r>
      <w:r>
        <w:rPr>
          <w:rFonts w:hint="eastAsia" w:ascii="仿宋" w:hAnsi="仿宋" w:eastAsia="仿宋" w:cs="仿宋"/>
          <w:color w:val="000000"/>
          <w:kern w:val="0"/>
          <w:sz w:val="24"/>
          <w:highlight w:val="none"/>
        </w:rPr>
        <w:t>。</w:t>
      </w:r>
    </w:p>
    <w:p>
      <w:pPr>
        <w:widowControl/>
        <w:topLinePunct/>
        <w:spacing w:line="360" w:lineRule="auto"/>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特此证明。</w:t>
      </w:r>
    </w:p>
    <w:p>
      <w:pPr>
        <w:widowControl/>
        <w:topLinePunct/>
        <w:spacing w:line="360" w:lineRule="auto"/>
        <w:rPr>
          <w:rFonts w:ascii="仿宋" w:hAnsi="仿宋" w:eastAsia="仿宋" w:cs="仿宋"/>
          <w:color w:val="000000"/>
          <w:kern w:val="0"/>
          <w:sz w:val="24"/>
          <w:highlight w:val="none"/>
        </w:rPr>
      </w:pPr>
    </w:p>
    <w:p>
      <w:pPr>
        <w:widowControl/>
        <w:spacing w:line="360" w:lineRule="auto"/>
        <w:rPr>
          <w:rFonts w:hint="eastAsia" w:ascii="仿宋" w:hAnsi="仿宋" w:eastAsia="仿宋" w:cs="仿宋"/>
          <w:b/>
          <w:bCs/>
          <w:color w:val="000000"/>
          <w:kern w:val="0"/>
          <w:sz w:val="24"/>
          <w:highlight w:val="none"/>
        </w:rPr>
      </w:pPr>
      <w:r>
        <w:rPr>
          <w:rFonts w:hint="eastAsia" w:ascii="仿宋" w:hAnsi="仿宋" w:eastAsia="仿宋" w:cs="仿宋"/>
          <w:b/>
          <w:bCs/>
          <w:color w:val="000000"/>
          <w:kern w:val="0"/>
          <w:sz w:val="24"/>
          <w:highlight w:val="none"/>
        </w:rPr>
        <w:t>附：法定代表人（负责人）身份证复印件（需同时提供正面及背面）。</w:t>
      </w:r>
    </w:p>
    <w:p>
      <w:pPr>
        <w:widowControl/>
        <w:spacing w:line="360" w:lineRule="auto"/>
        <w:rPr>
          <w:rFonts w:hint="eastAsia" w:ascii="仿宋" w:hAnsi="仿宋" w:eastAsia="仿宋" w:cs="仿宋"/>
          <w:color w:val="000000"/>
          <w:kern w:val="0"/>
          <w:highlight w:val="none"/>
        </w:rPr>
      </w:pPr>
      <w:r>
        <w:rPr>
          <w:rFonts w:hint="eastAsia" w:ascii="仿宋" w:hAnsi="仿宋" w:eastAsia="仿宋" w:cs="仿宋"/>
          <w:color w:val="000000"/>
          <w:kern w:val="0"/>
          <w:highlight w:val="none"/>
        </w:rPr>
        <mc:AlternateContent>
          <mc:Choice Requires="wps">
            <w:drawing>
              <wp:anchor distT="0" distB="0" distL="114300" distR="114300" simplePos="0" relativeHeight="251661312"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1312;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156"/>
        <w:spacing w:line="440" w:lineRule="atLeast"/>
        <w:ind w:firstLine="480"/>
        <w:jc w:val="left"/>
        <w:rPr>
          <w:rFonts w:hint="eastAsia" w:ascii="仿宋" w:hAnsi="仿宋" w:eastAsia="仿宋" w:cs="仿宋"/>
          <w:color w:val="000000"/>
          <w:highlight w:val="none"/>
        </w:rPr>
      </w:pPr>
    </w:p>
    <w:p>
      <w:pPr>
        <w:pStyle w:val="156"/>
        <w:spacing w:line="440" w:lineRule="atLeast"/>
        <w:ind w:firstLine="480"/>
        <w:jc w:val="left"/>
        <w:rPr>
          <w:rFonts w:hint="eastAsia" w:ascii="仿宋" w:hAnsi="仿宋" w:eastAsia="仿宋" w:cs="仿宋"/>
          <w:color w:val="000000"/>
          <w:highlight w:val="none"/>
        </w:rPr>
      </w:pPr>
    </w:p>
    <w:p>
      <w:pPr>
        <w:pStyle w:val="156"/>
        <w:spacing w:line="440" w:lineRule="atLeast"/>
        <w:ind w:firstLine="480"/>
        <w:jc w:val="left"/>
        <w:rPr>
          <w:rFonts w:hint="eastAsia" w:ascii="仿宋" w:hAnsi="仿宋" w:eastAsia="仿宋" w:cs="仿宋"/>
          <w:color w:val="000000"/>
          <w:highlight w:val="none"/>
        </w:rPr>
      </w:pPr>
    </w:p>
    <w:p>
      <w:pPr>
        <w:spacing w:line="360" w:lineRule="auto"/>
        <w:ind w:firstLine="610"/>
        <w:rPr>
          <w:rFonts w:hint="eastAsia" w:ascii="仿宋" w:hAnsi="仿宋" w:eastAsia="仿宋" w:cs="仿宋"/>
          <w:color w:val="000000"/>
          <w:sz w:val="24"/>
          <w:highlight w:val="none"/>
        </w:rPr>
      </w:pPr>
    </w:p>
    <w:p>
      <w:pPr>
        <w:tabs>
          <w:tab w:val="left" w:pos="720"/>
          <w:tab w:val="left" w:pos="900"/>
        </w:tabs>
        <w:spacing w:line="360" w:lineRule="auto"/>
        <w:rPr>
          <w:rFonts w:hint="eastAsia"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p>
    <w:p>
      <w:pPr>
        <w:wordWrap w:val="0"/>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  </w:t>
      </w:r>
    </w:p>
    <w:p>
      <w:pPr>
        <w:spacing w:line="440" w:lineRule="exact"/>
        <w:ind w:firstLine="4080" w:firstLineChars="1700"/>
        <w:jc w:val="right"/>
        <w:rPr>
          <w:rFonts w:ascii="仿宋" w:hAnsi="仿宋" w:eastAsia="仿宋" w:cs="仿宋"/>
          <w:color w:val="000000"/>
          <w:sz w:val="24"/>
          <w:highlight w:val="none"/>
        </w:rPr>
      </w:pPr>
      <w:r>
        <w:rPr>
          <w:rFonts w:ascii="仿宋" w:hAnsi="仿宋" w:eastAsia="仿宋" w:cs="仿宋"/>
          <w:color w:val="000000"/>
          <w:sz w:val="24"/>
          <w:highlight w:val="none"/>
        </w:rPr>
        <w:t xml:space="preserve">    </w:t>
      </w:r>
    </w:p>
    <w:p>
      <w:pPr>
        <w:spacing w:line="440" w:lineRule="exact"/>
        <w:ind w:firstLine="4080" w:firstLineChars="1700"/>
        <w:jc w:val="right"/>
        <w:rPr>
          <w:rFonts w:ascii="仿宋" w:hAnsi="仿宋" w:eastAsia="仿宋" w:cs="仿宋"/>
          <w:color w:val="000000"/>
          <w:sz w:val="24"/>
          <w:highlight w:val="none"/>
        </w:rPr>
      </w:pPr>
      <w:r>
        <w:rPr>
          <w:rFonts w:ascii="仿宋" w:hAnsi="仿宋" w:eastAsia="仿宋" w:cs="仿宋"/>
          <w:color w:val="000000"/>
          <w:sz w:val="24"/>
          <w:highlight w:val="none"/>
        </w:rPr>
        <w:t xml:space="preserve"> </w:t>
      </w: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   </w:t>
      </w:r>
    </w:p>
    <w:p>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tabs>
          <w:tab w:val="left" w:pos="720"/>
          <w:tab w:val="left" w:pos="900"/>
        </w:tabs>
        <w:spacing w:line="360" w:lineRule="auto"/>
        <w:ind w:left="1078"/>
        <w:rPr>
          <w:rFonts w:hint="eastAsia" w:ascii="仿宋" w:hAnsi="仿宋" w:eastAsia="仿宋" w:cs="仿宋"/>
          <w:color w:val="000000"/>
          <w:sz w:val="24"/>
          <w:highlight w:val="none"/>
        </w:rPr>
      </w:pPr>
    </w:p>
    <w:p>
      <w:pPr>
        <w:tabs>
          <w:tab w:val="left" w:pos="720"/>
          <w:tab w:val="left" w:pos="900"/>
        </w:tabs>
        <w:spacing w:line="360" w:lineRule="auto"/>
        <w:ind w:left="1078"/>
        <w:rPr>
          <w:rFonts w:hint="eastAsia" w:ascii="仿宋" w:hAnsi="仿宋" w:eastAsia="仿宋" w:cs="仿宋"/>
          <w:color w:val="000000"/>
          <w:sz w:val="24"/>
          <w:highlight w:val="none"/>
        </w:rPr>
      </w:pPr>
    </w:p>
    <w:p>
      <w:pPr>
        <w:pStyle w:val="5"/>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169" w:name="_Toc22052"/>
      <w:bookmarkStart w:id="170" w:name="_Toc4426"/>
      <w:bookmarkStart w:id="171" w:name="_Toc19783361"/>
      <w:bookmarkStart w:id="172" w:name="_Toc444891355"/>
      <w:bookmarkStart w:id="173" w:name="_Toc20707"/>
      <w:bookmarkStart w:id="174" w:name="_Toc5582"/>
      <w:bookmarkStart w:id="175" w:name="_Toc26267"/>
      <w:bookmarkStart w:id="176" w:name="_Toc517281838"/>
      <w:bookmarkStart w:id="177" w:name="_Toc287600130"/>
      <w:r>
        <w:rPr>
          <w:rFonts w:hint="eastAsia" w:ascii="仿宋" w:hAnsi="仿宋" w:eastAsia="仿宋" w:cs="仿宋"/>
          <w:color w:val="000000"/>
          <w:sz w:val="24"/>
          <w:szCs w:val="24"/>
          <w:highlight w:val="none"/>
        </w:rPr>
        <w:t>（三）法定代表人（负责人）授权委托书</w:t>
      </w:r>
      <w:bookmarkEnd w:id="169"/>
      <w:bookmarkEnd w:id="170"/>
      <w:bookmarkEnd w:id="171"/>
      <w:bookmarkEnd w:id="172"/>
      <w:bookmarkEnd w:id="173"/>
      <w:bookmarkEnd w:id="174"/>
      <w:bookmarkEnd w:id="175"/>
      <w:bookmarkEnd w:id="176"/>
      <w:bookmarkEnd w:id="177"/>
    </w:p>
    <w:p>
      <w:pPr>
        <w:pStyle w:val="156"/>
        <w:spacing w:before="240" w:after="240" w:line="360" w:lineRule="auto"/>
        <w:jc w:val="center"/>
        <w:rPr>
          <w:rFonts w:hint="eastAsia" w:ascii="仿宋" w:hAnsi="仿宋" w:eastAsia="仿宋" w:cs="Cambria Math"/>
          <w:b/>
          <w:color w:val="000000"/>
          <w:sz w:val="24"/>
          <w:szCs w:val="24"/>
          <w:highlight w:val="none"/>
        </w:rPr>
      </w:pPr>
      <w:r>
        <w:rPr>
          <w:rFonts w:hint="eastAsia" w:ascii="仿宋" w:hAnsi="仿宋" w:eastAsia="仿宋" w:cs="Cambria Math"/>
          <w:b/>
          <w:color w:val="000000"/>
          <w:sz w:val="24"/>
          <w:szCs w:val="24"/>
          <w:highlight w:val="none"/>
        </w:rPr>
        <w:t>法定代表人（负责人）授权委托书</w:t>
      </w:r>
    </w:p>
    <w:p>
      <w:pPr>
        <w:pStyle w:val="156"/>
        <w:topLinePunct/>
        <w:spacing w:line="360" w:lineRule="auto"/>
        <w:ind w:firstLine="480" w:firstLineChars="200"/>
        <w:rPr>
          <w:rFonts w:hint="eastAsia" w:ascii="仿宋" w:hAnsi="仿宋" w:eastAsia="仿宋" w:cs="Cambria Math"/>
          <w:color w:val="000000"/>
          <w:sz w:val="24"/>
          <w:szCs w:val="24"/>
          <w:highlight w:val="none"/>
        </w:rPr>
      </w:pPr>
      <w:r>
        <w:rPr>
          <w:rFonts w:hint="eastAsia" w:ascii="仿宋" w:hAnsi="仿宋" w:eastAsia="仿宋" w:cs="仿宋"/>
          <w:color w:val="000000"/>
          <w:sz w:val="24"/>
          <w:highlight w:val="none"/>
        </w:rPr>
        <w:t>本人</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系</w:t>
      </w:r>
      <w:r>
        <w:rPr>
          <w:rFonts w:hint="eastAsia" w:ascii="仿宋" w:hAnsi="仿宋" w:eastAsia="仿宋" w:cs="仿宋"/>
          <w:color w:val="000000"/>
          <w:sz w:val="24"/>
          <w:highlight w:val="none"/>
          <w:u w:val="single"/>
        </w:rPr>
        <w:t>（供应商名称）</w:t>
      </w:r>
      <w:r>
        <w:rPr>
          <w:rFonts w:hint="eastAsia" w:ascii="仿宋" w:hAnsi="仿宋" w:eastAsia="仿宋" w:cs="仿宋"/>
          <w:color w:val="000000"/>
          <w:sz w:val="24"/>
          <w:highlight w:val="none"/>
        </w:rPr>
        <w:t>的法定代表人</w:t>
      </w:r>
      <w:r>
        <w:rPr>
          <w:rFonts w:hint="eastAsia" w:ascii="仿宋" w:hAnsi="仿宋" w:eastAsia="仿宋" w:cs="仿宋"/>
          <w:color w:val="000000"/>
          <w:sz w:val="24"/>
          <w:szCs w:val="24"/>
          <w:highlight w:val="none"/>
        </w:rPr>
        <w:t>（负责人）</w:t>
      </w:r>
      <w:r>
        <w:rPr>
          <w:rFonts w:hint="eastAsia" w:ascii="仿宋" w:hAnsi="仿宋" w:eastAsia="仿宋" w:cs="仿宋"/>
          <w:color w:val="000000"/>
          <w:sz w:val="24"/>
          <w:highlight w:val="none"/>
        </w:rPr>
        <w:t>，现授权委托</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为我方代理人。</w:t>
      </w:r>
      <w:r>
        <w:rPr>
          <w:rFonts w:hint="eastAsia" w:ascii="仿宋" w:hAnsi="仿宋" w:eastAsia="仿宋" w:cs="Cambria Math"/>
          <w:color w:val="000000"/>
          <w:sz w:val="24"/>
          <w:szCs w:val="24"/>
          <w:highlight w:val="none"/>
        </w:rPr>
        <w:t>代理人根据授权，以我方名义签署、澄清、说明、补正、递交、撤回、修改</w:t>
      </w:r>
      <w:r>
        <w:rPr>
          <w:rFonts w:hint="eastAsia" w:ascii="仿宋" w:hAnsi="仿宋" w:eastAsia="仿宋" w:cs="Cambria Math"/>
          <w:color w:val="000000"/>
          <w:sz w:val="24"/>
          <w:szCs w:val="24"/>
          <w:highlight w:val="none"/>
          <w:u w:val="single"/>
        </w:rPr>
        <w:t>（项目名称）</w:t>
      </w:r>
      <w:r>
        <w:rPr>
          <w:rFonts w:hint="eastAsia" w:ascii="仿宋" w:hAnsi="仿宋" w:eastAsia="仿宋" w:cs="Cambria Math"/>
          <w:color w:val="000000"/>
          <w:sz w:val="24"/>
          <w:szCs w:val="24"/>
          <w:highlight w:val="none"/>
        </w:rPr>
        <w:t>磋商响应文件、签订合同和处理有关事宜，其法律后果由我方承担。</w:t>
      </w:r>
    </w:p>
    <w:p>
      <w:pPr>
        <w:widowControl/>
        <w:spacing w:line="360" w:lineRule="auto"/>
        <w:ind w:firstLine="480" w:firstLineChars="200"/>
        <w:jc w:val="left"/>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委托期限：</w:t>
      </w:r>
      <w:r>
        <w:rPr>
          <w:rFonts w:hint="eastAsia" w:ascii="仿宋" w:hAnsi="仿宋" w:eastAsia="仿宋" w:cs="Cambria Math"/>
          <w:color w:val="000000"/>
          <w:kern w:val="0"/>
          <w:sz w:val="24"/>
          <w:highlight w:val="none"/>
          <w:u w:val="single"/>
        </w:rPr>
        <w:t xml:space="preserve"> 自</w:t>
      </w:r>
      <w:r>
        <w:rPr>
          <w:rFonts w:hint="eastAsia" w:ascii="仿宋" w:hAnsi="仿宋" w:eastAsia="仿宋" w:cs="微软雅黑"/>
          <w:color w:val="000000"/>
          <w:kern w:val="0"/>
          <w:sz w:val="24"/>
          <w:highlight w:val="none"/>
          <w:u w:val="single"/>
        </w:rPr>
        <w:t>本委托书签字盖章生效</w:t>
      </w:r>
      <w:r>
        <w:rPr>
          <w:rFonts w:hint="eastAsia" w:ascii="仿宋" w:hAnsi="仿宋" w:eastAsia="仿宋" w:cs="Cambria Math"/>
          <w:color w:val="000000"/>
          <w:kern w:val="0"/>
          <w:sz w:val="24"/>
          <w:highlight w:val="none"/>
          <w:u w:val="single"/>
        </w:rPr>
        <w:t xml:space="preserve">之日起至磋商响应有效期到期之日为止 </w:t>
      </w:r>
      <w:r>
        <w:rPr>
          <w:rFonts w:hint="eastAsia" w:ascii="仿宋" w:hAnsi="仿宋" w:eastAsia="仿宋" w:cs="Cambria Math"/>
          <w:color w:val="000000"/>
          <w:kern w:val="0"/>
          <w:sz w:val="24"/>
          <w:highlight w:val="none"/>
        </w:rPr>
        <w:t>。</w:t>
      </w:r>
    </w:p>
    <w:p>
      <w:pPr>
        <w:pStyle w:val="156"/>
        <w:spacing w:line="360" w:lineRule="auto"/>
        <w:ind w:firstLine="480" w:firstLineChars="20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代理人无转委托权。</w:t>
      </w:r>
    </w:p>
    <w:p>
      <w:pPr>
        <w:pStyle w:val="156"/>
        <w:spacing w:line="360" w:lineRule="auto"/>
        <w:ind w:firstLine="482" w:firstLineChars="200"/>
        <w:rPr>
          <w:rFonts w:ascii="仿宋" w:hAnsi="仿宋" w:eastAsia="仿宋" w:cs="Cambria Math"/>
          <w:b/>
          <w:bCs/>
          <w:color w:val="000000"/>
          <w:sz w:val="24"/>
          <w:szCs w:val="24"/>
          <w:highlight w:val="none"/>
        </w:rPr>
      </w:pPr>
    </w:p>
    <w:p>
      <w:pPr>
        <w:pStyle w:val="156"/>
        <w:spacing w:line="360" w:lineRule="auto"/>
        <w:ind w:firstLine="482" w:firstLineChars="200"/>
        <w:rPr>
          <w:rFonts w:ascii="仿宋" w:hAnsi="仿宋" w:eastAsia="仿宋" w:cs="Cambria Math"/>
          <w:color w:val="000000"/>
          <w:sz w:val="24"/>
          <w:szCs w:val="24"/>
          <w:highlight w:val="none"/>
        </w:rPr>
      </w:pPr>
      <w:r>
        <w:rPr>
          <w:rFonts w:hint="eastAsia" w:ascii="仿宋" w:hAnsi="仿宋" w:eastAsia="仿宋" w:cs="Cambria Math"/>
          <w:b/>
          <w:bCs/>
          <w:color w:val="000000"/>
          <w:sz w:val="24"/>
          <w:szCs w:val="24"/>
          <w:highlight w:val="none"/>
        </w:rPr>
        <w:t>附：委托代理人身份证复印件（需同时提供正面及背面）</w:t>
      </w:r>
      <w:r>
        <w:rPr>
          <w:rFonts w:hint="eastAsia" w:ascii="仿宋" w:hAnsi="仿宋" w:eastAsia="仿宋" w:cs="Cambria Math"/>
          <w:color w:val="000000"/>
          <w:sz w:val="24"/>
          <w:szCs w:val="24"/>
          <w:highlight w:val="none"/>
        </w:rPr>
        <w:t>。</w:t>
      </w:r>
    </w:p>
    <w:p>
      <w:pPr>
        <w:pStyle w:val="156"/>
        <w:spacing w:line="440" w:lineRule="atLeast"/>
        <w:ind w:firstLine="480"/>
        <w:jc w:val="left"/>
        <w:rPr>
          <w:rFonts w:hint="eastAsia" w:ascii="仿宋" w:hAnsi="仿宋" w:eastAsia="仿宋" w:cs="仿宋"/>
          <w:color w:val="000000"/>
          <w:highlight w:val="none"/>
        </w:rPr>
      </w:pPr>
      <w:r>
        <w:rPr>
          <w:rFonts w:hint="eastAsia" w:ascii="仿宋" w:hAnsi="仿宋" w:eastAsia="仿宋" w:cs="仿宋"/>
          <w:color w:val="000000"/>
          <w:highlight w:val="none"/>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3360;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156"/>
        <w:spacing w:line="440" w:lineRule="atLeast"/>
        <w:ind w:firstLine="480"/>
        <w:jc w:val="left"/>
        <w:rPr>
          <w:rFonts w:hint="eastAsia" w:ascii="仿宋" w:hAnsi="仿宋" w:eastAsia="仿宋" w:cs="仿宋"/>
          <w:color w:val="000000"/>
          <w:highlight w:val="none"/>
        </w:rPr>
      </w:pPr>
    </w:p>
    <w:p>
      <w:pPr>
        <w:spacing w:line="360" w:lineRule="auto"/>
        <w:ind w:left="720"/>
        <w:rPr>
          <w:rFonts w:hint="eastAsia" w:ascii="仿宋" w:hAnsi="仿宋" w:eastAsia="仿宋" w:cs="仿宋"/>
          <w:b/>
          <w:color w:val="000000"/>
          <w:sz w:val="24"/>
          <w:highlight w:val="none"/>
        </w:rPr>
      </w:pPr>
    </w:p>
    <w:p>
      <w:pPr>
        <w:tabs>
          <w:tab w:val="left" w:pos="540"/>
        </w:tabs>
        <w:rPr>
          <w:rFonts w:ascii="仿宋" w:hAnsi="仿宋" w:eastAsia="仿宋" w:cs="仿宋"/>
          <w:color w:val="000000"/>
          <w:kern w:val="0"/>
          <w:szCs w:val="21"/>
          <w:highlight w:val="none"/>
        </w:rPr>
      </w:pPr>
      <w:r>
        <w:rPr>
          <w:rFonts w:hint="eastAsia" w:ascii="仿宋" w:hAnsi="仿宋" w:eastAsia="仿宋" w:cs="仿宋"/>
          <w:color w:val="000000"/>
          <w:kern w:val="0"/>
          <w:szCs w:val="21"/>
          <w:highlight w:val="none"/>
        </w:rPr>
        <w:tab/>
      </w:r>
    </w:p>
    <w:p>
      <w:pPr>
        <w:pStyle w:val="2"/>
        <w:rPr>
          <w:rFonts w:ascii="宋体" w:hAnsi="宋体"/>
          <w:kern w:val="0"/>
          <w:szCs w:val="21"/>
          <w:highlight w:val="none"/>
        </w:rPr>
      </w:pPr>
    </w:p>
    <w:p>
      <w:pPr>
        <w:pStyle w:val="2"/>
        <w:rPr>
          <w:rFonts w:ascii="宋体" w:hAnsi="宋体"/>
          <w:kern w:val="0"/>
          <w:szCs w:val="21"/>
          <w:highlight w:val="none"/>
        </w:rPr>
      </w:pPr>
    </w:p>
    <w:p>
      <w:pPr>
        <w:pStyle w:val="2"/>
        <w:rPr>
          <w:rFonts w:ascii="宋体" w:hAnsi="宋体"/>
          <w:kern w:val="0"/>
          <w:szCs w:val="21"/>
          <w:highlight w:val="none"/>
        </w:rPr>
      </w:pPr>
    </w:p>
    <w:p>
      <w:pPr>
        <w:spacing w:line="360" w:lineRule="auto"/>
        <w:ind w:right="420" w:firstLine="4200" w:firstLineChars="175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ind w:right="420" w:firstLine="3120" w:firstLineChars="13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法定代表人（负责人）：</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（签字或盖章）</w:t>
      </w:r>
    </w:p>
    <w:p>
      <w:pPr>
        <w:pStyle w:val="156"/>
        <w:wordWrap w:val="0"/>
        <w:spacing w:line="360" w:lineRule="auto"/>
        <w:ind w:right="105" w:firstLine="4200" w:firstLineChars="175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委托代理人：</w:t>
      </w:r>
      <w:r>
        <w:rPr>
          <w:rFonts w:hint="eastAsia" w:ascii="仿宋" w:hAnsi="仿宋" w:eastAsia="仿宋" w:cs="Cambria Math"/>
          <w:color w:val="000000"/>
          <w:sz w:val="24"/>
          <w:szCs w:val="24"/>
          <w:highlight w:val="none"/>
          <w:u w:val="single"/>
        </w:rPr>
        <w:t xml:space="preserve">               </w:t>
      </w:r>
      <w:r>
        <w:rPr>
          <w:rFonts w:hint="eastAsia" w:ascii="仿宋" w:hAnsi="仿宋" w:eastAsia="仿宋" w:cs="Cambria Math"/>
          <w:color w:val="000000"/>
          <w:sz w:val="24"/>
          <w:szCs w:val="24"/>
          <w:highlight w:val="none"/>
        </w:rPr>
        <w:t>（签字</w:t>
      </w:r>
      <w:r>
        <w:rPr>
          <w:rFonts w:hint="eastAsia" w:ascii="仿宋" w:hAnsi="仿宋" w:eastAsia="仿宋" w:cs="Cambria Math"/>
          <w:color w:val="000000"/>
          <w:sz w:val="24"/>
          <w:highlight w:val="none"/>
        </w:rPr>
        <w:t>或盖章</w:t>
      </w:r>
      <w:r>
        <w:rPr>
          <w:rFonts w:hint="eastAsia" w:ascii="仿宋" w:hAnsi="仿宋" w:eastAsia="仿宋" w:cs="Cambria Math"/>
          <w:color w:val="000000"/>
          <w:sz w:val="24"/>
          <w:szCs w:val="24"/>
          <w:highlight w:val="none"/>
        </w:rPr>
        <w:t xml:space="preserve">） </w:t>
      </w:r>
    </w:p>
    <w:p>
      <w:pPr>
        <w:wordWrap w:val="0"/>
        <w:spacing w:line="360" w:lineRule="auto"/>
        <w:ind w:firstLine="4200" w:firstLineChars="1750"/>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tabs>
          <w:tab w:val="left" w:pos="540"/>
        </w:tabs>
        <w:rPr>
          <w:rFonts w:hint="eastAsia" w:ascii="仿宋" w:hAnsi="仿宋" w:eastAsia="仿宋" w:cs="仿宋"/>
          <w:color w:val="000000"/>
          <w:kern w:val="0"/>
          <w:szCs w:val="21"/>
          <w:highlight w:val="none"/>
        </w:rPr>
        <w:sectPr>
          <w:pgSz w:w="11906" w:h="16838"/>
          <w:pgMar w:top="1417" w:right="1134" w:bottom="1134" w:left="1134" w:header="851" w:footer="992" w:gutter="0"/>
          <w:cols w:space="720" w:num="1"/>
          <w:titlePg/>
          <w:docGrid w:type="lines" w:linePitch="312" w:charSpace="0"/>
        </w:sectPr>
      </w:pPr>
    </w:p>
    <w:p>
      <w:pPr>
        <w:pStyle w:val="5"/>
        <w:numPr>
          <w:ilvl w:val="0"/>
          <w:numId w:val="0"/>
        </w:numPr>
        <w:spacing w:before="0" w:after="0" w:line="360" w:lineRule="auto"/>
        <w:rPr>
          <w:rFonts w:hint="eastAsia" w:ascii="仿宋" w:hAnsi="仿宋" w:eastAsia="仿宋" w:cs="仿宋"/>
          <w:color w:val="000000"/>
          <w:sz w:val="24"/>
          <w:szCs w:val="24"/>
          <w:highlight w:val="none"/>
        </w:rPr>
      </w:pPr>
      <w:bookmarkStart w:id="178" w:name="_Toc8353"/>
      <w:bookmarkStart w:id="179" w:name="_Toc517281841"/>
      <w:bookmarkStart w:id="180" w:name="_Toc27026"/>
      <w:bookmarkStart w:id="181" w:name="_Toc5406"/>
      <w:bookmarkStart w:id="182" w:name="_Toc287600132"/>
      <w:bookmarkStart w:id="183" w:name="_Toc11396"/>
      <w:bookmarkStart w:id="184" w:name="_Toc16561"/>
      <w:bookmarkStart w:id="185" w:name="_Toc444891357"/>
      <w:bookmarkStart w:id="186" w:name="_Toc34779216"/>
      <w:bookmarkStart w:id="187" w:name="_Toc34779170"/>
      <w:bookmarkStart w:id="188" w:name="_Toc34779120"/>
      <w:bookmarkStart w:id="189" w:name="_Toc35957216"/>
      <w:bookmarkStart w:id="190" w:name="_Toc34822258"/>
      <w:bookmarkStart w:id="191" w:name="_Toc287600135"/>
      <w:r>
        <w:rPr>
          <w:rFonts w:hint="eastAsia" w:ascii="仿宋" w:hAnsi="仿宋" w:eastAsia="仿宋" w:cs="仿宋"/>
          <w:color w:val="000000"/>
          <w:sz w:val="24"/>
          <w:szCs w:val="24"/>
          <w:highlight w:val="none"/>
        </w:rPr>
        <w:t>（四）资格证明文件</w:t>
      </w:r>
      <w:bookmarkEnd w:id="178"/>
    </w:p>
    <w:p>
      <w:pPr>
        <w:pStyle w:val="6"/>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1、供应商基本情况信息表</w:t>
      </w:r>
    </w:p>
    <w:p>
      <w:pPr>
        <w:pStyle w:val="156"/>
        <w:spacing w:line="360" w:lineRule="auto"/>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供应商基本情况信息表</w:t>
      </w:r>
    </w:p>
    <w:tbl>
      <w:tblPr>
        <w:tblStyle w:val="4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注册地址</w:t>
            </w:r>
          </w:p>
        </w:tc>
        <w:tc>
          <w:tcPr>
            <w:tcW w:w="3588" w:type="dxa"/>
            <w:gridSpan w:val="5"/>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789" w:type="dxa"/>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公司办公场所面职</w:t>
            </w:r>
          </w:p>
        </w:tc>
        <w:tc>
          <w:tcPr>
            <w:tcW w:w="3588" w:type="dxa"/>
            <w:gridSpan w:val="5"/>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平米</w:t>
            </w:r>
          </w:p>
        </w:tc>
        <w:tc>
          <w:tcPr>
            <w:tcW w:w="1789"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办事处地址</w:t>
            </w:r>
          </w:p>
        </w:tc>
        <w:tc>
          <w:tcPr>
            <w:tcW w:w="2232"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联系方式</w:t>
            </w:r>
          </w:p>
        </w:tc>
        <w:tc>
          <w:tcPr>
            <w:tcW w:w="1141"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联系人</w:t>
            </w:r>
          </w:p>
        </w:tc>
        <w:tc>
          <w:tcPr>
            <w:tcW w:w="2447"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1141"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传真</w:t>
            </w:r>
          </w:p>
        </w:tc>
        <w:tc>
          <w:tcPr>
            <w:tcW w:w="2447"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网址</w:t>
            </w:r>
          </w:p>
        </w:tc>
        <w:tc>
          <w:tcPr>
            <w:tcW w:w="2232"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组织结构</w:t>
            </w:r>
          </w:p>
        </w:tc>
        <w:tc>
          <w:tcPr>
            <w:tcW w:w="7609" w:type="dxa"/>
            <w:gridSpan w:val="9"/>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法定代表人</w:t>
            </w:r>
          </w:p>
        </w:tc>
        <w:tc>
          <w:tcPr>
            <w:tcW w:w="77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468"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985" w:type="dxa"/>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技术负责人</w:t>
            </w:r>
          </w:p>
        </w:tc>
        <w:tc>
          <w:tcPr>
            <w:tcW w:w="77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468"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98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成立时间</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5489" w:type="dxa"/>
            <w:gridSpan w:val="6"/>
            <w:tcBorders>
              <w:top w:val="nil"/>
              <w:left w:val="nil"/>
              <w:bottom w:val="single" w:color="000000" w:sz="4" w:space="0"/>
              <w:right w:val="single" w:color="000000" w:sz="4" w:space="0"/>
            </w:tcBorders>
            <w:noWrap w:val="0"/>
            <w:vAlign w:val="center"/>
          </w:tcPr>
          <w:p>
            <w:pPr>
              <w:pStyle w:val="156"/>
              <w:topLinePunct/>
              <w:ind w:firstLine="105"/>
              <w:jc w:val="center"/>
              <w:rPr>
                <w:rFonts w:hint="eastAsia" w:ascii="仿宋" w:hAnsi="仿宋" w:eastAsia="仿宋" w:cs="仿宋"/>
                <w:color w:val="000000"/>
                <w:highlight w:val="none"/>
              </w:rPr>
            </w:pPr>
            <w:r>
              <w:rPr>
                <w:rFonts w:hint="eastAsia" w:ascii="仿宋" w:hAnsi="仿宋" w:eastAsia="仿宋" w:cs="仿宋"/>
                <w:color w:val="000000"/>
                <w:highlight w:val="none"/>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企业资质等级</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restart"/>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营业执照号</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高级职称人员</w:t>
            </w:r>
          </w:p>
        </w:tc>
        <w:tc>
          <w:tcPr>
            <w:tcW w:w="2130"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注册资金</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中级职称人员</w:t>
            </w:r>
          </w:p>
        </w:tc>
        <w:tc>
          <w:tcPr>
            <w:tcW w:w="2130"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开户银行</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vMerge w:val="restart"/>
            <w:tcBorders>
              <w:top w:val="nil"/>
              <w:left w:val="nil"/>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初级职称人员</w:t>
            </w:r>
          </w:p>
        </w:tc>
        <w:tc>
          <w:tcPr>
            <w:tcW w:w="2130" w:type="dxa"/>
            <w:gridSpan w:val="2"/>
            <w:vMerge w:val="restart"/>
            <w:tcBorders>
              <w:top w:val="nil"/>
              <w:left w:val="nil"/>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账号</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vMerge w:val="continue"/>
            <w:tcBorders>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2130" w:type="dxa"/>
            <w:gridSpan w:val="2"/>
            <w:vMerge w:val="continue"/>
            <w:tcBorders>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ind w:firstLine="210"/>
              <w:jc w:val="center"/>
              <w:rPr>
                <w:rFonts w:hint="eastAsia" w:ascii="仿宋" w:hAnsi="仿宋" w:eastAsia="仿宋" w:cs="仿宋"/>
                <w:color w:val="000000"/>
                <w:highlight w:val="none"/>
              </w:rPr>
            </w:pPr>
            <w:r>
              <w:rPr>
                <w:rFonts w:hint="eastAsia" w:ascii="仿宋" w:hAnsi="仿宋" w:eastAsia="仿宋" w:cs="仿宋"/>
                <w:color w:val="000000"/>
                <w:highlight w:val="none"/>
              </w:rPr>
              <w:t>经营范围</w:t>
            </w:r>
          </w:p>
        </w:tc>
        <w:tc>
          <w:tcPr>
            <w:tcW w:w="7609" w:type="dxa"/>
            <w:gridSpan w:val="9"/>
            <w:tcBorders>
              <w:top w:val="nil"/>
              <w:left w:val="nil"/>
              <w:bottom w:val="single" w:color="000000" w:sz="4" w:space="0"/>
              <w:right w:val="single" w:color="000000" w:sz="4" w:space="0"/>
            </w:tcBorders>
            <w:noWrap w:val="0"/>
            <w:vAlign w:val="center"/>
          </w:tcPr>
          <w:p>
            <w:pPr>
              <w:pStyle w:val="156"/>
              <w:topLinePunct/>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备注</w:t>
            </w:r>
          </w:p>
        </w:tc>
        <w:tc>
          <w:tcPr>
            <w:tcW w:w="7609" w:type="dxa"/>
            <w:gridSpan w:val="9"/>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bl>
    <w:p>
      <w:pPr>
        <w:pStyle w:val="156"/>
        <w:jc w:val="left"/>
        <w:rPr>
          <w:rFonts w:hint="eastAsia" w:ascii="仿宋" w:hAnsi="仿宋" w:eastAsia="仿宋" w:cs="仿宋"/>
          <w:b/>
          <w:color w:val="000000"/>
          <w:sz w:val="24"/>
          <w:szCs w:val="24"/>
          <w:highlight w:val="none"/>
        </w:rPr>
      </w:pPr>
      <w:r>
        <w:rPr>
          <w:rFonts w:hint="eastAsia" w:ascii="仿宋" w:hAnsi="仿宋" w:eastAsia="仿宋" w:cs="宋体"/>
          <w:b/>
          <w:color w:val="000000"/>
          <w:sz w:val="24"/>
          <w:szCs w:val="24"/>
          <w:highlight w:val="none"/>
        </w:rPr>
        <w:t>注：</w:t>
      </w:r>
      <w:r>
        <w:rPr>
          <w:rFonts w:hint="eastAsia" w:ascii="仿宋" w:hAnsi="仿宋" w:eastAsia="仿宋" w:cs="宋体"/>
          <w:b/>
          <w:color w:val="000000"/>
          <w:sz w:val="24"/>
          <w:szCs w:val="24"/>
        </w:rPr>
        <w:t>提供由工商部门核发的最新营业执照（正副本皆可）。</w:t>
      </w:r>
    </w:p>
    <w:p>
      <w:pPr>
        <w:pStyle w:val="156"/>
        <w:jc w:val="left"/>
        <w:rPr>
          <w:rFonts w:hint="eastAsia" w:ascii="仿宋" w:hAnsi="仿宋" w:eastAsia="仿宋" w:cs="仿宋"/>
          <w:b/>
          <w:color w:val="000000"/>
          <w:highlight w:val="none"/>
        </w:rPr>
      </w:pPr>
    </w:p>
    <w:p>
      <w:pPr>
        <w:pStyle w:val="156"/>
        <w:jc w:val="left"/>
        <w:rPr>
          <w:rFonts w:hint="eastAsia" w:ascii="仿宋" w:hAnsi="仿宋" w:eastAsia="仿宋" w:cs="仿宋"/>
          <w:b/>
          <w:color w:val="000000"/>
          <w:highlight w:val="none"/>
          <w:lang w:eastAsia="zh-CN"/>
        </w:rPr>
      </w:pPr>
    </w:p>
    <w:p>
      <w:pPr>
        <w:pStyle w:val="156"/>
        <w:jc w:val="left"/>
        <w:rPr>
          <w:rFonts w:hint="eastAsia" w:ascii="仿宋" w:hAnsi="仿宋" w:eastAsia="仿宋" w:cs="仿宋"/>
          <w:b/>
          <w:color w:val="000000"/>
          <w:highlight w:val="none"/>
          <w:lang w:eastAsia="zh-CN"/>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供应商</w:t>
      </w:r>
      <w:r>
        <w:rPr>
          <w:rFonts w:hint="eastAsia" w:ascii="仿宋" w:hAnsi="仿宋" w:eastAsia="仿宋" w:cs="Cambria Math"/>
          <w:color w:val="000000"/>
          <w:sz w:val="24"/>
          <w:highlight w:val="none"/>
        </w:rPr>
        <w:t>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pStyle w:val="6"/>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cs="仿宋"/>
          <w:color w:val="000000"/>
          <w:highlight w:val="none"/>
        </w:rPr>
        <w:br w:type="page"/>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财务审计报告或银行资信证明</w:t>
      </w:r>
    </w:p>
    <w:p>
      <w:pPr>
        <w:spacing w:line="360" w:lineRule="auto"/>
        <w:ind w:firstLine="480" w:firstLineChars="200"/>
        <w:textAlignment w:val="baseline"/>
        <w:rPr>
          <w:rFonts w:ascii="仿宋" w:hAnsi="仿宋" w:eastAsia="仿宋" w:cs="仿宋"/>
          <w:color w:val="000000"/>
          <w:sz w:val="24"/>
          <w:highlight w:val="none"/>
        </w:rPr>
      </w:pPr>
      <w:r>
        <w:rPr>
          <w:rFonts w:hint="eastAsia" w:ascii="仿宋" w:hAnsi="仿宋" w:eastAsia="仿宋" w:cs="仿宋"/>
          <w:color w:val="000000"/>
          <w:sz w:val="24"/>
          <w:highlight w:val="none"/>
        </w:rPr>
        <w:t>提供</w:t>
      </w:r>
      <w:r>
        <w:rPr>
          <w:rFonts w:ascii="仿宋" w:hAnsi="仿宋" w:eastAsia="仿宋" w:cs="仿宋"/>
          <w:color w:val="FF0000"/>
          <w:sz w:val="24"/>
          <w:highlight w:val="none"/>
        </w:rPr>
        <w:t>20</w:t>
      </w:r>
      <w:r>
        <w:rPr>
          <w:rFonts w:hint="eastAsia" w:ascii="仿宋" w:hAnsi="仿宋" w:eastAsia="仿宋" w:cs="仿宋"/>
          <w:color w:val="FF0000"/>
          <w:sz w:val="24"/>
          <w:highlight w:val="none"/>
        </w:rPr>
        <w:t>XX</w:t>
      </w:r>
      <w:r>
        <w:rPr>
          <w:rFonts w:hint="eastAsia" w:ascii="仿宋" w:hAnsi="仿宋" w:eastAsia="仿宋" w:cs="仿宋"/>
          <w:color w:val="000000"/>
          <w:sz w:val="24"/>
          <w:highlight w:val="none"/>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sz w:val="24"/>
          <w:highlight w:val="none"/>
        </w:rPr>
        <w:t>响应文件递交截止日前</w:t>
      </w:r>
      <w:r>
        <w:rPr>
          <w:rFonts w:ascii="仿宋" w:hAnsi="仿宋" w:eastAsia="仿宋" w:cs="仿宋"/>
          <w:color w:val="000000"/>
          <w:sz w:val="24"/>
          <w:highlight w:val="none"/>
        </w:rPr>
        <w:t>6</w:t>
      </w:r>
      <w:r>
        <w:rPr>
          <w:rFonts w:hint="eastAsia" w:ascii="仿宋" w:hAnsi="仿宋" w:eastAsia="仿宋" w:cs="仿宋"/>
          <w:color w:val="000000"/>
          <w:sz w:val="24"/>
          <w:highlight w:val="none"/>
        </w:rPr>
        <w:t>个月内开具的银行资信证明。</w:t>
      </w:r>
      <w:r>
        <w:rPr>
          <w:rFonts w:ascii="仿宋" w:hAnsi="仿宋" w:eastAsia="仿宋" w:cs="仿宋"/>
          <w:color w:val="000000"/>
          <w:sz w:val="24"/>
          <w:highlight w:val="none"/>
        </w:rPr>
        <w:br w:type="page"/>
      </w:r>
    </w:p>
    <w:p>
      <w:pPr>
        <w:pStyle w:val="6"/>
        <w:numPr>
          <w:ilvl w:val="0"/>
          <w:numId w:val="0"/>
        </w:numPr>
        <w:spacing w:before="0" w:after="0" w:line="360" w:lineRule="auto"/>
        <w:rPr>
          <w:rFonts w:hint="eastAsia" w:ascii="仿宋" w:hAnsi="仿宋" w:eastAsia="仿宋" w:cs="仿宋"/>
          <w:b w:val="0"/>
          <w:bCs w:val="0"/>
          <w:color w:val="000000"/>
          <w:sz w:val="24"/>
          <w:szCs w:val="24"/>
          <w:highlight w:val="none"/>
        </w:rPr>
      </w:pP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同类项目实施经验</w:t>
      </w:r>
      <w:r>
        <w:rPr>
          <w:rFonts w:hint="eastAsia" w:ascii="仿宋" w:hAnsi="仿宋" w:eastAsia="仿宋" w:cs="仿宋"/>
          <w:b w:val="0"/>
          <w:bCs w:val="0"/>
          <w:color w:val="000000"/>
          <w:sz w:val="24"/>
          <w:szCs w:val="24"/>
          <w:highlight w:val="none"/>
        </w:rPr>
        <w:t xml:space="preserve"> </w:t>
      </w:r>
    </w:p>
    <w:tbl>
      <w:tblPr>
        <w:tblStyle w:val="4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序号</w:t>
            </w:r>
          </w:p>
        </w:tc>
        <w:tc>
          <w:tcPr>
            <w:tcW w:w="471"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合同名称</w:t>
            </w:r>
          </w:p>
        </w:tc>
        <w:tc>
          <w:tcPr>
            <w:tcW w:w="678"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合同签订时间</w:t>
            </w:r>
          </w:p>
        </w:tc>
        <w:tc>
          <w:tcPr>
            <w:tcW w:w="645"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采购内容</w:t>
            </w:r>
          </w:p>
        </w:tc>
        <w:tc>
          <w:tcPr>
            <w:tcW w:w="641"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合同金额（万元）</w:t>
            </w:r>
          </w:p>
        </w:tc>
        <w:tc>
          <w:tcPr>
            <w:tcW w:w="565"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合同甲方</w:t>
            </w:r>
          </w:p>
        </w:tc>
        <w:tc>
          <w:tcPr>
            <w:tcW w:w="821"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合同甲方联系人及电话</w:t>
            </w:r>
          </w:p>
        </w:tc>
        <w:tc>
          <w:tcPr>
            <w:tcW w:w="709" w:type="pct"/>
            <w:noWrap w:val="0"/>
            <w:vAlign w:val="center"/>
          </w:tcPr>
          <w:p>
            <w:pPr>
              <w:jc w:val="center"/>
              <w:rPr>
                <w:rFonts w:hint="eastAsia" w:ascii="仿宋" w:hAnsi="仿宋" w:eastAsia="仿宋" w:cs="仿宋"/>
                <w:b/>
                <w:szCs w:val="21"/>
                <w:highlight w:val="none"/>
              </w:rPr>
            </w:pPr>
            <w:r>
              <w:rPr>
                <w:rFonts w:hint="eastAsia" w:ascii="仿宋" w:hAnsi="仿宋" w:eastAsia="仿宋" w:cs="仿宋"/>
                <w:b/>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highlight w:val="none"/>
              </w:rPr>
            </w:pPr>
          </w:p>
        </w:tc>
        <w:tc>
          <w:tcPr>
            <w:tcW w:w="471" w:type="pct"/>
            <w:noWrap w:val="0"/>
            <w:vAlign w:val="center"/>
          </w:tcPr>
          <w:p>
            <w:pPr>
              <w:jc w:val="center"/>
              <w:rPr>
                <w:rFonts w:hint="eastAsia" w:ascii="仿宋" w:hAnsi="仿宋" w:eastAsia="仿宋" w:cs="仿宋"/>
                <w:szCs w:val="21"/>
                <w:highlight w:val="none"/>
              </w:rPr>
            </w:pPr>
          </w:p>
        </w:tc>
        <w:tc>
          <w:tcPr>
            <w:tcW w:w="678" w:type="pct"/>
            <w:noWrap w:val="0"/>
            <w:vAlign w:val="center"/>
          </w:tcPr>
          <w:p>
            <w:pPr>
              <w:jc w:val="center"/>
              <w:rPr>
                <w:rFonts w:hint="eastAsia" w:ascii="仿宋" w:hAnsi="仿宋" w:eastAsia="仿宋" w:cs="仿宋"/>
                <w:szCs w:val="21"/>
                <w:highlight w:val="none"/>
              </w:rPr>
            </w:pPr>
          </w:p>
        </w:tc>
        <w:tc>
          <w:tcPr>
            <w:tcW w:w="645" w:type="pct"/>
            <w:noWrap w:val="0"/>
            <w:vAlign w:val="center"/>
          </w:tcPr>
          <w:p>
            <w:pPr>
              <w:jc w:val="center"/>
              <w:rPr>
                <w:rFonts w:hint="eastAsia" w:ascii="仿宋" w:hAnsi="仿宋" w:eastAsia="仿宋" w:cs="仿宋"/>
                <w:szCs w:val="21"/>
                <w:highlight w:val="none"/>
              </w:rPr>
            </w:pPr>
          </w:p>
        </w:tc>
        <w:tc>
          <w:tcPr>
            <w:tcW w:w="641" w:type="pct"/>
            <w:noWrap w:val="0"/>
            <w:vAlign w:val="center"/>
          </w:tcPr>
          <w:p>
            <w:pPr>
              <w:jc w:val="center"/>
              <w:rPr>
                <w:rFonts w:hint="eastAsia" w:ascii="仿宋" w:hAnsi="仿宋" w:eastAsia="仿宋" w:cs="仿宋"/>
                <w:szCs w:val="21"/>
                <w:highlight w:val="none"/>
              </w:rPr>
            </w:pPr>
          </w:p>
        </w:tc>
        <w:tc>
          <w:tcPr>
            <w:tcW w:w="565" w:type="pct"/>
            <w:noWrap w:val="0"/>
            <w:vAlign w:val="center"/>
          </w:tcPr>
          <w:p>
            <w:pPr>
              <w:jc w:val="center"/>
              <w:rPr>
                <w:rFonts w:hint="eastAsia" w:ascii="仿宋" w:hAnsi="仿宋" w:eastAsia="仿宋" w:cs="仿宋"/>
                <w:szCs w:val="21"/>
                <w:highlight w:val="none"/>
              </w:rPr>
            </w:pPr>
          </w:p>
        </w:tc>
        <w:tc>
          <w:tcPr>
            <w:tcW w:w="821" w:type="pct"/>
            <w:noWrap w:val="0"/>
            <w:vAlign w:val="center"/>
          </w:tcPr>
          <w:p>
            <w:pPr>
              <w:jc w:val="center"/>
              <w:rPr>
                <w:rFonts w:hint="eastAsia" w:ascii="仿宋" w:hAnsi="仿宋" w:eastAsia="仿宋" w:cs="仿宋"/>
                <w:szCs w:val="21"/>
                <w:highlight w:val="none"/>
              </w:rPr>
            </w:pPr>
          </w:p>
        </w:tc>
        <w:tc>
          <w:tcPr>
            <w:tcW w:w="709" w:type="pct"/>
            <w:noWrap w:val="0"/>
            <w:vAlign w:val="center"/>
          </w:tcPr>
          <w:p>
            <w:pPr>
              <w:jc w:val="center"/>
              <w:rPr>
                <w:rFonts w:hint="eastAsia" w:ascii="仿宋" w:hAnsi="仿宋" w:eastAsia="仿宋" w:cs="仿宋"/>
                <w:szCs w:val="21"/>
                <w:highlight w:val="none"/>
              </w:rPr>
            </w:pPr>
          </w:p>
        </w:tc>
      </w:tr>
    </w:tbl>
    <w:p>
      <w:pPr>
        <w:spacing w:line="360" w:lineRule="auto"/>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备注：</w:t>
      </w:r>
    </w:p>
    <w:p>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2）按照磋商公告的资格要求提供有效的实施经验证明材料，作为资格后审的评审依据。</w:t>
      </w:r>
    </w:p>
    <w:p>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3）本业绩表及证明材料也作为详细评审中对供应商同类项目实施经验的评审及打分依据，供应商需根据详细评审标准的要求，提供符合要求的业绩证明材料。</w:t>
      </w:r>
    </w:p>
    <w:p>
      <w:pPr>
        <w:spacing w:line="360" w:lineRule="auto"/>
        <w:jc w:val="left"/>
        <w:rPr>
          <w:rFonts w:hint="eastAsia" w:ascii="仿宋" w:hAnsi="仿宋" w:eastAsia="仿宋" w:cs="仿宋"/>
          <w:color w:val="000000"/>
          <w:sz w:val="24"/>
          <w:highlight w:val="none"/>
        </w:rPr>
      </w:pPr>
    </w:p>
    <w:p>
      <w:pPr>
        <w:spacing w:line="360" w:lineRule="auto"/>
        <w:ind w:firstLine="480" w:firstLineChars="200"/>
        <w:jc w:val="left"/>
        <w:rPr>
          <w:rFonts w:hint="eastAsia" w:ascii="仿宋" w:hAnsi="仿宋" w:eastAsia="仿宋" w:cs="仿宋"/>
          <w:bCs/>
          <w:color w:val="000000"/>
          <w:sz w:val="24"/>
          <w:highlight w:val="none"/>
        </w:rPr>
      </w:pPr>
    </w:p>
    <w:p>
      <w:pPr>
        <w:pStyle w:val="107"/>
        <w:topLinePunct/>
        <w:adjustRightInd w:val="0"/>
        <w:snapToGrid w:val="0"/>
        <w:spacing w:line="360" w:lineRule="auto"/>
        <w:ind w:left="1575" w:firstLine="0" w:firstLineChars="0"/>
        <w:rPr>
          <w:rFonts w:hint="eastAsia" w:ascii="仿宋" w:hAnsi="仿宋" w:eastAsia="仿宋" w:cs="仿宋"/>
          <w:bCs/>
          <w:color w:val="000000"/>
          <w:sz w:val="24"/>
          <w:highlight w:val="none"/>
        </w:rPr>
      </w:pPr>
    </w:p>
    <w:p>
      <w:pPr>
        <w:pStyle w:val="107"/>
        <w:topLinePunct/>
        <w:adjustRightInd w:val="0"/>
        <w:snapToGrid w:val="0"/>
        <w:spacing w:line="360" w:lineRule="auto"/>
        <w:ind w:left="1575" w:firstLine="0" w:firstLineChars="0"/>
        <w:rPr>
          <w:rFonts w:hint="eastAsia" w:ascii="仿宋" w:hAnsi="仿宋" w:eastAsia="仿宋" w:cs="仿宋"/>
          <w:bCs/>
          <w:color w:val="000000"/>
          <w:sz w:val="24"/>
          <w:highlight w:val="none"/>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供应商</w:t>
      </w:r>
      <w:r>
        <w:rPr>
          <w:rFonts w:hint="eastAsia" w:ascii="仿宋" w:hAnsi="仿宋" w:eastAsia="仿宋" w:cs="Cambria Math"/>
          <w:color w:val="000000"/>
          <w:sz w:val="24"/>
          <w:highlight w:val="none"/>
        </w:rPr>
        <w:t>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pStyle w:val="6"/>
        <w:numPr>
          <w:ilvl w:val="0"/>
          <w:numId w:val="0"/>
        </w:numPr>
        <w:spacing w:before="0" w:after="0" w:line="360" w:lineRule="auto"/>
        <w:rPr>
          <w:rFonts w:hint="eastAsia" w:ascii="仿宋" w:hAnsi="仿宋" w:eastAsia="仿宋" w:cs="仿宋"/>
          <w:color w:val="000000"/>
          <w:sz w:val="24"/>
          <w:szCs w:val="24"/>
          <w:highlight w:val="none"/>
        </w:rPr>
      </w:pPr>
      <w:r>
        <w:rPr>
          <w:highlight w:val="none"/>
        </w:rPr>
        <w:br w:type="page"/>
      </w:r>
      <w:r>
        <w:rPr>
          <w:rFonts w:hint="eastAsia" w:ascii="仿宋" w:hAnsi="仿宋" w:eastAsia="仿宋" w:cs="仿宋"/>
          <w:sz w:val="24"/>
          <w:szCs w:val="24"/>
          <w:highlight w:val="none"/>
          <w:lang w:val="en-US" w:eastAsia="zh-CN"/>
        </w:rPr>
        <w:t>4、</w:t>
      </w:r>
      <w:r>
        <w:rPr>
          <w:rFonts w:hint="eastAsia" w:ascii="仿宋" w:hAnsi="仿宋" w:eastAsia="仿宋" w:cs="仿宋"/>
          <w:color w:val="000000"/>
          <w:sz w:val="24"/>
          <w:szCs w:val="24"/>
          <w:highlight w:val="none"/>
        </w:rPr>
        <w:t>税收和社保证明材料</w:t>
      </w:r>
    </w:p>
    <w:p>
      <w:pPr>
        <w:spacing w:line="360" w:lineRule="auto"/>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提供6个月任意一个月的企业税收和社会保障资金缴纳凭证。</w:t>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p>
    <w:p>
      <w:pPr>
        <w:pStyle w:val="6"/>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5、无违法违规记录查询截图</w:t>
      </w:r>
    </w:p>
    <w:p>
      <w:pPr>
        <w:spacing w:line="360" w:lineRule="auto"/>
        <w:ind w:firstLine="480" w:firstLineChars="200"/>
        <w:textAlignment w:val="baseline"/>
        <w:rPr>
          <w:rStyle w:val="49"/>
        </w:rPr>
      </w:pPr>
      <w:r>
        <w:rPr>
          <w:rFonts w:hint="eastAsia" w:ascii="仿宋" w:hAnsi="仿宋" w:eastAsia="仿宋" w:cs="Cambria Math"/>
          <w:color w:val="000000"/>
          <w:sz w:val="24"/>
          <w:lang w:val="en-US" w:eastAsia="zh-CN"/>
        </w:rPr>
        <w:t>信用中国</w:t>
      </w:r>
      <w:r>
        <w:rPr>
          <w:rFonts w:hint="eastAsia" w:ascii="仿宋" w:hAnsi="仿宋" w:eastAsia="仿宋" w:cs="Cambria Math"/>
          <w:color w:val="000000"/>
          <w:sz w:val="24"/>
        </w:rPr>
        <w:t>查询网址：</w:t>
      </w:r>
      <w:r>
        <w:fldChar w:fldCharType="begin"/>
      </w:r>
      <w:r>
        <w:rPr>
          <w:rStyle w:val="49"/>
        </w:rPr>
        <w:instrText xml:space="preserve"> </w:instrText>
      </w:r>
      <w:r>
        <w:rPr>
          <w:rStyle w:val="49"/>
          <w:rFonts w:hint="eastAsia"/>
        </w:rPr>
        <w:instrText xml:space="preserve">HYPERLINK "https://www.creditchina.gov.cn/xinyongfuwu/?navPage=5"</w:instrText>
      </w:r>
      <w:r>
        <w:rPr>
          <w:rStyle w:val="49"/>
        </w:rPr>
        <w:instrText xml:space="preserve"> </w:instrText>
      </w:r>
      <w:r>
        <w:fldChar w:fldCharType="separate"/>
      </w:r>
      <w:r>
        <w:rPr>
          <w:rStyle w:val="49"/>
          <w:rFonts w:hint="eastAsia"/>
        </w:rPr>
        <w:t>https://www.creditchina.gov.cn/xinyongfuwu/?navPage=5</w:t>
      </w:r>
      <w:r>
        <w:fldChar w:fldCharType="end"/>
      </w:r>
    </w:p>
    <w:p>
      <w:pPr>
        <w:spacing w:line="360" w:lineRule="auto"/>
        <w:textAlignment w:val="baseline"/>
        <w:rPr>
          <w:color w:val="333333"/>
          <w:highlight w:val="none"/>
        </w:rPr>
      </w:pPr>
      <w:r>
        <w:rPr>
          <w:rFonts w:hint="eastAsia" w:ascii="仿宋" w:hAnsi="仿宋" w:eastAsia="仿宋" w:cs="Cambria Math"/>
          <w:sz w:val="24"/>
          <w:highlight w:val="none"/>
        </w:rPr>
        <w:t>（1）失信被执行人查询截图范例：</w:t>
      </w:r>
    </w:p>
    <w:p>
      <w:pPr>
        <w:ind w:firstLine="210" w:firstLineChars="100"/>
        <w:rPr>
          <w:highlight w:val="none"/>
        </w:rPr>
      </w:pPr>
      <w:r>
        <w:rPr>
          <w:highlight w:val="none"/>
        </w:rPr>
        <w:drawing>
          <wp:inline distT="0" distB="0" distL="114300" distR="114300">
            <wp:extent cx="5909310" cy="3769360"/>
            <wp:effectExtent l="0" t="0" r="8890" b="254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14"/>
                    <a:srcRect b="11951"/>
                    <a:stretch>
                      <a:fillRect/>
                    </a:stretch>
                  </pic:blipFill>
                  <pic:spPr>
                    <a:xfrm>
                      <a:off x="0" y="0"/>
                      <a:ext cx="5909310" cy="3769360"/>
                    </a:xfrm>
                    <a:prstGeom prst="rect">
                      <a:avLst/>
                    </a:prstGeom>
                    <a:noFill/>
                    <a:ln>
                      <a:noFill/>
                    </a:ln>
                  </pic:spPr>
                </pic:pic>
              </a:graphicData>
            </a:graphic>
          </wp:inline>
        </w:drawing>
      </w:r>
    </w:p>
    <w:p>
      <w:pPr>
        <w:rPr>
          <w:rFonts w:hint="eastAsia" w:ascii="仿宋" w:hAnsi="仿宋" w:eastAsia="仿宋"/>
          <w:color w:val="000000"/>
          <w:szCs w:val="21"/>
          <w:highlight w:val="none"/>
        </w:rPr>
      </w:pPr>
      <w:r>
        <w:rPr>
          <w:rFonts w:hint="eastAsia" w:ascii="仿宋" w:hAnsi="仿宋" w:eastAsia="仿宋" w:cs="Cambria Math"/>
          <w:sz w:val="24"/>
          <w:highlight w:val="none"/>
        </w:rPr>
        <w:t>（2）</w:t>
      </w:r>
      <w:r>
        <w:rPr>
          <w:rFonts w:hint="eastAsia" w:ascii="仿宋" w:hAnsi="仿宋" w:eastAsia="仿宋" w:cs="微软雅黑"/>
          <w:color w:val="000000"/>
          <w:sz w:val="24"/>
          <w:highlight w:val="none"/>
        </w:rPr>
        <w:t>重大</w:t>
      </w:r>
      <w:r>
        <w:rPr>
          <w:rFonts w:hint="eastAsia" w:ascii="仿宋" w:hAnsi="仿宋" w:eastAsia="仿宋" w:cs="仿宋"/>
          <w:color w:val="000000"/>
          <w:sz w:val="24"/>
          <w:highlight w:val="none"/>
        </w:rPr>
        <w:t>税收违法失信主体</w:t>
      </w:r>
      <w:r>
        <w:rPr>
          <w:rFonts w:hint="eastAsia" w:ascii="仿宋" w:hAnsi="仿宋" w:eastAsia="仿宋" w:cs="微软雅黑"/>
          <w:color w:val="000000"/>
          <w:sz w:val="24"/>
          <w:highlight w:val="none"/>
        </w:rPr>
        <w:t>查询截图范例：</w:t>
      </w:r>
    </w:p>
    <w:p>
      <w:pPr>
        <w:rPr>
          <w:rFonts w:hint="eastAsia" w:ascii="仿宋" w:hAnsi="仿宋" w:eastAsia="仿宋" w:cs="Cambria Math"/>
          <w:sz w:val="24"/>
          <w:highlight w:val="none"/>
        </w:rPr>
      </w:pPr>
      <w:r>
        <w:rPr>
          <w:rFonts w:ascii="仿宋" w:hAnsi="仿宋" w:eastAsia="仿宋"/>
          <w:color w:val="000000"/>
          <w:szCs w:val="21"/>
          <w:highlight w:val="none"/>
        </w:rPr>
        <w:drawing>
          <wp:inline distT="0" distB="0" distL="114300" distR="114300">
            <wp:extent cx="6119495" cy="3312795"/>
            <wp:effectExtent l="0" t="0" r="1905" b="1905"/>
            <wp:docPr id="7"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微信图片_20220713154746"/>
                    <pic:cNvPicPr>
                      <a:picLocks noChangeAspect="1"/>
                    </pic:cNvPicPr>
                  </pic:nvPicPr>
                  <pic:blipFill>
                    <a:blip r:embed="rId15"/>
                    <a:stretch>
                      <a:fillRect/>
                    </a:stretch>
                  </pic:blipFill>
                  <pic:spPr>
                    <a:xfrm>
                      <a:off x="0" y="0"/>
                      <a:ext cx="6119495" cy="3312795"/>
                    </a:xfrm>
                    <a:prstGeom prst="rect">
                      <a:avLst/>
                    </a:prstGeom>
                    <a:noFill/>
                    <a:ln>
                      <a:noFill/>
                    </a:ln>
                  </pic:spPr>
                </pic:pic>
              </a:graphicData>
            </a:graphic>
          </wp:inline>
        </w:drawing>
      </w:r>
    </w:p>
    <w:p>
      <w:pPr>
        <w:ind w:firstLine="240" w:firstLineChars="100"/>
        <w:rPr>
          <w:rFonts w:ascii="仿宋" w:hAnsi="仿宋" w:eastAsia="仿宋" w:cs="Cambria Math"/>
          <w:sz w:val="24"/>
          <w:highlight w:val="none"/>
        </w:rPr>
      </w:pPr>
      <w:r>
        <w:rPr>
          <w:rFonts w:hint="eastAsia" w:ascii="仿宋" w:hAnsi="仿宋" w:eastAsia="仿宋" w:cs="Cambria Math"/>
          <w:sz w:val="24"/>
          <w:highlight w:val="none"/>
        </w:rPr>
        <w:t>（3）政府采购严重违法失信行为记录名单查询截图范例：</w:t>
      </w:r>
    </w:p>
    <w:p>
      <w:pPr>
        <w:ind w:firstLine="210" w:firstLineChars="100"/>
        <w:rPr>
          <w:highlight w:val="none"/>
        </w:rPr>
      </w:pPr>
      <w:r>
        <w:rPr>
          <w:highlight w:val="none"/>
        </w:rPr>
        <w:drawing>
          <wp:inline distT="0" distB="0" distL="114300" distR="114300">
            <wp:extent cx="5976620" cy="3242310"/>
            <wp:effectExtent l="0" t="0" r="5080" b="889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6"/>
                    <a:stretch>
                      <a:fillRect/>
                    </a:stretch>
                  </pic:blipFill>
                  <pic:spPr>
                    <a:xfrm>
                      <a:off x="0" y="0"/>
                      <a:ext cx="5976620" cy="3242310"/>
                    </a:xfrm>
                    <a:prstGeom prst="rect">
                      <a:avLst/>
                    </a:prstGeom>
                    <a:noFill/>
                    <a:ln>
                      <a:noFill/>
                    </a:ln>
                  </pic:spPr>
                </pic:pic>
              </a:graphicData>
            </a:graphic>
          </wp:inline>
        </w:drawing>
      </w:r>
    </w:p>
    <w:p>
      <w:pPr>
        <w:pStyle w:val="6"/>
        <w:spacing w:before="0" w:after="0" w:line="360" w:lineRule="auto"/>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br w:type="page"/>
      </w:r>
      <w:r>
        <w:rPr>
          <w:rFonts w:ascii="仿宋" w:hAnsi="仿宋" w:eastAsia="仿宋" w:cs="仿宋"/>
          <w:color w:val="000000"/>
          <w:sz w:val="24"/>
          <w:szCs w:val="24"/>
          <w:highlight w:val="none"/>
        </w:rPr>
        <w:t>6</w:t>
      </w:r>
      <w:r>
        <w:rPr>
          <w:rFonts w:hint="eastAsia" w:ascii="仿宋" w:hAnsi="仿宋" w:eastAsia="仿宋" w:cs="仿宋"/>
          <w:color w:val="000000"/>
          <w:sz w:val="24"/>
          <w:szCs w:val="24"/>
          <w:highlight w:val="none"/>
        </w:rPr>
        <w:t>、未列入供应商黑名单且未在禁入期承诺函</w:t>
      </w:r>
    </w:p>
    <w:p>
      <w:pPr>
        <w:pStyle w:val="2"/>
        <w:spacing w:before="24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u w:val="single"/>
          <w:lang w:val="en-US" w:eastAsia="zh-CN"/>
        </w:rPr>
        <w:t>采购人名称</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rPr>
        <w:t>：</w:t>
      </w:r>
    </w:p>
    <w:p>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承诺截至本项目响应文件递交截止时间，我方未被列入</w:t>
      </w:r>
      <w:r>
        <w:rPr>
          <w:rFonts w:hint="eastAsia" w:ascii="仿宋" w:hAnsi="仿宋" w:eastAsia="仿宋" w:cs="Cambria Math"/>
          <w:color w:val="000000"/>
          <w:sz w:val="24"/>
          <w:highlight w:val="none"/>
          <w:lang w:val="en-US" w:eastAsia="zh-CN"/>
        </w:rPr>
        <w:t>采购</w:t>
      </w:r>
      <w:r>
        <w:rPr>
          <w:rFonts w:hint="eastAsia" w:ascii="仿宋" w:hAnsi="仿宋" w:eastAsia="仿宋" w:cs="Cambria Math"/>
          <w:color w:val="000000"/>
          <w:sz w:val="24"/>
          <w:highlight w:val="none"/>
        </w:rPr>
        <w:t>人及其所隶属的中国人民保险各级机构的供应商黑名单且未在禁入期内。</w:t>
      </w:r>
    </w:p>
    <w:p>
      <w:pPr>
        <w:pStyle w:val="2"/>
        <w:ind w:firstLine="480" w:firstLineChars="200"/>
        <w:jc w:val="both"/>
        <w:rPr>
          <w:rFonts w:ascii="仿宋" w:hAnsi="仿宋" w:eastAsia="仿宋" w:cs="Cambria Math"/>
          <w:color w:val="000000"/>
          <w:sz w:val="24"/>
          <w:highlight w:val="none"/>
        </w:rPr>
      </w:pPr>
    </w:p>
    <w:p>
      <w:pPr>
        <w:pStyle w:val="2"/>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特此承诺。</w:t>
      </w:r>
    </w:p>
    <w:p>
      <w:pPr>
        <w:pStyle w:val="126"/>
        <w:ind w:firstLine="640"/>
        <w:rPr>
          <w:rFonts w:ascii="仿宋" w:hAnsi="仿宋" w:eastAsia="仿宋"/>
          <w:highlight w:val="none"/>
        </w:rPr>
      </w:pPr>
    </w:p>
    <w:p>
      <w:pPr>
        <w:pStyle w:val="126"/>
        <w:ind w:firstLine="640"/>
        <w:rPr>
          <w:rFonts w:ascii="仿宋" w:hAnsi="仿宋" w:eastAsia="仿宋"/>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pStyle w:val="149"/>
        <w:spacing w:line="360" w:lineRule="auto"/>
        <w:rPr>
          <w:rFonts w:hint="eastAsia" w:ascii="仿宋" w:hAnsi="仿宋" w:eastAsia="仿宋" w:cs="仿宋"/>
          <w:color w:val="000000"/>
          <w:highlight w:val="none"/>
        </w:rPr>
      </w:pPr>
      <w:r>
        <w:rPr>
          <w:rFonts w:hint="eastAsia" w:ascii="仿宋" w:hAnsi="仿宋" w:eastAsia="仿宋" w:cs="仿宋"/>
          <w:color w:val="000000"/>
          <w:szCs w:val="24"/>
          <w:highlight w:val="none"/>
        </w:rPr>
        <w:br w:type="page"/>
      </w:r>
    </w:p>
    <w:p>
      <w:pPr>
        <w:pStyle w:val="6"/>
        <w:spacing w:before="0" w:after="0" w:line="360" w:lineRule="auto"/>
        <w:rPr>
          <w:rFonts w:hint="eastAsia" w:ascii="仿宋" w:hAnsi="仿宋" w:eastAsia="仿宋" w:cs="仿宋"/>
          <w:color w:val="000000"/>
          <w:sz w:val="24"/>
          <w:szCs w:val="24"/>
          <w:highlight w:val="none"/>
        </w:rPr>
      </w:pPr>
      <w:bookmarkStart w:id="192" w:name="_Hlk69983040"/>
      <w:r>
        <w:rPr>
          <w:rFonts w:ascii="仿宋" w:hAnsi="仿宋" w:eastAsia="仿宋" w:cs="仿宋"/>
          <w:color w:val="000000"/>
          <w:sz w:val="24"/>
          <w:szCs w:val="24"/>
          <w:highlight w:val="none"/>
        </w:rPr>
        <w:t>7</w:t>
      </w:r>
      <w:r>
        <w:rPr>
          <w:rFonts w:hint="eastAsia" w:ascii="仿宋" w:hAnsi="仿宋" w:eastAsia="仿宋" w:cs="仿宋"/>
          <w:color w:val="000000"/>
          <w:sz w:val="24"/>
          <w:szCs w:val="24"/>
          <w:highlight w:val="none"/>
        </w:rPr>
        <w:t>、供应商控股及管理关系情况申报表</w:t>
      </w:r>
    </w:p>
    <w:p>
      <w:pPr>
        <w:pStyle w:val="107"/>
        <w:spacing w:before="240" w:after="240" w:line="360" w:lineRule="auto"/>
        <w:ind w:firstLine="0" w:firstLineChars="0"/>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供应商控股及管理关系情况申报表</w:t>
      </w:r>
    </w:p>
    <w:p>
      <w:pPr>
        <w:adjustRightInd w:val="0"/>
        <w:snapToGrid w:val="0"/>
        <w:spacing w:line="360" w:lineRule="auto"/>
        <w:ind w:left="0" w:leftChars="-295" w:hanging="619" w:hangingChars="258"/>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致：</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u w:val="single"/>
          <w:lang w:val="en-US" w:eastAsia="zh-CN"/>
        </w:rPr>
        <w:t>采购</w:t>
      </w:r>
      <w:r>
        <w:rPr>
          <w:rFonts w:hint="eastAsia" w:ascii="仿宋" w:hAnsi="仿宋" w:eastAsia="仿宋" w:cs="宋体"/>
          <w:color w:val="000000"/>
          <w:sz w:val="24"/>
          <w:szCs w:val="24"/>
          <w:highlight w:val="none"/>
          <w:u w:val="single"/>
        </w:rPr>
        <w:t xml:space="preserve">人名称）  </w:t>
      </w:r>
      <w:r>
        <w:rPr>
          <w:rFonts w:hint="eastAsia" w:ascii="仿宋" w:hAnsi="仿宋" w:eastAsia="仿宋" w:cs="宋体"/>
          <w:color w:val="000000"/>
          <w:sz w:val="24"/>
          <w:szCs w:val="24"/>
          <w:highlight w:val="none"/>
        </w:rPr>
        <w:t>：</w:t>
      </w:r>
    </w:p>
    <w:p>
      <w:pPr>
        <w:adjustRightInd w:val="0"/>
        <w:snapToGrid w:val="0"/>
        <w:spacing w:line="360" w:lineRule="auto"/>
        <w:ind w:left="-617" w:leftChars="-294" w:right="-512" w:rightChars="-244" w:firstLine="616" w:firstLineChars="257"/>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我方参加</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（项目名称）的</w:t>
      </w:r>
      <w:r>
        <w:rPr>
          <w:rFonts w:hint="eastAsia" w:ascii="仿宋" w:hAnsi="仿宋" w:eastAsia="仿宋" w:cs="宋体"/>
          <w:color w:val="000000"/>
          <w:sz w:val="24"/>
          <w:szCs w:val="24"/>
          <w:highlight w:val="none"/>
          <w:lang w:val="en-US" w:eastAsia="zh-CN"/>
        </w:rPr>
        <w:t>磋商</w:t>
      </w:r>
      <w:r>
        <w:rPr>
          <w:rFonts w:hint="eastAsia" w:ascii="仿宋" w:hAnsi="仿宋" w:eastAsia="仿宋" w:cs="宋体"/>
          <w:color w:val="000000"/>
          <w:sz w:val="24"/>
          <w:szCs w:val="24"/>
          <w:highlight w:val="none"/>
        </w:rPr>
        <w:t>，根据法律法规维护投标公正性的相关规定，</w:t>
      </w:r>
      <w:r>
        <w:rPr>
          <w:rFonts w:hint="eastAsia" w:ascii="仿宋" w:hAnsi="仿宋" w:eastAsia="仿宋" w:cs="宋体"/>
          <w:color w:val="000000"/>
          <w:sz w:val="24"/>
          <w:szCs w:val="24"/>
          <w:highlight w:val="none"/>
          <w:lang w:val="en-US" w:eastAsia="zh-CN"/>
        </w:rPr>
        <w:t>我方与采购人之间</w:t>
      </w:r>
      <w:r>
        <w:rPr>
          <w:rFonts w:hint="eastAsia" w:ascii="仿宋" w:hAnsi="仿宋" w:eastAsia="仿宋" w:cs="宋体"/>
          <w:color w:val="auto"/>
          <w:sz w:val="24"/>
          <w:szCs w:val="24"/>
          <w:highlight w:val="none"/>
          <w:lang w:val="en-US" w:eastAsia="zh-CN"/>
        </w:rPr>
        <w:t>不存在利害关系可</w:t>
      </w:r>
      <w:r>
        <w:rPr>
          <w:rFonts w:hint="eastAsia" w:ascii="仿宋" w:hAnsi="仿宋" w:eastAsia="仿宋" w:cs="宋体"/>
          <w:color w:val="000000"/>
          <w:sz w:val="24"/>
          <w:szCs w:val="24"/>
          <w:highlight w:val="none"/>
          <w:lang w:val="en-US" w:eastAsia="zh-CN"/>
        </w:rPr>
        <w:t>能影响采购公正性的法人、其他组织或者个人，</w:t>
      </w:r>
      <w:r>
        <w:rPr>
          <w:rFonts w:hint="eastAsia" w:ascii="仿宋" w:hAnsi="仿宋" w:eastAsia="仿宋" w:cs="宋体"/>
          <w:color w:val="000000"/>
          <w:sz w:val="24"/>
          <w:szCs w:val="24"/>
          <w:highlight w:val="none"/>
        </w:rPr>
        <w:t>特就本单位控股及管理关系情况申报如下</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rPr>
        <w:t>并承担申报不实的责任</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lang w:val="en-US" w:eastAsia="zh-CN"/>
        </w:rPr>
        <w:t>如我方中选该项目并签署合同后，一旦发现我方申报不实，采购人可无条件终止合同</w:t>
      </w:r>
      <w:r>
        <w:rPr>
          <w:rFonts w:hint="eastAsia" w:ascii="仿宋" w:hAnsi="仿宋" w:eastAsia="仿宋" w:cs="宋体"/>
          <w:color w:val="000000"/>
          <w:sz w:val="24"/>
          <w:szCs w:val="24"/>
          <w:highlight w:val="none"/>
        </w:rPr>
        <w:t>。</w:t>
      </w:r>
    </w:p>
    <w:tbl>
      <w:tblPr>
        <w:tblStyle w:val="4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申报人名称</w:t>
            </w:r>
          </w:p>
        </w:tc>
        <w:tc>
          <w:tcPr>
            <w:tcW w:w="7926" w:type="dxa"/>
            <w:gridSpan w:val="2"/>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法定代表人/单位负责人</w:t>
            </w: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姓    名</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身份证号</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pPr>
              <w:adjustRightInd w:val="0"/>
              <w:snapToGrid w:val="0"/>
              <w:spacing w:line="440" w:lineRule="exact"/>
              <w:rPr>
                <w:rFonts w:hint="default" w:ascii="仿宋" w:hAnsi="仿宋" w:eastAsia="仿宋" w:cs="宋体"/>
                <w:color w:val="000000"/>
                <w:highlight w:val="none"/>
                <w:lang w:val="en-US" w:eastAsia="zh-CN"/>
              </w:rPr>
            </w:pPr>
            <w:r>
              <w:rPr>
                <w:rFonts w:hint="eastAsia" w:ascii="仿宋" w:hAnsi="仿宋" w:eastAsia="仿宋" w:cs="宋体"/>
                <w:color w:val="000000"/>
                <w:highlight w:val="none"/>
                <w:lang w:val="en-US" w:eastAsia="zh-CN"/>
              </w:rPr>
              <w:t>单位负责人为同一人单位名称</w:t>
            </w:r>
          </w:p>
        </w:tc>
        <w:tc>
          <w:tcPr>
            <w:tcW w:w="7926" w:type="dxa"/>
            <w:gridSpan w:val="2"/>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highlight w:val="none"/>
                <w:lang w:eastAsia="zh-CN"/>
              </w:rPr>
            </w:pP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关系</w:t>
            </w: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控股股东/投资人名称及出资比例</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投资</w:t>
            </w:r>
            <w:r>
              <w:rPr>
                <w:rFonts w:hint="eastAsia" w:ascii="仿宋" w:hAnsi="仿宋" w:eastAsia="仿宋" w:cs="宋体"/>
                <w:color w:val="000000"/>
                <w:highlight w:val="none"/>
                <w:lang w:val="en-US" w:eastAsia="zh-CN"/>
              </w:rPr>
              <w:t>单位</w:t>
            </w:r>
            <w:r>
              <w:rPr>
                <w:rFonts w:hint="eastAsia" w:ascii="仿宋" w:hAnsi="仿宋" w:eastAsia="仿宋" w:cs="宋体"/>
                <w:color w:val="000000"/>
                <w:highlight w:val="none"/>
              </w:rPr>
              <w:t>名称及出资比例</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w:t>
            </w:r>
          </w:p>
        </w:tc>
        <w:tc>
          <w:tcPr>
            <w:tcW w:w="2356" w:type="dxa"/>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管理关系单位名称</w:t>
            </w:r>
          </w:p>
        </w:tc>
        <w:tc>
          <w:tcPr>
            <w:tcW w:w="5570" w:type="dxa"/>
            <w:noWrap w:val="0"/>
            <w:vAlign w:val="center"/>
          </w:tcPr>
          <w:p>
            <w:pPr>
              <w:adjustRightInd w:val="0"/>
              <w:snapToGrid w:val="0"/>
              <w:spacing w:line="440" w:lineRule="exact"/>
              <w:rPr>
                <w:rFonts w:hint="eastAsia"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rPr>
            </w:pPr>
          </w:p>
        </w:tc>
        <w:tc>
          <w:tcPr>
            <w:tcW w:w="2356" w:type="dxa"/>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被管理关系单位名称</w:t>
            </w:r>
          </w:p>
        </w:tc>
        <w:tc>
          <w:tcPr>
            <w:tcW w:w="5570" w:type="dxa"/>
            <w:noWrap w:val="0"/>
            <w:vAlign w:val="center"/>
          </w:tcPr>
          <w:p>
            <w:pPr>
              <w:adjustRightInd w:val="0"/>
              <w:snapToGrid w:val="0"/>
              <w:spacing w:line="440" w:lineRule="exact"/>
              <w:rPr>
                <w:rFonts w:hint="eastAsia"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ind w:left="0" w:leftChars="0" w:firstLine="0" w:firstLineChars="0"/>
        <w:rPr>
          <w:rFonts w:hint="eastAsia" w:ascii="仿宋" w:hAnsi="仿宋" w:eastAsia="仿宋" w:cs="宋体"/>
          <w:color w:val="000000"/>
          <w:sz w:val="24"/>
          <w:szCs w:val="24"/>
        </w:rPr>
      </w:pPr>
      <w:r>
        <w:rPr>
          <w:rFonts w:hint="eastAsia" w:ascii="仿宋" w:hAnsi="仿宋" w:eastAsia="仿宋" w:cs="宋体"/>
          <w:color w:val="000000"/>
          <w:sz w:val="24"/>
          <w:szCs w:val="24"/>
        </w:rPr>
        <w:t>注：</w:t>
      </w:r>
    </w:p>
    <w:p>
      <w:pPr>
        <w:adjustRightInd w:val="0"/>
        <w:snapToGrid w:val="0"/>
        <w:spacing w:line="360" w:lineRule="auto"/>
        <w:ind w:left="0" w:leftChars="0" w:firstLine="0" w:firstLineChars="0"/>
        <w:rPr>
          <w:rFonts w:hint="eastAsia" w:ascii="仿宋" w:hAnsi="仿宋" w:eastAsia="仿宋" w:cs="宋体"/>
          <w:color w:val="000000"/>
          <w:sz w:val="24"/>
        </w:rPr>
      </w:pPr>
      <w:r>
        <w:rPr>
          <w:rFonts w:hint="eastAsia" w:ascii="仿宋" w:hAnsi="仿宋" w:eastAsia="仿宋" w:cs="宋体"/>
          <w:color w:val="000000"/>
          <w:sz w:val="24"/>
          <w:szCs w:val="24"/>
          <w:lang w:val="en-US" w:eastAsia="zh-CN"/>
        </w:rPr>
        <w:t>1.</w:t>
      </w:r>
      <w:r>
        <w:rPr>
          <w:rFonts w:hint="eastAsia" w:ascii="仿宋" w:hAnsi="仿宋" w:eastAsia="仿宋" w:cs="宋体"/>
          <w:color w:val="000000"/>
          <w:sz w:val="24"/>
        </w:rPr>
        <w:t>控股股东/投资人是指出资比例在50%以上，或者出资比例不足50%，但享有公司股东会/董事会控制权的投资方（含单位或者个人）</w:t>
      </w:r>
    </w:p>
    <w:p>
      <w:pPr>
        <w:numPr>
          <w:ilvl w:val="0"/>
          <w:numId w:val="0"/>
        </w:numPr>
        <w:adjustRightInd w:val="0"/>
        <w:snapToGrid w:val="0"/>
        <w:spacing w:line="360" w:lineRule="auto"/>
        <w:ind w:leftChars="5"/>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pPr>
        <w:numPr>
          <w:ilvl w:val="0"/>
          <w:numId w:val="0"/>
        </w:numPr>
        <w:adjustRightInd w:val="0"/>
        <w:snapToGrid w:val="0"/>
        <w:spacing w:line="360" w:lineRule="auto"/>
        <w:rPr>
          <w:rFonts w:hint="eastAsia" w:ascii="仿宋" w:hAnsi="仿宋" w:eastAsia="仿宋" w:cs="宋体"/>
          <w:color w:val="000000"/>
          <w:sz w:val="24"/>
        </w:rPr>
      </w:pPr>
      <w:r>
        <w:rPr>
          <w:rFonts w:hint="eastAsia" w:ascii="仿宋" w:hAnsi="仿宋" w:eastAsia="仿宋" w:cs="宋体"/>
          <w:color w:val="000000"/>
          <w:sz w:val="24"/>
        </w:rPr>
        <w:t>3.如未有相关情况，请在相应栏填写“无”。</w:t>
      </w:r>
    </w:p>
    <w:p>
      <w:pPr>
        <w:pStyle w:val="161"/>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pPr>
        <w:pStyle w:val="161"/>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3.</w:t>
      </w:r>
      <w:r>
        <w:rPr>
          <w:rFonts w:hint="eastAsia" w:ascii="仿宋" w:hAnsi="仿宋" w:eastAsia="仿宋" w:cs="宋体"/>
          <w:color w:val="000000"/>
          <w:sz w:val="24"/>
        </w:rPr>
        <w:t>如未有相关情况，请在相应栏填写“无”。</w:t>
      </w:r>
    </w:p>
    <w:p>
      <w:pPr>
        <w:spacing w:line="360" w:lineRule="auto"/>
        <w:ind w:left="480" w:hanging="480" w:hangingChars="200"/>
        <w:rPr>
          <w:rFonts w:hint="eastAsia" w:ascii="仿宋" w:hAnsi="仿宋" w:eastAsia="仿宋" w:cs="宋体"/>
          <w:color w:val="000000"/>
          <w:sz w:val="24"/>
          <w:szCs w:val="24"/>
        </w:rPr>
      </w:pPr>
    </w:p>
    <w:p>
      <w:pPr>
        <w:spacing w:line="360" w:lineRule="auto"/>
        <w:ind w:firstLine="4080" w:firstLineChars="1700"/>
        <w:jc w:val="right"/>
        <w:rPr>
          <w:rFonts w:hint="eastAsia" w:ascii="仿宋" w:hAnsi="仿宋" w:eastAsia="仿宋" w:cs="宋体"/>
          <w:color w:val="000000"/>
          <w:sz w:val="24"/>
          <w:szCs w:val="24"/>
        </w:rPr>
      </w:pPr>
      <w:r>
        <w:rPr>
          <w:rFonts w:hint="eastAsia" w:ascii="仿宋" w:hAnsi="仿宋" w:eastAsia="仿宋" w:cs="宋体"/>
          <w:color w:val="000000"/>
          <w:sz w:val="24"/>
          <w:szCs w:val="24"/>
          <w:lang w:val="en-US" w:eastAsia="zh-CN"/>
        </w:rPr>
        <w:t>供应商</w:t>
      </w:r>
      <w:r>
        <w:rPr>
          <w:rFonts w:hint="eastAsia" w:ascii="仿宋" w:hAnsi="仿宋" w:eastAsia="仿宋" w:cs="宋体"/>
          <w:color w:val="000000"/>
          <w:sz w:val="24"/>
          <w:szCs w:val="24"/>
        </w:rPr>
        <w:t>名称：</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宋体"/>
          <w:color w:val="000000"/>
          <w:sz w:val="24"/>
          <w:szCs w:val="24"/>
        </w:rPr>
        <w:t>日期：</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年</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月</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日</w:t>
      </w:r>
    </w:p>
    <w:p>
      <w:pPr>
        <w:pStyle w:val="6"/>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r>
        <w:rPr>
          <w:rFonts w:hint="eastAsia" w:ascii="仿宋" w:hAnsi="仿宋" w:eastAsia="仿宋" w:cs="仿宋"/>
          <w:color w:val="000000"/>
          <w:sz w:val="24"/>
          <w:szCs w:val="24"/>
          <w:highlight w:val="none"/>
          <w:lang w:val="en-US" w:eastAsia="zh-CN"/>
        </w:rPr>
        <w:t>8、</w:t>
      </w:r>
      <w:r>
        <w:rPr>
          <w:rFonts w:hint="eastAsia" w:ascii="仿宋" w:hAnsi="仿宋" w:eastAsia="仿宋" w:cs="仿宋"/>
          <w:color w:val="000000"/>
          <w:sz w:val="24"/>
          <w:szCs w:val="24"/>
          <w:highlight w:val="none"/>
        </w:rPr>
        <w:t>非联合体磋商响应声明</w:t>
      </w:r>
    </w:p>
    <w:bookmarkEnd w:id="179"/>
    <w:bookmarkEnd w:id="192"/>
    <w:p>
      <w:pPr>
        <w:pStyle w:val="2"/>
        <w:spacing w:before="240"/>
        <w:rPr>
          <w:rFonts w:hint="eastAsia" w:ascii="仿宋" w:hAnsi="仿宋" w:eastAsia="仿宋" w:cs="Cambria Math"/>
          <w:b/>
          <w:bCs/>
          <w:color w:val="000000"/>
          <w:sz w:val="24"/>
          <w:highlight w:val="none"/>
        </w:rPr>
      </w:pPr>
      <w:bookmarkStart w:id="193" w:name="_Toc71192048"/>
      <w:bookmarkStart w:id="194" w:name="_Toc20195"/>
      <w:bookmarkStart w:id="195" w:name="_Toc432420841"/>
      <w:bookmarkStart w:id="196" w:name="_Toc517281859"/>
      <w:r>
        <w:rPr>
          <w:rFonts w:hint="eastAsia" w:ascii="仿宋" w:hAnsi="仿宋" w:eastAsia="仿宋" w:cs="Cambria Math"/>
          <w:b/>
          <w:bCs/>
          <w:color w:val="000000"/>
          <w:sz w:val="24"/>
          <w:highlight w:val="none"/>
        </w:rPr>
        <w:t>非联合体磋商响应声明</w:t>
      </w:r>
    </w:p>
    <w:p>
      <w:pPr>
        <w:adjustRightInd w:val="0"/>
        <w:snapToGrid w:val="0"/>
        <w:spacing w:before="240" w:line="360" w:lineRule="auto"/>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lang w:eastAsia="zh-CN"/>
        </w:rPr>
        <w:t>（</w:t>
      </w:r>
      <w:r>
        <w:rPr>
          <w:rFonts w:hint="eastAsia" w:ascii="仿宋" w:hAnsi="仿宋" w:eastAsia="仿宋" w:cs="Cambria Math"/>
          <w:color w:val="000000"/>
          <w:sz w:val="24"/>
          <w:highlight w:val="none"/>
          <w:lang w:val="en-US" w:eastAsia="zh-CN"/>
        </w:rPr>
        <w:t>采购人</w:t>
      </w:r>
      <w:r>
        <w:rPr>
          <w:rFonts w:hint="eastAsia" w:ascii="仿宋" w:hAnsi="仿宋" w:eastAsia="仿宋" w:cs="Cambria Math"/>
          <w:color w:val="000000"/>
          <w:sz w:val="24"/>
          <w:highlight w:val="none"/>
          <w:lang w:eastAsia="zh-CN"/>
        </w:rPr>
        <w:t>）</w:t>
      </w:r>
      <w:r>
        <w:rPr>
          <w:rFonts w:hint="eastAsia" w:ascii="仿宋" w:hAnsi="仿宋" w:eastAsia="仿宋" w:cs="Cambria Math"/>
          <w:color w:val="000000"/>
          <w:sz w:val="24"/>
          <w:highlight w:val="none"/>
        </w:rPr>
        <w:t>：</w:t>
      </w:r>
    </w:p>
    <w:p>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独立参与</w:t>
      </w:r>
      <w:r>
        <w:rPr>
          <w:rFonts w:hint="eastAsia" w:ascii="仿宋" w:hAnsi="仿宋" w:eastAsia="仿宋" w:cs="Cambria Math"/>
          <w:color w:val="000000"/>
          <w:sz w:val="24"/>
          <w:highlight w:val="none"/>
          <w:u w:val="single"/>
        </w:rPr>
        <w:t xml:space="preserve">    （项目名称）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磋商响应，非联合体参与磋商响应。</w:t>
      </w:r>
      <w:r>
        <w:rPr>
          <w:rFonts w:ascii="仿宋" w:hAnsi="仿宋" w:eastAsia="仿宋" w:cs="Cambria Math"/>
          <w:color w:val="000000"/>
          <w:sz w:val="24"/>
          <w:highlight w:val="none"/>
        </w:rPr>
        <w:t xml:space="preserve"> </w:t>
      </w:r>
    </w:p>
    <w:p>
      <w:pPr>
        <w:pStyle w:val="2"/>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特此声明。</w:t>
      </w: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hint="eastAsia" w:ascii="仿宋" w:hAnsi="仿宋" w:eastAsia="仿宋"/>
          <w:highlight w:val="none"/>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rPr>
          <w:rFonts w:ascii="仿宋" w:hAnsi="仿宋" w:eastAsia="仿宋" w:cs="仿宋"/>
          <w:color w:val="000000"/>
          <w:sz w:val="24"/>
          <w:szCs w:val="24"/>
          <w:highlight w:val="none"/>
        </w:rPr>
      </w:pPr>
      <w:r>
        <w:rPr>
          <w:rFonts w:ascii="仿宋" w:hAnsi="仿宋" w:eastAsia="仿宋" w:cs="仿宋"/>
          <w:color w:val="000000"/>
          <w:sz w:val="24"/>
          <w:szCs w:val="24"/>
          <w:highlight w:val="none"/>
        </w:rPr>
        <w:br w:type="page"/>
      </w:r>
    </w:p>
    <w:p>
      <w:pPr>
        <w:pStyle w:val="5"/>
        <w:numPr>
          <w:ilvl w:val="0"/>
          <w:numId w:val="0"/>
        </w:numPr>
        <w:tabs>
          <w:tab w:val="clear" w:pos="1440"/>
        </w:tabs>
        <w:spacing w:before="0" w:after="0" w:line="360" w:lineRule="auto"/>
        <w:rPr>
          <w:rFonts w:ascii="仿宋" w:hAnsi="仿宋" w:cs="宋体"/>
          <w:color w:val="000000"/>
          <w:szCs w:val="24"/>
          <w:highlight w:val="none"/>
        </w:rPr>
      </w:pPr>
      <w:bookmarkStart w:id="197" w:name="_Toc18208"/>
      <w:bookmarkStart w:id="198" w:name="_Toc65683009"/>
      <w:bookmarkStart w:id="199" w:name="_Toc144139212"/>
      <w:bookmarkStart w:id="200" w:name="_Toc31683"/>
      <w:bookmarkStart w:id="201" w:name="_Toc112068411"/>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五</w:t>
      </w:r>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rPr>
        <w:t>供应商</w:t>
      </w:r>
      <w:r>
        <w:rPr>
          <w:rFonts w:ascii="仿宋" w:hAnsi="仿宋" w:eastAsia="仿宋" w:cs="仿宋"/>
          <w:color w:val="000000"/>
          <w:sz w:val="24"/>
          <w:szCs w:val="24"/>
          <w:highlight w:val="none"/>
        </w:rPr>
        <w:t>须知应答偏离表</w:t>
      </w:r>
      <w:bookmarkEnd w:id="197"/>
      <w:bookmarkEnd w:id="198"/>
      <w:bookmarkEnd w:id="199"/>
      <w:bookmarkEnd w:id="200"/>
      <w:bookmarkEnd w:id="201"/>
    </w:p>
    <w:p>
      <w:pPr>
        <w:spacing w:line="360" w:lineRule="auto"/>
        <w:jc w:val="center"/>
        <w:rPr>
          <w:rFonts w:hint="eastAsia" w:ascii="仿宋" w:hAnsi="仿宋" w:eastAsia="仿宋" w:cs="宋体"/>
          <w:b/>
          <w:bCs/>
          <w:color w:val="000000"/>
          <w:sz w:val="24"/>
          <w:highlight w:val="none"/>
        </w:rPr>
      </w:pPr>
      <w:r>
        <w:rPr>
          <w:rFonts w:hint="eastAsia" w:ascii="仿宋" w:hAnsi="仿宋" w:eastAsia="仿宋" w:cs="宋体"/>
          <w:b/>
          <w:bCs/>
          <w:color w:val="000000"/>
          <w:sz w:val="24"/>
          <w:highlight w:val="none"/>
        </w:rPr>
        <w:t>供应商须知应答偏离表</w:t>
      </w:r>
    </w:p>
    <w:p>
      <w:pPr>
        <w:spacing w:line="360" w:lineRule="auto"/>
        <w:rPr>
          <w:rFonts w:hint="eastAsia" w:ascii="仿宋" w:hAnsi="仿宋" w:eastAsia="仿宋" w:cs="宋体"/>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ascii="仿宋" w:hAnsi="仿宋" w:eastAsia="仿宋" w:cs="宋体"/>
          <w:color w:val="000000"/>
          <w:sz w:val="24"/>
          <w:highlight w:val="none"/>
        </w:rPr>
        <w:t xml:space="preserve">        </w:t>
      </w:r>
      <w:r>
        <w:rPr>
          <w:rFonts w:hint="eastAsia" w:ascii="仿宋" w:hAnsi="仿宋" w:eastAsia="仿宋" w:cs="宋体"/>
          <w:color w:val="000000"/>
          <w:sz w:val="24"/>
          <w:highlight w:val="non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序号</w:t>
            </w:r>
          </w:p>
        </w:tc>
        <w:tc>
          <w:tcPr>
            <w:tcW w:w="2285"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条目号</w:t>
            </w:r>
          </w:p>
        </w:tc>
        <w:tc>
          <w:tcPr>
            <w:tcW w:w="2495"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原文内容</w:t>
            </w:r>
          </w:p>
        </w:tc>
        <w:tc>
          <w:tcPr>
            <w:tcW w:w="2704"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应答</w:t>
            </w:r>
          </w:p>
        </w:tc>
        <w:tc>
          <w:tcPr>
            <w:tcW w:w="1408"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bl>
    <w:p>
      <w:pPr>
        <w:spacing w:line="360" w:lineRule="auto"/>
        <w:ind w:left="480" w:hanging="480" w:hangingChars="200"/>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注：所有偏离须在本表中列出，未在本偏离表中列出偏离，将视为供应商已完全接受磋商文件要求</w:t>
      </w:r>
      <w:r>
        <w:rPr>
          <w:rFonts w:hint="eastAsia" w:ascii="仿宋" w:hAnsi="仿宋" w:eastAsia="仿宋" w:cs="宋体"/>
          <w:b/>
          <w:bCs/>
          <w:color w:val="000000"/>
          <w:sz w:val="24"/>
          <w:highlight w:val="none"/>
        </w:rPr>
        <w:t>。如全部满足，在偏离表中应答“全部满足”即可。</w:t>
      </w:r>
    </w:p>
    <w:p>
      <w:pPr>
        <w:spacing w:line="360" w:lineRule="auto"/>
        <w:ind w:firstLine="4080" w:firstLineChars="1700"/>
        <w:jc w:val="right"/>
        <w:rPr>
          <w:rFonts w:ascii="仿宋" w:hAnsi="仿宋" w:eastAsia="仿宋" w:cs="宋体"/>
          <w:color w:val="000000"/>
          <w:sz w:val="24"/>
          <w:highlight w:val="none"/>
        </w:rPr>
      </w:pPr>
    </w:p>
    <w:p>
      <w:pPr>
        <w:spacing w:line="360" w:lineRule="auto"/>
        <w:ind w:firstLine="4080" w:firstLineChars="1700"/>
        <w:jc w:val="right"/>
        <w:rPr>
          <w:rFonts w:ascii="仿宋" w:hAnsi="仿宋" w:eastAsia="仿宋" w:cs="宋体"/>
          <w:color w:val="000000"/>
          <w:sz w:val="24"/>
          <w:highlight w:val="none"/>
        </w:rPr>
      </w:pPr>
    </w:p>
    <w:p>
      <w:pPr>
        <w:spacing w:line="360" w:lineRule="auto"/>
        <w:ind w:firstLine="4080" w:firstLineChars="1700"/>
        <w:jc w:val="right"/>
        <w:rPr>
          <w:rFonts w:ascii="仿宋" w:hAnsi="仿宋" w:eastAsia="仿宋" w:cs="宋体"/>
          <w:color w:val="000000"/>
          <w:sz w:val="24"/>
          <w:highlight w:val="none"/>
        </w:rPr>
      </w:pPr>
    </w:p>
    <w:p>
      <w:pPr>
        <w:spacing w:line="360" w:lineRule="auto"/>
        <w:ind w:firstLine="4080" w:firstLineChars="1700"/>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pPr>
        <w:spacing w:line="360" w:lineRule="auto"/>
        <w:jc w:val="right"/>
        <w:rPr>
          <w:rFonts w:hint="eastAsia" w:ascii="仿宋" w:hAnsi="仿宋" w:eastAsia="仿宋" w:cs="宋体"/>
          <w:color w:val="000000"/>
          <w:sz w:val="24"/>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sz w:val="24"/>
          <w:highlight w:val="none"/>
        </w:rPr>
        <w:t>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日</w:t>
      </w:r>
    </w:p>
    <w:p>
      <w:pPr>
        <w:numPr>
          <w:ilvl w:val="0"/>
          <w:numId w:val="0"/>
        </w:numPr>
        <w:spacing w:line="360" w:lineRule="auto"/>
        <w:jc w:val="both"/>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lang w:val="en-US" w:eastAsia="zh-CN"/>
        </w:rPr>
        <w:t>六</w:t>
      </w: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rPr>
        <w:t>合同条款应答偏</w:t>
      </w:r>
      <w:r>
        <w:rPr>
          <w:rFonts w:ascii="仿宋" w:hAnsi="仿宋" w:eastAsia="仿宋" w:cs="仿宋"/>
          <w:b/>
          <w:bCs/>
          <w:color w:val="000000"/>
          <w:sz w:val="24"/>
          <w:szCs w:val="24"/>
          <w:highlight w:val="none"/>
        </w:rPr>
        <w:t>离表</w:t>
      </w:r>
    </w:p>
    <w:p>
      <w:pPr>
        <w:numPr>
          <w:ilvl w:val="0"/>
          <w:numId w:val="0"/>
        </w:numPr>
        <w:spacing w:line="360"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合同条款应答偏离表</w:t>
      </w:r>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序号</w:t>
            </w:r>
          </w:p>
        </w:tc>
        <w:tc>
          <w:tcPr>
            <w:tcW w:w="2285"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条目号</w:t>
            </w:r>
          </w:p>
        </w:tc>
        <w:tc>
          <w:tcPr>
            <w:tcW w:w="2495"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原文内容</w:t>
            </w:r>
          </w:p>
        </w:tc>
        <w:tc>
          <w:tcPr>
            <w:tcW w:w="2704"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应答</w:t>
            </w:r>
          </w:p>
        </w:tc>
        <w:tc>
          <w:tcPr>
            <w:tcW w:w="1408" w:type="dxa"/>
            <w:noWrap w:val="0"/>
            <w:vAlign w:val="center"/>
          </w:tcPr>
          <w:p>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highlight w:val="none"/>
              </w:rPr>
            </w:pPr>
          </w:p>
        </w:tc>
        <w:tc>
          <w:tcPr>
            <w:tcW w:w="2285" w:type="dxa"/>
            <w:noWrap w:val="0"/>
            <w:vAlign w:val="top"/>
          </w:tcPr>
          <w:p>
            <w:pPr>
              <w:spacing w:line="360" w:lineRule="auto"/>
              <w:rPr>
                <w:rFonts w:hint="eastAsia" w:ascii="仿宋" w:hAnsi="仿宋" w:eastAsia="仿宋" w:cs="Cambria Math"/>
                <w:color w:val="000000"/>
                <w:szCs w:val="21"/>
                <w:highlight w:val="none"/>
              </w:rPr>
            </w:pPr>
          </w:p>
        </w:tc>
        <w:tc>
          <w:tcPr>
            <w:tcW w:w="2495" w:type="dxa"/>
            <w:noWrap w:val="0"/>
            <w:vAlign w:val="top"/>
          </w:tcPr>
          <w:p>
            <w:pPr>
              <w:spacing w:line="360" w:lineRule="auto"/>
              <w:rPr>
                <w:rFonts w:hint="eastAsia" w:ascii="仿宋" w:hAnsi="仿宋" w:eastAsia="仿宋" w:cs="Cambria Math"/>
                <w:color w:val="000000"/>
                <w:szCs w:val="21"/>
                <w:highlight w:val="none"/>
              </w:rPr>
            </w:pPr>
          </w:p>
        </w:tc>
        <w:tc>
          <w:tcPr>
            <w:tcW w:w="2704" w:type="dxa"/>
            <w:noWrap w:val="0"/>
            <w:vAlign w:val="top"/>
          </w:tcPr>
          <w:p>
            <w:pPr>
              <w:spacing w:line="360" w:lineRule="auto"/>
              <w:rPr>
                <w:rFonts w:hint="eastAsia" w:ascii="仿宋" w:hAnsi="仿宋" w:eastAsia="仿宋" w:cs="Cambria Math"/>
                <w:color w:val="000000"/>
                <w:szCs w:val="21"/>
                <w:highlight w:val="none"/>
              </w:rPr>
            </w:pPr>
          </w:p>
        </w:tc>
        <w:tc>
          <w:tcPr>
            <w:tcW w:w="1408" w:type="dxa"/>
            <w:noWrap w:val="0"/>
            <w:vAlign w:val="top"/>
          </w:tcPr>
          <w:p>
            <w:pPr>
              <w:spacing w:line="360" w:lineRule="auto"/>
              <w:rPr>
                <w:rFonts w:hint="eastAsia" w:ascii="仿宋" w:hAnsi="仿宋" w:eastAsia="仿宋" w:cs="Cambria Math"/>
                <w:color w:val="000000"/>
                <w:szCs w:val="21"/>
                <w:highlight w:val="none"/>
              </w:rPr>
            </w:pPr>
          </w:p>
        </w:tc>
      </w:tr>
    </w:tbl>
    <w:p>
      <w:pPr>
        <w:spacing w:before="240" w:line="360" w:lineRule="auto"/>
        <w:ind w:left="480" w:hanging="480" w:hangingChars="2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注：所有偏离必须在本表中列出，未在本偏离表中列出偏离，将视为供应商已完全接受</w:t>
      </w:r>
      <w:r>
        <w:rPr>
          <w:rFonts w:hint="eastAsia" w:ascii="仿宋" w:hAnsi="仿宋" w:eastAsia="仿宋" w:cs="Cambria Math"/>
          <w:color w:val="000000"/>
          <w:sz w:val="24"/>
          <w:highlight w:val="none"/>
          <w:lang w:eastAsia="zh-CN"/>
        </w:rPr>
        <w:t>比选</w:t>
      </w:r>
      <w:r>
        <w:rPr>
          <w:rFonts w:hint="eastAsia" w:ascii="仿宋" w:hAnsi="仿宋" w:eastAsia="仿宋" w:cs="Cambria Math"/>
          <w:color w:val="000000"/>
          <w:sz w:val="24"/>
          <w:highlight w:val="none"/>
        </w:rPr>
        <w:t>文件要求；</w:t>
      </w:r>
      <w:r>
        <w:rPr>
          <w:rFonts w:hint="eastAsia" w:ascii="仿宋" w:hAnsi="仿宋" w:eastAsia="仿宋" w:cs="Cambria Math"/>
          <w:b/>
          <w:bCs/>
          <w:color w:val="000000"/>
          <w:sz w:val="24"/>
          <w:highlight w:val="none"/>
        </w:rPr>
        <w:t>如全部满足，在偏离表中应答“全部满足”即可</w:t>
      </w:r>
      <w:r>
        <w:rPr>
          <w:rFonts w:hint="eastAsia" w:ascii="仿宋" w:hAnsi="仿宋" w:eastAsia="仿宋" w:cs="Cambria Math"/>
          <w:color w:val="000000"/>
          <w:sz w:val="24"/>
          <w:highlight w:val="none"/>
        </w:rPr>
        <w:t>。</w:t>
      </w:r>
    </w:p>
    <w:p>
      <w:pPr>
        <w:spacing w:line="600" w:lineRule="exact"/>
        <w:rPr>
          <w:rFonts w:hint="eastAsia" w:ascii="仿宋" w:hAnsi="仿宋" w:eastAsia="仿宋" w:cs="仿宋"/>
          <w:color w:val="000000"/>
          <w:szCs w:val="21"/>
          <w:highlight w:val="none"/>
        </w:rPr>
      </w:pPr>
    </w:p>
    <w:p>
      <w:pPr>
        <w:spacing w:line="360" w:lineRule="auto"/>
        <w:ind w:firstLine="420"/>
        <w:jc w:val="right"/>
        <w:rPr>
          <w:rFonts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spacing w:line="360" w:lineRule="auto"/>
        <w:rPr>
          <w:rFonts w:hint="eastAsia" w:ascii="仿宋" w:hAnsi="仿宋" w:eastAsia="仿宋" w:cs="仿宋"/>
          <w:color w:val="000000"/>
          <w:highlight w:val="none"/>
          <w:u w:val="single"/>
        </w:rPr>
      </w:pPr>
    </w:p>
    <w:p>
      <w:pPr>
        <w:pStyle w:val="5"/>
        <w:numPr>
          <w:ilvl w:val="0"/>
          <w:numId w:val="0"/>
        </w:numPr>
        <w:spacing w:before="0" w:after="0" w:line="360" w:lineRule="auto"/>
        <w:rPr>
          <w:rFonts w:hint="eastAsia" w:ascii="仿宋" w:hAnsi="仿宋" w:eastAsia="仿宋" w:cs="宋体"/>
          <w:color w:val="000000"/>
          <w:sz w:val="24"/>
          <w:highlight w:val="none"/>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sz w:val="24"/>
          <w:szCs w:val="24"/>
          <w:highlight w:val="none"/>
        </w:rPr>
        <w:br w:type="page"/>
      </w:r>
    </w:p>
    <w:p>
      <w:pPr>
        <w:pStyle w:val="5"/>
        <w:numPr>
          <w:ilvl w:val="0"/>
          <w:numId w:val="0"/>
        </w:numPr>
        <w:spacing w:before="0" w:after="0" w:line="360" w:lineRule="auto"/>
        <w:rPr>
          <w:rFonts w:hint="eastAsia" w:ascii="仿宋" w:hAnsi="仿宋" w:eastAsia="仿宋" w:cs="仿宋"/>
          <w:color w:val="000000"/>
          <w:sz w:val="24"/>
          <w:szCs w:val="24"/>
          <w:highlight w:val="none"/>
        </w:rPr>
      </w:pPr>
      <w:bookmarkStart w:id="202" w:name="_Toc1472"/>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七</w:t>
      </w:r>
      <w:r>
        <w:rPr>
          <w:rFonts w:hint="eastAsia" w:ascii="仿宋" w:hAnsi="仿宋" w:eastAsia="仿宋" w:cs="仿宋"/>
          <w:color w:val="000000"/>
          <w:sz w:val="24"/>
          <w:szCs w:val="24"/>
          <w:highlight w:val="none"/>
        </w:rPr>
        <w:t>）供应商行为准则承诺书</w:t>
      </w:r>
      <w:bookmarkEnd w:id="202"/>
    </w:p>
    <w:p>
      <w:pPr>
        <w:spacing w:line="240" w:lineRule="auto"/>
        <w:jc w:val="center"/>
        <w:rPr>
          <w:rFonts w:ascii="仿宋" w:hAnsi="仿宋" w:eastAsia="仿宋" w:cs="宋体"/>
          <w:b/>
          <w:bCs/>
          <w:color w:val="000000"/>
          <w:sz w:val="28"/>
          <w:szCs w:val="28"/>
          <w:highlight w:val="none"/>
        </w:rPr>
      </w:pPr>
      <w:bookmarkStart w:id="203" w:name="_Toc15599"/>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41"/>
        <w:spacing w:line="360" w:lineRule="auto"/>
        <w:ind w:firstLine="480"/>
        <w:jc w:val="both"/>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法定代表人（负责人）或授权代表签字：______________</w:t>
      </w:r>
    </w:p>
    <w:p>
      <w:pPr>
        <w:pStyle w:val="5"/>
        <w:numPr>
          <w:ilvl w:val="0"/>
          <w:numId w:val="0"/>
        </w:numPr>
        <w:spacing w:before="0" w:after="0" w:line="360" w:lineRule="auto"/>
        <w:rPr>
          <w:rFonts w:ascii="仿宋" w:hAnsi="仿宋" w:cs="宋体"/>
          <w:color w:val="000000"/>
          <w:szCs w:val="24"/>
          <w:highlight w:val="none"/>
        </w:rPr>
      </w:pPr>
      <w:r>
        <w:rPr>
          <w:rFonts w:hint="eastAsia" w:ascii="仿宋" w:hAnsi="仿宋" w:eastAsia="仿宋" w:cs="仿宋"/>
          <w:color w:val="000000"/>
        </w:rPr>
        <w:br w:type="page"/>
      </w:r>
      <w:bookmarkStart w:id="204" w:name="_Toc29706"/>
      <w:r>
        <w:rPr>
          <w:rFonts w:hint="eastAsia" w:ascii="仿宋" w:hAnsi="仿宋" w:eastAsia="仿宋" w:cs="宋体"/>
          <w:bCs w:val="0"/>
          <w:color w:val="000000"/>
          <w:sz w:val="24"/>
          <w:szCs w:val="24"/>
          <w:highlight w:val="none"/>
        </w:rPr>
        <w:t>（</w:t>
      </w:r>
      <w:r>
        <w:rPr>
          <w:rFonts w:hint="eastAsia" w:ascii="仿宋" w:hAnsi="仿宋" w:eastAsia="仿宋" w:cs="宋体"/>
          <w:bCs w:val="0"/>
          <w:color w:val="000000"/>
          <w:sz w:val="24"/>
          <w:szCs w:val="24"/>
          <w:highlight w:val="none"/>
          <w:lang w:val="en-US" w:eastAsia="zh-CN"/>
        </w:rPr>
        <w:t>八</w:t>
      </w:r>
      <w:r>
        <w:rPr>
          <w:rFonts w:hint="eastAsia" w:ascii="仿宋" w:hAnsi="仿宋" w:eastAsia="仿宋" w:cs="宋体"/>
          <w:bCs w:val="0"/>
          <w:color w:val="000000"/>
          <w:sz w:val="24"/>
          <w:szCs w:val="24"/>
          <w:highlight w:val="none"/>
        </w:rPr>
        <w:t>）供应商廉洁诚信承诺书</w:t>
      </w:r>
      <w:bookmarkEnd w:id="203"/>
      <w:bookmarkEnd w:id="204"/>
    </w:p>
    <w:p>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ascii="仿宋" w:hAnsi="仿宋" w:eastAsia="仿宋" w:cs="仿宋"/>
          <w:color w:val="000000"/>
          <w:sz w:val="24"/>
          <w:szCs w:val="24"/>
          <w:highlight w:val="none"/>
        </w:rPr>
      </w:pPr>
      <w:r>
        <w:rPr>
          <w:rFonts w:hint="eastAsia" w:ascii="仿宋" w:hAnsi="仿宋" w:eastAsia="仿宋" w:cs="仿宋"/>
          <w:b w:val="0"/>
          <w:bCs w:val="0"/>
          <w:color w:val="000000"/>
          <w:kern w:val="2"/>
          <w:sz w:val="24"/>
          <w:szCs w:val="24"/>
          <w:lang w:val="en-US" w:eastAsia="zh-CN" w:bidi="ar-SA"/>
        </w:rPr>
        <w:t>日期：__________________________________</w:t>
      </w:r>
      <w:r>
        <w:rPr>
          <w:rFonts w:hint="eastAsia" w:ascii="仿宋" w:hAnsi="仿宋" w:eastAsia="仿宋" w:cs="仿宋"/>
          <w:color w:val="000000"/>
          <w:highlight w:val="none"/>
        </w:rPr>
        <w:br w:type="page"/>
      </w:r>
      <w:r>
        <w:rPr>
          <w:rStyle w:val="58"/>
          <w:rFonts w:hint="eastAsia" w:ascii="仿宋" w:hAnsi="仿宋" w:eastAsia="仿宋" w:cs="仿宋"/>
          <w:sz w:val="24"/>
          <w:szCs w:val="24"/>
        </w:rPr>
        <w:t>（</w:t>
      </w:r>
      <w:r>
        <w:rPr>
          <w:rStyle w:val="58"/>
          <w:rFonts w:hint="eastAsia" w:ascii="仿宋" w:hAnsi="仿宋" w:eastAsia="仿宋" w:cs="仿宋"/>
          <w:sz w:val="24"/>
          <w:szCs w:val="24"/>
          <w:lang w:val="en-US" w:eastAsia="zh-CN"/>
        </w:rPr>
        <w:t>九</w:t>
      </w:r>
      <w:r>
        <w:rPr>
          <w:rStyle w:val="58"/>
          <w:rFonts w:hint="eastAsia" w:ascii="仿宋" w:hAnsi="仿宋" w:eastAsia="仿宋" w:cs="仿宋"/>
          <w:sz w:val="24"/>
          <w:szCs w:val="24"/>
        </w:rPr>
        <w:t>）其他材料</w:t>
      </w:r>
    </w:p>
    <w:p>
      <w:pPr>
        <w:spacing w:line="360" w:lineRule="auto"/>
        <w:rPr>
          <w:rFonts w:hint="eastAsia" w:ascii="宋体" w:hAnsi="宋体"/>
          <w:kern w:val="0"/>
          <w:szCs w:val="21"/>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sz w:val="24"/>
          <w:highlight w:val="none"/>
        </w:rPr>
        <w:t>供应商</w:t>
      </w:r>
      <w:r>
        <w:rPr>
          <w:rFonts w:ascii="仿宋" w:hAnsi="仿宋" w:eastAsia="仿宋" w:cs="Cambria Math"/>
          <w:color w:val="000000"/>
          <w:sz w:val="24"/>
          <w:highlight w:val="none"/>
        </w:rPr>
        <w:t>认为需提供的其他材料</w:t>
      </w:r>
      <w:r>
        <w:rPr>
          <w:rFonts w:hint="eastAsia" w:ascii="仿宋" w:hAnsi="仿宋" w:eastAsia="仿宋" w:cs="Cambria Math"/>
          <w:color w:val="000000"/>
          <w:sz w:val="24"/>
          <w:highlight w:val="none"/>
        </w:rPr>
        <w:t>。</w:t>
      </w:r>
    </w:p>
    <w:bookmarkEnd w:id="193"/>
    <w:p>
      <w:pPr>
        <w:pStyle w:val="4"/>
        <w:ind w:firstLine="0" w:firstLineChars="0"/>
        <w:jc w:val="both"/>
        <w:rPr>
          <w:rFonts w:hint="eastAsia" w:ascii="仿宋" w:hAnsi="仿宋" w:eastAsia="仿宋" w:cs="仿宋"/>
          <w:color w:val="000000"/>
          <w:sz w:val="24"/>
          <w:szCs w:val="24"/>
          <w:highlight w:val="none"/>
        </w:rPr>
      </w:pPr>
      <w:bookmarkStart w:id="205" w:name="_Toc10522"/>
      <w:r>
        <w:rPr>
          <w:rFonts w:hint="eastAsia" w:ascii="仿宋" w:hAnsi="仿宋" w:eastAsia="仿宋" w:cs="仿宋"/>
          <w:color w:val="000000"/>
          <w:sz w:val="24"/>
          <w:szCs w:val="24"/>
          <w:highlight w:val="none"/>
        </w:rPr>
        <w:t>二、技术文件</w:t>
      </w:r>
      <w:bookmarkEnd w:id="194"/>
      <w:bookmarkEnd w:id="205"/>
    </w:p>
    <w:bookmarkEnd w:id="195"/>
    <w:bookmarkEnd w:id="196"/>
    <w:p>
      <w:pPr>
        <w:bidi w:val="0"/>
        <w:jc w:val="center"/>
        <w:rPr>
          <w:rFonts w:hint="eastAsia" w:ascii="仿宋" w:hAnsi="仿宋" w:eastAsia="仿宋" w:cs="仿宋"/>
          <w:b/>
          <w:bCs/>
          <w:sz w:val="24"/>
          <w:szCs w:val="24"/>
        </w:rPr>
      </w:pPr>
      <w:bookmarkStart w:id="206" w:name="_Toc30870"/>
      <w:bookmarkStart w:id="207" w:name="_Toc23108"/>
      <w:r>
        <w:rPr>
          <w:rFonts w:hint="eastAsia" w:ascii="仿宋" w:hAnsi="仿宋" w:eastAsia="仿宋" w:cs="仿宋"/>
          <w:b/>
          <w:bCs/>
          <w:sz w:val="24"/>
          <w:szCs w:val="24"/>
        </w:rPr>
        <w:t>详细评审索引表</w:t>
      </w:r>
      <w:bookmarkEnd w:id="206"/>
    </w:p>
    <w:tbl>
      <w:tblPr>
        <w:tblStyle w:val="4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b/>
                <w:color w:val="000000"/>
                <w:szCs w:val="21"/>
                <w:highlight w:val="none"/>
              </w:rPr>
            </w:pPr>
            <w:r>
              <w:rPr>
                <w:rFonts w:hint="eastAsia" w:ascii="仿宋" w:hAnsi="仿宋" w:eastAsia="仿宋" w:cs="宋体"/>
                <w:b/>
                <w:color w:val="000000"/>
                <w:kern w:val="0"/>
                <w:szCs w:val="21"/>
                <w:highlight w:val="none"/>
                <w:lang w:bidi="ar"/>
              </w:rPr>
              <w:t>序号</w:t>
            </w:r>
          </w:p>
        </w:tc>
        <w:tc>
          <w:tcPr>
            <w:tcW w:w="1696" w:type="dxa"/>
            <w:noWrap w:val="0"/>
            <w:tcMar>
              <w:top w:w="15" w:type="dxa"/>
              <w:left w:w="15" w:type="dxa"/>
              <w:right w:w="15" w:type="dxa"/>
            </w:tcMar>
            <w:vAlign w:val="center"/>
          </w:tcPr>
          <w:p>
            <w:pPr>
              <w:jc w:val="center"/>
              <w:rPr>
                <w:rFonts w:hint="eastAsia" w:ascii="仿宋" w:hAnsi="仿宋" w:eastAsia="仿宋" w:cs="宋体"/>
                <w:b/>
                <w:color w:val="000000"/>
                <w:kern w:val="0"/>
                <w:szCs w:val="21"/>
                <w:highlight w:val="none"/>
                <w:lang w:bidi="ar"/>
              </w:rPr>
            </w:pPr>
            <w:r>
              <w:rPr>
                <w:rFonts w:hint="eastAsia" w:ascii="仿宋" w:hAnsi="仿宋" w:eastAsia="仿宋" w:cs="宋体"/>
                <w:b/>
                <w:bCs/>
                <w:color w:val="000000"/>
                <w:szCs w:val="21"/>
                <w:highlight w:val="none"/>
              </w:rPr>
              <w:t>评审项</w:t>
            </w:r>
          </w:p>
        </w:tc>
        <w:tc>
          <w:tcPr>
            <w:tcW w:w="2268" w:type="dxa"/>
            <w:noWrap w:val="0"/>
            <w:vAlign w:val="top"/>
          </w:tcPr>
          <w:p>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lang w:bidi="ar"/>
              </w:rPr>
              <w:t>评审因素</w:t>
            </w:r>
          </w:p>
        </w:tc>
        <w:tc>
          <w:tcPr>
            <w:tcW w:w="4820" w:type="dxa"/>
            <w:noWrap w:val="0"/>
            <w:tcMar>
              <w:top w:w="15" w:type="dxa"/>
              <w:left w:w="15" w:type="dxa"/>
              <w:right w:w="15" w:type="dxa"/>
            </w:tcMar>
            <w:vAlign w:val="center"/>
          </w:tcPr>
          <w:p>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3</w:t>
            </w:r>
          </w:p>
        </w:tc>
        <w:tc>
          <w:tcPr>
            <w:tcW w:w="1696" w:type="dxa"/>
            <w:vMerge w:val="restart"/>
            <w:noWrap w:val="0"/>
            <w:tcMar>
              <w:top w:w="15" w:type="dxa"/>
              <w:left w:w="15" w:type="dxa"/>
              <w:right w:w="15" w:type="dxa"/>
            </w:tcMar>
            <w:vAlign w:val="center"/>
          </w:tcPr>
          <w:p>
            <w:pPr>
              <w:widowControl/>
              <w:jc w:val="center"/>
              <w:textAlignment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技术得分</w:t>
            </w:r>
          </w:p>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szCs w:val="21"/>
                <w:highlight w:val="none"/>
              </w:rPr>
              <w:t>（XX分）</w:t>
            </w:r>
          </w:p>
        </w:tc>
        <w:tc>
          <w:tcPr>
            <w:tcW w:w="2268" w:type="dxa"/>
            <w:noWrap w:val="0"/>
            <w:vAlign w:val="center"/>
          </w:tcPr>
          <w:p>
            <w:pPr>
              <w:jc w:val="center"/>
              <w:rPr>
                <w:rFonts w:hint="eastAsia" w:ascii="仿宋" w:hAnsi="仿宋" w:eastAsia="仿宋" w:cs="宋体"/>
                <w:color w:val="000000"/>
                <w:szCs w:val="21"/>
                <w:highlight w:val="none"/>
              </w:rPr>
            </w:pPr>
          </w:p>
        </w:tc>
        <w:tc>
          <w:tcPr>
            <w:tcW w:w="4820" w:type="dxa"/>
            <w:noWrap w:val="0"/>
            <w:tcMar>
              <w:top w:w="15" w:type="dxa"/>
              <w:left w:w="15" w:type="dxa"/>
              <w:right w:w="15" w:type="dxa"/>
            </w:tcMar>
            <w:vAlign w:val="center"/>
          </w:tcPr>
          <w:p>
            <w:pPr>
              <w:rPr>
                <w:rStyle w:val="117"/>
                <w:rFonts w:hint="default" w:cs="宋体"/>
                <w:color w:val="000000"/>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4</w:t>
            </w:r>
          </w:p>
        </w:tc>
        <w:tc>
          <w:tcPr>
            <w:tcW w:w="1696" w:type="dxa"/>
            <w:vMerge w:val="continue"/>
            <w:noWrap w:val="0"/>
            <w:tcMar>
              <w:top w:w="15" w:type="dxa"/>
              <w:left w:w="15" w:type="dxa"/>
              <w:right w:w="15" w:type="dxa"/>
            </w:tcMar>
            <w:vAlign w:val="center"/>
          </w:tcPr>
          <w:p>
            <w:pPr>
              <w:widowControl/>
              <w:jc w:val="center"/>
              <w:textAlignment w:val="center"/>
              <w:rPr>
                <w:rFonts w:hint="eastAsia" w:ascii="仿宋" w:hAnsi="仿宋" w:eastAsia="仿宋" w:cs="宋体"/>
                <w:color w:val="000000"/>
                <w:szCs w:val="21"/>
                <w:highlight w:val="none"/>
              </w:rPr>
            </w:pPr>
          </w:p>
        </w:tc>
        <w:tc>
          <w:tcPr>
            <w:tcW w:w="2268" w:type="dxa"/>
            <w:noWrap w:val="0"/>
            <w:vAlign w:val="center"/>
          </w:tcPr>
          <w:p>
            <w:pPr>
              <w:widowControl/>
              <w:jc w:val="center"/>
              <w:textAlignment w:val="center"/>
              <w:rPr>
                <w:rFonts w:hint="eastAsia" w:ascii="仿宋" w:hAnsi="仿宋" w:eastAsia="仿宋" w:cs="宋体"/>
                <w:color w:val="000000"/>
                <w:szCs w:val="21"/>
                <w:highlight w:val="none"/>
              </w:rPr>
            </w:pPr>
          </w:p>
        </w:tc>
        <w:tc>
          <w:tcPr>
            <w:tcW w:w="4820" w:type="dxa"/>
            <w:noWrap w:val="0"/>
            <w:tcMar>
              <w:top w:w="15" w:type="dxa"/>
              <w:left w:w="15" w:type="dxa"/>
              <w:right w:w="15" w:type="dxa"/>
            </w:tcMar>
            <w:vAlign w:val="center"/>
          </w:tcPr>
          <w:p>
            <w:pPr>
              <w:rPr>
                <w:rStyle w:val="117"/>
                <w:rFonts w:hint="default" w:cs="宋体"/>
                <w:color w:val="000000"/>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5</w:t>
            </w:r>
          </w:p>
        </w:tc>
        <w:tc>
          <w:tcPr>
            <w:tcW w:w="1696" w:type="dxa"/>
            <w:vMerge w:val="continue"/>
            <w:noWrap w:val="0"/>
            <w:tcMar>
              <w:top w:w="15" w:type="dxa"/>
              <w:left w:w="15" w:type="dxa"/>
              <w:right w:w="15" w:type="dxa"/>
            </w:tcMar>
            <w:vAlign w:val="center"/>
          </w:tcPr>
          <w:p>
            <w:pPr>
              <w:widowControl/>
              <w:jc w:val="center"/>
              <w:textAlignment w:val="center"/>
              <w:rPr>
                <w:rFonts w:hint="eastAsia" w:ascii="仿宋" w:hAnsi="仿宋" w:eastAsia="仿宋" w:cs="宋体"/>
                <w:color w:val="000000"/>
                <w:szCs w:val="21"/>
                <w:highlight w:val="none"/>
              </w:rPr>
            </w:pPr>
          </w:p>
        </w:tc>
        <w:tc>
          <w:tcPr>
            <w:tcW w:w="2268" w:type="dxa"/>
            <w:noWrap w:val="0"/>
            <w:vAlign w:val="center"/>
          </w:tcPr>
          <w:p>
            <w:pPr>
              <w:widowControl/>
              <w:jc w:val="center"/>
              <w:textAlignment w:val="center"/>
              <w:rPr>
                <w:rFonts w:hint="eastAsia" w:ascii="仿宋" w:hAnsi="仿宋" w:eastAsia="仿宋" w:cs="宋体"/>
                <w:color w:val="000000"/>
                <w:szCs w:val="21"/>
                <w:highlight w:val="none"/>
              </w:rPr>
            </w:pPr>
          </w:p>
        </w:tc>
        <w:tc>
          <w:tcPr>
            <w:tcW w:w="4820" w:type="dxa"/>
            <w:noWrap w:val="0"/>
            <w:tcMar>
              <w:top w:w="15" w:type="dxa"/>
              <w:left w:w="15" w:type="dxa"/>
              <w:right w:w="15" w:type="dxa"/>
            </w:tcMar>
            <w:vAlign w:val="center"/>
          </w:tcPr>
          <w:p>
            <w:pPr>
              <w:rPr>
                <w:rStyle w:val="117"/>
                <w:rFonts w:hint="default" w:cs="宋体"/>
                <w:color w:val="000000"/>
                <w:highlight w:val="none"/>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6</w:t>
            </w:r>
          </w:p>
        </w:tc>
        <w:tc>
          <w:tcPr>
            <w:tcW w:w="1696" w:type="dxa"/>
            <w:vMerge w:val="continue"/>
            <w:noWrap w:val="0"/>
            <w:tcMar>
              <w:top w:w="15" w:type="dxa"/>
              <w:left w:w="15" w:type="dxa"/>
              <w:right w:w="15" w:type="dxa"/>
            </w:tcMar>
            <w:vAlign w:val="center"/>
          </w:tcPr>
          <w:p>
            <w:pPr>
              <w:widowControl/>
              <w:jc w:val="center"/>
              <w:textAlignment w:val="center"/>
              <w:rPr>
                <w:rFonts w:hint="eastAsia" w:ascii="仿宋" w:hAnsi="仿宋" w:eastAsia="仿宋" w:cs="宋体"/>
                <w:color w:val="000000"/>
                <w:szCs w:val="21"/>
                <w:highlight w:val="none"/>
              </w:rPr>
            </w:pPr>
          </w:p>
        </w:tc>
        <w:tc>
          <w:tcPr>
            <w:tcW w:w="2268" w:type="dxa"/>
            <w:noWrap w:val="0"/>
            <w:vAlign w:val="center"/>
          </w:tcPr>
          <w:p>
            <w:pPr>
              <w:widowControl/>
              <w:jc w:val="center"/>
              <w:textAlignment w:val="center"/>
              <w:rPr>
                <w:rFonts w:hint="eastAsia" w:ascii="仿宋" w:hAnsi="仿宋" w:eastAsia="仿宋" w:cs="宋体"/>
                <w:color w:val="000000"/>
                <w:szCs w:val="21"/>
                <w:highlight w:val="none"/>
              </w:rPr>
            </w:pPr>
          </w:p>
        </w:tc>
        <w:tc>
          <w:tcPr>
            <w:tcW w:w="4820" w:type="dxa"/>
            <w:noWrap w:val="0"/>
            <w:tcMar>
              <w:top w:w="15" w:type="dxa"/>
              <w:left w:w="15" w:type="dxa"/>
              <w:right w:w="15" w:type="dxa"/>
            </w:tcMar>
            <w:vAlign w:val="center"/>
          </w:tcPr>
          <w:p>
            <w:pPr>
              <w:rPr>
                <w:rStyle w:val="117"/>
                <w:rFonts w:hint="default" w:cs="宋体"/>
                <w:color w:val="000000"/>
                <w:highlight w:val="none"/>
                <w:lang w:bidi="ar"/>
              </w:rPr>
            </w:pPr>
          </w:p>
        </w:tc>
      </w:tr>
    </w:tbl>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p>
    <w:p>
      <w:pPr>
        <w:pStyle w:val="5"/>
        <w:numPr>
          <w:ilvl w:val="0"/>
          <w:numId w:val="0"/>
        </w:numPr>
        <w:spacing w:before="0" w:after="0" w:line="360" w:lineRule="auto"/>
        <w:rPr>
          <w:rFonts w:hint="eastAsia" w:ascii="仿宋" w:hAnsi="仿宋" w:eastAsia="仿宋" w:cs="仿宋"/>
          <w:color w:val="000000"/>
          <w:sz w:val="24"/>
          <w:szCs w:val="24"/>
          <w:highlight w:val="none"/>
        </w:rPr>
      </w:pPr>
      <w:bookmarkStart w:id="208" w:name="_Toc23574"/>
      <w:r>
        <w:rPr>
          <w:rFonts w:hint="eastAsia" w:ascii="仿宋" w:hAnsi="仿宋" w:eastAsia="仿宋" w:cs="仿宋"/>
          <w:color w:val="000000"/>
          <w:sz w:val="24"/>
          <w:szCs w:val="24"/>
          <w:highlight w:val="none"/>
        </w:rPr>
        <w:t>（一）采购需求应答偏离表</w:t>
      </w:r>
      <w:bookmarkEnd w:id="207"/>
      <w:bookmarkEnd w:id="208"/>
    </w:p>
    <w:p>
      <w:pPr>
        <w:spacing w:line="360" w:lineRule="auto"/>
        <w:jc w:val="center"/>
        <w:rPr>
          <w:rFonts w:hint="eastAsia" w:ascii="仿宋" w:hAnsi="仿宋" w:eastAsia="仿宋" w:cs="仿宋"/>
          <w:b/>
          <w:bCs/>
          <w:color w:val="000000"/>
          <w:sz w:val="24"/>
          <w:highlight w:val="none"/>
        </w:rPr>
      </w:pPr>
      <w:bookmarkStart w:id="209" w:name="_Toc125561188"/>
      <w:bookmarkStart w:id="210" w:name="_Toc125771198"/>
      <w:bookmarkStart w:id="211" w:name="_Toc293297544"/>
      <w:r>
        <w:rPr>
          <w:rFonts w:hint="eastAsia" w:ascii="仿宋" w:hAnsi="仿宋" w:eastAsia="仿宋" w:cs="仿宋"/>
          <w:b/>
          <w:bCs/>
          <w:color w:val="000000"/>
          <w:sz w:val="24"/>
          <w:highlight w:val="none"/>
        </w:rPr>
        <w:t>采购需求应答偏离表</w:t>
      </w:r>
      <w:bookmarkEnd w:id="209"/>
      <w:bookmarkEnd w:id="210"/>
      <w:bookmarkEnd w:id="211"/>
    </w:p>
    <w:p>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p>
    <w:tbl>
      <w:tblPr>
        <w:tblStyle w:val="40"/>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1154"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技术偏离类型(正负偏离)</w:t>
            </w:r>
          </w:p>
        </w:tc>
        <w:tc>
          <w:tcPr>
            <w:tcW w:w="1254"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技术偏离的主要内容说明</w:t>
            </w:r>
          </w:p>
        </w:tc>
        <w:tc>
          <w:tcPr>
            <w:tcW w:w="728" w:type="pct"/>
            <w:tcBorders>
              <w:top w:val="double" w:color="auto" w:sz="4" w:space="0"/>
              <w:left w:val="single" w:color="auto" w:sz="4" w:space="0"/>
              <w:bottom w:val="single" w:color="auto" w:sz="4" w:space="0"/>
              <w:right w:val="double" w:color="auto" w:sz="4" w:space="0"/>
            </w:tcBorders>
            <w:noWrap w:val="0"/>
            <w:vAlign w:val="center"/>
          </w:tcPr>
          <w:p>
            <w:pPr>
              <w:spacing w:line="360" w:lineRule="auto"/>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负偏离(不满足)</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正偏离(优于)</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double" w:color="auto" w:sz="4" w:space="0"/>
              <w:right w:val="double" w:color="auto" w:sz="4" w:space="0"/>
            </w:tcBorders>
            <w:noWrap w:val="0"/>
            <w:vAlign w:val="top"/>
          </w:tcPr>
          <w:p>
            <w:pPr>
              <w:spacing w:line="360" w:lineRule="auto"/>
              <w:rPr>
                <w:rFonts w:hint="eastAsia" w:ascii="仿宋" w:hAnsi="仿宋" w:eastAsia="仿宋" w:cs="仿宋"/>
                <w:color w:val="000000"/>
                <w:szCs w:val="21"/>
                <w:highlight w:val="none"/>
              </w:rPr>
            </w:pPr>
          </w:p>
        </w:tc>
      </w:tr>
    </w:tbl>
    <w:p>
      <w:pPr>
        <w:spacing w:before="240" w:line="360" w:lineRule="auto"/>
        <w:rPr>
          <w:rFonts w:hint="eastAsia" w:ascii="仿宋" w:hAnsi="仿宋" w:eastAsia="仿宋" w:cs="Cambria Math"/>
          <w:color w:val="000000"/>
          <w:sz w:val="24"/>
          <w:highlight w:val="none"/>
        </w:rPr>
      </w:pPr>
      <w:r>
        <w:rPr>
          <w:rFonts w:hint="eastAsia" w:ascii="仿宋" w:hAnsi="仿宋" w:eastAsia="仿宋" w:cs="仿宋"/>
          <w:color w:val="000000"/>
          <w:sz w:val="24"/>
          <w:highlight w:val="none"/>
        </w:rPr>
        <w:t>注：</w:t>
      </w:r>
      <w:r>
        <w:rPr>
          <w:rFonts w:hint="eastAsia" w:ascii="仿宋" w:hAnsi="仿宋" w:eastAsia="仿宋" w:cs="Cambria Math"/>
          <w:color w:val="000000"/>
          <w:sz w:val="24"/>
          <w:highlight w:val="none"/>
        </w:rPr>
        <w:t>对于未列出的偏离内容视同供应商已完全接受</w:t>
      </w:r>
      <w:r>
        <w:rPr>
          <w:rFonts w:hint="eastAsia" w:ascii="仿宋" w:hAnsi="仿宋" w:eastAsia="仿宋" w:cs="Cambria Math"/>
          <w:color w:val="000000"/>
          <w:sz w:val="24"/>
          <w:highlight w:val="none"/>
          <w:lang w:eastAsia="zh-CN"/>
        </w:rPr>
        <w:t>比选</w:t>
      </w:r>
      <w:r>
        <w:rPr>
          <w:rFonts w:hint="eastAsia" w:ascii="仿宋" w:hAnsi="仿宋" w:eastAsia="仿宋" w:cs="Cambria Math"/>
          <w:color w:val="000000"/>
          <w:sz w:val="24"/>
          <w:highlight w:val="none"/>
        </w:rPr>
        <w:t>文件的要求，</w:t>
      </w:r>
      <w:r>
        <w:rPr>
          <w:rFonts w:hint="eastAsia" w:ascii="仿宋" w:hAnsi="仿宋" w:eastAsia="仿宋" w:cs="Cambria Math"/>
          <w:b/>
          <w:bCs/>
          <w:color w:val="000000"/>
          <w:sz w:val="24"/>
          <w:highlight w:val="none"/>
        </w:rPr>
        <w:t>如全部满足，在偏离表中应答“全部满足”即可</w:t>
      </w:r>
      <w:r>
        <w:rPr>
          <w:rFonts w:hint="eastAsia" w:ascii="仿宋" w:hAnsi="仿宋" w:eastAsia="仿宋" w:cs="Cambria Math"/>
          <w:color w:val="000000"/>
          <w:sz w:val="24"/>
          <w:highlight w:val="none"/>
        </w:rPr>
        <w:t>。</w:t>
      </w:r>
    </w:p>
    <w:p>
      <w:pPr>
        <w:spacing w:line="360" w:lineRule="auto"/>
        <w:ind w:left="480" w:hanging="480" w:hangingChars="200"/>
        <w:rPr>
          <w:rFonts w:hint="eastAsia"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spacing w:line="360" w:lineRule="auto"/>
        <w:rPr>
          <w:rFonts w:hint="eastAsia" w:ascii="仿宋" w:hAnsi="仿宋" w:eastAsia="仿宋" w:cs="仿宋"/>
          <w:color w:val="000000"/>
          <w:sz w:val="24"/>
          <w:highlight w:val="none"/>
        </w:rPr>
      </w:pPr>
    </w:p>
    <w:p>
      <w:pPr>
        <w:pStyle w:val="5"/>
        <w:numPr>
          <w:ilvl w:val="0"/>
          <w:numId w:val="0"/>
        </w:numPr>
        <w:spacing w:before="0" w:after="0" w:line="360" w:lineRule="auto"/>
        <w:ind w:left="1152" w:hanging="1152"/>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212" w:name="_Toc5835"/>
      <w:r>
        <w:rPr>
          <w:rFonts w:hint="eastAsia" w:ascii="仿宋" w:hAnsi="仿宋" w:eastAsia="仿宋" w:cs="仿宋"/>
          <w:color w:val="000000"/>
          <w:sz w:val="24"/>
          <w:szCs w:val="24"/>
          <w:highlight w:val="none"/>
        </w:rPr>
        <w:t>（二）技术方案</w:t>
      </w:r>
      <w:bookmarkEnd w:id="212"/>
    </w:p>
    <w:p>
      <w:pPr>
        <w:spacing w:line="360" w:lineRule="auto"/>
        <w:ind w:firstLine="480" w:firstLineChars="20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供应商应根据采购需求的要求，提供相应的文件内容以及证明材料。 </w:t>
      </w:r>
      <w:bookmarkEnd w:id="180"/>
      <w:bookmarkEnd w:id="181"/>
      <w:bookmarkEnd w:id="182"/>
      <w:bookmarkEnd w:id="183"/>
      <w:bookmarkEnd w:id="184"/>
      <w:bookmarkEnd w:id="185"/>
      <w:bookmarkStart w:id="213" w:name="_Toc444891358"/>
      <w:bookmarkStart w:id="214" w:name="_Toc517281860"/>
      <w:r>
        <w:rPr>
          <w:rFonts w:hint="eastAsia" w:ascii="仿宋" w:hAnsi="仿宋" w:eastAsia="仿宋" w:cs="仿宋"/>
          <w:color w:val="000000"/>
          <w:sz w:val="24"/>
          <w:highlight w:val="none"/>
        </w:rPr>
        <w:br w:type="page"/>
      </w:r>
    </w:p>
    <w:p>
      <w:pPr>
        <w:pStyle w:val="6"/>
        <w:numPr>
          <w:ilvl w:val="0"/>
          <w:numId w:val="0"/>
        </w:numPr>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lang w:val="en-US" w:eastAsia="zh-CN"/>
        </w:rPr>
        <w:t>1、</w:t>
      </w:r>
      <w:r>
        <w:rPr>
          <w:rFonts w:hint="eastAsia" w:ascii="仿宋" w:hAnsi="仿宋" w:eastAsia="仿宋" w:cs="Cambria Math"/>
          <w:color w:val="000000"/>
          <w:sz w:val="24"/>
          <w:szCs w:val="24"/>
          <w:highlight w:val="none"/>
        </w:rPr>
        <w:t>拟派服务团队成员汇总表</w:t>
      </w:r>
    </w:p>
    <w:tbl>
      <w:tblPr>
        <w:tblStyle w:val="40"/>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1260"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姓名</w:t>
            </w:r>
          </w:p>
        </w:tc>
        <w:tc>
          <w:tcPr>
            <w:tcW w:w="851"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学历</w:t>
            </w:r>
          </w:p>
        </w:tc>
        <w:tc>
          <w:tcPr>
            <w:tcW w:w="980"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专业资质</w:t>
            </w:r>
          </w:p>
        </w:tc>
        <w:tc>
          <w:tcPr>
            <w:tcW w:w="992"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工作年限</w:t>
            </w:r>
          </w:p>
        </w:tc>
        <w:tc>
          <w:tcPr>
            <w:tcW w:w="1276"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本项目职务</w:t>
            </w:r>
          </w:p>
        </w:tc>
        <w:tc>
          <w:tcPr>
            <w:tcW w:w="1134"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服务内容</w:t>
            </w:r>
          </w:p>
        </w:tc>
        <w:tc>
          <w:tcPr>
            <w:tcW w:w="1695" w:type="dxa"/>
            <w:noWrap w:val="0"/>
            <w:vAlign w:val="center"/>
          </w:tcPr>
          <w:p>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4</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6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pPr>
              <w:snapToGrid w:val="0"/>
              <w:spacing w:line="360" w:lineRule="auto"/>
              <w:jc w:val="center"/>
              <w:rPr>
                <w:rFonts w:hint="eastAsia" w:ascii="仿宋" w:hAnsi="仿宋" w:eastAsia="仿宋" w:cs="仿宋"/>
                <w:color w:val="000000"/>
                <w:szCs w:val="21"/>
                <w:highlight w:val="none"/>
              </w:rPr>
            </w:pPr>
          </w:p>
        </w:tc>
      </w:tr>
    </w:tbl>
    <w:p>
      <w:pPr>
        <w:adjustRightInd w:val="0"/>
        <w:snapToGrid w:val="0"/>
        <w:spacing w:before="240" w:line="360" w:lineRule="auto"/>
        <w:ind w:firstLine="482" w:firstLineChars="200"/>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注：需按照采购需求中的相关要求，列明本项目服务团队所有人员信息及职责分工。</w:t>
      </w:r>
    </w:p>
    <w:p>
      <w:pPr>
        <w:rPr>
          <w:rFonts w:hint="eastAsia" w:ascii="仿宋" w:hAnsi="仿宋" w:eastAsia="仿宋" w:cs="仿宋"/>
          <w:color w:val="000000"/>
          <w:highlight w:val="none"/>
        </w:rPr>
      </w:pPr>
      <w:r>
        <w:rPr>
          <w:rFonts w:hint="eastAsia" w:ascii="仿宋" w:hAnsi="仿宋" w:eastAsia="仿宋" w:cs="仿宋"/>
          <w:color w:val="000000"/>
          <w:highlight w:val="none"/>
        </w:rPr>
        <w:br w:type="page"/>
      </w:r>
    </w:p>
    <w:p>
      <w:pPr>
        <w:pStyle w:val="6"/>
        <w:spacing w:before="0" w:after="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lang w:val="en-US" w:eastAsia="zh-CN"/>
        </w:rPr>
        <w:t>2、</w:t>
      </w:r>
      <w:r>
        <w:rPr>
          <w:rFonts w:hint="eastAsia" w:ascii="仿宋" w:hAnsi="仿宋" w:eastAsia="仿宋" w:cs="Cambria Math"/>
          <w:color w:val="000000"/>
          <w:sz w:val="24"/>
          <w:szCs w:val="24"/>
          <w:highlight w:val="none"/>
        </w:rPr>
        <w:t>拟派团队成员简历表</w:t>
      </w:r>
    </w:p>
    <w:tbl>
      <w:tblPr>
        <w:tblStyle w:val="4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姓  名</w:t>
            </w:r>
          </w:p>
        </w:tc>
        <w:tc>
          <w:tcPr>
            <w:tcW w:w="1680" w:type="dxa"/>
            <w:gridSpan w:val="3"/>
            <w:noWrap w:val="0"/>
            <w:vAlign w:val="center"/>
          </w:tcPr>
          <w:p>
            <w:pPr>
              <w:jc w:val="center"/>
              <w:rPr>
                <w:rFonts w:hint="eastAsia" w:ascii="仿宋" w:hAnsi="仿宋" w:eastAsia="仿宋" w:cs="仿宋"/>
                <w:color w:val="000000"/>
                <w:sz w:val="24"/>
                <w:highlight w:val="none"/>
              </w:rPr>
            </w:pPr>
          </w:p>
        </w:tc>
        <w:tc>
          <w:tcPr>
            <w:tcW w:w="945" w:type="dxa"/>
            <w:gridSpan w:val="2"/>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性 别</w:t>
            </w:r>
          </w:p>
        </w:tc>
        <w:tc>
          <w:tcPr>
            <w:tcW w:w="945" w:type="dxa"/>
            <w:noWrap w:val="0"/>
            <w:vAlign w:val="center"/>
          </w:tcPr>
          <w:p>
            <w:pPr>
              <w:rPr>
                <w:rFonts w:hint="eastAsia" w:ascii="仿宋" w:hAnsi="仿宋" w:eastAsia="仿宋" w:cs="仿宋"/>
                <w:color w:val="000000"/>
                <w:sz w:val="24"/>
                <w:highlight w:val="none"/>
              </w:rPr>
            </w:pPr>
          </w:p>
        </w:tc>
        <w:tc>
          <w:tcPr>
            <w:tcW w:w="1854" w:type="dxa"/>
            <w:gridSpan w:val="2"/>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出 生 日 期</w:t>
            </w:r>
          </w:p>
        </w:tc>
        <w:tc>
          <w:tcPr>
            <w:tcW w:w="2694" w:type="dxa"/>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毕业院校及专业</w:t>
            </w:r>
          </w:p>
        </w:tc>
        <w:tc>
          <w:tcPr>
            <w:tcW w:w="3570" w:type="dxa"/>
            <w:gridSpan w:val="6"/>
            <w:noWrap w:val="0"/>
            <w:vAlign w:val="center"/>
          </w:tcPr>
          <w:p>
            <w:pPr>
              <w:rPr>
                <w:rFonts w:hint="eastAsia" w:ascii="仿宋" w:hAnsi="仿宋" w:eastAsia="仿宋" w:cs="仿宋"/>
                <w:color w:val="000000"/>
                <w:sz w:val="24"/>
                <w:highlight w:val="none"/>
              </w:rPr>
            </w:pPr>
          </w:p>
        </w:tc>
        <w:tc>
          <w:tcPr>
            <w:tcW w:w="1854" w:type="dxa"/>
            <w:gridSpan w:val="2"/>
            <w:noWrap w:val="0"/>
            <w:vAlign w:val="center"/>
          </w:tcPr>
          <w:p>
            <w:pPr>
              <w:ind w:left="-1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学历</w:t>
            </w:r>
          </w:p>
        </w:tc>
        <w:tc>
          <w:tcPr>
            <w:tcW w:w="2694" w:type="dxa"/>
            <w:noWrap w:val="0"/>
            <w:vAlign w:val="center"/>
          </w:tcPr>
          <w:p>
            <w:pPr>
              <w:ind w:left="45"/>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工作年限</w:t>
            </w:r>
          </w:p>
        </w:tc>
        <w:tc>
          <w:tcPr>
            <w:tcW w:w="1974" w:type="dxa"/>
            <w:gridSpan w:val="2"/>
            <w:noWrap w:val="0"/>
            <w:vAlign w:val="center"/>
          </w:tcPr>
          <w:p>
            <w:pPr>
              <w:rPr>
                <w:rFonts w:hint="eastAsia" w:ascii="仿宋" w:hAnsi="仿宋" w:eastAsia="仿宋" w:cs="仿宋"/>
                <w:color w:val="000000"/>
                <w:sz w:val="24"/>
                <w:highlight w:val="none"/>
              </w:rPr>
            </w:pPr>
          </w:p>
        </w:tc>
        <w:tc>
          <w:tcPr>
            <w:tcW w:w="2835" w:type="dxa"/>
            <w:gridSpan w:val="4"/>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为供应商服务时间</w:t>
            </w:r>
          </w:p>
        </w:tc>
        <w:tc>
          <w:tcPr>
            <w:tcW w:w="2694" w:type="dxa"/>
            <w:noWrap w:val="0"/>
            <w:vAlign w:val="center"/>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专业资质</w:t>
            </w:r>
          </w:p>
        </w:tc>
        <w:tc>
          <w:tcPr>
            <w:tcW w:w="1974" w:type="dxa"/>
            <w:gridSpan w:val="2"/>
            <w:noWrap w:val="0"/>
            <w:vAlign w:val="center"/>
          </w:tcPr>
          <w:p>
            <w:pPr>
              <w:rPr>
                <w:rFonts w:hint="eastAsia" w:ascii="仿宋" w:hAnsi="仿宋" w:eastAsia="仿宋" w:cs="仿宋"/>
                <w:color w:val="000000"/>
                <w:sz w:val="24"/>
                <w:highlight w:val="none"/>
              </w:rPr>
            </w:pPr>
          </w:p>
        </w:tc>
        <w:tc>
          <w:tcPr>
            <w:tcW w:w="2835" w:type="dxa"/>
            <w:gridSpan w:val="4"/>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在本项目中的职务</w:t>
            </w:r>
          </w:p>
        </w:tc>
        <w:tc>
          <w:tcPr>
            <w:tcW w:w="2694" w:type="dxa"/>
            <w:noWrap w:val="0"/>
            <w:vAlign w:val="center"/>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noWrap w:val="0"/>
            <w:vAlign w:val="center"/>
          </w:tcPr>
          <w:p>
            <w:pPr>
              <w:ind w:firstLine="3360" w:firstLineChars="1400"/>
              <w:rPr>
                <w:rFonts w:hint="eastAsia" w:ascii="仿宋" w:hAnsi="仿宋" w:eastAsia="仿宋" w:cs="仿宋"/>
                <w:color w:val="000000"/>
                <w:sz w:val="24"/>
                <w:highlight w:val="none"/>
              </w:rPr>
            </w:pPr>
            <w:r>
              <w:rPr>
                <w:rFonts w:hint="eastAsia" w:ascii="仿宋" w:hAnsi="仿宋" w:eastAsia="仿宋" w:cs="仿宋"/>
                <w:color w:val="000000"/>
                <w:sz w:val="24"/>
                <w:highlight w:val="none"/>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noWrap w:val="0"/>
            <w:vAlign w:val="center"/>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noWrap w:val="0"/>
            <w:vAlign w:val="center"/>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时   间</w:t>
            </w:r>
          </w:p>
        </w:tc>
        <w:tc>
          <w:tcPr>
            <w:tcW w:w="4536" w:type="dxa"/>
            <w:gridSpan w:val="6"/>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同类项目名称及简要描述</w:t>
            </w:r>
          </w:p>
        </w:tc>
        <w:tc>
          <w:tcPr>
            <w:tcW w:w="3261" w:type="dxa"/>
            <w:gridSpan w:val="2"/>
            <w:noWrap w:val="0"/>
            <w:vAlign w:val="center"/>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noWrap w:val="0"/>
            <w:vAlign w:val="top"/>
          </w:tcPr>
          <w:p>
            <w:pPr>
              <w:rPr>
                <w:rFonts w:hint="eastAsia" w:ascii="仿宋" w:hAnsi="仿宋" w:eastAsia="仿宋" w:cs="仿宋"/>
                <w:color w:val="000000"/>
                <w:sz w:val="24"/>
                <w:highlight w:val="none"/>
              </w:rPr>
            </w:pPr>
          </w:p>
        </w:tc>
        <w:tc>
          <w:tcPr>
            <w:tcW w:w="4536" w:type="dxa"/>
            <w:gridSpan w:val="6"/>
            <w:noWrap w:val="0"/>
            <w:vAlign w:val="top"/>
          </w:tcPr>
          <w:p>
            <w:pPr>
              <w:rPr>
                <w:rFonts w:hint="eastAsia" w:ascii="仿宋" w:hAnsi="仿宋" w:eastAsia="仿宋" w:cs="仿宋"/>
                <w:color w:val="000000"/>
                <w:sz w:val="24"/>
                <w:highlight w:val="none"/>
              </w:rPr>
            </w:pPr>
          </w:p>
        </w:tc>
        <w:tc>
          <w:tcPr>
            <w:tcW w:w="3261" w:type="dxa"/>
            <w:gridSpan w:val="2"/>
            <w:noWrap w:val="0"/>
            <w:vAlign w:val="top"/>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noWrap w:val="0"/>
            <w:vAlign w:val="top"/>
          </w:tcPr>
          <w:p>
            <w:pPr>
              <w:rPr>
                <w:rFonts w:hint="eastAsia" w:ascii="仿宋" w:hAnsi="仿宋" w:eastAsia="仿宋" w:cs="仿宋"/>
                <w:color w:val="000000"/>
                <w:sz w:val="24"/>
                <w:highlight w:val="none"/>
              </w:rPr>
            </w:pPr>
          </w:p>
        </w:tc>
        <w:tc>
          <w:tcPr>
            <w:tcW w:w="4536" w:type="dxa"/>
            <w:gridSpan w:val="6"/>
            <w:noWrap w:val="0"/>
            <w:vAlign w:val="top"/>
          </w:tcPr>
          <w:p>
            <w:pPr>
              <w:rPr>
                <w:rFonts w:hint="eastAsia" w:ascii="仿宋" w:hAnsi="仿宋" w:eastAsia="仿宋" w:cs="仿宋"/>
                <w:color w:val="000000"/>
                <w:sz w:val="24"/>
                <w:highlight w:val="none"/>
              </w:rPr>
            </w:pPr>
          </w:p>
        </w:tc>
        <w:tc>
          <w:tcPr>
            <w:tcW w:w="3261" w:type="dxa"/>
            <w:gridSpan w:val="2"/>
            <w:noWrap w:val="0"/>
            <w:vAlign w:val="top"/>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noWrap w:val="0"/>
            <w:vAlign w:val="top"/>
          </w:tcPr>
          <w:p>
            <w:pPr>
              <w:rPr>
                <w:rFonts w:hint="eastAsia" w:ascii="仿宋" w:hAnsi="仿宋" w:eastAsia="仿宋" w:cs="仿宋"/>
                <w:color w:val="000000"/>
                <w:sz w:val="24"/>
                <w:highlight w:val="none"/>
              </w:rPr>
            </w:pPr>
          </w:p>
        </w:tc>
        <w:tc>
          <w:tcPr>
            <w:tcW w:w="4536" w:type="dxa"/>
            <w:gridSpan w:val="6"/>
            <w:noWrap w:val="0"/>
            <w:vAlign w:val="top"/>
          </w:tcPr>
          <w:p>
            <w:pPr>
              <w:rPr>
                <w:rFonts w:hint="eastAsia" w:ascii="仿宋" w:hAnsi="仿宋" w:eastAsia="仿宋" w:cs="仿宋"/>
                <w:color w:val="000000"/>
                <w:sz w:val="24"/>
                <w:highlight w:val="none"/>
              </w:rPr>
            </w:pPr>
          </w:p>
        </w:tc>
        <w:tc>
          <w:tcPr>
            <w:tcW w:w="3261" w:type="dxa"/>
            <w:gridSpan w:val="2"/>
            <w:noWrap w:val="0"/>
            <w:vAlign w:val="top"/>
          </w:tcPr>
          <w:p>
            <w:pPr>
              <w:rPr>
                <w:rFonts w:hint="eastAsia" w:ascii="仿宋" w:hAnsi="仿宋" w:eastAsia="仿宋" w:cs="仿宋"/>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noWrap w:val="0"/>
            <w:vAlign w:val="top"/>
          </w:tcPr>
          <w:p>
            <w:pPr>
              <w:rPr>
                <w:rFonts w:hint="eastAsia" w:ascii="仿宋" w:hAnsi="仿宋" w:eastAsia="仿宋" w:cs="仿宋"/>
                <w:color w:val="000000"/>
                <w:sz w:val="24"/>
                <w:highlight w:val="none"/>
              </w:rPr>
            </w:pPr>
          </w:p>
        </w:tc>
        <w:tc>
          <w:tcPr>
            <w:tcW w:w="4536" w:type="dxa"/>
            <w:gridSpan w:val="6"/>
            <w:noWrap w:val="0"/>
            <w:vAlign w:val="top"/>
          </w:tcPr>
          <w:p>
            <w:pPr>
              <w:rPr>
                <w:rFonts w:hint="eastAsia" w:ascii="仿宋" w:hAnsi="仿宋" w:eastAsia="仿宋" w:cs="仿宋"/>
                <w:color w:val="000000"/>
                <w:sz w:val="24"/>
                <w:highlight w:val="none"/>
              </w:rPr>
            </w:pPr>
          </w:p>
        </w:tc>
        <w:tc>
          <w:tcPr>
            <w:tcW w:w="3261" w:type="dxa"/>
            <w:gridSpan w:val="2"/>
            <w:noWrap w:val="0"/>
            <w:vAlign w:val="top"/>
          </w:tcPr>
          <w:p>
            <w:pPr>
              <w:rPr>
                <w:rFonts w:hint="eastAsia" w:ascii="仿宋" w:hAnsi="仿宋" w:eastAsia="仿宋" w:cs="仿宋"/>
                <w:color w:val="000000"/>
                <w:sz w:val="24"/>
                <w:highlight w:val="none"/>
              </w:rPr>
            </w:pPr>
          </w:p>
        </w:tc>
      </w:tr>
    </w:tbl>
    <w:p>
      <w:pPr>
        <w:spacing w:before="240"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注：</w:t>
      </w:r>
    </w:p>
    <w:p>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1、需随此表附上团队成员的身份证、毕业证、专业资质证书、同类项目实施经验证明等材料。</w:t>
      </w:r>
    </w:p>
    <w:p>
      <w:pPr>
        <w:spacing w:line="360" w:lineRule="auto"/>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2、“先附简历、再附材料”为一个人员的完整材料，人员简历排放顺序需与人员汇总表一致。</w:t>
      </w:r>
    </w:p>
    <w:p>
      <w:pPr>
        <w:spacing w:line="360" w:lineRule="auto"/>
        <w:rPr>
          <w:rFonts w:hint="eastAsia" w:ascii="仿宋" w:hAnsi="仿宋" w:eastAsia="仿宋" w:cs="仿宋"/>
          <w:color w:val="000000"/>
          <w:highlight w:val="none"/>
        </w:rPr>
      </w:pPr>
    </w:p>
    <w:p>
      <w:pPr>
        <w:rPr>
          <w:rFonts w:hint="eastAsia" w:ascii="仿宋" w:hAnsi="仿宋" w:eastAsia="仿宋" w:cs="仿宋"/>
          <w:color w:val="000000"/>
          <w:highlight w:val="none"/>
        </w:rPr>
      </w:pPr>
    </w:p>
    <w:p>
      <w:pPr>
        <w:rPr>
          <w:rFonts w:hint="eastAsia" w:ascii="仿宋" w:hAnsi="仿宋" w:eastAsia="仿宋" w:cs="仿宋"/>
          <w:color w:val="000000"/>
          <w:highlight w:val="none"/>
        </w:rPr>
      </w:pPr>
      <w:r>
        <w:rPr>
          <w:rFonts w:hint="eastAsia" w:ascii="仿宋" w:hAnsi="仿宋" w:eastAsia="仿宋" w:cs="仿宋"/>
          <w:color w:val="000000"/>
          <w:highlight w:val="none"/>
        </w:rPr>
        <w:br w:type="page"/>
      </w:r>
    </w:p>
    <w:p>
      <w:pPr>
        <w:pStyle w:val="5"/>
        <w:numPr>
          <w:ilvl w:val="0"/>
          <w:numId w:val="0"/>
        </w:numPr>
        <w:spacing w:before="0" w:after="0" w:line="360" w:lineRule="auto"/>
        <w:rPr>
          <w:rFonts w:hint="eastAsia" w:ascii="仿宋" w:hAnsi="仿宋" w:eastAsia="仿宋" w:cs="仿宋"/>
          <w:color w:val="000000"/>
          <w:sz w:val="24"/>
          <w:szCs w:val="24"/>
          <w:highlight w:val="none"/>
        </w:rPr>
      </w:pPr>
      <w:bookmarkStart w:id="215" w:name="_Toc19744"/>
      <w:r>
        <w:rPr>
          <w:rFonts w:hint="eastAsia" w:ascii="仿宋" w:hAnsi="仿宋" w:eastAsia="仿宋" w:cs="仿宋"/>
          <w:color w:val="000000"/>
          <w:sz w:val="24"/>
          <w:szCs w:val="24"/>
          <w:highlight w:val="none"/>
        </w:rPr>
        <w:t>（三）</w:t>
      </w:r>
      <w:bookmarkEnd w:id="186"/>
      <w:bookmarkEnd w:id="187"/>
      <w:bookmarkEnd w:id="188"/>
      <w:bookmarkEnd w:id="189"/>
      <w:bookmarkEnd w:id="190"/>
      <w:bookmarkEnd w:id="191"/>
      <w:bookmarkEnd w:id="213"/>
      <w:bookmarkEnd w:id="214"/>
      <w:r>
        <w:rPr>
          <w:rFonts w:hint="eastAsia" w:ascii="仿宋" w:hAnsi="仿宋" w:eastAsia="仿宋" w:cs="仿宋"/>
          <w:color w:val="000000"/>
          <w:sz w:val="24"/>
          <w:szCs w:val="24"/>
          <w:highlight w:val="none"/>
        </w:rPr>
        <w:t>其他材料</w:t>
      </w:r>
      <w:bookmarkEnd w:id="215"/>
    </w:p>
    <w:p>
      <w:pPr>
        <w:spacing w:line="360" w:lineRule="auto"/>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w:t>
      </w:r>
      <w:r>
        <w:rPr>
          <w:rFonts w:ascii="仿宋" w:hAnsi="仿宋" w:eastAsia="仿宋" w:cs="Cambria Math"/>
          <w:color w:val="000000"/>
          <w:sz w:val="24"/>
          <w:highlight w:val="none"/>
        </w:rPr>
        <w:t>认为需提供的其他材料</w:t>
      </w:r>
      <w:r>
        <w:rPr>
          <w:rFonts w:hint="eastAsia" w:ascii="仿宋" w:hAnsi="仿宋" w:eastAsia="仿宋" w:cs="Cambria Math"/>
          <w:color w:val="000000"/>
          <w:sz w:val="24"/>
          <w:highlight w:val="none"/>
        </w:rPr>
        <w:t>。</w:t>
      </w:r>
    </w:p>
    <w:p>
      <w:pPr>
        <w:spacing w:line="360" w:lineRule="auto"/>
        <w:rPr>
          <w:rFonts w:hint="eastAsia" w:ascii="仿宋" w:hAnsi="仿宋" w:eastAsia="仿宋" w:cs="仿宋"/>
          <w:color w:val="000000"/>
          <w:sz w:val="24"/>
          <w:highlight w:val="none"/>
        </w:rPr>
        <w:sectPr>
          <w:pgSz w:w="11906" w:h="16838"/>
          <w:pgMar w:top="1417" w:right="1134" w:bottom="1134" w:left="1134" w:header="964" w:footer="964" w:gutter="0"/>
          <w:cols w:space="720" w:num="1"/>
          <w:docGrid w:linePitch="312" w:charSpace="0"/>
        </w:sectPr>
      </w:pPr>
    </w:p>
    <w:p>
      <w:pPr>
        <w:pStyle w:val="4"/>
        <w:ind w:firstLine="0" w:firstLineChars="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bookmarkStart w:id="216" w:name="_Toc4728"/>
      <w:r>
        <w:rPr>
          <w:rFonts w:hint="eastAsia" w:ascii="仿宋" w:hAnsi="仿宋" w:eastAsia="仿宋" w:cs="仿宋"/>
          <w:color w:val="000000"/>
          <w:sz w:val="24"/>
          <w:szCs w:val="24"/>
          <w:highlight w:val="none"/>
        </w:rPr>
        <w:t>三、报价文件</w:t>
      </w:r>
      <w:bookmarkEnd w:id="216"/>
    </w:p>
    <w:p>
      <w:pPr>
        <w:pStyle w:val="5"/>
        <w:spacing w:before="0" w:after="0" w:line="360" w:lineRule="auto"/>
        <w:ind w:firstLine="482"/>
        <w:rPr>
          <w:rFonts w:hint="eastAsia" w:ascii="仿宋" w:hAnsi="仿宋" w:eastAsia="仿宋" w:cs="仿宋"/>
          <w:color w:val="000000"/>
          <w:sz w:val="24"/>
          <w:szCs w:val="24"/>
          <w:highlight w:val="none"/>
        </w:rPr>
      </w:pPr>
      <w:bookmarkStart w:id="217" w:name="_Toc511726864"/>
      <w:bookmarkStart w:id="218" w:name="_Toc30300"/>
      <w:r>
        <w:rPr>
          <w:rFonts w:hint="eastAsia" w:ascii="仿宋" w:hAnsi="仿宋" w:eastAsia="仿宋" w:cs="仿宋"/>
          <w:color w:val="000000"/>
          <w:sz w:val="24"/>
          <w:szCs w:val="24"/>
          <w:highlight w:val="none"/>
        </w:rPr>
        <w:t>（一）报价</w:t>
      </w:r>
      <w:bookmarkEnd w:id="217"/>
      <w:r>
        <w:rPr>
          <w:rFonts w:hint="eastAsia" w:ascii="仿宋" w:hAnsi="仿宋" w:eastAsia="仿宋" w:cs="仿宋"/>
          <w:color w:val="000000"/>
          <w:sz w:val="24"/>
          <w:szCs w:val="24"/>
          <w:highlight w:val="none"/>
        </w:rPr>
        <w:t>一览表</w:t>
      </w:r>
      <w:bookmarkEnd w:id="218"/>
    </w:p>
    <w:p>
      <w:pPr>
        <w:pStyle w:val="13"/>
        <w:spacing w:line="360" w:lineRule="auto"/>
        <w:ind w:hanging="142"/>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themeColor="text1"/>
          <w:sz w:val="24"/>
          <w:highlight w:val="none"/>
          <w:u w:val="single"/>
          <w14:textFill>
            <w14:solidFill>
              <w14:schemeClr w14:val="tx1"/>
            </w14:solidFill>
          </w14:textFill>
        </w:rPr>
        <w:t>人保财险吉林省分公司自建系统等保测评服务</w:t>
      </w:r>
      <w:r>
        <w:rPr>
          <w:rFonts w:hint="eastAsia" w:ascii="仿宋" w:hAnsi="仿宋" w:eastAsia="仿宋" w:cs="仿宋"/>
          <w:color w:val="000000" w:themeColor="text1"/>
          <w:sz w:val="24"/>
          <w:highlight w:val="none"/>
          <w:u w:val="single"/>
          <w:lang w:val="en-US" w:eastAsia="zh-CN"/>
          <w14:textFill>
            <w14:solidFill>
              <w14:schemeClr w14:val="tx1"/>
            </w14:solidFill>
          </w14:textFill>
        </w:rPr>
        <w:t>采购项目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p>
    <w:p>
      <w:pPr>
        <w:pStyle w:val="13"/>
        <w:spacing w:line="360" w:lineRule="auto"/>
        <w:ind w:hanging="1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货币单位：</w:t>
      </w:r>
      <w:r>
        <w:rPr>
          <w:rFonts w:hint="eastAsia" w:ascii="仿宋" w:hAnsi="仿宋" w:eastAsia="仿宋" w:cs="仿宋"/>
          <w:color w:val="000000"/>
          <w:sz w:val="24"/>
          <w:szCs w:val="24"/>
          <w:highlight w:val="none"/>
          <w:u w:val="single"/>
        </w:rPr>
        <w:t xml:space="preserve"> 人民币元    </w:t>
      </w:r>
    </w:p>
    <w:p>
      <w:pPr>
        <w:widowControl/>
        <w:jc w:val="center"/>
        <w:textAlignment w:val="center"/>
        <w:rPr>
          <w:rFonts w:hint="eastAsia" w:ascii="仿宋" w:hAnsi="仿宋" w:eastAsia="仿宋" w:cs="仿宋"/>
          <w:color w:val="000000"/>
          <w:kern w:val="0"/>
          <w:szCs w:val="21"/>
          <w:highlight w:val="none"/>
          <w:lang w:bidi="ar"/>
        </w:rPr>
      </w:pPr>
    </w:p>
    <w:tbl>
      <w:tblPr>
        <w:tblStyle w:val="40"/>
        <w:tblW w:w="5000" w:type="pct"/>
        <w:jc w:val="center"/>
        <w:tblLayout w:type="autofit"/>
        <w:tblCellMar>
          <w:top w:w="0" w:type="dxa"/>
          <w:left w:w="108" w:type="dxa"/>
          <w:bottom w:w="0" w:type="dxa"/>
          <w:right w:w="108" w:type="dxa"/>
        </w:tblCellMar>
      </w:tblPr>
      <w:tblGrid>
        <w:gridCol w:w="808"/>
        <w:gridCol w:w="2395"/>
        <w:gridCol w:w="2223"/>
        <w:gridCol w:w="1880"/>
        <w:gridCol w:w="1413"/>
        <w:gridCol w:w="1135"/>
      </w:tblGrid>
      <w:tr>
        <w:tblPrEx>
          <w:tblCellMar>
            <w:top w:w="0" w:type="dxa"/>
            <w:left w:w="108" w:type="dxa"/>
            <w:bottom w:w="0" w:type="dxa"/>
            <w:right w:w="108" w:type="dxa"/>
          </w:tblCellMar>
        </w:tblPrEx>
        <w:trPr>
          <w:trHeight w:val="927" w:hRule="atLeast"/>
          <w:jc w:val="center"/>
        </w:trPr>
        <w:tc>
          <w:tcPr>
            <w:tcW w:w="41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序号</w:t>
            </w:r>
          </w:p>
        </w:tc>
        <w:tc>
          <w:tcPr>
            <w:tcW w:w="1215" w:type="pct"/>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报价内容</w:t>
            </w:r>
          </w:p>
        </w:tc>
        <w:tc>
          <w:tcPr>
            <w:tcW w:w="1128" w:type="pct"/>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含税总价</w:t>
            </w:r>
            <w:r>
              <w:rPr>
                <w:rFonts w:hint="eastAsia" w:ascii="仿宋" w:hAnsi="仿宋" w:eastAsia="仿宋" w:cs="宋体"/>
                <w:b/>
                <w:color w:val="000000"/>
                <w:szCs w:val="21"/>
                <w:highlight w:val="none"/>
              </w:rPr>
              <w:t>（元）</w:t>
            </w:r>
          </w:p>
        </w:tc>
        <w:tc>
          <w:tcPr>
            <w:tcW w:w="95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不含税总价</w:t>
            </w:r>
            <w:r>
              <w:rPr>
                <w:rFonts w:hint="eastAsia" w:ascii="仿宋" w:hAnsi="仿宋" w:eastAsia="仿宋" w:cs="宋体"/>
                <w:b/>
                <w:color w:val="000000"/>
                <w:szCs w:val="21"/>
                <w:highlight w:val="none"/>
              </w:rPr>
              <w:t>（元）</w:t>
            </w:r>
          </w:p>
        </w:tc>
        <w:tc>
          <w:tcPr>
            <w:tcW w:w="717"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税率</w:t>
            </w:r>
          </w:p>
          <w:p>
            <w:pPr>
              <w:widowControl/>
              <w:jc w:val="center"/>
              <w:rPr>
                <w:rFonts w:hint="eastAsia" w:ascii="仿宋" w:hAnsi="仿宋" w:eastAsia="仿宋" w:cs="宋体"/>
                <w:color w:val="000000"/>
                <w:szCs w:val="21"/>
                <w:highlight w:val="none"/>
              </w:rPr>
            </w:pPr>
            <w:r>
              <w:rPr>
                <w:rFonts w:hint="eastAsia" w:ascii="仿宋" w:hAnsi="仿宋" w:eastAsia="仿宋" w:cs="宋体"/>
                <w:b/>
                <w:bCs/>
                <w:color w:val="000000"/>
                <w:kern w:val="0"/>
                <w:szCs w:val="21"/>
                <w:highlight w:val="none"/>
              </w:rPr>
              <w:t>（%）</w:t>
            </w:r>
          </w:p>
        </w:tc>
        <w:tc>
          <w:tcPr>
            <w:tcW w:w="57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备注</w:t>
            </w:r>
          </w:p>
        </w:tc>
      </w:tr>
      <w:tr>
        <w:tblPrEx>
          <w:tblCellMar>
            <w:top w:w="0" w:type="dxa"/>
            <w:left w:w="108" w:type="dxa"/>
            <w:bottom w:w="0" w:type="dxa"/>
            <w:right w:w="108" w:type="dxa"/>
          </w:tblCellMar>
        </w:tblPrEx>
        <w:trPr>
          <w:trHeight w:val="1409" w:hRule="atLeast"/>
          <w:jc w:val="center"/>
        </w:trPr>
        <w:tc>
          <w:tcPr>
            <w:tcW w:w="410" w:type="pct"/>
            <w:tcBorders>
              <w:top w:val="nil"/>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Cs/>
                <w:color w:val="000000"/>
                <w:kern w:val="0"/>
                <w:szCs w:val="21"/>
                <w:highlight w:val="none"/>
              </w:rPr>
            </w:pPr>
            <w:r>
              <w:rPr>
                <w:rFonts w:hint="eastAsia" w:ascii="仿宋" w:hAnsi="仿宋" w:eastAsia="仿宋" w:cs="宋体"/>
                <w:bCs/>
                <w:color w:val="000000"/>
                <w:kern w:val="0"/>
                <w:szCs w:val="21"/>
                <w:highlight w:val="none"/>
              </w:rPr>
              <w:t>1</w:t>
            </w:r>
          </w:p>
        </w:tc>
        <w:tc>
          <w:tcPr>
            <w:tcW w:w="1215" w:type="pct"/>
            <w:tcBorders>
              <w:top w:val="nil"/>
              <w:left w:val="nil"/>
              <w:bottom w:val="single" w:color="auto" w:sz="4" w:space="0"/>
              <w:right w:val="single" w:color="auto" w:sz="4" w:space="0"/>
            </w:tcBorders>
            <w:noWrap w:val="0"/>
            <w:vAlign w:val="center"/>
          </w:tcPr>
          <w:p>
            <w:pPr>
              <w:widowControl/>
              <w:jc w:val="center"/>
              <w:rPr>
                <w:rFonts w:hint="default" w:ascii="仿宋" w:hAnsi="仿宋" w:eastAsia="仿宋" w:cs="宋体"/>
                <w:bCs/>
                <w:color w:val="000000"/>
                <w:kern w:val="0"/>
                <w:szCs w:val="21"/>
                <w:highlight w:val="none"/>
                <w:lang w:val="en-US" w:eastAsia="zh-CN"/>
              </w:rPr>
            </w:pPr>
            <w:r>
              <w:rPr>
                <w:rFonts w:hint="eastAsia" w:ascii="仿宋" w:hAnsi="仿宋" w:eastAsia="仿宋" w:cs="宋体"/>
                <w:bCs/>
                <w:color w:val="000000"/>
                <w:kern w:val="0"/>
                <w:szCs w:val="21"/>
                <w:highlight w:val="none"/>
                <w:lang w:val="en-US" w:eastAsia="zh-CN"/>
              </w:rPr>
              <w:t>等保测评服务</w:t>
            </w:r>
          </w:p>
        </w:tc>
        <w:tc>
          <w:tcPr>
            <w:tcW w:w="1128" w:type="pct"/>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p>
        </w:tc>
        <w:tc>
          <w:tcPr>
            <w:tcW w:w="95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宋体"/>
                <w:color w:val="000000"/>
                <w:kern w:val="0"/>
                <w:szCs w:val="21"/>
                <w:highlight w:val="none"/>
              </w:rPr>
            </w:pPr>
            <w:bookmarkStart w:id="219" w:name="_Toc71192056"/>
            <w:r>
              <w:rPr>
                <w:rFonts w:hint="eastAsia" w:ascii="仿宋" w:hAnsi="仿宋" w:eastAsia="仿宋" w:cs="宋体"/>
                <w:color w:val="000000"/>
                <w:kern w:val="0"/>
                <w:szCs w:val="21"/>
                <w:highlight w:val="none"/>
              </w:rPr>
              <w:t>服务：</w:t>
            </w:r>
            <w:bookmarkEnd w:id="219"/>
            <w:r>
              <w:rPr>
                <w:rFonts w:hint="eastAsia" w:ascii="仿宋" w:hAnsi="仿宋" w:eastAsia="仿宋" w:cs="宋体"/>
                <w:color w:val="000000"/>
                <w:kern w:val="0"/>
                <w:szCs w:val="21"/>
                <w:highlight w:val="none"/>
                <w:u w:val="single"/>
              </w:rPr>
              <w:t xml:space="preserve">   </w:t>
            </w:r>
            <w:r>
              <w:rPr>
                <w:rFonts w:hint="eastAsia" w:ascii="仿宋" w:hAnsi="仿宋" w:eastAsia="仿宋" w:cs="宋体"/>
                <w:color w:val="000000"/>
                <w:kern w:val="0"/>
                <w:szCs w:val="21"/>
                <w:highlight w:val="none"/>
              </w:rPr>
              <w:t xml:space="preserve">  </w:t>
            </w:r>
          </w:p>
        </w:tc>
        <w:tc>
          <w:tcPr>
            <w:tcW w:w="57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highlight w:val="none"/>
              </w:rPr>
            </w:pPr>
          </w:p>
        </w:tc>
      </w:tr>
    </w:tbl>
    <w:p>
      <w:pPr>
        <w:spacing w:line="360" w:lineRule="auto"/>
        <w:rPr>
          <w:rFonts w:ascii="仿宋" w:hAnsi="仿宋" w:eastAsia="仿宋" w:cs="仿宋"/>
          <w:bCs/>
          <w:color w:val="000000"/>
          <w:sz w:val="24"/>
          <w:highlight w:val="none"/>
        </w:rPr>
      </w:pPr>
    </w:p>
    <w:p>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备注：</w:t>
      </w:r>
    </w:p>
    <w:p>
      <w:pPr>
        <w:numPr>
          <w:ilvl w:val="0"/>
          <w:numId w:val="0"/>
        </w:numPr>
        <w:spacing w:line="360" w:lineRule="auto"/>
        <w:rPr>
          <w:rFonts w:hint="eastAsia" w:ascii="仿宋" w:hAnsi="仿宋" w:eastAsia="仿宋"/>
          <w:bCs/>
          <w:sz w:val="24"/>
          <w:highlight w:val="none"/>
        </w:rPr>
      </w:pPr>
      <w:r>
        <w:rPr>
          <w:rFonts w:hint="eastAsia" w:ascii="仿宋" w:hAnsi="仿宋" w:eastAsia="仿宋"/>
          <w:bCs/>
          <w:sz w:val="24"/>
          <w:highlight w:val="none"/>
          <w:lang w:val="en-US" w:eastAsia="zh-CN"/>
        </w:rPr>
        <w:t>1.</w:t>
      </w:r>
      <w:r>
        <w:rPr>
          <w:rFonts w:hint="eastAsia" w:ascii="仿宋" w:hAnsi="仿宋" w:eastAsia="仿宋"/>
          <w:bCs/>
          <w:sz w:val="24"/>
          <w:highlight w:val="none"/>
        </w:rPr>
        <w:t>本次报价精确到小数点后两位（四舍五入）。</w:t>
      </w:r>
    </w:p>
    <w:p>
      <w:pPr>
        <w:pStyle w:val="107"/>
        <w:numPr>
          <w:ilvl w:val="0"/>
          <w:numId w:val="0"/>
        </w:numPr>
        <w:spacing w:line="360" w:lineRule="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2.含税价=不含税价*(1+税率)，若报价与此公式不符，增值税专用发票以不含税</w:t>
      </w:r>
    </w:p>
    <w:p>
      <w:pPr>
        <w:pStyle w:val="107"/>
        <w:numPr>
          <w:ilvl w:val="0"/>
          <w:numId w:val="0"/>
        </w:numPr>
        <w:spacing w:line="360" w:lineRule="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价为准进行修正，增值税普通发票以含税价进行修正。</w:t>
      </w:r>
    </w:p>
    <w:p>
      <w:pPr>
        <w:pStyle w:val="107"/>
        <w:numPr>
          <w:ilvl w:val="0"/>
          <w:numId w:val="0"/>
        </w:numPr>
        <w:spacing w:line="360" w:lineRule="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3.后续如因国家税率调整，专票以不含税价不变进行调整，普票以含税价不变进行</w:t>
      </w:r>
    </w:p>
    <w:p>
      <w:pPr>
        <w:pStyle w:val="107"/>
        <w:numPr>
          <w:ilvl w:val="0"/>
          <w:numId w:val="0"/>
        </w:numPr>
        <w:spacing w:line="360" w:lineRule="auto"/>
        <w:rPr>
          <w:rFonts w:hint="default"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调整。</w:t>
      </w:r>
    </w:p>
    <w:p>
      <w:pPr>
        <w:spacing w:line="360" w:lineRule="auto"/>
        <w:jc w:val="both"/>
        <w:rPr>
          <w:rFonts w:hint="eastAsia" w:ascii="仿宋" w:hAnsi="仿宋" w:eastAsia="仿宋" w:cs="仿宋"/>
          <w:color w:val="000000"/>
          <w:sz w:val="24"/>
          <w:highlight w:val="none"/>
        </w:rPr>
      </w:pPr>
    </w:p>
    <w:p>
      <w:pPr>
        <w:numPr>
          <w:ilvl w:val="0"/>
          <w:numId w:val="1"/>
        </w:numPr>
        <w:spacing w:line="440" w:lineRule="exact"/>
        <w:jc w:val="right"/>
        <w:rPr>
          <w:rFonts w:ascii="仿宋" w:hAnsi="仿宋" w:eastAsia="仿宋" w:cs="宋体"/>
          <w:color w:val="000000"/>
          <w:sz w:val="24"/>
          <w:highlight w:val="none"/>
        </w:rPr>
      </w:pPr>
      <w:bookmarkStart w:id="220" w:name="_Toc482180015"/>
      <w:bookmarkStart w:id="221" w:name="_Toc530319762"/>
      <w:bookmarkStart w:id="222" w:name="_Toc518302646"/>
      <w:bookmarkStart w:id="223" w:name="_Toc16591840"/>
      <w:bookmarkStart w:id="224" w:name="_Toc517281864"/>
      <w:bookmarkStart w:id="225" w:name="_Toc2267055"/>
    </w:p>
    <w:p>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法定代表人或其授权代理人：</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u w:val="single"/>
          <w:lang w:val="en-US" w:eastAsia="zh-CN"/>
        </w:rPr>
        <w:t xml:space="preserve">         </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（签字）</w:t>
      </w:r>
    </w:p>
    <w:p>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日</w:t>
      </w:r>
    </w:p>
    <w:bookmarkEnd w:id="220"/>
    <w:bookmarkEnd w:id="221"/>
    <w:bookmarkEnd w:id="222"/>
    <w:bookmarkEnd w:id="223"/>
    <w:bookmarkEnd w:id="224"/>
    <w:bookmarkEnd w:id="225"/>
    <w:p>
      <w:pPr>
        <w:rPr>
          <w:rFonts w:hint="eastAsia"/>
        </w:rPr>
      </w:pPr>
    </w:p>
    <w:p/>
    <w:sectPr>
      <w:type w:val="continuous"/>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roman"/>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Wingdings 2">
    <w:panose1 w:val="05020102010507070707"/>
    <w:charset w:val="00"/>
    <w:family w:val="auto"/>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5"/>
      </w:rPr>
    </w:pPr>
    <w:r>
      <w:fldChar w:fldCharType="begin"/>
    </w:r>
    <w:r>
      <w:rPr>
        <w:rStyle w:val="45"/>
      </w:rPr>
      <w:instrText xml:space="preserve">PAGE  </w:instrText>
    </w:r>
    <w:r>
      <w:fldChar w:fldCharType="separate"/>
    </w:r>
    <w:r>
      <w:rPr>
        <w:rStyle w:val="45"/>
      </w:rPr>
      <w:t>4</w:t>
    </w:r>
    <w:r>
      <w:fldChar w:fldCharType="end"/>
    </w:r>
  </w:p>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ind w:firstLine="4500" w:firstLineChars="2500"/>
      <w:rPr>
        <w:rStyle w:val="45"/>
      </w:rPr>
    </w:pPr>
    <w:r>
      <w:fldChar w:fldCharType="begin"/>
    </w:r>
    <w:r>
      <w:rPr>
        <w:rStyle w:val="45"/>
      </w:rPr>
      <w:instrText xml:space="preserve">PAGE  </w:instrText>
    </w:r>
    <w:r>
      <w:fldChar w:fldCharType="separate"/>
    </w:r>
    <w:r>
      <w:rPr>
        <w:rStyle w:val="45"/>
      </w:rPr>
      <w:t>19</w:t>
    </w:r>
    <w:r>
      <w:fldChar w:fldCharType="end"/>
    </w:r>
  </w:p>
  <w:p>
    <w:pPr>
      <w:pStyle w:val="26"/>
      <w:framePr w:wrap="around" w:vAnchor="text" w:hAnchor="margin" w:xAlign="center" w:y="1"/>
      <w:rPr>
        <w:rStyle w:val="45"/>
      </w:rPr>
    </w:pPr>
  </w:p>
  <w:p>
    <w:pPr>
      <w:pStyle w:val="2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jc w:val="center"/>
                          </w:pP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M3VLCtIBAACjAwAADgAAAAAAAAABACAAAAAi&#10;AQAAZHJzL2Uyb0RvYy54bWxQSwUGAAAAAAYABgBZAQAAZgUAAAAA&#10;">
              <v:fill on="f" focussize="0,0"/>
              <v:stroke on="f" weight="1.25pt"/>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rPr>
                              <w:rStyle w:val="45"/>
                            </w:rPr>
                          </w:pPr>
                          <w:r>
                            <w:fldChar w:fldCharType="begin"/>
                          </w:r>
                          <w:r>
                            <w:rPr>
                              <w:rStyle w:val="45"/>
                            </w:rPr>
                            <w:instrText xml:space="preserve">PAGE  </w:instrText>
                          </w:r>
                          <w:r>
                            <w:fldChar w:fldCharType="separate"/>
                          </w:r>
                          <w:r>
                            <w:rPr>
                              <w:rStyle w:val="45"/>
                            </w:rPr>
                            <w:t>10</w:t>
                          </w:r>
                          <w: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&#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CzJJDB0QEAAKQDAAAOAAAAAAAAAAEAIAAAACIB&#10;AABkcnMvZTJvRG9jLnhtbFBLBQYAAAAABgAGAFkBAABlBQAAAAA=&#10;">
              <v:fill on="f" focussize="0,0"/>
              <v:stroke on="f" weight="1.25pt"/>
              <v:imagedata o:title=""/>
              <o:lock v:ext="edit" aspectratio="f"/>
              <v:textbox inset="0mm,0mm,0mm,0mm" style="mso-fit-shape-to-text:t;">
                <w:txbxContent>
                  <w:p>
                    <w:pPr>
                      <w:pStyle w:val="26"/>
                      <w:rPr>
                        <w:rStyle w:val="45"/>
                      </w:rPr>
                    </w:pPr>
                    <w:r>
                      <w:fldChar w:fldCharType="begin"/>
                    </w:r>
                    <w:r>
                      <w:rPr>
                        <w:rStyle w:val="45"/>
                      </w:rPr>
                      <w:instrText xml:space="preserve">PAGE  </w:instrText>
                    </w:r>
                    <w:r>
                      <w:fldChar w:fldCharType="separate"/>
                    </w:r>
                    <w:r>
                      <w:rPr>
                        <w:rStyle w:val="45"/>
                      </w:rPr>
                      <w:t>10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6"/>
                            <w:jc w:val="center"/>
                          </w:pPr>
                          <w:r>
                            <w:fldChar w:fldCharType="begin"/>
                          </w:r>
                          <w:r>
                            <w:instrText xml:space="preserve">PAGE   \* MERGEFORMAT</w:instrText>
                          </w:r>
                          <w:r>
                            <w:fldChar w:fldCharType="separate"/>
                          </w:r>
                          <w:r>
                            <w:rPr>
                              <w:lang w:val="zh-CN"/>
                            </w:rPr>
                            <w:t>20</w:t>
                          </w:r>
                          <w:r>
                            <w:fldChar w:fldCharType="end"/>
                          </w: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ZgHIsgBAACa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s3EIUe+7skW5HoR3h4RNlN5yhRF2KowjK+ym9co78ee9ZD39Up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IGYByLIAQAAmgMAAA4AAAAAAAAAAQAgAAAAHgEAAGRycy9lMm9Eb2Mu&#10;eG1sUEsFBgAAAAAGAAYAWQEAAFgFAAAAAA==&#10;">
              <v:fill on="f" focussize="0,0"/>
              <v:stroke on="f"/>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20</w:t>
                    </w:r>
                    <w:r>
                      <w:fldChar w:fldCharType="end"/>
                    </w:r>
                  </w:p>
                </w:txbxContent>
              </v:textbox>
            </v:shape>
          </w:pict>
        </mc:Fallback>
      </mc:AlternateContent>
    </w:r>
  </w:p>
  <w:p>
    <w:pPr>
      <w:pStyle w:val="2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jc w:val="center"/>
                          </w:pPr>
                          <w:r>
                            <w:fldChar w:fldCharType="begin"/>
                          </w:r>
                          <w:r>
                            <w:instrText xml:space="preserve">PAGE   \* MERGEFORMAT</w:instrText>
                          </w:r>
                          <w:r>
                            <w:fldChar w:fldCharType="separate"/>
                          </w:r>
                          <w:r>
                            <w:rPr>
                              <w:lang w:val="zh-CN"/>
                            </w:rPr>
                            <w:t>26</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YUUk/SAQAApAMAAA4AAABkcnMvZTJvRG9jLnhtbK1TzY7TMBC+&#10;I/EOlu80adE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YUmJZQYnfv7x/fzz&#10;9/nXN/I26dN7qDHt0WNiHD64AXPne8DLRHuQwaQvEiIYR3VPF3XFEAlPj6pVVZUY4hibHcQvnp77&#10;APFOOEOS0dCA48uqsuMDxDF1TknVrLtVWucRakt6RL2q3l3lF5cQomuLRRKLsdtkxWE3TNR2rj0h&#10;sx53oKEWV54SfW9R4rQusxFmYzcbBx/Uvsv7lFoB//4QsZ3cZaowwk6FcXiZ57RoaTv+9nPW08+1&#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hRST9IBAACkAwAADgAAAAAAAAABACAAAAAi&#10;AQAAZHJzL2Uyb0RvYy54bWxQSwUGAAAAAAYABgBZAQAAZgUAAAAA&#10;">
              <v:fill on="f" focussize="0,0"/>
              <v:stroke on="f" weight="1.25pt"/>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26</w:t>
                    </w:r>
                    <w:r>
                      <w:fldChar w:fldCharType="end"/>
                    </w:r>
                  </w:p>
                </w:txbxContent>
              </v:textbox>
            </v:shape>
          </w:pict>
        </mc:Fallback>
      </mc:AlternateContent>
    </w:r>
  </w:p>
  <w:p>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rFonts w:hint="eastAsia" w:ascii="仿宋" w:hAnsi="仿宋" w:eastAsia="仿宋" w:cs="仿宋"/>
      </w:rPr>
      <w:t>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rPr>
        <w:rFonts w:hint="eastAsia"/>
      </w:rPr>
    </w:pPr>
    <w:r>
      <w:rPr>
        <w:rFonts w:hint="eastAsia" w:ascii="仿宋" w:hAnsi="仿宋" w:eastAsia="仿宋" w:cs="仿宋"/>
      </w:rPr>
      <w:t>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FD6CB3"/>
    <w:multiLevelType w:val="singleLevel"/>
    <w:tmpl w:val="EAFD6CB3"/>
    <w:lvl w:ilvl="0" w:tentative="0">
      <w:start w:val="3"/>
      <w:numFmt w:val="chineseCounting"/>
      <w:suff w:val="nothing"/>
      <w:lvlText w:val="%1、"/>
      <w:lvlJc w:val="left"/>
      <w:rPr>
        <w:rFonts w:hint="eastAsia"/>
      </w:rPr>
    </w:lvl>
  </w:abstractNum>
  <w:abstractNum w:abstractNumId="1">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7"/>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2">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3">
    <w:nsid w:val="00000018"/>
    <w:multiLevelType w:val="multilevel"/>
    <w:tmpl w:val="00000018"/>
    <w:lvl w:ilvl="0" w:tentative="0">
      <w:start w:val="1"/>
      <w:numFmt w:val="decimal"/>
      <w:pStyle w:val="147"/>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4">
    <w:nsid w:val="7A098867"/>
    <w:multiLevelType w:val="singleLevel"/>
    <w:tmpl w:val="7A098867"/>
    <w:lvl w:ilvl="0" w:tentative="0">
      <w:start w:val="4"/>
      <w:numFmt w:val="chineseCounting"/>
      <w:suff w:val="space"/>
      <w:lvlText w:val="第%1章"/>
      <w:lvlJc w:val="left"/>
      <w:rPr>
        <w:rFonts w:hint="eastAsia"/>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1042"/>
    <w:rsid w:val="000119BA"/>
    <w:rsid w:val="00011D27"/>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1B2"/>
    <w:rsid w:val="0002344E"/>
    <w:rsid w:val="00026205"/>
    <w:rsid w:val="000264E5"/>
    <w:rsid w:val="00026569"/>
    <w:rsid w:val="00026658"/>
    <w:rsid w:val="000304CB"/>
    <w:rsid w:val="000312EA"/>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0D21"/>
    <w:rsid w:val="00041A8D"/>
    <w:rsid w:val="00042142"/>
    <w:rsid w:val="000426DF"/>
    <w:rsid w:val="00043183"/>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8FF"/>
    <w:rsid w:val="000529A8"/>
    <w:rsid w:val="00052A82"/>
    <w:rsid w:val="00052D6A"/>
    <w:rsid w:val="0005362E"/>
    <w:rsid w:val="00053CA5"/>
    <w:rsid w:val="00054057"/>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3717"/>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926"/>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A09"/>
    <w:rsid w:val="000A0F04"/>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E03"/>
    <w:rsid w:val="000C0E20"/>
    <w:rsid w:val="000C0F7B"/>
    <w:rsid w:val="000C165E"/>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3B9E"/>
    <w:rsid w:val="000E4089"/>
    <w:rsid w:val="000E48DB"/>
    <w:rsid w:val="000E4C45"/>
    <w:rsid w:val="000E6193"/>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9F5"/>
    <w:rsid w:val="00163C0D"/>
    <w:rsid w:val="001645A2"/>
    <w:rsid w:val="001645E5"/>
    <w:rsid w:val="0016486D"/>
    <w:rsid w:val="00164ABB"/>
    <w:rsid w:val="00164D56"/>
    <w:rsid w:val="00164F56"/>
    <w:rsid w:val="00165F01"/>
    <w:rsid w:val="00165F8F"/>
    <w:rsid w:val="00167491"/>
    <w:rsid w:val="00167577"/>
    <w:rsid w:val="00170537"/>
    <w:rsid w:val="001711D7"/>
    <w:rsid w:val="001717AC"/>
    <w:rsid w:val="0017240A"/>
    <w:rsid w:val="00172475"/>
    <w:rsid w:val="00172575"/>
    <w:rsid w:val="001728F3"/>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4CD"/>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E49"/>
    <w:rsid w:val="001A7EC2"/>
    <w:rsid w:val="001A7ED3"/>
    <w:rsid w:val="001B0171"/>
    <w:rsid w:val="001B0AC8"/>
    <w:rsid w:val="001B1530"/>
    <w:rsid w:val="001B1917"/>
    <w:rsid w:val="001B1C61"/>
    <w:rsid w:val="001B20E0"/>
    <w:rsid w:val="001B2437"/>
    <w:rsid w:val="001B2727"/>
    <w:rsid w:val="001B2B52"/>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7A4"/>
    <w:rsid w:val="001F4A3D"/>
    <w:rsid w:val="001F4A43"/>
    <w:rsid w:val="001F525E"/>
    <w:rsid w:val="001F5D9B"/>
    <w:rsid w:val="001F6903"/>
    <w:rsid w:val="001F6BFA"/>
    <w:rsid w:val="001F7081"/>
    <w:rsid w:val="001F7795"/>
    <w:rsid w:val="002009C3"/>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289"/>
    <w:rsid w:val="00225680"/>
    <w:rsid w:val="00225DF3"/>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5052"/>
    <w:rsid w:val="002A69A9"/>
    <w:rsid w:val="002A6B68"/>
    <w:rsid w:val="002A7720"/>
    <w:rsid w:val="002A7CBA"/>
    <w:rsid w:val="002B086F"/>
    <w:rsid w:val="002B0C81"/>
    <w:rsid w:val="002B11CF"/>
    <w:rsid w:val="002B1363"/>
    <w:rsid w:val="002B189D"/>
    <w:rsid w:val="002B28F3"/>
    <w:rsid w:val="002B32BD"/>
    <w:rsid w:val="002B395E"/>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807"/>
    <w:rsid w:val="002E31F8"/>
    <w:rsid w:val="002E3B05"/>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8D"/>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E2F"/>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9B8"/>
    <w:rsid w:val="00356CB3"/>
    <w:rsid w:val="003577E5"/>
    <w:rsid w:val="00357C4F"/>
    <w:rsid w:val="00357E8E"/>
    <w:rsid w:val="00360741"/>
    <w:rsid w:val="003625E3"/>
    <w:rsid w:val="003626C3"/>
    <w:rsid w:val="00362844"/>
    <w:rsid w:val="00362AD4"/>
    <w:rsid w:val="00363CBB"/>
    <w:rsid w:val="003650C8"/>
    <w:rsid w:val="003657E1"/>
    <w:rsid w:val="00365848"/>
    <w:rsid w:val="00365D26"/>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B37"/>
    <w:rsid w:val="003B5B59"/>
    <w:rsid w:val="003B5C8E"/>
    <w:rsid w:val="003B6087"/>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F4C"/>
    <w:rsid w:val="003D47B0"/>
    <w:rsid w:val="003D48E0"/>
    <w:rsid w:val="003D580E"/>
    <w:rsid w:val="003D5BF3"/>
    <w:rsid w:val="003D7820"/>
    <w:rsid w:val="003E0697"/>
    <w:rsid w:val="003E103D"/>
    <w:rsid w:val="003E113D"/>
    <w:rsid w:val="003E149F"/>
    <w:rsid w:val="003E1523"/>
    <w:rsid w:val="003E17B1"/>
    <w:rsid w:val="003E18A3"/>
    <w:rsid w:val="003E1E8A"/>
    <w:rsid w:val="003E1F95"/>
    <w:rsid w:val="003E255A"/>
    <w:rsid w:val="003E2D45"/>
    <w:rsid w:val="003E2DD2"/>
    <w:rsid w:val="003E45F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930"/>
    <w:rsid w:val="00414C3D"/>
    <w:rsid w:val="004154C6"/>
    <w:rsid w:val="004154E3"/>
    <w:rsid w:val="00415B40"/>
    <w:rsid w:val="00416915"/>
    <w:rsid w:val="00416E0B"/>
    <w:rsid w:val="0041716A"/>
    <w:rsid w:val="004204A7"/>
    <w:rsid w:val="004210BA"/>
    <w:rsid w:val="00421AA2"/>
    <w:rsid w:val="004222E4"/>
    <w:rsid w:val="00422C74"/>
    <w:rsid w:val="004236EA"/>
    <w:rsid w:val="00423763"/>
    <w:rsid w:val="0042535E"/>
    <w:rsid w:val="00425714"/>
    <w:rsid w:val="00425BC2"/>
    <w:rsid w:val="00425EC6"/>
    <w:rsid w:val="00427022"/>
    <w:rsid w:val="004274CA"/>
    <w:rsid w:val="00427AFF"/>
    <w:rsid w:val="00427F55"/>
    <w:rsid w:val="00430260"/>
    <w:rsid w:val="004302EC"/>
    <w:rsid w:val="004304E9"/>
    <w:rsid w:val="004313E5"/>
    <w:rsid w:val="0043197C"/>
    <w:rsid w:val="0043289E"/>
    <w:rsid w:val="00433374"/>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ED0"/>
    <w:rsid w:val="00447647"/>
    <w:rsid w:val="0045094C"/>
    <w:rsid w:val="004512B4"/>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4462"/>
    <w:rsid w:val="0046481D"/>
    <w:rsid w:val="00464C8E"/>
    <w:rsid w:val="00465A25"/>
    <w:rsid w:val="00466327"/>
    <w:rsid w:val="00466B86"/>
    <w:rsid w:val="00466C31"/>
    <w:rsid w:val="004674A7"/>
    <w:rsid w:val="00467915"/>
    <w:rsid w:val="004700B2"/>
    <w:rsid w:val="00470C2B"/>
    <w:rsid w:val="00470D83"/>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329E"/>
    <w:rsid w:val="0048356F"/>
    <w:rsid w:val="004837EE"/>
    <w:rsid w:val="004842BC"/>
    <w:rsid w:val="004843EA"/>
    <w:rsid w:val="00484AD0"/>
    <w:rsid w:val="00484C96"/>
    <w:rsid w:val="00484FBF"/>
    <w:rsid w:val="00485659"/>
    <w:rsid w:val="00485C2B"/>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AE9"/>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197"/>
    <w:rsid w:val="004E1439"/>
    <w:rsid w:val="004E1933"/>
    <w:rsid w:val="004E199A"/>
    <w:rsid w:val="004E1A76"/>
    <w:rsid w:val="004E1EC7"/>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B44"/>
    <w:rsid w:val="004F4C15"/>
    <w:rsid w:val="004F5285"/>
    <w:rsid w:val="004F59DE"/>
    <w:rsid w:val="004F6350"/>
    <w:rsid w:val="004F6C7D"/>
    <w:rsid w:val="004F74AA"/>
    <w:rsid w:val="004F7752"/>
    <w:rsid w:val="004F7D9E"/>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5CF"/>
    <w:rsid w:val="005228D7"/>
    <w:rsid w:val="005229B2"/>
    <w:rsid w:val="005235ED"/>
    <w:rsid w:val="005238BD"/>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75FC"/>
    <w:rsid w:val="0053781B"/>
    <w:rsid w:val="00537845"/>
    <w:rsid w:val="005407F1"/>
    <w:rsid w:val="00540BFF"/>
    <w:rsid w:val="00541086"/>
    <w:rsid w:val="00541359"/>
    <w:rsid w:val="00541AE5"/>
    <w:rsid w:val="00541B8B"/>
    <w:rsid w:val="00542378"/>
    <w:rsid w:val="00542C29"/>
    <w:rsid w:val="00542CBE"/>
    <w:rsid w:val="0054303C"/>
    <w:rsid w:val="00543A85"/>
    <w:rsid w:val="00543FD8"/>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1578"/>
    <w:rsid w:val="005615DD"/>
    <w:rsid w:val="00561CC4"/>
    <w:rsid w:val="00561D57"/>
    <w:rsid w:val="0056350A"/>
    <w:rsid w:val="00563645"/>
    <w:rsid w:val="005646B2"/>
    <w:rsid w:val="00564D98"/>
    <w:rsid w:val="00564EF6"/>
    <w:rsid w:val="00565605"/>
    <w:rsid w:val="005657DE"/>
    <w:rsid w:val="00566236"/>
    <w:rsid w:val="0056649A"/>
    <w:rsid w:val="00567210"/>
    <w:rsid w:val="00567345"/>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2A89"/>
    <w:rsid w:val="00593460"/>
    <w:rsid w:val="00594819"/>
    <w:rsid w:val="00594972"/>
    <w:rsid w:val="00594A27"/>
    <w:rsid w:val="005961FD"/>
    <w:rsid w:val="005963E3"/>
    <w:rsid w:val="005975AD"/>
    <w:rsid w:val="00597919"/>
    <w:rsid w:val="00597AB4"/>
    <w:rsid w:val="005A0E03"/>
    <w:rsid w:val="005A287D"/>
    <w:rsid w:val="005A40E3"/>
    <w:rsid w:val="005A524E"/>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88B"/>
    <w:rsid w:val="005B7992"/>
    <w:rsid w:val="005C0B97"/>
    <w:rsid w:val="005C0CA8"/>
    <w:rsid w:val="005C0DFC"/>
    <w:rsid w:val="005C1417"/>
    <w:rsid w:val="005C1B72"/>
    <w:rsid w:val="005C222A"/>
    <w:rsid w:val="005C2A65"/>
    <w:rsid w:val="005C2C55"/>
    <w:rsid w:val="005C3B90"/>
    <w:rsid w:val="005C3C5D"/>
    <w:rsid w:val="005C3F3A"/>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4301"/>
    <w:rsid w:val="005D45AF"/>
    <w:rsid w:val="005D461C"/>
    <w:rsid w:val="005D4C19"/>
    <w:rsid w:val="005D5734"/>
    <w:rsid w:val="005D5E54"/>
    <w:rsid w:val="005D5FFE"/>
    <w:rsid w:val="005D63D3"/>
    <w:rsid w:val="005D78E5"/>
    <w:rsid w:val="005E0205"/>
    <w:rsid w:val="005E05C3"/>
    <w:rsid w:val="005E06DD"/>
    <w:rsid w:val="005E081E"/>
    <w:rsid w:val="005E14A9"/>
    <w:rsid w:val="005E14F6"/>
    <w:rsid w:val="005E15B3"/>
    <w:rsid w:val="005E17BB"/>
    <w:rsid w:val="005E18C6"/>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32D"/>
    <w:rsid w:val="006119D6"/>
    <w:rsid w:val="0061212A"/>
    <w:rsid w:val="00612304"/>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6F9C"/>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2DE9"/>
    <w:rsid w:val="006738FF"/>
    <w:rsid w:val="00673F7E"/>
    <w:rsid w:val="00674105"/>
    <w:rsid w:val="00675073"/>
    <w:rsid w:val="006753FF"/>
    <w:rsid w:val="00675BEA"/>
    <w:rsid w:val="00675F3B"/>
    <w:rsid w:val="00676E07"/>
    <w:rsid w:val="00677693"/>
    <w:rsid w:val="00677D78"/>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03C3"/>
    <w:rsid w:val="00731018"/>
    <w:rsid w:val="0073129A"/>
    <w:rsid w:val="00731946"/>
    <w:rsid w:val="00732805"/>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02F"/>
    <w:rsid w:val="00753ABB"/>
    <w:rsid w:val="00753B9D"/>
    <w:rsid w:val="00753C34"/>
    <w:rsid w:val="00754E64"/>
    <w:rsid w:val="007553A9"/>
    <w:rsid w:val="00755584"/>
    <w:rsid w:val="007564AA"/>
    <w:rsid w:val="007569A7"/>
    <w:rsid w:val="00756CB2"/>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9F7"/>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29C"/>
    <w:rsid w:val="007B37E3"/>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7455"/>
    <w:rsid w:val="007C794A"/>
    <w:rsid w:val="007D0669"/>
    <w:rsid w:val="007D0AAB"/>
    <w:rsid w:val="007D10A5"/>
    <w:rsid w:val="007D20E6"/>
    <w:rsid w:val="007D2815"/>
    <w:rsid w:val="007D2A2F"/>
    <w:rsid w:val="007D3622"/>
    <w:rsid w:val="007D39DB"/>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457"/>
    <w:rsid w:val="007F2779"/>
    <w:rsid w:val="007F3478"/>
    <w:rsid w:val="007F3E8A"/>
    <w:rsid w:val="007F45E3"/>
    <w:rsid w:val="007F509B"/>
    <w:rsid w:val="007F5321"/>
    <w:rsid w:val="007F5820"/>
    <w:rsid w:val="007F5B37"/>
    <w:rsid w:val="007F5E7C"/>
    <w:rsid w:val="007F62F4"/>
    <w:rsid w:val="007F641A"/>
    <w:rsid w:val="007F6C28"/>
    <w:rsid w:val="007F797B"/>
    <w:rsid w:val="0080231C"/>
    <w:rsid w:val="00802465"/>
    <w:rsid w:val="00802695"/>
    <w:rsid w:val="00804B36"/>
    <w:rsid w:val="00804E39"/>
    <w:rsid w:val="0080527A"/>
    <w:rsid w:val="008056BF"/>
    <w:rsid w:val="00806686"/>
    <w:rsid w:val="00806A21"/>
    <w:rsid w:val="008105B0"/>
    <w:rsid w:val="008108FB"/>
    <w:rsid w:val="00810C3A"/>
    <w:rsid w:val="00811633"/>
    <w:rsid w:val="00811797"/>
    <w:rsid w:val="00812DBD"/>
    <w:rsid w:val="00813155"/>
    <w:rsid w:val="008136F5"/>
    <w:rsid w:val="008138C1"/>
    <w:rsid w:val="00813B69"/>
    <w:rsid w:val="00813F4E"/>
    <w:rsid w:val="00813F82"/>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287"/>
    <w:rsid w:val="008419A1"/>
    <w:rsid w:val="00841A2C"/>
    <w:rsid w:val="0084222D"/>
    <w:rsid w:val="00842CEA"/>
    <w:rsid w:val="00842DA5"/>
    <w:rsid w:val="008436AC"/>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FB"/>
    <w:rsid w:val="00856D2D"/>
    <w:rsid w:val="00857548"/>
    <w:rsid w:val="00857C5A"/>
    <w:rsid w:val="00857CC9"/>
    <w:rsid w:val="00857E53"/>
    <w:rsid w:val="00860602"/>
    <w:rsid w:val="00860A1B"/>
    <w:rsid w:val="00860BCB"/>
    <w:rsid w:val="00860C2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71DD"/>
    <w:rsid w:val="00867516"/>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1B6"/>
    <w:rsid w:val="008877D6"/>
    <w:rsid w:val="00887E10"/>
    <w:rsid w:val="00890277"/>
    <w:rsid w:val="0089081F"/>
    <w:rsid w:val="00890905"/>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7C1"/>
    <w:rsid w:val="008A399E"/>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A1C"/>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7752"/>
    <w:rsid w:val="009377EC"/>
    <w:rsid w:val="00937FEB"/>
    <w:rsid w:val="009403E4"/>
    <w:rsid w:val="009403FF"/>
    <w:rsid w:val="0094160C"/>
    <w:rsid w:val="0094235E"/>
    <w:rsid w:val="00942EBC"/>
    <w:rsid w:val="009433CB"/>
    <w:rsid w:val="00943713"/>
    <w:rsid w:val="00944523"/>
    <w:rsid w:val="009446C4"/>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CF8"/>
    <w:rsid w:val="009903BB"/>
    <w:rsid w:val="0099065A"/>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19"/>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DB5"/>
    <w:rsid w:val="009C3EBC"/>
    <w:rsid w:val="009C4084"/>
    <w:rsid w:val="009C457D"/>
    <w:rsid w:val="009C4A22"/>
    <w:rsid w:val="009C4B5A"/>
    <w:rsid w:val="009C4BB1"/>
    <w:rsid w:val="009C4DE2"/>
    <w:rsid w:val="009C55B9"/>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71F"/>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385"/>
    <w:rsid w:val="00A02A2A"/>
    <w:rsid w:val="00A02C67"/>
    <w:rsid w:val="00A03169"/>
    <w:rsid w:val="00A031CA"/>
    <w:rsid w:val="00A03F86"/>
    <w:rsid w:val="00A048E2"/>
    <w:rsid w:val="00A04C9E"/>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362E"/>
    <w:rsid w:val="00A13BF6"/>
    <w:rsid w:val="00A14335"/>
    <w:rsid w:val="00A1443D"/>
    <w:rsid w:val="00A1486C"/>
    <w:rsid w:val="00A150A5"/>
    <w:rsid w:val="00A151AE"/>
    <w:rsid w:val="00A154C7"/>
    <w:rsid w:val="00A158E3"/>
    <w:rsid w:val="00A15C25"/>
    <w:rsid w:val="00A17C20"/>
    <w:rsid w:val="00A20059"/>
    <w:rsid w:val="00A20681"/>
    <w:rsid w:val="00A206FA"/>
    <w:rsid w:val="00A20965"/>
    <w:rsid w:val="00A20D9F"/>
    <w:rsid w:val="00A20F6E"/>
    <w:rsid w:val="00A2173F"/>
    <w:rsid w:val="00A21C06"/>
    <w:rsid w:val="00A22B71"/>
    <w:rsid w:val="00A22BA3"/>
    <w:rsid w:val="00A22D20"/>
    <w:rsid w:val="00A2347A"/>
    <w:rsid w:val="00A2562A"/>
    <w:rsid w:val="00A2605C"/>
    <w:rsid w:val="00A263F5"/>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641"/>
    <w:rsid w:val="00A45A8D"/>
    <w:rsid w:val="00A45FA8"/>
    <w:rsid w:val="00A46347"/>
    <w:rsid w:val="00A463CA"/>
    <w:rsid w:val="00A46947"/>
    <w:rsid w:val="00A46EB9"/>
    <w:rsid w:val="00A50443"/>
    <w:rsid w:val="00A505D1"/>
    <w:rsid w:val="00A52D0B"/>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66C"/>
    <w:rsid w:val="00A82809"/>
    <w:rsid w:val="00A82B44"/>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E80"/>
    <w:rsid w:val="00A901BC"/>
    <w:rsid w:val="00A9058F"/>
    <w:rsid w:val="00A905DE"/>
    <w:rsid w:val="00A9238E"/>
    <w:rsid w:val="00A9361B"/>
    <w:rsid w:val="00A936A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F"/>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8E2"/>
    <w:rsid w:val="00B00BD3"/>
    <w:rsid w:val="00B00C4A"/>
    <w:rsid w:val="00B01A02"/>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3E3D"/>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2B"/>
    <w:rsid w:val="00BA38D5"/>
    <w:rsid w:val="00BA3979"/>
    <w:rsid w:val="00BA39EC"/>
    <w:rsid w:val="00BA3C4D"/>
    <w:rsid w:val="00BA3DE4"/>
    <w:rsid w:val="00BA4314"/>
    <w:rsid w:val="00BA4F7B"/>
    <w:rsid w:val="00BA4F88"/>
    <w:rsid w:val="00BA5072"/>
    <w:rsid w:val="00BA5F66"/>
    <w:rsid w:val="00BA6661"/>
    <w:rsid w:val="00BA6D54"/>
    <w:rsid w:val="00BA6F01"/>
    <w:rsid w:val="00BA6F25"/>
    <w:rsid w:val="00BB0CF6"/>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3292"/>
    <w:rsid w:val="00BD3870"/>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CB9"/>
    <w:rsid w:val="00BF4D0A"/>
    <w:rsid w:val="00BF52F5"/>
    <w:rsid w:val="00BF53B3"/>
    <w:rsid w:val="00BF5545"/>
    <w:rsid w:val="00BF5718"/>
    <w:rsid w:val="00BF5818"/>
    <w:rsid w:val="00BF586E"/>
    <w:rsid w:val="00BF5BD2"/>
    <w:rsid w:val="00BF6B6C"/>
    <w:rsid w:val="00BF776D"/>
    <w:rsid w:val="00BF7861"/>
    <w:rsid w:val="00BF7DFE"/>
    <w:rsid w:val="00C004AD"/>
    <w:rsid w:val="00C00785"/>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2B66"/>
    <w:rsid w:val="00C13117"/>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11F2"/>
    <w:rsid w:val="00C71209"/>
    <w:rsid w:val="00C71C64"/>
    <w:rsid w:val="00C71FCC"/>
    <w:rsid w:val="00C726C2"/>
    <w:rsid w:val="00C726F5"/>
    <w:rsid w:val="00C72ACF"/>
    <w:rsid w:val="00C74AA7"/>
    <w:rsid w:val="00C74C23"/>
    <w:rsid w:val="00C751AE"/>
    <w:rsid w:val="00C753B5"/>
    <w:rsid w:val="00C75A3B"/>
    <w:rsid w:val="00C760ED"/>
    <w:rsid w:val="00C76EEF"/>
    <w:rsid w:val="00C77151"/>
    <w:rsid w:val="00C77199"/>
    <w:rsid w:val="00C80BC6"/>
    <w:rsid w:val="00C80C2B"/>
    <w:rsid w:val="00C82689"/>
    <w:rsid w:val="00C82C05"/>
    <w:rsid w:val="00C8322E"/>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76A"/>
    <w:rsid w:val="00C94BBF"/>
    <w:rsid w:val="00C94E09"/>
    <w:rsid w:val="00C95242"/>
    <w:rsid w:val="00C95B93"/>
    <w:rsid w:val="00C95D03"/>
    <w:rsid w:val="00C95FCB"/>
    <w:rsid w:val="00C96363"/>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655F"/>
    <w:rsid w:val="00CD6A64"/>
    <w:rsid w:val="00CD6C7C"/>
    <w:rsid w:val="00CE0A3A"/>
    <w:rsid w:val="00CE16DE"/>
    <w:rsid w:val="00CE17B3"/>
    <w:rsid w:val="00CE1A4A"/>
    <w:rsid w:val="00CE1E25"/>
    <w:rsid w:val="00CE25FD"/>
    <w:rsid w:val="00CE2626"/>
    <w:rsid w:val="00CE321C"/>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1278"/>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7CCF"/>
    <w:rsid w:val="00D17FCD"/>
    <w:rsid w:val="00D20694"/>
    <w:rsid w:val="00D20EF1"/>
    <w:rsid w:val="00D216B2"/>
    <w:rsid w:val="00D21762"/>
    <w:rsid w:val="00D21B6A"/>
    <w:rsid w:val="00D21F28"/>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0C6D"/>
    <w:rsid w:val="00D31F58"/>
    <w:rsid w:val="00D32617"/>
    <w:rsid w:val="00D32B45"/>
    <w:rsid w:val="00D32B82"/>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3140"/>
    <w:rsid w:val="00D437A4"/>
    <w:rsid w:val="00D443DF"/>
    <w:rsid w:val="00D4472E"/>
    <w:rsid w:val="00D449D0"/>
    <w:rsid w:val="00D44BA8"/>
    <w:rsid w:val="00D45FDE"/>
    <w:rsid w:val="00D4734A"/>
    <w:rsid w:val="00D4755B"/>
    <w:rsid w:val="00D47779"/>
    <w:rsid w:val="00D50148"/>
    <w:rsid w:val="00D502EE"/>
    <w:rsid w:val="00D50B2A"/>
    <w:rsid w:val="00D51175"/>
    <w:rsid w:val="00D51CA8"/>
    <w:rsid w:val="00D51FF3"/>
    <w:rsid w:val="00D5219E"/>
    <w:rsid w:val="00D52963"/>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27ED"/>
    <w:rsid w:val="00D7336C"/>
    <w:rsid w:val="00D736E8"/>
    <w:rsid w:val="00D7489A"/>
    <w:rsid w:val="00D74C4E"/>
    <w:rsid w:val="00D74E9A"/>
    <w:rsid w:val="00D75306"/>
    <w:rsid w:val="00D755FC"/>
    <w:rsid w:val="00D757A2"/>
    <w:rsid w:val="00D75DDA"/>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93C"/>
    <w:rsid w:val="00DC7F1D"/>
    <w:rsid w:val="00DD0287"/>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1B7C"/>
    <w:rsid w:val="00DE2D2D"/>
    <w:rsid w:val="00DE32FC"/>
    <w:rsid w:val="00DE51B5"/>
    <w:rsid w:val="00DE592E"/>
    <w:rsid w:val="00DE5B82"/>
    <w:rsid w:val="00DE5EC9"/>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3F4F"/>
    <w:rsid w:val="00E245C8"/>
    <w:rsid w:val="00E2462D"/>
    <w:rsid w:val="00E26E10"/>
    <w:rsid w:val="00E27222"/>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375AD"/>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FCF"/>
    <w:rsid w:val="00E55247"/>
    <w:rsid w:val="00E55375"/>
    <w:rsid w:val="00E55B76"/>
    <w:rsid w:val="00E561E6"/>
    <w:rsid w:val="00E5642B"/>
    <w:rsid w:val="00E564DE"/>
    <w:rsid w:val="00E56798"/>
    <w:rsid w:val="00E56E39"/>
    <w:rsid w:val="00E570DD"/>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67A48"/>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80358"/>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3DEC"/>
    <w:rsid w:val="00E94519"/>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7A98"/>
    <w:rsid w:val="00EA7CB4"/>
    <w:rsid w:val="00EA7F36"/>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6F8"/>
    <w:rsid w:val="00EB57D9"/>
    <w:rsid w:val="00EB5AFC"/>
    <w:rsid w:val="00EB69A2"/>
    <w:rsid w:val="00EB7237"/>
    <w:rsid w:val="00EC08D6"/>
    <w:rsid w:val="00EC0D63"/>
    <w:rsid w:val="00EC1393"/>
    <w:rsid w:val="00EC2038"/>
    <w:rsid w:val="00EC2765"/>
    <w:rsid w:val="00EC3A33"/>
    <w:rsid w:val="00EC3EB8"/>
    <w:rsid w:val="00EC4051"/>
    <w:rsid w:val="00EC410E"/>
    <w:rsid w:val="00EC46A5"/>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393"/>
    <w:rsid w:val="00F25376"/>
    <w:rsid w:val="00F261B4"/>
    <w:rsid w:val="00F2647A"/>
    <w:rsid w:val="00F26544"/>
    <w:rsid w:val="00F26D7B"/>
    <w:rsid w:val="00F2776F"/>
    <w:rsid w:val="00F27DAF"/>
    <w:rsid w:val="00F30800"/>
    <w:rsid w:val="00F31117"/>
    <w:rsid w:val="00F3326B"/>
    <w:rsid w:val="00F33C2F"/>
    <w:rsid w:val="00F3434F"/>
    <w:rsid w:val="00F34536"/>
    <w:rsid w:val="00F345DF"/>
    <w:rsid w:val="00F34D95"/>
    <w:rsid w:val="00F3543E"/>
    <w:rsid w:val="00F3591B"/>
    <w:rsid w:val="00F37886"/>
    <w:rsid w:val="00F37D27"/>
    <w:rsid w:val="00F409C6"/>
    <w:rsid w:val="00F40B5C"/>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3994"/>
    <w:rsid w:val="00F5454C"/>
    <w:rsid w:val="00F552CE"/>
    <w:rsid w:val="00F5575B"/>
    <w:rsid w:val="00F55941"/>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143B"/>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0D83"/>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6A71"/>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2BEF"/>
    <w:rsid w:val="00FF2CE7"/>
    <w:rsid w:val="00FF324F"/>
    <w:rsid w:val="00FF3256"/>
    <w:rsid w:val="00FF38A6"/>
    <w:rsid w:val="00FF3CE0"/>
    <w:rsid w:val="00FF3F1A"/>
    <w:rsid w:val="00FF488F"/>
    <w:rsid w:val="00FF4C3E"/>
    <w:rsid w:val="00FF5458"/>
    <w:rsid w:val="00FF5AD6"/>
    <w:rsid w:val="00FF60F4"/>
    <w:rsid w:val="00FF6276"/>
    <w:rsid w:val="00FF66EB"/>
    <w:rsid w:val="00FF7054"/>
    <w:rsid w:val="00FF7625"/>
    <w:rsid w:val="00FF7759"/>
    <w:rsid w:val="01021808"/>
    <w:rsid w:val="01064676"/>
    <w:rsid w:val="01137ECF"/>
    <w:rsid w:val="01191F36"/>
    <w:rsid w:val="01241D66"/>
    <w:rsid w:val="014A3244"/>
    <w:rsid w:val="016D223A"/>
    <w:rsid w:val="01A51AFF"/>
    <w:rsid w:val="01B95421"/>
    <w:rsid w:val="020B1354"/>
    <w:rsid w:val="022D32CB"/>
    <w:rsid w:val="025A55E9"/>
    <w:rsid w:val="029442A4"/>
    <w:rsid w:val="02A23766"/>
    <w:rsid w:val="02BC63B4"/>
    <w:rsid w:val="02D03BFD"/>
    <w:rsid w:val="0317318F"/>
    <w:rsid w:val="034D12D4"/>
    <w:rsid w:val="035C2662"/>
    <w:rsid w:val="03637FE7"/>
    <w:rsid w:val="0376348B"/>
    <w:rsid w:val="0388663C"/>
    <w:rsid w:val="03A97929"/>
    <w:rsid w:val="03C32A6F"/>
    <w:rsid w:val="03CE20DF"/>
    <w:rsid w:val="03D57B0C"/>
    <w:rsid w:val="03FB034A"/>
    <w:rsid w:val="040E0780"/>
    <w:rsid w:val="047A6254"/>
    <w:rsid w:val="04BE1034"/>
    <w:rsid w:val="04D0480D"/>
    <w:rsid w:val="04D34B21"/>
    <w:rsid w:val="04D81D11"/>
    <w:rsid w:val="04E366BD"/>
    <w:rsid w:val="04E6737C"/>
    <w:rsid w:val="04F10A9B"/>
    <w:rsid w:val="050E1D07"/>
    <w:rsid w:val="0515460A"/>
    <w:rsid w:val="052076F5"/>
    <w:rsid w:val="053F6840"/>
    <w:rsid w:val="05525152"/>
    <w:rsid w:val="05656DAB"/>
    <w:rsid w:val="059874F0"/>
    <w:rsid w:val="059E0622"/>
    <w:rsid w:val="05CD1AD2"/>
    <w:rsid w:val="05D050F7"/>
    <w:rsid w:val="05F9607E"/>
    <w:rsid w:val="05FE2BF2"/>
    <w:rsid w:val="06402ABA"/>
    <w:rsid w:val="064E339A"/>
    <w:rsid w:val="068D6A93"/>
    <w:rsid w:val="069E6AB1"/>
    <w:rsid w:val="06A26061"/>
    <w:rsid w:val="06CE7668"/>
    <w:rsid w:val="06E00027"/>
    <w:rsid w:val="06E25B52"/>
    <w:rsid w:val="072D2162"/>
    <w:rsid w:val="073518D0"/>
    <w:rsid w:val="07354BC2"/>
    <w:rsid w:val="07442036"/>
    <w:rsid w:val="0750320D"/>
    <w:rsid w:val="078E5270"/>
    <w:rsid w:val="079E0D8E"/>
    <w:rsid w:val="07CD7297"/>
    <w:rsid w:val="085C77EA"/>
    <w:rsid w:val="08A26784"/>
    <w:rsid w:val="08B05320"/>
    <w:rsid w:val="08E9597F"/>
    <w:rsid w:val="08F900D1"/>
    <w:rsid w:val="08F935C9"/>
    <w:rsid w:val="09045CE0"/>
    <w:rsid w:val="09696FDD"/>
    <w:rsid w:val="096C5C89"/>
    <w:rsid w:val="097313E3"/>
    <w:rsid w:val="09771A8A"/>
    <w:rsid w:val="097A7E27"/>
    <w:rsid w:val="09813EE4"/>
    <w:rsid w:val="09A17C7A"/>
    <w:rsid w:val="09A54C50"/>
    <w:rsid w:val="09BC6028"/>
    <w:rsid w:val="09CD4DDF"/>
    <w:rsid w:val="09D35269"/>
    <w:rsid w:val="09DD448E"/>
    <w:rsid w:val="09DD6A43"/>
    <w:rsid w:val="09FD0A32"/>
    <w:rsid w:val="0A2B31CA"/>
    <w:rsid w:val="0A397FC0"/>
    <w:rsid w:val="0A534AFF"/>
    <w:rsid w:val="0A5A5EB7"/>
    <w:rsid w:val="0A6F3443"/>
    <w:rsid w:val="0AAE469B"/>
    <w:rsid w:val="0AB51B2D"/>
    <w:rsid w:val="0B104CB8"/>
    <w:rsid w:val="0B107D8C"/>
    <w:rsid w:val="0B154BBD"/>
    <w:rsid w:val="0B325F44"/>
    <w:rsid w:val="0B471BC9"/>
    <w:rsid w:val="0B6866EB"/>
    <w:rsid w:val="0B7071B5"/>
    <w:rsid w:val="0B825EDB"/>
    <w:rsid w:val="0BCA3D41"/>
    <w:rsid w:val="0BCC1983"/>
    <w:rsid w:val="0C2057FC"/>
    <w:rsid w:val="0C2D66FE"/>
    <w:rsid w:val="0C5E3191"/>
    <w:rsid w:val="0C616454"/>
    <w:rsid w:val="0C764AAB"/>
    <w:rsid w:val="0C7A707B"/>
    <w:rsid w:val="0C864E88"/>
    <w:rsid w:val="0C8C7B9F"/>
    <w:rsid w:val="0C9475E1"/>
    <w:rsid w:val="0CA62E5A"/>
    <w:rsid w:val="0CB43017"/>
    <w:rsid w:val="0CD32AA0"/>
    <w:rsid w:val="0CE41E67"/>
    <w:rsid w:val="0D17585D"/>
    <w:rsid w:val="0D3E33CC"/>
    <w:rsid w:val="0D5745CD"/>
    <w:rsid w:val="0D575B85"/>
    <w:rsid w:val="0D5E04FB"/>
    <w:rsid w:val="0D607B2A"/>
    <w:rsid w:val="0D7E21C9"/>
    <w:rsid w:val="0D885EF1"/>
    <w:rsid w:val="0DA37C00"/>
    <w:rsid w:val="0DAF0AF5"/>
    <w:rsid w:val="0DDF7C6E"/>
    <w:rsid w:val="0DF317F5"/>
    <w:rsid w:val="0DF626F7"/>
    <w:rsid w:val="0DF7405B"/>
    <w:rsid w:val="0DF96E8C"/>
    <w:rsid w:val="0E183F30"/>
    <w:rsid w:val="0E1C1B02"/>
    <w:rsid w:val="0E1D2CA7"/>
    <w:rsid w:val="0E2E2851"/>
    <w:rsid w:val="0E4571B4"/>
    <w:rsid w:val="0E513A96"/>
    <w:rsid w:val="0E6A0CB4"/>
    <w:rsid w:val="0E79874A"/>
    <w:rsid w:val="0E7F55DC"/>
    <w:rsid w:val="0E824CB1"/>
    <w:rsid w:val="0E893E01"/>
    <w:rsid w:val="0EEC37BE"/>
    <w:rsid w:val="0F1555F1"/>
    <w:rsid w:val="0F22624D"/>
    <w:rsid w:val="0F5A309E"/>
    <w:rsid w:val="0F7F0CB4"/>
    <w:rsid w:val="0F864AF8"/>
    <w:rsid w:val="0F891808"/>
    <w:rsid w:val="0FD05B7C"/>
    <w:rsid w:val="0FE26F7E"/>
    <w:rsid w:val="0FF86998"/>
    <w:rsid w:val="0FFB69DA"/>
    <w:rsid w:val="0FFF9E23"/>
    <w:rsid w:val="10141C8A"/>
    <w:rsid w:val="104D2298"/>
    <w:rsid w:val="10713EBF"/>
    <w:rsid w:val="10732690"/>
    <w:rsid w:val="108A3181"/>
    <w:rsid w:val="10933928"/>
    <w:rsid w:val="10E053CE"/>
    <w:rsid w:val="10EA5F4D"/>
    <w:rsid w:val="11437F75"/>
    <w:rsid w:val="115A4A6C"/>
    <w:rsid w:val="117A67CD"/>
    <w:rsid w:val="118A5482"/>
    <w:rsid w:val="11BD75F7"/>
    <w:rsid w:val="11CB154F"/>
    <w:rsid w:val="11D57FF6"/>
    <w:rsid w:val="11EC0DBF"/>
    <w:rsid w:val="11EF5B10"/>
    <w:rsid w:val="12003074"/>
    <w:rsid w:val="12042B6A"/>
    <w:rsid w:val="1283653C"/>
    <w:rsid w:val="128D0ACD"/>
    <w:rsid w:val="12934B57"/>
    <w:rsid w:val="12AF0785"/>
    <w:rsid w:val="12B5001B"/>
    <w:rsid w:val="12B74C45"/>
    <w:rsid w:val="12B97E85"/>
    <w:rsid w:val="12E02111"/>
    <w:rsid w:val="12E0359D"/>
    <w:rsid w:val="12E3158A"/>
    <w:rsid w:val="131948E0"/>
    <w:rsid w:val="13326301"/>
    <w:rsid w:val="134B49D1"/>
    <w:rsid w:val="13774559"/>
    <w:rsid w:val="13831D0F"/>
    <w:rsid w:val="13A07D1C"/>
    <w:rsid w:val="13AA6C7A"/>
    <w:rsid w:val="13AF12D1"/>
    <w:rsid w:val="13D97F0D"/>
    <w:rsid w:val="13DB77D7"/>
    <w:rsid w:val="146A774B"/>
    <w:rsid w:val="146B5DFA"/>
    <w:rsid w:val="146E33A4"/>
    <w:rsid w:val="14833540"/>
    <w:rsid w:val="14887B0E"/>
    <w:rsid w:val="14946069"/>
    <w:rsid w:val="14A93F80"/>
    <w:rsid w:val="14E145A4"/>
    <w:rsid w:val="14E20675"/>
    <w:rsid w:val="151D2E85"/>
    <w:rsid w:val="152315CE"/>
    <w:rsid w:val="153A298B"/>
    <w:rsid w:val="155C7174"/>
    <w:rsid w:val="15702ADB"/>
    <w:rsid w:val="157F4238"/>
    <w:rsid w:val="15942E62"/>
    <w:rsid w:val="15B8776F"/>
    <w:rsid w:val="15C80049"/>
    <w:rsid w:val="15DC403B"/>
    <w:rsid w:val="15FC4DAB"/>
    <w:rsid w:val="161F262E"/>
    <w:rsid w:val="16444AAD"/>
    <w:rsid w:val="164729D6"/>
    <w:rsid w:val="16623343"/>
    <w:rsid w:val="167639EE"/>
    <w:rsid w:val="16952AE1"/>
    <w:rsid w:val="16987D08"/>
    <w:rsid w:val="16B000D0"/>
    <w:rsid w:val="16C06700"/>
    <w:rsid w:val="16F64A51"/>
    <w:rsid w:val="1703020F"/>
    <w:rsid w:val="1712563F"/>
    <w:rsid w:val="171728C0"/>
    <w:rsid w:val="1731377E"/>
    <w:rsid w:val="173B45EA"/>
    <w:rsid w:val="175824DC"/>
    <w:rsid w:val="17684F4D"/>
    <w:rsid w:val="17A02F74"/>
    <w:rsid w:val="17A64703"/>
    <w:rsid w:val="17AF94C5"/>
    <w:rsid w:val="17D426A8"/>
    <w:rsid w:val="17D430F8"/>
    <w:rsid w:val="17F10988"/>
    <w:rsid w:val="180F222F"/>
    <w:rsid w:val="18420450"/>
    <w:rsid w:val="18932160"/>
    <w:rsid w:val="18B45502"/>
    <w:rsid w:val="1925275C"/>
    <w:rsid w:val="19325F66"/>
    <w:rsid w:val="195F03D1"/>
    <w:rsid w:val="19784F04"/>
    <w:rsid w:val="197B27AB"/>
    <w:rsid w:val="19853DFD"/>
    <w:rsid w:val="198B0A33"/>
    <w:rsid w:val="19A73E3E"/>
    <w:rsid w:val="19B377DB"/>
    <w:rsid w:val="19B63D32"/>
    <w:rsid w:val="19E90593"/>
    <w:rsid w:val="1A03730E"/>
    <w:rsid w:val="1A143B33"/>
    <w:rsid w:val="1A17189C"/>
    <w:rsid w:val="1A2E4342"/>
    <w:rsid w:val="1A306299"/>
    <w:rsid w:val="1A3503C3"/>
    <w:rsid w:val="1A4E6FE1"/>
    <w:rsid w:val="1A627DE6"/>
    <w:rsid w:val="1A761976"/>
    <w:rsid w:val="1A7D4CCC"/>
    <w:rsid w:val="1A8E6CD5"/>
    <w:rsid w:val="1A9452B0"/>
    <w:rsid w:val="1A986C8A"/>
    <w:rsid w:val="1AB84712"/>
    <w:rsid w:val="1ACF3752"/>
    <w:rsid w:val="1AD86012"/>
    <w:rsid w:val="1AD9181C"/>
    <w:rsid w:val="1AE9346B"/>
    <w:rsid w:val="1AED79C0"/>
    <w:rsid w:val="1AF51BB0"/>
    <w:rsid w:val="1B0537E4"/>
    <w:rsid w:val="1B2E771E"/>
    <w:rsid w:val="1B3E2362"/>
    <w:rsid w:val="1B476529"/>
    <w:rsid w:val="1B4E3302"/>
    <w:rsid w:val="1B6212E1"/>
    <w:rsid w:val="1B77204D"/>
    <w:rsid w:val="1B857BD8"/>
    <w:rsid w:val="1B8C1890"/>
    <w:rsid w:val="1B976D3F"/>
    <w:rsid w:val="1BBF2D87"/>
    <w:rsid w:val="1BC349DE"/>
    <w:rsid w:val="1BF442EC"/>
    <w:rsid w:val="1C3F7FA6"/>
    <w:rsid w:val="1C492B76"/>
    <w:rsid w:val="1C747EF9"/>
    <w:rsid w:val="1C813E89"/>
    <w:rsid w:val="1C844B5B"/>
    <w:rsid w:val="1C86668C"/>
    <w:rsid w:val="1C8C6C33"/>
    <w:rsid w:val="1CC64637"/>
    <w:rsid w:val="1CCA25EF"/>
    <w:rsid w:val="1CCA789A"/>
    <w:rsid w:val="1CCC4A9D"/>
    <w:rsid w:val="1CD67896"/>
    <w:rsid w:val="1CE03735"/>
    <w:rsid w:val="1D3348B9"/>
    <w:rsid w:val="1D6BA2A5"/>
    <w:rsid w:val="1D70483F"/>
    <w:rsid w:val="1D760B5F"/>
    <w:rsid w:val="1D7736AA"/>
    <w:rsid w:val="1D7EDBAC"/>
    <w:rsid w:val="1DA55031"/>
    <w:rsid w:val="1DA90101"/>
    <w:rsid w:val="1DB72178"/>
    <w:rsid w:val="1DE33932"/>
    <w:rsid w:val="1DE547AB"/>
    <w:rsid w:val="1DEA3BDA"/>
    <w:rsid w:val="1DF1708C"/>
    <w:rsid w:val="1E1B3FC3"/>
    <w:rsid w:val="1E3D42AB"/>
    <w:rsid w:val="1E5805C9"/>
    <w:rsid w:val="1E5C27D9"/>
    <w:rsid w:val="1E6E8FC2"/>
    <w:rsid w:val="1E960B39"/>
    <w:rsid w:val="1EA8294E"/>
    <w:rsid w:val="1EE920F1"/>
    <w:rsid w:val="1EEDC44B"/>
    <w:rsid w:val="1EF321F1"/>
    <w:rsid w:val="1EF83469"/>
    <w:rsid w:val="1F121216"/>
    <w:rsid w:val="1F1A79F2"/>
    <w:rsid w:val="1F320D7B"/>
    <w:rsid w:val="1F3C2E43"/>
    <w:rsid w:val="1F4205D3"/>
    <w:rsid w:val="1F433A78"/>
    <w:rsid w:val="1F4D0F4B"/>
    <w:rsid w:val="1F901744"/>
    <w:rsid w:val="1F983263"/>
    <w:rsid w:val="1FAF1D46"/>
    <w:rsid w:val="1FB1255F"/>
    <w:rsid w:val="1FD97C09"/>
    <w:rsid w:val="1FDF48EE"/>
    <w:rsid w:val="1FE607C1"/>
    <w:rsid w:val="200927CB"/>
    <w:rsid w:val="203A0E21"/>
    <w:rsid w:val="203B04ED"/>
    <w:rsid w:val="203F229D"/>
    <w:rsid w:val="20625F75"/>
    <w:rsid w:val="2069158A"/>
    <w:rsid w:val="207364D3"/>
    <w:rsid w:val="20976B5A"/>
    <w:rsid w:val="209B4147"/>
    <w:rsid w:val="20B60088"/>
    <w:rsid w:val="20C26C84"/>
    <w:rsid w:val="20C42294"/>
    <w:rsid w:val="20C443FE"/>
    <w:rsid w:val="20C50451"/>
    <w:rsid w:val="20D77BFC"/>
    <w:rsid w:val="210F16D9"/>
    <w:rsid w:val="210F7FBF"/>
    <w:rsid w:val="21372259"/>
    <w:rsid w:val="21694910"/>
    <w:rsid w:val="21822CFB"/>
    <w:rsid w:val="21D63963"/>
    <w:rsid w:val="21ED4624"/>
    <w:rsid w:val="21F41DFF"/>
    <w:rsid w:val="22294218"/>
    <w:rsid w:val="22512901"/>
    <w:rsid w:val="2267492F"/>
    <w:rsid w:val="22A44447"/>
    <w:rsid w:val="22B346F2"/>
    <w:rsid w:val="22D05B48"/>
    <w:rsid w:val="22E006EF"/>
    <w:rsid w:val="22F00A92"/>
    <w:rsid w:val="2301712C"/>
    <w:rsid w:val="23444268"/>
    <w:rsid w:val="23B1581A"/>
    <w:rsid w:val="23B302CE"/>
    <w:rsid w:val="23D16EFC"/>
    <w:rsid w:val="23EF3232"/>
    <w:rsid w:val="2403431B"/>
    <w:rsid w:val="240A5D77"/>
    <w:rsid w:val="24142194"/>
    <w:rsid w:val="246739F8"/>
    <w:rsid w:val="24A30FBB"/>
    <w:rsid w:val="24C00E4A"/>
    <w:rsid w:val="24DB1B09"/>
    <w:rsid w:val="24E60780"/>
    <w:rsid w:val="24F43B92"/>
    <w:rsid w:val="24FF19C4"/>
    <w:rsid w:val="25041590"/>
    <w:rsid w:val="25731E80"/>
    <w:rsid w:val="257866B1"/>
    <w:rsid w:val="258F38CC"/>
    <w:rsid w:val="25A82F5B"/>
    <w:rsid w:val="25C915FC"/>
    <w:rsid w:val="260874E8"/>
    <w:rsid w:val="26124ED4"/>
    <w:rsid w:val="2632366A"/>
    <w:rsid w:val="26333878"/>
    <w:rsid w:val="26520DBA"/>
    <w:rsid w:val="26595760"/>
    <w:rsid w:val="267E7E2B"/>
    <w:rsid w:val="26B613FF"/>
    <w:rsid w:val="26C62C95"/>
    <w:rsid w:val="26C848AF"/>
    <w:rsid w:val="26CE2A68"/>
    <w:rsid w:val="26D97433"/>
    <w:rsid w:val="271C5FE7"/>
    <w:rsid w:val="27315631"/>
    <w:rsid w:val="275C465E"/>
    <w:rsid w:val="27992D3B"/>
    <w:rsid w:val="27AA2CA3"/>
    <w:rsid w:val="27B01683"/>
    <w:rsid w:val="27B8211C"/>
    <w:rsid w:val="27C82253"/>
    <w:rsid w:val="27EC4E71"/>
    <w:rsid w:val="28247BB6"/>
    <w:rsid w:val="28933CCC"/>
    <w:rsid w:val="28AE7984"/>
    <w:rsid w:val="28C80D3F"/>
    <w:rsid w:val="28D96965"/>
    <w:rsid w:val="28DE3958"/>
    <w:rsid w:val="29055F95"/>
    <w:rsid w:val="29341888"/>
    <w:rsid w:val="2945508F"/>
    <w:rsid w:val="296740FF"/>
    <w:rsid w:val="29701219"/>
    <w:rsid w:val="298E09C9"/>
    <w:rsid w:val="299E2D9B"/>
    <w:rsid w:val="29B421E7"/>
    <w:rsid w:val="29CE47A0"/>
    <w:rsid w:val="29DE1DBA"/>
    <w:rsid w:val="29FB3EBB"/>
    <w:rsid w:val="29FD2F6F"/>
    <w:rsid w:val="2A0A5C85"/>
    <w:rsid w:val="2A0F28F4"/>
    <w:rsid w:val="2A0F54AF"/>
    <w:rsid w:val="2A1D03C7"/>
    <w:rsid w:val="2A2E41C8"/>
    <w:rsid w:val="2A446D64"/>
    <w:rsid w:val="2A4F5FF4"/>
    <w:rsid w:val="2A8C02FC"/>
    <w:rsid w:val="2AC12DBF"/>
    <w:rsid w:val="2AEE531A"/>
    <w:rsid w:val="2AFB6893"/>
    <w:rsid w:val="2B1C66E6"/>
    <w:rsid w:val="2B22793F"/>
    <w:rsid w:val="2B2E77B1"/>
    <w:rsid w:val="2B3C5C6D"/>
    <w:rsid w:val="2B6C4470"/>
    <w:rsid w:val="2B7D5189"/>
    <w:rsid w:val="2B8F6C63"/>
    <w:rsid w:val="2BDE868F"/>
    <w:rsid w:val="2C091874"/>
    <w:rsid w:val="2C0C2E05"/>
    <w:rsid w:val="2C187F64"/>
    <w:rsid w:val="2C2A6F85"/>
    <w:rsid w:val="2C301EDF"/>
    <w:rsid w:val="2C363D63"/>
    <w:rsid w:val="2C4A7F5F"/>
    <w:rsid w:val="2C515B6D"/>
    <w:rsid w:val="2C5F0A97"/>
    <w:rsid w:val="2C854E4C"/>
    <w:rsid w:val="2C8A3639"/>
    <w:rsid w:val="2C9D44BB"/>
    <w:rsid w:val="2CA8549C"/>
    <w:rsid w:val="2CC35E7E"/>
    <w:rsid w:val="2CD63D6C"/>
    <w:rsid w:val="2CF748AA"/>
    <w:rsid w:val="2D157538"/>
    <w:rsid w:val="2D175908"/>
    <w:rsid w:val="2D2F720D"/>
    <w:rsid w:val="2D310B09"/>
    <w:rsid w:val="2D4828C3"/>
    <w:rsid w:val="2D57345B"/>
    <w:rsid w:val="2D5F3EE2"/>
    <w:rsid w:val="2D764F47"/>
    <w:rsid w:val="2DD91851"/>
    <w:rsid w:val="2DF9093A"/>
    <w:rsid w:val="2E4D6A38"/>
    <w:rsid w:val="2E9025A4"/>
    <w:rsid w:val="2EBD40A4"/>
    <w:rsid w:val="2EE158E9"/>
    <w:rsid w:val="2EF35252"/>
    <w:rsid w:val="2F080823"/>
    <w:rsid w:val="2F08776A"/>
    <w:rsid w:val="2F0D5D93"/>
    <w:rsid w:val="2F173E47"/>
    <w:rsid w:val="2F1B4932"/>
    <w:rsid w:val="2F20375F"/>
    <w:rsid w:val="2F3E632A"/>
    <w:rsid w:val="2F4F3241"/>
    <w:rsid w:val="2F6C3DCC"/>
    <w:rsid w:val="2F797671"/>
    <w:rsid w:val="2F7B3516"/>
    <w:rsid w:val="2F81674D"/>
    <w:rsid w:val="2FC25D7B"/>
    <w:rsid w:val="2FE87A6A"/>
    <w:rsid w:val="2FE91C99"/>
    <w:rsid w:val="2FF81FE9"/>
    <w:rsid w:val="2FFD154B"/>
    <w:rsid w:val="30184226"/>
    <w:rsid w:val="304D190A"/>
    <w:rsid w:val="3086347F"/>
    <w:rsid w:val="308F4B91"/>
    <w:rsid w:val="30941DB6"/>
    <w:rsid w:val="309E7091"/>
    <w:rsid w:val="30BD4B70"/>
    <w:rsid w:val="30DA3E8C"/>
    <w:rsid w:val="30DE49F0"/>
    <w:rsid w:val="30E20ADF"/>
    <w:rsid w:val="31104BE6"/>
    <w:rsid w:val="31107C6B"/>
    <w:rsid w:val="3135407B"/>
    <w:rsid w:val="31421084"/>
    <w:rsid w:val="31887B7C"/>
    <w:rsid w:val="31895649"/>
    <w:rsid w:val="31AD34E7"/>
    <w:rsid w:val="31B02544"/>
    <w:rsid w:val="31DB58FA"/>
    <w:rsid w:val="31E0690F"/>
    <w:rsid w:val="31E744D3"/>
    <w:rsid w:val="31F03994"/>
    <w:rsid w:val="31F06AA9"/>
    <w:rsid w:val="31FF15D2"/>
    <w:rsid w:val="32096EE3"/>
    <w:rsid w:val="32155C69"/>
    <w:rsid w:val="32535B1F"/>
    <w:rsid w:val="32830AEF"/>
    <w:rsid w:val="329945C7"/>
    <w:rsid w:val="32AE7CE7"/>
    <w:rsid w:val="32BE744E"/>
    <w:rsid w:val="32C41EAE"/>
    <w:rsid w:val="32CA0E4B"/>
    <w:rsid w:val="32CB45C8"/>
    <w:rsid w:val="32D21971"/>
    <w:rsid w:val="332E3950"/>
    <w:rsid w:val="335202DB"/>
    <w:rsid w:val="336E5F6C"/>
    <w:rsid w:val="33732317"/>
    <w:rsid w:val="33790B91"/>
    <w:rsid w:val="337B4EF0"/>
    <w:rsid w:val="3396767F"/>
    <w:rsid w:val="33A337D5"/>
    <w:rsid w:val="33F71CC8"/>
    <w:rsid w:val="33FA57B0"/>
    <w:rsid w:val="34016A86"/>
    <w:rsid w:val="34184C5D"/>
    <w:rsid w:val="34391824"/>
    <w:rsid w:val="34475E33"/>
    <w:rsid w:val="347312F7"/>
    <w:rsid w:val="34751871"/>
    <w:rsid w:val="3492234F"/>
    <w:rsid w:val="34AA0645"/>
    <w:rsid w:val="34C61DEF"/>
    <w:rsid w:val="34D349C1"/>
    <w:rsid w:val="34D65FE2"/>
    <w:rsid w:val="34DD141E"/>
    <w:rsid w:val="34EF48D4"/>
    <w:rsid w:val="34F832A2"/>
    <w:rsid w:val="353323D5"/>
    <w:rsid w:val="35767350"/>
    <w:rsid w:val="359A52D2"/>
    <w:rsid w:val="359E1B8E"/>
    <w:rsid w:val="35BE26D5"/>
    <w:rsid w:val="360006C2"/>
    <w:rsid w:val="36231CDE"/>
    <w:rsid w:val="36457F31"/>
    <w:rsid w:val="36A861E5"/>
    <w:rsid w:val="36BC6408"/>
    <w:rsid w:val="36E55AEB"/>
    <w:rsid w:val="372F3093"/>
    <w:rsid w:val="3734013D"/>
    <w:rsid w:val="373B7D1B"/>
    <w:rsid w:val="37883D9D"/>
    <w:rsid w:val="37987CE3"/>
    <w:rsid w:val="379DF0C9"/>
    <w:rsid w:val="37DA5F5D"/>
    <w:rsid w:val="37ED036A"/>
    <w:rsid w:val="37F913BE"/>
    <w:rsid w:val="37FF6BD7"/>
    <w:rsid w:val="38177FF1"/>
    <w:rsid w:val="386523B0"/>
    <w:rsid w:val="389E4DF7"/>
    <w:rsid w:val="38A230B5"/>
    <w:rsid w:val="38B5305A"/>
    <w:rsid w:val="38D63A95"/>
    <w:rsid w:val="3914125A"/>
    <w:rsid w:val="3915611C"/>
    <w:rsid w:val="39260D0B"/>
    <w:rsid w:val="395065F3"/>
    <w:rsid w:val="3969753C"/>
    <w:rsid w:val="397158ED"/>
    <w:rsid w:val="39724B96"/>
    <w:rsid w:val="39E37660"/>
    <w:rsid w:val="3A291850"/>
    <w:rsid w:val="3A2A56F0"/>
    <w:rsid w:val="3A347BA7"/>
    <w:rsid w:val="3A86131C"/>
    <w:rsid w:val="3A904DA0"/>
    <w:rsid w:val="3AA14CC2"/>
    <w:rsid w:val="3AC96B3C"/>
    <w:rsid w:val="3ADA7F84"/>
    <w:rsid w:val="3AE22A52"/>
    <w:rsid w:val="3B0A2B10"/>
    <w:rsid w:val="3B2A3A82"/>
    <w:rsid w:val="3B470C18"/>
    <w:rsid w:val="3B4C4B2F"/>
    <w:rsid w:val="3B5269DA"/>
    <w:rsid w:val="3B9A0AD5"/>
    <w:rsid w:val="3BAA2DFB"/>
    <w:rsid w:val="3BB98257"/>
    <w:rsid w:val="3BD45B11"/>
    <w:rsid w:val="3BEB5437"/>
    <w:rsid w:val="3C195C5A"/>
    <w:rsid w:val="3C504855"/>
    <w:rsid w:val="3CA91485"/>
    <w:rsid w:val="3CC17E22"/>
    <w:rsid w:val="3D0A686C"/>
    <w:rsid w:val="3D666973"/>
    <w:rsid w:val="3D833044"/>
    <w:rsid w:val="3D98639D"/>
    <w:rsid w:val="3DBD4CAC"/>
    <w:rsid w:val="3DE76D88"/>
    <w:rsid w:val="3DFDB1AE"/>
    <w:rsid w:val="3E0655B4"/>
    <w:rsid w:val="3E337FDD"/>
    <w:rsid w:val="3E5FED92"/>
    <w:rsid w:val="3E6D4856"/>
    <w:rsid w:val="3E835940"/>
    <w:rsid w:val="3E8B628D"/>
    <w:rsid w:val="3E8C18E6"/>
    <w:rsid w:val="3EBD617F"/>
    <w:rsid w:val="3EC56445"/>
    <w:rsid w:val="3ECA28FD"/>
    <w:rsid w:val="3F257157"/>
    <w:rsid w:val="3F384761"/>
    <w:rsid w:val="3F3F6505"/>
    <w:rsid w:val="3F526712"/>
    <w:rsid w:val="3F5B5216"/>
    <w:rsid w:val="3F640B0B"/>
    <w:rsid w:val="3F812A3A"/>
    <w:rsid w:val="3FD062C0"/>
    <w:rsid w:val="3FD3BFEC"/>
    <w:rsid w:val="3FE1772E"/>
    <w:rsid w:val="3FFD8E96"/>
    <w:rsid w:val="3FFE1AF6"/>
    <w:rsid w:val="3FFE70B7"/>
    <w:rsid w:val="400B31E9"/>
    <w:rsid w:val="40141D1D"/>
    <w:rsid w:val="401B4FD8"/>
    <w:rsid w:val="40307C69"/>
    <w:rsid w:val="404D7AC8"/>
    <w:rsid w:val="40634C41"/>
    <w:rsid w:val="40791BF6"/>
    <w:rsid w:val="407B722C"/>
    <w:rsid w:val="40AB4C9D"/>
    <w:rsid w:val="40DD16D8"/>
    <w:rsid w:val="413063A6"/>
    <w:rsid w:val="41391FB6"/>
    <w:rsid w:val="4145485A"/>
    <w:rsid w:val="417530DD"/>
    <w:rsid w:val="417B40A4"/>
    <w:rsid w:val="41814A29"/>
    <w:rsid w:val="41920DF4"/>
    <w:rsid w:val="41A36DCF"/>
    <w:rsid w:val="41C06248"/>
    <w:rsid w:val="42226A27"/>
    <w:rsid w:val="425C78EF"/>
    <w:rsid w:val="425D4FF7"/>
    <w:rsid w:val="425F7C30"/>
    <w:rsid w:val="42655A33"/>
    <w:rsid w:val="42680B06"/>
    <w:rsid w:val="429F46BC"/>
    <w:rsid w:val="42A34DFA"/>
    <w:rsid w:val="42F26E0D"/>
    <w:rsid w:val="43005F1C"/>
    <w:rsid w:val="43100FE2"/>
    <w:rsid w:val="43242DC6"/>
    <w:rsid w:val="43463A91"/>
    <w:rsid w:val="439E6277"/>
    <w:rsid w:val="43A254B1"/>
    <w:rsid w:val="43A97A86"/>
    <w:rsid w:val="43B943DD"/>
    <w:rsid w:val="43BF143F"/>
    <w:rsid w:val="43F50014"/>
    <w:rsid w:val="44240C6A"/>
    <w:rsid w:val="44272CAC"/>
    <w:rsid w:val="443A54EB"/>
    <w:rsid w:val="44451BDC"/>
    <w:rsid w:val="444F6481"/>
    <w:rsid w:val="447B6726"/>
    <w:rsid w:val="449A1973"/>
    <w:rsid w:val="44A73F62"/>
    <w:rsid w:val="44F02F62"/>
    <w:rsid w:val="451A0FD3"/>
    <w:rsid w:val="45712308"/>
    <w:rsid w:val="457D2990"/>
    <w:rsid w:val="458B1522"/>
    <w:rsid w:val="45ED0241"/>
    <w:rsid w:val="460434E4"/>
    <w:rsid w:val="466B00B6"/>
    <w:rsid w:val="46706F3F"/>
    <w:rsid w:val="46742883"/>
    <w:rsid w:val="46757EF5"/>
    <w:rsid w:val="468375BE"/>
    <w:rsid w:val="46876032"/>
    <w:rsid w:val="46A87C88"/>
    <w:rsid w:val="46C96C6F"/>
    <w:rsid w:val="46FD0882"/>
    <w:rsid w:val="471513C1"/>
    <w:rsid w:val="47245012"/>
    <w:rsid w:val="472B40E0"/>
    <w:rsid w:val="473461A6"/>
    <w:rsid w:val="473D42FE"/>
    <w:rsid w:val="47793752"/>
    <w:rsid w:val="477E751F"/>
    <w:rsid w:val="47A31B07"/>
    <w:rsid w:val="47A9364D"/>
    <w:rsid w:val="47C81250"/>
    <w:rsid w:val="47C84FBA"/>
    <w:rsid w:val="47E051A9"/>
    <w:rsid w:val="47EFACDD"/>
    <w:rsid w:val="485278BE"/>
    <w:rsid w:val="487D2A9B"/>
    <w:rsid w:val="48C75219"/>
    <w:rsid w:val="48D23E7A"/>
    <w:rsid w:val="48F04FAA"/>
    <w:rsid w:val="49383A95"/>
    <w:rsid w:val="497742DC"/>
    <w:rsid w:val="49897021"/>
    <w:rsid w:val="499B766C"/>
    <w:rsid w:val="49A85CE0"/>
    <w:rsid w:val="49BB73C2"/>
    <w:rsid w:val="49CB0635"/>
    <w:rsid w:val="49CC464E"/>
    <w:rsid w:val="49E815C6"/>
    <w:rsid w:val="4A203730"/>
    <w:rsid w:val="4A203D36"/>
    <w:rsid w:val="4A3F1F54"/>
    <w:rsid w:val="4A5943E4"/>
    <w:rsid w:val="4A6050DB"/>
    <w:rsid w:val="4A6278FA"/>
    <w:rsid w:val="4A693AF6"/>
    <w:rsid w:val="4A6B7783"/>
    <w:rsid w:val="4AD43451"/>
    <w:rsid w:val="4AD50B78"/>
    <w:rsid w:val="4ADD07E4"/>
    <w:rsid w:val="4B4E3F99"/>
    <w:rsid w:val="4B5A348C"/>
    <w:rsid w:val="4B715FB2"/>
    <w:rsid w:val="4B8C55E8"/>
    <w:rsid w:val="4BB858C5"/>
    <w:rsid w:val="4C083C31"/>
    <w:rsid w:val="4C100B51"/>
    <w:rsid w:val="4C875D8A"/>
    <w:rsid w:val="4C88552C"/>
    <w:rsid w:val="4CD90354"/>
    <w:rsid w:val="4CE354D3"/>
    <w:rsid w:val="4D092A65"/>
    <w:rsid w:val="4D3E119B"/>
    <w:rsid w:val="4D5D5079"/>
    <w:rsid w:val="4D63426D"/>
    <w:rsid w:val="4D6F1F18"/>
    <w:rsid w:val="4D7376F9"/>
    <w:rsid w:val="4D9E38E4"/>
    <w:rsid w:val="4DC82BF0"/>
    <w:rsid w:val="4DD013FD"/>
    <w:rsid w:val="4DE577AB"/>
    <w:rsid w:val="4E7B4448"/>
    <w:rsid w:val="4EBA1CDB"/>
    <w:rsid w:val="4EDB1BC9"/>
    <w:rsid w:val="4EEB225C"/>
    <w:rsid w:val="4F103158"/>
    <w:rsid w:val="4F172AC2"/>
    <w:rsid w:val="4F1B6653"/>
    <w:rsid w:val="4F314161"/>
    <w:rsid w:val="4F3F55BB"/>
    <w:rsid w:val="4F464A5A"/>
    <w:rsid w:val="4F4C6491"/>
    <w:rsid w:val="4F5551B4"/>
    <w:rsid w:val="4F5D32A4"/>
    <w:rsid w:val="4F66062D"/>
    <w:rsid w:val="4F6B71DF"/>
    <w:rsid w:val="4F9818B4"/>
    <w:rsid w:val="4FAD051B"/>
    <w:rsid w:val="4FD46EBD"/>
    <w:rsid w:val="4FE828ED"/>
    <w:rsid w:val="501D392A"/>
    <w:rsid w:val="50372179"/>
    <w:rsid w:val="503D78E7"/>
    <w:rsid w:val="503D7B8D"/>
    <w:rsid w:val="506B2F52"/>
    <w:rsid w:val="507951EA"/>
    <w:rsid w:val="508F2AB3"/>
    <w:rsid w:val="50B138D1"/>
    <w:rsid w:val="50F0046A"/>
    <w:rsid w:val="50F31B7F"/>
    <w:rsid w:val="511A61BA"/>
    <w:rsid w:val="511E35F8"/>
    <w:rsid w:val="51503FA0"/>
    <w:rsid w:val="5156017D"/>
    <w:rsid w:val="51596E11"/>
    <w:rsid w:val="519B5CC2"/>
    <w:rsid w:val="51CD03C6"/>
    <w:rsid w:val="51FE7D93"/>
    <w:rsid w:val="52121DCF"/>
    <w:rsid w:val="52137423"/>
    <w:rsid w:val="521C6302"/>
    <w:rsid w:val="522105B9"/>
    <w:rsid w:val="52263BCA"/>
    <w:rsid w:val="525E3A31"/>
    <w:rsid w:val="52AF3E2F"/>
    <w:rsid w:val="52FB705C"/>
    <w:rsid w:val="5304202F"/>
    <w:rsid w:val="53155197"/>
    <w:rsid w:val="531A7B65"/>
    <w:rsid w:val="531B7C6E"/>
    <w:rsid w:val="53314D4C"/>
    <w:rsid w:val="53316789"/>
    <w:rsid w:val="53871716"/>
    <w:rsid w:val="53950C89"/>
    <w:rsid w:val="53A40CC6"/>
    <w:rsid w:val="53A43997"/>
    <w:rsid w:val="53D42EB7"/>
    <w:rsid w:val="53DE1453"/>
    <w:rsid w:val="53FF5110"/>
    <w:rsid w:val="5403502E"/>
    <w:rsid w:val="540A3EEE"/>
    <w:rsid w:val="540A6D47"/>
    <w:rsid w:val="54457077"/>
    <w:rsid w:val="544F1263"/>
    <w:rsid w:val="549D0C85"/>
    <w:rsid w:val="54EE6554"/>
    <w:rsid w:val="550C6C83"/>
    <w:rsid w:val="553E32D6"/>
    <w:rsid w:val="55583B90"/>
    <w:rsid w:val="55675C79"/>
    <w:rsid w:val="558D65E8"/>
    <w:rsid w:val="55990B54"/>
    <w:rsid w:val="55BC2E86"/>
    <w:rsid w:val="55C03CB8"/>
    <w:rsid w:val="55C624E8"/>
    <w:rsid w:val="55D94BD7"/>
    <w:rsid w:val="5625035E"/>
    <w:rsid w:val="562F0568"/>
    <w:rsid w:val="565F506B"/>
    <w:rsid w:val="566F1F39"/>
    <w:rsid w:val="56830ADF"/>
    <w:rsid w:val="56857CFC"/>
    <w:rsid w:val="569022B2"/>
    <w:rsid w:val="56BB20E5"/>
    <w:rsid w:val="56D5033D"/>
    <w:rsid w:val="56D67726"/>
    <w:rsid w:val="56FF2CC1"/>
    <w:rsid w:val="57002B8D"/>
    <w:rsid w:val="571F6FD0"/>
    <w:rsid w:val="57344DFE"/>
    <w:rsid w:val="573577BE"/>
    <w:rsid w:val="573751CA"/>
    <w:rsid w:val="57606083"/>
    <w:rsid w:val="57804B64"/>
    <w:rsid w:val="578B0E6E"/>
    <w:rsid w:val="57A1046F"/>
    <w:rsid w:val="57B5D834"/>
    <w:rsid w:val="57D60C34"/>
    <w:rsid w:val="57F652BC"/>
    <w:rsid w:val="5848614A"/>
    <w:rsid w:val="585D6E6C"/>
    <w:rsid w:val="588C1D68"/>
    <w:rsid w:val="58A674A5"/>
    <w:rsid w:val="58CD30A4"/>
    <w:rsid w:val="58CD382E"/>
    <w:rsid w:val="58D7418F"/>
    <w:rsid w:val="5900000F"/>
    <w:rsid w:val="590A1DA2"/>
    <w:rsid w:val="590D6489"/>
    <w:rsid w:val="59154896"/>
    <w:rsid w:val="592B5553"/>
    <w:rsid w:val="595042FB"/>
    <w:rsid w:val="59876675"/>
    <w:rsid w:val="59B961EA"/>
    <w:rsid w:val="59C9107F"/>
    <w:rsid w:val="59CE04C3"/>
    <w:rsid w:val="59FFE880"/>
    <w:rsid w:val="5A0C0158"/>
    <w:rsid w:val="5A376F91"/>
    <w:rsid w:val="5A3D0E34"/>
    <w:rsid w:val="5A4E1D0A"/>
    <w:rsid w:val="5A642481"/>
    <w:rsid w:val="5A6E0818"/>
    <w:rsid w:val="5ABE7049"/>
    <w:rsid w:val="5AC32B55"/>
    <w:rsid w:val="5ADB760C"/>
    <w:rsid w:val="5AE145C9"/>
    <w:rsid w:val="5B421824"/>
    <w:rsid w:val="5B695259"/>
    <w:rsid w:val="5B75772B"/>
    <w:rsid w:val="5B9E3DE4"/>
    <w:rsid w:val="5BC44CEE"/>
    <w:rsid w:val="5BDA0F82"/>
    <w:rsid w:val="5BDF4787"/>
    <w:rsid w:val="5BE106D2"/>
    <w:rsid w:val="5BFFD2DF"/>
    <w:rsid w:val="5C00697E"/>
    <w:rsid w:val="5C2F3299"/>
    <w:rsid w:val="5C37658E"/>
    <w:rsid w:val="5C405FA4"/>
    <w:rsid w:val="5C5F447C"/>
    <w:rsid w:val="5C7521D3"/>
    <w:rsid w:val="5C896574"/>
    <w:rsid w:val="5C8C3697"/>
    <w:rsid w:val="5CAC7B1C"/>
    <w:rsid w:val="5CBC1F55"/>
    <w:rsid w:val="5CD13E43"/>
    <w:rsid w:val="5CEF42BA"/>
    <w:rsid w:val="5CF94857"/>
    <w:rsid w:val="5D002D5F"/>
    <w:rsid w:val="5D591FBD"/>
    <w:rsid w:val="5D94180E"/>
    <w:rsid w:val="5D9F27A5"/>
    <w:rsid w:val="5DC411A3"/>
    <w:rsid w:val="5DCA620A"/>
    <w:rsid w:val="5DDABCF8"/>
    <w:rsid w:val="5DDD008C"/>
    <w:rsid w:val="5DFE433A"/>
    <w:rsid w:val="5E1373C1"/>
    <w:rsid w:val="5E2C6888"/>
    <w:rsid w:val="5E2D4485"/>
    <w:rsid w:val="5E47544D"/>
    <w:rsid w:val="5E6747E1"/>
    <w:rsid w:val="5E7BB97F"/>
    <w:rsid w:val="5E9641A9"/>
    <w:rsid w:val="5E97068D"/>
    <w:rsid w:val="5EB543C4"/>
    <w:rsid w:val="5EB7CDDF"/>
    <w:rsid w:val="5EB92CF5"/>
    <w:rsid w:val="5EBF6980"/>
    <w:rsid w:val="5ED30C10"/>
    <w:rsid w:val="5EDA2A7B"/>
    <w:rsid w:val="5EDE5CDB"/>
    <w:rsid w:val="5EE16E0E"/>
    <w:rsid w:val="5F3940A0"/>
    <w:rsid w:val="5F44566E"/>
    <w:rsid w:val="5F4C554A"/>
    <w:rsid w:val="5F5844EB"/>
    <w:rsid w:val="5F675369"/>
    <w:rsid w:val="5F9C7872"/>
    <w:rsid w:val="5FB71F10"/>
    <w:rsid w:val="5FB87D15"/>
    <w:rsid w:val="5FCF3527"/>
    <w:rsid w:val="5FF11BD5"/>
    <w:rsid w:val="5FF508FC"/>
    <w:rsid w:val="5FFB837C"/>
    <w:rsid w:val="601531AE"/>
    <w:rsid w:val="602D4F22"/>
    <w:rsid w:val="603F2201"/>
    <w:rsid w:val="604C733B"/>
    <w:rsid w:val="605721AA"/>
    <w:rsid w:val="60617CE8"/>
    <w:rsid w:val="60AE77CA"/>
    <w:rsid w:val="60B44113"/>
    <w:rsid w:val="60C06C11"/>
    <w:rsid w:val="60E517B1"/>
    <w:rsid w:val="60EA573B"/>
    <w:rsid w:val="613F7C88"/>
    <w:rsid w:val="616816BC"/>
    <w:rsid w:val="61731648"/>
    <w:rsid w:val="617A1E26"/>
    <w:rsid w:val="61D60995"/>
    <w:rsid w:val="61E16FA2"/>
    <w:rsid w:val="61E54B40"/>
    <w:rsid w:val="622C753A"/>
    <w:rsid w:val="624F3EEF"/>
    <w:rsid w:val="62884618"/>
    <w:rsid w:val="62D70BD1"/>
    <w:rsid w:val="62E47D3E"/>
    <w:rsid w:val="62E92531"/>
    <w:rsid w:val="6341070D"/>
    <w:rsid w:val="63416D06"/>
    <w:rsid w:val="63A6157B"/>
    <w:rsid w:val="63AA21B4"/>
    <w:rsid w:val="63C3108A"/>
    <w:rsid w:val="63FC019F"/>
    <w:rsid w:val="64294D75"/>
    <w:rsid w:val="64481AB7"/>
    <w:rsid w:val="64497B3B"/>
    <w:rsid w:val="646F08D5"/>
    <w:rsid w:val="648630F3"/>
    <w:rsid w:val="64B30F39"/>
    <w:rsid w:val="64BA7177"/>
    <w:rsid w:val="64C45F03"/>
    <w:rsid w:val="64CB5E68"/>
    <w:rsid w:val="64D5736A"/>
    <w:rsid w:val="64F851F1"/>
    <w:rsid w:val="65312228"/>
    <w:rsid w:val="65625FEC"/>
    <w:rsid w:val="656C7BC4"/>
    <w:rsid w:val="65715E5A"/>
    <w:rsid w:val="65904230"/>
    <w:rsid w:val="65930C48"/>
    <w:rsid w:val="65BF74AA"/>
    <w:rsid w:val="65C1133A"/>
    <w:rsid w:val="65C23858"/>
    <w:rsid w:val="6601087F"/>
    <w:rsid w:val="66183E19"/>
    <w:rsid w:val="66821BE2"/>
    <w:rsid w:val="66BE22A1"/>
    <w:rsid w:val="66D70B4F"/>
    <w:rsid w:val="66FF5A0E"/>
    <w:rsid w:val="67005BCA"/>
    <w:rsid w:val="6702678E"/>
    <w:rsid w:val="671C1D5F"/>
    <w:rsid w:val="671F12E9"/>
    <w:rsid w:val="673426E5"/>
    <w:rsid w:val="67812CEA"/>
    <w:rsid w:val="679D4CF3"/>
    <w:rsid w:val="679E080A"/>
    <w:rsid w:val="67EE11BE"/>
    <w:rsid w:val="681E63B1"/>
    <w:rsid w:val="683B1C26"/>
    <w:rsid w:val="6889713A"/>
    <w:rsid w:val="68DC0F3F"/>
    <w:rsid w:val="68E258A1"/>
    <w:rsid w:val="68FA6BF9"/>
    <w:rsid w:val="691463FB"/>
    <w:rsid w:val="691A565F"/>
    <w:rsid w:val="69541AD9"/>
    <w:rsid w:val="69650E2F"/>
    <w:rsid w:val="69A9488B"/>
    <w:rsid w:val="69C96177"/>
    <w:rsid w:val="69E16BE6"/>
    <w:rsid w:val="6A230268"/>
    <w:rsid w:val="6A457122"/>
    <w:rsid w:val="6A4D68CC"/>
    <w:rsid w:val="6A5F513A"/>
    <w:rsid w:val="6A7150A8"/>
    <w:rsid w:val="6A7401B1"/>
    <w:rsid w:val="6ABF2D94"/>
    <w:rsid w:val="6B02331D"/>
    <w:rsid w:val="6B067187"/>
    <w:rsid w:val="6B507AEB"/>
    <w:rsid w:val="6B727905"/>
    <w:rsid w:val="6B9125CB"/>
    <w:rsid w:val="6BB93611"/>
    <w:rsid w:val="6BC35959"/>
    <w:rsid w:val="6BE64B7B"/>
    <w:rsid w:val="6BF315F7"/>
    <w:rsid w:val="6C05168F"/>
    <w:rsid w:val="6C05463D"/>
    <w:rsid w:val="6C274259"/>
    <w:rsid w:val="6C714624"/>
    <w:rsid w:val="6C7D7121"/>
    <w:rsid w:val="6C9F23F5"/>
    <w:rsid w:val="6CBD664D"/>
    <w:rsid w:val="6CD07465"/>
    <w:rsid w:val="6CDA28F7"/>
    <w:rsid w:val="6D10711C"/>
    <w:rsid w:val="6D1771CB"/>
    <w:rsid w:val="6D2E27CF"/>
    <w:rsid w:val="6D52034D"/>
    <w:rsid w:val="6D70737B"/>
    <w:rsid w:val="6D76311A"/>
    <w:rsid w:val="6D771760"/>
    <w:rsid w:val="6D993D80"/>
    <w:rsid w:val="6DDF75FC"/>
    <w:rsid w:val="6DF90EC9"/>
    <w:rsid w:val="6E01448B"/>
    <w:rsid w:val="6E025E88"/>
    <w:rsid w:val="6E2E5E48"/>
    <w:rsid w:val="6E866386"/>
    <w:rsid w:val="6EB0407A"/>
    <w:rsid w:val="6ED160AB"/>
    <w:rsid w:val="6EDB34C1"/>
    <w:rsid w:val="6F006DDA"/>
    <w:rsid w:val="6F085C5D"/>
    <w:rsid w:val="6F4F6D21"/>
    <w:rsid w:val="6F58696B"/>
    <w:rsid w:val="6F95673A"/>
    <w:rsid w:val="6F9673F9"/>
    <w:rsid w:val="6F9D4B96"/>
    <w:rsid w:val="6FBB755E"/>
    <w:rsid w:val="6FCD27E4"/>
    <w:rsid w:val="6FDF5A50"/>
    <w:rsid w:val="6FEE1B2C"/>
    <w:rsid w:val="6FFE0126"/>
    <w:rsid w:val="7019691C"/>
    <w:rsid w:val="701D6C26"/>
    <w:rsid w:val="70216AC8"/>
    <w:rsid w:val="70392C2A"/>
    <w:rsid w:val="70745258"/>
    <w:rsid w:val="707819B0"/>
    <w:rsid w:val="709B2D07"/>
    <w:rsid w:val="709F64A5"/>
    <w:rsid w:val="70AD6346"/>
    <w:rsid w:val="70CF02ED"/>
    <w:rsid w:val="70D74AB3"/>
    <w:rsid w:val="70DA6154"/>
    <w:rsid w:val="70DD0315"/>
    <w:rsid w:val="70E95D7A"/>
    <w:rsid w:val="71136C4F"/>
    <w:rsid w:val="712E15B0"/>
    <w:rsid w:val="714D0A49"/>
    <w:rsid w:val="71673F9B"/>
    <w:rsid w:val="717520A9"/>
    <w:rsid w:val="719F0B7C"/>
    <w:rsid w:val="71CD6934"/>
    <w:rsid w:val="71EA15C0"/>
    <w:rsid w:val="71F83BE6"/>
    <w:rsid w:val="723942F4"/>
    <w:rsid w:val="725737C3"/>
    <w:rsid w:val="72596BFB"/>
    <w:rsid w:val="7260622C"/>
    <w:rsid w:val="726D5A47"/>
    <w:rsid w:val="72757496"/>
    <w:rsid w:val="727B41C2"/>
    <w:rsid w:val="72C9C255"/>
    <w:rsid w:val="72E75711"/>
    <w:rsid w:val="72EB1400"/>
    <w:rsid w:val="732860A1"/>
    <w:rsid w:val="734C374E"/>
    <w:rsid w:val="73517BC9"/>
    <w:rsid w:val="73870389"/>
    <w:rsid w:val="73B44DF0"/>
    <w:rsid w:val="73CB1CB0"/>
    <w:rsid w:val="73F21076"/>
    <w:rsid w:val="7417189B"/>
    <w:rsid w:val="74340A39"/>
    <w:rsid w:val="74611F1F"/>
    <w:rsid w:val="7491533F"/>
    <w:rsid w:val="74CE0A9B"/>
    <w:rsid w:val="74D22127"/>
    <w:rsid w:val="74F4555C"/>
    <w:rsid w:val="75037857"/>
    <w:rsid w:val="750D524B"/>
    <w:rsid w:val="752FE869"/>
    <w:rsid w:val="753D053B"/>
    <w:rsid w:val="755539A3"/>
    <w:rsid w:val="75556181"/>
    <w:rsid w:val="75712ACC"/>
    <w:rsid w:val="75846400"/>
    <w:rsid w:val="759871F9"/>
    <w:rsid w:val="75A44310"/>
    <w:rsid w:val="75C26102"/>
    <w:rsid w:val="75CC5A83"/>
    <w:rsid w:val="75D307FB"/>
    <w:rsid w:val="75FA4693"/>
    <w:rsid w:val="76072028"/>
    <w:rsid w:val="76085A6F"/>
    <w:rsid w:val="761A3604"/>
    <w:rsid w:val="76390E53"/>
    <w:rsid w:val="767577A0"/>
    <w:rsid w:val="768611D1"/>
    <w:rsid w:val="76A61737"/>
    <w:rsid w:val="76AC12BF"/>
    <w:rsid w:val="76BD780E"/>
    <w:rsid w:val="76BE11CF"/>
    <w:rsid w:val="76BFB7AB"/>
    <w:rsid w:val="76CEC8CE"/>
    <w:rsid w:val="76EF5CA5"/>
    <w:rsid w:val="76F463F0"/>
    <w:rsid w:val="76FAD0CD"/>
    <w:rsid w:val="7701463A"/>
    <w:rsid w:val="770D331C"/>
    <w:rsid w:val="77445FBB"/>
    <w:rsid w:val="774B2EC4"/>
    <w:rsid w:val="775B22A8"/>
    <w:rsid w:val="7761477F"/>
    <w:rsid w:val="776A7337"/>
    <w:rsid w:val="777F1553"/>
    <w:rsid w:val="77A7936F"/>
    <w:rsid w:val="77B41026"/>
    <w:rsid w:val="77B92EBE"/>
    <w:rsid w:val="77BAB242"/>
    <w:rsid w:val="77DB8DFD"/>
    <w:rsid w:val="77ED4CA7"/>
    <w:rsid w:val="77F7656E"/>
    <w:rsid w:val="78041F2B"/>
    <w:rsid w:val="782D5A55"/>
    <w:rsid w:val="78700E16"/>
    <w:rsid w:val="78787717"/>
    <w:rsid w:val="78AB6CF2"/>
    <w:rsid w:val="78C85065"/>
    <w:rsid w:val="78CB54A2"/>
    <w:rsid w:val="78F0359A"/>
    <w:rsid w:val="78F85823"/>
    <w:rsid w:val="78FF40FB"/>
    <w:rsid w:val="793122E3"/>
    <w:rsid w:val="794857A6"/>
    <w:rsid w:val="79585961"/>
    <w:rsid w:val="79614897"/>
    <w:rsid w:val="79617D09"/>
    <w:rsid w:val="79680FED"/>
    <w:rsid w:val="796F1C36"/>
    <w:rsid w:val="79BB2545"/>
    <w:rsid w:val="79C008CD"/>
    <w:rsid w:val="7A4F7B07"/>
    <w:rsid w:val="7A5101BC"/>
    <w:rsid w:val="7A640DEF"/>
    <w:rsid w:val="7A685998"/>
    <w:rsid w:val="7AC96B81"/>
    <w:rsid w:val="7AD727B2"/>
    <w:rsid w:val="7AD7A1FA"/>
    <w:rsid w:val="7ADE96DB"/>
    <w:rsid w:val="7AFD5349"/>
    <w:rsid w:val="7B063D79"/>
    <w:rsid w:val="7B0E3DF2"/>
    <w:rsid w:val="7B0F0EC6"/>
    <w:rsid w:val="7B286B9A"/>
    <w:rsid w:val="7B334FEE"/>
    <w:rsid w:val="7B3B3EC1"/>
    <w:rsid w:val="7B7114EB"/>
    <w:rsid w:val="7B766521"/>
    <w:rsid w:val="7B9A6B24"/>
    <w:rsid w:val="7B9A6FC5"/>
    <w:rsid w:val="7BA269EE"/>
    <w:rsid w:val="7BBB08F9"/>
    <w:rsid w:val="7BC47376"/>
    <w:rsid w:val="7BEB30F6"/>
    <w:rsid w:val="7BFFA655"/>
    <w:rsid w:val="7C00147E"/>
    <w:rsid w:val="7C0E1600"/>
    <w:rsid w:val="7C3717CE"/>
    <w:rsid w:val="7C691183"/>
    <w:rsid w:val="7C9537CE"/>
    <w:rsid w:val="7D0D2D49"/>
    <w:rsid w:val="7D203553"/>
    <w:rsid w:val="7D3638F1"/>
    <w:rsid w:val="7D4441A2"/>
    <w:rsid w:val="7D9948DF"/>
    <w:rsid w:val="7D9C56A0"/>
    <w:rsid w:val="7DBA0B08"/>
    <w:rsid w:val="7DC47C61"/>
    <w:rsid w:val="7DD76F8A"/>
    <w:rsid w:val="7DDB5147"/>
    <w:rsid w:val="7E00744C"/>
    <w:rsid w:val="7E1F5D8A"/>
    <w:rsid w:val="7E27194F"/>
    <w:rsid w:val="7E53DB8D"/>
    <w:rsid w:val="7E5D471B"/>
    <w:rsid w:val="7E93527C"/>
    <w:rsid w:val="7EA64368"/>
    <w:rsid w:val="7EA7CF43"/>
    <w:rsid w:val="7EC17537"/>
    <w:rsid w:val="7EED3DCE"/>
    <w:rsid w:val="7EFF54EF"/>
    <w:rsid w:val="7EFFBE69"/>
    <w:rsid w:val="7F0969F7"/>
    <w:rsid w:val="7F2C38B2"/>
    <w:rsid w:val="7F4033B0"/>
    <w:rsid w:val="7F4B17C2"/>
    <w:rsid w:val="7F63180E"/>
    <w:rsid w:val="7F65074C"/>
    <w:rsid w:val="7F6B1C88"/>
    <w:rsid w:val="7F6EDAEE"/>
    <w:rsid w:val="7F7513EC"/>
    <w:rsid w:val="7F8F6F36"/>
    <w:rsid w:val="7FA7A97F"/>
    <w:rsid w:val="7FAA5858"/>
    <w:rsid w:val="7FAF3BDF"/>
    <w:rsid w:val="7FAFC216"/>
    <w:rsid w:val="7FBB2037"/>
    <w:rsid w:val="7FBDD174"/>
    <w:rsid w:val="7FC603C0"/>
    <w:rsid w:val="7FEFA79C"/>
    <w:rsid w:val="7FF8015F"/>
    <w:rsid w:val="7FFD8A9D"/>
    <w:rsid w:val="8BFDCE5E"/>
    <w:rsid w:val="975F7B5B"/>
    <w:rsid w:val="9FBA7136"/>
    <w:rsid w:val="9FCF587D"/>
    <w:rsid w:val="9FD7F4D0"/>
    <w:rsid w:val="A7BE5D65"/>
    <w:rsid w:val="A9EFB07C"/>
    <w:rsid w:val="ABFB8D5C"/>
    <w:rsid w:val="ADFD5579"/>
    <w:rsid w:val="AE521328"/>
    <w:rsid w:val="AED671AF"/>
    <w:rsid w:val="AF85341E"/>
    <w:rsid w:val="AFDA5E24"/>
    <w:rsid w:val="B2AF928D"/>
    <w:rsid w:val="B6374D86"/>
    <w:rsid w:val="B75B6B07"/>
    <w:rsid w:val="B7A34307"/>
    <w:rsid w:val="B7DF6BCE"/>
    <w:rsid w:val="B814F49D"/>
    <w:rsid w:val="B97C0B21"/>
    <w:rsid w:val="BAFE2844"/>
    <w:rsid w:val="BB7F4F81"/>
    <w:rsid w:val="BCFF7F26"/>
    <w:rsid w:val="BE7F8010"/>
    <w:rsid w:val="BEDDF782"/>
    <w:rsid w:val="BEFD1EBF"/>
    <w:rsid w:val="BEFDB907"/>
    <w:rsid w:val="BF7F50E4"/>
    <w:rsid w:val="CEFFE737"/>
    <w:rsid w:val="CFB32512"/>
    <w:rsid w:val="CFDB96F1"/>
    <w:rsid w:val="D3DEF757"/>
    <w:rsid w:val="D4FC2746"/>
    <w:rsid w:val="D6B758C4"/>
    <w:rsid w:val="D7AE11A9"/>
    <w:rsid w:val="D7FB917C"/>
    <w:rsid w:val="D89BD63B"/>
    <w:rsid w:val="DBB62C97"/>
    <w:rsid w:val="DDEB0CA7"/>
    <w:rsid w:val="DFDB03BE"/>
    <w:rsid w:val="DFF10D5D"/>
    <w:rsid w:val="DFF33081"/>
    <w:rsid w:val="DFF45A85"/>
    <w:rsid w:val="DFF916DC"/>
    <w:rsid w:val="DFFE5912"/>
    <w:rsid w:val="E1F6E432"/>
    <w:rsid w:val="E5FF3585"/>
    <w:rsid w:val="E6E73CA6"/>
    <w:rsid w:val="E76AE2C3"/>
    <w:rsid w:val="E775C37B"/>
    <w:rsid w:val="E79BBD20"/>
    <w:rsid w:val="EBEFFE61"/>
    <w:rsid w:val="EC6DBE59"/>
    <w:rsid w:val="EDB70AA8"/>
    <w:rsid w:val="EDBC2E8F"/>
    <w:rsid w:val="EF6BB7E2"/>
    <w:rsid w:val="EFEDC775"/>
    <w:rsid w:val="EFF946E3"/>
    <w:rsid w:val="F1DF50E3"/>
    <w:rsid w:val="F373B128"/>
    <w:rsid w:val="F57E6084"/>
    <w:rsid w:val="F5CCC4D5"/>
    <w:rsid w:val="F5F5150A"/>
    <w:rsid w:val="F5F9438B"/>
    <w:rsid w:val="F79BD332"/>
    <w:rsid w:val="F7BBC0E3"/>
    <w:rsid w:val="F8FDF5EE"/>
    <w:rsid w:val="F95AB7B5"/>
    <w:rsid w:val="F9FBABE3"/>
    <w:rsid w:val="FA7115EA"/>
    <w:rsid w:val="FB6F8943"/>
    <w:rsid w:val="FBDF0A69"/>
    <w:rsid w:val="FBDFEA72"/>
    <w:rsid w:val="FBF43FF7"/>
    <w:rsid w:val="FBFB3417"/>
    <w:rsid w:val="FC9688DB"/>
    <w:rsid w:val="FDB7BC72"/>
    <w:rsid w:val="FDEFB6F8"/>
    <w:rsid w:val="FDFDFBD6"/>
    <w:rsid w:val="FDFEA3E0"/>
    <w:rsid w:val="FEDE21EF"/>
    <w:rsid w:val="FEF572BD"/>
    <w:rsid w:val="FF1F7650"/>
    <w:rsid w:val="FF7EA94C"/>
    <w:rsid w:val="FFDF9A7C"/>
    <w:rsid w:val="FFEE4ECE"/>
    <w:rsid w:val="FFEF25B5"/>
    <w:rsid w:val="FFEF48B7"/>
    <w:rsid w:val="FFEF9705"/>
    <w:rsid w:val="FFFB66C8"/>
    <w:rsid w:val="FFFF0C42"/>
    <w:rsid w:val="FFFF27D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5"/>
    <w:qFormat/>
    <w:uiPriority w:val="0"/>
    <w:pPr>
      <w:keepNext/>
      <w:keepLines/>
      <w:spacing w:before="340" w:beforeLines="0" w:after="330" w:afterLines="0" w:line="578" w:lineRule="auto"/>
      <w:outlineLvl w:val="0"/>
    </w:pPr>
    <w:rPr>
      <w:b/>
      <w:bCs/>
      <w:kern w:val="44"/>
      <w:sz w:val="44"/>
      <w:szCs w:val="44"/>
    </w:rPr>
  </w:style>
  <w:style w:type="paragraph" w:styleId="4">
    <w:name w:val="heading 2"/>
    <w:basedOn w:val="1"/>
    <w:next w:val="1"/>
    <w:link w:val="56"/>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5">
    <w:name w:val="heading 3"/>
    <w:basedOn w:val="1"/>
    <w:next w:val="1"/>
    <w:link w:val="58"/>
    <w:qFormat/>
    <w:uiPriority w:val="0"/>
    <w:pPr>
      <w:numPr>
        <w:ilvl w:val="5"/>
        <w:numId w:val="1"/>
      </w:numPr>
      <w:spacing w:before="260" w:after="260" w:line="416" w:lineRule="auto"/>
      <w:outlineLvl w:val="2"/>
    </w:pPr>
    <w:rPr>
      <w:b/>
      <w:bCs/>
      <w:sz w:val="32"/>
      <w:szCs w:val="32"/>
    </w:rPr>
  </w:style>
  <w:style w:type="paragraph" w:styleId="6">
    <w:name w:val="heading 4"/>
    <w:basedOn w:val="1"/>
    <w:next w:val="1"/>
    <w:link w:val="60"/>
    <w:qFormat/>
    <w:uiPriority w:val="0"/>
    <w:pPr>
      <w:keepNext/>
      <w:keepLines/>
      <w:spacing w:before="280" w:beforeLines="0" w:after="290" w:afterLines="0" w:line="376" w:lineRule="auto"/>
      <w:outlineLvl w:val="3"/>
    </w:pPr>
    <w:rPr>
      <w:rFonts w:ascii="Arial" w:hAnsi="Arial" w:eastAsia="黑体"/>
      <w:b/>
      <w:bCs/>
      <w:sz w:val="28"/>
      <w:szCs w:val="28"/>
    </w:rPr>
  </w:style>
  <w:style w:type="paragraph" w:styleId="7">
    <w:name w:val="heading 5"/>
    <w:basedOn w:val="1"/>
    <w:next w:val="1"/>
    <w:qFormat/>
    <w:uiPriority w:val="0"/>
    <w:pPr>
      <w:keepNext/>
      <w:keepLines/>
      <w:numPr>
        <w:ilvl w:val="4"/>
        <w:numId w:val="2"/>
      </w:numPr>
      <w:adjustRightInd w:val="0"/>
      <w:spacing w:before="280" w:after="290" w:line="376" w:lineRule="atLeast"/>
      <w:textAlignment w:val="baseline"/>
      <w:outlineLvl w:val="4"/>
    </w:pPr>
    <w:rPr>
      <w:b/>
      <w:kern w:val="0"/>
      <w:sz w:val="28"/>
      <w:szCs w:val="20"/>
    </w:rPr>
  </w:style>
  <w:style w:type="paragraph" w:styleId="8">
    <w:name w:val="heading 6"/>
    <w:basedOn w:val="1"/>
    <w:next w:val="1"/>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rPr>
  </w:style>
  <w:style w:type="paragraph" w:styleId="9">
    <w:name w:val="heading 7"/>
    <w:basedOn w:val="1"/>
    <w:next w:val="1"/>
    <w:qFormat/>
    <w:uiPriority w:val="0"/>
    <w:pPr>
      <w:keepNext/>
      <w:keepLines/>
      <w:widowControl/>
      <w:numPr>
        <w:ilvl w:val="6"/>
        <w:numId w:val="1"/>
      </w:numPr>
      <w:spacing w:before="240" w:after="64" w:line="320" w:lineRule="auto"/>
      <w:jc w:val="left"/>
      <w:outlineLvl w:val="6"/>
    </w:pPr>
    <w:rPr>
      <w:b/>
      <w:bCs/>
      <w:kern w:val="0"/>
      <w:sz w:val="24"/>
    </w:rPr>
  </w:style>
  <w:style w:type="paragraph" w:styleId="10">
    <w:name w:val="heading 8"/>
    <w:basedOn w:val="1"/>
    <w:next w:val="1"/>
    <w:qFormat/>
    <w:uiPriority w:val="0"/>
    <w:pPr>
      <w:keepNext/>
      <w:keepLines/>
      <w:widowControl/>
      <w:numPr>
        <w:ilvl w:val="7"/>
        <w:numId w:val="1"/>
      </w:numPr>
      <w:spacing w:before="240" w:after="64" w:line="320" w:lineRule="auto"/>
      <w:jc w:val="left"/>
      <w:outlineLvl w:val="7"/>
    </w:pPr>
    <w:rPr>
      <w:rFonts w:ascii="Arial" w:hAnsi="Arial" w:eastAsia="黑体"/>
      <w:kern w:val="0"/>
      <w:sz w:val="24"/>
    </w:rPr>
  </w:style>
  <w:style w:type="paragraph" w:styleId="11">
    <w:name w:val="heading 9"/>
    <w:basedOn w:val="1"/>
    <w:next w:val="1"/>
    <w:link w:val="61"/>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2">
    <w:name w:val="Default Paragraph Font"/>
    <w:link w:val="43"/>
    <w:qFormat/>
    <w:uiPriority w:val="0"/>
    <w:rPr>
      <w:rFonts w:ascii="宋体" w:hAnsi="宋体"/>
      <w:kern w:val="0"/>
      <w:szCs w:val="21"/>
    </w:rPr>
  </w:style>
  <w:style w:type="table" w:default="1" w:styleId="40">
    <w:name w:val="Normal Table"/>
    <w:unhideWhenUsed/>
    <w:qFormat/>
    <w:uiPriority w:val="99"/>
    <w:tblPr>
      <w:tblCellMar>
        <w:top w:w="0" w:type="dxa"/>
        <w:left w:w="108" w:type="dxa"/>
        <w:bottom w:w="0" w:type="dxa"/>
        <w:right w:w="108" w:type="dxa"/>
      </w:tblCellMar>
    </w:tblPr>
  </w:style>
  <w:style w:type="paragraph" w:styleId="2">
    <w:name w:val="Body Text"/>
    <w:basedOn w:val="1"/>
    <w:link w:val="54"/>
    <w:qFormat/>
    <w:uiPriority w:val="0"/>
    <w:pPr>
      <w:jc w:val="center"/>
    </w:pPr>
    <w:rPr>
      <w:sz w:val="52"/>
    </w:rPr>
  </w:style>
  <w:style w:type="paragraph" w:styleId="12">
    <w:name w:val="toc 7"/>
    <w:basedOn w:val="1"/>
    <w:next w:val="1"/>
    <w:qFormat/>
    <w:uiPriority w:val="39"/>
    <w:pPr>
      <w:ind w:left="1260"/>
      <w:jc w:val="left"/>
    </w:pPr>
    <w:rPr>
      <w:rFonts w:ascii="Calibri" w:hAnsi="Calibri" w:cs="Calibri"/>
      <w:sz w:val="18"/>
      <w:szCs w:val="18"/>
    </w:rPr>
  </w:style>
  <w:style w:type="paragraph" w:styleId="13">
    <w:name w:val="Normal Indent"/>
    <w:basedOn w:val="1"/>
    <w:link w:val="59"/>
    <w:qFormat/>
    <w:uiPriority w:val="0"/>
    <w:pPr>
      <w:widowControl/>
      <w:ind w:firstLine="420"/>
      <w:jc w:val="left"/>
    </w:pPr>
    <w:rPr>
      <w:kern w:val="0"/>
      <w:sz w:val="20"/>
      <w:szCs w:val="20"/>
    </w:rPr>
  </w:style>
  <w:style w:type="paragraph" w:styleId="14">
    <w:name w:val="caption"/>
    <w:basedOn w:val="1"/>
    <w:next w:val="1"/>
    <w:qFormat/>
    <w:uiPriority w:val="0"/>
    <w:rPr>
      <w:rFonts w:ascii="Arial" w:hAnsi="Arial" w:eastAsia="黑体"/>
      <w:sz w:val="20"/>
    </w:rPr>
  </w:style>
  <w:style w:type="paragraph" w:styleId="15">
    <w:name w:val="Document Map"/>
    <w:basedOn w:val="1"/>
    <w:link w:val="62"/>
    <w:qFormat/>
    <w:uiPriority w:val="0"/>
    <w:pPr>
      <w:shd w:val="clear" w:color="auto" w:fill="000080"/>
    </w:pPr>
  </w:style>
  <w:style w:type="paragraph" w:styleId="16">
    <w:name w:val="annotation text"/>
    <w:basedOn w:val="1"/>
    <w:link w:val="63"/>
    <w:qFormat/>
    <w:uiPriority w:val="99"/>
    <w:pPr>
      <w:adjustRightInd w:val="0"/>
      <w:spacing w:line="360" w:lineRule="atLeast"/>
      <w:jc w:val="left"/>
      <w:textAlignment w:val="baseline"/>
    </w:pPr>
    <w:rPr>
      <w:kern w:val="0"/>
      <w:sz w:val="24"/>
      <w:szCs w:val="20"/>
    </w:rPr>
  </w:style>
  <w:style w:type="paragraph" w:styleId="17">
    <w:name w:val="Body Text 3"/>
    <w:basedOn w:val="1"/>
    <w:link w:val="64"/>
    <w:qFormat/>
    <w:uiPriority w:val="0"/>
    <w:pPr>
      <w:spacing w:line="440" w:lineRule="exact"/>
    </w:pPr>
    <w:rPr>
      <w:sz w:val="24"/>
    </w:rPr>
  </w:style>
  <w:style w:type="paragraph" w:styleId="18">
    <w:name w:val="Body Text Indent"/>
    <w:basedOn w:val="1"/>
    <w:qFormat/>
    <w:uiPriority w:val="0"/>
    <w:pPr>
      <w:spacing w:line="400" w:lineRule="exact"/>
      <w:ind w:firstLine="560" w:firstLineChars="200"/>
    </w:pPr>
    <w:rPr>
      <w:sz w:val="28"/>
      <w:u w:val="single"/>
    </w:rPr>
  </w:style>
  <w:style w:type="paragraph" w:styleId="19">
    <w:name w:val="toc 5"/>
    <w:basedOn w:val="1"/>
    <w:next w:val="1"/>
    <w:qFormat/>
    <w:uiPriority w:val="39"/>
    <w:pPr>
      <w:ind w:left="840"/>
      <w:jc w:val="left"/>
    </w:pPr>
    <w:rPr>
      <w:rFonts w:ascii="Calibri" w:hAnsi="Calibri" w:cs="Calibri"/>
      <w:sz w:val="18"/>
      <w:szCs w:val="18"/>
    </w:rPr>
  </w:style>
  <w:style w:type="paragraph" w:styleId="20">
    <w:name w:val="toc 3"/>
    <w:basedOn w:val="1"/>
    <w:next w:val="1"/>
    <w:qFormat/>
    <w:uiPriority w:val="39"/>
    <w:pPr>
      <w:ind w:left="420"/>
      <w:jc w:val="left"/>
    </w:pPr>
    <w:rPr>
      <w:rFonts w:ascii="Calibri" w:hAnsi="Calibri" w:cs="Calibri"/>
      <w:i/>
      <w:iCs/>
      <w:sz w:val="20"/>
      <w:szCs w:val="20"/>
    </w:rPr>
  </w:style>
  <w:style w:type="paragraph" w:styleId="21">
    <w:name w:val="Plain Text"/>
    <w:basedOn w:val="1"/>
    <w:link w:val="65"/>
    <w:qFormat/>
    <w:uiPriority w:val="0"/>
    <w:rPr>
      <w:rFonts w:ascii="宋体" w:hAnsi="Courier New"/>
      <w:szCs w:val="20"/>
    </w:rPr>
  </w:style>
  <w:style w:type="paragraph" w:styleId="22">
    <w:name w:val="toc 8"/>
    <w:basedOn w:val="1"/>
    <w:next w:val="1"/>
    <w:qFormat/>
    <w:uiPriority w:val="39"/>
    <w:pPr>
      <w:ind w:left="1470"/>
      <w:jc w:val="left"/>
    </w:pPr>
    <w:rPr>
      <w:rFonts w:ascii="Calibri" w:hAnsi="Calibri" w:cs="Calibri"/>
      <w:sz w:val="18"/>
      <w:szCs w:val="18"/>
    </w:rPr>
  </w:style>
  <w:style w:type="paragraph" w:styleId="23">
    <w:name w:val="Date"/>
    <w:basedOn w:val="1"/>
    <w:next w:val="1"/>
    <w:qFormat/>
    <w:uiPriority w:val="0"/>
    <w:pPr>
      <w:ind w:left="100" w:leftChars="2500"/>
    </w:pPr>
  </w:style>
  <w:style w:type="paragraph" w:styleId="24">
    <w:name w:val="Body Text Indent 2"/>
    <w:basedOn w:val="1"/>
    <w:qFormat/>
    <w:uiPriority w:val="0"/>
    <w:pPr>
      <w:spacing w:line="400" w:lineRule="exact"/>
      <w:ind w:firstLine="560" w:firstLineChars="200"/>
    </w:pPr>
    <w:rPr>
      <w:sz w:val="28"/>
    </w:rPr>
  </w:style>
  <w:style w:type="paragraph" w:styleId="25">
    <w:name w:val="Balloon Text"/>
    <w:basedOn w:val="1"/>
    <w:link w:val="66"/>
    <w:qFormat/>
    <w:uiPriority w:val="0"/>
    <w:rPr>
      <w:sz w:val="18"/>
      <w:szCs w:val="18"/>
    </w:rPr>
  </w:style>
  <w:style w:type="paragraph" w:styleId="26">
    <w:name w:val="footer"/>
    <w:basedOn w:val="1"/>
    <w:link w:val="67"/>
    <w:qFormat/>
    <w:uiPriority w:val="99"/>
    <w:pPr>
      <w:tabs>
        <w:tab w:val="center" w:pos="4153"/>
        <w:tab w:val="right" w:pos="8306"/>
      </w:tabs>
      <w:snapToGrid w:val="0"/>
      <w:jc w:val="left"/>
    </w:pPr>
    <w:rPr>
      <w:sz w:val="18"/>
      <w:szCs w:val="18"/>
    </w:rPr>
  </w:style>
  <w:style w:type="paragraph" w:styleId="27">
    <w:name w:val="header"/>
    <w:basedOn w:val="1"/>
    <w:link w:val="68"/>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rFonts w:ascii="Calibri" w:hAnsi="Calibri" w:cs="Calibri"/>
      <w:b/>
      <w:bCs/>
      <w:caps/>
      <w:sz w:val="20"/>
      <w:szCs w:val="20"/>
    </w:rPr>
  </w:style>
  <w:style w:type="paragraph" w:styleId="29">
    <w:name w:val="toc 4"/>
    <w:basedOn w:val="1"/>
    <w:next w:val="1"/>
    <w:qFormat/>
    <w:uiPriority w:val="39"/>
    <w:pPr>
      <w:ind w:left="630"/>
      <w:jc w:val="left"/>
    </w:pPr>
    <w:rPr>
      <w:rFonts w:ascii="Calibri" w:hAnsi="Calibri" w:cs="Calibri"/>
      <w:sz w:val="18"/>
      <w:szCs w:val="18"/>
    </w:rPr>
  </w:style>
  <w:style w:type="paragraph" w:styleId="30">
    <w:name w:val="List"/>
    <w:basedOn w:val="1"/>
    <w:qFormat/>
    <w:uiPriority w:val="0"/>
    <w:pPr>
      <w:ind w:left="200" w:hanging="200" w:hangingChars="200"/>
    </w:pPr>
    <w:rPr>
      <w:szCs w:val="20"/>
    </w:rPr>
  </w:style>
  <w:style w:type="paragraph" w:styleId="31">
    <w:name w:val="toc 6"/>
    <w:basedOn w:val="1"/>
    <w:next w:val="1"/>
    <w:qFormat/>
    <w:uiPriority w:val="39"/>
    <w:pPr>
      <w:ind w:left="1050"/>
      <w:jc w:val="left"/>
    </w:pPr>
    <w:rPr>
      <w:rFonts w:ascii="Calibri" w:hAnsi="Calibri" w:cs="Calibri"/>
      <w:sz w:val="18"/>
      <w:szCs w:val="18"/>
    </w:rPr>
  </w:style>
  <w:style w:type="paragraph" w:styleId="32">
    <w:name w:val="Body Text Indent 3"/>
    <w:basedOn w:val="1"/>
    <w:qFormat/>
    <w:uiPriority w:val="0"/>
    <w:pPr>
      <w:spacing w:line="500" w:lineRule="exact"/>
      <w:ind w:firstLine="570"/>
    </w:pPr>
    <w:rPr>
      <w:rFonts w:eastAsia="黑体"/>
      <w:sz w:val="28"/>
    </w:rPr>
  </w:style>
  <w:style w:type="paragraph" w:styleId="33">
    <w:name w:val="toc 2"/>
    <w:basedOn w:val="1"/>
    <w:next w:val="1"/>
    <w:qFormat/>
    <w:uiPriority w:val="39"/>
    <w:pPr>
      <w:ind w:left="210"/>
      <w:jc w:val="left"/>
    </w:pPr>
    <w:rPr>
      <w:rFonts w:ascii="Calibri" w:hAnsi="Calibri" w:cs="Calibri"/>
      <w:smallCaps/>
      <w:sz w:val="20"/>
      <w:szCs w:val="20"/>
    </w:rPr>
  </w:style>
  <w:style w:type="paragraph" w:styleId="34">
    <w:name w:val="toc 9"/>
    <w:basedOn w:val="1"/>
    <w:next w:val="1"/>
    <w:qFormat/>
    <w:uiPriority w:val="39"/>
    <w:pPr>
      <w:ind w:left="1680"/>
      <w:jc w:val="left"/>
    </w:pPr>
    <w:rPr>
      <w:rFonts w:ascii="Calibri" w:hAnsi="Calibri" w:cs="Calibri"/>
      <w:sz w:val="18"/>
      <w:szCs w:val="18"/>
    </w:rPr>
  </w:style>
  <w:style w:type="paragraph" w:styleId="35">
    <w:name w:val="Body Text 2"/>
    <w:basedOn w:val="1"/>
    <w:qFormat/>
    <w:uiPriority w:val="0"/>
    <w:rPr>
      <w:sz w:val="28"/>
    </w:rPr>
  </w:style>
  <w:style w:type="paragraph" w:styleId="36">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37">
    <w:name w:val="Title"/>
    <w:basedOn w:val="1"/>
    <w:link w:val="69"/>
    <w:qFormat/>
    <w:uiPriority w:val="0"/>
    <w:pPr>
      <w:adjustRightInd w:val="0"/>
      <w:spacing w:before="240" w:beforeLines="0" w:after="60" w:afterLines="0" w:line="312" w:lineRule="atLeast"/>
      <w:jc w:val="center"/>
      <w:textAlignment w:val="baseline"/>
    </w:pPr>
    <w:rPr>
      <w:rFonts w:ascii="Arial" w:hAnsi="Arial"/>
      <w:b/>
      <w:kern w:val="28"/>
      <w:sz w:val="32"/>
      <w:szCs w:val="20"/>
    </w:rPr>
  </w:style>
  <w:style w:type="paragraph" w:styleId="38">
    <w:name w:val="annotation subject"/>
    <w:basedOn w:val="16"/>
    <w:next w:val="16"/>
    <w:link w:val="70"/>
    <w:qFormat/>
    <w:uiPriority w:val="0"/>
    <w:pPr>
      <w:adjustRightInd/>
      <w:spacing w:line="240" w:lineRule="auto"/>
      <w:textAlignment w:val="auto"/>
    </w:pPr>
    <w:rPr>
      <w:b/>
      <w:bCs/>
      <w:kern w:val="2"/>
      <w:sz w:val="21"/>
      <w:szCs w:val="24"/>
    </w:rPr>
  </w:style>
  <w:style w:type="paragraph" w:styleId="39">
    <w:name w:val="Body Text First Indent 2"/>
    <w:basedOn w:val="18"/>
    <w:qFormat/>
    <w:uiPriority w:val="0"/>
    <w:pPr>
      <w:ind w:firstLine="420" w:firstLineChars="200"/>
    </w:pPr>
    <w:rPr>
      <w:rFonts w:ascii="Arial" w:hAnsi="Arial"/>
      <w:snapToGrid w:val="0"/>
      <w:kern w:val="0"/>
      <w:sz w:val="20"/>
    </w:rPr>
  </w:style>
  <w:style w:type="table" w:styleId="41">
    <w:name w:val="Table Grid"/>
    <w:basedOn w:val="40"/>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3">
    <w:name w:val="Char2 Char Char Char1 Char Char Char Char Char Char Char Char1 Char1 Char Char1 Char"/>
    <w:basedOn w:val="1"/>
    <w:link w:val="42"/>
    <w:qFormat/>
    <w:uiPriority w:val="0"/>
    <w:pPr>
      <w:spacing w:line="240" w:lineRule="auto"/>
    </w:pPr>
    <w:rPr>
      <w:rFonts w:ascii="宋体" w:hAnsi="宋体"/>
      <w:kern w:val="0"/>
      <w:szCs w:val="21"/>
    </w:rPr>
  </w:style>
  <w:style w:type="character" w:styleId="44">
    <w:name w:val="Strong"/>
    <w:qFormat/>
    <w:uiPriority w:val="0"/>
    <w:rPr>
      <w:rFonts w:cs="Times New Roman"/>
      <w:b/>
    </w:rPr>
  </w:style>
  <w:style w:type="character" w:styleId="45">
    <w:name w:val="page number"/>
    <w:qFormat/>
    <w:uiPriority w:val="0"/>
  </w:style>
  <w:style w:type="character" w:styleId="46">
    <w:name w:val="FollowedHyperlink"/>
    <w:qFormat/>
    <w:uiPriority w:val="0"/>
    <w:rPr>
      <w:color w:val="333333"/>
      <w:u w:val="none"/>
    </w:rPr>
  </w:style>
  <w:style w:type="character" w:styleId="47">
    <w:name w:val="Emphasis"/>
    <w:qFormat/>
    <w:uiPriority w:val="20"/>
  </w:style>
  <w:style w:type="character" w:styleId="48">
    <w:name w:val="HTML Definition"/>
    <w:unhideWhenUsed/>
    <w:qFormat/>
    <w:uiPriority w:val="99"/>
    <w:rPr>
      <w:i/>
      <w:iCs/>
    </w:rPr>
  </w:style>
  <w:style w:type="character" w:styleId="49">
    <w:name w:val="Hyperlink"/>
    <w:qFormat/>
    <w:uiPriority w:val="99"/>
    <w:rPr>
      <w:color w:val="333333"/>
      <w:u w:val="none"/>
    </w:rPr>
  </w:style>
  <w:style w:type="character" w:styleId="50">
    <w:name w:val="HTML Code"/>
    <w:unhideWhenUsed/>
    <w:qFormat/>
    <w:uiPriority w:val="99"/>
    <w:rPr>
      <w:rFonts w:hint="default" w:ascii="Consolas" w:hAnsi="Consolas" w:eastAsia="Consolas" w:cs="Consolas"/>
      <w:color w:val="C7254E"/>
      <w:sz w:val="21"/>
      <w:szCs w:val="21"/>
      <w:shd w:val="clear" w:color="auto" w:fill="F9F2F4"/>
    </w:rPr>
  </w:style>
  <w:style w:type="character" w:styleId="51">
    <w:name w:val="annotation reference"/>
    <w:qFormat/>
    <w:uiPriority w:val="0"/>
    <w:rPr>
      <w:sz w:val="21"/>
      <w:szCs w:val="21"/>
    </w:rPr>
  </w:style>
  <w:style w:type="character" w:styleId="52">
    <w:name w:val="HTML Keyboard"/>
    <w:unhideWhenUsed/>
    <w:qFormat/>
    <w:uiPriority w:val="99"/>
    <w:rPr>
      <w:rFonts w:hint="default" w:ascii="Consolas" w:hAnsi="Consolas" w:eastAsia="Consolas" w:cs="Consolas"/>
      <w:color w:val="FFFFFF"/>
      <w:sz w:val="21"/>
      <w:szCs w:val="21"/>
      <w:shd w:val="clear" w:color="auto" w:fill="333333"/>
    </w:rPr>
  </w:style>
  <w:style w:type="character" w:styleId="53">
    <w:name w:val="HTML Sample"/>
    <w:unhideWhenUsed/>
    <w:qFormat/>
    <w:uiPriority w:val="99"/>
    <w:rPr>
      <w:rFonts w:ascii="Consolas" w:hAnsi="Consolas" w:eastAsia="Consolas" w:cs="Consolas"/>
      <w:sz w:val="21"/>
      <w:szCs w:val="21"/>
    </w:rPr>
  </w:style>
  <w:style w:type="character" w:customStyle="1" w:styleId="54">
    <w:name w:val="正文文本 字符"/>
    <w:link w:val="2"/>
    <w:qFormat/>
    <w:locked/>
    <w:uiPriority w:val="0"/>
    <w:rPr>
      <w:kern w:val="2"/>
      <w:sz w:val="52"/>
      <w:szCs w:val="24"/>
    </w:rPr>
  </w:style>
  <w:style w:type="character" w:customStyle="1" w:styleId="55">
    <w:name w:val="标题 1 字符"/>
    <w:link w:val="3"/>
    <w:qFormat/>
    <w:locked/>
    <w:uiPriority w:val="0"/>
    <w:rPr>
      <w:b/>
      <w:bCs/>
      <w:kern w:val="44"/>
      <w:sz w:val="44"/>
      <w:szCs w:val="44"/>
    </w:rPr>
  </w:style>
  <w:style w:type="character" w:customStyle="1" w:styleId="56">
    <w:name w:val="标题 2 字符"/>
    <w:link w:val="4"/>
    <w:qFormat/>
    <w:locked/>
    <w:uiPriority w:val="0"/>
    <w:rPr>
      <w:rFonts w:ascii="Arial" w:hAnsi="Arial"/>
      <w:b/>
      <w:bCs/>
      <w:color w:val="FF0000"/>
      <w:kern w:val="2"/>
      <w:sz w:val="28"/>
      <w:szCs w:val="32"/>
    </w:rPr>
  </w:style>
  <w:style w:type="paragraph" w:customStyle="1" w:styleId="57">
    <w:name w:val="标题 60"/>
    <w:basedOn w:val="8"/>
    <w:qFormat/>
    <w:uiPriority w:val="0"/>
    <w:pPr>
      <w:spacing w:line="319" w:lineRule="auto"/>
      <w:ind w:firstLine="200" w:firstLineChars="200"/>
    </w:pPr>
    <w:rPr>
      <w:b w:val="0"/>
      <w:bCs w:val="0"/>
    </w:rPr>
  </w:style>
  <w:style w:type="character" w:customStyle="1" w:styleId="58">
    <w:name w:val="标题 3 字符"/>
    <w:link w:val="5"/>
    <w:qFormat/>
    <w:uiPriority w:val="0"/>
    <w:rPr>
      <w:b/>
      <w:bCs/>
      <w:kern w:val="2"/>
      <w:sz w:val="32"/>
      <w:szCs w:val="32"/>
    </w:rPr>
  </w:style>
  <w:style w:type="character" w:customStyle="1" w:styleId="59">
    <w:name w:val="正文缩进 字符"/>
    <w:link w:val="13"/>
    <w:qFormat/>
    <w:uiPriority w:val="0"/>
  </w:style>
  <w:style w:type="character" w:customStyle="1" w:styleId="60">
    <w:name w:val="标题 4 字符"/>
    <w:link w:val="6"/>
    <w:qFormat/>
    <w:uiPriority w:val="0"/>
    <w:rPr>
      <w:rFonts w:ascii="Arial" w:hAnsi="Arial" w:eastAsia="黑体"/>
      <w:b/>
      <w:bCs/>
      <w:kern w:val="2"/>
      <w:sz w:val="28"/>
      <w:szCs w:val="28"/>
    </w:rPr>
  </w:style>
  <w:style w:type="character" w:customStyle="1" w:styleId="61">
    <w:name w:val="标题 9 字符"/>
    <w:link w:val="11"/>
    <w:qFormat/>
    <w:uiPriority w:val="0"/>
    <w:rPr>
      <w:rFonts w:ascii="Arial" w:hAnsi="Arial" w:eastAsia="黑体"/>
      <w:sz w:val="21"/>
      <w:szCs w:val="21"/>
    </w:rPr>
  </w:style>
  <w:style w:type="character" w:customStyle="1" w:styleId="62">
    <w:name w:val="文档结构图 字符"/>
    <w:link w:val="15"/>
    <w:qFormat/>
    <w:uiPriority w:val="0"/>
    <w:rPr>
      <w:kern w:val="2"/>
      <w:sz w:val="21"/>
      <w:szCs w:val="24"/>
      <w:shd w:val="clear" w:color="auto" w:fill="000080"/>
    </w:rPr>
  </w:style>
  <w:style w:type="character" w:customStyle="1" w:styleId="63">
    <w:name w:val="批注文字 字符1"/>
    <w:link w:val="16"/>
    <w:qFormat/>
    <w:locked/>
    <w:uiPriority w:val="99"/>
    <w:rPr>
      <w:sz w:val="24"/>
    </w:rPr>
  </w:style>
  <w:style w:type="character" w:customStyle="1" w:styleId="64">
    <w:name w:val="正文文本 3 字符"/>
    <w:link w:val="17"/>
    <w:qFormat/>
    <w:uiPriority w:val="0"/>
    <w:rPr>
      <w:kern w:val="2"/>
      <w:sz w:val="24"/>
      <w:szCs w:val="24"/>
    </w:rPr>
  </w:style>
  <w:style w:type="character" w:customStyle="1" w:styleId="65">
    <w:name w:val="纯文本 字符"/>
    <w:link w:val="21"/>
    <w:qFormat/>
    <w:uiPriority w:val="0"/>
    <w:rPr>
      <w:rFonts w:ascii="宋体" w:hAnsi="Courier New"/>
      <w:kern w:val="2"/>
      <w:sz w:val="21"/>
    </w:rPr>
  </w:style>
  <w:style w:type="character" w:customStyle="1" w:styleId="66">
    <w:name w:val="批注框文本 字符"/>
    <w:link w:val="25"/>
    <w:qFormat/>
    <w:locked/>
    <w:uiPriority w:val="0"/>
    <w:rPr>
      <w:kern w:val="2"/>
      <w:sz w:val="18"/>
      <w:szCs w:val="18"/>
    </w:rPr>
  </w:style>
  <w:style w:type="character" w:customStyle="1" w:styleId="67">
    <w:name w:val="页脚 字符"/>
    <w:link w:val="26"/>
    <w:qFormat/>
    <w:uiPriority w:val="99"/>
    <w:rPr>
      <w:kern w:val="2"/>
      <w:sz w:val="18"/>
      <w:szCs w:val="18"/>
    </w:rPr>
  </w:style>
  <w:style w:type="character" w:customStyle="1" w:styleId="68">
    <w:name w:val="页眉 字符"/>
    <w:link w:val="27"/>
    <w:qFormat/>
    <w:locked/>
    <w:uiPriority w:val="99"/>
    <w:rPr>
      <w:kern w:val="2"/>
      <w:sz w:val="18"/>
      <w:szCs w:val="18"/>
    </w:rPr>
  </w:style>
  <w:style w:type="character" w:customStyle="1" w:styleId="69">
    <w:name w:val="标题 字符"/>
    <w:link w:val="37"/>
    <w:qFormat/>
    <w:locked/>
    <w:uiPriority w:val="0"/>
    <w:rPr>
      <w:rFonts w:ascii="Arial" w:hAnsi="Arial"/>
      <w:b/>
      <w:kern w:val="28"/>
      <w:sz w:val="32"/>
    </w:rPr>
  </w:style>
  <w:style w:type="character" w:customStyle="1" w:styleId="70">
    <w:name w:val="批注主题 字符"/>
    <w:link w:val="38"/>
    <w:qFormat/>
    <w:locked/>
    <w:uiPriority w:val="0"/>
    <w:rPr>
      <w:b/>
      <w:bCs/>
      <w:kern w:val="2"/>
      <w:sz w:val="21"/>
      <w:szCs w:val="24"/>
    </w:rPr>
  </w:style>
  <w:style w:type="character" w:customStyle="1" w:styleId="71">
    <w:name w:val="bd-close2"/>
    <w:qFormat/>
    <w:uiPriority w:val="0"/>
    <w:rPr>
      <w:vanish/>
    </w:rPr>
  </w:style>
  <w:style w:type="character" w:customStyle="1" w:styleId="72">
    <w:name w:val="left"/>
    <w:qFormat/>
    <w:uiPriority w:val="0"/>
    <w:rPr>
      <w:color w:val="FF4700"/>
    </w:rPr>
  </w:style>
  <w:style w:type="character" w:customStyle="1" w:styleId="73">
    <w:name w:val="first-child"/>
    <w:qFormat/>
    <w:uiPriority w:val="0"/>
  </w:style>
  <w:style w:type="character" w:customStyle="1" w:styleId="74">
    <w:name w:val="bd-close"/>
    <w:qFormat/>
    <w:uiPriority w:val="0"/>
    <w:rPr>
      <w:vanish/>
    </w:rPr>
  </w:style>
  <w:style w:type="character" w:customStyle="1" w:styleId="75">
    <w:name w:val="left2"/>
    <w:qFormat/>
    <w:uiPriority w:val="0"/>
    <w:rPr>
      <w:color w:val="FF4700"/>
    </w:rPr>
  </w:style>
  <w:style w:type="character" w:customStyle="1" w:styleId="76">
    <w:name w:val="edui-clickable2"/>
    <w:qFormat/>
    <w:uiPriority w:val="0"/>
    <w:rPr>
      <w:color w:val="0000FF"/>
      <w:u w:val="single"/>
    </w:rPr>
  </w:style>
  <w:style w:type="character" w:customStyle="1" w:styleId="77">
    <w:name w:val="Footer Char"/>
    <w:qFormat/>
    <w:locked/>
    <w:uiPriority w:val="0"/>
    <w:rPr>
      <w:rFonts w:ascii="Calibri" w:hAnsi="Calibri" w:eastAsia="宋体"/>
      <w:sz w:val="18"/>
    </w:rPr>
  </w:style>
  <w:style w:type="character" w:customStyle="1" w:styleId="78">
    <w:name w:val="Header Char"/>
    <w:qFormat/>
    <w:locked/>
    <w:uiPriority w:val="0"/>
    <w:rPr>
      <w:rFonts w:ascii="Calibri" w:hAnsi="Calibri" w:eastAsia="宋体"/>
      <w:sz w:val="18"/>
    </w:rPr>
  </w:style>
  <w:style w:type="character" w:customStyle="1" w:styleId="79">
    <w:name w:val="标题2 Char"/>
    <w:link w:val="80"/>
    <w:qFormat/>
    <w:uiPriority w:val="0"/>
    <w:rPr>
      <w:rFonts w:ascii="黑体" w:hAnsi="宋体" w:cs="黑体"/>
      <w:b/>
      <w:bCs/>
      <w:sz w:val="28"/>
      <w:szCs w:val="28"/>
    </w:rPr>
  </w:style>
  <w:style w:type="paragraph" w:customStyle="1" w:styleId="80">
    <w:name w:val="标题2"/>
    <w:basedOn w:val="6"/>
    <w:next w:val="1"/>
    <w:link w:val="79"/>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81">
    <w:name w:val="中文正文、 Char Char"/>
    <w:link w:val="82"/>
    <w:qFormat/>
    <w:uiPriority w:val="0"/>
    <w:rPr>
      <w:kern w:val="2"/>
      <w:sz w:val="21"/>
      <w:szCs w:val="21"/>
    </w:rPr>
  </w:style>
  <w:style w:type="paragraph" w:customStyle="1" w:styleId="82">
    <w:name w:val="中文正文、"/>
    <w:basedOn w:val="1"/>
    <w:link w:val="81"/>
    <w:qFormat/>
    <w:uiPriority w:val="0"/>
    <w:pPr>
      <w:adjustRightInd/>
      <w:spacing w:line="360" w:lineRule="auto"/>
      <w:ind w:firstLine="420" w:firstLineChars="200"/>
    </w:pPr>
    <w:rPr>
      <w:szCs w:val="21"/>
    </w:rPr>
  </w:style>
  <w:style w:type="character" w:customStyle="1" w:styleId="83">
    <w:name w:val="批注主题 Char"/>
    <w:link w:val="84"/>
    <w:qFormat/>
    <w:locked/>
    <w:uiPriority w:val="0"/>
    <w:rPr>
      <w:b/>
      <w:sz w:val="24"/>
    </w:rPr>
  </w:style>
  <w:style w:type="paragraph" w:customStyle="1" w:styleId="84">
    <w:name w:val="批注主题1"/>
    <w:basedOn w:val="16"/>
    <w:next w:val="16"/>
    <w:link w:val="83"/>
    <w:qFormat/>
    <w:uiPriority w:val="0"/>
    <w:pPr>
      <w:adjustRightInd/>
      <w:spacing w:line="240" w:lineRule="auto"/>
      <w:textAlignment w:val="auto"/>
    </w:pPr>
    <w:rPr>
      <w:b/>
    </w:rPr>
  </w:style>
  <w:style w:type="character" w:customStyle="1" w:styleId="85">
    <w:name w:val="16"/>
    <w:qFormat/>
    <w:uiPriority w:val="0"/>
    <w:rPr>
      <w:rFonts w:hint="default" w:ascii="Times New Roman" w:hAnsi="Times New Roman" w:cs="Times New Roman"/>
    </w:rPr>
  </w:style>
  <w:style w:type="character" w:customStyle="1" w:styleId="86">
    <w:name w:val="封面标题 Char"/>
    <w:link w:val="87"/>
    <w:qFormat/>
    <w:uiPriority w:val="0"/>
    <w:rPr>
      <w:rFonts w:ascii="黑体" w:eastAsia="黑体"/>
      <w:sz w:val="52"/>
      <w:szCs w:val="52"/>
    </w:rPr>
  </w:style>
  <w:style w:type="paragraph" w:customStyle="1" w:styleId="87">
    <w:name w:val="封面标题"/>
    <w:basedOn w:val="1"/>
    <w:link w:val="86"/>
    <w:qFormat/>
    <w:uiPriority w:val="0"/>
    <w:pPr>
      <w:spacing w:line="276" w:lineRule="auto"/>
      <w:jc w:val="center"/>
    </w:pPr>
    <w:rPr>
      <w:rFonts w:ascii="黑体" w:eastAsia="黑体"/>
      <w:kern w:val="0"/>
      <w:sz w:val="52"/>
      <w:szCs w:val="52"/>
    </w:rPr>
  </w:style>
  <w:style w:type="character" w:customStyle="1" w:styleId="88">
    <w:name w:val="edui-unclickable"/>
    <w:qFormat/>
    <w:uiPriority w:val="0"/>
    <w:rPr>
      <w:color w:val="808080"/>
    </w:rPr>
  </w:style>
  <w:style w:type="character" w:customStyle="1" w:styleId="89">
    <w:name w:val="15"/>
    <w:qFormat/>
    <w:uiPriority w:val="0"/>
    <w:rPr>
      <w:rFonts w:hint="eastAsia" w:ascii="宋体" w:hAnsi="宋体" w:eastAsia="宋体"/>
      <w:sz w:val="24"/>
      <w:szCs w:val="24"/>
    </w:rPr>
  </w:style>
  <w:style w:type="character" w:customStyle="1" w:styleId="90">
    <w:name w:val="封面副标题 Char"/>
    <w:link w:val="91"/>
    <w:qFormat/>
    <w:uiPriority w:val="0"/>
    <w:rPr>
      <w:rFonts w:ascii="黑体" w:eastAsia="黑体"/>
      <w:sz w:val="28"/>
      <w:szCs w:val="28"/>
    </w:rPr>
  </w:style>
  <w:style w:type="paragraph" w:customStyle="1" w:styleId="91">
    <w:name w:val="封面副标题"/>
    <w:basedOn w:val="1"/>
    <w:link w:val="90"/>
    <w:qFormat/>
    <w:uiPriority w:val="0"/>
    <w:pPr>
      <w:spacing w:line="276" w:lineRule="auto"/>
      <w:ind w:firstLine="199" w:firstLineChars="71"/>
      <w:jc w:val="center"/>
    </w:pPr>
    <w:rPr>
      <w:rFonts w:ascii="黑体" w:eastAsia="黑体"/>
      <w:kern w:val="0"/>
      <w:sz w:val="28"/>
      <w:szCs w:val="28"/>
    </w:rPr>
  </w:style>
  <w:style w:type="character" w:customStyle="1" w:styleId="92">
    <w:name w:val="文档结构图 Char"/>
    <w:link w:val="93"/>
    <w:qFormat/>
    <w:locked/>
    <w:uiPriority w:val="0"/>
    <w:rPr>
      <w:rFonts w:ascii="宋体" w:hAnsi="Calibri"/>
      <w:sz w:val="18"/>
    </w:rPr>
  </w:style>
  <w:style w:type="paragraph" w:customStyle="1" w:styleId="93">
    <w:name w:val="文档结构图1"/>
    <w:basedOn w:val="1"/>
    <w:link w:val="92"/>
    <w:qFormat/>
    <w:uiPriority w:val="0"/>
    <w:rPr>
      <w:rFonts w:ascii="宋体" w:hAnsi="Calibri"/>
      <w:kern w:val="0"/>
      <w:sz w:val="18"/>
      <w:szCs w:val="20"/>
    </w:rPr>
  </w:style>
  <w:style w:type="character" w:customStyle="1" w:styleId="94">
    <w:name w:val="纯文本 Char"/>
    <w:qFormat/>
    <w:locked/>
    <w:uiPriority w:val="0"/>
    <w:rPr>
      <w:rFonts w:ascii="Calibri" w:hAnsi="Calibri" w:cs="Calibri"/>
    </w:rPr>
  </w:style>
  <w:style w:type="character" w:customStyle="1" w:styleId="95">
    <w:name w:val="font31"/>
    <w:qFormat/>
    <w:uiPriority w:val="0"/>
    <w:rPr>
      <w:rFonts w:hint="eastAsia" w:ascii="仿宋" w:hAnsi="仿宋" w:eastAsia="仿宋" w:cs="仿宋"/>
      <w:color w:val="000000"/>
      <w:kern w:val="0"/>
      <w:sz w:val="20"/>
      <w:szCs w:val="20"/>
      <w:u w:val="none"/>
    </w:rPr>
  </w:style>
  <w:style w:type="character" w:customStyle="1" w:styleId="96">
    <w:name w:val="button"/>
    <w:qFormat/>
    <w:uiPriority w:val="0"/>
  </w:style>
  <w:style w:type="character" w:customStyle="1" w:styleId="97">
    <w:name w:val="bd-open"/>
    <w:qFormat/>
    <w:uiPriority w:val="0"/>
  </w:style>
  <w:style w:type="character" w:customStyle="1" w:styleId="98">
    <w:name w:val="tmpztreemove_arrow"/>
    <w:qFormat/>
    <w:uiPriority w:val="0"/>
  </w:style>
  <w:style w:type="character" w:customStyle="1" w:styleId="99">
    <w:name w:val="Comment Text Char"/>
    <w:qFormat/>
    <w:locked/>
    <w:uiPriority w:val="0"/>
    <w:rPr>
      <w:rFonts w:ascii="Times New Roman" w:hAnsi="Times New Roman" w:eastAsia="宋体"/>
      <w:sz w:val="24"/>
    </w:rPr>
  </w:style>
  <w:style w:type="character" w:customStyle="1" w:styleId="100">
    <w:name w:val="A表格文字 Char"/>
    <w:link w:val="101"/>
    <w:qFormat/>
    <w:uiPriority w:val="0"/>
    <w:rPr>
      <w:rFonts w:ascii="宋体" w:hAnsi="宋体"/>
      <w:kern w:val="21"/>
      <w:sz w:val="21"/>
    </w:rPr>
  </w:style>
  <w:style w:type="paragraph" w:customStyle="1" w:styleId="101">
    <w:name w:val="A表格文字"/>
    <w:basedOn w:val="1"/>
    <w:link w:val="100"/>
    <w:qFormat/>
    <w:uiPriority w:val="0"/>
    <w:pPr>
      <w:adjustRightInd w:val="0"/>
      <w:snapToGrid w:val="0"/>
      <w:spacing w:before="40" w:after="40"/>
      <w:jc w:val="left"/>
    </w:pPr>
    <w:rPr>
      <w:rFonts w:ascii="宋体" w:hAnsi="宋体"/>
      <w:kern w:val="21"/>
      <w:szCs w:val="20"/>
    </w:rPr>
  </w:style>
  <w:style w:type="character" w:customStyle="1" w:styleId="102">
    <w:name w:val="layui-layer-tabnow"/>
    <w:qFormat/>
    <w:uiPriority w:val="0"/>
    <w:rPr>
      <w:bdr w:val="single" w:color="CCCCCC" w:sz="6" w:space="0"/>
      <w:shd w:val="clear" w:color="auto" w:fill="FFFFFF"/>
    </w:rPr>
  </w:style>
  <w:style w:type="character" w:customStyle="1" w:styleId="103">
    <w:name w:val="批注文字 Char2"/>
    <w:qFormat/>
    <w:uiPriority w:val="99"/>
    <w:rPr>
      <w:kern w:val="2"/>
      <w:sz w:val="21"/>
    </w:rPr>
  </w:style>
  <w:style w:type="character" w:customStyle="1" w:styleId="104">
    <w:name w:val="bd-open2"/>
    <w:qFormat/>
    <w:uiPriority w:val="0"/>
  </w:style>
  <w:style w:type="character" w:customStyle="1" w:styleId="105">
    <w:name w:val="font51"/>
    <w:qFormat/>
    <w:uiPriority w:val="0"/>
    <w:rPr>
      <w:rFonts w:hint="eastAsia" w:ascii="仿宋" w:hAnsi="仿宋" w:eastAsia="仿宋" w:cs="仿宋"/>
      <w:b/>
      <w:bCs/>
      <w:color w:val="000000"/>
      <w:sz w:val="21"/>
      <w:szCs w:val="21"/>
      <w:u w:val="none"/>
    </w:rPr>
  </w:style>
  <w:style w:type="character" w:customStyle="1" w:styleId="106">
    <w:name w:val="列表段落 字符"/>
    <w:link w:val="107"/>
    <w:qFormat/>
    <w:locked/>
    <w:uiPriority w:val="34"/>
    <w:rPr>
      <w:rFonts w:cs="Calibri"/>
      <w:kern w:val="2"/>
      <w:sz w:val="21"/>
      <w:szCs w:val="24"/>
    </w:rPr>
  </w:style>
  <w:style w:type="paragraph" w:styleId="107">
    <w:name w:val="List Paragraph"/>
    <w:basedOn w:val="1"/>
    <w:link w:val="106"/>
    <w:qFormat/>
    <w:uiPriority w:val="34"/>
    <w:pPr>
      <w:ind w:firstLine="420" w:firstLineChars="200"/>
    </w:pPr>
    <w:rPr>
      <w:rFonts w:ascii="Calibri" w:hAnsi="Calibri" w:cs="Calibri"/>
    </w:rPr>
  </w:style>
  <w:style w:type="character" w:customStyle="1" w:styleId="108">
    <w:name w:val="Title Char"/>
    <w:qFormat/>
    <w:locked/>
    <w:uiPriority w:val="0"/>
    <w:rPr>
      <w:rFonts w:ascii="Cambria" w:hAnsi="Cambria" w:eastAsia="宋体"/>
      <w:b/>
      <w:sz w:val="32"/>
    </w:rPr>
  </w:style>
  <w:style w:type="character" w:customStyle="1" w:styleId="109">
    <w:name w:val="批注文字 Char1"/>
    <w:qFormat/>
    <w:uiPriority w:val="0"/>
    <w:rPr>
      <w:kern w:val="2"/>
      <w:sz w:val="21"/>
    </w:rPr>
  </w:style>
  <w:style w:type="character" w:customStyle="1" w:styleId="110">
    <w:name w:val="彩色列表 - 强调文字颜色 1 Char"/>
    <w:link w:val="111"/>
    <w:qFormat/>
    <w:uiPriority w:val="34"/>
    <w:rPr>
      <w:rFonts w:ascii="Calibri" w:hAnsi="Calibri"/>
      <w:kern w:val="2"/>
      <w:sz w:val="21"/>
      <w:szCs w:val="22"/>
    </w:rPr>
  </w:style>
  <w:style w:type="paragraph" w:customStyle="1" w:styleId="111">
    <w:name w:val="彩色列表 - 强调文字颜色 11"/>
    <w:basedOn w:val="1"/>
    <w:link w:val="110"/>
    <w:qFormat/>
    <w:uiPriority w:val="34"/>
    <w:pPr>
      <w:ind w:firstLine="420" w:firstLineChars="200"/>
    </w:pPr>
    <w:rPr>
      <w:rFonts w:ascii="Calibri" w:hAnsi="Calibri"/>
      <w:szCs w:val="22"/>
    </w:rPr>
  </w:style>
  <w:style w:type="character" w:customStyle="1" w:styleId="112">
    <w:name w:val="列出段落 字符"/>
    <w:qFormat/>
    <w:uiPriority w:val="34"/>
    <w:rPr>
      <w:kern w:val="2"/>
      <w:sz w:val="21"/>
      <w:szCs w:val="24"/>
    </w:rPr>
  </w:style>
  <w:style w:type="character" w:customStyle="1" w:styleId="113">
    <w:name w:val="批注引用1"/>
    <w:qFormat/>
    <w:uiPriority w:val="0"/>
    <w:rPr>
      <w:sz w:val="21"/>
    </w:rPr>
  </w:style>
  <w:style w:type="character" w:customStyle="1" w:styleId="114">
    <w:name w:val="Balloon Text Char"/>
    <w:qFormat/>
    <w:locked/>
    <w:uiPriority w:val="0"/>
    <w:rPr>
      <w:rFonts w:ascii="Calibri" w:hAnsi="Calibri" w:eastAsia="宋体"/>
      <w:sz w:val="18"/>
    </w:rPr>
  </w:style>
  <w:style w:type="character" w:customStyle="1" w:styleId="115">
    <w:name w:val="A表格文字左对齐 Char"/>
    <w:link w:val="116"/>
    <w:qFormat/>
    <w:uiPriority w:val="0"/>
    <w:rPr>
      <w:rFonts w:ascii="宋体" w:hAnsi="宋体"/>
      <w:kern w:val="2"/>
      <w:sz w:val="21"/>
    </w:rPr>
  </w:style>
  <w:style w:type="paragraph" w:customStyle="1" w:styleId="116">
    <w:name w:val="A表格文字左对齐"/>
    <w:basedOn w:val="1"/>
    <w:link w:val="115"/>
    <w:qFormat/>
    <w:uiPriority w:val="0"/>
    <w:pPr>
      <w:adjustRightInd w:val="0"/>
      <w:spacing w:before="40" w:after="4"/>
      <w:jc w:val="left"/>
    </w:pPr>
    <w:rPr>
      <w:rFonts w:ascii="宋体" w:hAnsi="宋体"/>
      <w:szCs w:val="20"/>
    </w:rPr>
  </w:style>
  <w:style w:type="character" w:customStyle="1" w:styleId="117">
    <w:name w:val="font11"/>
    <w:qFormat/>
    <w:uiPriority w:val="0"/>
    <w:rPr>
      <w:rFonts w:hint="eastAsia" w:ascii="仿宋" w:hAnsi="仿宋" w:eastAsia="仿宋" w:cs="仿宋"/>
      <w:color w:val="FF0000"/>
      <w:sz w:val="20"/>
      <w:szCs w:val="20"/>
      <w:u w:val="none"/>
      <w:lang w:val="en-US" w:eastAsia="zh-CN" w:bidi="ar-SA"/>
    </w:rPr>
  </w:style>
  <w:style w:type="character" w:customStyle="1" w:styleId="118">
    <w:name w:val="right"/>
    <w:qFormat/>
    <w:uiPriority w:val="0"/>
  </w:style>
  <w:style w:type="character" w:customStyle="1" w:styleId="119">
    <w:name w:val="批注文字 字符"/>
    <w:qFormat/>
    <w:uiPriority w:val="99"/>
    <w:rPr>
      <w:kern w:val="2"/>
      <w:sz w:val="21"/>
    </w:rPr>
  </w:style>
  <w:style w:type="character" w:customStyle="1" w:styleId="120">
    <w:name w:val="font21"/>
    <w:qFormat/>
    <w:uiPriority w:val="0"/>
    <w:rPr>
      <w:rFonts w:hint="default" w:ascii="仿宋_GB2312" w:hAnsi="宋体" w:eastAsia="仿宋_GB2312" w:cs="仿宋_GB2312"/>
      <w:color w:val="FF0000"/>
      <w:kern w:val="0"/>
      <w:sz w:val="24"/>
      <w:szCs w:val="24"/>
      <w:u w:val="none"/>
    </w:rPr>
  </w:style>
  <w:style w:type="character" w:customStyle="1" w:styleId="121">
    <w:name w:val="日期 Char"/>
    <w:link w:val="122"/>
    <w:qFormat/>
    <w:locked/>
    <w:uiPriority w:val="0"/>
    <w:rPr>
      <w:rFonts w:ascii="Calibri" w:hAnsi="Calibri"/>
    </w:rPr>
  </w:style>
  <w:style w:type="paragraph" w:customStyle="1" w:styleId="122">
    <w:name w:val="日期1"/>
    <w:basedOn w:val="1"/>
    <w:next w:val="1"/>
    <w:link w:val="121"/>
    <w:qFormat/>
    <w:uiPriority w:val="0"/>
    <w:pPr>
      <w:ind w:left="100" w:leftChars="2500"/>
    </w:pPr>
    <w:rPr>
      <w:rFonts w:ascii="Calibri" w:hAnsi="Calibri"/>
      <w:kern w:val="0"/>
      <w:sz w:val="20"/>
      <w:szCs w:val="20"/>
    </w:rPr>
  </w:style>
  <w:style w:type="character" w:customStyle="1" w:styleId="123">
    <w:name w:val="封面合同编号 Char"/>
    <w:link w:val="124"/>
    <w:qFormat/>
    <w:uiPriority w:val="0"/>
    <w:rPr>
      <w:rFonts w:ascii="Calibri" w:hAnsi="Calibri"/>
      <w:kern w:val="2"/>
      <w:sz w:val="21"/>
      <w:szCs w:val="22"/>
    </w:rPr>
  </w:style>
  <w:style w:type="paragraph" w:customStyle="1" w:styleId="124">
    <w:name w:val="封面合同编号"/>
    <w:basedOn w:val="1"/>
    <w:link w:val="123"/>
    <w:qFormat/>
    <w:uiPriority w:val="0"/>
    <w:pPr>
      <w:spacing w:line="276" w:lineRule="auto"/>
      <w:ind w:right="1701"/>
      <w:jc w:val="right"/>
    </w:pPr>
    <w:rPr>
      <w:rFonts w:ascii="Calibri" w:hAnsi="Calibri"/>
      <w:szCs w:val="22"/>
    </w:rPr>
  </w:style>
  <w:style w:type="paragraph" w:customStyle="1" w:styleId="125">
    <w:name w:val="_Style 124"/>
    <w:unhideWhenUsed/>
    <w:qFormat/>
    <w:uiPriority w:val="99"/>
    <w:rPr>
      <w:rFonts w:ascii="Times New Roman" w:hAnsi="Times New Roman" w:eastAsia="宋体" w:cs="Times New Roman"/>
      <w:kern w:val="2"/>
      <w:sz w:val="21"/>
      <w:szCs w:val="24"/>
      <w:lang w:val="en-US" w:eastAsia="zh-CN" w:bidi="ar-SA"/>
    </w:rPr>
  </w:style>
  <w:style w:type="paragraph" w:customStyle="1" w:styleId="126">
    <w:name w:val="1正文"/>
    <w:basedOn w:val="1"/>
    <w:qFormat/>
    <w:uiPriority w:val="0"/>
    <w:pPr>
      <w:spacing w:line="560" w:lineRule="exact"/>
      <w:ind w:firstLine="200" w:firstLineChars="200"/>
    </w:pPr>
    <w:rPr>
      <w:rFonts w:eastAsia="Cambria Math"/>
      <w:sz w:val="32"/>
    </w:rPr>
  </w:style>
  <w:style w:type="paragraph" w:customStyle="1" w:styleId="12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8">
    <w:name w:val="无间隔1"/>
    <w:qFormat/>
    <w:uiPriority w:val="1"/>
    <w:rPr>
      <w:rFonts w:ascii="Times New Roman" w:hAnsi="Times New Roman" w:eastAsia="宋体" w:cs="Times New Roman"/>
      <w:sz w:val="22"/>
      <w:lang w:val="en-US" w:eastAsia="zh-CN" w:bidi="ar-SA"/>
    </w:rPr>
  </w:style>
  <w:style w:type="paragraph" w:customStyle="1" w:styleId="129">
    <w:name w:val="表格正文"/>
    <w:basedOn w:val="1"/>
    <w:qFormat/>
    <w:uiPriority w:val="0"/>
    <w:pPr>
      <w:widowControl/>
      <w:snapToGrid w:val="0"/>
      <w:spacing w:line="300" w:lineRule="auto"/>
      <w:jc w:val="left"/>
    </w:pPr>
    <w:rPr>
      <w:rFonts w:ascii="Calibri" w:hAnsi="Calibri"/>
      <w:sz w:val="24"/>
    </w:rPr>
  </w:style>
  <w:style w:type="paragraph" w:customStyle="1" w:styleId="130">
    <w:name w:val="_Style 129"/>
    <w:basedOn w:val="1"/>
    <w:next w:val="1"/>
    <w:qFormat/>
    <w:uiPriority w:val="0"/>
    <w:pPr>
      <w:pBdr>
        <w:top w:val="single" w:color="auto" w:sz="6" w:space="1"/>
      </w:pBdr>
      <w:jc w:val="center"/>
    </w:pPr>
    <w:rPr>
      <w:rFonts w:ascii="Arial" w:eastAsia="宋体"/>
      <w:vanish/>
      <w:sz w:val="16"/>
    </w:rPr>
  </w:style>
  <w:style w:type="paragraph" w:customStyle="1" w:styleId="131">
    <w:name w:val="text-only"/>
    <w:basedOn w:val="1"/>
    <w:qFormat/>
    <w:uiPriority w:val="0"/>
    <w:pPr>
      <w:pBdr>
        <w:top w:val="none" w:color="auto" w:sz="0" w:space="0"/>
        <w:left w:val="none" w:color="auto" w:sz="0" w:space="0"/>
        <w:bottom w:val="none" w:color="auto" w:sz="0" w:space="0"/>
        <w:right w:val="none" w:color="auto" w:sz="0" w:space="0"/>
      </w:pBdr>
      <w:spacing w:after="300" w:afterAutospacing="0" w:line="420" w:lineRule="atLeast"/>
      <w:jc w:val="left"/>
    </w:pPr>
    <w:rPr>
      <w:kern w:val="0"/>
      <w:lang w:val="en-US" w:eastAsia="zh-CN" w:bidi="ar"/>
    </w:rPr>
  </w:style>
  <w:style w:type="paragraph" w:customStyle="1" w:styleId="132">
    <w:name w:val="Level 2"/>
    <w:basedOn w:val="1"/>
    <w:qFormat/>
    <w:uiPriority w:val="0"/>
    <w:rPr>
      <w:rFonts w:ascii="Calibri" w:hAnsi="Calibri"/>
      <w:szCs w:val="22"/>
    </w:rPr>
  </w:style>
  <w:style w:type="paragraph" w:customStyle="1" w:styleId="133">
    <w:name w:val="列出段落2"/>
    <w:basedOn w:val="1"/>
    <w:qFormat/>
    <w:uiPriority w:val="0"/>
    <w:pPr>
      <w:ind w:firstLine="420" w:firstLineChars="200"/>
    </w:pPr>
    <w:rPr>
      <w:rFonts w:ascii="Calibri" w:hAnsi="Calibri"/>
      <w:szCs w:val="22"/>
    </w:rPr>
  </w:style>
  <w:style w:type="paragraph" w:customStyle="1" w:styleId="134">
    <w:name w:val="样式 标题 1卷标题H1章标题 1 1TITRE1L1 Heading 1h11st levelh111st...3"/>
    <w:basedOn w:val="3"/>
    <w:qFormat/>
    <w:uiPriority w:val="0"/>
    <w:pPr>
      <w:spacing w:before="120" w:after="120" w:line="360" w:lineRule="auto"/>
      <w:jc w:val="center"/>
    </w:pPr>
    <w:rPr>
      <w:rFonts w:ascii="宋体" w:hAnsi="宋体"/>
      <w:sz w:val="36"/>
      <w:szCs w:val="20"/>
    </w:rPr>
  </w:style>
  <w:style w:type="paragraph" w:customStyle="1" w:styleId="135">
    <w:name w:val="样式 样式 首行缩进:  2 字符1 + 首行缩进:  2 字符"/>
    <w:basedOn w:val="136"/>
    <w:qFormat/>
    <w:uiPriority w:val="0"/>
    <w:pPr>
      <w:ind w:firstLine="480"/>
    </w:pPr>
  </w:style>
  <w:style w:type="paragraph" w:customStyle="1" w:styleId="136">
    <w:name w:val="样式 首行缩进:  2 字符1"/>
    <w:basedOn w:val="1"/>
    <w:qFormat/>
    <w:uiPriority w:val="0"/>
    <w:pPr>
      <w:spacing w:after="0" w:line="360" w:lineRule="auto"/>
      <w:ind w:firstLine="200" w:firstLineChars="200"/>
      <w:jc w:val="both"/>
    </w:pPr>
    <w:rPr>
      <w:rFonts w:eastAsia="宋体" w:cs="Times New Roman"/>
      <w:color w:val="auto"/>
      <w:kern w:val="0"/>
      <w:sz w:val="24"/>
      <w:szCs w:val="20"/>
    </w:rPr>
  </w:style>
  <w:style w:type="paragraph" w:customStyle="1" w:styleId="137">
    <w:name w:val="正文文本 32"/>
    <w:basedOn w:val="1"/>
    <w:qFormat/>
    <w:uiPriority w:val="0"/>
    <w:pPr>
      <w:spacing w:line="312" w:lineRule="auto"/>
    </w:pPr>
    <w:rPr>
      <w:rFonts w:ascii="宋体" w:hAnsi="Times New Roman"/>
      <w:sz w:val="24"/>
      <w:szCs w:val="20"/>
    </w:rPr>
  </w:style>
  <w:style w:type="paragraph" w:customStyle="1" w:styleId="138">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39">
    <w:name w:val="Body Text 3"/>
    <w:basedOn w:val="1"/>
    <w:qFormat/>
    <w:uiPriority w:val="0"/>
    <w:rPr>
      <w:rFonts w:ascii="宋体"/>
      <w:sz w:val="24"/>
    </w:rPr>
  </w:style>
  <w:style w:type="paragraph" w:customStyle="1" w:styleId="140">
    <w:name w:val="Level 4"/>
    <w:basedOn w:val="1"/>
    <w:qFormat/>
    <w:uiPriority w:val="0"/>
    <w:pPr>
      <w:tabs>
        <w:tab w:val="left" w:pos="2440"/>
      </w:tabs>
      <w:ind w:left="2041" w:hanging="765"/>
    </w:pPr>
    <w:rPr>
      <w:rFonts w:ascii="Calibri" w:hAnsi="Calibri"/>
      <w:szCs w:val="22"/>
    </w:rPr>
  </w:style>
  <w:style w:type="paragraph" w:customStyle="1" w:styleId="141">
    <w:name w:val="1"/>
    <w:basedOn w:val="1"/>
    <w:next w:val="24"/>
    <w:qFormat/>
    <w:uiPriority w:val="0"/>
    <w:pPr>
      <w:tabs>
        <w:tab w:val="left" w:pos="3060"/>
      </w:tabs>
      <w:spacing w:line="140" w:lineRule="atLeast"/>
      <w:ind w:firstLine="560" w:firstLineChars="200"/>
    </w:pPr>
    <w:rPr>
      <w:sz w:val="28"/>
    </w:rPr>
  </w:style>
  <w:style w:type="paragraph" w:customStyle="1" w:styleId="142">
    <w:name w:val="样式 左侧:  0.74 厘米1"/>
    <w:basedOn w:val="1"/>
    <w:qFormat/>
    <w:uiPriority w:val="0"/>
    <w:pPr>
      <w:widowControl w:val="0"/>
      <w:spacing w:after="0" w:afterLines="0" w:line="240" w:lineRule="auto"/>
      <w:ind w:left="620" w:hanging="200" w:hangingChars="200"/>
      <w:jc w:val="both"/>
    </w:pPr>
    <w:rPr>
      <w:rFonts w:ascii="Times New Roman" w:hAnsi="Times New Roman" w:eastAsia="宋体" w:cs="Times New Roman"/>
      <w:color w:val="auto"/>
      <w:sz w:val="21"/>
      <w:szCs w:val="20"/>
    </w:rPr>
  </w:style>
  <w:style w:type="paragraph" w:customStyle="1" w:styleId="143">
    <w:name w:val="Char1"/>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144">
    <w:name w:val="样式 四号 首行缩进:  1厘米 行距: 1.5 倍行距"/>
    <w:basedOn w:val="1"/>
    <w:qFormat/>
    <w:uiPriority w:val="0"/>
    <w:pPr>
      <w:spacing w:line="360" w:lineRule="auto"/>
      <w:ind w:firstLine="570"/>
    </w:pPr>
    <w:rPr>
      <w:sz w:val="28"/>
      <w:szCs w:val="20"/>
    </w:rPr>
  </w:style>
  <w:style w:type="paragraph" w:customStyle="1" w:styleId="145">
    <w:name w:val="样式 标题 1 + (西文) Times New Roman (中文) 仿宋 小四 黑色 居中 左侧:  0 厘米 ..."/>
    <w:basedOn w:val="3"/>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6">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7">
    <w:name w:val="样式1"/>
    <w:basedOn w:val="1"/>
    <w:qFormat/>
    <w:uiPriority w:val="0"/>
    <w:pPr>
      <w:numPr>
        <w:ilvl w:val="0"/>
        <w:numId w:val="3"/>
      </w:numPr>
      <w:spacing w:line="360" w:lineRule="auto"/>
      <w:ind w:left="1253" w:hanging="680"/>
    </w:pPr>
    <w:rPr>
      <w:sz w:val="28"/>
      <w:szCs w:val="28"/>
    </w:rPr>
  </w:style>
  <w:style w:type="paragraph" w:customStyle="1" w:styleId="148">
    <w:name w:val="Level 1"/>
    <w:basedOn w:val="1"/>
    <w:qFormat/>
    <w:uiPriority w:val="0"/>
    <w:rPr>
      <w:rFonts w:ascii="Calibri" w:hAnsi="Calibri"/>
      <w:szCs w:val="22"/>
    </w:rPr>
  </w:style>
  <w:style w:type="paragraph" w:customStyle="1" w:styleId="149">
    <w:name w:val="p16"/>
    <w:basedOn w:val="1"/>
    <w:qFormat/>
    <w:uiPriority w:val="0"/>
    <w:pPr>
      <w:widowControl/>
    </w:pPr>
    <w:rPr>
      <w:rFonts w:ascii="宋体" w:hAnsi="宋体"/>
      <w:kern w:val="0"/>
      <w:sz w:val="24"/>
      <w:szCs w:val="20"/>
    </w:rPr>
  </w:style>
  <w:style w:type="paragraph" w:customStyle="1" w:styleId="150">
    <w:name w:val="List Paragraph1"/>
    <w:basedOn w:val="1"/>
    <w:qFormat/>
    <w:uiPriority w:val="34"/>
    <w:pPr>
      <w:ind w:firstLine="420" w:firstLineChars="200"/>
    </w:pPr>
  </w:style>
  <w:style w:type="paragraph" w:customStyle="1" w:styleId="151">
    <w:name w:val="正文 A"/>
    <w:qFormat/>
    <w:uiPriority w:val="0"/>
    <w:pPr>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152">
    <w:name w:val="_Style 1"/>
    <w:basedOn w:val="1"/>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53">
    <w:name w:val="标题4"/>
    <w:basedOn w:val="1"/>
    <w:qFormat/>
    <w:uiPriority w:val="0"/>
    <w:pPr>
      <w:spacing w:before="156" w:beforeLines="50" w:after="156" w:afterLines="50"/>
      <w:jc w:val="left"/>
    </w:pPr>
    <w:rPr>
      <w:rFonts w:eastAsia="黑体"/>
      <w:b/>
      <w:kern w:val="0"/>
      <w:sz w:val="30"/>
    </w:rPr>
  </w:style>
  <w:style w:type="paragraph" w:customStyle="1" w:styleId="154">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5">
    <w:name w:val="列出段落1"/>
    <w:basedOn w:val="1"/>
    <w:qFormat/>
    <w:uiPriority w:val="34"/>
    <w:pPr>
      <w:ind w:firstLine="420" w:firstLineChars="200"/>
    </w:pPr>
    <w:rPr>
      <w:rFonts w:ascii="Calibri" w:hAnsi="Calibri" w:cs="Calibri"/>
      <w:szCs w:val="21"/>
    </w:rPr>
  </w:style>
  <w:style w:type="paragraph" w:customStyle="1" w:styleId="156">
    <w:name w:val="p0"/>
    <w:basedOn w:val="1"/>
    <w:qFormat/>
    <w:uiPriority w:val="0"/>
    <w:pPr>
      <w:widowControl/>
    </w:pPr>
    <w:rPr>
      <w:kern w:val="0"/>
      <w:szCs w:val="21"/>
    </w:rPr>
  </w:style>
  <w:style w:type="paragraph" w:customStyle="1" w:styleId="157">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8">
    <w:name w:val="Char Char Char Char Char Char Char Char Char Char Char Char Char Char Char"/>
    <w:basedOn w:val="1"/>
    <w:qFormat/>
    <w:uiPriority w:val="0"/>
    <w:pPr>
      <w:widowControl/>
      <w:spacing w:after="160" w:afterLines="0" w:line="240" w:lineRule="exact"/>
      <w:jc w:val="left"/>
    </w:pPr>
    <w:rPr>
      <w:szCs w:val="20"/>
    </w:rPr>
  </w:style>
  <w:style w:type="paragraph" w:customStyle="1" w:styleId="159">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0">
    <w:name w:val="_Style 12"/>
    <w:basedOn w:val="1"/>
    <w:next w:val="18"/>
    <w:qFormat/>
    <w:uiPriority w:val="0"/>
    <w:pPr>
      <w:spacing w:line="360" w:lineRule="auto"/>
      <w:ind w:firstLine="540"/>
    </w:pPr>
    <w:rPr>
      <w:sz w:val="28"/>
      <w:szCs w:val="20"/>
    </w:rPr>
  </w:style>
  <w:style w:type="paragraph" w:customStyle="1" w:styleId="161">
    <w:name w:val="_Style 160"/>
    <w:basedOn w:val="1"/>
    <w:next w:val="107"/>
    <w:qFormat/>
    <w:uiPriority w:val="0"/>
    <w:pPr>
      <w:pBdr>
        <w:bottom w:val="single" w:color="auto" w:sz="6" w:space="1"/>
      </w:pBdr>
      <w:jc w:val="center"/>
    </w:pPr>
    <w:rPr>
      <w:rFonts w:ascii="Arial" w:eastAsia="宋体"/>
      <w:vanish/>
      <w:sz w:val="16"/>
    </w:rPr>
  </w:style>
  <w:style w:type="paragraph" w:customStyle="1" w:styleId="162">
    <w:name w:val="Level 5"/>
    <w:basedOn w:val="1"/>
    <w:qFormat/>
    <w:uiPriority w:val="0"/>
    <w:pPr>
      <w:tabs>
        <w:tab w:val="left" w:pos="2552"/>
      </w:tabs>
      <w:ind w:left="2552" w:hanging="567"/>
    </w:pPr>
    <w:rPr>
      <w:rFonts w:ascii="Calibri" w:hAnsi="Calibri"/>
      <w:szCs w:val="22"/>
    </w:rPr>
  </w:style>
  <w:style w:type="paragraph" w:customStyle="1" w:styleId="163">
    <w:name w:val="样式 标题 2 +"/>
    <w:basedOn w:val="4"/>
    <w:qFormat/>
    <w:uiPriority w:val="0"/>
    <w:pPr>
      <w:numPr>
        <w:ilvl w:val="1"/>
        <w:numId w:val="0"/>
      </w:numPr>
      <w:tabs>
        <w:tab w:val="left" w:pos="652"/>
      </w:tabs>
      <w:spacing w:before="260" w:after="260" w:line="416" w:lineRule="auto"/>
      <w:ind w:left="567" w:hanging="567"/>
      <w:jc w:val="both"/>
    </w:pPr>
    <w:rPr>
      <w:rFonts w:eastAsia="黑体"/>
      <w:color w:val="auto"/>
      <w:kern w:val="0"/>
      <w:sz w:val="24"/>
    </w:rPr>
  </w:style>
  <w:style w:type="paragraph" w:customStyle="1" w:styleId="164">
    <w:name w:val="_Style 246"/>
    <w:basedOn w:val="1"/>
    <w:next w:val="150"/>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65">
    <w:name w:val="列出段落11"/>
    <w:basedOn w:val="1"/>
    <w:qFormat/>
    <w:uiPriority w:val="0"/>
    <w:pPr>
      <w:ind w:firstLine="420" w:firstLineChars="200"/>
    </w:pPr>
    <w:rPr>
      <w:rFonts w:ascii="Calibri" w:hAnsi="Calibri"/>
      <w:szCs w:val="22"/>
    </w:rPr>
  </w:style>
  <w:style w:type="paragraph" w:customStyle="1" w:styleId="166">
    <w:name w:val="Char Char Char"/>
    <w:basedOn w:val="1"/>
    <w:qFormat/>
    <w:uiPriority w:val="0"/>
  </w:style>
  <w:style w:type="paragraph" w:customStyle="1" w:styleId="167">
    <w:name w:val="表格首行"/>
    <w:basedOn w:val="1"/>
    <w:qFormat/>
    <w:uiPriority w:val="0"/>
    <w:pPr>
      <w:widowControl/>
      <w:jc w:val="center"/>
    </w:pPr>
    <w:rPr>
      <w:rFonts w:hint="eastAsia" w:ascii="宋体" w:hAnsi="宋体"/>
      <w:sz w:val="24"/>
    </w:rPr>
  </w:style>
  <w:style w:type="paragraph" w:customStyle="1" w:styleId="168">
    <w:name w:val="Level 3"/>
    <w:basedOn w:val="1"/>
    <w:qFormat/>
    <w:uiPriority w:val="0"/>
    <w:pPr>
      <w:tabs>
        <w:tab w:val="left" w:pos="2808"/>
      </w:tabs>
      <w:ind w:left="2808" w:hanging="681"/>
    </w:pPr>
    <w:rPr>
      <w:rFonts w:ascii="Calibri" w:hAnsi="Calibri"/>
      <w:szCs w:val="22"/>
    </w:rPr>
  </w:style>
  <w:style w:type="paragraph" w:customStyle="1" w:styleId="169">
    <w:name w:val="_Style 168"/>
    <w:basedOn w:val="3"/>
    <w:next w:val="1"/>
    <w:qFormat/>
    <w:uiPriority w:val="39"/>
    <w:pPr>
      <w:widowControl/>
      <w:spacing w:before="480" w:after="0" w:line="276" w:lineRule="auto"/>
      <w:jc w:val="left"/>
      <w:outlineLvl w:val="9"/>
    </w:pPr>
    <w:rPr>
      <w:rFonts w:ascii="Cambria" w:hAnsi="Cambria" w:eastAsia="宋体" w:cs="Times New Roman"/>
      <w:color w:val="365F91"/>
      <w:kern w:val="0"/>
      <w:sz w:val="28"/>
      <w:szCs w:val="28"/>
      <w:lang w:val="en-US" w:eastAsia="zh-CN"/>
    </w:rPr>
  </w:style>
  <w:style w:type="paragraph" w:customStyle="1" w:styleId="170">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1">
    <w:name w:val="Char Char Char Char"/>
    <w:basedOn w:val="1"/>
    <w:qFormat/>
    <w:uiPriority w:val="0"/>
    <w:pPr>
      <w:tabs>
        <w:tab w:val="left" w:pos="360"/>
      </w:tabs>
    </w:pPr>
    <w:rPr>
      <w:szCs w:val="20"/>
    </w:rPr>
  </w:style>
  <w:style w:type="paragraph" w:customStyle="1" w:styleId="172">
    <w:name w:val="Heading 2 + 宋体"/>
    <w:basedOn w:val="3"/>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73">
    <w:name w:val="Level 6"/>
    <w:basedOn w:val="1"/>
    <w:qFormat/>
    <w:uiPriority w:val="0"/>
    <w:pPr>
      <w:tabs>
        <w:tab w:val="left" w:pos="3289"/>
      </w:tabs>
      <w:ind w:left="3289" w:hanging="681"/>
    </w:pPr>
    <w:rPr>
      <w:rFonts w:ascii="Calibri" w:hAnsi="Calibri"/>
      <w:szCs w:val="22"/>
    </w:rPr>
  </w:style>
  <w:style w:type="paragraph" w:customStyle="1" w:styleId="174">
    <w:name w:val="正文文本 33"/>
    <w:basedOn w:val="1"/>
    <w:qFormat/>
    <w:uiPriority w:val="0"/>
    <w:rPr>
      <w:rFonts w:ascii="宋体" w:hAnsi="Times New Roman" w:cs="Times New Roman"/>
      <w:sz w:val="24"/>
    </w:rPr>
  </w:style>
  <w:style w:type="character" w:customStyle="1" w:styleId="175">
    <w:name w:val="正文缩进 字符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4172</Words>
  <Characters>23781</Characters>
  <Lines>198</Lines>
  <Paragraphs>55</Paragraphs>
  <TotalTime>2</TotalTime>
  <ScaleCrop>false</ScaleCrop>
  <LinksUpToDate>false</LinksUpToDate>
  <CharactersWithSpaces>27898</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2024-08-22T08:50:00Z</dcterms:created>
  <dc:creator>ssz</dc:creator>
  <cp:lastModifiedBy>WN</cp:lastModifiedBy>
  <cp:lastPrinted>2018-07-16T11:27:00Z</cp:lastPrinted>
  <dcterms:modified xsi:type="dcterms:W3CDTF">2026-05-20T02:31:09Z</dcterms:modified>
  <dc:title>山西医科大学第一医院住院楼土建施工及安装工程招标文件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8F7C0624A47949528E478D92B00C5BE6</vt:lpwstr>
  </property>
</Properties>
</file>