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sz w:val="44"/>
          <w:szCs w:val="44"/>
          <w:lang w:val="en-US" w:eastAsia="zh-CN"/>
        </w:rPr>
        <w:t>关于人保财险新疆疏附支公司电影院广告费采购项目采用单一采购方式采购的公示</w:t>
      </w:r>
    </w:p>
    <w:bookmarkEnd w:id="0"/>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根据中国人民保险集团和中国人民财产保险股份有限公司采购管理相关制度规定，现将相关单一采购内容公示如下：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kern w:val="0"/>
          <w:sz w:val="32"/>
          <w:szCs w:val="32"/>
        </w:rPr>
      </w:pPr>
      <w:r>
        <w:rPr>
          <w:rFonts w:hint="eastAsia" w:ascii="黑体" w:hAnsi="黑体" w:eastAsia="黑体" w:cs="黑体"/>
          <w:kern w:val="0"/>
          <w:sz w:val="32"/>
          <w:szCs w:val="32"/>
          <w:lang w:val="en-US" w:eastAsia="zh-CN"/>
        </w:rPr>
        <w:t>一、</w:t>
      </w:r>
      <w:r>
        <w:rPr>
          <w:rFonts w:hint="eastAsia" w:ascii="黑体" w:hAnsi="黑体" w:eastAsia="黑体" w:cs="黑体"/>
          <w:kern w:val="0"/>
          <w:sz w:val="32"/>
          <w:szCs w:val="32"/>
        </w:rPr>
        <w:t>人保财险</w:t>
      </w:r>
      <w:r>
        <w:rPr>
          <w:rFonts w:hint="eastAsia" w:ascii="黑体" w:hAnsi="黑体" w:eastAsia="黑体" w:cs="黑体"/>
          <w:kern w:val="0"/>
          <w:sz w:val="32"/>
          <w:szCs w:val="32"/>
          <w:lang w:val="en-US" w:eastAsia="zh-CN"/>
        </w:rPr>
        <w:t>新疆疏附支公司电影院广告费</w:t>
      </w:r>
      <w:r>
        <w:rPr>
          <w:rFonts w:hint="eastAsia" w:ascii="黑体" w:hAnsi="黑体" w:eastAsia="黑体" w:cs="黑体"/>
          <w:kern w:val="0"/>
          <w:sz w:val="32"/>
          <w:szCs w:val="32"/>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二、单一采购供应商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kern w:val="0"/>
          <w:sz w:val="32"/>
          <w:szCs w:val="32"/>
          <w:lang w:val="en-US" w:eastAsia="zh-CN"/>
        </w:rPr>
      </w:pPr>
      <w:r>
        <w:rPr>
          <w:rFonts w:hint="eastAsia" w:ascii="仿宋_GB2312" w:eastAsia="仿宋_GB2312"/>
          <w:b/>
          <w:bCs/>
          <w:kern w:val="0"/>
          <w:sz w:val="32"/>
          <w:szCs w:val="32"/>
          <w:lang w:val="en-US" w:eastAsia="zh-CN"/>
        </w:rPr>
        <w:t>1.资源唯一性</w:t>
      </w:r>
      <w:r>
        <w:rPr>
          <w:rFonts w:hint="eastAsia" w:ascii="仿宋_GB2312" w:eastAsia="仿宋_GB2312"/>
          <w:kern w:val="0"/>
          <w:sz w:val="32"/>
          <w:szCs w:val="32"/>
          <w:lang w:val="en-US" w:eastAsia="zh-CN"/>
        </w:rPr>
        <w:t>：</w:t>
      </w:r>
      <w:r>
        <w:rPr>
          <w:rFonts w:hint="eastAsia" w:ascii="仿宋_GB2312" w:eastAsia="仿宋_GB2312"/>
          <w:kern w:val="0"/>
          <w:sz w:val="32"/>
          <w:szCs w:val="32"/>
          <w:lang w:val="en-US" w:eastAsia="zh-CN"/>
        </w:rPr>
        <w:t>疏附县时代电影放映有限公司是疏附县域内唯一一家电影公司，合法拥有</w:t>
      </w:r>
      <w:r>
        <w:rPr>
          <w:rFonts w:hint="eastAsia" w:ascii="仿宋_GB2312" w:eastAsia="仿宋_GB2312"/>
          <w:kern w:val="0"/>
          <w:sz w:val="32"/>
          <w:szCs w:val="32"/>
        </w:rPr>
        <w:t>电影院全域广告资源，包含影院映前播放广告、场内灯箱广告、LED显示屏广告、阵地点位广告、海报张贴位宣传广告位，</w:t>
      </w:r>
      <w:r>
        <w:rPr>
          <w:rFonts w:hint="eastAsia" w:ascii="仿宋_GB2312" w:eastAsia="仿宋_GB2312"/>
          <w:kern w:val="0"/>
          <w:sz w:val="32"/>
          <w:szCs w:val="32"/>
          <w:lang w:val="en-US" w:eastAsia="zh-CN"/>
        </w:rPr>
        <w:t>公司已独家授权疏附县欣玉广告设计服务有限公司负责</w:t>
      </w:r>
      <w:r>
        <w:rPr>
          <w:rFonts w:hint="eastAsia" w:ascii="仿宋_GB2312" w:eastAsia="仿宋_GB2312"/>
          <w:kern w:val="0"/>
          <w:sz w:val="32"/>
          <w:szCs w:val="32"/>
        </w:rPr>
        <w:t>电影院</w:t>
      </w:r>
      <w:r>
        <w:rPr>
          <w:rFonts w:hint="eastAsia" w:ascii="仿宋_GB2312" w:eastAsia="仿宋_GB2312"/>
          <w:kern w:val="0"/>
          <w:sz w:val="32"/>
          <w:szCs w:val="32"/>
          <w:lang w:val="en-US" w:eastAsia="zh-CN"/>
        </w:rPr>
        <w:t>广告资源的策划、发布、运营与市场推广工作，授权期限2026年1月1日至2028年12月31日。选择该供应商可确保广告投放渠道的稳定唯一性，符合项目采购法定情形，按照《中国人民保险集团分散采购管理办法》第三章第十四条规定，该项目属于普通分散采购，本项目拟参照公司分散采购管理规定实施项目采购，采用单一采购方式实施采购，符合单一采购方式中“只能从唯一供应商处采购的，即因货物或服务使用不可替代的专利、专有技术，或者项目有特殊要求，导致只能从某一特定供应商处采购”的情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仿宋_GB2312" w:eastAsia="仿宋_GB2312"/>
          <w:kern w:val="0"/>
          <w:sz w:val="32"/>
          <w:szCs w:val="32"/>
          <w:lang w:val="en-US" w:eastAsia="zh-CN"/>
        </w:rPr>
      </w:pPr>
      <w:r>
        <w:rPr>
          <w:rFonts w:hint="eastAsia" w:ascii="仿宋_GB2312" w:eastAsia="仿宋_GB2312"/>
          <w:b/>
          <w:bCs/>
          <w:kern w:val="0"/>
          <w:sz w:val="32"/>
          <w:szCs w:val="32"/>
          <w:lang w:val="en-US" w:eastAsia="zh-CN"/>
        </w:rPr>
        <w:t>2.服务必要性</w:t>
      </w:r>
      <w:r>
        <w:rPr>
          <w:rFonts w:hint="eastAsia" w:ascii="仿宋_GB2312" w:eastAsia="仿宋_GB2312"/>
          <w:kern w:val="0"/>
          <w:sz w:val="32"/>
          <w:szCs w:val="32"/>
          <w:lang w:val="en-US" w:eastAsia="zh-CN"/>
        </w:rPr>
        <w:t>：</w:t>
      </w:r>
      <w:r>
        <w:rPr>
          <w:rFonts w:hint="eastAsia" w:ascii="仿宋_GB2312" w:eastAsia="仿宋_GB2312"/>
          <w:kern w:val="0"/>
          <w:sz w:val="32"/>
          <w:szCs w:val="32"/>
        </w:rPr>
        <w:t>电影院人群流量集中、受众覆盖面广，观影群体多为有车家庭及中青年主力消费人群，是车险宣传的线下传播场景。开展电影院车险宣传推广，能够精准触达潜在车主客户，普及车险投保知识，提升群众风险防范意识。同时借助影院稳定客流与沉浸式传播环境，拉近保险服务与大众生活的距离，引导民众主动做好车辆风险防护，具备极强的宣传价值与社会服务必要性。</w:t>
      </w:r>
      <w:r>
        <w:rPr>
          <w:rFonts w:hint="eastAsia" w:ascii="仿宋_GB2312" w:eastAsia="仿宋_GB2312"/>
          <w:kern w:val="0"/>
          <w:sz w:val="32"/>
          <w:szCs w:val="32"/>
          <w:lang w:val="en-US" w:eastAsia="zh-CN"/>
        </w:rPr>
        <w:t>疏附县欣玉广告设计服务有限公司作为疏附县时代电影放映有限公司唯一合法权属方，其提供的服务是保障采购目的实现的必要条件。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default" w:ascii="仿宋_GB2312" w:eastAsia="仿宋_GB2312"/>
          <w:kern w:val="0"/>
          <w:sz w:val="32"/>
          <w:szCs w:val="32"/>
          <w:lang w:val="en-US" w:eastAsia="zh-CN"/>
        </w:rPr>
      </w:pPr>
      <w:r>
        <w:rPr>
          <w:rFonts w:hint="eastAsia" w:ascii="仿宋_GB2312" w:eastAsia="仿宋_GB2312"/>
          <w:b/>
          <w:bCs/>
          <w:kern w:val="0"/>
          <w:sz w:val="32"/>
          <w:szCs w:val="32"/>
          <w:lang w:val="en-US" w:eastAsia="zh-CN"/>
        </w:rPr>
        <w:t>3.市场无竞争性</w:t>
      </w:r>
      <w:r>
        <w:rPr>
          <w:rFonts w:hint="eastAsia" w:ascii="仿宋_GB2312" w:eastAsia="仿宋_GB2312"/>
          <w:kern w:val="0"/>
          <w:sz w:val="32"/>
          <w:szCs w:val="32"/>
          <w:lang w:val="en-US" w:eastAsia="zh-CN"/>
        </w:rPr>
        <w:t>：</w:t>
      </w:r>
      <w:r>
        <w:rPr>
          <w:rFonts w:hint="eastAsia" w:ascii="仿宋_GB2312" w:eastAsia="仿宋_GB2312"/>
          <w:kern w:val="0"/>
          <w:sz w:val="32"/>
          <w:szCs w:val="32"/>
          <w:lang w:val="en-US" w:eastAsia="zh-CN"/>
        </w:rPr>
        <w:t>疏附县欣玉广告设计服务有限公司是疏附县时代电影放映有限公司唯一拥有电影院广告位独家运营权限的供应商，其运营的电影院广告资源具有市场无竞争性。不存在市场化竞争格局，无法通过公开招标、竞争性磋商等方式达成采购。</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lang w:val="en-US" w:eastAsia="zh-CN"/>
        </w:rPr>
      </w:pPr>
      <w:r>
        <w:rPr>
          <w:rFonts w:hint="eastAsia" w:ascii="仿宋_GB2312" w:eastAsia="仿宋_GB2312"/>
          <w:kern w:val="0"/>
          <w:sz w:val="32"/>
          <w:szCs w:val="32"/>
          <w:lang w:val="en-US" w:eastAsia="zh-CN"/>
        </w:rPr>
        <w:t>本项目唯一供应商为：疏附县欣玉广告设计服务有限公司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lang w:val="en-US" w:eastAsia="zh-CN"/>
        </w:rPr>
        <w:t>公示日期：</w:t>
      </w:r>
      <w:r>
        <w:rPr>
          <w:rFonts w:hint="eastAsia" w:ascii="仿宋_GB2312" w:eastAsia="仿宋_GB2312"/>
          <w:kern w:val="0"/>
          <w:sz w:val="32"/>
          <w:szCs w:val="32"/>
        </w:rPr>
        <w:t>自公示发布之日起3个工作日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任何单位或个人如对以上项目采用单一采购方式有异议，请在公示期间以书面形式进行反馈。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rPr>
        <w:t>联系电话：</w:t>
      </w:r>
      <w:r>
        <w:rPr>
          <w:rFonts w:hint="eastAsia" w:ascii="仿宋_GB2312" w:eastAsia="仿宋_GB2312"/>
          <w:kern w:val="0"/>
          <w:sz w:val="32"/>
          <w:szCs w:val="32"/>
          <w:lang w:val="en-US" w:eastAsia="zh-CN"/>
        </w:rPr>
        <w:t>付维鑫13779847065</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rPr>
        <w:t>联系邮箱：</w:t>
      </w:r>
      <w:r>
        <w:rPr>
          <w:rFonts w:hint="eastAsia" w:ascii="仿宋_GB2312" w:eastAsia="仿宋_GB2312"/>
          <w:kern w:val="0"/>
          <w:sz w:val="32"/>
          <w:szCs w:val="32"/>
          <w:lang w:val="en-US" w:eastAsia="zh-CN"/>
        </w:rPr>
        <w:t>fuweixin@xinj.picc.com.cn</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lang w:val="en-US" w:eastAsia="zh-CN"/>
        </w:rPr>
      </w:pPr>
      <w:r>
        <w:rPr>
          <w:rFonts w:hint="eastAsia" w:ascii="仿宋_GB2312" w:eastAsia="仿宋_GB2312"/>
          <w:kern w:val="0"/>
          <w:sz w:val="32"/>
          <w:szCs w:val="32"/>
        </w:rPr>
        <w:t xml:space="preserve">            </w:t>
      </w:r>
      <w:r>
        <w:rPr>
          <w:rFonts w:hint="eastAsia" w:ascii="仿宋_GB2312" w:eastAsia="仿宋_GB2312"/>
          <w:kern w:val="0"/>
          <w:sz w:val="32"/>
          <w:szCs w:val="32"/>
          <w:lang w:val="en-US" w:eastAsia="zh-CN"/>
        </w:rPr>
        <w:t xml:space="preserve">    </w:t>
      </w:r>
      <w:r>
        <w:rPr>
          <w:rFonts w:hint="eastAsia" w:ascii="仿宋_GB2312" w:eastAsia="仿宋_GB2312"/>
          <w:kern w:val="0"/>
          <w:sz w:val="32"/>
          <w:szCs w:val="32"/>
        </w:rPr>
        <w:t xml:space="preserve"> </w:t>
      </w:r>
      <w:r>
        <w:rPr>
          <w:rFonts w:hint="eastAsia" w:ascii="仿宋_GB2312" w:eastAsia="仿宋_GB2312"/>
          <w:kern w:val="0"/>
          <w:sz w:val="32"/>
          <w:szCs w:val="32"/>
          <w:lang w:val="en-US" w:eastAsia="zh-CN"/>
        </w:rPr>
        <w:t>中国人民财产保险股份有限公司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160" w:firstLineChars="13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lang w:val="en-US" w:eastAsia="zh-CN"/>
        </w:rPr>
        <w:t>喀什地区分公司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160" w:firstLineChars="13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lang w:val="en-US" w:eastAsia="zh-CN"/>
        </w:rPr>
        <w:t>2026年5月19日</w:t>
      </w:r>
    </w:p>
    <w:p>
      <w:pPr>
        <w:adjustRightInd w:val="0"/>
        <w:snapToGrid w:val="0"/>
        <w:spacing w:line="360" w:lineRule="auto"/>
        <w:ind w:firstLine="640" w:firstLineChars="200"/>
        <w:rPr>
          <w:rFonts w:hint="eastAsia" w:ascii="仿宋_GB2312" w:hAnsi="仿宋" w:eastAsia="仿宋_GB2312"/>
          <w:sz w:val="32"/>
          <w:szCs w:val="32"/>
        </w:rPr>
      </w:pPr>
    </w:p>
    <w:p>
      <w:pPr>
        <w:numPr>
          <w:ilvl w:val="0"/>
          <w:numId w:val="0"/>
        </w:numPr>
        <w:adjustRightInd w:val="0"/>
        <w:snapToGrid w:val="0"/>
        <w:spacing w:line="360" w:lineRule="auto"/>
        <w:rPr>
          <w:rFonts w:hint="default" w:ascii="宋体" w:hAnsi="宋体" w:eastAsia="宋体" w:cs="宋体"/>
          <w:sz w:val="24"/>
          <w:szCs w:val="24"/>
          <w:lang w:val="en-US" w:eastAsia="zh-CN"/>
        </w:rPr>
      </w:pPr>
    </w:p>
    <w:p>
      <w:pPr>
        <w:numPr>
          <w:ilvl w:val="0"/>
          <w:numId w:val="0"/>
        </w:numPr>
        <w:adjustRightInd w:val="0"/>
        <w:snapToGrid w:val="0"/>
        <w:spacing w:line="360" w:lineRule="auto"/>
        <w:rPr>
          <w:rFonts w:hint="eastAsia"/>
          <w:b w:val="0"/>
          <w:bCs/>
          <w:sz w:val="32"/>
          <w:szCs w:val="32"/>
          <w:lang w:val="en-US" w:eastAsia="zh-CN"/>
        </w:rPr>
      </w:pPr>
    </w:p>
    <w:p>
      <w:pPr>
        <w:numPr>
          <w:ilvl w:val="0"/>
          <w:numId w:val="0"/>
        </w:numPr>
        <w:adjustRightInd w:val="0"/>
        <w:snapToGrid w:val="0"/>
        <w:spacing w:line="360" w:lineRule="auto"/>
        <w:rPr>
          <w:rFonts w:hint="eastAsia"/>
          <w:b w:val="0"/>
          <w:bCs/>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60542"/>
    <w:rsid w:val="00DF4E08"/>
    <w:rsid w:val="017C246B"/>
    <w:rsid w:val="040970F5"/>
    <w:rsid w:val="0897285A"/>
    <w:rsid w:val="08B6346E"/>
    <w:rsid w:val="0A8C1C9C"/>
    <w:rsid w:val="0D8367E6"/>
    <w:rsid w:val="117032EE"/>
    <w:rsid w:val="13DE3800"/>
    <w:rsid w:val="179150FB"/>
    <w:rsid w:val="17D51BC9"/>
    <w:rsid w:val="187D5D8D"/>
    <w:rsid w:val="198E2D1C"/>
    <w:rsid w:val="2348241B"/>
    <w:rsid w:val="234F76B0"/>
    <w:rsid w:val="27CD58C7"/>
    <w:rsid w:val="28D65EF4"/>
    <w:rsid w:val="2C592817"/>
    <w:rsid w:val="2CCE66EA"/>
    <w:rsid w:val="2F151ECC"/>
    <w:rsid w:val="30CB73F0"/>
    <w:rsid w:val="32A30713"/>
    <w:rsid w:val="33DD71ED"/>
    <w:rsid w:val="340C1B3A"/>
    <w:rsid w:val="34D6368F"/>
    <w:rsid w:val="369E6498"/>
    <w:rsid w:val="37B32AB2"/>
    <w:rsid w:val="3CED39D4"/>
    <w:rsid w:val="3E8B41F9"/>
    <w:rsid w:val="3E907F52"/>
    <w:rsid w:val="43EF023F"/>
    <w:rsid w:val="44BF08CD"/>
    <w:rsid w:val="464E4243"/>
    <w:rsid w:val="46CA1C88"/>
    <w:rsid w:val="49B535D3"/>
    <w:rsid w:val="4AB5450F"/>
    <w:rsid w:val="4ABC10A6"/>
    <w:rsid w:val="4B0470F5"/>
    <w:rsid w:val="50381F64"/>
    <w:rsid w:val="50583AA8"/>
    <w:rsid w:val="506A50AB"/>
    <w:rsid w:val="510E24CD"/>
    <w:rsid w:val="55FF6427"/>
    <w:rsid w:val="5661377E"/>
    <w:rsid w:val="58C32F5C"/>
    <w:rsid w:val="598E1BD0"/>
    <w:rsid w:val="5A89487E"/>
    <w:rsid w:val="5DA4239C"/>
    <w:rsid w:val="5DCC6774"/>
    <w:rsid w:val="6224450D"/>
    <w:rsid w:val="634E7C97"/>
    <w:rsid w:val="66700D60"/>
    <w:rsid w:val="67D430D9"/>
    <w:rsid w:val="6B3E4499"/>
    <w:rsid w:val="6C346A40"/>
    <w:rsid w:val="6E6A14A2"/>
    <w:rsid w:val="6ED33F01"/>
    <w:rsid w:val="718C0114"/>
    <w:rsid w:val="7392751C"/>
    <w:rsid w:val="76416D8A"/>
    <w:rsid w:val="771103A4"/>
    <w:rsid w:val="78F80F90"/>
    <w:rsid w:val="7A2B5BB4"/>
    <w:rsid w:val="7C5A1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3">
    <w:name w:val="Title"/>
    <w:qFormat/>
    <w:uiPriority w:val="0"/>
    <w:pPr>
      <w:spacing w:line="720" w:lineRule="exact"/>
      <w:jc w:val="center"/>
      <w:outlineLvl w:val="0"/>
    </w:pPr>
    <w:rPr>
      <w:rFonts w:hint="default" w:ascii="方正小标宋简体" w:hAnsi="方正小标宋简体" w:eastAsia="方正小标宋简体" w:cs="Times New Roman"/>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2026-05-09T10:13:00Z</dcterms:created>
  <dc:creator>PICC</dc:creator>
  <cp:lastModifiedBy>付维鑫</cp:lastModifiedBy>
  <cp:lastPrinted>2026-05-17T04:40:00Z</cp:lastPrinted>
  <dcterms:modified xsi:type="dcterms:W3CDTF">2026-05-19T08:19:30Z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9B95A6EDB0434A15B0F8BF27FC7D6D81</vt:lpwstr>
  </property>
</Properties>
</file>