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jc w:val="center"/>
        <w:rPr>
          <w:rFonts w:ascii="仿宋_GB2312" w:eastAsia="仿宋_GB2312"/>
          <w:sz w:val="72"/>
          <w:szCs w:val="72"/>
        </w:rPr>
      </w:pPr>
      <w:r>
        <w:rPr>
          <w:rFonts w:hint="eastAsia" w:ascii="仿宋_GB2312" w:hAnsi="宋体" w:eastAsia="仿宋_GB2312"/>
          <w:b/>
          <w:sz w:val="36"/>
          <w:szCs w:val="36"/>
          <w:lang w:eastAsia="zh-CN"/>
        </w:rPr>
        <w:t>人保财险</w:t>
      </w:r>
      <w:r>
        <w:rPr>
          <w:rFonts w:hint="eastAsia" w:ascii="仿宋_GB2312" w:hAnsi="宋体" w:eastAsia="仿宋_GB2312"/>
          <w:b/>
          <w:sz w:val="36"/>
          <w:szCs w:val="36"/>
          <w:lang w:val="en-US" w:eastAsia="zh-CN"/>
        </w:rPr>
        <w:t>四川省</w:t>
      </w:r>
      <w:r>
        <w:rPr>
          <w:rFonts w:hint="eastAsia" w:ascii="仿宋_GB2312" w:hAnsi="宋体" w:eastAsia="仿宋_GB2312"/>
          <w:b/>
          <w:sz w:val="36"/>
          <w:szCs w:val="36"/>
          <w:lang w:eastAsia="zh-CN"/>
        </w:rPr>
        <w:t>乐山市分公司融信部</w:t>
      </w:r>
      <w:r>
        <w:rPr>
          <w:rFonts w:hint="eastAsia" w:ascii="仿宋_GB2312" w:hAnsi="宋体" w:eastAsia="仿宋_GB2312"/>
          <w:b/>
          <w:sz w:val="36"/>
          <w:szCs w:val="36"/>
          <w:lang w:val="en-US" w:eastAsia="zh-CN"/>
        </w:rPr>
        <w:t>劳务</w:t>
      </w:r>
      <w:r>
        <w:rPr>
          <w:rFonts w:hint="eastAsia" w:ascii="仿宋_GB2312" w:hAnsi="宋体" w:eastAsia="仿宋_GB2312"/>
          <w:b/>
          <w:sz w:val="36"/>
          <w:szCs w:val="36"/>
          <w:lang w:eastAsia="zh-CN"/>
        </w:rPr>
        <w:t>外包服务采购项目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比</w:t>
      </w:r>
    </w:p>
    <w:p>
      <w:pPr>
        <w:pStyle w:val="2"/>
      </w:pPr>
    </w:p>
    <w:p>
      <w:pPr>
        <w:jc w:val="center"/>
        <w:rPr>
          <w:rFonts w:ascii="仿宋_GB2312" w:eastAsia="仿宋_GB2312"/>
          <w:sz w:val="72"/>
          <w:szCs w:val="72"/>
        </w:rPr>
      </w:pPr>
      <w:r>
        <w:rPr>
          <w:rFonts w:hint="eastAsia" w:ascii="仿宋_GB2312" w:eastAsia="仿宋_GB2312"/>
          <w:sz w:val="72"/>
          <w:szCs w:val="72"/>
        </w:rPr>
        <w:t>选</w:t>
      </w:r>
    </w:p>
    <w:p>
      <w:pPr>
        <w:pStyle w:val="2"/>
      </w:pPr>
    </w:p>
    <w:p>
      <w:pPr>
        <w:jc w:val="center"/>
        <w:rPr>
          <w:rFonts w:ascii="仿宋_GB2312" w:eastAsia="仿宋_GB2312"/>
          <w:sz w:val="72"/>
          <w:szCs w:val="72"/>
        </w:rPr>
      </w:pPr>
      <w:r>
        <w:rPr>
          <w:rFonts w:hint="eastAsia" w:ascii="仿宋_GB2312" w:eastAsia="仿宋_GB2312"/>
          <w:sz w:val="72"/>
          <w:szCs w:val="72"/>
        </w:rPr>
        <w:t>文</w:t>
      </w:r>
    </w:p>
    <w:p>
      <w:pPr>
        <w:pStyle w:val="2"/>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
      <w:pPr>
        <w:pStyle w:val="2"/>
      </w:pPr>
    </w:p>
    <w:p>
      <w:pPr>
        <w:pStyle w:val="2"/>
      </w:pPr>
    </w:p>
    <w:p>
      <w:pPr>
        <w:pStyle w:val="2"/>
      </w:pPr>
    </w:p>
    <w:p>
      <w:pPr>
        <w:pStyle w:val="2"/>
      </w:pPr>
    </w:p>
    <w:p>
      <w:pPr>
        <w:pStyle w:val="2"/>
      </w:pPr>
    </w:p>
    <w:p>
      <w:pPr>
        <w:pStyle w:val="2"/>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4</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headerReference r:id="rId4" w:type="first"/>
          <w:footerReference r:id="rId6" w:type="first"/>
          <w:headerReference r:id="rId3" w:type="default"/>
          <w:footerReference r:id="rId5" w:type="even"/>
          <w:pgSz w:w="11906" w:h="16838"/>
          <w:pgMar w:top="1440" w:right="1134" w:bottom="1440" w:left="1134" w:header="851" w:footer="992" w:gutter="0"/>
          <w:pgNumType w:fmt="decimal"/>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33"/>
          <w:rFonts w:hint="eastAsia" w:ascii="仿宋_GB2312" w:hAnsi="宋体" w:eastAsia="仿宋_GB2312"/>
        </w:rPr>
        <w:t>第一章</w:t>
      </w:r>
      <w:r>
        <w:rPr>
          <w:rStyle w:val="33"/>
          <w:rFonts w:ascii="仿宋_GB2312" w:hAnsi="宋体" w:eastAsia="仿宋_GB2312"/>
        </w:rPr>
        <w:t xml:space="preserve"> </w:t>
      </w:r>
      <w:r>
        <w:rPr>
          <w:rStyle w:val="33"/>
          <w:rFonts w:hint="eastAsia" w:ascii="仿宋_GB2312" w:hAnsi="宋体" w:eastAsia="仿宋_GB2312"/>
        </w:rPr>
        <w:t>比选邀请</w:t>
      </w:r>
      <w:r>
        <w:tab/>
      </w:r>
      <w:r>
        <w:fldChar w:fldCharType="begin"/>
      </w:r>
      <w:r>
        <w:instrText xml:space="preserve"> PAGEREF _Toc186737790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"_Toc186737791" </w:instrText>
      </w:r>
      <w:r>
        <w:fldChar w:fldCharType="separate"/>
      </w:r>
      <w:r>
        <w:rPr>
          <w:rStyle w:val="33"/>
          <w:rFonts w:hint="eastAsia" w:ascii="仿宋" w:hAnsi="仿宋" w:eastAsia="仿宋" w:cs="仿宋"/>
        </w:rPr>
        <w:t>一、项目概况与采购范围</w:t>
      </w:r>
      <w:r>
        <w:tab/>
      </w:r>
      <w:r>
        <w:fldChar w:fldCharType="begin"/>
      </w:r>
      <w:r>
        <w:instrText xml:space="preserve"> PAGEREF _Toc186737791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"_Toc186737792" </w:instrText>
      </w:r>
      <w:r>
        <w:fldChar w:fldCharType="separate"/>
      </w:r>
      <w:r>
        <w:rPr>
          <w:rStyle w:val="33"/>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"_Toc186737793" </w:instrText>
      </w:r>
      <w:r>
        <w:fldChar w:fldCharType="separate"/>
      </w:r>
      <w:r>
        <w:rPr>
          <w:rStyle w:val="33"/>
          <w:rFonts w:hint="eastAsia" w:ascii="仿宋" w:hAnsi="仿宋" w:eastAsia="仿宋" w:cs="仿宋"/>
        </w:rPr>
        <w:t>三、比选文件的获取</w:t>
      </w:r>
      <w:r>
        <w:tab/>
      </w:r>
      <w:r>
        <w:fldChar w:fldCharType="begin"/>
      </w:r>
      <w:r>
        <w:instrText xml:space="preserve"> PAGEREF _Toc186737793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"_Toc186737794" </w:instrText>
      </w:r>
      <w:r>
        <w:fldChar w:fldCharType="separate"/>
      </w:r>
      <w:r>
        <w:rPr>
          <w:rStyle w:val="33"/>
          <w:rFonts w:hint="eastAsia" w:ascii="仿宋" w:hAnsi="仿宋" w:eastAsia="仿宋" w:cs="仿宋"/>
        </w:rPr>
        <w:t>四、响应文件的递交</w:t>
      </w:r>
      <w:r>
        <w:tab/>
      </w:r>
      <w:r>
        <w:fldChar w:fldCharType="begin"/>
      </w:r>
      <w:r>
        <w:instrText xml:space="preserve"> PAGEREF _Toc186737794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"_Toc186737795" </w:instrText>
      </w:r>
      <w:r>
        <w:fldChar w:fldCharType="separate"/>
      </w:r>
      <w:r>
        <w:rPr>
          <w:rStyle w:val="33"/>
          <w:rFonts w:hint="eastAsia" w:ascii="仿宋" w:hAnsi="仿宋" w:eastAsia="仿宋" w:cs="仿宋"/>
        </w:rPr>
        <w:t>五、发布公告的媒介</w:t>
      </w:r>
      <w:r>
        <w:tab/>
      </w:r>
      <w:r>
        <w:fldChar w:fldCharType="begin"/>
      </w:r>
      <w:r>
        <w:instrText xml:space="preserve"> PAGEREF _Toc186737795 \h </w:instrText>
      </w:r>
      <w:r>
        <w:fldChar w:fldCharType="separate"/>
      </w:r>
      <w:r>
        <w:t>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"_Toc186737796" </w:instrText>
      </w:r>
      <w:r>
        <w:fldChar w:fldCharType="separate"/>
      </w:r>
      <w:r>
        <w:rPr>
          <w:rStyle w:val="33"/>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"_Toc186737797" </w:instrText>
      </w:r>
      <w:r>
        <w:fldChar w:fldCharType="separate"/>
      </w:r>
      <w:r>
        <w:rPr>
          <w:rStyle w:val="33"/>
          <w:rFonts w:hint="eastAsia" w:ascii="仿宋_GB2312" w:hAnsi="宋体" w:eastAsia="仿宋_GB2312"/>
        </w:rPr>
        <w:t>第二章</w:t>
      </w:r>
      <w:r>
        <w:rPr>
          <w:rStyle w:val="33"/>
          <w:rFonts w:ascii="仿宋_GB2312" w:hAnsi="宋体" w:eastAsia="仿宋_GB2312"/>
        </w:rPr>
        <w:t xml:space="preserve"> </w:t>
      </w:r>
      <w:r>
        <w:rPr>
          <w:rStyle w:val="33"/>
          <w:rFonts w:hint="eastAsia" w:ascii="仿宋_GB2312" w:hAnsi="宋体" w:eastAsia="仿宋_GB2312"/>
        </w:rPr>
        <w:t>供应商须知</w:t>
      </w:r>
      <w:r>
        <w:tab/>
      </w:r>
      <w:r>
        <w:fldChar w:fldCharType="begin"/>
      </w:r>
      <w:r>
        <w:instrText xml:space="preserve"> PAGEREF _Toc186737797 \h </w:instrText>
      </w:r>
      <w:r>
        <w:fldChar w:fldCharType="separate"/>
      </w:r>
      <w:r>
        <w:t>6</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"_Toc186737798" </w:instrText>
      </w:r>
      <w:r>
        <w:fldChar w:fldCharType="separate"/>
      </w:r>
      <w:r>
        <w:rPr>
          <w:rStyle w:val="33"/>
          <w:rFonts w:hint="eastAsia" w:ascii="仿宋" w:hAnsi="仿宋" w:eastAsia="仿宋" w:cs="仿宋"/>
        </w:rPr>
        <w:t>一、供应商须知前附表</w:t>
      </w:r>
      <w:r>
        <w:tab/>
      </w:r>
      <w:r>
        <w:fldChar w:fldCharType="begin"/>
      </w:r>
      <w:r>
        <w:instrText xml:space="preserve"> PAGEREF _Toc186737798 \h </w:instrText>
      </w:r>
      <w:r>
        <w:fldChar w:fldCharType="separate"/>
      </w:r>
      <w:r>
        <w:t>6</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"_Toc186737799" </w:instrText>
      </w:r>
      <w:r>
        <w:fldChar w:fldCharType="separate"/>
      </w:r>
      <w:r>
        <w:rPr>
          <w:rStyle w:val="33"/>
          <w:rFonts w:hint="eastAsia" w:ascii="仿宋" w:hAnsi="仿宋" w:eastAsia="仿宋" w:cs="仿宋"/>
        </w:rPr>
        <w:t>二、供应商须知正文</w:t>
      </w:r>
      <w:r>
        <w:tab/>
      </w:r>
      <w:r>
        <w:fldChar w:fldCharType="begin"/>
      </w:r>
      <w:r>
        <w:instrText xml:space="preserve"> PAGEREF _Toc186737799 \h </w:instrText>
      </w:r>
      <w:r>
        <w:fldChar w:fldCharType="separate"/>
      </w:r>
      <w:r>
        <w:t>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"_Toc186737800" </w:instrText>
      </w:r>
      <w:r>
        <w:fldChar w:fldCharType="separate"/>
      </w:r>
      <w:r>
        <w:rPr>
          <w:rStyle w:val="33"/>
          <w:rFonts w:hint="eastAsia" w:ascii="仿宋" w:hAnsi="仿宋" w:eastAsia="仿宋" w:cs="仿宋"/>
        </w:rPr>
        <w:t>（一）总</w:t>
      </w:r>
      <w:r>
        <w:rPr>
          <w:rStyle w:val="33"/>
          <w:rFonts w:ascii="仿宋" w:hAnsi="仿宋" w:eastAsia="仿宋" w:cs="仿宋"/>
        </w:rPr>
        <w:t xml:space="preserve"> </w:t>
      </w:r>
      <w:r>
        <w:rPr>
          <w:rStyle w:val="33"/>
          <w:rFonts w:hint="eastAsia" w:ascii="仿宋" w:hAnsi="仿宋" w:eastAsia="仿宋" w:cs="仿宋"/>
        </w:rPr>
        <w:t>则</w:t>
      </w:r>
      <w:r>
        <w:tab/>
      </w:r>
      <w:r>
        <w:fldChar w:fldCharType="begin"/>
      </w:r>
      <w:r>
        <w:instrText xml:space="preserve"> PAGEREF _Toc186737800 \h </w:instrText>
      </w:r>
      <w:r>
        <w:fldChar w:fldCharType="separate"/>
      </w:r>
      <w:r>
        <w:t>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"_Toc186737801" </w:instrText>
      </w:r>
      <w:r>
        <w:fldChar w:fldCharType="separate"/>
      </w:r>
      <w:r>
        <w:rPr>
          <w:rStyle w:val="33"/>
          <w:rFonts w:hint="eastAsia" w:ascii="仿宋" w:hAnsi="仿宋" w:eastAsia="仿宋" w:cs="仿宋"/>
        </w:rPr>
        <w:t>（二）比选文件</w:t>
      </w:r>
      <w:r>
        <w:tab/>
      </w:r>
      <w:r>
        <w:fldChar w:fldCharType="begin"/>
      </w:r>
      <w:r>
        <w:instrText xml:space="preserve"> PAGEREF _Toc186737801 \h </w:instrText>
      </w:r>
      <w:r>
        <w:fldChar w:fldCharType="separate"/>
      </w:r>
      <w:r>
        <w:t>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"_Toc186737802" </w:instrText>
      </w:r>
      <w:r>
        <w:fldChar w:fldCharType="separate"/>
      </w:r>
      <w:r>
        <w:rPr>
          <w:rStyle w:val="33"/>
          <w:rFonts w:hint="eastAsia" w:ascii="仿宋" w:hAnsi="仿宋" w:eastAsia="仿宋" w:cs="仿宋"/>
        </w:rPr>
        <w:t>（三）响应文件</w:t>
      </w:r>
      <w:r>
        <w:tab/>
      </w:r>
      <w:r>
        <w:fldChar w:fldCharType="begin"/>
      </w:r>
      <w:r>
        <w:instrText xml:space="preserve"> PAGEREF _Toc186737802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"_Toc186737803" </w:instrText>
      </w:r>
      <w:r>
        <w:fldChar w:fldCharType="separate"/>
      </w:r>
      <w:r>
        <w:rPr>
          <w:rStyle w:val="33"/>
          <w:rFonts w:hint="eastAsia" w:ascii="仿宋" w:hAnsi="仿宋" w:eastAsia="仿宋" w:cs="仿宋"/>
        </w:rPr>
        <w:t>（四）响应文件的递交</w:t>
      </w:r>
      <w:r>
        <w:tab/>
      </w:r>
      <w:r>
        <w:fldChar w:fldCharType="begin"/>
      </w:r>
      <w:r>
        <w:instrText xml:space="preserve"> PAGEREF _Toc186737803 \h </w:instrText>
      </w:r>
      <w:r>
        <w:fldChar w:fldCharType="separate"/>
      </w:r>
      <w:r>
        <w:t>12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"_Toc186737804" </w:instrText>
      </w:r>
      <w:r>
        <w:fldChar w:fldCharType="separate"/>
      </w:r>
      <w:r>
        <w:rPr>
          <w:rStyle w:val="33"/>
          <w:rFonts w:hint="eastAsia" w:ascii="仿宋" w:hAnsi="仿宋" w:eastAsia="仿宋" w:cs="仿宋"/>
        </w:rPr>
        <w:t>（五）比选和评审</w:t>
      </w:r>
      <w:r>
        <w:tab/>
      </w:r>
      <w:r>
        <w:fldChar w:fldCharType="begin"/>
      </w:r>
      <w:r>
        <w:instrText xml:space="preserve"> PAGEREF _Toc186737804 \h </w:instrText>
      </w:r>
      <w:r>
        <w:fldChar w:fldCharType="separate"/>
      </w:r>
      <w:r>
        <w:t>12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"_Toc186737805" </w:instrText>
      </w:r>
      <w:r>
        <w:fldChar w:fldCharType="separate"/>
      </w:r>
      <w:r>
        <w:rPr>
          <w:rStyle w:val="33"/>
          <w:rFonts w:hint="eastAsia" w:ascii="仿宋" w:hAnsi="仿宋" w:eastAsia="仿宋" w:cs="仿宋"/>
        </w:rPr>
        <w:t>（六）授予合同</w:t>
      </w:r>
      <w:r>
        <w:tab/>
      </w:r>
      <w:r>
        <w:fldChar w:fldCharType="begin"/>
      </w:r>
      <w:r>
        <w:instrText xml:space="preserve"> PAGEREF _Toc186737805 \h </w:instrText>
      </w:r>
      <w:r>
        <w:fldChar w:fldCharType="separate"/>
      </w:r>
      <w:r>
        <w:t>15</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"_Toc186737806" </w:instrText>
      </w:r>
      <w:r>
        <w:fldChar w:fldCharType="separate"/>
      </w:r>
      <w:r>
        <w:rPr>
          <w:rStyle w:val="33"/>
          <w:rFonts w:hint="eastAsia" w:ascii="仿宋" w:hAnsi="仿宋" w:eastAsia="仿宋" w:cs="仿宋"/>
        </w:rPr>
        <w:t>第三章</w:t>
      </w:r>
      <w:r>
        <w:rPr>
          <w:rStyle w:val="33"/>
          <w:rFonts w:ascii="仿宋" w:hAnsi="仿宋" w:eastAsia="仿宋" w:cs="仿宋"/>
        </w:rPr>
        <w:t xml:space="preserve"> </w:t>
      </w:r>
      <w:r>
        <w:rPr>
          <w:rStyle w:val="33"/>
          <w:rFonts w:hint="eastAsia" w:ascii="仿宋" w:hAnsi="仿宋" w:eastAsia="仿宋" w:cs="仿宋"/>
        </w:rPr>
        <w:t>评审办法</w:t>
      </w:r>
      <w:r>
        <w:tab/>
      </w:r>
      <w:r>
        <w:fldChar w:fldCharType="begin"/>
      </w:r>
      <w:r>
        <w:instrText xml:space="preserve"> PAGEREF _Toc186737806 \h </w:instrText>
      </w:r>
      <w:r>
        <w:fldChar w:fldCharType="separate"/>
      </w:r>
      <w:r>
        <w:t>16</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"_Toc186737807" </w:instrText>
      </w:r>
      <w:r>
        <w:fldChar w:fldCharType="separate"/>
      </w:r>
      <w:r>
        <w:rPr>
          <w:rStyle w:val="33"/>
          <w:rFonts w:hint="eastAsia" w:ascii="仿宋" w:hAnsi="仿宋" w:eastAsia="仿宋" w:cs="仿宋"/>
        </w:rPr>
        <w:t>一、评审程序</w:t>
      </w:r>
      <w:r>
        <w:tab/>
      </w:r>
      <w:r>
        <w:fldChar w:fldCharType="begin"/>
      </w:r>
      <w:r>
        <w:instrText xml:space="preserve"> PAGEREF _Toc186737807 \h </w:instrText>
      </w:r>
      <w:r>
        <w:fldChar w:fldCharType="separate"/>
      </w:r>
      <w:r>
        <w:t>16</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"_Toc186737808" </w:instrText>
      </w:r>
      <w:r>
        <w:fldChar w:fldCharType="separate"/>
      </w:r>
      <w:r>
        <w:rPr>
          <w:rStyle w:val="33"/>
          <w:rFonts w:hint="eastAsia" w:ascii="仿宋" w:hAnsi="仿宋" w:eastAsia="仿宋" w:cs="仿宋"/>
        </w:rPr>
        <w:t>二、初步评审</w:t>
      </w:r>
      <w:r>
        <w:tab/>
      </w:r>
      <w:r>
        <w:fldChar w:fldCharType="begin"/>
      </w:r>
      <w:r>
        <w:instrText xml:space="preserve"> PAGEREF _Toc186737808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"_Toc186737809" </w:instrText>
      </w:r>
      <w:r>
        <w:fldChar w:fldCharType="separate"/>
      </w:r>
      <w:r>
        <w:rPr>
          <w:rStyle w:val="33"/>
          <w:rFonts w:hint="eastAsia" w:ascii="仿宋" w:hAnsi="仿宋" w:eastAsia="仿宋" w:cs="仿宋"/>
        </w:rPr>
        <w:t>三、详细评审</w:t>
      </w:r>
      <w:r>
        <w:tab/>
      </w:r>
      <w:r>
        <w:fldChar w:fldCharType="begin"/>
      </w:r>
      <w:r>
        <w:instrText xml:space="preserve"> PAGEREF _Toc186737809 \h </w:instrText>
      </w:r>
      <w:r>
        <w:fldChar w:fldCharType="separate"/>
      </w:r>
      <w:r>
        <w:t>18</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"_Toc186737810" </w:instrText>
      </w:r>
      <w:r>
        <w:fldChar w:fldCharType="separate"/>
      </w:r>
      <w:r>
        <w:rPr>
          <w:rStyle w:val="33"/>
          <w:rFonts w:hint="eastAsia" w:ascii="仿宋" w:hAnsi="仿宋" w:eastAsia="仿宋" w:cs="仿宋"/>
        </w:rPr>
        <w:t>第四章</w:t>
      </w:r>
      <w:r>
        <w:rPr>
          <w:rStyle w:val="33"/>
          <w:rFonts w:ascii="仿宋" w:hAnsi="仿宋" w:eastAsia="仿宋" w:cs="仿宋"/>
        </w:rPr>
        <w:t xml:space="preserve"> </w:t>
      </w:r>
      <w:r>
        <w:rPr>
          <w:rStyle w:val="33"/>
          <w:rFonts w:hint="eastAsia" w:ascii="仿宋" w:hAnsi="仿宋" w:eastAsia="仿宋" w:cs="仿宋"/>
        </w:rPr>
        <w:t>合同条款</w:t>
      </w:r>
      <w:r>
        <w:tab/>
      </w:r>
      <w:r>
        <w:fldChar w:fldCharType="begin"/>
      </w:r>
      <w:r>
        <w:instrText xml:space="preserve"> PAGEREF _Toc186737810 \h </w:instrText>
      </w:r>
      <w:r>
        <w:fldChar w:fldCharType="separate"/>
      </w:r>
      <w:r>
        <w:t>20</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"_Toc186737811" </w:instrText>
      </w:r>
      <w:r>
        <w:fldChar w:fldCharType="separate"/>
      </w:r>
      <w:r>
        <w:rPr>
          <w:rStyle w:val="33"/>
          <w:rFonts w:hint="eastAsia" w:ascii="仿宋_GB2312" w:hAnsi="宋体" w:eastAsia="仿宋_GB2312"/>
        </w:rPr>
        <w:t>第五章</w:t>
      </w:r>
      <w:r>
        <w:rPr>
          <w:rStyle w:val="33"/>
          <w:rFonts w:ascii="仿宋_GB2312" w:hAnsi="宋体" w:eastAsia="仿宋_GB2312"/>
        </w:rPr>
        <w:t xml:space="preserve"> </w:t>
      </w:r>
      <w:r>
        <w:rPr>
          <w:rStyle w:val="33"/>
          <w:rFonts w:hint="eastAsia" w:ascii="仿宋_GB2312" w:hAnsi="宋体" w:eastAsia="仿宋_GB2312"/>
        </w:rPr>
        <w:t>采购需求</w:t>
      </w:r>
      <w:r>
        <w:tab/>
      </w:r>
      <w:r>
        <w:fldChar w:fldCharType="begin"/>
      </w:r>
      <w:r>
        <w:instrText xml:space="preserve"> PAGEREF _Toc186737811 \h </w:instrText>
      </w:r>
      <w:r>
        <w:fldChar w:fldCharType="separate"/>
      </w:r>
      <w:r>
        <w:t>41</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"_Toc186737812" </w:instrText>
      </w:r>
      <w:r>
        <w:fldChar w:fldCharType="separate"/>
      </w:r>
      <w:r>
        <w:rPr>
          <w:rStyle w:val="33"/>
          <w:rFonts w:hint="eastAsia" w:ascii="仿宋" w:hAnsi="仿宋" w:eastAsia="仿宋" w:cs="仿宋"/>
        </w:rPr>
        <w:t>第六章</w:t>
      </w:r>
      <w:r>
        <w:rPr>
          <w:rStyle w:val="33"/>
          <w:rFonts w:ascii="仿宋" w:hAnsi="仿宋" w:eastAsia="仿宋" w:cs="仿宋"/>
        </w:rPr>
        <w:t xml:space="preserve"> </w:t>
      </w:r>
      <w:r>
        <w:rPr>
          <w:rStyle w:val="33"/>
          <w:rFonts w:hint="eastAsia" w:ascii="仿宋" w:hAnsi="仿宋" w:eastAsia="仿宋" w:cs="仿宋"/>
        </w:rPr>
        <w:t>响应文件格式</w:t>
      </w:r>
      <w:r>
        <w:tab/>
      </w:r>
      <w:r>
        <w:fldChar w:fldCharType="begin"/>
      </w:r>
      <w:r>
        <w:instrText xml:space="preserve"> PAGEREF _Toc186737812 \h </w:instrText>
      </w:r>
      <w:r>
        <w:fldChar w:fldCharType="separate"/>
      </w:r>
      <w:r>
        <w:t>43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"_Toc186737813" </w:instrText>
      </w:r>
      <w:r>
        <w:fldChar w:fldCharType="separate"/>
      </w:r>
      <w:r>
        <w:rPr>
          <w:rStyle w:val="33"/>
          <w:rFonts w:hint="eastAsia" w:ascii="仿宋" w:hAnsi="仿宋" w:eastAsia="仿宋" w:cs="仿宋"/>
        </w:rPr>
        <w:t>一、商务文件</w:t>
      </w:r>
      <w:r>
        <w:tab/>
      </w:r>
      <w:r>
        <w:fldChar w:fldCharType="begin"/>
      </w:r>
      <w:r>
        <w:instrText xml:space="preserve"> PAGEREF _Toc186737813 \h </w:instrText>
      </w:r>
      <w:r>
        <w:fldChar w:fldCharType="separate"/>
      </w:r>
      <w:r>
        <w:t>44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"_Toc186737814" </w:instrText>
      </w:r>
      <w:r>
        <w:fldChar w:fldCharType="separate"/>
      </w:r>
      <w:r>
        <w:rPr>
          <w:rStyle w:val="33"/>
          <w:rFonts w:hint="eastAsia" w:ascii="仿宋" w:hAnsi="仿宋" w:eastAsia="仿宋" w:cs="仿宋"/>
        </w:rPr>
        <w:t>（一）响应函</w:t>
      </w:r>
      <w:r>
        <w:tab/>
      </w:r>
      <w:r>
        <w:fldChar w:fldCharType="begin"/>
      </w:r>
      <w:r>
        <w:instrText xml:space="preserve"> PAGEREF _Toc186737814 \h </w:instrText>
      </w:r>
      <w:r>
        <w:fldChar w:fldCharType="separate"/>
      </w:r>
      <w:r>
        <w:t>46</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"_Toc186737815" </w:instrText>
      </w:r>
      <w:r>
        <w:fldChar w:fldCharType="separate"/>
      </w:r>
      <w:r>
        <w:rPr>
          <w:rStyle w:val="33"/>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47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"_Toc186737816" </w:instrText>
      </w:r>
      <w:r>
        <w:fldChar w:fldCharType="separate"/>
      </w:r>
      <w:r>
        <w:rPr>
          <w:rStyle w:val="33"/>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48</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"_Toc186737817" </w:instrText>
      </w:r>
      <w:r>
        <w:fldChar w:fldCharType="separate"/>
      </w:r>
      <w:r>
        <w:rPr>
          <w:rStyle w:val="33"/>
          <w:rFonts w:hint="eastAsia" w:ascii="仿宋" w:hAnsi="仿宋" w:eastAsia="仿宋" w:cs="仿宋"/>
        </w:rPr>
        <w:t>（四）资格证明文件</w:t>
      </w:r>
      <w:r>
        <w:tab/>
      </w:r>
      <w:r>
        <w:fldChar w:fldCharType="begin"/>
      </w:r>
      <w:r>
        <w:instrText xml:space="preserve"> PAGEREF _Toc186737817 \h </w:instrText>
      </w:r>
      <w:r>
        <w:fldChar w:fldCharType="separate"/>
      </w:r>
      <w:r>
        <w:t>49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"_Toc186737818" </w:instrText>
      </w:r>
      <w:r>
        <w:fldChar w:fldCharType="separate"/>
      </w:r>
      <w:r>
        <w:rPr>
          <w:rStyle w:val="33"/>
          <w:rFonts w:hint="eastAsia" w:ascii="仿宋" w:hAnsi="仿宋" w:eastAsia="仿宋" w:cs="仿宋"/>
        </w:rPr>
        <w:t>（五）供应商须知应答偏离表</w:t>
      </w:r>
      <w:r>
        <w:tab/>
      </w:r>
      <w:r>
        <w:fldChar w:fldCharType="begin"/>
      </w:r>
      <w:r>
        <w:instrText xml:space="preserve"> PAGEREF _Toc186737818 \h </w:instrText>
      </w:r>
      <w:r>
        <w:fldChar w:fldCharType="separate"/>
      </w:r>
      <w:r>
        <w:t>57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"_Toc186737819" </w:instrText>
      </w:r>
      <w:r>
        <w:fldChar w:fldCharType="separate"/>
      </w:r>
      <w:r>
        <w:rPr>
          <w:rStyle w:val="33"/>
          <w:rFonts w:hint="eastAsia" w:ascii="仿宋" w:hAnsi="仿宋" w:eastAsia="仿宋" w:cs="仿宋"/>
        </w:rPr>
        <w:t>（七）供应商行为准则承诺书</w:t>
      </w:r>
      <w:r>
        <w:tab/>
      </w:r>
      <w:r>
        <w:fldChar w:fldCharType="begin"/>
      </w:r>
      <w:r>
        <w:instrText xml:space="preserve"> PAGEREF _Toc186737819 \h </w:instrText>
      </w:r>
      <w:r>
        <w:fldChar w:fldCharType="separate"/>
      </w:r>
      <w:r>
        <w:t>59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"_Toc186737820" </w:instrText>
      </w:r>
      <w:r>
        <w:fldChar w:fldCharType="separate"/>
      </w:r>
      <w:r>
        <w:rPr>
          <w:rStyle w:val="33"/>
          <w:rFonts w:hint="eastAsia" w:ascii="仿宋" w:hAnsi="仿宋" w:eastAsia="仿宋" w:cs="宋体"/>
        </w:rPr>
        <w:t>（八）供应商廉洁诚信承诺书</w:t>
      </w:r>
      <w:r>
        <w:tab/>
      </w:r>
      <w:r>
        <w:fldChar w:fldCharType="begin"/>
      </w:r>
      <w:r>
        <w:instrText xml:space="preserve"> PAGEREF _Toc186737820 \h </w:instrText>
      </w:r>
      <w:r>
        <w:fldChar w:fldCharType="separate"/>
      </w:r>
      <w:r>
        <w:t>61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"_Toc186737821" </w:instrText>
      </w:r>
      <w:r>
        <w:fldChar w:fldCharType="separate"/>
      </w:r>
      <w:r>
        <w:rPr>
          <w:rStyle w:val="33"/>
          <w:rFonts w:hint="eastAsia" w:ascii="仿宋" w:hAnsi="仿宋" w:eastAsia="仿宋" w:cs="宋体"/>
        </w:rPr>
        <w:t>（九）信息安全采购要求承诺函</w:t>
      </w:r>
      <w:r>
        <w:tab/>
      </w:r>
      <w:r>
        <w:fldChar w:fldCharType="begin"/>
      </w:r>
      <w:r>
        <w:instrText xml:space="preserve"> PAGEREF _Toc186737821 \h </w:instrText>
      </w:r>
      <w:r>
        <w:fldChar w:fldCharType="separate"/>
      </w:r>
      <w:r>
        <w:t>64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"_Toc186737822" </w:instrText>
      </w:r>
      <w:r>
        <w:fldChar w:fldCharType="separate"/>
      </w:r>
      <w:r>
        <w:rPr>
          <w:rStyle w:val="33"/>
          <w:rFonts w:hint="eastAsia" w:ascii="仿宋" w:hAnsi="仿宋" w:eastAsia="仿宋" w:cs="宋体"/>
        </w:rPr>
        <w:t>（</w:t>
      </w:r>
      <w:r>
        <w:rPr>
          <w:rStyle w:val="33"/>
          <w:rFonts w:hint="eastAsia" w:ascii="仿宋" w:hAnsi="仿宋" w:eastAsia="仿宋" w:cs="宋体"/>
          <w:lang w:val="en-US" w:eastAsia="zh-CN"/>
        </w:rPr>
        <w:t>十</w:t>
      </w:r>
      <w:r>
        <w:rPr>
          <w:rStyle w:val="33"/>
          <w:rFonts w:hint="eastAsia" w:ascii="仿宋" w:hAnsi="仿宋" w:eastAsia="仿宋" w:cs="宋体"/>
        </w:rPr>
        <w:t>）其他材料</w:t>
      </w:r>
      <w:r>
        <w:tab/>
      </w:r>
      <w:r>
        <w:fldChar w:fldCharType="begin"/>
      </w:r>
      <w:r>
        <w:instrText xml:space="preserve"> PAGEREF _Toc186737822 \h </w:instrText>
      </w:r>
      <w:r>
        <w:fldChar w:fldCharType="separate"/>
      </w:r>
      <w:r>
        <w:t>66</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"_Toc186737823" </w:instrText>
      </w:r>
      <w:r>
        <w:fldChar w:fldCharType="separate"/>
      </w:r>
      <w:r>
        <w:rPr>
          <w:rStyle w:val="33"/>
          <w:rFonts w:hint="eastAsia" w:ascii="仿宋" w:hAnsi="仿宋" w:eastAsia="仿宋" w:cs="仿宋"/>
        </w:rPr>
        <w:t>二、技术文件</w:t>
      </w:r>
      <w:r>
        <w:tab/>
      </w:r>
      <w:r>
        <w:fldChar w:fldCharType="begin"/>
      </w:r>
      <w:r>
        <w:instrText xml:space="preserve"> PAGEREF _Toc186737823 \h </w:instrText>
      </w:r>
      <w:r>
        <w:fldChar w:fldCharType="separate"/>
      </w:r>
      <w:r>
        <w:t>67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"_Toc186737824" </w:instrText>
      </w:r>
      <w:r>
        <w:fldChar w:fldCharType="separate"/>
      </w:r>
      <w:r>
        <w:rPr>
          <w:rStyle w:val="33"/>
          <w:rFonts w:hint="eastAsia" w:ascii="仿宋" w:hAnsi="仿宋" w:eastAsia="仿宋" w:cs="仿宋"/>
        </w:rPr>
        <w:t>（一）采购需求应答偏离表</w:t>
      </w:r>
      <w:r>
        <w:tab/>
      </w:r>
      <w:r>
        <w:fldChar w:fldCharType="begin"/>
      </w:r>
      <w:r>
        <w:instrText xml:space="preserve"> PAGEREF _Toc186737824 \h </w:instrText>
      </w:r>
      <w:r>
        <w:fldChar w:fldCharType="separate"/>
      </w:r>
      <w:r>
        <w:t>68</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"_Toc186737825" </w:instrText>
      </w:r>
      <w:r>
        <w:fldChar w:fldCharType="separate"/>
      </w:r>
      <w:r>
        <w:rPr>
          <w:rStyle w:val="33"/>
          <w:rFonts w:hint="eastAsia" w:ascii="仿宋" w:hAnsi="仿宋" w:eastAsia="仿宋" w:cs="仿宋"/>
        </w:rPr>
        <w:t>（二）技术方案</w:t>
      </w:r>
      <w:r>
        <w:tab/>
      </w:r>
      <w:r>
        <w:fldChar w:fldCharType="begin"/>
      </w:r>
      <w:r>
        <w:instrText xml:space="preserve"> PAGEREF _Toc186737825 \h </w:instrText>
      </w:r>
      <w:r>
        <w:fldChar w:fldCharType="separate"/>
      </w:r>
      <w:r>
        <w:t>69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"_Toc186737826" </w:instrText>
      </w:r>
      <w:r>
        <w:fldChar w:fldCharType="separate"/>
      </w:r>
      <w:r>
        <w:rPr>
          <w:rStyle w:val="33"/>
          <w:rFonts w:hint="eastAsia" w:ascii="仿宋" w:hAnsi="仿宋" w:eastAsia="仿宋" w:cs="仿宋"/>
        </w:rPr>
        <w:t>（三）其他材料</w:t>
      </w:r>
      <w:r>
        <w:tab/>
      </w:r>
      <w:r>
        <w:fldChar w:fldCharType="begin"/>
      </w:r>
      <w:r>
        <w:instrText xml:space="preserve"> PAGEREF _Toc186737826 \h </w:instrText>
      </w:r>
      <w:r>
        <w:fldChar w:fldCharType="separate"/>
      </w:r>
      <w:r>
        <w:t>72</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"_Toc186737827" </w:instrText>
      </w:r>
      <w:r>
        <w:fldChar w:fldCharType="separate"/>
      </w:r>
      <w:r>
        <w:rPr>
          <w:rStyle w:val="33"/>
          <w:rFonts w:hint="eastAsia" w:ascii="仿宋" w:hAnsi="仿宋" w:eastAsia="仿宋" w:cs="仿宋"/>
        </w:rPr>
        <w:t>三、报价文件</w:t>
      </w:r>
      <w:r>
        <w:tab/>
      </w:r>
      <w:r>
        <w:fldChar w:fldCharType="begin"/>
      </w:r>
      <w:r>
        <w:instrText xml:space="preserve"> PAGEREF _Toc186737827 \h </w:instrText>
      </w:r>
      <w:r>
        <w:fldChar w:fldCharType="separate"/>
      </w:r>
      <w:r>
        <w:t>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"_Toc186737828" </w:instrText>
      </w:r>
      <w:r>
        <w:fldChar w:fldCharType="separate"/>
      </w:r>
      <w:r>
        <w:rPr>
          <w:rStyle w:val="33"/>
          <w:rFonts w:hint="eastAsia" w:ascii="仿宋" w:hAnsi="仿宋" w:eastAsia="仿宋" w:cs="仿宋"/>
        </w:rPr>
        <w:t>（一）报价一览表</w:t>
      </w:r>
      <w:r>
        <w:tab/>
      </w:r>
      <w:r>
        <w:fldChar w:fldCharType="begin"/>
      </w:r>
      <w:r>
        <w:instrText xml:space="preserve"> PAGEREF _Toc186737828 \h </w:instrText>
      </w:r>
      <w:r>
        <w:fldChar w:fldCharType="separate"/>
      </w:r>
      <w:r>
        <w:t>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"_Toc186737829" </w:instrText>
      </w:r>
      <w:r>
        <w:fldChar w:fldCharType="separate"/>
      </w:r>
      <w:r>
        <w:rPr>
          <w:rStyle w:val="33"/>
          <w:rFonts w:hint="eastAsia" w:ascii="仿宋" w:hAnsi="仿宋" w:eastAsia="仿宋" w:cs="仿宋"/>
        </w:rPr>
        <w:t>（二）分项报价表</w:t>
      </w:r>
      <w:r>
        <w:tab/>
      </w:r>
      <w:r>
        <w:fldChar w:fldCharType="begin"/>
      </w:r>
      <w:r>
        <w:instrText xml:space="preserve"> PAGEREF _Toc186737829 \h </w:instrText>
      </w:r>
      <w:r>
        <w:fldChar w:fldCharType="separate"/>
      </w:r>
      <w:r>
        <w:t>2</w:t>
      </w:r>
      <w:r>
        <w:fldChar w:fldCharType="end"/>
      </w:r>
      <w:r>
        <w:fldChar w:fldCharType="end"/>
      </w:r>
    </w:p>
    <w:p>
      <w:pPr>
        <w:pStyle w:val="3"/>
        <w:ind w:left="0" w:firstLine="0"/>
        <w:rPr>
          <w:rFonts w:ascii="仿宋_GB2312" w:hAnsi="宋体" w:eastAsia="仿宋_GB2312"/>
          <w:b w:val="0"/>
          <w:bCs w:val="0"/>
          <w:color w:val="auto"/>
        </w:rPr>
        <w:sectPr>
          <w:footerReference r:id="rId7"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 w:val="0"/>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8" w:type="default"/>
          <w:footerReference r:id="rId9" w:type="default"/>
          <w:type w:val="continuous"/>
          <w:pgSz w:w="11906" w:h="16838"/>
          <w:pgMar w:top="1440" w:right="1134" w:bottom="1440" w:left="1134" w:header="851" w:footer="992" w:gutter="0"/>
          <w:pgNumType w:fmt="decimal"/>
          <w:cols w:space="720" w:num="1"/>
          <w:docGrid w:linePitch="326" w:charSpace="0"/>
        </w:sectPr>
      </w:pPr>
    </w:p>
    <w:p>
      <w:pPr>
        <w:pStyle w:val="3"/>
        <w:ind w:left="0" w:firstLine="0"/>
        <w:rPr>
          <w:rFonts w:ascii="仿宋_GB2312" w:hAnsi="宋体" w:eastAsia="仿宋_GB2312"/>
          <w:color w:val="auto"/>
          <w:sz w:val="28"/>
          <w:szCs w:val="28"/>
        </w:rPr>
      </w:pPr>
      <w:bookmarkStart w:id="0" w:name="_Toc186737790"/>
      <w:bookmarkStart w:id="1" w:name="_Toc21360"/>
      <w:r>
        <w:rPr>
          <w:rFonts w:hint="eastAsia" w:ascii="仿宋_GB2312" w:hAnsi="宋体" w:eastAsia="仿宋_GB2312"/>
          <w:color w:val="auto"/>
          <w:sz w:val="28"/>
          <w:szCs w:val="28"/>
        </w:rPr>
        <w:t>第一章 比选邀请</w:t>
      </w:r>
      <w:bookmarkEnd w:id="0"/>
      <w:bookmarkEnd w:id="1"/>
    </w:p>
    <w:p>
      <w:pPr>
        <w:wordWrap w:val="0"/>
        <w:spacing w:line="360" w:lineRule="auto"/>
        <w:ind w:firstLine="480" w:firstLineChars="200"/>
        <w:textAlignment w:val="baseline"/>
        <w:rPr>
          <w:rFonts w:ascii="仿宋" w:hAnsi="仿宋" w:eastAsia="仿宋" w:cs="Cambria Math"/>
          <w:color w:val="000000"/>
        </w:rPr>
      </w:pPr>
      <w:r>
        <w:rPr>
          <w:rFonts w:hint="eastAsia" w:ascii="仿宋_GB2312" w:hAnsi="宋体" w:eastAsia="仿宋_GB2312"/>
        </w:rPr>
        <w:t xml:space="preserve">   </w:t>
      </w:r>
      <w:r>
        <w:rPr>
          <w:rFonts w:hint="eastAsia" w:ascii="仿宋" w:hAnsi="仿宋" w:eastAsia="仿宋" w:cs="仿宋"/>
          <w:color w:val="000000"/>
        </w:rPr>
        <w:t>本项目</w:t>
      </w:r>
      <w:r>
        <w:rPr>
          <w:rFonts w:hint="eastAsia" w:ascii="仿宋" w:hAnsi="仿宋" w:eastAsia="仿宋" w:cs="仿宋"/>
          <w:color w:val="000000"/>
          <w:u w:val="single"/>
          <w:lang w:eastAsia="zh-CN"/>
        </w:rPr>
        <w:t>人保财险</w:t>
      </w:r>
      <w:r>
        <w:rPr>
          <w:rFonts w:hint="eastAsia" w:ascii="仿宋" w:hAnsi="仿宋" w:eastAsia="仿宋" w:cs="仿宋"/>
          <w:color w:val="000000"/>
          <w:u w:val="single"/>
          <w:lang w:val="en-US" w:eastAsia="zh-CN"/>
        </w:rPr>
        <w:t>四川省</w:t>
      </w:r>
      <w:r>
        <w:rPr>
          <w:rFonts w:hint="eastAsia" w:ascii="仿宋" w:hAnsi="仿宋" w:eastAsia="仿宋" w:cs="仿宋"/>
          <w:color w:val="000000"/>
          <w:u w:val="single"/>
          <w:lang w:eastAsia="zh-CN"/>
        </w:rPr>
        <w:t>乐山市分公司融信部</w:t>
      </w:r>
      <w:r>
        <w:rPr>
          <w:rFonts w:hint="eastAsia" w:ascii="仿宋" w:hAnsi="仿宋" w:eastAsia="仿宋" w:cs="仿宋"/>
          <w:color w:val="000000"/>
          <w:u w:val="single"/>
          <w:lang w:val="en-US" w:eastAsia="zh-CN"/>
        </w:rPr>
        <w:t>劳务</w:t>
      </w:r>
      <w:r>
        <w:rPr>
          <w:rFonts w:hint="eastAsia" w:ascii="仿宋" w:hAnsi="仿宋" w:eastAsia="仿宋" w:cs="仿宋"/>
          <w:color w:val="000000"/>
          <w:u w:val="single"/>
          <w:lang w:eastAsia="zh-CN"/>
        </w:rPr>
        <w:t>外包服务采购项目</w:t>
      </w:r>
      <w:r>
        <w:rPr>
          <w:rFonts w:hint="eastAsia" w:ascii="仿宋" w:hAnsi="仿宋" w:eastAsia="仿宋" w:cs="仿宋"/>
          <w:color w:val="auto"/>
        </w:rPr>
        <w:t>（采购项目编号：</w:t>
      </w:r>
      <w:r>
        <w:rPr>
          <w:rFonts w:hint="eastAsia" w:ascii="仿宋" w:hAnsi="仿宋" w:eastAsia="仿宋" w:cs="仿宋"/>
          <w:color w:val="auto"/>
        </w:rPr>
        <w:br w:type="textWrapping"/>
      </w:r>
      <w:r>
        <w:rPr>
          <w:rFonts w:hint="eastAsia" w:ascii="仿宋" w:hAnsi="仿宋" w:eastAsia="仿宋" w:cs="仿宋"/>
          <w:color w:val="auto"/>
        </w:rPr>
        <w:t>XM26FSPC001585 ）</w:t>
      </w:r>
      <w:r>
        <w:rPr>
          <w:rFonts w:hint="eastAsia" w:ascii="仿宋" w:hAnsi="仿宋" w:eastAsia="仿宋" w:cs="仿宋"/>
          <w:color w:val="000000"/>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乐山市</w:t>
      </w:r>
      <w:r>
        <w:rPr>
          <w:rFonts w:hint="eastAsia" w:ascii="仿宋" w:hAnsi="仿宋" w:eastAsia="仿宋" w:cs="仿宋"/>
          <w:color w:val="auto"/>
          <w:u w:val="single"/>
        </w:rPr>
        <w:t>分公司</w:t>
      </w:r>
      <w:r>
        <w:rPr>
          <w:rFonts w:hint="eastAsia" w:ascii="仿宋" w:hAnsi="仿宋" w:eastAsia="仿宋" w:cs="仿宋"/>
          <w:color w:val="auto"/>
        </w:rPr>
        <w:t>（</w:t>
      </w:r>
      <w:r>
        <w:rPr>
          <w:rFonts w:hint="eastAsia" w:ascii="仿宋" w:hAnsi="仿宋" w:eastAsia="仿宋" w:cs="仿宋"/>
          <w:color w:val="000000"/>
        </w:rPr>
        <w:t>以下简称“采购人”）</w:t>
      </w:r>
      <w:r>
        <w:rPr>
          <w:rFonts w:hint="eastAsia" w:ascii="仿宋" w:hAnsi="仿宋" w:eastAsia="仿宋" w:cs="Cambria Math"/>
        </w:rPr>
        <w:t>批准并落实资</w:t>
      </w:r>
      <w:r>
        <w:rPr>
          <w:rFonts w:hint="eastAsia" w:ascii="仿宋" w:hAnsi="仿宋" w:eastAsia="仿宋" w:cs="Cambria Math"/>
          <w:color w:val="auto"/>
        </w:rPr>
        <w:t>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乐山市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乐山市</w:t>
      </w:r>
      <w:r>
        <w:rPr>
          <w:rFonts w:hint="eastAsia" w:ascii="仿宋" w:hAnsi="仿宋" w:eastAsia="仿宋" w:cs="宋体"/>
          <w:color w:val="auto"/>
        </w:rPr>
        <w:t>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有意向且具有提供标的物能力的潜在供应商（以下简称“供应商”）可前来参与比选响应。</w:t>
      </w:r>
      <w:r>
        <w:rPr>
          <w:rFonts w:hint="eastAsia" w:ascii="仿宋" w:hAnsi="仿宋" w:eastAsia="仿宋" w:cs="Cambria Math"/>
          <w:color w:val="000000"/>
        </w:rPr>
        <w:t xml:space="preserve"> </w:t>
      </w:r>
    </w:p>
    <w:p>
      <w:pPr>
        <w:pStyle w:val="4"/>
        <w:jc w:val="left"/>
        <w:rPr>
          <w:rFonts w:ascii="仿宋" w:hAnsi="仿宋" w:eastAsia="仿宋" w:cs="仿宋"/>
          <w:color w:val="000000"/>
          <w:sz w:val="24"/>
          <w:szCs w:val="24"/>
        </w:rPr>
      </w:pPr>
      <w:bookmarkStart w:id="2" w:name="_Toc186737791"/>
      <w:bookmarkStart w:id="3" w:name="_Toc21237"/>
      <w:r>
        <w:rPr>
          <w:rFonts w:hint="eastAsia" w:ascii="仿宋" w:hAnsi="仿宋" w:eastAsia="仿宋" w:cs="仿宋"/>
          <w:color w:val="000000"/>
          <w:sz w:val="24"/>
          <w:szCs w:val="24"/>
        </w:rPr>
        <w:t>一、项目概况与采购范围</w:t>
      </w:r>
      <w:bookmarkEnd w:id="2"/>
      <w:bookmarkEnd w:id="3"/>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rPr>
      </w:pPr>
      <w:r>
        <w:rPr>
          <w:rFonts w:hint="eastAsia" w:ascii="仿宋" w:hAnsi="仿宋" w:eastAsia="仿宋" w:cs="仿宋"/>
          <w:color w:val="000000"/>
        </w:rPr>
        <w:t>1.1 项目名称：</w:t>
      </w:r>
      <w:r>
        <w:rPr>
          <w:rFonts w:hint="eastAsia" w:ascii="仿宋" w:hAnsi="仿宋" w:eastAsia="仿宋" w:cs="仿宋"/>
          <w:color w:val="000000"/>
          <w:u w:val="single"/>
          <w:lang w:eastAsia="zh-CN"/>
        </w:rPr>
        <w:t>人保财险</w:t>
      </w:r>
      <w:r>
        <w:rPr>
          <w:rFonts w:hint="eastAsia" w:ascii="仿宋" w:hAnsi="仿宋" w:eastAsia="仿宋" w:cs="仿宋"/>
          <w:color w:val="000000"/>
          <w:u w:val="single"/>
          <w:lang w:val="en-US" w:eastAsia="zh-CN"/>
        </w:rPr>
        <w:t>四川省</w:t>
      </w:r>
      <w:r>
        <w:rPr>
          <w:rFonts w:hint="eastAsia" w:ascii="仿宋" w:hAnsi="仿宋" w:eastAsia="仿宋" w:cs="仿宋"/>
          <w:color w:val="000000"/>
          <w:u w:val="single"/>
          <w:lang w:eastAsia="zh-CN"/>
        </w:rPr>
        <w:t>乐山市分公司融信部</w:t>
      </w:r>
      <w:r>
        <w:rPr>
          <w:rFonts w:hint="eastAsia" w:ascii="仿宋" w:hAnsi="仿宋" w:eastAsia="仿宋" w:cs="仿宋"/>
          <w:color w:val="000000"/>
          <w:u w:val="single"/>
          <w:lang w:val="en-US" w:eastAsia="zh-CN"/>
        </w:rPr>
        <w:t>劳务</w:t>
      </w:r>
      <w:r>
        <w:rPr>
          <w:rFonts w:hint="eastAsia" w:ascii="仿宋" w:hAnsi="仿宋" w:eastAsia="仿宋" w:cs="仿宋"/>
          <w:color w:val="000000"/>
          <w:u w:val="single"/>
          <w:lang w:eastAsia="zh-CN"/>
        </w:rPr>
        <w:t>外包服务采购项目</w:t>
      </w:r>
      <w:r>
        <w:rPr>
          <w:rFonts w:hint="eastAsia" w:ascii="仿宋" w:hAnsi="仿宋" w:eastAsia="仿宋" w:cs="仿宋"/>
          <w:color w:val="000000"/>
        </w:rPr>
        <w:t>。</w:t>
      </w:r>
    </w:p>
    <w:p>
      <w:pPr>
        <w:keepNext w:val="0"/>
        <w:keepLines w:val="0"/>
        <w:pageBreakBefore w:val="0"/>
        <w:widowControl/>
        <w:kinsoku/>
        <w:wordWrap/>
        <w:overflowPunct/>
        <w:topLinePunct w:val="0"/>
        <w:autoSpaceDE/>
        <w:autoSpaceDN/>
        <w:bidi w:val="0"/>
        <w:adjustRightInd w:val="0"/>
        <w:snapToGrid w:val="0"/>
        <w:spacing w:line="360" w:lineRule="auto"/>
        <w:ind w:left="480" w:leftChars="200" w:firstLine="0" w:firstLineChars="0"/>
        <w:textAlignment w:val="auto"/>
        <w:rPr>
          <w:rFonts w:hint="eastAsia" w:ascii="仿宋" w:hAnsi="仿宋" w:eastAsia="仿宋" w:cs="宋体"/>
          <w:color w:val="auto"/>
          <w:lang w:eastAsia="zh-CN"/>
        </w:rPr>
      </w:pPr>
      <w:r>
        <w:rPr>
          <w:rFonts w:hint="eastAsia" w:ascii="仿宋" w:hAnsi="仿宋" w:eastAsia="仿宋" w:cs="仿宋"/>
          <w:color w:val="000000"/>
        </w:rPr>
        <w:t>1.2 采购范围：</w:t>
      </w:r>
      <w:r>
        <w:rPr>
          <w:rFonts w:hint="eastAsia" w:ascii="仿宋" w:hAnsi="仿宋" w:eastAsia="仿宋" w:cs="仿宋"/>
          <w:color w:val="auto"/>
        </w:rPr>
        <w:t>本项目拟采购</w:t>
      </w:r>
      <w:r>
        <w:rPr>
          <w:rFonts w:hint="eastAsia" w:ascii="仿宋" w:hAnsi="仿宋" w:eastAsia="仿宋" w:cs="仿宋"/>
          <w:color w:val="auto"/>
          <w:lang w:val="en-US" w:eastAsia="zh-CN"/>
        </w:rPr>
        <w:t>融信部</w:t>
      </w:r>
      <w:r>
        <w:rPr>
          <w:rFonts w:hint="eastAsia" w:ascii="仿宋" w:hAnsi="仿宋" w:eastAsia="仿宋" w:cs="仿宋"/>
          <w:color w:val="000000" w:themeColor="text1"/>
          <w:lang w:val="en-US" w:eastAsia="zh-CN"/>
          <w14:textFill>
            <w14:solidFill>
              <w14:schemeClr w14:val="tx1"/>
            </w14:solidFill>
          </w14:textFill>
        </w:rPr>
        <w:t>劳务外包服务</w:t>
      </w:r>
      <w:r>
        <w:rPr>
          <w:rFonts w:hint="eastAsia" w:ascii="仿宋" w:hAnsi="仿宋" w:eastAsia="仿宋" w:cs="仿宋"/>
          <w:color w:val="000000"/>
        </w:rPr>
        <w:t xml:space="preserve">，具体技术要求详见第五章采购需求。1.3 </w:t>
      </w:r>
      <w:r>
        <w:rPr>
          <w:rFonts w:hint="eastAsia" w:ascii="仿宋" w:hAnsi="仿宋" w:eastAsia="仿宋" w:cs="仿宋"/>
        </w:rPr>
        <w:t>标包划</w:t>
      </w:r>
      <w:r>
        <w:rPr>
          <w:rFonts w:hint="eastAsia" w:ascii="仿宋" w:hAnsi="仿宋" w:eastAsia="仿宋" w:cs="仿宋"/>
          <w:color w:val="auto"/>
        </w:rPr>
        <w:t>分：</w:t>
      </w:r>
      <w:r>
        <w:rPr>
          <w:rFonts w:hint="eastAsia" w:ascii="仿宋" w:hAnsi="仿宋" w:eastAsia="仿宋" w:cs="宋体"/>
          <w:color w:val="auto"/>
        </w:rPr>
        <w:t>本项目不划分标包</w:t>
      </w:r>
      <w:r>
        <w:rPr>
          <w:rFonts w:hint="eastAsia" w:ascii="仿宋" w:hAnsi="仿宋" w:eastAsia="仿宋" w:cs="宋体"/>
          <w:color w:val="auto"/>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left="480" w:leftChars="200" w:firstLine="0" w:firstLineChars="0"/>
        <w:textAlignment w:val="auto"/>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5</w:t>
      </w:r>
      <w:r>
        <w:rPr>
          <w:rFonts w:hint="eastAsia" w:ascii="仿宋" w:hAnsi="仿宋" w:eastAsia="仿宋" w:cs="仿宋"/>
          <w:color w:val="000000"/>
        </w:rPr>
        <w:t>服务期</w:t>
      </w:r>
      <w:r>
        <w:rPr>
          <w:rFonts w:hint="eastAsia" w:ascii="仿宋" w:hAnsi="仿宋" w:eastAsia="仿宋" w:cs="仿宋"/>
          <w:color w:val="auto"/>
        </w:rPr>
        <w:t>限：</w:t>
      </w:r>
      <w:r>
        <w:rPr>
          <w:rFonts w:hint="eastAsia" w:ascii="仿宋" w:hAnsi="仿宋" w:eastAsia="仿宋" w:cs="宋体"/>
          <w:color w:val="auto"/>
        </w:rPr>
        <w:t>自合同签订之日起</w:t>
      </w:r>
      <w:r>
        <w:rPr>
          <w:rFonts w:hint="eastAsia" w:ascii="仿宋" w:hAnsi="仿宋" w:eastAsia="仿宋" w:cs="宋体"/>
          <w:color w:val="auto"/>
          <w:lang w:val="en-US" w:eastAsia="zh-CN"/>
        </w:rPr>
        <w:t>2</w:t>
      </w:r>
      <w:r>
        <w:rPr>
          <w:rFonts w:hint="eastAsia" w:ascii="仿宋" w:hAnsi="仿宋" w:eastAsia="仿宋" w:cs="宋体"/>
          <w:color w:val="auto"/>
        </w:rPr>
        <w:t>年。</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宋体"/>
          <w:color w:val="FF0000"/>
        </w:rPr>
      </w:pPr>
      <w:r>
        <w:rPr>
          <w:rFonts w:hint="eastAsia" w:ascii="仿宋" w:hAnsi="仿宋" w:eastAsia="仿宋" w:cs="仿宋"/>
          <w:color w:val="000000"/>
        </w:rPr>
        <w:t>1.</w:t>
      </w:r>
      <w:r>
        <w:rPr>
          <w:rFonts w:ascii="仿宋" w:hAnsi="仿宋" w:eastAsia="仿宋" w:cs="仿宋"/>
          <w:color w:val="000000"/>
        </w:rPr>
        <w:t>6</w:t>
      </w:r>
      <w:r>
        <w:rPr>
          <w:rFonts w:hint="eastAsia" w:ascii="仿宋" w:hAnsi="仿宋" w:eastAsia="仿宋" w:cs="宋体"/>
          <w:color w:val="000000"/>
        </w:rPr>
        <w:t>服务地点：</w:t>
      </w:r>
      <w:r>
        <w:rPr>
          <w:rFonts w:hint="eastAsia" w:ascii="仿宋" w:hAnsi="仿宋" w:eastAsia="仿宋" w:cs="宋体"/>
          <w:color w:val="auto"/>
          <w:highlight w:val="none"/>
          <w:lang w:val="en-US" w:eastAsia="zh-CN"/>
        </w:rPr>
        <w:t>四川省</w:t>
      </w:r>
      <w:r>
        <w:rPr>
          <w:rFonts w:hint="eastAsia" w:ascii="仿宋" w:hAnsi="仿宋" w:eastAsia="仿宋" w:cs="宋体"/>
          <w:color w:val="auto"/>
          <w:highlight w:val="none"/>
          <w:lang w:eastAsia="zh-CN"/>
        </w:rPr>
        <w:t>乐山市市中区嘉定北路</w:t>
      </w:r>
      <w:r>
        <w:rPr>
          <w:rFonts w:hint="eastAsia" w:ascii="仿宋" w:hAnsi="仿宋" w:eastAsia="仿宋" w:cs="宋体"/>
          <w:color w:val="auto"/>
          <w:highlight w:val="none"/>
          <w:lang w:val="en-US" w:eastAsia="zh-CN"/>
        </w:rPr>
        <w:t>149号</w:t>
      </w:r>
      <w:r>
        <w:rPr>
          <w:rFonts w:hint="eastAsia" w:ascii="仿宋" w:hAnsi="仿宋" w:eastAsia="仿宋" w:cs="宋体"/>
          <w:color w:val="auto"/>
          <w:highlight w:val="none"/>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eastAsia="仿宋"/>
          <w:highlight w:val="none"/>
          <w:lang w:val="en-US" w:eastAsia="zh-CN"/>
        </w:rPr>
      </w:pPr>
      <w:r>
        <w:rPr>
          <w:rFonts w:ascii="仿宋" w:hAnsi="仿宋" w:eastAsia="仿宋" w:cs="仿宋"/>
          <w:color w:val="000000"/>
        </w:rPr>
        <w:t>1.7 项目限价</w:t>
      </w:r>
      <w:r>
        <w:rPr>
          <w:rFonts w:hint="eastAsia" w:ascii="仿宋" w:hAnsi="仿宋" w:eastAsia="仿宋" w:cs="仿宋"/>
          <w:color w:val="000000"/>
        </w:rPr>
        <w:t>：</w:t>
      </w:r>
      <w:r>
        <w:rPr>
          <w:rFonts w:ascii="仿宋" w:hAnsi="仿宋" w:eastAsia="仿宋" w:cs="仿宋"/>
          <w:color w:val="auto"/>
          <w:highlight w:val="none"/>
        </w:rPr>
        <w:t>项目设置最高限价</w:t>
      </w:r>
      <w:r>
        <w:rPr>
          <w:rFonts w:hint="eastAsia" w:ascii="仿宋" w:hAnsi="仿宋" w:eastAsia="仿宋" w:cs="仿宋"/>
          <w:color w:val="auto"/>
          <w:highlight w:val="none"/>
        </w:rPr>
        <w:t>，</w:t>
      </w:r>
      <w:r>
        <w:rPr>
          <w:rFonts w:ascii="仿宋" w:hAnsi="仿宋" w:eastAsia="仿宋" w:cs="仿宋"/>
          <w:color w:val="auto"/>
          <w:highlight w:val="none"/>
        </w:rPr>
        <w:t>即供应商</w:t>
      </w:r>
      <w:r>
        <w:rPr>
          <w:rFonts w:hint="eastAsia" w:ascii="仿宋" w:hAnsi="仿宋" w:eastAsia="仿宋" w:cs="仿宋"/>
          <w:color w:val="auto"/>
          <w:highlight w:val="none"/>
          <w:lang w:val="en-US" w:eastAsia="zh-CN"/>
        </w:rPr>
        <w:t>单价</w:t>
      </w:r>
      <w:r>
        <w:rPr>
          <w:rFonts w:ascii="仿宋" w:hAnsi="仿宋" w:eastAsia="仿宋" w:cs="仿宋"/>
          <w:color w:val="auto"/>
          <w:highlight w:val="none"/>
        </w:rPr>
        <w:t>报价</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1.未逾期账户每月还款提醒服务</w:t>
      </w:r>
      <w:r>
        <w:rPr>
          <w:rFonts w:ascii="仿宋" w:hAnsi="仿宋" w:eastAsia="仿宋" w:cs="仿宋"/>
          <w:color w:val="auto"/>
          <w:highlight w:val="none"/>
        </w:rPr>
        <w:t>不得高于</w:t>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元/次/人</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否则将被视为无效报价</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2.逾期账户催收服务</w:t>
      </w:r>
      <w:r>
        <w:rPr>
          <w:rFonts w:ascii="仿宋" w:hAnsi="仿宋" w:eastAsia="仿宋" w:cs="仿宋"/>
          <w:color w:val="auto"/>
          <w:highlight w:val="none"/>
        </w:rPr>
        <w:t>不得高于</w:t>
      </w:r>
      <w:r>
        <w:rPr>
          <w:rFonts w:hint="eastAsia" w:ascii="仿宋" w:hAnsi="仿宋" w:eastAsia="仿宋" w:cs="仿宋"/>
          <w:color w:val="auto"/>
          <w:highlight w:val="none"/>
          <w:lang w:val="en-US" w:eastAsia="zh-CN"/>
        </w:rPr>
        <w:t>催回比例</w:t>
      </w: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0</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/人/月；3.逾期理赔账户下户调查回访服务</w:t>
      </w:r>
      <w:r>
        <w:rPr>
          <w:rFonts w:ascii="仿宋" w:hAnsi="仿宋" w:eastAsia="仿宋" w:cs="仿宋"/>
          <w:color w:val="auto"/>
          <w:highlight w:val="none"/>
        </w:rPr>
        <w:t>不得高于</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00</w:t>
      </w:r>
      <w:r>
        <w:rPr>
          <w:rFonts w:hint="eastAsia" w:ascii="仿宋" w:hAnsi="仿宋" w:eastAsia="仿宋" w:cs="仿宋"/>
          <w:color w:val="auto"/>
          <w:highlight w:val="none"/>
        </w:rPr>
        <w:t>元/次/人</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否则将被视为无效报价</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4.资料收集整理服务</w:t>
      </w:r>
      <w:r>
        <w:rPr>
          <w:rFonts w:ascii="仿宋" w:hAnsi="仿宋" w:eastAsia="仿宋" w:cs="仿宋"/>
          <w:color w:val="auto"/>
          <w:highlight w:val="none"/>
        </w:rPr>
        <w:t>不得高于</w:t>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元/次/人</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否则将被视为无效报价</w:t>
      </w:r>
      <w:r>
        <w:rPr>
          <w:rFonts w:hint="eastAsia" w:ascii="仿宋" w:hAnsi="仿宋" w:eastAsia="仿宋" w:cs="仿宋"/>
          <w:color w:val="auto"/>
          <w:highlight w:val="none"/>
          <w:lang w:eastAsia="zh-CN"/>
        </w:rPr>
        <w:t>。</w:t>
      </w:r>
    </w:p>
    <w:p>
      <w:pPr>
        <w:pStyle w:val="4"/>
        <w:jc w:val="left"/>
        <w:rPr>
          <w:rFonts w:ascii="仿宋" w:hAnsi="仿宋" w:eastAsia="仿宋" w:cs="仿宋"/>
          <w:color w:val="000000"/>
          <w:sz w:val="24"/>
          <w:szCs w:val="24"/>
        </w:rPr>
      </w:pPr>
      <w:bookmarkStart w:id="4" w:name="_Toc186737792"/>
      <w:bookmarkStart w:id="5" w:name="_Toc17569"/>
      <w:r>
        <w:rPr>
          <w:rFonts w:hint="eastAsia" w:ascii="仿宋" w:hAnsi="仿宋" w:eastAsia="仿宋" w:cs="仿宋"/>
          <w:color w:val="000000"/>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2.1</w:t>
      </w:r>
      <w:r>
        <w:rPr>
          <w:rFonts w:hint="eastAsia" w:ascii="仿宋" w:hAnsi="仿宋" w:eastAsia="仿宋" w:cs="宋体"/>
          <w:b/>
          <w:bCs/>
          <w:color w:val="000000"/>
        </w:rPr>
        <w:t>在中华人民共和国境内依法登记的法人或其他组织，具有独立承担民事责任的能力，</w:t>
      </w:r>
      <w:r>
        <w:rPr>
          <w:rFonts w:hint="eastAsia" w:ascii="仿宋" w:hAnsi="仿宋" w:eastAsia="仿宋" w:cs="宋体"/>
          <w:color w:val="000000"/>
        </w:rPr>
        <w:t>供应商如为企业法人，须提供企业法人营业执照</w:t>
      </w:r>
      <w:r>
        <w:rPr>
          <w:rFonts w:hint="eastAsia" w:ascii="仿宋" w:hAnsi="仿宋" w:eastAsia="仿宋" w:cs="Monaco"/>
          <w:color w:val="000000"/>
        </w:rPr>
        <w:t>（复印件）</w:t>
      </w:r>
      <w:r>
        <w:rPr>
          <w:rFonts w:hint="eastAsia" w:ascii="仿宋" w:hAnsi="仿宋" w:eastAsia="仿宋" w:cs="宋体"/>
          <w:color w:val="000000"/>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2.2</w:t>
      </w:r>
      <w:r>
        <w:rPr>
          <w:rFonts w:hint="eastAsia" w:ascii="仿宋" w:hAnsi="仿宋" w:eastAsia="仿宋" w:cs="宋体"/>
          <w:b/>
          <w:bCs/>
          <w:color w:val="000000"/>
        </w:rPr>
        <w:t>具有良好的商业信誉和健全的财务会计制度</w:t>
      </w:r>
      <w:r>
        <w:rPr>
          <w:rFonts w:hint="eastAsia" w:ascii="仿宋" w:hAnsi="仿宋" w:eastAsia="仿宋" w:cs="宋体"/>
          <w:color w:val="000000"/>
        </w:rPr>
        <w:t>，需提供</w:t>
      </w:r>
      <w:r>
        <w:rPr>
          <w:rFonts w:hint="eastAsia" w:ascii="仿宋" w:hAnsi="仿宋" w:eastAsia="仿宋" w:cs="宋体"/>
          <w:color w:val="auto"/>
        </w:rPr>
        <w:t>20</w:t>
      </w:r>
      <w:r>
        <w:rPr>
          <w:rFonts w:hint="eastAsia" w:ascii="仿宋" w:hAnsi="仿宋" w:eastAsia="仿宋" w:cs="宋体"/>
          <w:color w:val="auto"/>
          <w:lang w:val="en-US" w:eastAsia="zh-CN"/>
        </w:rPr>
        <w:t>25</w:t>
      </w:r>
      <w:r>
        <w:rPr>
          <w:rFonts w:hint="eastAsia" w:ascii="仿宋" w:hAnsi="仿宋" w:eastAsia="仿宋" w:cs="宋体"/>
          <w:color w:val="auto"/>
        </w:rPr>
        <w:t>年</w:t>
      </w:r>
      <w:r>
        <w:rPr>
          <w:rFonts w:hint="eastAsia" w:ascii="仿宋" w:hAnsi="仿宋" w:eastAsia="仿宋" w:cs="宋体"/>
          <w:color w:val="000000"/>
        </w:rPr>
        <w:t>度经会计师事务所或审计机构审计的财务审计报告及财务报表（至少包含会计师事务所或审计机构签章页、资产负债表、现金流量表、损益表/利润表）或提供响应文件递交截止日前6个月内开具的银行资信证明或提供承诺函。</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 xml:space="preserve">2.3 </w:t>
      </w:r>
      <w:r>
        <w:rPr>
          <w:rFonts w:hint="eastAsia" w:ascii="仿宋" w:hAnsi="仿宋" w:eastAsia="仿宋" w:cs="宋体"/>
          <w:b/>
          <w:bCs/>
          <w:color w:val="000000"/>
        </w:rPr>
        <w:t>具有依法缴纳税收和社会保障资金的良好记录</w:t>
      </w:r>
      <w:r>
        <w:rPr>
          <w:rFonts w:hint="eastAsia" w:ascii="仿宋" w:hAnsi="仿宋" w:eastAsia="仿宋" w:cs="宋体"/>
          <w:color w:val="000000"/>
        </w:rPr>
        <w:t>，提供近6个月任意一个月的税收和社会保障资金缴纳凭证。</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w:t>
      </w:r>
      <w:r>
        <w:rPr>
          <w:rFonts w:hint="eastAsia" w:ascii="仿宋" w:hAnsi="仿宋" w:eastAsia="仿宋" w:cs="宋体"/>
          <w:color w:val="000000"/>
          <w:lang w:val="en-US" w:eastAsia="zh-CN"/>
        </w:rPr>
        <w:t>4</w:t>
      </w:r>
      <w:r>
        <w:rPr>
          <w:rFonts w:hint="eastAsia" w:ascii="仿宋" w:hAnsi="仿宋" w:eastAsia="仿宋" w:cs="宋体"/>
          <w:b/>
          <w:bCs/>
          <w:color w:val="000000"/>
        </w:rPr>
        <w:t>供应商应经营状况良好，且近三年内（</w:t>
      </w:r>
      <w:r>
        <w:rPr>
          <w:rFonts w:hint="eastAsia" w:ascii="仿宋" w:hAnsi="仿宋" w:eastAsia="仿宋" w:cs="宋体"/>
          <w:b/>
          <w:bCs/>
          <w:color w:val="auto"/>
        </w:rPr>
        <w:t>20</w:t>
      </w:r>
      <w:r>
        <w:rPr>
          <w:rFonts w:hint="eastAsia" w:ascii="仿宋" w:hAnsi="仿宋" w:eastAsia="仿宋" w:cs="宋体"/>
          <w:b/>
          <w:bCs/>
          <w:color w:val="auto"/>
          <w:lang w:val="en-US" w:eastAsia="zh-CN"/>
        </w:rPr>
        <w:t>23</w:t>
      </w:r>
      <w:r>
        <w:rPr>
          <w:rFonts w:hint="eastAsia" w:ascii="仿宋" w:hAnsi="仿宋" w:eastAsia="仿宋" w:cs="宋体"/>
          <w:b/>
          <w:bCs/>
          <w:color w:val="auto"/>
        </w:rPr>
        <w:t>年1</w:t>
      </w:r>
      <w:r>
        <w:rPr>
          <w:rFonts w:hint="eastAsia" w:ascii="仿宋" w:hAnsi="仿宋" w:eastAsia="仿宋" w:cs="宋体"/>
          <w:b/>
          <w:bCs/>
          <w:color w:val="000000"/>
        </w:rPr>
        <w:t>月1日至今）无违法违规记录。</w:t>
      </w:r>
      <w:r>
        <w:rPr>
          <w:rFonts w:hint="eastAsia" w:ascii="仿宋" w:hAnsi="仿宋" w:eastAsia="仿宋" w:cs="宋体"/>
          <w:color w:val="000000"/>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2.</w:t>
      </w:r>
      <w:r>
        <w:rPr>
          <w:rFonts w:hint="eastAsia" w:ascii="仿宋" w:hAnsi="仿宋" w:eastAsia="仿宋" w:cs="宋体"/>
          <w:color w:val="000000"/>
          <w:lang w:val="en-US" w:eastAsia="zh-CN"/>
        </w:rPr>
        <w:t>5</w:t>
      </w:r>
      <w:r>
        <w:rPr>
          <w:rFonts w:hint="eastAsia" w:ascii="仿宋" w:hAnsi="仿宋" w:eastAsia="仿宋" w:cs="宋体"/>
          <w:color w:val="000000"/>
        </w:rPr>
        <w:t xml:space="preserve"> </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w:t>
      </w:r>
      <w:r>
        <w:rPr>
          <w:rFonts w:hint="eastAsia" w:ascii="仿宋" w:hAnsi="仿宋" w:eastAsia="仿宋" w:cs="宋体"/>
          <w:color w:val="000000"/>
          <w:lang w:val="en-US" w:eastAsia="zh-CN"/>
        </w:rPr>
        <w:t>6</w:t>
      </w:r>
      <w:r>
        <w:rPr>
          <w:rFonts w:hint="eastAsia" w:ascii="仿宋" w:hAnsi="仿宋" w:eastAsia="仿宋" w:cs="宋体"/>
          <w:color w:val="000000"/>
        </w:rPr>
        <w:t>单位负责人为同一人或存在控股、管理关系的不同单位，不得参加同一标段/标包比选响应或未划分标段/标包的同一采购项目的比选响应，需填写《供应商控股及管理关系情况申报表》。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ascii="仿宋" w:hAnsi="仿宋" w:eastAsia="仿宋" w:cs="宋体"/>
          <w:color w:val="000000"/>
        </w:rPr>
      </w:pPr>
      <w:r>
        <w:rPr>
          <w:rFonts w:hint="eastAsia" w:ascii="仿宋" w:hAnsi="仿宋" w:eastAsia="仿宋" w:cs="宋体"/>
          <w:color w:val="000000"/>
        </w:rPr>
        <w:t>2.</w:t>
      </w:r>
      <w:r>
        <w:rPr>
          <w:rFonts w:hint="eastAsia" w:ascii="仿宋" w:hAnsi="仿宋" w:eastAsia="仿宋" w:cs="宋体"/>
          <w:color w:val="000000"/>
          <w:lang w:val="en-US" w:eastAsia="zh-CN"/>
        </w:rPr>
        <w:t>7</w:t>
      </w:r>
      <w:r>
        <w:rPr>
          <w:rFonts w:hint="eastAsia" w:ascii="仿宋" w:hAnsi="仿宋" w:eastAsia="仿宋" w:cs="宋体"/>
          <w:color w:val="000000"/>
        </w:rPr>
        <w:t>本项目</w:t>
      </w:r>
      <w:r>
        <w:rPr>
          <w:rFonts w:hint="eastAsia" w:ascii="仿宋" w:hAnsi="仿宋" w:eastAsia="仿宋" w:cs="宋体"/>
          <w:color w:val="auto"/>
        </w:rPr>
        <w:t>不接受联合体比选响应。提供承诺函，格式详见第六章响应文件格式。</w:t>
      </w:r>
    </w:p>
    <w:p>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rPr>
          <w:rFonts w:hint="default" w:ascii="楷体" w:hAnsi="楷体" w:eastAsia="楷体" w:cs="仿宋_GB2312"/>
          <w:i/>
          <w:color w:val="0000CC"/>
          <w:szCs w:val="32"/>
          <w:lang w:val="en-US"/>
        </w:rPr>
      </w:pPr>
      <w:r>
        <w:rPr>
          <w:rFonts w:hint="eastAsia" w:ascii="仿宋" w:hAnsi="仿宋" w:eastAsia="仿宋" w:cs="宋体"/>
          <w:color w:val="000000"/>
        </w:rPr>
        <w:t>2.</w:t>
      </w:r>
      <w:r>
        <w:rPr>
          <w:rFonts w:hint="eastAsia" w:ascii="仿宋" w:hAnsi="仿宋" w:eastAsia="仿宋" w:cs="宋体"/>
          <w:color w:val="000000"/>
          <w:lang w:val="en-US" w:eastAsia="zh-CN"/>
        </w:rPr>
        <w:t>8</w:t>
      </w:r>
      <w:r>
        <w:rPr>
          <w:rFonts w:hint="eastAsia" w:ascii="仿宋" w:hAnsi="仿宋" w:eastAsia="仿宋" w:cs="宋体"/>
          <w:color w:val="000000"/>
          <w:sz w:val="24"/>
          <w:szCs w:val="24"/>
          <w:lang w:val="en-US" w:eastAsia="zh-CN" w:bidi="ar-SA"/>
        </w:rPr>
        <w:t>特殊资质条件：需提供人力资源服务许可证。</w:t>
      </w:r>
    </w:p>
    <w:p>
      <w:pPr>
        <w:pStyle w:val="4"/>
        <w:spacing w:after="240"/>
        <w:jc w:val="left"/>
        <w:rPr>
          <w:rFonts w:ascii="仿宋" w:hAnsi="仿宋" w:eastAsia="仿宋" w:cs="仿宋"/>
          <w:color w:val="000000"/>
          <w:sz w:val="24"/>
          <w:szCs w:val="24"/>
        </w:rPr>
      </w:pPr>
      <w:bookmarkStart w:id="6" w:name="_Toc2019"/>
      <w:bookmarkStart w:id="7" w:name="_Toc186737793"/>
      <w:r>
        <w:rPr>
          <w:rFonts w:hint="eastAsia" w:ascii="仿宋" w:hAnsi="仿宋" w:eastAsia="仿宋" w:cs="仿宋"/>
          <w:color w:val="000000"/>
          <w:sz w:val="24"/>
          <w:szCs w:val="24"/>
        </w:rPr>
        <w:t>三、比选文件的获取</w:t>
      </w:r>
      <w:bookmarkEnd w:id="6"/>
      <w:bookmarkEnd w:id="7"/>
    </w:p>
    <w:p>
      <w:pPr>
        <w:pStyle w:val="65"/>
        <w:adjustRightInd w:val="0"/>
        <w:snapToGrid w:val="0"/>
        <w:ind w:firstLineChars="175"/>
        <w:jc w:val="left"/>
        <w:rPr>
          <w:rFonts w:ascii="仿宋" w:hAnsi="仿宋" w:eastAsia="仿宋" w:cs="仿宋"/>
          <w:color w:val="FF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.1比选文件</w:t>
      </w:r>
      <w:r>
        <w:rPr>
          <w:rFonts w:hint="eastAsia" w:ascii="仿宋" w:hAnsi="仿宋" w:eastAsia="仿宋" w:cs="宋体"/>
          <w:color w:val="000000"/>
          <w:sz w:val="24"/>
          <w:szCs w:val="24"/>
        </w:rPr>
        <w:t>获取</w:t>
      </w:r>
      <w:r>
        <w:rPr>
          <w:rFonts w:hint="eastAsia" w:ascii="仿宋" w:hAnsi="仿宋" w:eastAsia="仿宋" w:cs="仿宋"/>
          <w:color w:val="000000"/>
          <w:sz w:val="24"/>
          <w:szCs w:val="24"/>
        </w:rPr>
        <w:t>时间</w:t>
      </w:r>
      <w:r>
        <w:rPr>
          <w:rFonts w:hint="eastAsia" w:ascii="仿宋" w:hAnsi="仿宋" w:eastAsia="仿宋" w:cs="仿宋"/>
          <w:color w:val="auto"/>
          <w:sz w:val="24"/>
          <w:szCs w:val="24"/>
        </w:rPr>
        <w:t>：</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5</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28</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2</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5</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sz w:val="24"/>
          <w:szCs w:val="24"/>
        </w:rPr>
      </w:pPr>
      <w:r>
        <w:rPr>
          <w:rFonts w:ascii="仿宋" w:hAnsi="仿宋" w:eastAsia="仿宋" w:cs="宋体"/>
          <w:color w:val="000000"/>
          <w:sz w:val="24"/>
        </w:rPr>
        <w:t>3</w:t>
      </w:r>
      <w:r>
        <w:rPr>
          <w:rFonts w:hint="eastAsia" w:ascii="仿宋" w:hAnsi="仿宋" w:eastAsia="仿宋" w:cs="宋体"/>
          <w:color w:val="000000"/>
          <w:sz w:val="24"/>
        </w:rPr>
        <w:t>.2拟报名参加本项目的供</w:t>
      </w:r>
      <w:r>
        <w:rPr>
          <w:rFonts w:hint="eastAsia" w:ascii="仿宋" w:hAnsi="仿宋" w:eastAsia="仿宋" w:cs="宋体"/>
          <w:color w:val="auto"/>
          <w:sz w:val="24"/>
        </w:rPr>
        <w:t>应商，请通过“人保e采”外网门户获取比选文件</w:t>
      </w:r>
      <w:r>
        <w:rPr>
          <w:rFonts w:hint="eastAsia" w:ascii="仿宋" w:hAnsi="仿宋" w:eastAsia="仿宋" w:cs="仿宋_GB2312"/>
          <w:color w:val="auto"/>
          <w:sz w:val="24"/>
          <w:szCs w:val="24"/>
        </w:rPr>
        <w:t>。</w:t>
      </w:r>
    </w:p>
    <w:p>
      <w:pPr>
        <w:pStyle w:val="4"/>
        <w:jc w:val="left"/>
        <w:rPr>
          <w:rFonts w:ascii="仿宋" w:hAnsi="仿宋" w:eastAsia="仿宋" w:cs="仿宋"/>
          <w:color w:val="000000"/>
          <w:sz w:val="24"/>
          <w:szCs w:val="24"/>
        </w:rPr>
      </w:pPr>
      <w:bookmarkStart w:id="8" w:name="_Toc32115"/>
      <w:bookmarkStart w:id="9" w:name="_Toc186737794"/>
      <w:r>
        <w:rPr>
          <w:rFonts w:hint="eastAsia" w:ascii="仿宋" w:hAnsi="仿宋" w:eastAsia="仿宋" w:cs="仿宋"/>
          <w:color w:val="000000"/>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rPr>
        <w:t>.1响应文件递交截止时间</w:t>
      </w:r>
      <w:r>
        <w:rPr>
          <w:rFonts w:hint="eastAsia" w:ascii="仿宋" w:hAnsi="仿宋" w:eastAsia="仿宋" w:cs="宋体"/>
          <w:color w:val="auto"/>
        </w:rPr>
        <w:t>：</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6</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5</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09</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firstLineChars="200"/>
        <w:textAlignment w:val="baseline"/>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color w:val="auto"/>
        </w:rPr>
        <w:t>须现场递交，</w:t>
      </w:r>
      <w:r>
        <w:rPr>
          <w:rFonts w:hint="eastAsia" w:ascii="仿宋" w:hAnsi="仿宋" w:eastAsia="仿宋" w:cs="宋体"/>
          <w:b/>
          <w:bCs/>
          <w:color w:val="000000"/>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.3本项目将于上述同一时间、地点进行比选，</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未按照比选邀请要求获取比选文件的。</w:t>
      </w:r>
    </w:p>
    <w:p>
      <w:pPr>
        <w:pStyle w:val="4"/>
        <w:jc w:val="left"/>
        <w:rPr>
          <w:rFonts w:ascii="仿宋" w:hAnsi="仿宋" w:eastAsia="仿宋" w:cs="仿宋"/>
          <w:color w:val="000000"/>
          <w:sz w:val="24"/>
          <w:szCs w:val="24"/>
        </w:rPr>
      </w:pPr>
      <w:bookmarkStart w:id="10" w:name="_Toc186737795"/>
      <w:bookmarkStart w:id="11" w:name="_Toc874"/>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w:t>
      </w:r>
      <w:r>
        <w:rPr>
          <w:rFonts w:hint="eastAsia" w:ascii="仿宋" w:hAnsi="仿宋" w:eastAsia="仿宋" w:cs="宋体"/>
          <w:color w:val="000000"/>
        </w:rPr>
        <w:t>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bookmarkStart w:id="12" w:name="_Toc30596"/>
      <w:bookmarkStart w:id="13" w:name="_Toc186737796"/>
      <w:r>
        <w:rPr>
          <w:rFonts w:hint="eastAsia" w:ascii="仿宋" w:hAnsi="仿宋" w:eastAsia="仿宋" w:cs="仿宋"/>
          <w:color w:val="000000"/>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乐山市</w:t>
      </w:r>
      <w:r>
        <w:rPr>
          <w:rFonts w:hint="eastAsia" w:ascii="仿宋" w:hAnsi="仿宋" w:eastAsia="仿宋" w:cs="仿宋"/>
          <w:b/>
          <w:bCs/>
          <w:color w:val="auto"/>
        </w:rPr>
        <w:t>分公司</w:t>
      </w:r>
    </w:p>
    <w:p>
      <w:pPr>
        <w:spacing w:line="360" w:lineRule="auto"/>
        <w:ind w:firstLine="420" w:firstLineChars="175"/>
        <w:rPr>
          <w:rFonts w:ascii="仿宋" w:hAnsi="仿宋" w:eastAsia="仿宋" w:cs="仿宋"/>
          <w:color w:val="FF0000"/>
        </w:rPr>
      </w:pPr>
      <w:r>
        <w:rPr>
          <w:rFonts w:hint="eastAsia" w:ascii="仿宋" w:hAnsi="仿宋" w:eastAsia="仿宋" w:cs="宋体"/>
          <w:color w:val="auto"/>
        </w:rPr>
        <w:t>地址：</w:t>
      </w:r>
      <w:r>
        <w:rPr>
          <w:rFonts w:hint="eastAsia" w:ascii="仿宋" w:hAnsi="仿宋" w:eastAsia="仿宋" w:cs="宋体"/>
          <w:color w:val="auto"/>
          <w:lang w:val="en-US" w:eastAsia="zh-CN"/>
        </w:rPr>
        <w:t>四川省乐山市市中区三苏路1431号</w:t>
      </w:r>
      <w:r>
        <w:rPr>
          <w:rFonts w:ascii="仿宋" w:hAnsi="仿宋" w:eastAsia="仿宋" w:cs="宋体"/>
          <w:color w:val="FF0000"/>
        </w:rPr>
        <w:t xml:space="preserve"> </w:t>
      </w:r>
    </w:p>
    <w:p>
      <w:pPr>
        <w:spacing w:line="360" w:lineRule="auto"/>
        <w:ind w:firstLine="420" w:firstLineChars="175"/>
        <w:rPr>
          <w:rFonts w:ascii="仿宋" w:hAnsi="仿宋" w:eastAsia="仿宋" w:cs="仿宋"/>
          <w:color w:val="FF0000"/>
        </w:rPr>
      </w:pPr>
      <w:r>
        <w:rPr>
          <w:rFonts w:hint="eastAsia" w:ascii="仿宋" w:hAnsi="仿宋" w:eastAsia="仿宋" w:cs="宋体"/>
          <w:color w:val="auto"/>
        </w:rPr>
        <w:t>联系人：</w:t>
      </w:r>
      <w:r>
        <w:rPr>
          <w:rFonts w:hint="eastAsia" w:ascii="仿宋" w:hAnsi="仿宋" w:eastAsia="仿宋" w:cs="宋体"/>
          <w:color w:val="000000" w:themeColor="text1"/>
          <w:lang w:val="en-US" w:eastAsia="zh-CN"/>
          <w14:textFill>
            <w14:solidFill>
              <w14:schemeClr w14:val="tx1"/>
            </w14:solidFill>
          </w14:textFill>
        </w:rPr>
        <w:t>崔玲微</w:t>
      </w:r>
    </w:p>
    <w:p>
      <w:pPr>
        <w:spacing w:line="360" w:lineRule="auto"/>
        <w:ind w:firstLine="420" w:firstLineChars="175"/>
        <w:rPr>
          <w:rFonts w:ascii="仿宋" w:hAnsi="仿宋" w:eastAsia="仿宋" w:cs="仿宋"/>
          <w:color w:val="FF0000"/>
        </w:rPr>
      </w:pPr>
      <w:r>
        <w:rPr>
          <w:rFonts w:hint="eastAsia" w:ascii="仿宋" w:hAnsi="仿宋" w:eastAsia="仿宋" w:cs="宋体"/>
          <w:color w:val="auto"/>
        </w:rPr>
        <w:t>电话：</w:t>
      </w:r>
      <w:r>
        <w:rPr>
          <w:rFonts w:hint="eastAsia" w:ascii="仿宋" w:hAnsi="仿宋" w:eastAsia="仿宋" w:cs="宋体"/>
          <w:color w:val="000000" w:themeColor="text1"/>
          <w:lang w:val="en-US" w:eastAsia="zh-CN"/>
          <w14:textFill>
            <w14:solidFill>
              <w14:schemeClr w14:val="tx1"/>
            </w14:solidFill>
          </w14:textFill>
        </w:rPr>
        <w:t>18881308806</w:t>
      </w:r>
    </w:p>
    <w:p>
      <w:pPr>
        <w:spacing w:line="360" w:lineRule="auto"/>
        <w:ind w:firstLine="420" w:firstLineChars="175"/>
        <w:rPr>
          <w:rFonts w:ascii="仿宋" w:hAnsi="仿宋" w:eastAsia="仿宋" w:cs="仿宋"/>
          <w:color w:val="FF0000"/>
        </w:rPr>
      </w:pPr>
      <w:r>
        <w:rPr>
          <w:rFonts w:hint="eastAsia" w:ascii="仿宋" w:hAnsi="仿宋" w:eastAsia="仿宋" w:cs="宋体"/>
          <w:color w:val="auto"/>
        </w:rPr>
        <w:t>电子邮件：</w:t>
      </w:r>
      <w:r>
        <w:rPr>
          <w:rFonts w:hint="eastAsia" w:ascii="仿宋_GB2312" w:hAnsi="宋体" w:eastAsia="仿宋_GB2312"/>
          <w:color w:val="auto"/>
          <w:lang w:val="en-US" w:eastAsia="zh-CN"/>
        </w:rPr>
        <w:t>cu</w:t>
      </w:r>
      <w:r>
        <w:rPr>
          <w:rFonts w:hint="eastAsia" w:ascii="仿宋_GB2312" w:hAnsi="宋体" w:eastAsia="仿宋_GB2312"/>
          <w:color w:val="000000" w:themeColor="text1"/>
          <w:lang w:val="en-US" w:eastAsia="zh-CN"/>
          <w14:textFill>
            <w14:solidFill>
              <w14:schemeClr w14:val="tx1"/>
            </w14:solidFill>
          </w14:textFill>
        </w:rPr>
        <w:t>ilingwei@sic.picc.com.cn</w:t>
      </w:r>
    </w:p>
    <w:p>
      <w:pPr>
        <w:spacing w:line="360" w:lineRule="auto"/>
        <w:ind w:firstLine="480" w:firstLineChars="200"/>
        <w:jc w:val="right"/>
        <w:textAlignment w:val="baseline"/>
        <w:rPr>
          <w:rFonts w:ascii="仿宋" w:hAnsi="仿宋" w:eastAsia="仿宋" w:cs="宋体"/>
          <w:color w:val="FF0000"/>
        </w:rPr>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乐山市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5</w:t>
      </w:r>
      <w:r>
        <w:rPr>
          <w:rFonts w:hint="eastAsia" w:ascii="仿宋" w:hAnsi="仿宋" w:eastAsia="仿宋" w:cs="宋体"/>
          <w:color w:val="auto"/>
        </w:rPr>
        <w:t>月</w:t>
      </w:r>
      <w:r>
        <w:rPr>
          <w:rFonts w:hint="eastAsia" w:ascii="仿宋" w:hAnsi="仿宋" w:eastAsia="仿宋" w:cs="宋体"/>
          <w:color w:val="auto"/>
          <w:lang w:val="en-US" w:eastAsia="zh-CN"/>
        </w:rPr>
        <w:t>27</w:t>
      </w:r>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86737797"/>
      <w:bookmarkStart w:id="15" w:name="_Toc1602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sz w:val="24"/>
          <w:szCs w:val="24"/>
        </w:rPr>
      </w:pPr>
      <w:bookmarkStart w:id="16" w:name="_Toc186737798"/>
      <w:r>
        <w:rPr>
          <w:rFonts w:hint="eastAsia" w:ascii="仿宋" w:hAnsi="仿宋" w:eastAsia="仿宋" w:cs="仿宋"/>
          <w:color w:val="000000"/>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★比选文件实质性要求的标识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比选文件中标识“★”条款、注明“比选响应将被否决”、“对其响应做否决处理”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响应文件按照以下架构顺序编制：</w:t>
            </w:r>
          </w:p>
          <w:p>
            <w:pPr>
              <w:pStyle w:val="61"/>
              <w:spacing w:before="62" w:beforeLines="20" w:after="62" w:afterLines="20"/>
              <w:rPr>
                <w:rFonts w:ascii="仿宋" w:hAnsi="仿宋" w:eastAsia="仿宋" w:cs="仿宋"/>
                <w:b/>
                <w:color w:val="000000"/>
              </w:rPr>
            </w:pPr>
            <w:r>
              <w:rPr>
                <w:rFonts w:hint="eastAsia" w:ascii="仿宋" w:hAnsi="仿宋" w:eastAsia="仿宋" w:cs="仿宋"/>
                <w:b/>
                <w:color w:val="000000"/>
              </w:rPr>
              <w:t>一、</w:t>
            </w:r>
            <w:r>
              <w:rPr>
                <w:rFonts w:hint="eastAsia" w:ascii="仿宋" w:hAnsi="仿宋" w:eastAsia="仿宋" w:cs="仿宋"/>
                <w:b/>
                <w:color w:val="000000"/>
                <w:sz w:val="24"/>
              </w:rPr>
              <w:t>商务文件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初步评审索引表</w:t>
            </w:r>
          </w:p>
          <w:p>
            <w:pPr>
              <w:autoSpaceDE w:val="0"/>
              <w:autoSpaceDN w:val="0"/>
            </w:pPr>
            <w:r>
              <w:rPr>
                <w:rFonts w:hint="eastAsia" w:ascii="仿宋" w:hAnsi="仿宋" w:eastAsia="仿宋" w:cs="仿宋"/>
                <w:b/>
                <w:color w:val="000000"/>
                <w:szCs w:val="21"/>
              </w:rPr>
              <w:t>详细评审索引表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（一）响应函</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66"/>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（三）法定代表人（负责人）授权委托书</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（四）资格证明文件</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（五）供应商须知应答偏离表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（六）合同条款应答偏离表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（七）供应商行为准则承诺书</w:t>
            </w:r>
          </w:p>
          <w:p>
            <w:pPr>
              <w:pStyle w:val="61"/>
              <w:spacing w:before="62" w:beforeLines="20" w:after="62" w:afterLines="20"/>
              <w:rPr>
                <w:rFonts w:hint="eastAsia" w:ascii="仿宋" w:hAnsi="仿宋" w:eastAsia="仿宋"/>
                <w:color w:val="000000"/>
              </w:rPr>
            </w:pPr>
            <w:r>
              <w:rPr>
                <w:rFonts w:hint="eastAsia" w:ascii="仿宋" w:hAnsi="仿宋" w:eastAsia="仿宋"/>
                <w:color w:val="000000"/>
              </w:rPr>
              <w:t>（八）供应商廉洁诚信承诺书</w:t>
            </w:r>
          </w:p>
          <w:p>
            <w:pPr>
              <w:pStyle w:val="61"/>
              <w:spacing w:before="62" w:beforeLines="20" w:after="62" w:afterLines="20"/>
              <w:rPr>
                <w:rFonts w:hint="eastAsia" w:ascii="仿宋" w:hAnsi="仿宋" w:eastAsia="仿宋"/>
                <w:color w:val="000000"/>
                <w:lang w:eastAsia="zh-CN"/>
              </w:rPr>
            </w:pPr>
            <w:r>
              <w:rPr>
                <w:rFonts w:hint="eastAsia" w:ascii="仿宋" w:hAnsi="仿宋" w:eastAsia="仿宋"/>
                <w:color w:val="000000"/>
                <w:lang w:eastAsia="zh-CN"/>
              </w:rPr>
              <w:t>（</w:t>
            </w:r>
            <w:r>
              <w:rPr>
                <w:rFonts w:hint="eastAsia" w:ascii="仿宋" w:hAnsi="仿宋" w:eastAsia="仿宋"/>
                <w:color w:val="000000"/>
                <w:lang w:val="en-US" w:eastAsia="zh-CN"/>
              </w:rPr>
              <w:t>九</w:t>
            </w:r>
            <w:r>
              <w:rPr>
                <w:rFonts w:hint="eastAsia" w:ascii="仿宋" w:hAnsi="仿宋" w:eastAsia="仿宋"/>
                <w:color w:val="000000"/>
                <w:lang w:eastAsia="zh-CN"/>
              </w:rPr>
              <w:t>）</w:t>
            </w:r>
            <w:r>
              <w:rPr>
                <w:rStyle w:val="33"/>
                <w:rFonts w:hint="eastAsia" w:ascii="仿宋" w:hAnsi="仿宋" w:eastAsia="仿宋" w:cs="宋体"/>
              </w:rPr>
              <w:t>信息安全采购要求承诺函</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w:t>
            </w:r>
            <w:r>
              <w:rPr>
                <w:rFonts w:hint="eastAsia" w:ascii="仿宋" w:hAnsi="仿宋" w:eastAsia="仿宋" w:cs="仿宋"/>
                <w:color w:val="000000"/>
                <w:lang w:val="en-US" w:eastAsia="zh-CN"/>
              </w:rPr>
              <w:t>十</w:t>
            </w:r>
            <w:r>
              <w:rPr>
                <w:rFonts w:hint="eastAsia" w:ascii="仿宋" w:hAnsi="仿宋" w:eastAsia="仿宋" w:cs="仿宋"/>
                <w:color w:val="000000"/>
              </w:rPr>
              <w:t>）其他材料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（二）技术方案</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olor w:val="000000"/>
              </w:rPr>
              <w:t>（如有）</w:t>
            </w:r>
          </w:p>
          <w:p>
            <w:pPr>
              <w:autoSpaceDE w:val="0"/>
              <w:autoSpaceDN w:val="0"/>
              <w:rPr>
                <w:rFonts w:ascii="仿宋" w:hAnsi="仿宋" w:eastAsia="仿宋" w:cs="仿宋"/>
                <w:b/>
                <w:color w:val="000000"/>
                <w:szCs w:val="21"/>
              </w:rPr>
            </w:pPr>
            <w:r>
              <w:rPr>
                <w:rFonts w:hint="eastAsia" w:ascii="仿宋" w:hAnsi="仿宋" w:eastAsia="仿宋" w:cs="仿宋"/>
                <w:b/>
                <w:color w:val="000000"/>
                <w:szCs w:val="21"/>
              </w:rPr>
              <w:t>三、报价文件</w:t>
            </w:r>
          </w:p>
          <w:p>
            <w:pPr>
              <w:pStyle w:val="61"/>
              <w:spacing w:before="62" w:beforeLines="20" w:after="62" w:afterLines="20"/>
              <w:rPr>
                <w:rFonts w:ascii="仿宋" w:hAnsi="仿宋" w:eastAsia="仿宋" w:cs="仿宋"/>
                <w:color w:val="000000"/>
              </w:rPr>
            </w:pPr>
            <w:r>
              <w:rPr>
                <w:rFonts w:hint="eastAsia" w:ascii="仿宋" w:hAnsi="仿宋" w:eastAsia="仿宋" w:cs="仿宋"/>
                <w:color w:val="000000"/>
              </w:rPr>
              <w:t>（一）报价一览表</w:t>
            </w:r>
          </w:p>
          <w:p>
            <w:pPr>
              <w:pStyle w:val="61"/>
              <w:spacing w:before="62" w:beforeLines="20" w:after="62" w:afterLines="20"/>
              <w:rPr>
                <w:rFonts w:ascii="仿宋" w:hAnsi="仿宋" w:eastAsia="仿宋" w:cs="Cambria Math"/>
                <w:color w:val="000000"/>
                <w:u w:val="single"/>
              </w:rPr>
            </w:pPr>
            <w:r>
              <w:rPr>
                <w:rFonts w:hint="eastAsia" w:ascii="仿宋" w:hAnsi="仿宋" w:eastAsia="仿宋" w:cs="仿宋"/>
                <w:color w:val="000000"/>
              </w:rPr>
              <w:t>（二）分项报价表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6"/>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8"/>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6"/>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★比选响应有效期</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比选响应有效期：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sz w:val="21"/>
                <w:szCs w:val="21"/>
                <w:lang w:eastAsia="zh-CN"/>
              </w:rPr>
              <w:t>电子文件</w:t>
            </w:r>
            <w:r>
              <w:rPr>
                <w:rFonts w:hint="eastAsia" w:ascii="仿宋" w:hAnsi="仿宋" w:eastAsia="仿宋"/>
                <w:color w:val="000000"/>
                <w:sz w:val="21"/>
                <w:szCs w:val="21"/>
                <w:u w:val="single"/>
                <w:lang w:eastAsia="zh-CN"/>
              </w:rPr>
              <w:t>1</w:t>
            </w:r>
            <w:r>
              <w:rPr>
                <w:rFonts w:hint="eastAsia" w:ascii="仿宋" w:hAnsi="仿宋" w:eastAsia="仿宋"/>
                <w:color w:val="000000"/>
                <w:sz w:val="21"/>
                <w:szCs w:val="21"/>
                <w:lang w:eastAsia="zh-CN"/>
              </w:rPr>
              <w:t>份（具体格式要求）；纸质文件正本</w:t>
            </w:r>
            <w:r>
              <w:rPr>
                <w:rFonts w:hint="eastAsia" w:ascii="仿宋" w:hAnsi="仿宋" w:eastAsia="仿宋"/>
                <w:color w:val="000000"/>
                <w:sz w:val="21"/>
                <w:szCs w:val="21"/>
                <w:u w:val="single"/>
                <w:lang w:eastAsia="zh-CN"/>
              </w:rPr>
              <w:t xml:space="preserve"> 1 </w:t>
            </w:r>
            <w:r>
              <w:rPr>
                <w:rFonts w:hint="eastAsia" w:ascii="仿宋" w:hAnsi="仿宋" w:eastAsia="仿宋"/>
                <w:color w:val="000000"/>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2</w:t>
            </w:r>
            <w:r>
              <w:rPr>
                <w:rFonts w:hint="eastAsia" w:ascii="仿宋" w:hAnsi="仿宋" w:eastAsia="仿宋"/>
                <w:color w:val="auto"/>
                <w:sz w:val="21"/>
                <w:szCs w:val="21"/>
                <w:u w:val="single"/>
                <w:lang w:eastAsia="zh-CN"/>
              </w:rPr>
              <w:t xml:space="preserve"> </w:t>
            </w:r>
            <w:r>
              <w:rPr>
                <w:rFonts w:hint="eastAsia" w:ascii="仿宋" w:hAnsi="仿宋" w:eastAsia="仿宋"/>
                <w:color w:val="000000"/>
                <w:sz w:val="21"/>
                <w:szCs w:val="21"/>
                <w:lang w:eastAsia="zh-CN"/>
              </w:rPr>
              <w:t>份</w:t>
            </w:r>
            <w:r>
              <w:rPr>
                <w:rFonts w:hint="eastAsia" w:ascii="仿宋_GB2312" w:eastAsia="仿宋_GB2312" w:cs="新宋体"/>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7"/>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比选响应报价</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2）比选小组将视比选情况决定是否进行多轮次报价，供应商</w:t>
            </w:r>
            <w:r>
              <w:rPr>
                <w:rFonts w:hint="eastAsia" w:ascii="仿宋" w:hAnsi="仿宋" w:eastAsia="仿宋" w:cs="仿宋"/>
                <w:color w:val="000000"/>
                <w:u w:val="single"/>
                <w:lang w:eastAsia="zh-CN"/>
              </w:rPr>
              <w:t>最后一轮比选提交的报价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7"/>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lang w:val="en-US" w:eastAsia="zh-CN"/>
                                    </w:rPr>
                                    <w:t>6</w:t>
                                  </w:r>
                                  <w:r>
                                    <w:rPr>
                                      <w:rFonts w:hint="eastAsia" w:ascii="仿宋" w:hAnsi="仿宋" w:eastAsia="仿宋" w:cs="仿宋"/>
                                      <w:sz w:val="22"/>
                                      <w:szCs w:val="21"/>
                                    </w:rPr>
                                    <w:t>】月【</w:t>
                                  </w:r>
                                  <w:r>
                                    <w:rPr>
                                      <w:rFonts w:hint="eastAsia" w:ascii="仿宋" w:hAnsi="仿宋" w:eastAsia="仿宋" w:cs="仿宋"/>
                                      <w:sz w:val="22"/>
                                      <w:szCs w:val="21"/>
                                      <w:u w:val="single"/>
                                      <w:lang w:val="en-US" w:eastAsia="zh-CN"/>
                                    </w:rPr>
                                    <w:t>5</w:t>
                                  </w:r>
                                  <w:r>
                                    <w:rPr>
                                      <w:rFonts w:hint="eastAsia" w:ascii="仿宋" w:hAnsi="仿宋" w:eastAsia="仿宋" w:cs="仿宋"/>
                                      <w:sz w:val="22"/>
                                      <w:szCs w:val="21"/>
                                    </w:rPr>
                                    <w:t>】日【</w:t>
                                  </w:r>
                                  <w:r>
                                    <w:rPr>
                                      <w:rFonts w:hint="eastAsia" w:ascii="仿宋" w:hAnsi="仿宋" w:eastAsia="仿宋" w:cs="仿宋"/>
                                      <w:sz w:val="22"/>
                                      <w:szCs w:val="21"/>
                                      <w:u w:val="single"/>
                                      <w:lang w:val="en-US" w:eastAsia="zh-CN"/>
                                    </w:rPr>
                                    <w:t>09</w:t>
                                  </w:r>
                                  <w:r>
                                    <w:rPr>
                                      <w:rFonts w:hint="eastAsia" w:ascii="仿宋" w:hAnsi="仿宋" w:eastAsia="仿宋" w:cs="仿宋"/>
                                      <w:sz w:val="22"/>
                                      <w:szCs w:val="21"/>
                                    </w:rPr>
                                    <w:t>】【</w:t>
                                  </w:r>
                                  <w:r>
                                    <w:rPr>
                                      <w:rFonts w:hint="eastAsia" w:ascii="仿宋" w:hAnsi="仿宋" w:eastAsia="仿宋" w:cs="仿宋"/>
                                      <w:sz w:val="22"/>
                                      <w:szCs w:val="21"/>
                                      <w:u w:val="single"/>
                                      <w:lang w:val="en-US" w:eastAsia="zh-CN"/>
                                    </w:rPr>
                                    <w:t>00</w:t>
                                  </w:r>
                                  <w:r>
                                    <w:rPr>
                                      <w:rFonts w:hint="eastAsia" w:ascii="仿宋" w:hAnsi="仿宋" w:eastAsia="仿宋" w:cs="仿宋"/>
                                      <w:sz w:val="22"/>
                                      <w:szCs w:val="21"/>
                                    </w:rPr>
                                    <w:t>】时【</w:t>
                                  </w:r>
                                  <w:r>
                                    <w:rPr>
                                      <w:rFonts w:hint="eastAsia" w:ascii="仿宋" w:hAnsi="仿宋" w:eastAsia="仿宋" w:cs="仿宋"/>
                                      <w:sz w:val="22"/>
                                      <w:szCs w:val="21"/>
                                      <w:u w:val="single"/>
                                      <w:lang w:val="en-US" w:eastAsia="zh-CN"/>
                                    </w:rPr>
                                    <w:t>00</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lang w:val="en-US" w:eastAsia="zh-CN"/>
                              </w:rPr>
                              <w:t>2026</w:t>
                            </w:r>
                            <w:r>
                              <w:rPr>
                                <w:rFonts w:hint="eastAsia" w:ascii="仿宋" w:hAnsi="仿宋" w:eastAsia="仿宋" w:cs="仿宋"/>
                                <w:sz w:val="22"/>
                                <w:szCs w:val="21"/>
                              </w:rPr>
                              <w:t>】年【</w:t>
                            </w:r>
                            <w:r>
                              <w:rPr>
                                <w:rFonts w:hint="eastAsia" w:ascii="仿宋" w:hAnsi="仿宋" w:eastAsia="仿宋" w:cs="仿宋"/>
                                <w:sz w:val="22"/>
                                <w:szCs w:val="21"/>
                                <w:u w:val="single"/>
                                <w:lang w:val="en-US" w:eastAsia="zh-CN"/>
                              </w:rPr>
                              <w:t>6</w:t>
                            </w:r>
                            <w:r>
                              <w:rPr>
                                <w:rFonts w:hint="eastAsia" w:ascii="仿宋" w:hAnsi="仿宋" w:eastAsia="仿宋" w:cs="仿宋"/>
                                <w:sz w:val="22"/>
                                <w:szCs w:val="21"/>
                              </w:rPr>
                              <w:t>】月【</w:t>
                            </w:r>
                            <w:r>
                              <w:rPr>
                                <w:rFonts w:hint="eastAsia" w:ascii="仿宋" w:hAnsi="仿宋" w:eastAsia="仿宋" w:cs="仿宋"/>
                                <w:sz w:val="22"/>
                                <w:szCs w:val="21"/>
                                <w:u w:val="single"/>
                                <w:lang w:val="en-US" w:eastAsia="zh-CN"/>
                              </w:rPr>
                              <w:t>5</w:t>
                            </w:r>
                            <w:r>
                              <w:rPr>
                                <w:rFonts w:hint="eastAsia" w:ascii="仿宋" w:hAnsi="仿宋" w:eastAsia="仿宋" w:cs="仿宋"/>
                                <w:sz w:val="22"/>
                                <w:szCs w:val="21"/>
                              </w:rPr>
                              <w:t>】日【</w:t>
                            </w:r>
                            <w:r>
                              <w:rPr>
                                <w:rFonts w:hint="eastAsia" w:ascii="仿宋" w:hAnsi="仿宋" w:eastAsia="仿宋" w:cs="仿宋"/>
                                <w:sz w:val="22"/>
                                <w:szCs w:val="21"/>
                                <w:u w:val="single"/>
                                <w:lang w:val="en-US" w:eastAsia="zh-CN"/>
                              </w:rPr>
                              <w:t>09</w:t>
                            </w:r>
                            <w:r>
                              <w:rPr>
                                <w:rFonts w:hint="eastAsia" w:ascii="仿宋" w:hAnsi="仿宋" w:eastAsia="仿宋" w:cs="仿宋"/>
                                <w:sz w:val="22"/>
                                <w:szCs w:val="21"/>
                              </w:rPr>
                              <w:t>】【</w:t>
                            </w:r>
                            <w:r>
                              <w:rPr>
                                <w:rFonts w:hint="eastAsia" w:ascii="仿宋" w:hAnsi="仿宋" w:eastAsia="仿宋" w:cs="仿宋"/>
                                <w:sz w:val="22"/>
                                <w:szCs w:val="21"/>
                                <w:u w:val="single"/>
                                <w:lang w:val="en-US" w:eastAsia="zh-CN"/>
                              </w:rPr>
                              <w:t>00</w:t>
                            </w:r>
                            <w:r>
                              <w:rPr>
                                <w:rFonts w:hint="eastAsia" w:ascii="仿宋" w:hAnsi="仿宋" w:eastAsia="仿宋" w:cs="仿宋"/>
                                <w:sz w:val="22"/>
                                <w:szCs w:val="21"/>
                              </w:rPr>
                              <w:t>】时【</w:t>
                            </w:r>
                            <w:r>
                              <w:rPr>
                                <w:rFonts w:hint="eastAsia" w:ascii="仿宋" w:hAnsi="仿宋" w:eastAsia="仿宋" w:cs="仿宋"/>
                                <w:sz w:val="22"/>
                                <w:szCs w:val="21"/>
                                <w:u w:val="single"/>
                                <w:lang w:val="en-US" w:eastAsia="zh-CN"/>
                              </w:rPr>
                              <w:t>00</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本项目比选小组成员人数为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000000"/>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比选程序及方式</w:t>
            </w:r>
          </w:p>
        </w:tc>
        <w:tc>
          <w:tcPr>
            <w:tcW w:w="7199" w:type="dxa"/>
            <w:vAlign w:val="center"/>
          </w:tcPr>
          <w:p>
            <w:pPr>
              <w:pStyle w:val="61"/>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（1）比选小组将与通过初步评审的有效供应商按照</w:t>
            </w:r>
            <w:r>
              <w:rPr>
                <w:rFonts w:hint="eastAsia" w:ascii="仿宋" w:hAnsi="仿宋" w:eastAsia="仿宋" w:cs="仿宋"/>
                <w:color w:val="000000"/>
                <w:sz w:val="22"/>
                <w:szCs w:val="22"/>
                <w:u w:val="single"/>
              </w:rPr>
              <w:t>响应文件递交顺序</w:t>
            </w:r>
            <w:r>
              <w:rPr>
                <w:rFonts w:hint="eastAsia" w:ascii="仿宋" w:hAnsi="仿宋" w:eastAsia="仿宋" w:cs="仿宋"/>
                <w:color w:val="000000"/>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报价、对采购需求的理解</w:t>
            </w:r>
            <w:r>
              <w:rPr>
                <w:rFonts w:hint="eastAsia" w:ascii="仿宋" w:hAnsi="仿宋" w:eastAsia="仿宋" w:cs="仿宋"/>
                <w:color w:val="auto"/>
                <w:sz w:val="22"/>
                <w:u w:val="single"/>
              </w:rPr>
              <w:t>、</w:t>
            </w:r>
            <w:r>
              <w:rPr>
                <w:rFonts w:hint="eastAsia" w:ascii="仿宋" w:hAnsi="仿宋" w:eastAsia="仿宋" w:cs="仿宋"/>
                <w:color w:val="auto"/>
                <w:sz w:val="22"/>
                <w:u w:val="single"/>
                <w:lang w:val="en-US" w:eastAsia="zh-CN"/>
              </w:rPr>
              <w:t>技术/服务</w:t>
            </w:r>
            <w:r>
              <w:rPr>
                <w:rFonts w:hint="eastAsia" w:ascii="仿宋" w:hAnsi="仿宋" w:eastAsia="仿宋" w:cs="仿宋"/>
                <w:color w:val="auto"/>
                <w:sz w:val="22"/>
                <w:u w:val="single"/>
              </w:rPr>
              <w:t>方案、实</w:t>
            </w:r>
            <w:r>
              <w:rPr>
                <w:rFonts w:hint="eastAsia" w:ascii="仿宋" w:hAnsi="仿宋" w:eastAsia="仿宋" w:cs="仿宋"/>
                <w:color w:val="000000"/>
                <w:sz w:val="22"/>
                <w:u w:val="single"/>
              </w:rPr>
              <w:t>施方案、人员配置、服务承诺、商务条款</w:t>
            </w:r>
            <w:r>
              <w:rPr>
                <w:rFonts w:hint="eastAsia" w:ascii="仿宋" w:hAnsi="仿宋" w:eastAsia="仿宋" w:cs="仿宋"/>
                <w:color w:val="00000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比选小组根据有效供应商</w:t>
            </w:r>
            <w:r>
              <w:rPr>
                <w:rFonts w:hint="eastAsia" w:ascii="仿宋" w:hAnsi="仿宋" w:eastAsia="仿宋" w:cs="宋体"/>
                <w:color w:val="000000"/>
                <w:sz w:val="22"/>
              </w:rPr>
              <w:t>综合得分由高至低排出的名次，顺序推荐</w:t>
            </w:r>
            <w:r>
              <w:rPr>
                <w:rFonts w:hint="eastAsia" w:ascii="仿宋" w:hAnsi="仿宋" w:eastAsia="仿宋" w:cs="宋体"/>
                <w:color w:val="000000"/>
                <w:sz w:val="22"/>
                <w:u w:val="single"/>
              </w:rPr>
              <w:t>综合得分</w:t>
            </w:r>
            <w:r>
              <w:rPr>
                <w:rFonts w:hint="eastAsia" w:ascii="仿宋" w:hAnsi="仿宋" w:eastAsia="仿宋" w:cs="宋体"/>
                <w:color w:val="auto"/>
                <w:sz w:val="22"/>
                <w:u w:val="single"/>
              </w:rPr>
              <w:t>前</w:t>
            </w:r>
            <w:r>
              <w:rPr>
                <w:rFonts w:hint="eastAsia" w:ascii="仿宋" w:hAnsi="仿宋" w:eastAsia="仿宋" w:cs="仿宋"/>
                <w:color w:val="auto"/>
                <w:sz w:val="22"/>
                <w:szCs w:val="22"/>
                <w:u w:val="single"/>
              </w:rPr>
              <w:t>1</w:t>
            </w:r>
            <w:r>
              <w:rPr>
                <w:rFonts w:hint="eastAsia" w:ascii="仿宋" w:hAnsi="仿宋" w:eastAsia="仿宋" w:cs="宋体"/>
                <w:color w:val="auto"/>
                <w:sz w:val="22"/>
                <w:u w:val="single"/>
              </w:rPr>
              <w:t>名</w:t>
            </w:r>
            <w:r>
              <w:rPr>
                <w:rFonts w:hint="eastAsia" w:ascii="仿宋" w:hAnsi="仿宋" w:eastAsia="仿宋" w:cs="宋体"/>
                <w:color w:val="000000"/>
                <w:sz w:val="22"/>
              </w:rPr>
              <w:t>为成交候选人。</w:t>
            </w:r>
            <w:r>
              <w:rPr>
                <w:rFonts w:hint="eastAsia" w:ascii="仿宋" w:hAnsi="仿宋" w:eastAsia="仿宋" w:cs="仿宋"/>
                <w:color w:val="000000"/>
                <w:sz w:val="22"/>
              </w:rPr>
              <w:t>综合得分相同时，价格得分高者排名</w:t>
            </w:r>
            <w:r>
              <w:rPr>
                <w:rFonts w:hint="eastAsia" w:ascii="仿宋" w:hAnsi="仿宋" w:eastAsia="仿宋" w:cs="仿宋"/>
                <w:color w:val="000000"/>
              </w:rPr>
              <w:t>优先；价格得分也相同时，</w:t>
            </w:r>
            <w:r>
              <w:rPr>
                <w:rFonts w:hint="eastAsia" w:ascii="仿宋" w:hAnsi="仿宋" w:eastAsia="仿宋" w:cs="仿宋"/>
                <w:color w:val="000000"/>
                <w:u w:val="single"/>
              </w:rPr>
              <w:t>技术</w:t>
            </w:r>
            <w:r>
              <w:rPr>
                <w:rFonts w:hint="eastAsia" w:ascii="仿宋" w:hAnsi="仿宋" w:eastAsia="仿宋" w:cs="仿宋"/>
                <w:color w:val="000000"/>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rPr>
              <w:t>成交人数量</w:t>
            </w:r>
          </w:p>
        </w:tc>
        <w:tc>
          <w:tcPr>
            <w:tcW w:w="7199" w:type="dxa"/>
            <w:vAlign w:val="center"/>
          </w:tcPr>
          <w:p>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000000"/>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000000"/>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w:t>
            </w:r>
            <w:r>
              <w:rPr>
                <w:rFonts w:hint="eastAsia" w:ascii="仿宋" w:hAnsi="仿宋" w:eastAsia="仿宋" w:cs="仿宋"/>
                <w:sz w:val="22"/>
                <w:szCs w:val="22"/>
              </w:rPr>
              <w:t>交候选人放弃成交、因不可抗力不能履行合同、</w:t>
            </w:r>
            <w:r>
              <w:rPr>
                <w:rFonts w:hint="eastAsia" w:ascii="仿宋" w:hAnsi="仿宋" w:eastAsia="仿宋" w:cs="宋体"/>
                <w:color w:val="000000"/>
                <w:sz w:val="22"/>
                <w:szCs w:val="22"/>
              </w:rPr>
              <w:t>不按照比选文件要求提交履约保证金</w:t>
            </w:r>
            <w:r>
              <w:rPr>
                <w:rFonts w:hint="eastAsia" w:ascii="仿宋" w:hAnsi="仿宋" w:eastAsia="仿宋" w:cs="仿宋"/>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1"/>
              <w:spacing w:before="62" w:beforeLines="20" w:after="62" w:afterLines="20"/>
              <w:rPr>
                <w:rFonts w:ascii="仿宋" w:hAnsi="仿宋" w:eastAsia="仿宋"/>
                <w:color w:val="auto"/>
              </w:rPr>
            </w:pPr>
            <w:r>
              <w:rPr>
                <w:rFonts w:hint="eastAsia" w:ascii="仿宋" w:hAnsi="仿宋" w:eastAsia="仿宋"/>
                <w:color w:val="auto"/>
              </w:rPr>
              <w:t>□收取，形式及比例：</w:t>
            </w:r>
          </w:p>
          <w:p>
            <w:pPr>
              <w:pStyle w:val="61"/>
              <w:spacing w:before="62" w:beforeLines="20" w:after="62" w:afterLines="20"/>
              <w:rPr>
                <w:rFonts w:ascii="仿宋" w:hAnsi="仿宋" w:eastAsia="仿宋" w:cs="仿宋"/>
                <w:color w:val="auto"/>
              </w:rPr>
            </w:pPr>
            <w:r>
              <w:rPr>
                <w:rFonts w:hint="eastAsia" w:ascii="仿宋" w:hAnsi="仿宋" w:eastAsia="仿宋"/>
                <w:color w:val="auto"/>
              </w:rPr>
              <w:sym w:font="Wingdings 2" w:char="0052"/>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_GB2312" w:hAnsi="宋体" w:eastAsia="仿宋_GB2312"/>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sz w:val="22"/>
              </w:rPr>
              <w:t>项目采购人</w:t>
            </w:r>
            <w:r>
              <w:rPr>
                <w:rFonts w:hint="eastAsia" w:ascii="仿宋" w:hAnsi="仿宋" w:eastAsia="仿宋" w:cs="仿宋"/>
                <w:color w:val="auto"/>
                <w:sz w:val="22"/>
              </w:rPr>
              <w:t>为人保财险</w:t>
            </w:r>
            <w:r>
              <w:rPr>
                <w:rFonts w:hint="eastAsia" w:ascii="仿宋" w:hAnsi="仿宋" w:eastAsia="仿宋" w:cs="宋体"/>
                <w:color w:val="auto"/>
                <w:sz w:val="22"/>
                <w:lang w:val="en-US" w:eastAsia="zh-CN"/>
              </w:rPr>
              <w:t>乐山市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乐山市</w:t>
            </w:r>
            <w:r>
              <w:rPr>
                <w:rFonts w:ascii="仿宋" w:hAnsi="仿宋" w:eastAsia="仿宋" w:cs="仿宋"/>
                <w:color w:val="auto"/>
                <w:sz w:val="22"/>
              </w:rPr>
              <w:t>分公司</w:t>
            </w:r>
            <w:r>
              <w:rPr>
                <w:rFonts w:hint="eastAsia" w:ascii="仿宋" w:hAnsi="仿宋" w:eastAsia="仿宋" w:cs="仿宋"/>
                <w:color w:val="auto"/>
                <w:sz w:val="22"/>
              </w:rPr>
              <w:t>。</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17" w:name="_Toc287600118"/>
      <w:bookmarkStart w:id="18" w:name="_Toc19783313"/>
      <w:bookmarkStart w:id="19" w:name="_Toc6047"/>
      <w:bookmarkStart w:id="20" w:name="_Toc11071"/>
      <w:bookmarkStart w:id="21" w:name="_Toc27232"/>
      <w:bookmarkStart w:id="22" w:name="_Toc517281816"/>
      <w:bookmarkStart w:id="23" w:name="_Toc20514"/>
      <w:bookmarkStart w:id="24" w:name="_Toc444891336"/>
      <w:bookmarkStart w:id="25" w:name="_Toc186737799"/>
      <w:bookmarkStart w:id="26" w:name="_Toc27220"/>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16441"/>
      <w:bookmarkStart w:id="28" w:name="_Toc186737800"/>
      <w:bookmarkStart w:id="29" w:name="_Toc444891337"/>
      <w:bookmarkStart w:id="30" w:name="_Toc3678"/>
      <w:bookmarkStart w:id="31" w:name="_Toc19783314"/>
      <w:bookmarkStart w:id="32" w:name="_Toc517281817"/>
      <w:bookmarkStart w:id="33" w:name="_Toc11851"/>
      <w:bookmarkStart w:id="34" w:name="_Toc22969"/>
      <w:bookmarkStart w:id="35" w:name="_Toc287600119"/>
      <w:bookmarkStart w:id="36" w:name="_Toc6681"/>
      <w:bookmarkStart w:id="37" w:name="_Toc431"/>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5.比选响应费用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自行承担所有准备和参与本次比选响应的有关费用。</w:t>
      </w:r>
    </w:p>
    <w:p>
      <w:pPr>
        <w:pStyle w:val="5"/>
        <w:spacing w:after="0" w:line="360" w:lineRule="auto"/>
        <w:ind w:firstLine="482"/>
        <w:rPr>
          <w:rFonts w:ascii="仿宋" w:hAnsi="仿宋" w:eastAsia="仿宋" w:cs="仿宋"/>
          <w:color w:val="000000"/>
          <w:sz w:val="24"/>
          <w:szCs w:val="24"/>
        </w:rPr>
      </w:pPr>
      <w:bookmarkStart w:id="38" w:name="_Toc19783315"/>
      <w:bookmarkStart w:id="39" w:name="_Toc14164"/>
      <w:bookmarkStart w:id="40" w:name="_Toc25513"/>
      <w:bookmarkStart w:id="41" w:name="_Toc186737801"/>
      <w:bookmarkStart w:id="42" w:name="_Toc517281818"/>
      <w:bookmarkStart w:id="43" w:name="_Toc3016"/>
      <w:bookmarkStart w:id="44" w:name="_Toc10975"/>
      <w:bookmarkStart w:id="45" w:name="_Toc5255"/>
      <w:bookmarkStart w:id="46" w:name="_Toc287600120"/>
      <w:bookmarkStart w:id="47" w:name="_Toc444891338"/>
      <w:bookmarkStart w:id="48" w:name="_Toc24246"/>
      <w:r>
        <w:rPr>
          <w:rFonts w:hint="eastAsia" w:ascii="仿宋" w:hAnsi="仿宋" w:eastAsia="仿宋" w:cs="仿宋"/>
          <w:color w:val="000000"/>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6.比选文件的组成</w:t>
      </w:r>
    </w:p>
    <w:p>
      <w:pPr>
        <w:spacing w:line="360" w:lineRule="auto"/>
        <w:rPr>
          <w:rFonts w:ascii="仿宋" w:hAnsi="仿宋" w:eastAsia="仿宋" w:cs="仿宋"/>
          <w:color w:val="000000"/>
        </w:rPr>
      </w:pPr>
      <w:r>
        <w:rPr>
          <w:rFonts w:hint="eastAsia" w:ascii="仿宋" w:hAnsi="仿宋" w:eastAsia="仿宋" w:cs="仿宋"/>
          <w:color w:val="000000"/>
        </w:rPr>
        <w:t>6.1比选文件包括下列内容：</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竞争性谈判邀请</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6"/>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7.比选文件的修改</w:t>
      </w:r>
    </w:p>
    <w:p>
      <w:pPr>
        <w:topLinePunct/>
        <w:spacing w:line="360" w:lineRule="auto"/>
        <w:rPr>
          <w:rFonts w:ascii="仿宋_GB2312" w:hAnsi="宋体" w:eastAsia="仿宋_GB2312"/>
        </w:rPr>
      </w:pPr>
      <w:r>
        <w:rPr>
          <w:rFonts w:hint="eastAsia" w:ascii="仿宋" w:hAnsi="仿宋" w:eastAsia="仿宋" w:cs="仿宋"/>
          <w:color w:val="000000"/>
        </w:rPr>
        <w:t>7.1</w:t>
      </w:r>
      <w:r>
        <w:rPr>
          <w:rFonts w:hint="eastAsia" w:ascii="仿宋_GB2312" w:hAnsi="宋体" w:eastAsia="仿宋_GB2312"/>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000000"/>
        </w:rPr>
      </w:pPr>
      <w:r>
        <w:rPr>
          <w:rFonts w:hint="eastAsia" w:ascii="仿宋_GB2312" w:hAnsi="宋体" w:eastAsia="仿宋_GB2312"/>
        </w:rPr>
        <w:t>7</w:t>
      </w:r>
      <w:r>
        <w:rPr>
          <w:rFonts w:ascii="仿宋_GB2312" w:hAnsi="宋体" w:eastAsia="仿宋_GB2312"/>
        </w:rPr>
        <w:t>.2</w:t>
      </w:r>
      <w:r>
        <w:rPr>
          <w:rFonts w:hint="eastAsia" w:ascii="仿宋_GB2312" w:hAnsi="宋体" w:eastAsia="仿宋_GB2312"/>
        </w:rPr>
        <w:t>供应商有权要求采购人对比选文件中的有关问题进行答疑、澄清。</w:t>
      </w:r>
    </w:p>
    <w:p>
      <w:pPr>
        <w:pStyle w:val="2"/>
        <w:snapToGrid w:val="0"/>
        <w:spacing w:after="0" w:line="360" w:lineRule="auto"/>
        <w:ind w:right="-57"/>
        <w:jc w:val="both"/>
        <w:rPr>
          <w:rFonts w:ascii="仿宋_GB2312" w:hAnsi="宋体" w:eastAsia="仿宋_GB2312"/>
        </w:rPr>
      </w:pPr>
      <w:r>
        <w:rPr>
          <w:rFonts w:ascii="仿宋_GB2312" w:hAnsi="宋体" w:eastAsia="仿宋_GB2312"/>
        </w:rPr>
        <w:t>7.3</w:t>
      </w:r>
      <w:r>
        <w:rPr>
          <w:rFonts w:hint="eastAsia" w:ascii="仿宋_GB2312" w:hAnsi="宋体" w:eastAsia="仿宋_GB2312"/>
        </w:rPr>
        <w:t>供应商对比选文件如有疑问,应在首次响应文件递交截止时间前按比选文件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r>
        <w:rPr>
          <w:rFonts w:hint="eastAsia" w:ascii="仿宋_GB2312" w:hAnsi="宋体" w:eastAsia="仿宋_GB2312"/>
          <w:spacing w:val="-3"/>
        </w:rPr>
        <w:t>供应商在收到上述通知后，应立即向采购人回复确认。供</w:t>
      </w:r>
      <w:r>
        <w:rPr>
          <w:rFonts w:hint="eastAsia" w:ascii="仿宋_GB2312" w:hAnsi="宋体" w:eastAsia="仿宋_GB2312"/>
        </w:rPr>
        <w:t>应商将被视为编制响应文件时已考虑了上述修改。</w:t>
      </w:r>
    </w:p>
    <w:p>
      <w:pPr>
        <w:pStyle w:val="2"/>
        <w:snapToGrid w:val="0"/>
        <w:spacing w:after="0" w:line="360" w:lineRule="auto"/>
        <w:ind w:right="-57"/>
        <w:jc w:val="both"/>
        <w:rPr>
          <w:rFonts w:ascii="仿宋_GB2312" w:hAnsi="宋体" w:eastAsia="仿宋_GB2312"/>
        </w:rPr>
      </w:pPr>
      <w:r>
        <w:rPr>
          <w:rFonts w:ascii="仿宋_GB2312" w:hAnsi="宋体" w:eastAsia="仿宋_GB2312"/>
        </w:rPr>
        <w:t>7.4</w:t>
      </w:r>
      <w:r>
        <w:rPr>
          <w:rFonts w:hint="eastAsia" w:ascii="仿宋_GB2312" w:hAnsi="宋体" w:eastAsia="仿宋_GB2312"/>
        </w:rPr>
        <w:t>对于比选文件的修改，如影响供应商响应文件编制的，</w:t>
      </w:r>
      <w:r>
        <w:rPr>
          <w:rFonts w:hint="eastAsia" w:ascii="仿宋_GB2312" w:hAnsi="宋体" w:eastAsia="仿宋_GB2312"/>
          <w:spacing w:val="-3"/>
        </w:rPr>
        <w:t>采购人应推迟响应文件递交截止日期，并以书面或邮件形式通知所有已获取比选文件</w:t>
      </w:r>
      <w:r>
        <w:rPr>
          <w:rFonts w:hint="eastAsia" w:ascii="仿宋_GB2312" w:hAnsi="宋体" w:eastAsia="仿宋_GB2312"/>
        </w:rPr>
        <w:t>的供应商。</w:t>
      </w:r>
    </w:p>
    <w:p>
      <w:pPr>
        <w:pStyle w:val="2"/>
        <w:snapToGrid w:val="0"/>
        <w:spacing w:after="0" w:line="360" w:lineRule="auto"/>
        <w:ind w:right="-57"/>
        <w:jc w:val="both"/>
        <w:rPr>
          <w:rFonts w:ascii="仿宋_GB2312" w:hAnsi="宋体" w:eastAsia="仿宋_GB2312"/>
        </w:rPr>
      </w:pPr>
      <w:r>
        <w:rPr>
          <w:rFonts w:ascii="仿宋_GB2312" w:hAnsi="宋体" w:eastAsia="仿宋_GB2312"/>
        </w:rPr>
        <w:t>7.5</w:t>
      </w:r>
      <w:r>
        <w:rPr>
          <w:rFonts w:hint="eastAsia" w:ascii="仿宋_GB2312" w:hAnsi="宋体" w:eastAsia="仿宋_GB2312"/>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8.比选响应预备会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000000"/>
          <w:sz w:val="24"/>
          <w:szCs w:val="24"/>
        </w:rPr>
      </w:pPr>
      <w:bookmarkStart w:id="49" w:name="_Toc186737802"/>
      <w:bookmarkStart w:id="50" w:name="_Toc16985"/>
      <w:bookmarkStart w:id="51" w:name="_Toc27642"/>
      <w:bookmarkStart w:id="52" w:name="_Toc287600121"/>
      <w:bookmarkStart w:id="53" w:name="_Toc517281819"/>
      <w:bookmarkStart w:id="54" w:name="_Toc14308"/>
      <w:bookmarkStart w:id="55" w:name="_Toc444891339"/>
      <w:bookmarkStart w:id="56" w:name="_Toc13691"/>
      <w:bookmarkStart w:id="57" w:name="_Toc27563"/>
      <w:bookmarkStart w:id="58" w:name="_Toc19783316"/>
      <w:bookmarkStart w:id="59" w:name="_Toc31141"/>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11.比选响应报价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.比选响应有效期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比选响应有效期从响应文件递交截止之日起算，具体时间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000000"/>
          <w:sz w:val="24"/>
          <w:szCs w:val="24"/>
        </w:rPr>
      </w:pPr>
      <w:bookmarkStart w:id="61" w:name="_Toc14726"/>
      <w:bookmarkStart w:id="62" w:name="_Toc517281820"/>
      <w:bookmarkStart w:id="63" w:name="_Toc287600122"/>
      <w:bookmarkStart w:id="64" w:name="_Toc7129"/>
      <w:bookmarkStart w:id="65" w:name="_Toc21600"/>
      <w:bookmarkStart w:id="66" w:name="_Toc19783317"/>
      <w:bookmarkStart w:id="67" w:name="_Toc18673"/>
      <w:bookmarkStart w:id="68" w:name="_Toc444891340"/>
      <w:bookmarkStart w:id="69" w:name="_Toc4155"/>
      <w:bookmarkStart w:id="70" w:name="_Toc17865"/>
      <w:bookmarkStart w:id="71" w:name="_Toc186737803"/>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（2）纸质响应文件逾期递交或者未送达指定地点或者未按照比选文件要求封装的；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）未按比选公告或者响应公告书要求获得本项目比选文件的。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比选文件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，应当在响应文件递交截止时间前按照比选文件的规定进行递交。</w:t>
      </w:r>
    </w:p>
    <w:p>
      <w:pPr>
        <w:pStyle w:val="2"/>
        <w:spacing w:line="360" w:lineRule="auto"/>
      </w:pPr>
      <w:bookmarkStart w:id="72" w:name="_Toc179632576"/>
      <w:bookmarkStart w:id="73" w:name="_Toc144974526"/>
      <w:bookmarkStart w:id="74" w:name="_Toc152045558"/>
      <w:bookmarkStart w:id="75" w:name="_Toc246996202"/>
      <w:bookmarkStart w:id="76" w:name="_Toc247085716"/>
      <w:bookmarkStart w:id="77" w:name="_Toc246996945"/>
      <w:bookmarkStart w:id="78" w:name="_Toc152042334"/>
      <w:bookmarkStart w:id="79" w:name="_Toc332188194"/>
      <w:bookmarkStart w:id="80" w:name="_Toc326223561"/>
      <w:bookmarkStart w:id="81" w:name="_Toc334766948"/>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000000"/>
          <w:sz w:val="24"/>
          <w:szCs w:val="24"/>
        </w:rPr>
      </w:pPr>
      <w:bookmarkStart w:id="82" w:name="_Toc444891341"/>
      <w:bookmarkStart w:id="83" w:name="_Toc11361"/>
      <w:bookmarkStart w:id="84" w:name="_Toc12797"/>
      <w:bookmarkStart w:id="85" w:name="_Toc2055"/>
      <w:bookmarkStart w:id="86" w:name="_Toc517281821"/>
      <w:bookmarkStart w:id="87" w:name="_Toc2636"/>
      <w:bookmarkStart w:id="88" w:name="_Toc20741"/>
      <w:bookmarkStart w:id="89" w:name="_Toc186737804"/>
      <w:bookmarkStart w:id="90" w:name="_Toc287600123"/>
      <w:bookmarkStart w:id="91" w:name="_Toc30466"/>
      <w:r>
        <w:rPr>
          <w:rFonts w:hint="eastAsia" w:ascii="仿宋" w:hAnsi="仿宋" w:eastAsia="仿宋" w:cs="仿宋"/>
          <w:color w:val="000000"/>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比选小组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采购人依照企业采购管理制度的相关规定组建比选小组，具体人数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，比选小组成员名单在成交结果确定前保密。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，比选小组有权对其响应做否决处理。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比选小组必要时可以要求供应商提交有关证明和证件的原件，以便核验。拒不按要求提供原件的供应商，</w:t>
      </w:r>
      <w:r>
        <w:rPr>
          <w:rFonts w:hint="eastAsia" w:ascii="仿宋" w:hAnsi="仿宋" w:eastAsia="仿宋" w:cs="仿宋"/>
          <w:b/>
          <w:bCs/>
        </w:rPr>
        <w:t>比选小组有权对其响应做否决处理。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比选程序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 xml:space="preserve">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snapToGrid w:val="0"/>
        <w:spacing w:line="360" w:lineRule="auto"/>
        <w:ind w:right="-57"/>
        <w:rPr>
          <w:rFonts w:ascii="仿宋_GB2312" w:hAnsi="宋体" w:eastAsia="仿宋_GB2312"/>
        </w:rPr>
      </w:pPr>
      <w:r>
        <w:rPr>
          <w:rFonts w:ascii="仿宋_GB2312" w:hAnsi="宋体" w:eastAsia="仿宋_GB2312"/>
        </w:rPr>
        <w:t>20.1供应商</w:t>
      </w:r>
      <w:r>
        <w:rPr>
          <w:rFonts w:hint="eastAsia" w:ascii="仿宋_GB2312" w:hAnsi="宋体" w:eastAsia="仿宋_GB2312"/>
        </w:rPr>
        <w:t>提供虚假材料或文件的，自动丧失参加资格。</w:t>
      </w:r>
    </w:p>
    <w:p>
      <w:pPr>
        <w:snapToGrid w:val="0"/>
        <w:spacing w:line="360" w:lineRule="auto"/>
        <w:ind w:right="-57"/>
        <w:rPr>
          <w:rFonts w:ascii="仿宋_GB2312" w:hAnsi="宋体" w:eastAsia="仿宋_GB2312"/>
        </w:rPr>
      </w:pPr>
      <w:r>
        <w:rPr>
          <w:rFonts w:ascii="仿宋_GB2312" w:hAnsi="宋体" w:eastAsia="仿宋_GB2312"/>
        </w:rPr>
        <w:t>20.2供应商</w:t>
      </w:r>
      <w:r>
        <w:rPr>
          <w:rFonts w:hint="eastAsia" w:ascii="仿宋_GB2312" w:hAnsi="宋体" w:eastAsia="仿宋_GB2312"/>
        </w:rPr>
        <w:t>未在响应文件中提及和承诺，但又未明确书面提出异议的事项，按本比选比选邀请函的有关要求执行。</w:t>
      </w:r>
    </w:p>
    <w:p>
      <w:pPr>
        <w:snapToGrid w:val="0"/>
        <w:spacing w:line="360" w:lineRule="auto"/>
        <w:ind w:right="-57"/>
        <w:rPr>
          <w:rFonts w:ascii="仿宋_GB2312" w:hAnsi="宋体" w:eastAsia="仿宋_GB2312"/>
        </w:rPr>
      </w:pPr>
      <w:r>
        <w:rPr>
          <w:rFonts w:ascii="仿宋_GB2312" w:hAnsi="宋体" w:eastAsia="仿宋_GB2312"/>
        </w:rPr>
        <w:t>20.3</w:t>
      </w:r>
      <w:r>
        <w:rPr>
          <w:rFonts w:hint="eastAsia" w:ascii="仿宋_GB2312" w:hAnsi="宋体" w:eastAsia="仿宋_GB2312"/>
        </w:rPr>
        <w:t>供应商不应将本次采购理解为政府采购与招标。</w:t>
      </w:r>
    </w:p>
    <w:p>
      <w:pPr>
        <w:snapToGrid w:val="0"/>
        <w:spacing w:line="360" w:lineRule="auto"/>
        <w:ind w:right="-57"/>
        <w:rPr>
          <w:rFonts w:ascii="仿宋_GB2312" w:hAnsi="宋体" w:eastAsia="仿宋_GB2312"/>
        </w:rPr>
      </w:pPr>
      <w:r>
        <w:rPr>
          <w:rFonts w:ascii="仿宋_GB2312" w:hAnsi="宋体" w:eastAsia="仿宋_GB2312"/>
        </w:rPr>
        <w:t>20.4供应商</w:t>
      </w:r>
      <w:r>
        <w:rPr>
          <w:rFonts w:hint="eastAsia" w:ascii="仿宋_GB2312" w:hAnsi="宋体" w:eastAsia="仿宋_GB2312"/>
        </w:rPr>
        <w:t>没有按规定时间和内容提供材料的，视为放弃。</w:t>
      </w:r>
    </w:p>
    <w:p>
      <w:pPr>
        <w:snapToGrid w:val="0"/>
        <w:spacing w:line="360" w:lineRule="auto"/>
        <w:ind w:right="-57"/>
        <w:rPr>
          <w:rFonts w:ascii="仿宋_GB2312" w:hAnsi="宋体" w:eastAsia="仿宋_GB2312"/>
        </w:rPr>
      </w:pPr>
      <w:r>
        <w:rPr>
          <w:rFonts w:ascii="仿宋_GB2312" w:hAnsi="宋体" w:eastAsia="仿宋_GB2312"/>
        </w:rPr>
        <w:t>20.5</w:t>
      </w:r>
      <w:r>
        <w:rPr>
          <w:rFonts w:hint="eastAsia" w:ascii="仿宋_GB2312" w:hAnsi="宋体" w:eastAsia="仿宋_GB2312"/>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pStyle w:val="2"/>
        <w:snapToGrid w:val="0"/>
        <w:spacing w:after="0" w:line="360" w:lineRule="auto"/>
        <w:ind w:right="-57" w:firstLine="480" w:firstLineChars="200"/>
        <w:rPr>
          <w:rFonts w:ascii="仿宋_GB2312" w:hAnsi="宋体" w:eastAsia="仿宋_GB2312"/>
        </w:rPr>
      </w:pPr>
      <w:r>
        <w:rPr>
          <w:rFonts w:hint="eastAsia" w:ascii="仿宋_GB2312" w:hAnsi="宋体" w:eastAsia="仿宋_GB2312"/>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4</w:t>
      </w:r>
      <w:r>
        <w:rPr>
          <w:rFonts w:hint="eastAsia" w:ascii="仿宋_GB2312" w:hAnsi="宋体" w:eastAsia="仿宋_GB2312"/>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5</w:t>
      </w:r>
      <w:r>
        <w:rPr>
          <w:rFonts w:hint="eastAsia" w:ascii="仿宋_GB2312" w:hAnsi="宋体" w:eastAsia="仿宋_GB2312"/>
        </w:rPr>
        <w:t>）成交候选供应商在响应文件中提供虚假材料的；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6</w:t>
      </w:r>
      <w:r>
        <w:rPr>
          <w:rFonts w:hint="eastAsia" w:ascii="仿宋_GB2312" w:hAnsi="宋体" w:eastAsia="仿宋_GB2312"/>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7</w:t>
      </w:r>
      <w:r>
        <w:rPr>
          <w:rFonts w:hint="eastAsia" w:ascii="仿宋_GB2312" w:hAnsi="宋体" w:eastAsia="仿宋_GB2312"/>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8</w:t>
      </w:r>
      <w:r>
        <w:rPr>
          <w:rFonts w:hint="eastAsia" w:ascii="仿宋_GB2312" w:hAnsi="宋体" w:eastAsia="仿宋_GB2312"/>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lang w:bidi="ar"/>
        </w:rPr>
      </w:pPr>
      <w:r>
        <w:rPr>
          <w:rFonts w:hint="eastAsia" w:ascii="仿宋_GB2312" w:hAnsi="宋体" w:eastAsia="仿宋_GB2312"/>
        </w:rPr>
        <w:t>（</w:t>
      </w:r>
      <w:r>
        <w:rPr>
          <w:rFonts w:ascii="仿宋_GB2312" w:hAnsi="宋体" w:eastAsia="仿宋_GB2312"/>
        </w:rPr>
        <w:t>9</w:t>
      </w:r>
      <w:r>
        <w:rPr>
          <w:rFonts w:hint="eastAsia" w:ascii="仿宋_GB2312" w:hAnsi="宋体" w:eastAsia="仿宋_GB2312"/>
        </w:rPr>
        <w:t>）</w:t>
      </w:r>
      <w:r>
        <w:rPr>
          <w:rFonts w:hint="eastAsia" w:ascii="仿宋" w:hAnsi="仿宋" w:eastAsia="仿宋" w:cs="仿宋"/>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lang w:bidi="ar"/>
        </w:rPr>
      </w:pPr>
      <w:r>
        <w:rPr>
          <w:rFonts w:hint="eastAsia" w:ascii="仿宋" w:hAnsi="仿宋" w:eastAsia="仿宋" w:cs="仿宋"/>
          <w:lang w:bidi="ar"/>
        </w:rPr>
        <w:t>（1</w:t>
      </w:r>
      <w:r>
        <w:rPr>
          <w:rFonts w:ascii="仿宋" w:hAnsi="仿宋" w:eastAsia="仿宋" w:cs="仿宋"/>
          <w:lang w:bidi="ar"/>
        </w:rPr>
        <w:t>0</w:t>
      </w:r>
      <w:r>
        <w:rPr>
          <w:rFonts w:hint="eastAsia" w:ascii="仿宋" w:hAnsi="仿宋" w:eastAsia="仿宋" w:cs="仿宋"/>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11</w:t>
      </w:r>
      <w:r>
        <w:rPr>
          <w:rFonts w:hint="eastAsia" w:ascii="仿宋_GB2312" w:hAnsi="宋体" w:eastAsia="仿宋_GB2312"/>
        </w:rPr>
        <w:t>）其他不应确定成交供应商的情形。</w:t>
      </w:r>
    </w:p>
    <w:p>
      <w:pPr>
        <w:pStyle w:val="5"/>
        <w:spacing w:before="0" w:after="0" w:line="360" w:lineRule="auto"/>
        <w:ind w:firstLine="482"/>
        <w:rPr>
          <w:rFonts w:ascii="仿宋" w:hAnsi="仿宋" w:eastAsia="仿宋" w:cs="仿宋"/>
          <w:color w:val="000000"/>
          <w:sz w:val="24"/>
          <w:szCs w:val="24"/>
        </w:rPr>
      </w:pPr>
      <w:bookmarkStart w:id="95" w:name="_Toc234223231"/>
      <w:bookmarkStart w:id="96" w:name="_Toc444891342"/>
      <w:bookmarkStart w:id="97" w:name="_Toc287600124"/>
      <w:bookmarkStart w:id="98" w:name="_Toc517281822"/>
      <w:bookmarkStart w:id="99" w:name="_Toc28031"/>
      <w:bookmarkStart w:id="100" w:name="_Toc186737805"/>
      <w:bookmarkStart w:id="101" w:name="_Toc16781"/>
      <w:bookmarkStart w:id="102" w:name="_Toc19451"/>
      <w:bookmarkStart w:id="103" w:name="_Toc13936"/>
      <w:bookmarkStart w:id="104" w:name="_Toc9911"/>
      <w:bookmarkStart w:id="105" w:name="_Toc2322"/>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23.1</w:t>
      </w:r>
      <w:r>
        <w:rPr>
          <w:rFonts w:hint="eastAsia" w:ascii="仿宋" w:hAnsi="仿宋" w:eastAsia="仿宋" w:cs="仿宋"/>
          <w:color w:val="000000"/>
        </w:rPr>
        <w:t>采购人依据比选小组推荐的成交候选人名单确定成交人，成交人数量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23.</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采购人与成交人按照比选文件和成交人的响应文件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比选</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比选文件要求成交人提交履约保证金的，成交人应当按照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07" w:name="_Toc186737806"/>
      <w:bookmarkStart w:id="108" w:name="_Toc10670"/>
      <w:bookmarkStart w:id="109" w:name="_Toc8109"/>
      <w:r>
        <w:rPr>
          <w:rFonts w:hint="eastAsia" w:ascii="仿宋" w:hAnsi="仿宋" w:eastAsia="仿宋" w:cs="仿宋"/>
          <w:sz w:val="28"/>
          <w:szCs w:val="28"/>
        </w:rPr>
        <w:t>第三章 评审办法</w:t>
      </w:r>
      <w:bookmarkEnd w:id="107"/>
      <w:bookmarkEnd w:id="108"/>
    </w:p>
    <w:p>
      <w:pPr>
        <w:pStyle w:val="4"/>
        <w:jc w:val="left"/>
        <w:rPr>
          <w:rFonts w:ascii="仿宋" w:hAnsi="仿宋" w:eastAsia="仿宋" w:cs="仿宋"/>
          <w:color w:val="000000"/>
          <w:sz w:val="24"/>
          <w:szCs w:val="24"/>
        </w:rPr>
      </w:pPr>
      <w:bookmarkStart w:id="110" w:name="_Toc517281825"/>
      <w:bookmarkStart w:id="111" w:name="_Toc444891344"/>
      <w:bookmarkStart w:id="112" w:name="_Toc186737807"/>
      <w:bookmarkStart w:id="113" w:name="_Toc7201"/>
      <w:bookmarkStart w:id="114" w:name="_Toc227057964"/>
      <w:bookmarkStart w:id="115" w:name="_Toc226969358"/>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比选小组对响应文件中的相关内容进行评审。评审按照以下程序进行：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1.熟悉比选文件；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3.供应商有以下情形之一的，比选小组应当否决其比选响应：</w:t>
      </w:r>
    </w:p>
    <w:p>
      <w:pPr>
        <w:spacing w:line="360" w:lineRule="auto"/>
        <w:ind w:firstLine="420" w:firstLineChars="175"/>
        <w:rPr>
          <w:rFonts w:ascii="仿宋" w:hAnsi="仿宋" w:eastAsia="仿宋" w:cs="仿宋"/>
        </w:rPr>
      </w:pPr>
      <w:r>
        <w:rPr>
          <w:rFonts w:hint="eastAsia" w:ascii="仿宋" w:hAnsi="仿宋" w:eastAsia="仿宋" w:cs="仿宋"/>
        </w:rPr>
        <w:t>（1）按照比选公告要求已经递交电子响应文件，但未按要求递交纸质响应文件；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（4）不符合国家或者比选文件规定的资格条件；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最终报价低于成本或者高于比选文件设定的最高投标限价；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（11）不符合比选文件中规定的其他实质性要求。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5.通过初步评审的供应商分别进行比选；</w:t>
      </w:r>
    </w:p>
    <w:p>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firstLineChars="175"/>
        <w:rPr>
          <w:rFonts w:ascii="仿宋" w:hAnsi="仿宋" w:eastAsia="仿宋" w:cs="仿宋"/>
        </w:rPr>
      </w:pPr>
      <w:r>
        <w:rPr>
          <w:rFonts w:hint="eastAsia" w:ascii="仿宋" w:hAnsi="仿宋" w:eastAsia="仿宋" w:cs="仿宋"/>
        </w:rPr>
        <w:t>7.通过初步评审的响应文件进行详细评审及打分；</w:t>
      </w:r>
    </w:p>
    <w:p>
      <w:pPr>
        <w:spacing w:line="360" w:lineRule="auto"/>
        <w:ind w:firstLine="420" w:firstLineChars="175"/>
        <w:rPr>
          <w:rFonts w:ascii="仿宋" w:hAnsi="仿宋" w:eastAsia="仿宋" w:cs="仿宋"/>
          <w:color w:val="000000"/>
        </w:rPr>
      </w:pPr>
      <w:r>
        <w:rPr>
          <w:rFonts w:hint="eastAsia" w:ascii="仿宋" w:hAnsi="仿宋" w:eastAsia="仿宋" w:cs="仿宋"/>
        </w:rPr>
        <w:t>8.按照综合评分由高到低的次序推荐成交候选人，提交评审结果，评审结果应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pStyle w:val="4"/>
        <w:jc w:val="left"/>
        <w:rPr>
          <w:rFonts w:ascii="仿宋" w:hAnsi="仿宋" w:eastAsia="仿宋" w:cs="仿宋"/>
          <w:color w:val="000000"/>
          <w:sz w:val="24"/>
          <w:szCs w:val="24"/>
        </w:rPr>
      </w:pPr>
      <w:bookmarkStart w:id="116" w:name="_Toc444891345"/>
      <w:bookmarkStart w:id="117" w:name="_Toc517281826"/>
      <w:r>
        <w:rPr>
          <w:rFonts w:hint="eastAsia" w:ascii="仿宋" w:hAnsi="仿宋" w:eastAsia="仿宋" w:cs="仿宋"/>
          <w:color w:val="000000"/>
          <w:sz w:val="24"/>
          <w:szCs w:val="24"/>
        </w:rPr>
        <w:br w:type="page"/>
      </w:r>
      <w:bookmarkStart w:id="118" w:name="_Toc186737808"/>
      <w:bookmarkStart w:id="119" w:name="_Toc32019"/>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44"/>
        <w:gridCol w:w="1301"/>
        <w:gridCol w:w="2339"/>
        <w:gridCol w:w="6588"/>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3" w:type="pct"/>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066" w:type="pct"/>
            <w:vAlign w:val="center"/>
          </w:tcPr>
          <w:p>
            <w:pPr>
              <w:spacing w:before="24" w:after="24" w:line="36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02" w:type="pct"/>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02" w:type="pct"/>
            <w:vAlign w:val="center"/>
          </w:tcPr>
          <w:p>
            <w:pPr>
              <w:pStyle w:val="73"/>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02" w:type="pct"/>
            <w:vAlign w:val="center"/>
          </w:tcPr>
          <w:p>
            <w:pPr>
              <w:pStyle w:val="73"/>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3"/>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02" w:type="pct"/>
            <w:vAlign w:val="center"/>
          </w:tcPr>
          <w:p>
            <w:pPr>
              <w:spacing w:before="24" w:after="24"/>
              <w:rPr>
                <w:rFonts w:ascii="仿宋" w:hAnsi="仿宋" w:eastAsia="仿宋" w:cs="宋体"/>
                <w:color w:val="000000"/>
                <w:szCs w:val="21"/>
              </w:rPr>
            </w:pPr>
            <w:r>
              <w:rPr>
                <w:rFonts w:hint="eastAsia" w:ascii="仿宋" w:hAnsi="仿宋" w:eastAsia="仿宋" w:cs="宋体"/>
                <w:color w:val="000000"/>
                <w:szCs w:val="21"/>
              </w:rPr>
              <w:t>1、上述两款以外的响应文件格式中有落款的文件，</w:t>
            </w:r>
            <w:r>
              <w:rPr>
                <w:rFonts w:hint="eastAsia" w:ascii="仿宋" w:hAnsi="仿宋" w:eastAsia="仿宋" w:cs="宋体"/>
                <w:b/>
                <w:color w:val="000000"/>
                <w:szCs w:val="21"/>
              </w:rPr>
              <w:t>均需</w:t>
            </w:r>
            <w:r>
              <w:rPr>
                <w:rFonts w:hint="eastAsia" w:ascii="仿宋" w:hAnsi="仿宋" w:eastAsia="仿宋" w:cs="宋体"/>
                <w:color w:val="000000"/>
                <w:szCs w:val="21"/>
              </w:rPr>
              <w:t>加盖公章</w:t>
            </w:r>
            <w:r>
              <w:rPr>
                <w:rFonts w:hint="eastAsia" w:ascii="仿宋" w:hAnsi="仿宋" w:eastAsia="仿宋" w:cs="宋体"/>
                <w:b/>
                <w:color w:val="000000"/>
                <w:szCs w:val="21"/>
              </w:rPr>
              <w:t>或</w:t>
            </w:r>
            <w:r>
              <w:rPr>
                <w:rFonts w:hint="eastAsia" w:ascii="仿宋" w:hAnsi="仿宋" w:eastAsia="仿宋" w:cs="宋体"/>
                <w:color w:val="000000"/>
                <w:szCs w:val="21"/>
              </w:rPr>
              <w:t>由法定代表人（负责人）签字</w:t>
            </w:r>
            <w:r>
              <w:rPr>
                <w:rFonts w:hint="eastAsia" w:ascii="仿宋" w:hAnsi="仿宋" w:eastAsia="仿宋" w:cs="宋体"/>
                <w:b/>
                <w:color w:val="000000"/>
                <w:szCs w:val="21"/>
              </w:rPr>
              <w:t>或</w:t>
            </w:r>
            <w:r>
              <w:rPr>
                <w:rFonts w:hint="eastAsia" w:ascii="仿宋" w:hAnsi="仿宋" w:eastAsia="仿宋" w:cs="宋体"/>
                <w:color w:val="000000"/>
                <w:szCs w:val="21"/>
              </w:rPr>
              <w:t>其委托代理人签字。</w:t>
            </w:r>
          </w:p>
          <w:p>
            <w:pPr>
              <w:pStyle w:val="61"/>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066" w:type="pct"/>
            <w:vAlign w:val="center"/>
          </w:tcPr>
          <w:p>
            <w:pPr>
              <w:spacing w:before="24" w:after="24" w:line="276" w:lineRule="auto"/>
              <w:jc w:val="center"/>
              <w:rPr>
                <w:rFonts w:ascii="仿宋" w:hAnsi="仿宋" w:eastAsia="仿宋" w:cs="仿宋"/>
                <w:color w:val="000000"/>
                <w:sz w:val="22"/>
                <w:szCs w:val="21"/>
              </w:rPr>
            </w:pPr>
            <w:r>
              <w:rPr>
                <w:rFonts w:ascii="仿宋" w:hAnsi="仿宋" w:eastAsia="仿宋" w:cs="仿宋"/>
                <w:color w:val="000000"/>
                <w:sz w:val="22"/>
                <w:szCs w:val="21"/>
              </w:rPr>
              <w:t>在中华人民共和国境内依法登记的法人或其他组织，具有独立承担民事责任的能力</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ascii="仿宋" w:hAnsi="仿宋" w:eastAsia="仿宋" w:cs="仿宋"/>
                <w:color w:val="000000"/>
                <w:sz w:val="22"/>
                <w:szCs w:val="21"/>
              </w:rPr>
              <w:t>具有良好的商业信誉和健全的财务会计制度</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ascii="仿宋" w:hAnsi="仿宋" w:eastAsia="仿宋" w:cs="仿宋"/>
                <w:color w:val="000000"/>
                <w:sz w:val="22"/>
                <w:szCs w:val="21"/>
              </w:rPr>
              <w:t>具有依法缴纳税收和社会保障资金的良好记录</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仿宋"/>
                <w:color w:val="000000"/>
                <w:sz w:val="22"/>
                <w:szCs w:val="21"/>
              </w:rPr>
            </w:pPr>
            <w:r>
              <w:rPr>
                <w:rFonts w:hint="eastAsia" w:ascii="仿宋" w:hAnsi="仿宋" w:eastAsia="仿宋" w:cs="Cambria Math"/>
                <w:color w:val="000000"/>
                <w:sz w:val="22"/>
                <w:szCs w:val="21"/>
              </w:rPr>
              <w:t>近三年内无违法违规记录</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jc w:val="center"/>
              <w:rPr>
                <w:rFonts w:ascii="仿宋" w:hAnsi="仿宋" w:eastAsia="仿宋" w:cs="Cambria Math"/>
                <w:color w:val="000000"/>
                <w:sz w:val="22"/>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控股管理关系</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 w:val="22"/>
                <w:szCs w:val="21"/>
              </w:rPr>
            </w:pPr>
            <w:r>
              <w:rPr>
                <w:rFonts w:hint="eastAsia" w:ascii="仿宋" w:hAnsi="仿宋" w:eastAsia="仿宋" w:cs="Cambria Math"/>
                <w:color w:val="000000"/>
                <w:sz w:val="22"/>
                <w:szCs w:val="21"/>
              </w:rPr>
              <w:t>非联合体投标</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FF0000"/>
                <w:sz w:val="22"/>
                <w:szCs w:val="21"/>
              </w:rPr>
            </w:pPr>
            <w:r>
              <w:rPr>
                <w:rFonts w:ascii="仿宋" w:hAnsi="仿宋" w:eastAsia="仿宋" w:cs="仿宋"/>
                <w:color w:val="auto"/>
                <w:sz w:val="22"/>
                <w:szCs w:val="21"/>
              </w:rPr>
              <w:t>提供人力资源服务许可证</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符合第一章“比选邀请”</w:t>
            </w:r>
            <w:r>
              <w:rPr>
                <w:rFonts w:hint="eastAsia" w:ascii="仿宋" w:hAnsi="仿宋" w:eastAsia="仿宋" w:cs="Cambria Math"/>
                <w:color w:val="000000"/>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3"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02"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02"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02"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pPr>
              <w:spacing w:line="360" w:lineRule="auto"/>
              <w:jc w:val="center"/>
              <w:rPr>
                <w:rFonts w:ascii="仿宋" w:hAnsi="仿宋" w:eastAsia="仿宋" w:cs="仿宋"/>
                <w:color w:val="000000"/>
                <w:szCs w:val="21"/>
              </w:rPr>
            </w:pPr>
          </w:p>
        </w:tc>
        <w:tc>
          <w:tcPr>
            <w:tcW w:w="593"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szCs w:val="21"/>
              </w:rPr>
            </w:pPr>
            <w:r>
              <w:rPr>
                <w:rFonts w:hint="eastAsia" w:ascii="仿宋" w:hAnsi="仿宋" w:eastAsia="仿宋" w:cs="Cambria Math"/>
                <w:szCs w:val="21"/>
              </w:rPr>
              <w:t>供应商偏离应答</w:t>
            </w:r>
          </w:p>
        </w:tc>
        <w:tc>
          <w:tcPr>
            <w:tcW w:w="3002" w:type="pct"/>
            <w:vAlign w:val="center"/>
          </w:tcPr>
          <w:p>
            <w:pPr>
              <w:spacing w:before="24" w:after="24" w:line="276" w:lineRule="auto"/>
              <w:rPr>
                <w:rFonts w:ascii="仿宋" w:hAnsi="仿宋" w:eastAsia="仿宋" w:cs="仿宋"/>
                <w:szCs w:val="21"/>
              </w:rPr>
            </w:pPr>
            <w:r>
              <w:rPr>
                <w:rFonts w:hint="eastAsia" w:ascii="仿宋" w:hAnsi="仿宋" w:eastAsia="仿宋" w:cs="仿宋"/>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000000"/>
          <w:sz w:val="24"/>
          <w:szCs w:val="24"/>
        </w:rPr>
      </w:pPr>
      <w:bookmarkStart w:id="120" w:name="_Toc25550"/>
      <w:bookmarkStart w:id="121" w:name="_Toc186737809"/>
      <w:r>
        <w:rPr>
          <w:rFonts w:hint="eastAsia" w:ascii="仿宋" w:hAnsi="仿宋" w:eastAsia="仿宋" w:cs="仿宋"/>
          <w:color w:val="000000"/>
          <w:sz w:val="24"/>
          <w:szCs w:val="24"/>
        </w:rPr>
        <w:t>三、详细评审</w:t>
      </w:r>
      <w:bookmarkEnd w:id="120"/>
      <w:bookmarkEnd w:id="121"/>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3</w:t>
      </w:r>
      <w:r>
        <w:rPr>
          <w:rFonts w:ascii="仿宋_GB2312" w:eastAsia="仿宋_GB2312"/>
        </w:rPr>
        <w:t>.1</w:t>
      </w:r>
      <w:r>
        <w:rPr>
          <w:rFonts w:hint="eastAsia" w:ascii="仿宋_GB2312" w:eastAsia="仿宋_GB2312"/>
        </w:rPr>
        <w:t>本项目采用综合评分法</w:t>
      </w:r>
    </w:p>
    <w:p>
      <w:pPr>
        <w:pStyle w:val="2"/>
        <w:snapToGrid w:val="0"/>
        <w:spacing w:after="0" w:line="360" w:lineRule="auto"/>
        <w:ind w:left="138" w:right="228" w:firstLine="480"/>
        <w:jc w:val="both"/>
        <w:rPr>
          <w:rFonts w:ascii="仿宋_GB2312" w:eastAsia="仿宋_GB2312"/>
        </w:rPr>
      </w:pPr>
      <w:r>
        <w:rPr>
          <w:rFonts w:ascii="仿宋_GB2312" w:eastAsia="仿宋_GB2312"/>
        </w:rPr>
        <w:t>3.2</w:t>
      </w:r>
      <w:r>
        <w:rPr>
          <w:rFonts w:hint="eastAsia" w:ascii="仿宋_GB2312" w:eastAsia="仿宋_GB2312"/>
        </w:rPr>
        <w:t xml:space="preserve"> 评分明细：</w:t>
      </w:r>
    </w:p>
    <w:p>
      <w:pPr>
        <w:pStyle w:val="2"/>
        <w:snapToGrid w:val="0"/>
        <w:spacing w:after="0" w:line="360" w:lineRule="auto"/>
        <w:ind w:left="138" w:right="228" w:firstLine="480"/>
        <w:jc w:val="both"/>
        <w:rPr>
          <w:rFonts w:ascii="仿宋_GB2312" w:eastAsia="仿宋_GB2312"/>
        </w:rPr>
      </w:pPr>
      <w:r>
        <w:rPr>
          <w:rFonts w:hint="eastAsia" w:ascii="仿宋_GB2312" w:eastAsia="仿宋_GB2312"/>
        </w:rPr>
        <w:t>采购评审标准由项目</w:t>
      </w:r>
      <w:r>
        <w:rPr>
          <w:rFonts w:hint="eastAsia" w:ascii="仿宋" w:hAnsi="仿宋" w:eastAsia="仿宋" w:cs="仿宋"/>
          <w:color w:val="auto"/>
          <w:sz w:val="24"/>
          <w:szCs w:val="24"/>
          <w:highlight w:val="none"/>
          <w:lang w:val="en-US" w:eastAsia="zh-CN" w:bidi="ar-SA"/>
        </w:rPr>
        <w:t>价格部分、商务部分和技术/服务部分</w:t>
      </w:r>
      <w:r>
        <w:rPr>
          <w:rFonts w:hint="eastAsia" w:ascii="仿宋_GB2312" w:eastAsia="仿宋_GB2312"/>
        </w:rPr>
        <w:t>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2"/>
        <w:snapToGrid w:val="0"/>
        <w:spacing w:after="0" w:line="360" w:lineRule="auto"/>
        <w:ind w:left="141" w:right="223" w:firstLine="480"/>
        <w:jc w:val="both"/>
        <w:rPr>
          <w:rFonts w:hint="eastAsia" w:ascii="仿宋_GB2312" w:eastAsia="仿宋_GB2312"/>
        </w:rPr>
      </w:pPr>
      <w:r>
        <w:rPr>
          <w:rFonts w:hint="eastAsia" w:ascii="仿宋_GB2312" w:eastAsia="仿宋_GB2312"/>
        </w:rPr>
        <w:t>评审标准如下：</w:t>
      </w:r>
    </w:p>
    <w:tbl>
      <w:tblPr>
        <w:tblStyle w:val="29"/>
        <w:tblpPr w:leftFromText="180" w:rightFromText="180" w:vertAnchor="text" w:horzAnchor="page" w:tblpX="1565" w:tblpY="178"/>
        <w:tblOverlap w:val="never"/>
        <w:tblW w:w="483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2"/>
        <w:gridCol w:w="1013"/>
        <w:gridCol w:w="5063"/>
        <w:gridCol w:w="1166"/>
        <w:gridCol w:w="11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4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内容</w:t>
            </w:r>
          </w:p>
        </w:tc>
        <w:tc>
          <w:tcPr>
            <w:tcW w:w="546" w:type="pct"/>
            <w:tcBorders>
              <w:top w:val="single" w:color="000000" w:sz="4" w:space="0"/>
              <w:left w:val="single" w:color="000000"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评审因素</w:t>
            </w:r>
          </w:p>
        </w:tc>
        <w:tc>
          <w:tcPr>
            <w:tcW w:w="2730"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评审说明</w:t>
            </w:r>
          </w:p>
        </w:tc>
        <w:tc>
          <w:tcPr>
            <w:tcW w:w="628"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分值</w:t>
            </w:r>
          </w:p>
        </w:tc>
        <w:tc>
          <w:tcPr>
            <w:tcW w:w="602"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类别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8" w:hRule="atLeast"/>
        </w:trPr>
        <w:tc>
          <w:tcPr>
            <w:tcW w:w="491" w:type="pct"/>
            <w:vMerge w:val="restart"/>
            <w:tcBorders>
              <w:top w:val="single" w:color="000000" w:sz="4" w:space="0"/>
              <w:left w:val="single" w:color="000000" w:sz="4" w:space="0"/>
              <w:bottom w:val="nil"/>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价格部分（50分）</w:t>
            </w:r>
          </w:p>
        </w:tc>
        <w:tc>
          <w:tcPr>
            <w:tcW w:w="546"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投标报价</w:t>
            </w:r>
          </w:p>
        </w:tc>
        <w:tc>
          <w:tcPr>
            <w:tcW w:w="27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评分法中的价格分采用低价优先法计算，即满足招标文件要求且最低的评审价格为评标基准价，等于评标基准价得每单项分值。其他供应商的价格分统一按照下列公式计算，精确到小数点后两位：</w:t>
            </w:r>
          </w:p>
          <w:p>
            <w:pPr>
              <w:keepNext w:val="0"/>
              <w:keepLines w:val="0"/>
              <w:widowControl/>
              <w:suppressLineNumbers w:val="0"/>
              <w:jc w:val="left"/>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供应商报价得分＝（评标基准价/评审价格）×每单项分值；</w:t>
            </w:r>
          </w:p>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评审价格按照如下方式定义：对于承诺提供增值税专用发票的供应商，评审价格即不含税的投标价；对于不能提供增值税专用发票的供应商，评审价格是含税的投标价。</w:t>
            </w:r>
          </w:p>
        </w:tc>
        <w:tc>
          <w:tcPr>
            <w:tcW w:w="628" w:type="pct"/>
            <w:tcBorders>
              <w:top w:val="single" w:color="auto" w:sz="4" w:space="0"/>
              <w:left w:val="single" w:color="auto" w:sz="4" w:space="0"/>
              <w:bottom w:val="nil"/>
              <w:right w:val="single" w:color="auto" w:sz="4" w:space="0"/>
            </w:tcBorders>
            <w:shd w:val="clear" w:color="auto" w:fill="auto"/>
            <w:vAlign w:val="center"/>
          </w:tcPr>
          <w:p>
            <w:pPr>
              <w:pStyle w:val="2"/>
              <w:jc w:val="center"/>
              <w:rPr>
                <w:rFonts w:hint="default"/>
                <w:color w:val="000000" w:themeColor="text1"/>
                <w:lang w:val="en-US"/>
                <w14:textFill>
                  <w14:solidFill>
                    <w14:schemeClr w14:val="tx1"/>
                  </w14:solidFill>
                </w14:textFill>
              </w:rPr>
            </w:pPr>
          </w:p>
        </w:tc>
        <w:tc>
          <w:tcPr>
            <w:tcW w:w="602" w:type="pct"/>
            <w:vMerge w:val="restart"/>
            <w:tcBorders>
              <w:top w:val="single" w:color="auto" w:sz="4" w:space="0"/>
              <w:left w:val="single" w:color="auto" w:sz="4" w:space="0"/>
              <w:right w:val="single" w:color="auto" w:sz="4" w:space="0"/>
            </w:tcBorders>
            <w:shd w:val="clear" w:color="auto" w:fill="auto"/>
            <w:noWrap/>
            <w:vAlign w:val="center"/>
          </w:tcPr>
          <w:p>
            <w:pPr>
              <w:ind w:firstLine="180" w:firstLineChars="100"/>
              <w:rPr>
                <w:rFonts w:hint="eastAsia" w:eastAsiaTheme="minorEastAsia"/>
                <w:lang w:val="en-US" w:eastAsia="zh-CN"/>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客观分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91" w:type="pct"/>
            <w:vMerge w:val="continue"/>
            <w:tcBorders>
              <w:top w:val="single" w:color="000000" w:sz="4" w:space="0"/>
              <w:left w:val="single" w:color="000000" w:sz="4" w:space="0"/>
              <w:bottom w:val="nil"/>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46"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27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color w:val="000000" w:themeColor="text1"/>
                <w:kern w:val="0"/>
                <w:sz w:val="18"/>
                <w:szCs w:val="18"/>
                <w:lang w:val="en-US" w:eastAsia="zh-CN" w:bidi="ar"/>
                <w14:textFill>
                  <w14:solidFill>
                    <w14:schemeClr w14:val="tx1"/>
                  </w14:solidFill>
                </w14:textFill>
              </w:rPr>
              <w:t>1.</w:t>
            </w:r>
            <w:r>
              <w:rPr>
                <w:rFonts w:hint="eastAsia" w:ascii="宋体" w:hAnsi="宋体" w:eastAsia="宋体" w:cs="宋体"/>
                <w:color w:val="000000" w:themeColor="text1"/>
                <w:kern w:val="0"/>
                <w:sz w:val="18"/>
                <w:szCs w:val="18"/>
                <w:lang w:bidi="ar"/>
                <w14:textFill>
                  <w14:solidFill>
                    <w14:schemeClr w14:val="tx1"/>
                  </w14:solidFill>
                </w14:textFill>
              </w:rPr>
              <w:t>未逾期账户每月还款提醒服务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（12分）。</w:t>
            </w:r>
          </w:p>
        </w:tc>
        <w:tc>
          <w:tcPr>
            <w:tcW w:w="628" w:type="pct"/>
            <w:tcBorders>
              <w:top w:val="nil"/>
              <w:left w:val="single" w:color="auto" w:sz="4" w:space="0"/>
              <w:bottom w:val="nil"/>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50分</w:t>
            </w:r>
          </w:p>
        </w:tc>
        <w:tc>
          <w:tcPr>
            <w:tcW w:w="602" w:type="pct"/>
            <w:vMerge w:val="continue"/>
            <w:tcBorders>
              <w:left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91" w:type="pct"/>
            <w:vMerge w:val="continue"/>
            <w:tcBorders>
              <w:top w:val="single" w:color="000000" w:sz="4" w:space="0"/>
              <w:left w:val="single" w:color="000000" w:sz="4" w:space="0"/>
              <w:bottom w:val="nil"/>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46"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27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2.</w:t>
            </w:r>
            <w:r>
              <w:rPr>
                <w:rFonts w:hint="eastAsia" w:ascii="宋体" w:hAnsi="宋体" w:eastAsia="宋体" w:cs="宋体"/>
                <w:color w:val="000000" w:themeColor="text1"/>
                <w:sz w:val="18"/>
                <w:szCs w:val="18"/>
                <w:vertAlign w:val="baseline"/>
                <w:lang w:val="en-US" w:eastAsia="zh-CN"/>
                <w14:textFill>
                  <w14:solidFill>
                    <w14:schemeClr w14:val="tx1"/>
                  </w14:solidFill>
                </w14:textFill>
              </w:rPr>
              <w:t>逾期账户催收服务</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（18分）。</w:t>
            </w:r>
          </w:p>
        </w:tc>
        <w:tc>
          <w:tcPr>
            <w:tcW w:w="628" w:type="pct"/>
            <w:tcBorders>
              <w:top w:val="nil"/>
              <w:left w:val="single" w:color="auto" w:sz="4" w:space="0"/>
              <w:bottom w:val="nil"/>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602" w:type="pct"/>
            <w:vMerge w:val="continue"/>
            <w:tcBorders>
              <w:left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91" w:type="pct"/>
            <w:vMerge w:val="continue"/>
            <w:tcBorders>
              <w:top w:val="single" w:color="000000" w:sz="4" w:space="0"/>
              <w:left w:val="single" w:color="000000" w:sz="4" w:space="0"/>
              <w:bottom w:val="nil"/>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46"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27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sz w:val="18"/>
                <w:szCs w:val="18"/>
                <w:u w:val="none"/>
                <w:lang w:val="en-US" w:eastAsia="zh-CN"/>
                <w14:textFill>
                  <w14:solidFill>
                    <w14:schemeClr w14:val="tx1"/>
                  </w14:solidFill>
                </w14:textFill>
              </w:rPr>
            </w:pPr>
            <w:r>
              <w:rPr>
                <w:rFonts w:hint="eastAsia" w:ascii="宋体" w:hAnsi="宋体" w:eastAsia="宋体" w:cs="宋体"/>
                <w:color w:val="000000" w:themeColor="text1"/>
                <w:kern w:val="0"/>
                <w:sz w:val="18"/>
                <w:szCs w:val="18"/>
                <w:lang w:val="en-US" w:eastAsia="zh-CN" w:bidi="ar"/>
                <w14:textFill>
                  <w14:solidFill>
                    <w14:schemeClr w14:val="tx1"/>
                  </w14:solidFill>
                </w14:textFill>
              </w:rPr>
              <w:t>3.</w:t>
            </w:r>
            <w:r>
              <w:rPr>
                <w:rFonts w:hint="eastAsia" w:ascii="宋体" w:hAnsi="宋体" w:eastAsia="宋体" w:cs="宋体"/>
                <w:color w:val="000000" w:themeColor="text1"/>
                <w:kern w:val="0"/>
                <w:sz w:val="18"/>
                <w:szCs w:val="18"/>
                <w:lang w:bidi="ar"/>
                <w14:textFill>
                  <w14:solidFill>
                    <w14:schemeClr w14:val="tx1"/>
                  </w14:solidFill>
                </w14:textFill>
              </w:rPr>
              <w:t>逾期理赔账户下户调查回访服务费</w:t>
            </w:r>
            <w:r>
              <w:rPr>
                <w:rFonts w:hint="eastAsia" w:ascii="宋体" w:hAnsi="宋体" w:eastAsia="宋体" w:cs="宋体"/>
                <w:color w:val="000000" w:themeColor="text1"/>
                <w:kern w:val="0"/>
                <w:sz w:val="18"/>
                <w:szCs w:val="18"/>
                <w:lang w:eastAsia="zh-CN" w:bidi="ar"/>
                <w14:textFill>
                  <w14:solidFill>
                    <w14:schemeClr w14:val="tx1"/>
                  </w14:solidFill>
                </w14:textFill>
              </w:rPr>
              <w:t>（</w:t>
            </w:r>
            <w:r>
              <w:rPr>
                <w:rFonts w:hint="eastAsia" w:ascii="宋体" w:hAnsi="宋体" w:eastAsia="宋体" w:cs="宋体"/>
                <w:color w:val="000000" w:themeColor="text1"/>
                <w:kern w:val="0"/>
                <w:sz w:val="18"/>
                <w:szCs w:val="18"/>
                <w:lang w:val="en-US" w:eastAsia="zh-CN" w:bidi="ar"/>
                <w14:textFill>
                  <w14:solidFill>
                    <w14:schemeClr w14:val="tx1"/>
                  </w14:solidFill>
                </w14:textFill>
              </w:rPr>
              <w:t>15分）</w:t>
            </w:r>
          </w:p>
        </w:tc>
        <w:tc>
          <w:tcPr>
            <w:tcW w:w="628" w:type="pct"/>
            <w:tcBorders>
              <w:top w:val="nil"/>
              <w:left w:val="single" w:color="auto" w:sz="4" w:space="0"/>
              <w:bottom w:val="nil"/>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602" w:type="pct"/>
            <w:vMerge w:val="continue"/>
            <w:tcBorders>
              <w:left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91" w:type="pct"/>
            <w:vMerge w:val="continue"/>
            <w:tcBorders>
              <w:top w:val="single" w:color="000000" w:sz="4" w:space="0"/>
              <w:left w:val="single" w:color="000000" w:sz="4" w:space="0"/>
              <w:bottom w:val="nil"/>
              <w:right w:val="single" w:color="auto"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46" w:type="pct"/>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2730" w:type="pc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themeColor="text1"/>
                <w:sz w:val="18"/>
                <w:szCs w:val="18"/>
                <w:u w:val="none"/>
                <w:lang w:val="en-US"/>
                <w14:textFill>
                  <w14:solidFill>
                    <w14:schemeClr w14:val="tx1"/>
                  </w14:solidFill>
                </w14:textFill>
              </w:rPr>
            </w:pPr>
            <w:r>
              <w:rPr>
                <w:rFonts w:hint="eastAsia" w:ascii="宋体" w:hAnsi="宋体" w:eastAsia="宋体" w:cs="宋体"/>
                <w:color w:val="000000" w:themeColor="text1"/>
                <w:sz w:val="18"/>
                <w:szCs w:val="18"/>
                <w:vertAlign w:val="baseline"/>
                <w:lang w:val="en-US" w:eastAsia="zh-CN"/>
                <w14:textFill>
                  <w14:solidFill>
                    <w14:schemeClr w14:val="tx1"/>
                  </w14:solidFill>
                </w14:textFill>
              </w:rPr>
              <w:t>4.资料收集整理服务（5分）</w:t>
            </w:r>
          </w:p>
        </w:tc>
        <w:tc>
          <w:tcPr>
            <w:tcW w:w="628" w:type="pct"/>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kern w:val="0"/>
                <w:sz w:val="18"/>
                <w:szCs w:val="18"/>
                <w:u w:val="none"/>
                <w:lang w:val="en-US" w:eastAsia="zh-CN" w:bidi="ar"/>
                <w14:textFill>
                  <w14:solidFill>
                    <w14:schemeClr w14:val="tx1"/>
                  </w14:solidFill>
                </w14:textFill>
              </w:rPr>
            </w:pPr>
          </w:p>
        </w:tc>
        <w:tc>
          <w:tcPr>
            <w:tcW w:w="602" w:type="pct"/>
            <w:vMerge w:val="continue"/>
            <w:tcBorders>
              <w:left w:val="single" w:color="auto" w:sz="4" w:space="0"/>
              <w:bottom w:val="single" w:color="auto" w:sz="4" w:space="0"/>
              <w:right w:val="single" w:color="auto" w:sz="4" w:space="0"/>
            </w:tcBorders>
            <w:shd w:val="clear" w:color="auto" w:fill="auto"/>
            <w:noWrap/>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7" w:hRule="atLeast"/>
        </w:trPr>
        <w:tc>
          <w:tcPr>
            <w:tcW w:w="49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商务部分（10分）</w:t>
            </w:r>
          </w:p>
        </w:tc>
        <w:tc>
          <w:tcPr>
            <w:tcW w:w="546" w:type="pct"/>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企业综合实力</w:t>
            </w:r>
          </w:p>
        </w:tc>
        <w:tc>
          <w:tcPr>
            <w:tcW w:w="2730" w:type="pct"/>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sz w:val="18"/>
                <w:szCs w:val="18"/>
                <w:u w:val="none"/>
                <w14:textFill>
                  <w14:solidFill>
                    <w14:schemeClr w14:val="tx1"/>
                  </w14:solidFill>
                </w14:textFill>
              </w:rPr>
              <w:t>根据投标人财务状况（营业收入、净利润）、信誉状况、人员储备、管理体系认证（包括但不限于质量管理体系、环境管理体系、职业健康安全管理体系等）等情况进行横向比较评分（需提供相应证明材料），评标为优得4-5分，较优得2-3分，一般得0-1分。</w:t>
            </w:r>
          </w:p>
        </w:tc>
        <w:tc>
          <w:tcPr>
            <w:tcW w:w="628" w:type="pct"/>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6"/>
                <w:szCs w:val="16"/>
                <w:u w:val="none"/>
                <w14:textFill>
                  <w14:solidFill>
                    <w14:schemeClr w14:val="tx1"/>
                  </w14:solidFill>
                </w14:textFill>
              </w:rPr>
            </w:pPr>
            <w:r>
              <w:rPr>
                <w:rFonts w:hint="eastAsia" w:ascii="宋体" w:hAnsi="宋体" w:eastAsia="宋体" w:cs="宋体"/>
                <w:i w:val="0"/>
                <w:iCs w:val="0"/>
                <w:color w:val="000000" w:themeColor="text1"/>
                <w:kern w:val="0"/>
                <w:sz w:val="16"/>
                <w:szCs w:val="16"/>
                <w:u w:val="none"/>
                <w:lang w:val="en-US" w:eastAsia="zh-CN" w:bidi="ar"/>
                <w14:textFill>
                  <w14:solidFill>
                    <w14:schemeClr w14:val="tx1"/>
                  </w14:solidFill>
                </w14:textFill>
              </w:rPr>
              <w:t>5</w:t>
            </w:r>
          </w:p>
        </w:tc>
        <w:tc>
          <w:tcPr>
            <w:tcW w:w="602" w:type="pct"/>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主观分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2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同类业绩</w:t>
            </w:r>
          </w:p>
        </w:tc>
        <w:tc>
          <w:tcPr>
            <w:tcW w:w="27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投标人近三年（2023年1月1日至开标日）具有同类项目实施案例，并提供符合上述要求的合同/协议关键页作为有效的业绩证明材料。合同/协议关键页包含但不限于合同/协议首页、体现项目内容页、签署日期页及盖章页等。在满足资格条件的基础上，每提供1个有效案例得1分，最多得5分。</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6"/>
                <w:szCs w:val="16"/>
                <w:u w:val="none"/>
                <w14:textFill>
                  <w14:solidFill>
                    <w14:schemeClr w14:val="tx1"/>
                  </w14:solidFill>
                </w14:textFill>
              </w:rPr>
            </w:pPr>
            <w:r>
              <w:rPr>
                <w:rFonts w:hint="eastAsia" w:ascii="宋体" w:hAnsi="宋体" w:eastAsia="宋体" w:cs="宋体"/>
                <w:i w:val="0"/>
                <w:iCs w:val="0"/>
                <w:color w:val="000000" w:themeColor="text1"/>
                <w:kern w:val="0"/>
                <w:sz w:val="16"/>
                <w:szCs w:val="16"/>
                <w:u w:val="none"/>
                <w:lang w:val="en-US" w:eastAsia="zh-CN" w:bidi="ar"/>
                <w14:textFill>
                  <w14:solidFill>
                    <w14:schemeClr w14:val="tx1"/>
                  </w14:solidFill>
                </w14:textFill>
              </w:rPr>
              <w:t>5</w:t>
            </w:r>
          </w:p>
        </w:tc>
        <w:tc>
          <w:tcPr>
            <w:tcW w:w="6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客观分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0" w:hRule="atLeast"/>
        </w:trPr>
        <w:tc>
          <w:tcPr>
            <w:tcW w:w="49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技术/服务部分（40分）</w:t>
            </w: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项目团队人员配备</w:t>
            </w:r>
          </w:p>
        </w:tc>
        <w:tc>
          <w:tcPr>
            <w:tcW w:w="27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lang w:val="en-US" w:eastAsia="zh-CN"/>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评分内容：需对所提供的劳务人员配置情况进行评价。</w:t>
            </w:r>
            <w:r>
              <w:rPr>
                <w:rFonts w:hint="eastAsia"/>
                <w:lang w:val="en-US" w:eastAsia="zh-CN"/>
              </w:rPr>
              <w:br w:type="textWrapping"/>
            </w:r>
          </w:p>
          <w:p>
            <w:pPr>
              <w:pStyle w:val="2"/>
              <w:numPr>
                <w:ilvl w:val="0"/>
                <w:numId w:val="3"/>
              </w:numPr>
              <w:rPr>
                <w:rFonts w:hint="eastAsia"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t>学历方面：满足我司大专学历基础要求得0.5分/人，每提供1人为本科学历加0.5分，每提供1人为本科以上学历加1分，最多得3分。</w:t>
            </w:r>
          </w:p>
          <w:p>
            <w:pPr>
              <w:pStyle w:val="2"/>
              <w:numPr>
                <w:ilvl w:val="0"/>
                <w:numId w:val="3"/>
              </w:numPr>
              <w:rPr>
                <w:rFonts w:hint="eastAsia"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t>年龄方面：满足我司45周岁及以下基础要求得0.5分/人，每提供1人年龄满足在30周岁（含）-40周岁（不含）加0.5分，每提供1人年龄满足在30周岁（不含）以下加1分，最多得3分。</w:t>
            </w:r>
          </w:p>
          <w:p>
            <w:pPr>
              <w:pStyle w:val="2"/>
              <w:numPr>
                <w:ilvl w:val="0"/>
                <w:numId w:val="0"/>
              </w:numPr>
              <w:rPr>
                <w:rFonts w:hint="eastAsia"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t>（2）①项目团队人员配备合理，职责分工明确，经验丰富，资质实力强，得5-6分；</w:t>
            </w:r>
          </w:p>
          <w:p>
            <w:pPr>
              <w:pStyle w:val="2"/>
              <w:numPr>
                <w:ilvl w:val="0"/>
                <w:numId w:val="0"/>
              </w:numPr>
              <w:rPr>
                <w:rFonts w:hint="eastAsia"/>
              </w:rPr>
            </w:pPr>
            <w:r>
              <w:rPr>
                <w:rFonts w:hint="eastAsia"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t>②项目团队人员配备较合理，职责分工较明确，经验较丰富，资质实力较强，得3-4分；</w:t>
            </w:r>
            <w:r>
              <w:rPr>
                <w:rFonts w:hint="eastAsia"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t>③项目团队人员配备不太合理，职责分工不太明确，服务经验少，资质实力一般，得0-2分。</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themeColor="text1"/>
                <w:sz w:val="18"/>
                <w:szCs w:val="18"/>
                <w:u w:val="none"/>
                <w:lang w:val="en-US"/>
                <w14:textFill>
                  <w14:solidFill>
                    <w14:schemeClr w14:val="tx1"/>
                  </w14:solidFill>
                </w14:textFill>
              </w:rPr>
            </w:pPr>
            <w:r>
              <w:rPr>
                <w:rFonts w:hint="eastAsia" w:ascii="宋体" w:hAnsi="宋体" w:eastAsia="宋体" w:cs="宋体"/>
                <w:i w:val="0"/>
                <w:iCs w:val="0"/>
                <w:color w:val="000000" w:themeColor="text1"/>
                <w:kern w:val="0"/>
                <w:sz w:val="18"/>
                <w:szCs w:val="18"/>
                <w:highlight w:val="none"/>
                <w:u w:val="none"/>
                <w:lang w:val="en-US" w:eastAsia="zh-CN" w:bidi="ar"/>
                <w14:textFill>
                  <w14:solidFill>
                    <w14:schemeClr w14:val="tx1"/>
                  </w14:solidFill>
                </w14:textFill>
              </w:rPr>
              <w:t>12</w:t>
            </w:r>
          </w:p>
        </w:tc>
        <w:tc>
          <w:tcPr>
            <w:tcW w:w="6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主观分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4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项目团队人员管理方案</w:t>
            </w:r>
          </w:p>
        </w:tc>
        <w:tc>
          <w:tcPr>
            <w:tcW w:w="27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需对所提供的人员管理情况进行评价，供应商应提供①管理机构设置；②工作职能组织运行制度。</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对管理机构、日常工作有完善的管理方案，管理方案可行且高效，能够快速响应采购方的日常需求，保质保量完成人员供给，得6-8分；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对管理机构、日常工作有管理方案，管理方案可行，能够响应采购方的基本需求，在管理人员方面有一定的举措，得3-5分；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对管理机构、日常工作缺乏有效的管理方案，无法保证按时保质保量完成采购方的简单需求，得0-2分。</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w:t>
            </w:r>
          </w:p>
        </w:tc>
        <w:tc>
          <w:tcPr>
            <w:tcW w:w="6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主观分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5"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4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27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需对所提供的人员管理情况进行评价，供应商应提供①人员岗位职责分工；②人员日常管理办法。</w:t>
            </w:r>
          </w:p>
          <w:p>
            <w:pPr>
              <w:keepNext w:val="0"/>
              <w:keepLines w:val="0"/>
              <w:widowControl/>
              <w:suppressLineNumbers w:val="0"/>
              <w:jc w:val="both"/>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针对融信部劳务外包人员有完善的人员管理方案，对于员工工作绩效管理举措到位，得5-7分；</w:t>
            </w:r>
          </w:p>
          <w:p>
            <w:pPr>
              <w:keepNext w:val="0"/>
              <w:keepLines w:val="0"/>
              <w:widowControl/>
              <w:suppressLineNumbers w:val="0"/>
              <w:jc w:val="both"/>
              <w:textAlignment w:val="cente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针对融信部劳务外包人员的人员管理有简单的方案，对员工工作绩效管理有举措，得2-4分；</w:t>
            </w:r>
          </w:p>
          <w:p>
            <w:pPr>
              <w:keepNext w:val="0"/>
              <w:keepLines w:val="0"/>
              <w:widowControl/>
              <w:suppressLineNumbers w:val="0"/>
              <w:jc w:val="both"/>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针对融信部劳务外包人员人员缺乏有效的人员管理方案，对员工工作绩效管理流于形式，得0-1分。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7</w:t>
            </w:r>
          </w:p>
        </w:tc>
        <w:tc>
          <w:tcPr>
            <w:tcW w:w="6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主观分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应急处理预案和服务承诺</w:t>
            </w:r>
          </w:p>
        </w:tc>
        <w:tc>
          <w:tcPr>
            <w:tcW w:w="27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优秀的应急处理预案，服务承诺内容全面、合理可行，得4-5分；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应急预案安排合理，服务承诺内容较全面、合理可行性较好，得2-3分；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应急预案一般或较差，服务承诺内容有欠缺、合理可行性差，得0-1分。</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5</w:t>
            </w:r>
          </w:p>
        </w:tc>
        <w:tc>
          <w:tcPr>
            <w:tcW w:w="6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主观分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themeColor="text1"/>
                <w:sz w:val="18"/>
                <w:szCs w:val="18"/>
                <w:u w:val="none"/>
                <w14:textFill>
                  <w14:solidFill>
                    <w14:schemeClr w14:val="tx1"/>
                  </w14:solidFill>
                </w14:textFill>
              </w:rPr>
            </w:pPr>
          </w:p>
        </w:tc>
        <w:tc>
          <w:tcPr>
            <w:tcW w:w="5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服务流程及内容</w:t>
            </w:r>
          </w:p>
        </w:tc>
        <w:tc>
          <w:tcPr>
            <w:tcW w:w="273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需对所提供的服务流程及内容进行评价，供应商应提供①服务流程；②服务方案内容</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具有完善的服务方案，服务流程细致，服务方案切实可行，得6-8分；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具有相对完善的服务方案，有一定的服务流程，服务方案可行得3-5分；</w:t>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br w:type="textWrapping"/>
            </w: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具有简单的服务方案，无细致的服务流程，得0-2分。</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8</w:t>
            </w:r>
          </w:p>
        </w:tc>
        <w:tc>
          <w:tcPr>
            <w:tcW w:w="60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kern w:val="0"/>
                <w:sz w:val="18"/>
                <w:szCs w:val="18"/>
                <w:u w:val="none"/>
                <w:lang w:val="en-US" w:eastAsia="zh-CN" w:bidi="ar"/>
                <w14:textFill>
                  <w14:solidFill>
                    <w14:schemeClr w14:val="tx1"/>
                  </w14:solidFill>
                </w14:textFill>
              </w:rPr>
              <w:t>主观分</w:t>
            </w:r>
          </w:p>
        </w:tc>
      </w:tr>
    </w:tbl>
    <w:p>
      <w:pPr>
        <w:pStyle w:val="2"/>
        <w:snapToGrid w:val="0"/>
        <w:spacing w:after="0" w:line="360" w:lineRule="auto"/>
        <w:ind w:left="141" w:right="223" w:firstLine="480"/>
        <w:jc w:val="both"/>
        <w:rPr>
          <w:rFonts w:hint="eastAsia" w:ascii="仿宋_GB2312" w:eastAsia="仿宋_GB2312"/>
        </w:rPr>
      </w:pPr>
    </w:p>
    <w:p/>
    <w:p>
      <w:pPr>
        <w:pStyle w:val="2"/>
      </w:pPr>
    </w:p>
    <w:p>
      <w:pPr>
        <w:pStyle w:val="2"/>
      </w:pPr>
    </w:p>
    <w:p>
      <w:pPr>
        <w:pStyle w:val="2"/>
      </w:pPr>
    </w:p>
    <w:p>
      <w:pPr>
        <w:pStyle w:val="2"/>
      </w:pPr>
    </w:p>
    <w:p>
      <w:pPr>
        <w:pStyle w:val="2"/>
      </w:pPr>
    </w:p>
    <w:bookmarkEnd w:id="109"/>
    <w:p>
      <w:pPr>
        <w:pStyle w:val="3"/>
        <w:numPr>
          <w:ilvl w:val="0"/>
          <w:numId w:val="4"/>
        </w:numPr>
        <w:spacing w:before="0" w:after="0"/>
        <w:jc w:val="left"/>
        <w:rPr>
          <w:rFonts w:hint="eastAsia" w:ascii="仿宋" w:hAnsi="仿宋" w:eastAsia="仿宋" w:cs="仿宋"/>
          <w:color w:val="auto"/>
          <w:sz w:val="28"/>
          <w:szCs w:val="28"/>
        </w:rPr>
      </w:pPr>
      <w:bookmarkStart w:id="122" w:name="_Toc15254"/>
      <w:bookmarkStart w:id="123" w:name="_Toc186737810"/>
      <w:r>
        <w:rPr>
          <w:rFonts w:hint="eastAsia" w:ascii="仿宋" w:hAnsi="仿宋" w:eastAsia="仿宋" w:cs="仿宋"/>
          <w:color w:val="auto"/>
          <w:sz w:val="28"/>
          <w:szCs w:val="28"/>
        </w:rPr>
        <w:t>合同条</w:t>
      </w:r>
      <w:bookmarkEnd w:id="122"/>
      <w:r>
        <w:rPr>
          <w:rFonts w:hint="eastAsia" w:ascii="仿宋" w:hAnsi="仿宋" w:eastAsia="仿宋" w:cs="仿宋"/>
          <w:color w:val="auto"/>
          <w:sz w:val="28"/>
          <w:szCs w:val="28"/>
        </w:rPr>
        <w:t>款</w:t>
      </w:r>
      <w:bookmarkEnd w:id="123"/>
    </w:p>
    <w:p>
      <w:pPr>
        <w:numPr>
          <w:ilvl w:val="0"/>
          <w:numId w:val="0"/>
        </w:numPr>
      </w:pPr>
    </w:p>
    <w:p>
      <w:pPr>
        <w:spacing w:before="0"/>
        <w:ind w:left="127" w:right="990" w:firstLine="0"/>
        <w:jc w:val="center"/>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6"/>
          <w:sz w:val="32"/>
          <w:szCs w:val="32"/>
          <w:lang w:val="en-US" w:eastAsia="zh-CN"/>
          <w14:textFill>
            <w14:solidFill>
              <w14:schemeClr w14:val="tx1"/>
            </w14:solidFill>
          </w14:textFill>
        </w:rPr>
        <w:t xml:space="preserve">    </w:t>
      </w:r>
      <w:r>
        <w:rPr>
          <w:rFonts w:hint="eastAsia" w:ascii="仿宋" w:hAnsi="仿宋" w:eastAsia="仿宋" w:cs="仿宋"/>
          <w:b/>
          <w:bCs/>
          <w:color w:val="000000" w:themeColor="text1"/>
          <w:spacing w:val="-6"/>
          <w:sz w:val="32"/>
          <w:szCs w:val="32"/>
          <w14:textFill>
            <w14:solidFill>
              <w14:schemeClr w14:val="tx1"/>
            </w14:solidFill>
          </w14:textFill>
        </w:rPr>
        <w:t>商务部分</w:t>
      </w:r>
    </w:p>
    <w:p>
      <w:pPr>
        <w:spacing w:before="247"/>
        <w:ind w:left="667" w:right="0" w:firstLine="0"/>
        <w:jc w:val="left"/>
        <w:rPr>
          <w:rFonts w:hint="eastAsia" w:ascii="仿宋" w:hAnsi="仿宋" w:eastAsia="仿宋" w:cs="仿宋"/>
          <w:color w:val="000000" w:themeColor="text1"/>
          <w:spacing w:val="-6"/>
          <w:sz w:val="32"/>
          <w:szCs w:val="32"/>
          <w14:textFill>
            <w14:solidFill>
              <w14:schemeClr w14:val="tx1"/>
            </w14:solidFill>
          </w14:textFill>
        </w:rPr>
      </w:pPr>
    </w:p>
    <w:p>
      <w:pPr>
        <w:spacing w:before="247"/>
        <w:ind w:left="667" w:right="0" w:firstLine="0"/>
        <w:jc w:val="lef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6"/>
          <w:sz w:val="32"/>
          <w:szCs w:val="32"/>
          <w14:textFill>
            <w14:solidFill>
              <w14:schemeClr w14:val="tx1"/>
            </w14:solidFill>
          </w14:textFill>
        </w:rPr>
        <w:t>第一条 项目内容及要求</w:t>
      </w:r>
    </w:p>
    <w:p>
      <w:pPr>
        <w:spacing w:before="241"/>
        <w:ind w:left="667" w:right="0" w:firstLine="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5"/>
          <w:sz w:val="32"/>
          <w:szCs w:val="32"/>
          <w14:textFill>
            <w14:solidFill>
              <w14:schemeClr w14:val="tx1"/>
            </w14:solidFill>
          </w14:textFill>
        </w:rPr>
        <w:t>本合同项下甲乙双方约定的项目内容及要求见本合同【附件】。</w:t>
      </w:r>
    </w:p>
    <w:p>
      <w:pPr>
        <w:spacing w:before="246"/>
        <w:ind w:left="667" w:right="0" w:firstLine="0"/>
        <w:jc w:val="lef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5"/>
          <w:sz w:val="32"/>
          <w:szCs w:val="32"/>
          <w14:textFill>
            <w14:solidFill>
              <w14:schemeClr w14:val="tx1"/>
            </w14:solidFill>
          </w14:textFill>
        </w:rPr>
        <w:t>第二条 合同价格</w:t>
      </w:r>
    </w:p>
    <w:p>
      <w:pPr>
        <w:spacing w:before="242" w:line="400" w:lineRule="auto"/>
        <w:ind w:left="107" w:right="411" w:firstLine="559"/>
        <w:jc w:val="both"/>
        <w:rPr>
          <w:rFonts w:hint="eastAsia" w:ascii="仿宋" w:hAnsi="仿宋" w:eastAsia="仿宋" w:cs="仿宋"/>
          <w:color w:val="000000" w:themeColor="text1"/>
          <w:spacing w:val="-2"/>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（一）</w:t>
      </w:r>
      <w:r>
        <w:rPr>
          <w:rFonts w:hint="eastAsia" w:ascii="仿宋" w:hAnsi="仿宋" w:eastAsia="仿宋" w:cs="仿宋"/>
          <w:color w:val="000000" w:themeColor="text1"/>
          <w:spacing w:val="-3"/>
          <w:sz w:val="32"/>
          <w:szCs w:val="32"/>
          <w14:textFill>
            <w14:solidFill>
              <w14:schemeClr w14:val="tx1"/>
            </w14:solidFill>
          </w14:textFill>
        </w:rPr>
        <w:t xml:space="preserve"> 本合同服务费用总额包括但不限于乙方向甲方提供服务所收</w:t>
      </w:r>
      <w:r>
        <w:rPr>
          <w:rFonts w:hint="eastAsia" w:ascii="仿宋" w:hAnsi="仿宋" w:eastAsia="仿宋" w:cs="仿宋"/>
          <w:color w:val="000000" w:themeColor="text1"/>
          <w:spacing w:val="-2"/>
          <w:sz w:val="32"/>
          <w:szCs w:val="32"/>
          <w14:textFill>
            <w14:solidFill>
              <w14:schemeClr w14:val="tx1"/>
            </w14:solidFill>
          </w14:textFill>
        </w:rPr>
        <w:t>取的劳务费、乙方按照法律规定应当缴纳的税款等因本合同而发生的费用。除服务费用总额外，甲方无须就本合同项下乙方的任何义务支付任何额外费用。</w:t>
      </w:r>
    </w:p>
    <w:p>
      <w:pPr>
        <w:spacing w:before="242"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（二）</w:t>
      </w:r>
      <w:r>
        <w:rPr>
          <w:rFonts w:hint="eastAsia" w:ascii="仿宋" w:hAnsi="仿宋" w:eastAsia="仿宋" w:cs="仿宋"/>
          <w:color w:val="000000" w:themeColor="text1"/>
          <w:spacing w:val="-6"/>
          <w:sz w:val="32"/>
          <w:szCs w:val="32"/>
          <w14:textFill>
            <w14:solidFill>
              <w14:schemeClr w14:val="tx1"/>
            </w14:solidFill>
          </w14:textFill>
        </w:rPr>
        <w:t xml:space="preserve"> 本合同付款安排见【附件】。</w:t>
      </w:r>
    </w:p>
    <w:p>
      <w:pPr>
        <w:spacing w:before="247"/>
        <w:ind w:left="667" w:right="0" w:firstLine="0"/>
        <w:jc w:val="lef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5"/>
          <w:sz w:val="32"/>
          <w:szCs w:val="32"/>
          <w14:textFill>
            <w14:solidFill>
              <w14:schemeClr w14:val="tx1"/>
            </w14:solidFill>
          </w14:textFill>
        </w:rPr>
        <w:t>第三条 违约责任</w:t>
      </w:r>
    </w:p>
    <w:p>
      <w:pPr>
        <w:spacing w:after="0"/>
        <w:jc w:val="left"/>
        <w:rPr>
          <w:rFonts w:hint="eastAsia" w:ascii="仿宋" w:hAnsi="仿宋" w:eastAsia="仿宋" w:cs="仿宋"/>
          <w:color w:val="000000" w:themeColor="text1"/>
          <w:sz w:val="32"/>
          <w:szCs w:val="32"/>
          <w14:textFill>
            <w14:solidFill>
              <w14:schemeClr w14:val="tx1"/>
            </w14:solidFill>
          </w14:textFill>
        </w:rPr>
      </w:pPr>
    </w:p>
    <w:p>
      <w:pPr>
        <w:spacing w:before="50" w:line="400" w:lineRule="auto"/>
        <w:ind w:left="107" w:right="411" w:firstLine="559"/>
        <w:jc w:val="left"/>
        <w:rPr>
          <w:rFonts w:hint="eastAsia" w:ascii="仿宋" w:hAnsi="仿宋" w:eastAsia="仿宋" w:cs="仿宋"/>
          <w:color w:val="000000" w:themeColor="text1"/>
          <w:spacing w:val="-2"/>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甲、乙任一方或双方违约的，违约一方应当向相对方承担相应的违约责任。违约责任的具体约定见【附件】。</w:t>
      </w:r>
    </w:p>
    <w:p>
      <w:pPr>
        <w:spacing w:before="50" w:line="400" w:lineRule="auto"/>
        <w:ind w:left="107" w:right="411" w:firstLine="559"/>
        <w:jc w:val="center"/>
        <w:rPr>
          <w:rFonts w:hint="default"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通用部分</w:t>
      </w:r>
    </w:p>
    <w:p>
      <w:pPr>
        <w:pStyle w:val="2"/>
        <w:numPr>
          <w:ilvl w:val="0"/>
          <w:numId w:val="0"/>
        </w:numPr>
        <w:ind w:firstLine="643" w:firstLineChars="200"/>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lang w:val="en-US" w:eastAsia="zh-CN"/>
          <w14:textFill>
            <w14:solidFill>
              <w14:schemeClr w14:val="tx1"/>
            </w14:solidFill>
          </w14:textFill>
        </w:rPr>
        <w:t xml:space="preserve">第四条 </w:t>
      </w:r>
      <w:r>
        <w:rPr>
          <w:rFonts w:hint="eastAsia" w:ascii="仿宋" w:hAnsi="仿宋" w:eastAsia="仿宋" w:cs="仿宋"/>
          <w:b/>
          <w:bCs/>
          <w:color w:val="000000" w:themeColor="text1"/>
          <w:sz w:val="32"/>
          <w:szCs w:val="32"/>
          <w14:textFill>
            <w14:solidFill>
              <w14:schemeClr w14:val="tx1"/>
            </w14:solidFill>
          </w14:textFill>
        </w:rPr>
        <w:t>双方的权利和义务</w:t>
      </w:r>
    </w:p>
    <w:p>
      <w:pPr>
        <w:pStyle w:val="2"/>
        <w:numPr>
          <w:ilvl w:val="0"/>
          <w:numId w:val="0"/>
        </w:numPr>
        <w:spacing w:after="120"/>
        <w:rPr>
          <w:rFonts w:hint="eastAsia" w:ascii="仿宋" w:hAnsi="仿宋" w:eastAsia="仿宋" w:cs="仿宋"/>
          <w:b/>
          <w:bCs/>
          <w:color w:val="000000" w:themeColor="text1"/>
          <w:sz w:val="32"/>
          <w:szCs w:val="32"/>
          <w14:textFill>
            <w14:solidFill>
              <w14:schemeClr w14:val="tx1"/>
            </w14:solidFill>
          </w14:textFill>
        </w:rPr>
      </w:pPr>
    </w:p>
    <w:p>
      <w:pPr>
        <w:spacing w:before="0" w:line="351" w:lineRule="exact"/>
        <w:ind w:left="667" w:right="0" w:firstLine="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（一）</w:t>
      </w:r>
      <w:r>
        <w:rPr>
          <w:rFonts w:hint="eastAsia" w:ascii="仿宋" w:hAnsi="仿宋" w:eastAsia="仿宋" w:cs="仿宋"/>
          <w:color w:val="000000" w:themeColor="text1"/>
          <w:spacing w:val="-7"/>
          <w:sz w:val="32"/>
          <w:szCs w:val="32"/>
          <w14:textFill>
            <w14:solidFill>
              <w14:schemeClr w14:val="tx1"/>
            </w14:solidFill>
          </w14:textFill>
        </w:rPr>
        <w:t xml:space="preserve"> 甲方的权利和义务</w:t>
      </w:r>
    </w:p>
    <w:p>
      <w:pPr>
        <w:pStyle w:val="51"/>
        <w:numPr>
          <w:ilvl w:val="0"/>
          <w:numId w:val="0"/>
        </w:numPr>
        <w:tabs>
          <w:tab w:val="left" w:pos="1366"/>
        </w:tabs>
        <w:spacing w:before="241" w:after="0" w:line="240" w:lineRule="auto"/>
        <w:ind w:right="0" w:rightChars="0" w:firstLine="620" w:firstLineChars="20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5"/>
          <w:sz w:val="32"/>
          <w:szCs w:val="32"/>
          <w:lang w:eastAsia="zh-CN"/>
          <w14:textFill>
            <w14:solidFill>
              <w14:schemeClr w14:val="tx1"/>
            </w14:solidFill>
          </w14:textFill>
        </w:rPr>
        <w:t>（</w:t>
      </w:r>
      <w:r>
        <w:rPr>
          <w:rFonts w:hint="eastAsia" w:ascii="仿宋" w:hAnsi="仿宋" w:eastAsia="仿宋" w:cs="仿宋"/>
          <w:color w:val="000000" w:themeColor="text1"/>
          <w:spacing w:val="-5"/>
          <w:sz w:val="32"/>
          <w:szCs w:val="32"/>
          <w:lang w:val="en-US" w:eastAsia="zh-CN"/>
          <w14:textFill>
            <w14:solidFill>
              <w14:schemeClr w14:val="tx1"/>
            </w14:solidFill>
          </w14:textFill>
        </w:rPr>
        <w:t>1)</w:t>
      </w:r>
      <w:r>
        <w:rPr>
          <w:rFonts w:hint="eastAsia" w:ascii="仿宋" w:hAnsi="仿宋" w:eastAsia="仿宋" w:cs="仿宋"/>
          <w:color w:val="000000" w:themeColor="text1"/>
          <w:spacing w:val="-5"/>
          <w:sz w:val="32"/>
          <w:szCs w:val="32"/>
          <w14:textFill>
            <w14:solidFill>
              <w14:schemeClr w14:val="tx1"/>
            </w14:solidFill>
          </w14:textFill>
        </w:rPr>
        <w:t>甲方有权获得本合同项下乙方应提供的全部合格的服务；</w:t>
      </w:r>
    </w:p>
    <w:p>
      <w:pPr>
        <w:pStyle w:val="51"/>
        <w:numPr>
          <w:ilvl w:val="0"/>
          <w:numId w:val="0"/>
        </w:numPr>
        <w:tabs>
          <w:tab w:val="left" w:pos="1366"/>
        </w:tabs>
        <w:spacing w:before="241" w:after="0" w:line="240" w:lineRule="auto"/>
        <w:ind w:right="0" w:rightChars="0" w:firstLine="620" w:firstLineChars="20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5"/>
          <w:sz w:val="32"/>
          <w:szCs w:val="32"/>
          <w:lang w:val="en-US" w:eastAsia="zh-CN"/>
          <w14:textFill>
            <w14:solidFill>
              <w14:schemeClr w14:val="tx1"/>
            </w14:solidFill>
          </w14:textFill>
        </w:rPr>
        <w:t>（2）</w:t>
      </w:r>
      <w:r>
        <w:rPr>
          <w:rFonts w:hint="eastAsia" w:ascii="仿宋" w:hAnsi="仿宋" w:eastAsia="仿宋" w:cs="仿宋"/>
          <w:color w:val="000000" w:themeColor="text1"/>
          <w:spacing w:val="-5"/>
          <w:sz w:val="32"/>
          <w:szCs w:val="32"/>
          <w14:textFill>
            <w14:solidFill>
              <w14:schemeClr w14:val="tx1"/>
            </w14:solidFill>
          </w14:textFill>
        </w:rPr>
        <w:t>甲方有权在合同期内对乙方的产品及服务进行监督；</w:t>
      </w:r>
    </w:p>
    <w:p>
      <w:pPr>
        <w:pStyle w:val="51"/>
        <w:numPr>
          <w:ilvl w:val="0"/>
          <w:numId w:val="0"/>
        </w:numPr>
        <w:tabs>
          <w:tab w:val="left" w:pos="1366"/>
        </w:tabs>
        <w:spacing w:before="241" w:after="0" w:line="240" w:lineRule="auto"/>
        <w:ind w:right="0" w:rightChars="0" w:firstLine="620" w:firstLineChars="20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5"/>
          <w:sz w:val="32"/>
          <w:szCs w:val="32"/>
          <w:lang w:val="en-US" w:eastAsia="zh-CN"/>
          <w14:textFill>
            <w14:solidFill>
              <w14:schemeClr w14:val="tx1"/>
            </w14:solidFill>
          </w14:textFill>
        </w:rPr>
        <w:t>（3)</w:t>
      </w:r>
      <w:r>
        <w:rPr>
          <w:rFonts w:hint="eastAsia" w:ascii="仿宋" w:hAnsi="仿宋" w:eastAsia="仿宋" w:cs="仿宋"/>
          <w:color w:val="000000" w:themeColor="text1"/>
          <w:spacing w:val="-5"/>
          <w:sz w:val="32"/>
          <w:szCs w:val="32"/>
          <w14:textFill>
            <w14:solidFill>
              <w14:schemeClr w14:val="tx1"/>
            </w14:solidFill>
          </w14:textFill>
        </w:rPr>
        <w:t>乙方未按照合同约定履行义务的，甲方有权采取相应的措施；</w:t>
      </w:r>
    </w:p>
    <w:p>
      <w:pPr>
        <w:pStyle w:val="51"/>
        <w:numPr>
          <w:ilvl w:val="0"/>
          <w:numId w:val="0"/>
        </w:numPr>
        <w:tabs>
          <w:tab w:val="left" w:pos="1366"/>
        </w:tabs>
        <w:spacing w:before="242" w:after="0" w:line="240" w:lineRule="auto"/>
        <w:ind w:right="0" w:rightChars="0" w:firstLine="620" w:firstLineChars="20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5"/>
          <w:sz w:val="32"/>
          <w:szCs w:val="32"/>
          <w:lang w:eastAsia="zh-CN"/>
          <w14:textFill>
            <w14:solidFill>
              <w14:schemeClr w14:val="tx1"/>
            </w14:solidFill>
          </w14:textFill>
        </w:rPr>
        <w:t>（</w:t>
      </w:r>
      <w:r>
        <w:rPr>
          <w:rFonts w:hint="eastAsia" w:ascii="仿宋" w:hAnsi="仿宋" w:eastAsia="仿宋" w:cs="仿宋"/>
          <w:color w:val="000000" w:themeColor="text1"/>
          <w:spacing w:val="-5"/>
          <w:sz w:val="32"/>
          <w:szCs w:val="32"/>
          <w:lang w:val="en-US" w:eastAsia="zh-CN"/>
          <w14:textFill>
            <w14:solidFill>
              <w14:schemeClr w14:val="tx1"/>
            </w14:solidFill>
          </w14:textFill>
        </w:rPr>
        <w:t>4）</w:t>
      </w:r>
      <w:r>
        <w:rPr>
          <w:rFonts w:hint="eastAsia" w:ascii="仿宋" w:hAnsi="仿宋" w:eastAsia="仿宋" w:cs="仿宋"/>
          <w:color w:val="000000" w:themeColor="text1"/>
          <w:spacing w:val="-5"/>
          <w:sz w:val="32"/>
          <w:szCs w:val="32"/>
          <w14:textFill>
            <w14:solidFill>
              <w14:schemeClr w14:val="tx1"/>
            </w14:solidFill>
          </w14:textFill>
        </w:rPr>
        <w:t>甲方应按照合同约定向乙方支付合同价款；</w:t>
      </w:r>
    </w:p>
    <w:p>
      <w:pPr>
        <w:pStyle w:val="51"/>
        <w:numPr>
          <w:ilvl w:val="0"/>
          <w:numId w:val="0"/>
        </w:numPr>
        <w:tabs>
          <w:tab w:val="left" w:pos="1366"/>
        </w:tabs>
        <w:spacing w:before="241" w:after="0" w:line="240" w:lineRule="auto"/>
        <w:ind w:right="0" w:rightChars="0" w:firstLine="620" w:firstLineChars="20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5"/>
          <w:sz w:val="32"/>
          <w:szCs w:val="32"/>
          <w:lang w:eastAsia="zh-CN"/>
          <w14:textFill>
            <w14:solidFill>
              <w14:schemeClr w14:val="tx1"/>
            </w14:solidFill>
          </w14:textFill>
        </w:rPr>
        <w:t>（</w:t>
      </w:r>
      <w:r>
        <w:rPr>
          <w:rFonts w:hint="eastAsia" w:ascii="仿宋" w:hAnsi="仿宋" w:eastAsia="仿宋" w:cs="仿宋"/>
          <w:color w:val="000000" w:themeColor="text1"/>
          <w:spacing w:val="-5"/>
          <w:sz w:val="32"/>
          <w:szCs w:val="32"/>
          <w:lang w:val="en-US" w:eastAsia="zh-CN"/>
          <w14:textFill>
            <w14:solidFill>
              <w14:schemeClr w14:val="tx1"/>
            </w14:solidFill>
          </w14:textFill>
        </w:rPr>
        <w:t>5）</w:t>
      </w:r>
      <w:r>
        <w:rPr>
          <w:rFonts w:hint="eastAsia" w:ascii="仿宋" w:hAnsi="仿宋" w:eastAsia="仿宋" w:cs="仿宋"/>
          <w:color w:val="000000" w:themeColor="text1"/>
          <w:spacing w:val="-5"/>
          <w:sz w:val="32"/>
          <w:szCs w:val="32"/>
          <w14:textFill>
            <w14:solidFill>
              <w14:schemeClr w14:val="tx1"/>
            </w14:solidFill>
          </w14:textFill>
        </w:rPr>
        <w:t>甲方享有其它双方约定的权利、承担其它双方约定的义务。</w:t>
      </w:r>
    </w:p>
    <w:p>
      <w:pPr>
        <w:spacing w:before="241"/>
        <w:ind w:right="0" w:firstLine="612" w:firstLineChars="20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7"/>
          <w:sz w:val="32"/>
          <w:szCs w:val="32"/>
          <w:lang w:eastAsia="zh-CN"/>
          <w14:textFill>
            <w14:solidFill>
              <w14:schemeClr w14:val="tx1"/>
            </w14:solidFill>
          </w14:textFill>
        </w:rPr>
        <w:t>（</w:t>
      </w:r>
      <w:r>
        <w:rPr>
          <w:rFonts w:hint="eastAsia" w:ascii="仿宋" w:hAnsi="仿宋" w:eastAsia="仿宋" w:cs="仿宋"/>
          <w:color w:val="000000" w:themeColor="text1"/>
          <w:spacing w:val="-7"/>
          <w:sz w:val="32"/>
          <w:szCs w:val="32"/>
          <w:lang w:val="en-US" w:eastAsia="zh-CN"/>
          <w14:textFill>
            <w14:solidFill>
              <w14:schemeClr w14:val="tx1"/>
            </w14:solidFill>
          </w14:textFill>
        </w:rPr>
        <w:t>二）</w:t>
      </w:r>
      <w:r>
        <w:rPr>
          <w:rFonts w:hint="eastAsia" w:ascii="仿宋" w:hAnsi="仿宋" w:eastAsia="仿宋" w:cs="仿宋"/>
          <w:color w:val="000000" w:themeColor="text1"/>
          <w:spacing w:val="-7"/>
          <w:sz w:val="32"/>
          <w:szCs w:val="32"/>
          <w14:textFill>
            <w14:solidFill>
              <w14:schemeClr w14:val="tx1"/>
            </w14:solidFill>
          </w14:textFill>
        </w:rPr>
        <w:t>乙方的权利和义务</w:t>
      </w:r>
    </w:p>
    <w:p>
      <w:pPr>
        <w:pStyle w:val="51"/>
        <w:numPr>
          <w:ilvl w:val="0"/>
          <w:numId w:val="0"/>
        </w:numPr>
        <w:tabs>
          <w:tab w:val="left" w:pos="1366"/>
        </w:tabs>
        <w:spacing w:before="241" w:after="0" w:line="240" w:lineRule="auto"/>
        <w:ind w:right="0" w:rightChars="0" w:firstLine="620" w:firstLineChars="20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5"/>
          <w:sz w:val="32"/>
          <w:szCs w:val="32"/>
          <w:lang w:eastAsia="zh-CN"/>
          <w14:textFill>
            <w14:solidFill>
              <w14:schemeClr w14:val="tx1"/>
            </w14:solidFill>
          </w14:textFill>
        </w:rPr>
        <w:t>（</w:t>
      </w:r>
      <w:r>
        <w:rPr>
          <w:rFonts w:hint="eastAsia" w:ascii="仿宋" w:hAnsi="仿宋" w:eastAsia="仿宋" w:cs="仿宋"/>
          <w:color w:val="000000" w:themeColor="text1"/>
          <w:spacing w:val="-5"/>
          <w:sz w:val="32"/>
          <w:szCs w:val="32"/>
          <w:lang w:val="en-US" w:eastAsia="zh-CN"/>
          <w14:textFill>
            <w14:solidFill>
              <w14:schemeClr w14:val="tx1"/>
            </w14:solidFill>
          </w14:textFill>
        </w:rPr>
        <w:t>1）</w:t>
      </w:r>
      <w:r>
        <w:rPr>
          <w:rFonts w:hint="eastAsia" w:ascii="仿宋" w:hAnsi="仿宋" w:eastAsia="仿宋" w:cs="仿宋"/>
          <w:color w:val="000000" w:themeColor="text1"/>
          <w:spacing w:val="-5"/>
          <w:sz w:val="32"/>
          <w:szCs w:val="32"/>
          <w14:textFill>
            <w14:solidFill>
              <w14:schemeClr w14:val="tx1"/>
            </w14:solidFill>
          </w14:textFill>
        </w:rPr>
        <w:t>乙方有权获得甲方支付的合同价款；</w:t>
      </w:r>
    </w:p>
    <w:p>
      <w:pPr>
        <w:pStyle w:val="51"/>
        <w:numPr>
          <w:ilvl w:val="0"/>
          <w:numId w:val="0"/>
        </w:numPr>
        <w:tabs>
          <w:tab w:val="left" w:pos="1366"/>
        </w:tabs>
        <w:spacing w:before="242" w:after="0" w:line="240" w:lineRule="auto"/>
        <w:ind w:right="0" w:rightChars="0" w:firstLine="620" w:firstLineChars="20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5"/>
          <w:sz w:val="32"/>
          <w:szCs w:val="32"/>
          <w:lang w:eastAsia="zh-CN"/>
          <w14:textFill>
            <w14:solidFill>
              <w14:schemeClr w14:val="tx1"/>
            </w14:solidFill>
          </w14:textFill>
        </w:rPr>
        <w:t>（</w:t>
      </w:r>
      <w:r>
        <w:rPr>
          <w:rFonts w:hint="eastAsia" w:ascii="仿宋" w:hAnsi="仿宋" w:eastAsia="仿宋" w:cs="仿宋"/>
          <w:color w:val="000000" w:themeColor="text1"/>
          <w:spacing w:val="-5"/>
          <w:sz w:val="32"/>
          <w:szCs w:val="32"/>
          <w:lang w:val="en-US" w:eastAsia="zh-CN"/>
          <w14:textFill>
            <w14:solidFill>
              <w14:schemeClr w14:val="tx1"/>
            </w14:solidFill>
          </w14:textFill>
        </w:rPr>
        <w:t>2）</w:t>
      </w:r>
      <w:r>
        <w:rPr>
          <w:rFonts w:hint="eastAsia" w:ascii="仿宋" w:hAnsi="仿宋" w:eastAsia="仿宋" w:cs="仿宋"/>
          <w:color w:val="000000" w:themeColor="text1"/>
          <w:spacing w:val="-5"/>
          <w:sz w:val="32"/>
          <w:szCs w:val="32"/>
          <w14:textFill>
            <w14:solidFill>
              <w14:schemeClr w14:val="tx1"/>
            </w14:solidFill>
          </w14:textFill>
        </w:rPr>
        <w:t>乙方应按照合同约定向甲方提供全部合格的服务；</w:t>
      </w:r>
    </w:p>
    <w:p>
      <w:pPr>
        <w:pStyle w:val="51"/>
        <w:numPr>
          <w:ilvl w:val="0"/>
          <w:numId w:val="0"/>
        </w:numPr>
        <w:tabs>
          <w:tab w:val="left" w:pos="1366"/>
        </w:tabs>
        <w:spacing w:before="241" w:after="0" w:line="240" w:lineRule="auto"/>
        <w:ind w:right="0" w:rightChars="0" w:firstLine="620" w:firstLineChars="20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5"/>
          <w:sz w:val="32"/>
          <w:szCs w:val="32"/>
          <w:lang w:eastAsia="zh-CN"/>
          <w14:textFill>
            <w14:solidFill>
              <w14:schemeClr w14:val="tx1"/>
            </w14:solidFill>
          </w14:textFill>
        </w:rPr>
        <w:t>（</w:t>
      </w:r>
      <w:r>
        <w:rPr>
          <w:rFonts w:hint="eastAsia" w:ascii="仿宋" w:hAnsi="仿宋" w:eastAsia="仿宋" w:cs="仿宋"/>
          <w:color w:val="000000" w:themeColor="text1"/>
          <w:spacing w:val="-5"/>
          <w:sz w:val="32"/>
          <w:szCs w:val="32"/>
          <w:lang w:val="en-US" w:eastAsia="zh-CN"/>
          <w14:textFill>
            <w14:solidFill>
              <w14:schemeClr w14:val="tx1"/>
            </w14:solidFill>
          </w14:textFill>
        </w:rPr>
        <w:t>3）</w:t>
      </w:r>
      <w:r>
        <w:rPr>
          <w:rFonts w:hint="eastAsia" w:ascii="仿宋" w:hAnsi="仿宋" w:eastAsia="仿宋" w:cs="仿宋"/>
          <w:color w:val="000000" w:themeColor="text1"/>
          <w:spacing w:val="-5"/>
          <w:sz w:val="32"/>
          <w:szCs w:val="32"/>
          <w14:textFill>
            <w14:solidFill>
              <w14:schemeClr w14:val="tx1"/>
            </w14:solidFill>
          </w14:textFill>
        </w:rPr>
        <w:t>乙方应当按照合同约定的期限及要求完成项目内容；</w:t>
      </w:r>
    </w:p>
    <w:p>
      <w:pPr>
        <w:pStyle w:val="51"/>
        <w:numPr>
          <w:ilvl w:val="0"/>
          <w:numId w:val="0"/>
        </w:numPr>
        <w:tabs>
          <w:tab w:val="left" w:pos="1368"/>
        </w:tabs>
        <w:spacing w:before="241" w:after="0" w:line="400" w:lineRule="auto"/>
        <w:ind w:right="411" w:rightChars="0" w:firstLine="632" w:firstLineChars="200"/>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lang w:eastAsia="zh-CN"/>
          <w14:textFill>
            <w14:solidFill>
              <w14:schemeClr w14:val="tx1"/>
            </w14:solidFill>
          </w14:textFill>
        </w:rPr>
        <w:t>（</w:t>
      </w:r>
      <w:r>
        <w:rPr>
          <w:rFonts w:hint="eastAsia" w:ascii="仿宋" w:hAnsi="仿宋" w:eastAsia="仿宋" w:cs="仿宋"/>
          <w:color w:val="000000" w:themeColor="text1"/>
          <w:spacing w:val="-2"/>
          <w:sz w:val="32"/>
          <w:szCs w:val="32"/>
          <w:lang w:val="en-US" w:eastAsia="zh-CN"/>
          <w14:textFill>
            <w14:solidFill>
              <w14:schemeClr w14:val="tx1"/>
            </w14:solidFill>
          </w14:textFill>
        </w:rPr>
        <w:t>4)</w:t>
      </w:r>
      <w:r>
        <w:rPr>
          <w:rFonts w:hint="eastAsia" w:ascii="仿宋" w:hAnsi="仿宋" w:eastAsia="仿宋" w:cs="仿宋"/>
          <w:color w:val="000000" w:themeColor="text1"/>
          <w:spacing w:val="-2"/>
          <w:sz w:val="32"/>
          <w:szCs w:val="32"/>
          <w14:textFill>
            <w14:solidFill>
              <w14:schemeClr w14:val="tx1"/>
            </w14:solidFill>
          </w14:textFill>
        </w:rPr>
        <w:t>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pStyle w:val="51"/>
        <w:numPr>
          <w:ilvl w:val="0"/>
          <w:numId w:val="0"/>
        </w:numPr>
        <w:tabs>
          <w:tab w:val="left" w:pos="1366"/>
        </w:tabs>
        <w:spacing w:before="5" w:after="0" w:line="240" w:lineRule="auto"/>
        <w:ind w:leftChars="200" w:right="0" w:rightChars="0" w:firstLine="310" w:firstLineChars="10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5"/>
          <w:sz w:val="32"/>
          <w:szCs w:val="32"/>
          <w:lang w:val="en-US" w:eastAsia="zh-CN"/>
          <w14:textFill>
            <w14:solidFill>
              <w14:schemeClr w14:val="tx1"/>
            </w14:solidFill>
          </w14:textFill>
        </w:rPr>
        <w:t>(5)</w:t>
      </w:r>
      <w:r>
        <w:rPr>
          <w:rFonts w:hint="eastAsia" w:ascii="仿宋" w:hAnsi="仿宋" w:eastAsia="仿宋" w:cs="仿宋"/>
          <w:color w:val="000000" w:themeColor="text1"/>
          <w:spacing w:val="-5"/>
          <w:sz w:val="32"/>
          <w:szCs w:val="32"/>
          <w14:textFill>
            <w14:solidFill>
              <w14:schemeClr w14:val="tx1"/>
            </w14:solidFill>
          </w14:textFill>
        </w:rPr>
        <w:t>乙方享有其它双方约定的权利、承担其它双方约定的义务。</w:t>
      </w:r>
    </w:p>
    <w:p>
      <w:pPr>
        <w:spacing w:before="246"/>
        <w:ind w:left="667" w:right="0" w:firstLine="0"/>
        <w:jc w:val="lef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5"/>
          <w:sz w:val="32"/>
          <w:szCs w:val="32"/>
          <w14:textFill>
            <w14:solidFill>
              <w14:schemeClr w14:val="tx1"/>
            </w14:solidFill>
          </w14:textFill>
        </w:rPr>
        <w:t>第五条 禁止转让</w:t>
      </w:r>
    </w:p>
    <w:p>
      <w:pPr>
        <w:spacing w:before="241" w:line="400" w:lineRule="auto"/>
        <w:ind w:left="107" w:right="411" w:firstLine="559"/>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未经甲方事先书面同意，乙方不得将其本合同项下之全部义务或其中一部分义务转让给第三方执行。</w:t>
      </w:r>
    </w:p>
    <w:p>
      <w:pPr>
        <w:spacing w:before="7"/>
        <w:ind w:left="667" w:right="0" w:firstLine="0"/>
        <w:jc w:val="lef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5"/>
          <w:sz w:val="32"/>
          <w:szCs w:val="32"/>
          <w14:textFill>
            <w14:solidFill>
              <w14:schemeClr w14:val="tx1"/>
            </w14:solidFill>
          </w14:textFill>
        </w:rPr>
        <w:t>第六条 商标使用</w:t>
      </w:r>
    </w:p>
    <w:p>
      <w:pPr>
        <w:spacing w:after="0"/>
        <w:jc w:val="left"/>
        <w:rPr>
          <w:rFonts w:hint="eastAsia" w:ascii="仿宋" w:hAnsi="仿宋" w:eastAsia="仿宋" w:cs="仿宋"/>
          <w:color w:val="000000" w:themeColor="text1"/>
          <w:sz w:val="32"/>
          <w:szCs w:val="32"/>
          <w14:textFill>
            <w14:solidFill>
              <w14:schemeClr w14:val="tx1"/>
            </w14:solidFill>
          </w14:textFill>
        </w:rPr>
      </w:pPr>
    </w:p>
    <w:p>
      <w:pPr>
        <w:pStyle w:val="2"/>
        <w:numPr>
          <w:ilvl w:val="0"/>
          <w:numId w:val="0"/>
        </w:numPr>
        <w:spacing w:after="120"/>
        <w:rPr>
          <w:rFonts w:hint="eastAsia" w:ascii="仿宋" w:hAnsi="仿宋" w:eastAsia="仿宋" w:cs="仿宋"/>
          <w:color w:val="000000" w:themeColor="text1"/>
          <w:spacing w:val="-2"/>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未经甲方书面许可，乙方不得将甲方的商标、公司名称、标识等用于宣传和/或展示。</w:t>
      </w:r>
    </w:p>
    <w:p>
      <w:pPr>
        <w:pStyle w:val="2"/>
        <w:numPr>
          <w:ilvl w:val="0"/>
          <w:numId w:val="0"/>
        </w:numPr>
        <w:spacing w:after="120"/>
        <w:rPr>
          <w:rFonts w:hint="eastAsia" w:ascii="仿宋" w:hAnsi="仿宋" w:eastAsia="仿宋" w:cs="仿宋"/>
          <w:color w:val="000000" w:themeColor="text1"/>
          <w:spacing w:val="-2"/>
          <w:sz w:val="32"/>
          <w:szCs w:val="32"/>
          <w14:textFill>
            <w14:solidFill>
              <w14:schemeClr w14:val="tx1"/>
            </w14:solidFill>
          </w14:textFill>
        </w:rPr>
      </w:pPr>
    </w:p>
    <w:p>
      <w:pPr>
        <w:spacing w:before="7"/>
        <w:ind w:left="667" w:right="0" w:firstLine="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5"/>
          <w:sz w:val="32"/>
          <w:szCs w:val="32"/>
          <w14:textFill>
            <w14:solidFill>
              <w14:schemeClr w14:val="tx1"/>
            </w14:solidFill>
          </w14:textFill>
        </w:rPr>
        <w:t>第七条 权利保证</w:t>
      </w:r>
    </w:p>
    <w:p>
      <w:pPr>
        <w:spacing w:before="241"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乙方确保甲方不因签署本合同、接受或使用本合同中约定的事项侵犯甲方或任何第三方权利。如乙方违反本保证，导致第三方主张权利或者甲方遭受索赔，乙方应负责解决并应当赔偿甲方为此而支付的一切费</w:t>
      </w:r>
      <w:r>
        <w:rPr>
          <w:rFonts w:hint="eastAsia" w:ascii="仿宋" w:hAnsi="仿宋" w:eastAsia="仿宋" w:cs="仿宋"/>
          <w:color w:val="000000" w:themeColor="text1"/>
          <w:spacing w:val="13"/>
          <w:sz w:val="32"/>
          <w:szCs w:val="32"/>
          <w14:textFill>
            <w14:solidFill>
              <w14:schemeClr w14:val="tx1"/>
            </w14:solidFill>
          </w14:textFill>
        </w:rPr>
        <w:t>用以及因此而给甲方造成的全部损失（</w:t>
      </w:r>
      <w:r>
        <w:rPr>
          <w:rFonts w:hint="eastAsia" w:ascii="仿宋" w:hAnsi="仿宋" w:eastAsia="仿宋" w:cs="仿宋"/>
          <w:color w:val="000000" w:themeColor="text1"/>
          <w:spacing w:val="12"/>
          <w:sz w:val="32"/>
          <w:szCs w:val="32"/>
          <w14:textFill>
            <w14:solidFill>
              <w14:schemeClr w14:val="tx1"/>
            </w14:solidFill>
          </w14:textFill>
        </w:rPr>
        <w:t>包括但不限于甲方支出的律师</w:t>
      </w:r>
      <w:r>
        <w:rPr>
          <w:rFonts w:hint="eastAsia" w:ascii="仿宋" w:hAnsi="仿宋" w:eastAsia="仿宋" w:cs="仿宋"/>
          <w:color w:val="000000" w:themeColor="text1"/>
          <w:spacing w:val="-2"/>
          <w:sz w:val="32"/>
          <w:szCs w:val="32"/>
          <w14:textFill>
            <w14:solidFill>
              <w14:schemeClr w14:val="tx1"/>
            </w14:solidFill>
          </w14:textFill>
        </w:rPr>
        <w:t>费、仲裁费、诉讼费以及向第三方支付的赔偿金）。</w:t>
      </w:r>
    </w:p>
    <w:p>
      <w:pPr>
        <w:spacing w:before="10"/>
        <w:ind w:left="667" w:right="0" w:firstLine="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5"/>
          <w:sz w:val="32"/>
          <w:szCs w:val="32"/>
          <w14:textFill>
            <w14:solidFill>
              <w14:schemeClr w14:val="tx1"/>
            </w14:solidFill>
          </w14:textFill>
        </w:rPr>
        <w:t>第八条 违约责任</w:t>
      </w:r>
    </w:p>
    <w:p>
      <w:pPr>
        <w:spacing w:before="241"/>
        <w:ind w:left="667" w:right="0" w:firstLine="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（一）</w:t>
      </w:r>
      <w:r>
        <w:rPr>
          <w:rFonts w:hint="eastAsia" w:ascii="仿宋" w:hAnsi="仿宋" w:eastAsia="仿宋" w:cs="仿宋"/>
          <w:color w:val="000000" w:themeColor="text1"/>
          <w:spacing w:val="-6"/>
          <w:sz w:val="32"/>
          <w:szCs w:val="32"/>
          <w14:textFill>
            <w14:solidFill>
              <w14:schemeClr w14:val="tx1"/>
            </w14:solidFill>
          </w14:textFill>
        </w:rPr>
        <w:t xml:space="preserve"> 乙方延迟交付的违约责任</w:t>
      </w:r>
    </w:p>
    <w:p>
      <w:pPr>
        <w:pStyle w:val="51"/>
        <w:numPr>
          <w:ilvl w:val="0"/>
          <w:numId w:val="0"/>
        </w:numPr>
        <w:tabs>
          <w:tab w:val="left" w:pos="1368"/>
        </w:tabs>
        <w:spacing w:before="241" w:after="0" w:line="400" w:lineRule="auto"/>
        <w:ind w:leftChars="200" w:right="412" w:rightChars="0" w:firstLine="316" w:firstLineChars="10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lang w:eastAsia="zh-CN"/>
          <w14:textFill>
            <w14:solidFill>
              <w14:schemeClr w14:val="tx1"/>
            </w14:solidFill>
          </w14:textFill>
        </w:rPr>
        <w:t>（</w:t>
      </w:r>
      <w:r>
        <w:rPr>
          <w:rFonts w:hint="eastAsia" w:ascii="仿宋" w:hAnsi="仿宋" w:eastAsia="仿宋" w:cs="仿宋"/>
          <w:color w:val="000000" w:themeColor="text1"/>
          <w:spacing w:val="-2"/>
          <w:sz w:val="32"/>
          <w:szCs w:val="32"/>
          <w:lang w:val="en-US" w:eastAsia="zh-CN"/>
          <w14:textFill>
            <w14:solidFill>
              <w14:schemeClr w14:val="tx1"/>
            </w14:solidFill>
          </w14:textFill>
        </w:rPr>
        <w:t>1）</w:t>
      </w:r>
      <w:r>
        <w:rPr>
          <w:rFonts w:hint="eastAsia" w:ascii="仿宋" w:hAnsi="仿宋" w:eastAsia="仿宋" w:cs="仿宋"/>
          <w:color w:val="000000" w:themeColor="text1"/>
          <w:spacing w:val="-2"/>
          <w:sz w:val="32"/>
          <w:szCs w:val="32"/>
          <w14:textFill>
            <w14:solidFill>
              <w14:schemeClr w14:val="tx1"/>
            </w14:solidFill>
          </w14:textFill>
        </w:rPr>
        <w:t>由于乙方原因造成项目延迟的，每延迟10个工作日，乙方向甲方支付违约金为合同服务费用总额的5%。</w:t>
      </w:r>
    </w:p>
    <w:p>
      <w:pPr>
        <w:pStyle w:val="51"/>
        <w:numPr>
          <w:ilvl w:val="0"/>
          <w:numId w:val="0"/>
        </w:numPr>
        <w:tabs>
          <w:tab w:val="left" w:pos="1368"/>
        </w:tabs>
        <w:spacing w:before="2" w:after="0" w:line="400" w:lineRule="auto"/>
        <w:ind w:leftChars="200" w:right="411" w:rightChars="0" w:firstLine="316" w:firstLineChars="100"/>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lang w:eastAsia="zh-CN"/>
          <w14:textFill>
            <w14:solidFill>
              <w14:schemeClr w14:val="tx1"/>
            </w14:solidFill>
          </w14:textFill>
        </w:rPr>
        <w:t>（</w:t>
      </w:r>
      <w:r>
        <w:rPr>
          <w:rFonts w:hint="eastAsia" w:ascii="仿宋" w:hAnsi="仿宋" w:eastAsia="仿宋" w:cs="仿宋"/>
          <w:color w:val="000000" w:themeColor="text1"/>
          <w:spacing w:val="-2"/>
          <w:sz w:val="32"/>
          <w:szCs w:val="32"/>
          <w:lang w:val="en-US" w:eastAsia="zh-CN"/>
          <w14:textFill>
            <w14:solidFill>
              <w14:schemeClr w14:val="tx1"/>
            </w14:solidFill>
          </w14:textFill>
        </w:rPr>
        <w:t>2）</w:t>
      </w:r>
      <w:r>
        <w:rPr>
          <w:rFonts w:hint="eastAsia" w:ascii="仿宋" w:hAnsi="仿宋" w:eastAsia="仿宋" w:cs="仿宋"/>
          <w:color w:val="000000" w:themeColor="text1"/>
          <w:spacing w:val="-2"/>
          <w:sz w:val="32"/>
          <w:szCs w:val="32"/>
          <w14:textFill>
            <w14:solidFill>
              <w14:schemeClr w14:val="tx1"/>
            </w14:solidFill>
          </w14:textFill>
        </w:rPr>
        <w:t>由于乙方原因造成项目迟延，经甲方催促后乙方继续延误的，甲方有权单方面解除合同，乙方应按照合同服务费用总额的5%向甲方支付违约金，并赔偿由此引起的甲方全部损失。</w:t>
      </w:r>
    </w:p>
    <w:p>
      <w:pPr>
        <w:spacing w:before="3"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（二）</w:t>
      </w:r>
      <w:r>
        <w:rPr>
          <w:rFonts w:hint="eastAsia" w:ascii="仿宋" w:hAnsi="仿宋" w:eastAsia="仿宋" w:cs="仿宋"/>
          <w:color w:val="000000" w:themeColor="text1"/>
          <w:spacing w:val="-3"/>
          <w:sz w:val="32"/>
          <w:szCs w:val="32"/>
          <w14:textFill>
            <w14:solidFill>
              <w14:schemeClr w14:val="tx1"/>
            </w14:solidFill>
          </w14:textFill>
        </w:rPr>
        <w:t xml:space="preserve"> 验收不合格并且乙方在甲方指定期限内无法完成整改、提交</w:t>
      </w:r>
      <w:r>
        <w:rPr>
          <w:rFonts w:hint="eastAsia" w:ascii="仿宋" w:hAnsi="仿宋" w:eastAsia="仿宋" w:cs="仿宋"/>
          <w:color w:val="000000" w:themeColor="text1"/>
          <w:spacing w:val="-2"/>
          <w:sz w:val="32"/>
          <w:szCs w:val="32"/>
          <w14:textFill>
            <w14:solidFill>
              <w14:schemeClr w14:val="tx1"/>
            </w14:solidFill>
          </w14:textFill>
        </w:rPr>
        <w:t>合格的工作成果的，乙方应向甲方支付合同服务费用总额5%的违约金，并赔偿由此引起的甲方全部损失。</w:t>
      </w:r>
    </w:p>
    <w:p>
      <w:pPr>
        <w:spacing w:before="2"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（三）</w:t>
      </w:r>
      <w:r>
        <w:rPr>
          <w:rFonts w:hint="eastAsia" w:ascii="仿宋" w:hAnsi="仿宋" w:eastAsia="仿宋" w:cs="仿宋"/>
          <w:color w:val="000000" w:themeColor="text1"/>
          <w:spacing w:val="-3"/>
          <w:sz w:val="32"/>
          <w:szCs w:val="32"/>
          <w14:textFill>
            <w14:solidFill>
              <w14:schemeClr w14:val="tx1"/>
            </w14:solidFill>
          </w14:textFill>
        </w:rPr>
        <w:t xml:space="preserve"> 如果乙方违反本合同约定的保密义务，乙方应向甲方支付相</w:t>
      </w:r>
      <w:r>
        <w:rPr>
          <w:rFonts w:hint="eastAsia" w:ascii="仿宋" w:hAnsi="仿宋" w:eastAsia="仿宋" w:cs="仿宋"/>
          <w:color w:val="000000" w:themeColor="text1"/>
          <w:spacing w:val="13"/>
          <w:sz w:val="32"/>
          <w:szCs w:val="32"/>
          <w14:textFill>
            <w14:solidFill>
              <w14:schemeClr w14:val="tx1"/>
            </w14:solidFill>
          </w14:textFill>
        </w:rPr>
        <w:t>当于合同服务费用总额5%</w:t>
      </w:r>
      <w:r>
        <w:rPr>
          <w:rFonts w:hint="eastAsia" w:ascii="仿宋" w:hAnsi="仿宋" w:eastAsia="仿宋" w:cs="仿宋"/>
          <w:color w:val="000000" w:themeColor="text1"/>
          <w:spacing w:val="12"/>
          <w:sz w:val="32"/>
          <w:szCs w:val="32"/>
          <w14:textFill>
            <w14:solidFill>
              <w14:schemeClr w14:val="tx1"/>
            </w14:solidFill>
          </w14:textFill>
        </w:rPr>
        <w:t>的违约金，甲方受到的损失超出违约金的部</w:t>
      </w:r>
      <w:r>
        <w:rPr>
          <w:rFonts w:hint="eastAsia" w:ascii="仿宋" w:hAnsi="仿宋" w:eastAsia="仿宋" w:cs="仿宋"/>
          <w:color w:val="000000" w:themeColor="text1"/>
          <w:spacing w:val="-2"/>
          <w:sz w:val="32"/>
          <w:szCs w:val="32"/>
          <w14:textFill>
            <w14:solidFill>
              <w14:schemeClr w14:val="tx1"/>
            </w14:solidFill>
          </w14:textFill>
        </w:rPr>
        <w:t>分，由乙方继续承担赔偿责任。</w:t>
      </w:r>
    </w:p>
    <w:p>
      <w:pPr>
        <w:keepNext w:val="0"/>
        <w:keepLines w:val="0"/>
        <w:pageBreakBefore w:val="0"/>
        <w:widowControl/>
        <w:kinsoku/>
        <w:wordWrap/>
        <w:overflowPunct/>
        <w:topLinePunct w:val="0"/>
        <w:autoSpaceDE/>
        <w:autoSpaceDN/>
        <w:bidi w:val="0"/>
        <w:adjustRightInd/>
        <w:snapToGrid/>
        <w:spacing w:before="3" w:line="401" w:lineRule="auto"/>
        <w:ind w:left="108" w:right="0" w:firstLine="561"/>
        <w:jc w:val="left"/>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（四）</w:t>
      </w:r>
      <w:r>
        <w:rPr>
          <w:rFonts w:hint="eastAsia" w:ascii="仿宋" w:hAnsi="仿宋" w:eastAsia="仿宋" w:cs="仿宋"/>
          <w:color w:val="000000" w:themeColor="text1"/>
          <w:spacing w:val="-3"/>
          <w:sz w:val="32"/>
          <w:szCs w:val="32"/>
          <w14:textFill>
            <w14:solidFill>
              <w14:schemeClr w14:val="tx1"/>
            </w14:solidFill>
          </w14:textFill>
        </w:rPr>
        <w:t xml:space="preserve"> 除本合同的约定外，因乙方的违约行为给甲方造成损失的，乙方应向甲方支付相当于合同服务费用总额5%的违约金，如甲方受到的损失超过违约金的，超出部分由乙方继续承担赔偿责任。</w:t>
      </w:r>
    </w:p>
    <w:p>
      <w:pPr>
        <w:pStyle w:val="2"/>
        <w:rPr>
          <w:rFonts w:hint="eastAsia" w:ascii="仿宋" w:hAnsi="仿宋" w:eastAsia="仿宋" w:cs="仿宋"/>
          <w:color w:val="000000" w:themeColor="text1"/>
          <w:sz w:val="32"/>
          <w:szCs w:val="32"/>
          <w14:textFill>
            <w14:solidFill>
              <w14:schemeClr w14:val="tx1"/>
            </w14:solidFill>
          </w14:textFill>
        </w:rPr>
      </w:pPr>
    </w:p>
    <w:p>
      <w:pPr>
        <w:spacing w:before="35"/>
        <w:ind w:left="667" w:right="0" w:firstLine="0"/>
        <w:jc w:val="lef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5"/>
          <w:sz w:val="32"/>
          <w:szCs w:val="32"/>
          <w14:textFill>
            <w14:solidFill>
              <w14:schemeClr w14:val="tx1"/>
            </w14:solidFill>
          </w14:textFill>
        </w:rPr>
        <w:t>第九条 保密义务</w:t>
      </w:r>
    </w:p>
    <w:p>
      <w:pPr>
        <w:spacing w:before="241"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（一）</w:t>
      </w:r>
      <w:r>
        <w:rPr>
          <w:rFonts w:hint="eastAsia" w:ascii="仿宋" w:hAnsi="仿宋" w:eastAsia="仿宋" w:cs="仿宋"/>
          <w:color w:val="000000" w:themeColor="text1"/>
          <w:spacing w:val="-3"/>
          <w:sz w:val="32"/>
          <w:szCs w:val="32"/>
          <w14:textFill>
            <w14:solidFill>
              <w14:schemeClr w14:val="tx1"/>
            </w14:solidFill>
          </w14:textFill>
        </w:rPr>
        <w:t xml:space="preserve"> 乙方应保证对本合同的所有相关内容及其因履行本合同所获</w:t>
      </w:r>
      <w:r>
        <w:rPr>
          <w:rFonts w:hint="eastAsia" w:ascii="仿宋" w:hAnsi="仿宋" w:eastAsia="仿宋" w:cs="仿宋"/>
          <w:color w:val="000000" w:themeColor="text1"/>
          <w:spacing w:val="13"/>
          <w:sz w:val="32"/>
          <w:szCs w:val="32"/>
          <w14:textFill>
            <w14:solidFill>
              <w14:schemeClr w14:val="tx1"/>
            </w14:solidFill>
          </w14:textFill>
        </w:rPr>
        <w:t>知的各种甲方的具有保密性质的信息（</w:t>
      </w:r>
      <w:r>
        <w:rPr>
          <w:rFonts w:hint="eastAsia" w:ascii="仿宋" w:hAnsi="仿宋" w:eastAsia="仿宋" w:cs="仿宋"/>
          <w:color w:val="000000" w:themeColor="text1"/>
          <w:spacing w:val="12"/>
          <w:sz w:val="32"/>
          <w:szCs w:val="32"/>
          <w14:textFill>
            <w14:solidFill>
              <w14:schemeClr w14:val="tx1"/>
            </w14:solidFill>
          </w14:textFill>
        </w:rPr>
        <w:t>包括但不限于经营、管理、商</w:t>
      </w:r>
      <w:r>
        <w:rPr>
          <w:rFonts w:hint="eastAsia" w:ascii="仿宋" w:hAnsi="仿宋" w:eastAsia="仿宋" w:cs="仿宋"/>
          <w:color w:val="000000" w:themeColor="text1"/>
          <w:spacing w:val="13"/>
          <w:sz w:val="32"/>
          <w:szCs w:val="32"/>
          <w14:textFill>
            <w14:solidFill>
              <w14:schemeClr w14:val="tx1"/>
            </w14:solidFill>
          </w14:textFill>
        </w:rPr>
        <w:t>务、技术、营销、发展规划等）</w:t>
      </w:r>
      <w:r>
        <w:rPr>
          <w:rFonts w:hint="eastAsia" w:ascii="仿宋" w:hAnsi="仿宋" w:eastAsia="仿宋" w:cs="仿宋"/>
          <w:color w:val="000000" w:themeColor="text1"/>
          <w:spacing w:val="12"/>
          <w:sz w:val="32"/>
          <w:szCs w:val="32"/>
          <w14:textFill>
            <w14:solidFill>
              <w14:schemeClr w14:val="tx1"/>
            </w14:solidFill>
          </w14:textFill>
        </w:rPr>
        <w:t>负有保密义务，未经甲方事前书面许</w:t>
      </w:r>
      <w:r>
        <w:rPr>
          <w:rFonts w:hint="eastAsia" w:ascii="仿宋" w:hAnsi="仿宋" w:eastAsia="仿宋" w:cs="仿宋"/>
          <w:color w:val="000000" w:themeColor="text1"/>
          <w:spacing w:val="-2"/>
          <w:sz w:val="32"/>
          <w:szCs w:val="32"/>
          <w14:textFill>
            <w14:solidFill>
              <w14:schemeClr w14:val="tx1"/>
            </w14:solidFill>
          </w14:textFill>
        </w:rPr>
        <w:t>可，不得将上述信息用于本合同目的之外；除为履行其职责而确有必要知悉保密资料的乙方工作人员或其他第三方外，乙方不向其他任何人披露上述信息，且乙方应确保上述人员承担与本合同约定同等严格的保密</w:t>
      </w:r>
      <w:r>
        <w:rPr>
          <w:rFonts w:hint="eastAsia" w:ascii="仿宋" w:hAnsi="仿宋" w:eastAsia="仿宋" w:cs="仿宋"/>
          <w:color w:val="000000" w:themeColor="text1"/>
          <w:spacing w:val="-4"/>
          <w:sz w:val="32"/>
          <w:szCs w:val="32"/>
          <w14:textFill>
            <w14:solidFill>
              <w14:schemeClr w14:val="tx1"/>
            </w14:solidFill>
          </w14:textFill>
        </w:rPr>
        <w:t>义务。</w:t>
      </w:r>
    </w:p>
    <w:p>
      <w:pPr>
        <w:spacing w:before="6"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（二）</w:t>
      </w:r>
      <w:r>
        <w:rPr>
          <w:rFonts w:hint="eastAsia" w:ascii="仿宋" w:hAnsi="仿宋" w:eastAsia="仿宋" w:cs="仿宋"/>
          <w:color w:val="000000" w:themeColor="text1"/>
          <w:spacing w:val="-3"/>
          <w:sz w:val="32"/>
          <w:szCs w:val="32"/>
          <w14:textFill>
            <w14:solidFill>
              <w14:schemeClr w14:val="tx1"/>
            </w14:solidFill>
          </w14:textFill>
        </w:rPr>
        <w:t xml:space="preserve"> 乙方在本合同中所受领的保密信息应及时返还甲方或在甲方</w:t>
      </w:r>
      <w:r>
        <w:rPr>
          <w:rFonts w:hint="eastAsia" w:ascii="仿宋" w:hAnsi="仿宋" w:eastAsia="仿宋" w:cs="仿宋"/>
          <w:color w:val="000000" w:themeColor="text1"/>
          <w:spacing w:val="-2"/>
          <w:sz w:val="32"/>
          <w:szCs w:val="32"/>
          <w14:textFill>
            <w14:solidFill>
              <w14:schemeClr w14:val="tx1"/>
            </w14:solidFill>
          </w14:textFill>
        </w:rPr>
        <w:t>监督下予以销毁。乙方擅自留存备份信息，视为违反保密约定。</w:t>
      </w:r>
    </w:p>
    <w:p>
      <w:pPr>
        <w:spacing w:before="2"/>
        <w:ind w:left="667" w:right="0" w:firstLine="0"/>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（三）</w:t>
      </w:r>
      <w:r>
        <w:rPr>
          <w:rFonts w:hint="eastAsia" w:ascii="仿宋" w:hAnsi="仿宋" w:eastAsia="仿宋" w:cs="仿宋"/>
          <w:color w:val="000000" w:themeColor="text1"/>
          <w:spacing w:val="-7"/>
          <w:sz w:val="32"/>
          <w:szCs w:val="32"/>
          <w14:textFill>
            <w14:solidFill>
              <w14:schemeClr w14:val="tx1"/>
            </w14:solidFill>
          </w14:textFill>
        </w:rPr>
        <w:t xml:space="preserve"> 无论本合同因何种原因终止，本保密条款依然有效。</w:t>
      </w:r>
    </w:p>
    <w:p>
      <w:pPr>
        <w:spacing w:before="247"/>
        <w:ind w:left="667" w:right="0" w:firstLine="0"/>
        <w:jc w:val="lef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5"/>
          <w:sz w:val="32"/>
          <w:szCs w:val="32"/>
          <w14:textFill>
            <w14:solidFill>
              <w14:schemeClr w14:val="tx1"/>
            </w14:solidFill>
          </w14:textFill>
        </w:rPr>
        <w:t>第十条 不可抗力</w:t>
      </w:r>
    </w:p>
    <w:p>
      <w:pPr>
        <w:spacing w:before="241"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（一）</w:t>
      </w:r>
      <w:r>
        <w:rPr>
          <w:rFonts w:hint="eastAsia" w:ascii="仿宋" w:hAnsi="仿宋" w:eastAsia="仿宋" w:cs="仿宋"/>
          <w:color w:val="000000" w:themeColor="text1"/>
          <w:spacing w:val="-3"/>
          <w:sz w:val="32"/>
          <w:szCs w:val="32"/>
          <w14:textFill>
            <w14:solidFill>
              <w14:schemeClr w14:val="tx1"/>
            </w14:solidFill>
          </w14:textFill>
        </w:rPr>
        <w:t xml:space="preserve"> 本合同任何一方因不可抗力不能履行本合同约定的全部或部</w:t>
      </w:r>
      <w:r>
        <w:rPr>
          <w:rFonts w:hint="eastAsia" w:ascii="仿宋" w:hAnsi="仿宋" w:eastAsia="仿宋" w:cs="仿宋"/>
          <w:color w:val="000000" w:themeColor="text1"/>
          <w:spacing w:val="-2"/>
          <w:sz w:val="32"/>
          <w:szCs w:val="32"/>
          <w14:textFill>
            <w14:solidFill>
              <w14:schemeClr w14:val="tx1"/>
            </w14:solidFill>
          </w14:textFill>
        </w:rPr>
        <w:t>分义务，应尽快通知另一方，并应在不可抗力发生后3日内以书面形式向对方提供详细情况报告及不可抗力对履行本合同影响程度的说明。甲、</w:t>
      </w:r>
      <w:r>
        <w:rPr>
          <w:rFonts w:hint="eastAsia" w:ascii="仿宋" w:hAnsi="仿宋" w:eastAsia="仿宋" w:cs="仿宋"/>
          <w:color w:val="000000" w:themeColor="text1"/>
          <w:spacing w:val="12"/>
          <w:sz w:val="32"/>
          <w:szCs w:val="32"/>
          <w14:textFill>
            <w14:solidFill>
              <w14:schemeClr w14:val="tx1"/>
            </w14:solidFill>
          </w14:textFill>
        </w:rPr>
        <w:t>乙双方应根据不可抗力对合同履行的影响程度，协商确定是否终止合</w:t>
      </w:r>
      <w:r>
        <w:rPr>
          <w:rFonts w:hint="eastAsia" w:ascii="仿宋" w:hAnsi="仿宋" w:eastAsia="仿宋" w:cs="仿宋"/>
          <w:color w:val="000000" w:themeColor="text1"/>
          <w:spacing w:val="-2"/>
          <w:sz w:val="32"/>
          <w:szCs w:val="32"/>
          <w14:textFill>
            <w14:solidFill>
              <w14:schemeClr w14:val="tx1"/>
            </w14:solidFill>
          </w14:textFill>
        </w:rPr>
        <w:t>同，或继续履行本合同。</w:t>
      </w:r>
    </w:p>
    <w:p>
      <w:pPr>
        <w:spacing w:before="4"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（二）</w:t>
      </w:r>
      <w:r>
        <w:rPr>
          <w:rFonts w:hint="eastAsia" w:ascii="仿宋" w:hAnsi="仿宋" w:eastAsia="仿宋" w:cs="仿宋"/>
          <w:color w:val="000000" w:themeColor="text1"/>
          <w:spacing w:val="-3"/>
          <w:sz w:val="32"/>
          <w:szCs w:val="32"/>
          <w14:textFill>
            <w14:solidFill>
              <w14:schemeClr w14:val="tx1"/>
            </w14:solidFill>
          </w14:textFill>
        </w:rPr>
        <w:t xml:space="preserve"> 本合同任何一方均不对因不可抗力无法履行或迟延履行义务</w:t>
      </w:r>
      <w:r>
        <w:rPr>
          <w:rFonts w:hint="eastAsia" w:ascii="仿宋" w:hAnsi="仿宋" w:eastAsia="仿宋" w:cs="仿宋"/>
          <w:color w:val="000000" w:themeColor="text1"/>
          <w:spacing w:val="-2"/>
          <w:sz w:val="32"/>
          <w:szCs w:val="32"/>
          <w14:textFill>
            <w14:solidFill>
              <w14:schemeClr w14:val="tx1"/>
            </w14:solidFill>
          </w14:textFill>
        </w:rPr>
        <w:t>而使对方遭受到任何损失承担责任，但遭受不可抗力影响的一方有责任采取适当和必要的措施减轻或消除不可抗力的影响。遭受不可抗力影响的一方应当对未尽本项责任造成或扩大的损失承担责任。</w:t>
      </w:r>
    </w:p>
    <w:p>
      <w:pPr>
        <w:spacing w:before="4"/>
        <w:ind w:left="667" w:right="0" w:firstLine="0"/>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（三）</w:t>
      </w:r>
      <w:r>
        <w:rPr>
          <w:rFonts w:hint="eastAsia" w:ascii="仿宋" w:hAnsi="仿宋" w:eastAsia="仿宋" w:cs="仿宋"/>
          <w:color w:val="000000" w:themeColor="text1"/>
          <w:spacing w:val="-8"/>
          <w:sz w:val="32"/>
          <w:szCs w:val="32"/>
          <w14:textFill>
            <w14:solidFill>
              <w14:schemeClr w14:val="tx1"/>
            </w14:solidFill>
          </w14:textFill>
        </w:rPr>
        <w:t xml:space="preserve"> 合同一方迟延履行后发生不可抗力的，不能免除其责任。</w:t>
      </w:r>
    </w:p>
    <w:p>
      <w:pPr>
        <w:spacing w:before="246"/>
        <w:ind w:left="667" w:right="0" w:firstLine="0"/>
        <w:jc w:val="lef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5"/>
          <w:sz w:val="32"/>
          <w:szCs w:val="32"/>
          <w14:textFill>
            <w14:solidFill>
              <w14:schemeClr w14:val="tx1"/>
            </w14:solidFill>
          </w14:textFill>
        </w:rPr>
        <w:t>第十一条 合同变更</w:t>
      </w:r>
    </w:p>
    <w:p>
      <w:pPr>
        <w:spacing w:after="0"/>
        <w:jc w:val="left"/>
        <w:rPr>
          <w:rFonts w:hint="eastAsia" w:ascii="仿宋" w:hAnsi="仿宋" w:eastAsia="仿宋" w:cs="仿宋"/>
          <w:color w:val="000000" w:themeColor="text1"/>
          <w:sz w:val="32"/>
          <w:szCs w:val="32"/>
          <w14:textFill>
            <w14:solidFill>
              <w14:schemeClr w14:val="tx1"/>
            </w14:solidFill>
          </w14:textFill>
        </w:rPr>
      </w:pPr>
    </w:p>
    <w:p>
      <w:pPr>
        <w:spacing w:before="50" w:line="400" w:lineRule="auto"/>
        <w:ind w:left="107" w:right="411" w:firstLine="559"/>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对本合同的任何变更或补充，须经甲乙双方协商一致，并另行签订书面补充协议。</w:t>
      </w:r>
    </w:p>
    <w:p>
      <w:pPr>
        <w:spacing w:before="7"/>
        <w:ind w:left="667" w:right="0" w:firstLine="0"/>
        <w:jc w:val="lef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6"/>
          <w:sz w:val="32"/>
          <w:szCs w:val="32"/>
          <w14:textFill>
            <w14:solidFill>
              <w14:schemeClr w14:val="tx1"/>
            </w14:solidFill>
          </w14:textFill>
        </w:rPr>
        <w:t>第十二条 合同特别终止</w:t>
      </w:r>
    </w:p>
    <w:p>
      <w:pPr>
        <w:spacing w:before="241" w:line="400" w:lineRule="auto"/>
        <w:ind w:left="107" w:right="411" w:firstLine="559"/>
        <w:jc w:val="both"/>
        <w:rPr>
          <w:rFonts w:hint="eastAsia" w:ascii="仿宋" w:hAnsi="仿宋" w:eastAsia="仿宋" w:cs="仿宋"/>
          <w:color w:val="000000" w:themeColor="text1"/>
          <w:spacing w:val="-3"/>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（一）</w:t>
      </w:r>
      <w:r>
        <w:rPr>
          <w:rFonts w:hint="eastAsia" w:ascii="仿宋" w:hAnsi="仿宋" w:eastAsia="仿宋" w:cs="仿宋"/>
          <w:color w:val="000000" w:themeColor="text1"/>
          <w:spacing w:val="-3"/>
          <w:sz w:val="32"/>
          <w:szCs w:val="32"/>
          <w14:textFill>
            <w14:solidFill>
              <w14:schemeClr w14:val="tx1"/>
            </w14:solidFill>
          </w14:textFill>
        </w:rPr>
        <w:t xml:space="preserve"> 甲乙双方同意在乙方出现下列情形时，甲方可以书面形式通</w:t>
      </w:r>
      <w:r>
        <w:rPr>
          <w:rFonts w:hint="eastAsia" w:ascii="仿宋" w:hAnsi="仿宋" w:eastAsia="仿宋" w:cs="仿宋"/>
          <w:color w:val="000000" w:themeColor="text1"/>
          <w:spacing w:val="-2"/>
          <w:sz w:val="32"/>
          <w:szCs w:val="32"/>
          <w14:textFill>
            <w14:solidFill>
              <w14:schemeClr w14:val="tx1"/>
            </w14:solidFill>
          </w14:textFill>
        </w:rPr>
        <w:t>知乙方（或者乙方的破产清算组或相关管理人）提出终止</w:t>
      </w:r>
      <w:r>
        <w:rPr>
          <w:rFonts w:hint="eastAsia" w:ascii="仿宋" w:hAnsi="仿宋" w:eastAsia="仿宋" w:cs="仿宋"/>
          <w:color w:val="000000" w:themeColor="text1"/>
          <w:spacing w:val="-3"/>
          <w:sz w:val="32"/>
          <w:szCs w:val="32"/>
          <w14:textFill>
            <w14:solidFill>
              <w14:schemeClr w14:val="tx1"/>
            </w14:solidFill>
          </w14:textFill>
        </w:rPr>
        <w:t>合同而不向其提供任何补偿：</w:t>
      </w:r>
    </w:p>
    <w:p>
      <w:pPr>
        <w:spacing w:before="241" w:line="400" w:lineRule="auto"/>
        <w:ind w:left="107" w:right="411" w:firstLine="559"/>
        <w:jc w:val="both"/>
        <w:rPr>
          <w:rFonts w:hint="eastAsia" w:ascii="仿宋" w:hAnsi="仿宋" w:eastAsia="仿宋" w:cs="仿宋"/>
          <w:color w:val="000000" w:themeColor="text1"/>
          <w:spacing w:val="-3"/>
          <w:sz w:val="32"/>
          <w:szCs w:val="32"/>
          <w14:textFill>
            <w14:solidFill>
              <w14:schemeClr w14:val="tx1"/>
            </w14:solidFill>
          </w14:textFill>
        </w:rPr>
      </w:pPr>
      <w:r>
        <w:rPr>
          <w:rFonts w:hint="eastAsia" w:ascii="仿宋" w:hAnsi="仿宋" w:eastAsia="仿宋" w:cs="仿宋"/>
          <w:color w:val="000000" w:themeColor="text1"/>
          <w:spacing w:val="-3"/>
          <w:sz w:val="32"/>
          <w:szCs w:val="32"/>
          <w:lang w:eastAsia="zh-CN"/>
          <w14:textFill>
            <w14:solidFill>
              <w14:schemeClr w14:val="tx1"/>
            </w14:solidFill>
          </w14:textFill>
        </w:rPr>
        <w:t>（</w:t>
      </w:r>
      <w:r>
        <w:rPr>
          <w:rFonts w:hint="eastAsia" w:ascii="仿宋" w:hAnsi="仿宋" w:eastAsia="仿宋" w:cs="仿宋"/>
          <w:color w:val="000000" w:themeColor="text1"/>
          <w:spacing w:val="-3"/>
          <w:sz w:val="32"/>
          <w:szCs w:val="32"/>
          <w:lang w:val="en-US" w:eastAsia="zh-CN"/>
          <w14:textFill>
            <w14:solidFill>
              <w14:schemeClr w14:val="tx1"/>
            </w14:solidFill>
          </w14:textFill>
        </w:rPr>
        <w:t>1</w:t>
      </w:r>
      <w:r>
        <w:rPr>
          <w:rFonts w:hint="eastAsia" w:ascii="仿宋" w:hAnsi="仿宋" w:eastAsia="仿宋" w:cs="仿宋"/>
          <w:color w:val="000000" w:themeColor="text1"/>
          <w:spacing w:val="-3"/>
          <w:sz w:val="32"/>
          <w:szCs w:val="32"/>
          <w:lang w:eastAsia="zh-CN"/>
          <w14:textFill>
            <w14:solidFill>
              <w14:schemeClr w14:val="tx1"/>
            </w14:solidFill>
          </w14:textFill>
        </w:rPr>
        <w:t>）</w:t>
      </w:r>
      <w:r>
        <w:rPr>
          <w:rFonts w:hint="eastAsia" w:ascii="仿宋" w:hAnsi="仿宋" w:eastAsia="仿宋" w:cs="仿宋"/>
          <w:color w:val="000000" w:themeColor="text1"/>
          <w:spacing w:val="-3"/>
          <w:sz w:val="32"/>
          <w:szCs w:val="32"/>
          <w14:textFill>
            <w14:solidFill>
              <w14:schemeClr w14:val="tx1"/>
            </w14:solidFill>
          </w14:textFill>
        </w:rPr>
        <w:t>乙方破产、解散（包括但不限于乙方股东会决议解散、乙方被吊销营业执照、被责令关闭、被撤销、被司法机关裁决解散等情形）；</w:t>
      </w:r>
    </w:p>
    <w:p>
      <w:pPr>
        <w:spacing w:before="241" w:line="400" w:lineRule="auto"/>
        <w:ind w:left="107" w:right="411" w:firstLine="559"/>
        <w:jc w:val="both"/>
        <w:rPr>
          <w:rFonts w:hint="eastAsia" w:ascii="仿宋" w:hAnsi="仿宋" w:eastAsia="仿宋" w:cs="仿宋"/>
          <w:color w:val="000000" w:themeColor="text1"/>
          <w:spacing w:val="-3"/>
          <w:sz w:val="32"/>
          <w:szCs w:val="32"/>
          <w:lang w:eastAsia="zh-CN"/>
          <w14:textFill>
            <w14:solidFill>
              <w14:schemeClr w14:val="tx1"/>
            </w14:solidFill>
          </w14:textFill>
        </w:rPr>
      </w:pPr>
      <w:r>
        <w:rPr>
          <w:rFonts w:hint="eastAsia" w:ascii="仿宋" w:hAnsi="仿宋" w:eastAsia="仿宋" w:cs="仿宋"/>
          <w:color w:val="000000" w:themeColor="text1"/>
          <w:spacing w:val="-3"/>
          <w:sz w:val="32"/>
          <w:szCs w:val="32"/>
          <w:lang w:eastAsia="zh-CN"/>
          <w14:textFill>
            <w14:solidFill>
              <w14:schemeClr w14:val="tx1"/>
            </w14:solidFill>
          </w14:textFill>
        </w:rPr>
        <w:t>（</w:t>
      </w:r>
      <w:r>
        <w:rPr>
          <w:rFonts w:hint="eastAsia" w:ascii="仿宋" w:hAnsi="仿宋" w:eastAsia="仿宋" w:cs="仿宋"/>
          <w:color w:val="000000" w:themeColor="text1"/>
          <w:spacing w:val="-3"/>
          <w:sz w:val="32"/>
          <w:szCs w:val="32"/>
          <w:lang w:val="en-US" w:eastAsia="zh-CN"/>
          <w14:textFill>
            <w14:solidFill>
              <w14:schemeClr w14:val="tx1"/>
            </w14:solidFill>
          </w14:textFill>
        </w:rPr>
        <w:t>2</w:t>
      </w:r>
      <w:r>
        <w:rPr>
          <w:rFonts w:hint="eastAsia" w:ascii="仿宋" w:hAnsi="仿宋" w:eastAsia="仿宋" w:cs="仿宋"/>
          <w:color w:val="000000" w:themeColor="text1"/>
          <w:spacing w:val="-3"/>
          <w:sz w:val="32"/>
          <w:szCs w:val="32"/>
          <w:lang w:eastAsia="zh-CN"/>
          <w14:textFill>
            <w14:solidFill>
              <w14:schemeClr w14:val="tx1"/>
            </w14:solidFill>
          </w14:textFill>
        </w:rPr>
        <w:t>）乙方发生未经甲方书面同意的重大产权变更（包括但不限于合并、分立、注销等情形)；（如系上市公司）被勒令停止上市；以及任何原因背负重大债务导致无履行能力。</w:t>
      </w:r>
    </w:p>
    <w:p>
      <w:pPr>
        <w:spacing w:before="241"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lang w:val="en-US" w:eastAsia="zh-CN"/>
          <w14:textFill>
            <w14:solidFill>
              <w14:schemeClr w14:val="tx1"/>
            </w14:solidFill>
          </w14:textFill>
        </w:rPr>
        <w:t>二</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lang w:val="en-US" w:eastAsia="zh-CN"/>
          <w14:textFill>
            <w14:solidFill>
              <w14:schemeClr w14:val="tx1"/>
            </w14:solidFill>
          </w14:textFill>
        </w:rPr>
        <w:t xml:space="preserve"> </w:t>
      </w:r>
      <w:r>
        <w:rPr>
          <w:rFonts w:hint="eastAsia" w:ascii="仿宋" w:hAnsi="仿宋" w:eastAsia="仿宋" w:cs="仿宋"/>
          <w:color w:val="000000" w:themeColor="text1"/>
          <w:sz w:val="32"/>
          <w:szCs w:val="32"/>
          <w14:textFill>
            <w14:solidFill>
              <w14:schemeClr w14:val="tx1"/>
            </w14:solidFill>
          </w14:textFill>
        </w:rPr>
        <w:t>如果因上述原因导致本合同终止，甲方已经采取或者将要采取任何补救措施的权利不受任何影响。</w:t>
      </w:r>
    </w:p>
    <w:p>
      <w:pPr>
        <w:spacing w:before="7"/>
        <w:ind w:left="667" w:right="0" w:firstLine="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7"/>
          <w:sz w:val="32"/>
          <w:szCs w:val="32"/>
          <w14:textFill>
            <w14:solidFill>
              <w14:schemeClr w14:val="tx1"/>
            </w14:solidFill>
          </w14:textFill>
        </w:rPr>
        <w:t>第十三条 法律适用与争议解决</w:t>
      </w:r>
    </w:p>
    <w:p>
      <w:pPr>
        <w:spacing w:before="241"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（一）</w:t>
      </w:r>
      <w:r>
        <w:rPr>
          <w:rFonts w:hint="eastAsia" w:ascii="仿宋" w:hAnsi="仿宋" w:eastAsia="仿宋" w:cs="仿宋"/>
          <w:color w:val="000000" w:themeColor="text1"/>
          <w:spacing w:val="-3"/>
          <w:sz w:val="32"/>
          <w:szCs w:val="32"/>
          <w14:textFill>
            <w14:solidFill>
              <w14:schemeClr w14:val="tx1"/>
            </w14:solidFill>
          </w14:textFill>
        </w:rPr>
        <w:t xml:space="preserve"> 本合同的订立、效力、解释、履行和争议的解决均适用中华</w:t>
      </w:r>
      <w:r>
        <w:rPr>
          <w:rFonts w:hint="eastAsia" w:ascii="仿宋" w:hAnsi="仿宋" w:eastAsia="仿宋" w:cs="仿宋"/>
          <w:color w:val="000000" w:themeColor="text1"/>
          <w:spacing w:val="-2"/>
          <w:sz w:val="32"/>
          <w:szCs w:val="32"/>
          <w14:textFill>
            <w14:solidFill>
              <w14:schemeClr w14:val="tx1"/>
            </w14:solidFill>
          </w14:textFill>
        </w:rPr>
        <w:t>人民共和国法律（不包括港澳台地区法律）。</w:t>
      </w:r>
    </w:p>
    <w:p>
      <w:pPr>
        <w:spacing w:before="2"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（二）</w:t>
      </w:r>
      <w:r>
        <w:rPr>
          <w:rFonts w:hint="eastAsia" w:ascii="仿宋" w:hAnsi="仿宋" w:eastAsia="仿宋" w:cs="仿宋"/>
          <w:color w:val="000000" w:themeColor="text1"/>
          <w:spacing w:val="-3"/>
          <w:sz w:val="32"/>
          <w:szCs w:val="32"/>
          <w14:textFill>
            <w14:solidFill>
              <w14:schemeClr w14:val="tx1"/>
            </w14:solidFill>
          </w14:textFill>
        </w:rPr>
        <w:t xml:space="preserve"> 凡因本合同引起的或与本合同有关的任何争议，双方首先应</w:t>
      </w:r>
      <w:r>
        <w:rPr>
          <w:rFonts w:hint="eastAsia" w:ascii="仿宋" w:hAnsi="仿宋" w:eastAsia="仿宋" w:cs="仿宋"/>
          <w:color w:val="000000" w:themeColor="text1"/>
          <w:spacing w:val="-2"/>
          <w:sz w:val="32"/>
          <w:szCs w:val="32"/>
          <w14:textFill>
            <w14:solidFill>
              <w14:schemeClr w14:val="tx1"/>
            </w14:solidFill>
          </w14:textFill>
        </w:rPr>
        <w:t>友好协商解决。协商不成的，任何一方均可向甲方所在地有管辖权的法院提起诉讼。</w:t>
      </w:r>
    </w:p>
    <w:p>
      <w:pPr>
        <w:spacing w:before="8"/>
        <w:ind w:left="667" w:right="0" w:firstLine="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6"/>
          <w:sz w:val="32"/>
          <w:szCs w:val="32"/>
          <w14:textFill>
            <w14:solidFill>
              <w14:schemeClr w14:val="tx1"/>
            </w14:solidFill>
          </w14:textFill>
        </w:rPr>
        <w:t>第十四条 合同生效及其他</w:t>
      </w:r>
    </w:p>
    <w:p>
      <w:pPr>
        <w:spacing w:before="241"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（一）</w:t>
      </w:r>
      <w:r>
        <w:rPr>
          <w:rFonts w:hint="eastAsia" w:ascii="仿宋" w:hAnsi="仿宋" w:eastAsia="仿宋" w:cs="仿宋"/>
          <w:color w:val="000000" w:themeColor="text1"/>
          <w:spacing w:val="-3"/>
          <w:sz w:val="32"/>
          <w:szCs w:val="32"/>
          <w14:textFill>
            <w14:solidFill>
              <w14:schemeClr w14:val="tx1"/>
            </w14:solidFill>
          </w14:textFill>
        </w:rPr>
        <w:t xml:space="preserve"> 本合同经甲乙双方法定代表人或授权代表签字并加盖公章或</w:t>
      </w:r>
      <w:r>
        <w:rPr>
          <w:rFonts w:hint="eastAsia" w:ascii="仿宋" w:hAnsi="仿宋" w:eastAsia="仿宋" w:cs="仿宋"/>
          <w:color w:val="000000" w:themeColor="text1"/>
          <w:spacing w:val="-2"/>
          <w:sz w:val="32"/>
          <w:szCs w:val="32"/>
          <w14:textFill>
            <w14:solidFill>
              <w14:schemeClr w14:val="tx1"/>
            </w14:solidFill>
          </w14:textFill>
        </w:rPr>
        <w:t>合同专用章后生效。</w:t>
      </w:r>
    </w:p>
    <w:p>
      <w:pPr>
        <w:keepNext w:val="0"/>
        <w:keepLines w:val="0"/>
        <w:pageBreakBefore w:val="0"/>
        <w:widowControl/>
        <w:kinsoku/>
        <w:wordWrap/>
        <w:overflowPunct/>
        <w:topLinePunct w:val="0"/>
        <w:autoSpaceDE/>
        <w:autoSpaceDN/>
        <w:bidi w:val="0"/>
        <w:adjustRightInd/>
        <w:snapToGrid/>
        <w:spacing w:before="2" w:line="401" w:lineRule="auto"/>
        <w:ind w:left="667" w:right="0" w:firstLine="0"/>
        <w:jc w:val="left"/>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（二）</w:t>
      </w:r>
      <w:r>
        <w:rPr>
          <w:rFonts w:hint="eastAsia" w:ascii="仿宋" w:hAnsi="仿宋" w:eastAsia="仿宋" w:cs="仿宋"/>
          <w:color w:val="000000" w:themeColor="text1"/>
          <w:spacing w:val="-4"/>
          <w:sz w:val="32"/>
          <w:szCs w:val="32"/>
          <w14:textFill>
            <w14:solidFill>
              <w14:schemeClr w14:val="tx1"/>
            </w14:solidFill>
          </w14:textFill>
        </w:rPr>
        <w:t xml:space="preserve"> 合同期限自</w:t>
      </w:r>
      <w:r>
        <w:rPr>
          <w:rFonts w:hint="eastAsia" w:ascii="仿宋" w:hAnsi="仿宋" w:eastAsia="仿宋" w:cs="仿宋"/>
          <w:color w:val="000000" w:themeColor="text1"/>
          <w:spacing w:val="-4"/>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2"/>
          <w:sz w:val="32"/>
          <w:szCs w:val="32"/>
          <w14:textFill>
            <w14:solidFill>
              <w14:schemeClr w14:val="tx1"/>
            </w14:solidFill>
          </w14:textFill>
        </w:rPr>
        <w:t>年</w:t>
      </w:r>
      <w:r>
        <w:rPr>
          <w:rFonts w:hint="eastAsia" w:ascii="仿宋" w:hAnsi="仿宋" w:eastAsia="仿宋" w:cs="仿宋"/>
          <w:color w:val="000000" w:themeColor="text1"/>
          <w:spacing w:val="-2"/>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2"/>
          <w:sz w:val="32"/>
          <w:szCs w:val="32"/>
          <w14:textFill>
            <w14:solidFill>
              <w14:schemeClr w14:val="tx1"/>
            </w14:solidFill>
          </w14:textFill>
        </w:rPr>
        <w:t>月</w:t>
      </w:r>
      <w:r>
        <w:rPr>
          <w:rFonts w:hint="eastAsia" w:ascii="仿宋" w:hAnsi="仿宋" w:eastAsia="仿宋" w:cs="仿宋"/>
          <w:color w:val="000000" w:themeColor="text1"/>
          <w:spacing w:val="-2"/>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2"/>
          <w:sz w:val="32"/>
          <w:szCs w:val="32"/>
          <w14:textFill>
            <w14:solidFill>
              <w14:schemeClr w14:val="tx1"/>
            </w14:solidFill>
          </w14:textFill>
        </w:rPr>
        <w:t>日始，至</w:t>
      </w:r>
      <w:r>
        <w:rPr>
          <w:rFonts w:hint="eastAsia" w:ascii="仿宋" w:hAnsi="仿宋" w:eastAsia="仿宋" w:cs="仿宋"/>
          <w:color w:val="000000" w:themeColor="text1"/>
          <w:spacing w:val="-2"/>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2"/>
          <w:sz w:val="32"/>
          <w:szCs w:val="32"/>
          <w14:textFill>
            <w14:solidFill>
              <w14:schemeClr w14:val="tx1"/>
            </w14:solidFill>
          </w14:textFill>
        </w:rPr>
        <w:t>年</w:t>
      </w:r>
      <w:r>
        <w:rPr>
          <w:rFonts w:hint="eastAsia" w:ascii="仿宋" w:hAnsi="仿宋" w:eastAsia="仿宋" w:cs="仿宋"/>
          <w:color w:val="000000" w:themeColor="text1"/>
          <w:spacing w:val="-2"/>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2"/>
          <w:sz w:val="32"/>
          <w:szCs w:val="32"/>
          <w14:textFill>
            <w14:solidFill>
              <w14:schemeClr w14:val="tx1"/>
            </w14:solidFill>
          </w14:textFill>
        </w:rPr>
        <w:t>月</w:t>
      </w:r>
      <w:r>
        <w:rPr>
          <w:rFonts w:hint="eastAsia" w:ascii="仿宋" w:hAnsi="仿宋" w:eastAsia="仿宋" w:cs="仿宋"/>
          <w:color w:val="000000" w:themeColor="text1"/>
          <w:spacing w:val="-2"/>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5"/>
          <w:sz w:val="32"/>
          <w:szCs w:val="32"/>
          <w14:textFill>
            <w14:solidFill>
              <w14:schemeClr w14:val="tx1"/>
            </w14:solidFill>
          </w14:textFill>
        </w:rPr>
        <w:t>日止。</w:t>
      </w:r>
    </w:p>
    <w:p>
      <w:pPr>
        <w:keepNext w:val="0"/>
        <w:keepLines w:val="0"/>
        <w:pageBreakBefore w:val="0"/>
        <w:widowControl/>
        <w:kinsoku/>
        <w:wordWrap/>
        <w:overflowPunct/>
        <w:topLinePunct w:val="0"/>
        <w:autoSpaceDE/>
        <w:autoSpaceDN/>
        <w:bidi w:val="0"/>
        <w:adjustRightInd/>
        <w:snapToGrid/>
        <w:spacing w:before="50" w:line="401" w:lineRule="auto"/>
        <w:ind w:left="107" w:right="412" w:firstLine="559"/>
        <w:jc w:val="both"/>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（三）</w:t>
      </w:r>
      <w:r>
        <w:rPr>
          <w:rFonts w:hint="eastAsia" w:ascii="仿宋" w:hAnsi="仿宋" w:eastAsia="仿宋" w:cs="仿宋"/>
          <w:color w:val="000000" w:themeColor="text1"/>
          <w:sz w:val="32"/>
          <w:szCs w:val="32"/>
          <w:lang w:val="en-US" w:eastAsia="zh-CN"/>
          <w14:textFill>
            <w14:solidFill>
              <w14:schemeClr w14:val="tx1"/>
            </w14:solidFill>
          </w14:textFill>
        </w:rPr>
        <w:t xml:space="preserve"> </w:t>
      </w:r>
      <w:r>
        <w:rPr>
          <w:rFonts w:hint="eastAsia" w:ascii="仿宋" w:hAnsi="仿宋" w:eastAsia="仿宋" w:cs="仿宋"/>
          <w:color w:val="000000" w:themeColor="text1"/>
          <w:spacing w:val="2"/>
          <w:sz w:val="32"/>
          <w:szCs w:val="32"/>
          <w14:textFill>
            <w14:solidFill>
              <w14:schemeClr w14:val="tx1"/>
            </w14:solidFill>
          </w14:textFill>
        </w:rPr>
        <w:t>本合同一式两份，其中正本</w:t>
      </w:r>
      <w:r>
        <w:rPr>
          <w:rFonts w:hint="eastAsia" w:ascii="仿宋" w:hAnsi="仿宋" w:eastAsia="仿宋" w:cs="仿宋"/>
          <w:color w:val="000000" w:themeColor="text1"/>
          <w:sz w:val="32"/>
          <w:szCs w:val="32"/>
          <w14:textFill>
            <w14:solidFill>
              <w14:schemeClr w14:val="tx1"/>
            </w14:solidFill>
          </w14:textFill>
        </w:rPr>
        <w:t>2份，副本0份。甲方执1份正</w:t>
      </w:r>
      <w:r>
        <w:rPr>
          <w:rFonts w:hint="eastAsia" w:ascii="仿宋" w:hAnsi="仿宋" w:eastAsia="仿宋" w:cs="仿宋"/>
          <w:color w:val="000000" w:themeColor="text1"/>
          <w:spacing w:val="-2"/>
          <w:sz w:val="32"/>
          <w:szCs w:val="32"/>
          <w14:textFill>
            <w14:solidFill>
              <w14:schemeClr w14:val="tx1"/>
            </w14:solidFill>
          </w14:textFill>
        </w:rPr>
        <w:t>本，0份副本；乙方执1份正本，0份副本。</w:t>
      </w:r>
    </w:p>
    <w:p>
      <w:pPr>
        <w:spacing w:before="1"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（四）</w:t>
      </w:r>
      <w:r>
        <w:rPr>
          <w:rFonts w:hint="eastAsia" w:ascii="仿宋" w:hAnsi="仿宋" w:eastAsia="仿宋" w:cs="仿宋"/>
          <w:color w:val="000000" w:themeColor="text1"/>
          <w:spacing w:val="-3"/>
          <w:sz w:val="32"/>
          <w:szCs w:val="32"/>
          <w14:textFill>
            <w14:solidFill>
              <w14:schemeClr w14:val="tx1"/>
            </w14:solidFill>
          </w14:textFill>
        </w:rPr>
        <w:t xml:space="preserve"> 无论本合同是否有相反约定，本合同附件</w:t>
      </w:r>
      <w:r>
        <w:rPr>
          <w:rFonts w:hint="eastAsia" w:ascii="仿宋" w:hAnsi="仿宋" w:eastAsia="仿宋" w:cs="仿宋"/>
          <w:color w:val="000000" w:themeColor="text1"/>
          <w:sz w:val="32"/>
          <w:szCs w:val="32"/>
          <w14:textFill>
            <w14:solidFill>
              <w14:schemeClr w14:val="tx1"/>
            </w14:solidFill>
          </w14:textFill>
        </w:rPr>
        <w:t>（如有）作为本合</w:t>
      </w:r>
      <w:r>
        <w:rPr>
          <w:rFonts w:hint="eastAsia" w:ascii="仿宋" w:hAnsi="仿宋" w:eastAsia="仿宋" w:cs="仿宋"/>
          <w:color w:val="000000" w:themeColor="text1"/>
          <w:spacing w:val="-2"/>
          <w:sz w:val="32"/>
          <w:szCs w:val="32"/>
          <w14:textFill>
            <w14:solidFill>
              <w14:schemeClr w14:val="tx1"/>
            </w14:solidFill>
          </w14:textFill>
        </w:rPr>
        <w:t>同的组成部分，与本合同具有同等法律效力，当附件条款与本合同条款发生冲突时，以本合同条款为准。</w:t>
      </w:r>
    </w:p>
    <w:p>
      <w:pPr>
        <w:spacing w:before="3"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（五）</w:t>
      </w:r>
      <w:r>
        <w:rPr>
          <w:rFonts w:hint="eastAsia" w:ascii="仿宋" w:hAnsi="仿宋" w:eastAsia="仿宋" w:cs="仿宋"/>
          <w:color w:val="000000" w:themeColor="text1"/>
          <w:spacing w:val="-3"/>
          <w:sz w:val="32"/>
          <w:szCs w:val="32"/>
          <w14:textFill>
            <w14:solidFill>
              <w14:schemeClr w14:val="tx1"/>
            </w14:solidFill>
          </w14:textFill>
        </w:rPr>
        <w:t xml:space="preserve"> 本合同及合同附件</w:t>
      </w:r>
      <w:r>
        <w:rPr>
          <w:rFonts w:hint="eastAsia" w:ascii="仿宋" w:hAnsi="仿宋" w:eastAsia="仿宋" w:cs="仿宋"/>
          <w:color w:val="000000" w:themeColor="text1"/>
          <w:sz w:val="32"/>
          <w:szCs w:val="32"/>
          <w14:textFill>
            <w14:solidFill>
              <w14:schemeClr w14:val="tx1"/>
            </w14:solidFill>
          </w14:textFill>
        </w:rPr>
        <w:t>（如有）是甲乙双方关于本次交易所最终</w:t>
      </w:r>
      <w:r>
        <w:rPr>
          <w:rFonts w:hint="eastAsia" w:ascii="仿宋" w:hAnsi="仿宋" w:eastAsia="仿宋" w:cs="仿宋"/>
          <w:color w:val="000000" w:themeColor="text1"/>
          <w:spacing w:val="-2"/>
          <w:sz w:val="32"/>
          <w:szCs w:val="32"/>
          <w14:textFill>
            <w14:solidFill>
              <w14:schemeClr w14:val="tx1"/>
            </w14:solidFill>
          </w14:textFill>
        </w:rPr>
        <w:t>确定的全部内容，甲乙双方均承认其已审阅、理解本合同及合同附件的内容，并同意取代甲乙双方之间此前关于本次交易所做出的任何口头或书面的承诺。</w:t>
      </w:r>
    </w:p>
    <w:p>
      <w:pPr>
        <w:spacing w:before="3" w:line="400" w:lineRule="auto"/>
        <w:ind w:left="107" w:right="411" w:firstLine="559"/>
        <w:jc w:val="both"/>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（六） 由于法律和法规、政策而导致本合同任何条款无效或无法执行，则该条款无效，但不影响剩余其他条款的效力。</w:t>
      </w:r>
    </w:p>
    <w:p>
      <w:pPr>
        <w:tabs>
          <w:tab w:val="left" w:pos="2866"/>
          <w:tab w:val="left" w:pos="4087"/>
          <w:tab w:val="left" w:pos="5308"/>
        </w:tabs>
        <w:spacing w:before="0"/>
        <w:ind w:right="0" w:firstLine="312" w:firstLineChars="100"/>
        <w:jc w:val="left"/>
        <w:rPr>
          <w:rFonts w:hint="eastAsia" w:ascii="仿宋" w:hAnsi="仿宋" w:eastAsia="仿宋" w:cs="仿宋"/>
          <w:color w:val="000000" w:themeColor="text1"/>
          <w:spacing w:val="-4"/>
          <w:sz w:val="32"/>
          <w:szCs w:val="32"/>
          <w14:textFill>
            <w14:solidFill>
              <w14:schemeClr w14:val="tx1"/>
            </w14:solidFill>
          </w14:textFill>
        </w:rPr>
      </w:pPr>
    </w:p>
    <w:p>
      <w:pPr>
        <w:tabs>
          <w:tab w:val="left" w:pos="2866"/>
          <w:tab w:val="left" w:pos="4087"/>
          <w:tab w:val="left" w:pos="5308"/>
        </w:tabs>
        <w:spacing w:before="0"/>
        <w:ind w:right="0" w:firstLine="312" w:firstLineChars="100"/>
        <w:jc w:val="left"/>
        <w:rPr>
          <w:rFonts w:hint="eastAsia" w:ascii="仿宋" w:hAnsi="仿宋" w:eastAsia="仿宋" w:cs="仿宋"/>
          <w:color w:val="000000" w:themeColor="text1"/>
          <w:spacing w:val="-4"/>
          <w:sz w:val="32"/>
          <w:szCs w:val="32"/>
          <w14:textFill>
            <w14:solidFill>
              <w14:schemeClr w14:val="tx1"/>
            </w14:solidFill>
          </w14:textFill>
        </w:rPr>
      </w:pPr>
    </w:p>
    <w:p>
      <w:pPr>
        <w:tabs>
          <w:tab w:val="left" w:pos="2866"/>
          <w:tab w:val="left" w:pos="4087"/>
          <w:tab w:val="left" w:pos="5308"/>
        </w:tabs>
        <w:spacing w:before="0"/>
        <w:ind w:right="0" w:firstLine="312" w:firstLineChars="100"/>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4"/>
          <w:sz w:val="32"/>
          <w:szCs w:val="32"/>
          <w14:textFill>
            <w14:solidFill>
              <w14:schemeClr w14:val="tx1"/>
            </w14:solidFill>
          </w14:textFill>
        </w:rPr>
        <w:t>兹证明，各方</w:t>
      </w:r>
      <w:r>
        <w:rPr>
          <w:rFonts w:hint="eastAsia" w:ascii="仿宋" w:hAnsi="仿宋" w:eastAsia="仿宋" w:cs="仿宋"/>
          <w:color w:val="000000" w:themeColor="text1"/>
          <w:spacing w:val="-10"/>
          <w:sz w:val="32"/>
          <w:szCs w:val="32"/>
          <w14:textFill>
            <w14:solidFill>
              <w14:schemeClr w14:val="tx1"/>
            </w14:solidFill>
          </w14:textFill>
        </w:rPr>
        <w:t>于</w:t>
      </w:r>
      <w:r>
        <w:rPr>
          <w:rFonts w:hint="eastAsia" w:ascii="仿宋" w:hAnsi="仿宋" w:eastAsia="仿宋" w:cs="仿宋"/>
          <w:color w:val="000000" w:themeColor="text1"/>
          <w:sz w:val="32"/>
          <w:szCs w:val="32"/>
          <w:u w:val="single"/>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t xml:space="preserve">年 </w:t>
      </w:r>
      <w:r>
        <w:rPr>
          <w:rFonts w:hint="eastAsia" w:ascii="仿宋" w:hAnsi="仿宋" w:eastAsia="仿宋" w:cs="仿宋"/>
          <w:color w:val="000000" w:themeColor="text1"/>
          <w:sz w:val="32"/>
          <w:szCs w:val="32"/>
          <w:u w:val="single"/>
          <w14:textFill>
            <w14:solidFill>
              <w14:schemeClr w14:val="tx1"/>
            </w14:solidFill>
          </w14:textFill>
        </w:rPr>
        <w:tab/>
      </w:r>
      <w:r>
        <w:rPr>
          <w:rFonts w:hint="eastAsia" w:ascii="仿宋" w:hAnsi="仿宋" w:eastAsia="仿宋" w:cs="仿宋"/>
          <w:color w:val="000000" w:themeColor="text1"/>
          <w:sz w:val="32"/>
          <w:szCs w:val="32"/>
          <w14:textFill>
            <w14:solidFill>
              <w14:schemeClr w14:val="tx1"/>
            </w14:solidFill>
          </w14:textFill>
        </w:rPr>
        <w:t xml:space="preserve">月 </w:t>
      </w:r>
      <w:r>
        <w:rPr>
          <w:rFonts w:hint="eastAsia" w:ascii="仿宋" w:hAnsi="仿宋" w:eastAsia="仿宋" w:cs="仿宋"/>
          <w:color w:val="000000" w:themeColor="text1"/>
          <w:sz w:val="32"/>
          <w:szCs w:val="32"/>
          <w:u w:val="single"/>
          <w14:textFill>
            <w14:solidFill>
              <w14:schemeClr w14:val="tx1"/>
            </w14:solidFill>
          </w14:textFill>
        </w:rPr>
        <w:tab/>
      </w:r>
      <w:r>
        <w:rPr>
          <w:rFonts w:hint="eastAsia" w:ascii="仿宋" w:hAnsi="仿宋" w:eastAsia="仿宋" w:cs="仿宋"/>
          <w:color w:val="000000" w:themeColor="text1"/>
          <w:spacing w:val="-4"/>
          <w:sz w:val="32"/>
          <w:szCs w:val="32"/>
          <w14:textFill>
            <w14:solidFill>
              <w14:schemeClr w14:val="tx1"/>
            </w14:solidFill>
          </w14:textFill>
        </w:rPr>
        <w:t>日签订本合</w:t>
      </w:r>
      <w:r>
        <w:rPr>
          <w:rFonts w:hint="eastAsia" w:ascii="仿宋" w:hAnsi="仿宋" w:eastAsia="仿宋" w:cs="仿宋"/>
          <w:color w:val="000000" w:themeColor="text1"/>
          <w:spacing w:val="-10"/>
          <w:sz w:val="32"/>
          <w:szCs w:val="32"/>
          <w14:textFill>
            <w14:solidFill>
              <w14:schemeClr w14:val="tx1"/>
            </w14:solidFill>
          </w14:textFill>
        </w:rPr>
        <w:t>同</w:t>
      </w:r>
    </w:p>
    <w:p>
      <w:pPr>
        <w:pStyle w:val="2"/>
        <w:rPr>
          <w:rFonts w:hint="eastAsia" w:ascii="仿宋" w:hAnsi="仿宋" w:eastAsia="仿宋" w:cs="仿宋"/>
          <w:color w:val="000000" w:themeColor="text1"/>
          <w:sz w:val="32"/>
          <w:szCs w:val="32"/>
          <w14:textFill>
            <w14:solidFill>
              <w14:schemeClr w14:val="tx1"/>
            </w14:solidFill>
          </w14:textFill>
        </w:rPr>
      </w:pPr>
    </w:p>
    <w:p>
      <w:pPr>
        <w:pStyle w:val="2"/>
        <w:rPr>
          <w:rFonts w:hint="eastAsia" w:ascii="仿宋" w:hAnsi="仿宋" w:eastAsia="仿宋" w:cs="仿宋"/>
          <w:color w:val="000000" w:themeColor="text1"/>
          <w:sz w:val="32"/>
          <w:szCs w:val="32"/>
          <w14:textFill>
            <w14:solidFill>
              <w14:schemeClr w14:val="tx1"/>
            </w14:solidFill>
          </w14:textFill>
        </w:rPr>
      </w:pPr>
    </w:p>
    <w:p>
      <w:pPr>
        <w:pStyle w:val="2"/>
        <w:rPr>
          <w:rFonts w:hint="eastAsia" w:ascii="仿宋" w:hAnsi="仿宋" w:eastAsia="仿宋" w:cs="仿宋"/>
          <w:color w:val="000000" w:themeColor="text1"/>
          <w:sz w:val="32"/>
          <w:szCs w:val="32"/>
          <w14:textFill>
            <w14:solidFill>
              <w14:schemeClr w14:val="tx1"/>
            </w14:solidFill>
          </w14:textFill>
        </w:rPr>
      </w:pPr>
    </w:p>
    <w:p>
      <w:pPr>
        <w:spacing w:before="60" w:line="400" w:lineRule="auto"/>
        <w:ind w:right="1702"/>
        <w:jc w:val="left"/>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甲方（盖章）：中国人民财产保险股份有限公司</w:t>
      </w:r>
      <w:r>
        <w:rPr>
          <w:rFonts w:hint="eastAsia" w:ascii="仿宋" w:hAnsi="仿宋" w:eastAsia="仿宋" w:cs="仿宋"/>
          <w:color w:val="000000" w:themeColor="text1"/>
          <w:spacing w:val="-2"/>
          <w:sz w:val="32"/>
          <w:szCs w:val="32"/>
          <w:lang w:eastAsia="zh-CN"/>
          <w14:textFill>
            <w14:solidFill>
              <w14:schemeClr w14:val="tx1"/>
            </w14:solidFill>
          </w14:textFill>
        </w:rPr>
        <w:t>乐山市</w:t>
      </w:r>
      <w:r>
        <w:rPr>
          <w:rFonts w:hint="eastAsia" w:ascii="仿宋" w:hAnsi="仿宋" w:eastAsia="仿宋" w:cs="仿宋"/>
          <w:color w:val="000000" w:themeColor="text1"/>
          <w:spacing w:val="-2"/>
          <w:sz w:val="32"/>
          <w:szCs w:val="32"/>
          <w14:textFill>
            <w14:solidFill>
              <w14:schemeClr w14:val="tx1"/>
            </w14:solidFill>
          </w14:textFill>
        </w:rPr>
        <w:t>分公司法定代表人/授权代表（签字）：</w:t>
      </w:r>
    </w:p>
    <w:p>
      <w:pPr>
        <w:pStyle w:val="2"/>
        <w:rPr>
          <w:rFonts w:hint="eastAsia" w:ascii="仿宋" w:hAnsi="仿宋" w:eastAsia="仿宋" w:cs="仿宋"/>
          <w:color w:val="000000" w:themeColor="text1"/>
          <w:sz w:val="32"/>
          <w:szCs w:val="32"/>
          <w14:textFill>
            <w14:solidFill>
              <w14:schemeClr w14:val="tx1"/>
            </w14:solidFill>
          </w14:textFill>
        </w:rPr>
      </w:pPr>
    </w:p>
    <w:p>
      <w:pPr>
        <w:pStyle w:val="2"/>
        <w:rPr>
          <w:rFonts w:hint="eastAsia" w:ascii="仿宋" w:hAnsi="仿宋" w:eastAsia="仿宋" w:cs="仿宋"/>
          <w:color w:val="000000" w:themeColor="text1"/>
          <w:sz w:val="32"/>
          <w:szCs w:val="32"/>
          <w14:textFill>
            <w14:solidFill>
              <w14:schemeClr w14:val="tx1"/>
            </w14:solidFill>
          </w14:textFill>
        </w:rPr>
      </w:pPr>
    </w:p>
    <w:p>
      <w:pPr>
        <w:pStyle w:val="2"/>
        <w:spacing w:before="10"/>
        <w:rPr>
          <w:rFonts w:hint="eastAsia" w:ascii="仿宋" w:hAnsi="仿宋" w:eastAsia="仿宋" w:cs="仿宋"/>
          <w:color w:val="000000" w:themeColor="text1"/>
          <w:sz w:val="32"/>
          <w:szCs w:val="32"/>
          <w14:textFill>
            <w14:solidFill>
              <w14:schemeClr w14:val="tx1"/>
            </w14:solidFill>
          </w14:textFill>
        </w:rPr>
      </w:pPr>
    </w:p>
    <w:p>
      <w:pPr>
        <w:spacing w:before="0" w:line="400" w:lineRule="auto"/>
        <w:ind w:left="107" w:right="3101" w:firstLine="0"/>
        <w:jc w:val="left"/>
        <w:rPr>
          <w:rFonts w:hint="eastAsia" w:ascii="仿宋" w:hAnsi="仿宋" w:eastAsia="仿宋" w:cs="仿宋"/>
          <w:color w:val="000000" w:themeColor="text1"/>
          <w:spacing w:val="-2"/>
          <w:sz w:val="32"/>
          <w:szCs w:val="32"/>
          <w14:textFill>
            <w14:solidFill>
              <w14:schemeClr w14:val="tx1"/>
            </w14:solidFill>
          </w14:textFill>
        </w:rPr>
      </w:pPr>
      <w:r>
        <w:rPr>
          <w:rFonts w:hint="eastAsia" w:ascii="仿宋" w:hAnsi="仿宋" w:eastAsia="仿宋" w:cs="仿宋"/>
          <w:color w:val="000000" w:themeColor="text1"/>
          <w:spacing w:val="-2"/>
          <w:sz w:val="32"/>
          <w:szCs w:val="32"/>
          <w14:textFill>
            <w14:solidFill>
              <w14:schemeClr w14:val="tx1"/>
            </w14:solidFill>
          </w14:textFill>
        </w:rPr>
        <w:t>乙方（盖章）：</w:t>
      </w:r>
    </w:p>
    <w:p>
      <w:pPr>
        <w:spacing w:before="0" w:line="400" w:lineRule="auto"/>
        <w:ind w:left="107" w:right="3101" w:firstLine="0"/>
        <w:jc w:val="left"/>
        <w:rPr>
          <w:rFonts w:hint="eastAsia" w:ascii="仿宋" w:hAnsi="仿宋" w:eastAsia="仿宋" w:cs="仿宋"/>
          <w:color w:val="000000" w:themeColor="text1"/>
          <w:sz w:val="32"/>
          <w:szCs w:val="32"/>
          <w:lang w:eastAsia="zh-CN"/>
          <w14:textFill>
            <w14:solidFill>
              <w14:schemeClr w14:val="tx1"/>
            </w14:solidFill>
          </w14:textFill>
        </w:rPr>
        <w:sectPr>
          <w:footerReference r:id="rId10" w:type="default"/>
          <w:pgSz w:w="11910" w:h="16840"/>
          <w:pgMar w:top="1040" w:right="1060" w:bottom="1120" w:left="1480" w:header="0" w:footer="930" w:gutter="0"/>
          <w:pgNumType w:fmt="decimal"/>
          <w:cols w:space="720" w:num="1"/>
        </w:sectPr>
      </w:pPr>
      <w:r>
        <w:rPr>
          <w:rFonts w:hint="eastAsia" w:ascii="仿宋" w:hAnsi="仿宋" w:eastAsia="仿宋" w:cs="仿宋"/>
          <w:color w:val="000000" w:themeColor="text1"/>
          <w:spacing w:val="-2"/>
          <w:sz w:val="32"/>
          <w:szCs w:val="32"/>
          <w14:textFill>
            <w14:solidFill>
              <w14:schemeClr w14:val="tx1"/>
            </w14:solidFill>
          </w14:textFill>
        </w:rPr>
        <w:t>法定代表人/授权代表（签字</w:t>
      </w:r>
      <w:r>
        <w:rPr>
          <w:rFonts w:hint="eastAsia" w:ascii="仿宋" w:hAnsi="仿宋" w:eastAsia="仿宋" w:cs="仿宋"/>
          <w:color w:val="000000" w:themeColor="text1"/>
          <w:spacing w:val="-2"/>
          <w:sz w:val="32"/>
          <w:szCs w:val="32"/>
          <w:lang w:eastAsia="zh-CN"/>
          <w14:textFill>
            <w14:solidFill>
              <w14:schemeClr w14:val="tx1"/>
            </w14:solidFill>
          </w14:textFill>
        </w:rPr>
        <w:t>）：</w:t>
      </w:r>
    </w:p>
    <w:p>
      <w:pPr>
        <w:spacing w:line="600" w:lineRule="exact"/>
        <w:jc w:val="left"/>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附件一</w:t>
      </w:r>
    </w:p>
    <w:p>
      <w:pPr>
        <w:spacing w:line="360" w:lineRule="auto"/>
        <w:ind w:firstLine="3855" w:firstLineChars="1600"/>
        <w:jc w:val="both"/>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服务内容及要求</w:t>
      </w:r>
    </w:p>
    <w:p>
      <w:pPr>
        <w:pStyle w:val="2"/>
        <w:rPr>
          <w:rFonts w:hint="default"/>
          <w:lang w:val="en-US" w:eastAsia="zh-CN"/>
        </w:rPr>
      </w:pPr>
    </w:p>
    <w:p>
      <w:pPr>
        <w:keepNext w:val="0"/>
        <w:keepLines w:val="0"/>
        <w:pageBreakBefore w:val="0"/>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一、项目名称</w:t>
      </w:r>
    </w:p>
    <w:p>
      <w:pPr>
        <w:keepNext w:val="0"/>
        <w:keepLines w:val="0"/>
        <w:pageBreakBefore w:val="0"/>
        <w:kinsoku/>
        <w:wordWrap/>
        <w:overflowPunct/>
        <w:topLinePunct w:val="0"/>
        <w:autoSpaceDE/>
        <w:autoSpaceDN/>
        <w:bidi w:val="0"/>
        <w:adjustRightInd/>
        <w:snapToGrid/>
        <w:spacing w:line="500" w:lineRule="exact"/>
        <w:ind w:firstLine="720" w:firstLineChars="3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项目名称：劳务外包服务合同</w:t>
      </w:r>
    </w:p>
    <w:p>
      <w:pPr>
        <w:keepNext w:val="0"/>
        <w:keepLines w:val="0"/>
        <w:pageBreakBefore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二、项目内容</w:t>
      </w:r>
    </w:p>
    <w:p>
      <w:pPr>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（一）具体服务内容包括但不限于：</w:t>
      </w:r>
    </w:p>
    <w:p>
      <w:pPr>
        <w:keepNext w:val="0"/>
        <w:keepLines w:val="0"/>
        <w:pageBreakBefore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1.对指定赔案的逾期账户进行电话、信函等合法方式的催收与追偿；</w:t>
      </w:r>
    </w:p>
    <w:p>
      <w:pPr>
        <w:keepNext w:val="0"/>
        <w:keepLines w:val="0"/>
        <w:pageBreakBefore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2.协助甲方进行与赔案相关的信息核实及资料收集、整理与报送工作。</w:t>
      </w:r>
    </w:p>
    <w:p>
      <w:pPr>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（二）服务期限：XXXX年XX月XX日—XXXX年XX月XX日</w:t>
      </w:r>
    </w:p>
    <w:p>
      <w:pPr>
        <w:keepNext w:val="0"/>
        <w:keepLines w:val="0"/>
        <w:pageBreakBefore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三、项目要求</w:t>
      </w:r>
    </w:p>
    <w:p>
      <w:pPr>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（一）岗位及职责描述</w:t>
      </w:r>
    </w:p>
    <w:p>
      <w:pPr>
        <w:keepNext w:val="0"/>
        <w:keepLines w:val="0"/>
        <w:pageBreakBefore w:val="0"/>
        <w:numPr>
          <w:ilvl w:val="0"/>
          <w:numId w:val="0"/>
        </w:numPr>
        <w:kinsoku/>
        <w:wordWrap/>
        <w:overflowPunct/>
        <w:topLinePunct w:val="0"/>
        <w:autoSpaceDE/>
        <w:autoSpaceDN/>
        <w:bidi w:val="0"/>
        <w:adjustRightInd/>
        <w:snapToGrid/>
        <w:spacing w:line="500" w:lineRule="exact"/>
        <w:ind w:firstLine="240" w:firstLineChars="1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乙方根据甲方业务需求，委派符合下述岗位要求的人员，提供助贷险相关逾期账户的提醒、催告、信息核实、资料整理及司法追偿辅助等非核心业务流程外包服务。具体岗位及职责如下：</w:t>
      </w:r>
    </w:p>
    <w:p>
      <w:pPr>
        <w:keepNext w:val="0"/>
        <w:keepLines w:val="0"/>
        <w:pageBreakBefore w:val="0"/>
        <w:numPr>
          <w:ilvl w:val="0"/>
          <w:numId w:val="5"/>
        </w:numPr>
        <w:kinsoku/>
        <w:wordWrap/>
        <w:overflowPunct/>
        <w:topLinePunct w:val="0"/>
        <w:autoSpaceDE/>
        <w:autoSpaceDN/>
        <w:bidi w:val="0"/>
        <w:adjustRightInd/>
        <w:snapToGrid/>
        <w:spacing w:line="500" w:lineRule="exact"/>
        <w:ind w:left="42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催收专员：负责通过电话、信函等合法方式，与逾期客户进行沟通，提醒还款并记录沟通详情。</w:t>
      </w:r>
    </w:p>
    <w:p>
      <w:pPr>
        <w:keepNext w:val="0"/>
        <w:keepLines w:val="0"/>
        <w:pageBreakBefore w:val="0"/>
        <w:numPr>
          <w:ilvl w:val="0"/>
          <w:numId w:val="5"/>
        </w:numPr>
        <w:kinsoku/>
        <w:wordWrap/>
        <w:overflowPunct/>
        <w:topLinePunct w:val="0"/>
        <w:autoSpaceDE/>
        <w:autoSpaceDN/>
        <w:bidi w:val="0"/>
        <w:adjustRightInd/>
        <w:snapToGrid/>
        <w:spacing w:line="500" w:lineRule="exact"/>
        <w:ind w:left="42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案件管理员：负责对催收案件进行分配、跟踪与信息更新，整理并归档催收过程中产生的各类文件与资料。</w:t>
      </w:r>
    </w:p>
    <w:p>
      <w:pPr>
        <w:keepNext w:val="0"/>
        <w:keepLines w:val="0"/>
        <w:pageBreakBefore w:val="0"/>
        <w:numPr>
          <w:ilvl w:val="0"/>
          <w:numId w:val="5"/>
        </w:numPr>
        <w:kinsoku/>
        <w:wordWrap/>
        <w:overflowPunct/>
        <w:topLinePunct w:val="0"/>
        <w:autoSpaceDE/>
        <w:autoSpaceDN/>
        <w:bidi w:val="0"/>
        <w:adjustRightInd/>
        <w:snapToGrid/>
        <w:spacing w:line="500" w:lineRule="exact"/>
        <w:ind w:left="42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诉讼追偿岗：负责对符合诉讼条件的逾期案件进行辅助处理，包括但不限于诉讼材料的收集、整理、初审与递交；协助甲方法律顾问或律师跟踪案件进度，更新诉讼状态；完成与司法追偿相关的数据录入与文书准备工作。</w:t>
      </w:r>
    </w:p>
    <w:p>
      <w:pPr>
        <w:keepNext w:val="0"/>
        <w:keepLines w:val="0"/>
        <w:pageBreakBefore w:val="0"/>
        <w:numPr>
          <w:ilvl w:val="0"/>
          <w:numId w:val="6"/>
        </w:numPr>
        <w:kinsoku/>
        <w:wordWrap/>
        <w:overflowPunct/>
        <w:topLinePunct w:val="0"/>
        <w:autoSpaceDE/>
        <w:autoSpaceDN/>
        <w:bidi w:val="0"/>
        <w:adjustRightInd/>
        <w:snapToGrid/>
        <w:spacing w:line="500" w:lineRule="exact"/>
        <w:ind w:left="21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岗位胜任能力及资格要求</w:t>
      </w:r>
    </w:p>
    <w:p>
      <w:pPr>
        <w:keepNext w:val="0"/>
        <w:keepLines w:val="0"/>
        <w:pageBreakBefore w:val="0"/>
        <w:numPr>
          <w:ilvl w:val="0"/>
          <w:numId w:val="7"/>
        </w:numPr>
        <w:kinsoku/>
        <w:wordWrap/>
        <w:overflowPunct/>
        <w:topLinePunct w:val="0"/>
        <w:autoSpaceDE/>
        <w:autoSpaceDN/>
        <w:bidi w:val="0"/>
        <w:adjustRightInd/>
        <w:snapToGrid/>
        <w:spacing w:line="500" w:lineRule="exact"/>
        <w:ind w:left="42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具有一定的工作经验；</w:t>
      </w:r>
    </w:p>
    <w:p>
      <w:pPr>
        <w:keepNext w:val="0"/>
        <w:keepLines w:val="0"/>
        <w:pageBreakBefore w:val="0"/>
        <w:numPr>
          <w:ilvl w:val="0"/>
          <w:numId w:val="7"/>
        </w:numPr>
        <w:kinsoku/>
        <w:wordWrap/>
        <w:overflowPunct/>
        <w:topLinePunct w:val="0"/>
        <w:autoSpaceDE/>
        <w:autoSpaceDN/>
        <w:bidi w:val="0"/>
        <w:adjustRightInd/>
        <w:snapToGrid/>
        <w:spacing w:line="500" w:lineRule="exact"/>
        <w:ind w:left="42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具备良好的沟通能力和抗压能力；</w:t>
      </w:r>
    </w:p>
    <w:p>
      <w:pPr>
        <w:keepNext w:val="0"/>
        <w:keepLines w:val="0"/>
        <w:pageBreakBefore w:val="0"/>
        <w:numPr>
          <w:ilvl w:val="0"/>
          <w:numId w:val="7"/>
        </w:numPr>
        <w:kinsoku/>
        <w:wordWrap/>
        <w:overflowPunct/>
        <w:topLinePunct w:val="0"/>
        <w:autoSpaceDE/>
        <w:autoSpaceDN/>
        <w:bidi w:val="0"/>
        <w:adjustRightInd/>
        <w:snapToGrid/>
        <w:spacing w:line="500" w:lineRule="exact"/>
        <w:ind w:left="42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具备基本的法律知识，熟悉民事诉讼流程，严谨细致；</w:t>
      </w:r>
    </w:p>
    <w:p>
      <w:pPr>
        <w:keepNext w:val="0"/>
        <w:keepLines w:val="0"/>
        <w:pageBreakBefore w:val="0"/>
        <w:numPr>
          <w:ilvl w:val="0"/>
          <w:numId w:val="7"/>
        </w:numPr>
        <w:kinsoku/>
        <w:wordWrap/>
        <w:overflowPunct/>
        <w:topLinePunct w:val="0"/>
        <w:autoSpaceDE/>
        <w:autoSpaceDN/>
        <w:bidi w:val="0"/>
        <w:adjustRightInd/>
        <w:snapToGrid/>
        <w:spacing w:line="500" w:lineRule="exact"/>
        <w:ind w:left="42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乙方工作人员须经过培训，考核合格后方可上岗；</w:t>
      </w:r>
    </w:p>
    <w:p>
      <w:pPr>
        <w:keepNext w:val="0"/>
        <w:keepLines w:val="0"/>
        <w:pageBreakBefore w:val="0"/>
        <w:numPr>
          <w:ilvl w:val="0"/>
          <w:numId w:val="7"/>
        </w:numPr>
        <w:kinsoku/>
        <w:wordWrap/>
        <w:overflowPunct/>
        <w:topLinePunct w:val="0"/>
        <w:autoSpaceDE/>
        <w:autoSpaceDN/>
        <w:bidi w:val="0"/>
        <w:adjustRightInd/>
        <w:snapToGrid/>
        <w:spacing w:line="500" w:lineRule="exact"/>
        <w:ind w:left="420" w:leftChars="0" w:firstLine="0" w:firstLineChars="0"/>
        <w:textAlignment w:val="auto"/>
        <w:rPr>
          <w:rFonts w:hint="eastAsia" w:ascii="仿宋_GB2312" w:hAnsi="仿宋_GB2312" w:eastAsia="仿宋_GB2312" w:cs="仿宋_GB2312"/>
          <w:b/>
          <w:bCs/>
          <w:sz w:val="24"/>
          <w:szCs w:val="24"/>
          <w:lang w:eastAsia="zh-CN"/>
        </w:rPr>
      </w:pPr>
      <w:r>
        <w:rPr>
          <w:rFonts w:hint="eastAsia" w:ascii="仿宋" w:hAnsi="仿宋" w:eastAsia="仿宋" w:cs="仿宋"/>
          <w:sz w:val="24"/>
          <w:szCs w:val="24"/>
          <w:lang w:val="en-US" w:eastAsia="zh-CN"/>
        </w:rPr>
        <w:t>甲方有权对乙方工作人员数量、条件等进行限定，乙方为甲方提供服务的人员应当符合甲方的要求。</w:t>
      </w: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 w:hAnsi="仿宋" w:eastAsia="仿宋" w:cs="仿宋"/>
          <w:color w:val="000000" w:themeColor="text1"/>
          <w:spacing w:val="-2"/>
          <w:sz w:val="32"/>
          <w:szCs w:val="32"/>
          <w:highlight w:val="yellow"/>
          <w:lang w:val="en-US" w:eastAsia="zh-CN"/>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b/>
          <w:bCs/>
          <w:sz w:val="28"/>
          <w:szCs w:val="28"/>
          <w:lang w:val="en-US" w:eastAsia="zh-CN"/>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b/>
          <w:bCs/>
          <w:sz w:val="28"/>
          <w:szCs w:val="28"/>
          <w:lang w:val="en-US" w:eastAsia="zh-CN"/>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b/>
          <w:bCs/>
          <w:sz w:val="28"/>
          <w:szCs w:val="28"/>
          <w:lang w:val="en-US" w:eastAsia="zh-CN"/>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b/>
          <w:bCs/>
          <w:sz w:val="28"/>
          <w:szCs w:val="28"/>
          <w:lang w:val="en-US" w:eastAsia="zh-CN"/>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b/>
          <w:bCs/>
          <w:sz w:val="28"/>
          <w:szCs w:val="28"/>
          <w:lang w:val="en-US" w:eastAsia="zh-CN"/>
        </w:rPr>
      </w:pPr>
    </w:p>
    <w:p>
      <w:pPr>
        <w:spacing w:line="600" w:lineRule="exact"/>
        <w:jc w:val="left"/>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附件二</w:t>
      </w:r>
    </w:p>
    <w:p>
      <w:pPr>
        <w:spacing w:line="360" w:lineRule="auto"/>
        <w:ind w:firstLine="3855" w:firstLineChars="1600"/>
        <w:jc w:val="both"/>
        <w:rPr>
          <w:rFonts w:hint="eastAsia" w:asciiTheme="minorEastAsia" w:hAnsiTheme="minorEastAsia" w:eastAsiaTheme="minorEastAsia" w:cstheme="minorEastAsia"/>
          <w:b/>
          <w:bCs/>
          <w:sz w:val="28"/>
          <w:szCs w:val="28"/>
        </w:rPr>
      </w:pPr>
      <w:r>
        <w:rPr>
          <w:rFonts w:hint="eastAsia" w:ascii="仿宋_GB2312" w:hAnsi="仿宋_GB2312" w:eastAsia="仿宋_GB2312" w:cs="仿宋_GB2312"/>
          <w:b/>
          <w:bCs/>
          <w:sz w:val="24"/>
          <w:szCs w:val="24"/>
          <w:lang w:eastAsia="zh-CN"/>
        </w:rPr>
        <w:t>付    款</w:t>
      </w:r>
    </w:p>
    <w:p>
      <w:pPr>
        <w:spacing w:line="360" w:lineRule="auto"/>
        <w:ind w:firstLine="482" w:firstLineChars="200"/>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1.付款方式</w:t>
      </w:r>
      <w:r>
        <w:rPr>
          <w:rFonts w:hint="eastAsia" w:ascii="仿宋_GB2312" w:hAnsi="仿宋_GB2312" w:eastAsia="仿宋_GB2312" w:cs="仿宋_GB2312"/>
          <w:sz w:val="24"/>
          <w:szCs w:val="24"/>
        </w:rPr>
        <w:t>：</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双方采用转账方式付款的，甲方应向乙方以下账户进行支付：</w:t>
      </w:r>
    </w:p>
    <w:p>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乙  方：</w:t>
      </w:r>
    </w:p>
    <w:p>
      <w:p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开户行：</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账户名称：</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账   号：</w:t>
      </w:r>
    </w:p>
    <w:p>
      <w:pPr>
        <w:spacing w:line="360" w:lineRule="auto"/>
        <w:ind w:firstLine="482" w:firstLineChars="200"/>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2.付款安排：</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付款前，甲方应对乙方提供的劳务项目进行验收、确认，</w:t>
      </w:r>
      <w:r>
        <w:rPr>
          <w:rFonts w:hint="eastAsia" w:ascii="仿宋_GB2312" w:hAnsi="仿宋_GB2312" w:eastAsia="仿宋_GB2312" w:cs="仿宋_GB2312"/>
          <w:sz w:val="24"/>
          <w:szCs w:val="24"/>
          <w:lang w:val="en-US" w:eastAsia="zh-CN"/>
        </w:rPr>
        <w:t>视情况</w:t>
      </w:r>
      <w:r>
        <w:rPr>
          <w:rFonts w:hint="eastAsia" w:ascii="仿宋_GB2312" w:hAnsi="仿宋_GB2312" w:eastAsia="仿宋_GB2312" w:cs="仿宋_GB2312"/>
          <w:sz w:val="24"/>
          <w:szCs w:val="24"/>
        </w:rPr>
        <w:t>向甲方出具劳务费结算单，并根据甲方书面确认后的劳务费用出具付款通知书和</w:t>
      </w:r>
      <w:r>
        <w:rPr>
          <w:rFonts w:hint="eastAsia" w:ascii="仿宋_GB2312" w:hAnsi="仿宋_GB2312" w:eastAsia="仿宋_GB2312" w:cs="仿宋_GB2312"/>
          <w:sz w:val="24"/>
          <w:szCs w:val="24"/>
          <w:lang w:val="en-US" w:eastAsia="zh-CN"/>
        </w:rPr>
        <w:t>专用</w:t>
      </w:r>
      <w:r>
        <w:rPr>
          <w:rFonts w:hint="eastAsia" w:ascii="仿宋_GB2312" w:hAnsi="仿宋_GB2312" w:eastAsia="仿宋_GB2312" w:cs="仿宋_GB2312"/>
          <w:sz w:val="24"/>
          <w:szCs w:val="24"/>
        </w:rPr>
        <w:t>发票，甲方于</w:t>
      </w:r>
      <w:r>
        <w:rPr>
          <w:rFonts w:hint="eastAsia" w:ascii="仿宋_GB2312" w:hAnsi="仿宋_GB2312" w:eastAsia="仿宋_GB2312" w:cs="仿宋_GB2312"/>
          <w:sz w:val="24"/>
          <w:szCs w:val="24"/>
          <w:lang w:val="en-US" w:eastAsia="zh-CN"/>
        </w:rPr>
        <w:t>15</w:t>
      </w:r>
      <w:r>
        <w:rPr>
          <w:rFonts w:hint="eastAsia" w:ascii="仿宋_GB2312" w:hAnsi="仿宋_GB2312" w:eastAsia="仿宋_GB2312" w:cs="仿宋_GB2312"/>
          <w:sz w:val="24"/>
          <w:szCs w:val="24"/>
        </w:rPr>
        <w:t>个工作日内以转账结算方式向乙方支付本期的劳务费用。</w:t>
      </w:r>
    </w:p>
    <w:p>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乙方如需改变上述账户，应提前10日以书面通知甲方。</w:t>
      </w:r>
    </w:p>
    <w:p>
      <w:pPr>
        <w:pStyle w:val="2"/>
        <w:rPr>
          <w:rFonts w:hint="eastAsia"/>
        </w:rPr>
      </w:pPr>
    </w:p>
    <w:p>
      <w:pPr>
        <w:keepNext w:val="0"/>
        <w:keepLines w:val="0"/>
        <w:pageBreakBefore w:val="0"/>
        <w:widowControl/>
        <w:kinsoku w:val="0"/>
        <w:wordWrap/>
        <w:overflowPunct/>
        <w:topLinePunct w:val="0"/>
        <w:autoSpaceDE/>
        <w:autoSpaceDN/>
        <w:bidi w:val="0"/>
        <w:adjustRightInd/>
        <w:snapToGrid/>
        <w:spacing w:before="2" w:line="401" w:lineRule="auto"/>
        <w:ind w:right="0"/>
        <w:jc w:val="left"/>
        <w:textAlignment w:val="auto"/>
        <w:rPr>
          <w:rFonts w:hint="eastAsia" w:ascii="仿宋" w:hAnsi="仿宋" w:eastAsia="仿宋" w:cs="仿宋"/>
          <w:color w:val="000000" w:themeColor="text1"/>
          <w:spacing w:val="-2"/>
          <w:sz w:val="32"/>
          <w:szCs w:val="32"/>
          <w:highlight w:val="yellow"/>
          <w:lang w:val="en-US" w:eastAsia="zh-CN"/>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right="0"/>
        <w:jc w:val="left"/>
        <w:textAlignment w:val="auto"/>
        <w:rPr>
          <w:rFonts w:hint="eastAsia" w:ascii="仿宋" w:hAnsi="仿宋" w:eastAsia="仿宋" w:cs="仿宋"/>
          <w:color w:val="000000" w:themeColor="text1"/>
          <w:spacing w:val="-2"/>
          <w:sz w:val="32"/>
          <w:szCs w:val="32"/>
          <w:highlight w:val="yellow"/>
          <w:lang w:val="en-US" w:eastAsia="zh-CN"/>
          <w14:textFill>
            <w14:solidFill>
              <w14:schemeClr w14:val="tx1"/>
            </w14:solidFill>
          </w14:textFill>
        </w:rPr>
      </w:pPr>
    </w:p>
    <w:p>
      <w:pPr>
        <w:spacing w:line="600" w:lineRule="exact"/>
        <w:ind w:firstLine="241" w:firstLineChars="100"/>
        <w:jc w:val="left"/>
        <w:rPr>
          <w:rFonts w:hint="eastAsia" w:ascii="仿宋_GB2312" w:hAnsi="仿宋_GB2312" w:eastAsia="仿宋_GB2312" w:cs="仿宋_GB2312"/>
          <w:b/>
          <w:bCs/>
          <w:sz w:val="24"/>
          <w:szCs w:val="24"/>
          <w:lang w:val="en-US" w:eastAsia="zh-CN"/>
        </w:rPr>
      </w:pPr>
    </w:p>
    <w:p>
      <w:pPr>
        <w:spacing w:line="600" w:lineRule="exact"/>
        <w:ind w:firstLine="241" w:firstLineChars="100"/>
        <w:jc w:val="left"/>
        <w:rPr>
          <w:rFonts w:hint="eastAsia" w:ascii="仿宋_GB2312" w:hAnsi="仿宋_GB2312" w:eastAsia="仿宋_GB2312" w:cs="仿宋_GB2312"/>
          <w:b/>
          <w:bCs/>
          <w:sz w:val="24"/>
          <w:szCs w:val="24"/>
          <w:lang w:val="en-US" w:eastAsia="zh-CN"/>
        </w:rPr>
      </w:pPr>
    </w:p>
    <w:p>
      <w:pPr>
        <w:spacing w:line="600" w:lineRule="exact"/>
        <w:jc w:val="left"/>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附件三</w:t>
      </w:r>
    </w:p>
    <w:p>
      <w:pPr>
        <w:spacing w:line="600" w:lineRule="exact"/>
        <w:ind w:firstLine="241" w:firstLineChars="100"/>
        <w:jc w:val="center"/>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eastAsia="zh-CN"/>
        </w:rPr>
        <w:t>双方的权利和义务</w:t>
      </w:r>
    </w:p>
    <w:p>
      <w:pPr>
        <w:spacing w:line="360" w:lineRule="auto"/>
        <w:ind w:firstLine="482" w:firstLineChars="200"/>
        <w:jc w:val="both"/>
        <w:rPr>
          <w:rFonts w:hint="eastAsia" w:ascii="仿宋_GB2312" w:hAnsi="仿宋_GB2312" w:eastAsia="仿宋_GB2312" w:cs="仿宋_GB2312"/>
          <w:b/>
          <w:sz w:val="24"/>
          <w:szCs w:val="24"/>
        </w:rPr>
      </w:pPr>
    </w:p>
    <w:p>
      <w:pPr>
        <w:spacing w:line="360" w:lineRule="auto"/>
        <w:ind w:firstLine="482" w:firstLineChars="200"/>
        <w:jc w:val="both"/>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1. 甲方的权利和义务</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napToGrid w:val="0"/>
          <w:spacing w:val="24"/>
          <w:sz w:val="24"/>
          <w:szCs w:val="24"/>
        </w:rPr>
        <w:t>1.1</w:t>
      </w:r>
      <w:r>
        <w:rPr>
          <w:rFonts w:hint="eastAsia" w:ascii="仿宋_GB2312" w:hAnsi="仿宋_GB2312" w:eastAsia="仿宋_GB2312" w:cs="仿宋_GB2312"/>
          <w:sz w:val="24"/>
          <w:szCs w:val="24"/>
        </w:rPr>
        <w:t>甲方有权要求乙方根据甲方的业务处理流程、业务管理规定、操作规范、服务质量标准、管理制度等制定详实可行的实施管理办法，并可以提出改进意见。</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1.2甲方有权向乙方下达工作计划，根据双方确定的服务质量标准和考核指标，对乙方工作质量进行考核验收，考核不合格的，甲方有权追究乙方的违约责任，并要求乙方限期整改。</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1.3甲方有权委派人员对乙方的生产运作、现场管理、安全管控、业务质量进行监督、检查，并提出相应改进意见，因出现质量事故和安全问题造成损失的，甲方有权要求乙方承担相应的法律责任。</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1.4甲方可要求乙方定期提供从业人员劳动人事管理有关信息，以了解乙方劳动关系管理的状况，并有权监督乙方对其从业人员的日常行为管理、调度、培训和考核，提出整改意见。</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1.5在乙方全面完成本协议约定范围的服务、质量等指标的前提下，甲方应按时向乙方支付服务费用。</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1.6甲方负责指导乙方进行行业规章制度、业务技术、业务规定、服务质量标准及安全生产等方面的培训。</w:t>
      </w:r>
    </w:p>
    <w:p>
      <w:pPr>
        <w:spacing w:line="360" w:lineRule="auto"/>
        <w:ind w:left="240" w:leftChars="100" w:firstLine="240" w:firstLineChars="1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1.7甲方负责及时向乙方传达甲方的新政策、新业务及其变更的相关规定。</w:t>
      </w:r>
    </w:p>
    <w:p>
      <w:pPr>
        <w:spacing w:line="360" w:lineRule="auto"/>
        <w:ind w:left="240" w:leftChars="100" w:firstLine="241" w:firstLineChars="100"/>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2. 乙方的权利和义务</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napToGrid w:val="0"/>
          <w:spacing w:val="24"/>
          <w:sz w:val="24"/>
          <w:szCs w:val="24"/>
        </w:rPr>
        <w:t>2.1</w:t>
      </w:r>
      <w:r>
        <w:rPr>
          <w:rFonts w:hint="eastAsia" w:ascii="仿宋_GB2312" w:hAnsi="仿宋_GB2312" w:eastAsia="仿宋_GB2312" w:cs="仿宋_GB2312"/>
          <w:sz w:val="24"/>
          <w:szCs w:val="24"/>
        </w:rPr>
        <w:t>乙方要确保所提供的工商营业执照、专业资质证明及相关资料真实、合法有效，并向甲方提交加盖乙方公章的复印件备案。乙方法人代表、经营范围等重大事项发生变更，应在10日内书面告知甲方。</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2.2乙方负责全面承担运营甲方项目，接受甲方对业务运营质量考核，按照甲方的服务标准和流程、工作计划、完成期限要求组织生产，保质保量完成承揽内容。</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2.3乙方就合同约定的项目配备现场管理负责人，负责现场人员管理及业务运营事务管理。现场负责人应接受甲方业务运营指令，并组织实施。</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2.4乙方在运营项目过程中，统筹配置劳动力，有效减少劳动力成本，提高劳动效率。</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2.5为保证工作人员的工作绩效，乙方须通过信息化等手段完善现场劳动管理制度，包括但不限于人事管理、运营管理、行政管理、后勤保障管理等，并接受甲方的监督。</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2.6乙方应制定现场的安全管理制度，对员工进行安全生产培训和教育，接受甲方的监督和考核。发生与甲方无关的安全生产事故，乙方应自行妥善处理，承担相关责任。涉及到甲方有关的事故，双方协调处理，并依照事故调查结果承担相应的责任。</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2.7乙方要遵守合法经营的义务，如出现违法违规经营以及办理甲方授权外的业务引起的行政、经济、法律的纠纷，由乙方自行承担相关后果及法律责任。由此给甲方造成经济损失的，由乙方承担损失。</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2.8乙方在全面完成本协议约定的服务、质量等标准的前提下，有权获得本协议约定的费用。</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2.9乙方应建立并完整保存本项目各类管理档案和业务档案，合作结束时无偿交还给甲方。</w:t>
      </w:r>
    </w:p>
    <w:p>
      <w:pPr>
        <w:spacing w:line="360" w:lineRule="auto"/>
        <w:ind w:firstLine="48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2.10未经甲方书面许可，乙方不得利用甲方资源服务第三方同类型业务，也不得将服务项目委托第三方实施。</w:t>
      </w: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spacing w:line="600" w:lineRule="exact"/>
        <w:jc w:val="left"/>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附件四</w:t>
      </w:r>
    </w:p>
    <w:p>
      <w:pPr>
        <w:spacing w:line="600" w:lineRule="exact"/>
        <w:ind w:firstLine="3373" w:firstLineChars="1400"/>
        <w:jc w:val="both"/>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eastAsia="zh-CN"/>
        </w:rPr>
        <w:t xml:space="preserve">发票的相关约定 </w:t>
      </w:r>
    </w:p>
    <w:p>
      <w:pPr>
        <w:snapToGrid w:val="0"/>
        <w:spacing w:line="360" w:lineRule="auto"/>
        <w:ind w:firstLine="480" w:firstLineChars="200"/>
        <w:rPr>
          <w:rFonts w:hint="eastAsia" w:ascii="仿宋_GB2312" w:hAnsi="仿宋_GB2312" w:eastAsia="仿宋_GB2312" w:cs="仿宋_GB2312"/>
          <w:sz w:val="24"/>
          <w:szCs w:val="24"/>
        </w:rPr>
      </w:pPr>
    </w:p>
    <w:p>
      <w:pPr>
        <w:snapToGrid w:val="0"/>
        <w:spacing w:line="360" w:lineRule="auto"/>
        <w:ind w:firstLine="480" w:firstLineChars="200"/>
        <w:rPr>
          <w:rFonts w:hint="eastAsia" w:ascii="仿宋_GB2312" w:hAnsi="仿宋_GB2312" w:eastAsia="仿宋_GB2312" w:cs="仿宋_GB2312"/>
          <w:kern w:val="2"/>
          <w:sz w:val="24"/>
          <w:szCs w:val="24"/>
        </w:rPr>
      </w:pPr>
      <w:r>
        <w:rPr>
          <w:rFonts w:hint="eastAsia" w:ascii="仿宋_GB2312" w:hAnsi="仿宋_GB2312" w:eastAsia="仿宋_GB2312" w:cs="仿宋_GB2312"/>
          <w:sz w:val="24"/>
          <w:szCs w:val="24"/>
        </w:rPr>
        <w:t>1.乙方应向甲方开具</w:t>
      </w:r>
      <w:r>
        <w:rPr>
          <w:rFonts w:hint="eastAsia" w:ascii="仿宋_GB2312" w:hAnsi="仿宋_GB2312" w:eastAsia="仿宋_GB2312" w:cs="仿宋_GB2312"/>
          <w:sz w:val="24"/>
          <w:szCs w:val="24"/>
          <w:lang w:val="en-US" w:eastAsia="zh-CN"/>
        </w:rPr>
        <w:t>专用</w:t>
      </w:r>
      <w:r>
        <w:rPr>
          <w:rFonts w:hint="eastAsia" w:ascii="仿宋_GB2312" w:hAnsi="仿宋_GB2312" w:eastAsia="仿宋_GB2312" w:cs="仿宋_GB2312"/>
          <w:sz w:val="24"/>
          <w:szCs w:val="24"/>
        </w:rPr>
        <w:t xml:space="preserve">发票，甲方开票信息如下： </w:t>
      </w:r>
    </w:p>
    <w:p>
      <w:pPr>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公司名称： </w:t>
      </w:r>
      <w:r>
        <w:rPr>
          <w:rFonts w:hint="eastAsia" w:ascii="仿宋_GB2312" w:hAnsi="仿宋_GB2312" w:eastAsia="仿宋_GB2312" w:cs="仿宋_GB2312"/>
          <w:sz w:val="24"/>
          <w:szCs w:val="24"/>
          <w:lang w:val="en-US" w:eastAsia="zh-CN"/>
        </w:rPr>
        <w:t>中国人民财产保险股份有限公司乐山市分公司</w:t>
      </w:r>
    </w:p>
    <w:p>
      <w:pPr>
        <w:snapToGrid w:val="0"/>
        <w:spacing w:line="360" w:lineRule="auto"/>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纳税识别号：</w:t>
      </w:r>
      <w:r>
        <w:rPr>
          <w:rFonts w:ascii="宋体" w:hAnsi="宋体"/>
          <w:sz w:val="24"/>
          <w:szCs w:val="24"/>
        </w:rPr>
        <w:t>91511</w:t>
      </w:r>
      <w:r>
        <w:rPr>
          <w:rFonts w:hint="eastAsia" w:ascii="宋体" w:hAnsi="宋体"/>
          <w:sz w:val="24"/>
          <w:szCs w:val="24"/>
          <w:lang w:eastAsia="zh-CN"/>
        </w:rPr>
        <w:t>1</w:t>
      </w:r>
      <w:r>
        <w:rPr>
          <w:rFonts w:hint="eastAsia" w:ascii="宋体" w:hAnsi="宋体"/>
          <w:sz w:val="24"/>
          <w:szCs w:val="24"/>
          <w:lang w:val="en-US" w:eastAsia="zh-CN"/>
        </w:rPr>
        <w:t>0</w:t>
      </w:r>
      <w:r>
        <w:rPr>
          <w:rFonts w:ascii="宋体" w:hAnsi="宋体"/>
          <w:sz w:val="24"/>
          <w:szCs w:val="24"/>
        </w:rPr>
        <w:t>0906985678H</w:t>
      </w:r>
    </w:p>
    <w:p>
      <w:pPr>
        <w:snapToGrid w:val="0"/>
        <w:spacing w:line="360" w:lineRule="auto"/>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银行账号</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2364901040004185</w:t>
      </w:r>
    </w:p>
    <w:p>
      <w:pPr>
        <w:snapToGrid w:val="0"/>
        <w:spacing w:line="360" w:lineRule="auto"/>
        <w:ind w:firstLine="480" w:firstLineChars="200"/>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开户银行</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中国</w:t>
      </w:r>
      <w:r>
        <w:rPr>
          <w:rFonts w:hint="eastAsia" w:ascii="仿宋_GB2312" w:hAnsi="仿宋_GB2312" w:eastAsia="仿宋_GB2312" w:cs="仿宋_GB2312"/>
          <w:sz w:val="24"/>
          <w:szCs w:val="24"/>
          <w:lang w:eastAsia="zh-CN"/>
        </w:rPr>
        <w:t>农业银行四川省乐山市分行直属支行</w:t>
      </w:r>
    </w:p>
    <w:p>
      <w:pPr>
        <w:snapToGrid w:val="0"/>
        <w:spacing w:line="360" w:lineRule="auto"/>
        <w:ind w:firstLine="480" w:firstLineChars="20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开票地址：乐山市市中区</w:t>
      </w:r>
      <w:r>
        <w:rPr>
          <w:rFonts w:hint="eastAsia" w:ascii="仿宋_GB2312" w:hAnsi="仿宋_GB2312" w:eastAsia="仿宋_GB2312" w:cs="仿宋_GB2312"/>
          <w:sz w:val="24"/>
          <w:szCs w:val="24"/>
          <w:lang w:val="en-US" w:eastAsia="zh-CN"/>
        </w:rPr>
        <w:t>三苏路1431号2楼、1431号3楼、1435号、1437号、1439号</w:t>
      </w:r>
    </w:p>
    <w:p>
      <w:pPr>
        <w:snapToGrid w:val="0"/>
        <w:spacing w:line="360" w:lineRule="auto"/>
        <w:ind w:firstLine="480" w:firstLineChars="200"/>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开票电话： 08</w:t>
      </w:r>
      <w:r>
        <w:rPr>
          <w:rFonts w:hint="eastAsia" w:ascii="仿宋_GB2312" w:hAnsi="仿宋_GB2312" w:eastAsia="仿宋_GB2312" w:cs="仿宋_GB2312"/>
          <w:sz w:val="24"/>
          <w:szCs w:val="24"/>
          <w:lang w:val="en-US" w:eastAsia="zh-CN"/>
        </w:rPr>
        <w:t>833-6210975</w:t>
      </w:r>
    </w:p>
    <w:p>
      <w:pPr>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2.乙方应在每次</w:t>
      </w:r>
      <w:r>
        <w:rPr>
          <w:rFonts w:hint="eastAsia" w:ascii="仿宋_GB2312" w:hAnsi="仿宋_GB2312" w:eastAsia="仿宋_GB2312" w:cs="仿宋_GB2312"/>
          <w:sz w:val="24"/>
          <w:szCs w:val="24"/>
          <w:lang w:val="en-US" w:eastAsia="zh-CN"/>
        </w:rPr>
        <w:t>专用</w:t>
      </w:r>
      <w:r>
        <w:rPr>
          <w:rFonts w:hint="eastAsia" w:ascii="仿宋_GB2312" w:hAnsi="仿宋_GB2312" w:eastAsia="仿宋_GB2312" w:cs="仿宋_GB2312"/>
          <w:sz w:val="24"/>
          <w:szCs w:val="24"/>
        </w:rPr>
        <w:t>发票开具后的30个自然日内向甲方提交相应</w:t>
      </w:r>
      <w:r>
        <w:rPr>
          <w:rFonts w:hint="eastAsia" w:ascii="仿宋_GB2312" w:hAnsi="仿宋_GB2312" w:eastAsia="仿宋_GB2312" w:cs="仿宋_GB2312"/>
          <w:sz w:val="24"/>
          <w:szCs w:val="24"/>
          <w:lang w:val="en-US" w:eastAsia="zh-CN"/>
        </w:rPr>
        <w:t>专用</w:t>
      </w:r>
      <w:r>
        <w:rPr>
          <w:rFonts w:hint="eastAsia" w:ascii="仿宋_GB2312" w:hAnsi="仿宋_GB2312" w:eastAsia="仿宋_GB2312" w:cs="仿宋_GB2312"/>
          <w:sz w:val="24"/>
          <w:szCs w:val="24"/>
        </w:rPr>
        <w:t>发票，否则甲方有权拒收发票。</w:t>
      </w:r>
    </w:p>
    <w:p>
      <w:pPr>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3.乙方必须严格遵照相关税收法規和文件，开具合法的增值税发票。因乙方开具的增值税发票</w:t>
      </w:r>
      <w:r>
        <w:rPr>
          <w:rFonts w:hint="eastAsia" w:ascii="仿宋_GB2312" w:hAnsi="仿宋_GB2312" w:eastAsia="仿宋_GB2312" w:cs="仿宋_GB2312"/>
          <w:sz w:val="24"/>
          <w:szCs w:val="24"/>
          <w:lang w:val="en-US" w:eastAsia="zh-CN"/>
        </w:rPr>
        <w:t>不</w:t>
      </w:r>
      <w:r>
        <w:rPr>
          <w:rFonts w:hint="eastAsia" w:ascii="仿宋_GB2312" w:hAnsi="仿宋_GB2312" w:eastAsia="仿宋_GB2312" w:cs="仿宋_GB2312"/>
          <w:sz w:val="24"/>
          <w:szCs w:val="24"/>
        </w:rPr>
        <w:t>符合税收法规与税务机关相关规定而给甲方造成经济损失的，乙方负责赔偿。如提供的票面税率与承诺不一致，则差额由己方承担;</w:t>
      </w:r>
    </w:p>
    <w:p>
      <w:pPr>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乙方开具的增值税发票在送达甲方前如发生丢失、灭失或被盗等情况，导致相应票据未能顺利送达甲方的，乙方应负责按相关税收法律法规的规定提供相应资料，以保证甲方顺利获得抵扣，否则甲方因此遭受的经济损失由己方负责赔偿;</w:t>
      </w:r>
    </w:p>
    <w:p>
      <w:pPr>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5.为保证取得的发票可以及时并成功获得抵扣，乙方开具的增值税发票送达并经甲方签收后，若发生丢失，乙方应积极协助甲方，按照相关税收法规和文件的规定提供相应资料，并确保甲方顺利获得抵扣:</w:t>
      </w:r>
    </w:p>
    <w:p>
      <w:pPr>
        <w:snapToGrid w:val="0"/>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_GB2312" w:hAnsi="仿宋_GB2312" w:eastAsia="仿宋_GB2312" w:cs="仿宋_GB2312"/>
          <w:b/>
          <w:bCs/>
          <w:sz w:val="24"/>
          <w:szCs w:val="24"/>
          <w:lang w:val="en-US" w:eastAsia="zh-CN"/>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_GB2312" w:hAnsi="仿宋_GB2312" w:eastAsia="仿宋_GB2312" w:cs="仿宋_GB2312"/>
          <w:b/>
          <w:bCs/>
          <w:sz w:val="24"/>
          <w:szCs w:val="24"/>
          <w:lang w:val="en-US" w:eastAsia="zh-CN"/>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_GB2312" w:hAnsi="仿宋_GB2312" w:eastAsia="仿宋_GB2312" w:cs="仿宋_GB2312"/>
          <w:b/>
          <w:bCs/>
          <w:sz w:val="24"/>
          <w:szCs w:val="24"/>
          <w:lang w:val="en-US" w:eastAsia="zh-CN"/>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_GB2312" w:hAnsi="仿宋_GB2312" w:eastAsia="仿宋_GB2312" w:cs="仿宋_GB2312"/>
          <w:b/>
          <w:bCs/>
          <w:sz w:val="24"/>
          <w:szCs w:val="24"/>
          <w:lang w:val="en-US" w:eastAsia="zh-CN"/>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_GB2312" w:hAnsi="仿宋_GB2312" w:eastAsia="仿宋_GB2312" w:cs="仿宋_GB2312"/>
          <w:b/>
          <w:bCs/>
          <w:sz w:val="24"/>
          <w:szCs w:val="24"/>
          <w:lang w:val="en-US" w:eastAsia="zh-CN"/>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_GB2312" w:hAnsi="仿宋_GB2312" w:eastAsia="仿宋_GB2312" w:cs="仿宋_GB2312"/>
          <w:b/>
          <w:bCs/>
          <w:sz w:val="24"/>
          <w:szCs w:val="24"/>
          <w:lang w:val="en-US" w:eastAsia="zh-CN"/>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_GB2312" w:hAnsi="仿宋_GB2312" w:eastAsia="仿宋_GB2312" w:cs="仿宋_GB2312"/>
          <w:b/>
          <w:bCs/>
          <w:sz w:val="24"/>
          <w:szCs w:val="24"/>
          <w:lang w:val="en-US" w:eastAsia="zh-CN"/>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附件五</w:t>
      </w:r>
    </w:p>
    <w:p>
      <w:pPr>
        <w:spacing w:line="600" w:lineRule="exact"/>
        <w:ind w:firstLine="3373" w:firstLineChars="1400"/>
        <w:jc w:val="both"/>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eastAsia="zh-CN"/>
        </w:rPr>
        <w:t>付款通知书</w:t>
      </w: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p>
    <w:p>
      <w:pPr>
        <w:keepNext w:val="0"/>
        <w:keepLines w:val="0"/>
        <w:pageBreakBefore w:val="0"/>
        <w:widowControl/>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根据双方签订的约定，贵司应向我司支付如下费用：</w:t>
      </w:r>
    </w:p>
    <w:p>
      <w:pPr>
        <w:keepNext w:val="0"/>
        <w:keepLines w:val="0"/>
        <w:pageBreakBefore w:val="0"/>
        <w:widowControl/>
        <w:kinsoku/>
        <w:wordWrap/>
        <w:overflowPunct/>
        <w:topLinePunct w:val="0"/>
        <w:autoSpaceDE/>
        <w:autoSpaceDN/>
        <w:bidi w:val="0"/>
        <w:adjustRightInd/>
        <w:snapToGrid/>
        <w:spacing w:line="360" w:lineRule="auto"/>
        <w:ind w:firstLine="840" w:firstLineChars="300"/>
        <w:textAlignment w:val="auto"/>
        <w:rPr>
          <w:rFonts w:hint="eastAsia" w:ascii="仿宋" w:hAnsi="仿宋" w:eastAsia="仿宋" w:cs="仿宋"/>
          <w:sz w:val="28"/>
          <w:szCs w:val="28"/>
        </w:rPr>
      </w:pPr>
      <w:r>
        <w:rPr>
          <w:rFonts w:hint="eastAsia" w:ascii="仿宋" w:hAnsi="仿宋" w:eastAsia="仿宋" w:cs="仿宋"/>
          <w:sz w:val="28"/>
          <w:szCs w:val="28"/>
        </w:rPr>
        <w:t>1、本月外包项目费用</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元(人民币大写：</w:t>
      </w:r>
      <w:r>
        <w:rPr>
          <w:rFonts w:hint="eastAsia" w:ascii="仿宋" w:hAnsi="仿宋" w:eastAsia="仿宋" w:cs="仿宋"/>
          <w:sz w:val="28"/>
          <w:szCs w:val="28"/>
          <w:lang w:val="en-US" w:eastAsia="zh-CN"/>
        </w:rPr>
        <w:t xml:space="preserve">      元整</w:t>
      </w:r>
      <w:r>
        <w:rPr>
          <w:rFonts w:hint="eastAsia" w:ascii="仿宋" w:hAnsi="仿宋" w:eastAsia="仿宋" w:cs="仿宋"/>
          <w:sz w:val="28"/>
          <w:szCs w:val="28"/>
        </w:rPr>
        <w:t>);</w:t>
      </w:r>
    </w:p>
    <w:p>
      <w:pPr>
        <w:pStyle w:val="51"/>
        <w:keepNext w:val="0"/>
        <w:keepLines w:val="0"/>
        <w:pageBreakBefore w:val="0"/>
        <w:widowControl/>
        <w:kinsoku/>
        <w:wordWrap/>
        <w:overflowPunct/>
        <w:topLinePunct w:val="0"/>
        <w:autoSpaceDE/>
        <w:autoSpaceDN/>
        <w:bidi w:val="0"/>
        <w:adjustRightInd/>
        <w:snapToGrid/>
        <w:spacing w:line="360" w:lineRule="auto"/>
        <w:ind w:left="0" w:leftChars="0" w:firstLine="840" w:firstLineChars="300"/>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2、其他特殊情况（增加或扣减费用）按实际发生费用</w:t>
      </w:r>
      <w:r>
        <w:rPr>
          <w:rFonts w:hint="eastAsia" w:ascii="仿宋" w:hAnsi="仿宋" w:eastAsia="仿宋" w:cs="仿宋"/>
          <w:sz w:val="28"/>
          <w:szCs w:val="28"/>
          <w:lang w:val="en-US" w:eastAsia="zh-CN"/>
        </w:rPr>
        <w:t xml:space="preserve">     </w:t>
      </w:r>
    </w:p>
    <w:p>
      <w:pPr>
        <w:pStyle w:val="51"/>
        <w:keepNext w:val="0"/>
        <w:keepLines w:val="0"/>
        <w:pageBreakBefore w:val="0"/>
        <w:widowControl/>
        <w:kinsoku/>
        <w:wordWrap/>
        <w:overflowPunct/>
        <w:topLinePunct w:val="0"/>
        <w:autoSpaceDE/>
        <w:autoSpaceDN/>
        <w:bidi w:val="0"/>
        <w:adjustRightInd/>
        <w:snapToGrid/>
        <w:spacing w:line="360" w:lineRule="auto"/>
        <w:ind w:left="720" w:firstLine="0" w:firstLineChars="0"/>
        <w:textAlignment w:val="auto"/>
        <w:rPr>
          <w:rFonts w:hint="eastAsia" w:ascii="仿宋" w:hAnsi="仿宋" w:eastAsia="仿宋" w:cs="仿宋"/>
          <w:sz w:val="28"/>
          <w:szCs w:val="28"/>
        </w:rPr>
      </w:pPr>
      <w:r>
        <w:rPr>
          <w:rFonts w:hint="eastAsia" w:ascii="仿宋" w:hAnsi="仿宋" w:eastAsia="仿宋" w:cs="仿宋"/>
          <w:sz w:val="28"/>
          <w:szCs w:val="28"/>
        </w:rPr>
        <w:t>（人民币大写：</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元）;以上各项费用合计</w:t>
      </w:r>
      <w:r>
        <w:rPr>
          <w:rFonts w:hint="eastAsia" w:ascii="仿宋" w:hAnsi="仿宋" w:eastAsia="仿宋" w:cs="仿宋"/>
          <w:sz w:val="28"/>
          <w:szCs w:val="28"/>
          <w:lang w:val="en-US" w:eastAsia="zh-CN"/>
        </w:rPr>
        <w:t xml:space="preserve">      元，</w:t>
      </w:r>
      <w:r>
        <w:rPr>
          <w:rFonts w:hint="eastAsia" w:ascii="仿宋" w:hAnsi="仿宋" w:eastAsia="仿宋" w:cs="仿宋"/>
          <w:sz w:val="28"/>
          <w:szCs w:val="28"/>
        </w:rPr>
        <w:t>大写：（</w:t>
      </w:r>
      <w:r>
        <w:rPr>
          <w:rFonts w:hint="eastAsia" w:ascii="仿宋" w:hAnsi="仿宋" w:eastAsia="仿宋" w:cs="仿宋"/>
          <w:sz w:val="28"/>
          <w:szCs w:val="28"/>
          <w:lang w:val="en-US" w:eastAsia="zh-CN"/>
        </w:rPr>
        <w:t xml:space="preserve">        整</w:t>
      </w:r>
      <w:r>
        <w:rPr>
          <w:rFonts w:hint="eastAsia" w:ascii="仿宋" w:hAnsi="仿宋" w:eastAsia="仿宋" w:cs="仿宋"/>
          <w:sz w:val="28"/>
          <w:szCs w:val="28"/>
        </w:rPr>
        <w:t xml:space="preserve">），均为含税金额。 </w:t>
      </w:r>
    </w:p>
    <w:p>
      <w:pPr>
        <w:pStyle w:val="51"/>
        <w:keepNext w:val="0"/>
        <w:keepLines w:val="0"/>
        <w:pageBreakBefore w:val="0"/>
        <w:widowControl/>
        <w:kinsoku/>
        <w:wordWrap/>
        <w:overflowPunct/>
        <w:topLinePunct w:val="0"/>
        <w:autoSpaceDE/>
        <w:autoSpaceDN/>
        <w:bidi w:val="0"/>
        <w:adjustRightInd/>
        <w:snapToGrid/>
        <w:spacing w:line="360" w:lineRule="auto"/>
        <w:ind w:left="410" w:leftChars="171" w:firstLine="420" w:firstLineChars="150"/>
        <w:textAlignment w:val="auto"/>
        <w:rPr>
          <w:rFonts w:hint="eastAsia" w:ascii="仿宋" w:hAnsi="仿宋" w:eastAsia="仿宋" w:cs="仿宋"/>
          <w:sz w:val="28"/>
          <w:szCs w:val="28"/>
        </w:rPr>
      </w:pPr>
      <w:r>
        <w:rPr>
          <w:rFonts w:hint="eastAsia" w:ascii="仿宋" w:hAnsi="仿宋" w:eastAsia="仿宋" w:cs="仿宋"/>
          <w:sz w:val="28"/>
          <w:szCs w:val="28"/>
        </w:rPr>
        <w:t>请贵司于</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日之前将前述费用汇至如下账户：</w:t>
      </w:r>
    </w:p>
    <w:p>
      <w:pPr>
        <w:pStyle w:val="51"/>
        <w:keepNext w:val="0"/>
        <w:keepLines w:val="0"/>
        <w:pageBreakBefore w:val="0"/>
        <w:widowControl/>
        <w:kinsoku/>
        <w:wordWrap/>
        <w:overflowPunct/>
        <w:topLinePunct w:val="0"/>
        <w:autoSpaceDE/>
        <w:autoSpaceDN/>
        <w:bidi w:val="0"/>
        <w:adjustRightInd/>
        <w:snapToGrid/>
        <w:spacing w:line="360" w:lineRule="auto"/>
        <w:ind w:left="410" w:leftChars="171" w:firstLine="140" w:firstLineChars="50"/>
        <w:textAlignment w:val="auto"/>
        <w:rPr>
          <w:rFonts w:hint="eastAsia" w:ascii="仿宋" w:hAnsi="仿宋" w:eastAsia="仿宋" w:cs="仿宋"/>
          <w:sz w:val="28"/>
          <w:szCs w:val="28"/>
        </w:rPr>
      </w:pPr>
      <w:r>
        <w:rPr>
          <w:rFonts w:hint="eastAsia" w:ascii="仿宋" w:hAnsi="仿宋" w:eastAsia="仿宋" w:cs="仿宋"/>
          <w:sz w:val="28"/>
          <w:szCs w:val="28"/>
        </w:rPr>
        <w:t>开户名称：</w:t>
      </w:r>
    </w:p>
    <w:p>
      <w:pPr>
        <w:pStyle w:val="51"/>
        <w:keepNext w:val="0"/>
        <w:keepLines w:val="0"/>
        <w:pageBreakBefore w:val="0"/>
        <w:widowControl/>
        <w:kinsoku/>
        <w:wordWrap/>
        <w:overflowPunct/>
        <w:topLinePunct w:val="0"/>
        <w:autoSpaceDE/>
        <w:autoSpaceDN/>
        <w:bidi w:val="0"/>
        <w:adjustRightInd/>
        <w:snapToGrid/>
        <w:spacing w:line="360" w:lineRule="auto"/>
        <w:ind w:left="571" w:leftChars="238" w:firstLine="0" w:firstLineChars="0"/>
        <w:textAlignment w:val="auto"/>
        <w:rPr>
          <w:rFonts w:hint="eastAsia" w:ascii="仿宋" w:hAnsi="仿宋" w:eastAsia="仿宋" w:cs="仿宋"/>
          <w:sz w:val="28"/>
          <w:szCs w:val="28"/>
        </w:rPr>
      </w:pPr>
      <w:r>
        <w:rPr>
          <w:rFonts w:hint="eastAsia" w:ascii="仿宋" w:hAnsi="仿宋" w:eastAsia="仿宋" w:cs="仿宋"/>
          <w:sz w:val="28"/>
          <w:szCs w:val="28"/>
        </w:rPr>
        <w:t>开户银行：</w:t>
      </w:r>
    </w:p>
    <w:p>
      <w:pPr>
        <w:pStyle w:val="51"/>
        <w:keepNext w:val="0"/>
        <w:keepLines w:val="0"/>
        <w:pageBreakBefore w:val="0"/>
        <w:widowControl/>
        <w:kinsoku/>
        <w:wordWrap/>
        <w:overflowPunct/>
        <w:topLinePunct w:val="0"/>
        <w:autoSpaceDE/>
        <w:autoSpaceDN/>
        <w:bidi w:val="0"/>
        <w:adjustRightInd/>
        <w:snapToGrid/>
        <w:spacing w:line="360" w:lineRule="auto"/>
        <w:ind w:left="571" w:leftChars="238" w:firstLine="0" w:firstLineChars="0"/>
        <w:textAlignment w:val="auto"/>
        <w:rPr>
          <w:rFonts w:hint="eastAsia" w:ascii="仿宋" w:hAnsi="仿宋" w:eastAsia="仿宋" w:cs="仿宋"/>
          <w:sz w:val="28"/>
          <w:szCs w:val="28"/>
        </w:rPr>
      </w:pPr>
      <w:r>
        <w:rPr>
          <w:rFonts w:hint="eastAsia" w:ascii="仿宋" w:hAnsi="仿宋" w:eastAsia="仿宋" w:cs="仿宋"/>
          <w:sz w:val="28"/>
          <w:szCs w:val="28"/>
        </w:rPr>
        <w:t>账号：</w:t>
      </w:r>
    </w:p>
    <w:p>
      <w:pPr>
        <w:rPr>
          <w:rFonts w:hint="eastAsia" w:ascii="仿宋" w:hAnsi="仿宋" w:eastAsia="仿宋" w:cs="仿宋"/>
          <w:sz w:val="28"/>
          <w:szCs w:val="28"/>
        </w:rPr>
      </w:pPr>
    </w:p>
    <w:p>
      <w:pPr>
        <w:ind w:firstLine="420" w:firstLineChars="150"/>
        <w:rPr>
          <w:rFonts w:hint="eastAsia" w:ascii="仿宋" w:hAnsi="仿宋" w:eastAsia="仿宋" w:cs="仿宋"/>
          <w:sz w:val="28"/>
          <w:szCs w:val="28"/>
        </w:rPr>
      </w:pPr>
    </w:p>
    <w:p>
      <w:pPr>
        <w:ind w:firstLine="420" w:firstLineChars="150"/>
        <w:rPr>
          <w:rFonts w:hint="eastAsia" w:ascii="仿宋" w:hAnsi="仿宋" w:eastAsia="仿宋" w:cs="仿宋"/>
          <w:sz w:val="28"/>
          <w:szCs w:val="28"/>
        </w:rPr>
      </w:pPr>
    </w:p>
    <w:p>
      <w:pPr>
        <w:spacing w:line="360" w:lineRule="auto"/>
        <w:ind w:firstLine="7280" w:firstLineChars="2600"/>
        <w:rPr>
          <w:rFonts w:hint="eastAsia" w:ascii="仿宋" w:hAnsi="仿宋" w:eastAsia="仿宋" w:cs="仿宋"/>
          <w:sz w:val="28"/>
          <w:szCs w:val="28"/>
        </w:rPr>
      </w:pPr>
    </w:p>
    <w:p>
      <w:pPr>
        <w:spacing w:line="360" w:lineRule="auto"/>
        <w:jc w:val="right"/>
        <w:rPr>
          <w:rFonts w:hint="eastAsia" w:ascii="仿宋" w:hAnsi="仿宋" w:eastAsia="仿宋" w:cs="仿宋"/>
          <w:sz w:val="28"/>
          <w:szCs w:val="28"/>
        </w:rPr>
      </w:pPr>
      <w:r>
        <w:rPr>
          <w:rFonts w:hint="eastAsia" w:ascii="仿宋" w:hAnsi="仿宋" w:eastAsia="仿宋" w:cs="仿宋"/>
          <w:sz w:val="28"/>
          <w:szCs w:val="28"/>
        </w:rPr>
        <w:t>年     月     日</w:t>
      </w: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pStyle w:val="2"/>
        <w:rPr>
          <w:rFonts w:hint="eastAsia" w:ascii="仿宋" w:hAnsi="仿宋" w:eastAsia="仿宋" w:cs="仿宋"/>
          <w:color w:val="000000" w:themeColor="text1"/>
          <w:spacing w:val="-2"/>
          <w:sz w:val="32"/>
          <w:szCs w:val="32"/>
          <w:highlight w:val="yellow"/>
          <w14:textFill>
            <w14:solidFill>
              <w14:schemeClr w14:val="tx1"/>
            </w14:solidFill>
          </w14:textFill>
        </w:rPr>
      </w:pPr>
    </w:p>
    <w:p>
      <w:pPr>
        <w:pStyle w:val="2"/>
        <w:rPr>
          <w:rFonts w:hint="eastAsia" w:ascii="仿宋" w:hAnsi="仿宋" w:eastAsia="仿宋" w:cs="仿宋"/>
          <w:color w:val="000000" w:themeColor="text1"/>
          <w:spacing w:val="-2"/>
          <w:sz w:val="32"/>
          <w:szCs w:val="32"/>
          <w:highlight w:val="yellow"/>
          <w14:textFill>
            <w14:solidFill>
              <w14:schemeClr w14:val="tx1"/>
            </w14:solidFill>
          </w14:textFill>
        </w:rPr>
      </w:pPr>
    </w:p>
    <w:p>
      <w:pPr>
        <w:pStyle w:val="2"/>
        <w:rPr>
          <w:rFonts w:hint="eastAsia" w:ascii="仿宋" w:hAnsi="仿宋" w:eastAsia="仿宋" w:cs="仿宋"/>
          <w:color w:val="000000" w:themeColor="text1"/>
          <w:spacing w:val="-2"/>
          <w:sz w:val="32"/>
          <w:szCs w:val="32"/>
          <w:highlight w:val="yellow"/>
          <w14:textFill>
            <w14:solidFill>
              <w14:schemeClr w14:val="tx1"/>
            </w14:solidFill>
          </w14:textFill>
        </w:rPr>
      </w:pPr>
    </w:p>
    <w:p>
      <w:pPr>
        <w:pStyle w:val="2"/>
        <w:rPr>
          <w:rFonts w:hint="eastAsia" w:ascii="仿宋" w:hAnsi="仿宋" w:eastAsia="仿宋" w:cs="仿宋"/>
          <w:color w:val="000000" w:themeColor="text1"/>
          <w:spacing w:val="-2"/>
          <w:sz w:val="32"/>
          <w:szCs w:val="32"/>
          <w:highlight w:val="yellow"/>
          <w14:textFill>
            <w14:solidFill>
              <w14:schemeClr w14:val="tx1"/>
            </w14:solidFill>
          </w14:textFill>
        </w:rPr>
      </w:pPr>
    </w:p>
    <w:p>
      <w:pPr>
        <w:pStyle w:val="2"/>
        <w:rPr>
          <w:rFonts w:hint="eastAsia" w:ascii="仿宋" w:hAnsi="仿宋" w:eastAsia="仿宋" w:cs="仿宋"/>
          <w:color w:val="000000" w:themeColor="text1"/>
          <w:spacing w:val="-2"/>
          <w:sz w:val="32"/>
          <w:szCs w:val="32"/>
          <w:highlight w:val="yellow"/>
          <w14:textFill>
            <w14:solidFill>
              <w14:schemeClr w14:val="tx1"/>
            </w14:solidFill>
          </w14:textFill>
        </w:rPr>
      </w:pPr>
    </w:p>
    <w:p>
      <w:pPr>
        <w:pStyle w:val="2"/>
        <w:rPr>
          <w:rFonts w:hint="eastAsia" w:ascii="仿宋" w:hAnsi="仿宋" w:eastAsia="仿宋" w:cs="仿宋"/>
          <w:color w:val="000000" w:themeColor="text1"/>
          <w:spacing w:val="-2"/>
          <w:sz w:val="32"/>
          <w:szCs w:val="32"/>
          <w:highlight w:val="yellow"/>
          <w14:textFill>
            <w14:solidFill>
              <w14:schemeClr w14:val="tx1"/>
            </w14:solidFill>
          </w14:textFill>
        </w:rPr>
      </w:pPr>
    </w:p>
    <w:p>
      <w:pPr>
        <w:pStyle w:val="2"/>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附件六</w:t>
      </w:r>
    </w:p>
    <w:p>
      <w:pPr>
        <w:spacing w:line="600" w:lineRule="exact"/>
        <w:ind w:firstLine="3373" w:firstLineChars="1400"/>
        <w:jc w:val="both"/>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val="en-US" w:eastAsia="zh-CN"/>
        </w:rPr>
        <w:t>劳务考核标准</w:t>
      </w:r>
    </w:p>
    <w:p>
      <w:pPr>
        <w:keepNext w:val="0"/>
        <w:keepLines w:val="0"/>
        <w:pageBreakBefore w:val="0"/>
        <w:numPr>
          <w:ilvl w:val="0"/>
          <w:numId w:val="0"/>
        </w:numPr>
        <w:kinsoku/>
        <w:wordWrap/>
        <w:overflowPunct/>
        <w:topLinePunct w:val="0"/>
        <w:autoSpaceDE/>
        <w:autoSpaceDN/>
        <w:bidi w:val="0"/>
        <w:adjustRightInd/>
        <w:snapToGrid/>
        <w:spacing w:line="500" w:lineRule="exact"/>
        <w:ind w:left="210" w:left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根据催收追偿工作实际，按照外包工作和考核情况结算费用。</w:t>
      </w:r>
    </w:p>
    <w:tbl>
      <w:tblPr>
        <w:tblStyle w:val="30"/>
        <w:tblpPr w:leftFromText="180" w:rightFromText="180" w:vertAnchor="text" w:horzAnchor="page" w:tblpXSpec="center" w:tblpY="193"/>
        <w:tblOverlap w:val="never"/>
        <w:tblW w:w="7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8"/>
        <w:gridCol w:w="2985"/>
        <w:gridCol w:w="1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2398" w:type="dxa"/>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项目</w:t>
            </w:r>
          </w:p>
        </w:tc>
        <w:tc>
          <w:tcPr>
            <w:tcW w:w="2985" w:type="dxa"/>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服务内容</w:t>
            </w:r>
          </w:p>
        </w:tc>
        <w:tc>
          <w:tcPr>
            <w:tcW w:w="1873" w:type="dxa"/>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9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kern w:val="0"/>
                <w:sz w:val="24"/>
                <w:szCs w:val="24"/>
                <w:lang w:bidi="ar"/>
              </w:rPr>
              <w:t>未逾期账户每月还款提醒服务</w:t>
            </w:r>
          </w:p>
        </w:tc>
        <w:tc>
          <w:tcPr>
            <w:tcW w:w="298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通过电话与客户取得联系，进行还款提醒、信息核实及还款意愿探询</w:t>
            </w:r>
          </w:p>
        </w:tc>
        <w:tc>
          <w:tcPr>
            <w:tcW w:w="187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XX元/次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9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逾期账户催收服务</w:t>
            </w:r>
          </w:p>
        </w:tc>
        <w:tc>
          <w:tcPr>
            <w:tcW w:w="298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通过电话、短信等方式对逾期账户持续催收，督促还款并完成资金入账</w:t>
            </w:r>
          </w:p>
        </w:tc>
        <w:tc>
          <w:tcPr>
            <w:tcW w:w="1873" w:type="dxa"/>
            <w:vAlign w:val="center"/>
          </w:tcPr>
          <w:p>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入账金额×</w:t>
            </w:r>
            <w:r>
              <w:rPr>
                <w:rFonts w:hint="eastAsia" w:ascii="仿宋" w:hAnsi="仿宋" w:eastAsia="仿宋" w:cs="仿宋"/>
                <w:color w:val="000000"/>
                <w:kern w:val="0"/>
                <w:sz w:val="24"/>
                <w:szCs w:val="24"/>
                <w:lang w:val="en-US" w:eastAsia="zh-CN" w:bidi="ar"/>
              </w:rPr>
              <w:t>XX</w:t>
            </w:r>
            <w:r>
              <w:rPr>
                <w:rFonts w:hint="eastAsia" w:ascii="仿宋" w:hAnsi="仿宋" w:eastAsia="仿宋" w:cs="仿宋"/>
                <w:color w:val="000000"/>
                <w:kern w:val="0"/>
                <w:sz w:val="24"/>
                <w:szCs w:val="24"/>
                <w:lang w:bidi="ar"/>
              </w:rPr>
              <w:t>%</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9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kern w:val="0"/>
                <w:sz w:val="24"/>
                <w:szCs w:val="24"/>
                <w:lang w:bidi="ar"/>
              </w:rPr>
              <w:t>逾期理赔账户下户调查回访服务</w:t>
            </w:r>
          </w:p>
        </w:tc>
        <w:tc>
          <w:tcPr>
            <w:tcW w:w="298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对逾期理赔的账户进行实地走访，调查债务人踪迹、财产线索</w:t>
            </w:r>
          </w:p>
        </w:tc>
        <w:tc>
          <w:tcPr>
            <w:tcW w:w="187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themeColor="text1"/>
                <w:sz w:val="24"/>
                <w:szCs w:val="24"/>
                <w:vertAlign w:val="baseline"/>
                <w:lang w:val="en-US" w:eastAsia="zh-CN"/>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XX元/次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39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 w:hAnsi="仿宋" w:eastAsia="仿宋" w:cs="仿宋"/>
                <w:color w:val="000000" w:themeColor="text1"/>
                <w:kern w:val="2"/>
                <w:sz w:val="24"/>
                <w:szCs w:val="24"/>
                <w:vertAlign w:val="baseline"/>
                <w:lang w:val="en-US" w:eastAsia="zh-CN" w:bidi="ar-SA"/>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资料收集整理服务</w:t>
            </w:r>
          </w:p>
        </w:tc>
        <w:tc>
          <w:tcPr>
            <w:tcW w:w="298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 w:hAnsi="仿宋" w:eastAsia="仿宋" w:cs="仿宋"/>
                <w:color w:val="000000" w:themeColor="text1"/>
                <w:kern w:val="2"/>
                <w:sz w:val="24"/>
                <w:szCs w:val="24"/>
                <w:vertAlign w:val="baseline"/>
                <w:lang w:val="en-US" w:eastAsia="zh-CN" w:bidi="ar-SA"/>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按照要求收集整理各类理赔催收资料</w:t>
            </w:r>
          </w:p>
        </w:tc>
        <w:tc>
          <w:tcPr>
            <w:tcW w:w="187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0" w:firstLineChars="0"/>
              <w:jc w:val="both"/>
              <w:textAlignment w:val="auto"/>
              <w:rPr>
                <w:rFonts w:hint="eastAsia" w:ascii="仿宋" w:hAnsi="仿宋" w:eastAsia="仿宋" w:cs="仿宋"/>
                <w:color w:val="000000" w:themeColor="text1"/>
                <w:kern w:val="2"/>
                <w:sz w:val="24"/>
                <w:szCs w:val="24"/>
                <w:vertAlign w:val="baseline"/>
                <w:lang w:val="en-US" w:eastAsia="zh-CN" w:bidi="ar-SA"/>
                <w14:textFill>
                  <w14:solidFill>
                    <w14:schemeClr w14:val="tx1"/>
                  </w14:solidFill>
                </w14:textFill>
              </w:rPr>
            </w:pPr>
            <w:r>
              <w:rPr>
                <w:rFonts w:hint="eastAsia" w:ascii="仿宋" w:hAnsi="仿宋" w:eastAsia="仿宋" w:cs="仿宋"/>
                <w:color w:val="000000" w:themeColor="text1"/>
                <w:sz w:val="24"/>
                <w:szCs w:val="24"/>
                <w:vertAlign w:val="baseline"/>
                <w:lang w:val="en-US" w:eastAsia="zh-CN"/>
                <w14:textFill>
                  <w14:solidFill>
                    <w14:schemeClr w14:val="tx1"/>
                  </w14:solidFill>
                </w14:textFill>
              </w:rPr>
              <w:t>XX元/次</w:t>
            </w:r>
          </w:p>
        </w:tc>
      </w:tr>
    </w:tbl>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left="669" w:right="5340" w:firstLine="0"/>
        <w:jc w:val="left"/>
        <w:textAlignment w:val="auto"/>
        <w:rPr>
          <w:rFonts w:hint="eastAsia" w:ascii="仿宋" w:hAnsi="仿宋" w:eastAsia="仿宋" w:cs="仿宋"/>
          <w:color w:val="000000" w:themeColor="text1"/>
          <w:spacing w:val="-2"/>
          <w:sz w:val="32"/>
          <w:szCs w:val="32"/>
          <w:highlight w:val="yellow"/>
          <w14:textFill>
            <w14:solidFill>
              <w14:schemeClr w14:val="tx1"/>
            </w14:solidFill>
          </w14:textFill>
        </w:rPr>
      </w:pPr>
    </w:p>
    <w:p>
      <w:pPr>
        <w:keepNext w:val="0"/>
        <w:keepLines w:val="0"/>
        <w:pageBreakBefore w:val="0"/>
        <w:widowControl/>
        <w:kinsoku w:val="0"/>
        <w:wordWrap/>
        <w:overflowPunct/>
        <w:topLinePunct w:val="0"/>
        <w:autoSpaceDE/>
        <w:autoSpaceDN/>
        <w:bidi w:val="0"/>
        <w:adjustRightInd/>
        <w:snapToGrid/>
        <w:spacing w:before="2" w:line="401" w:lineRule="auto"/>
        <w:ind w:right="5340"/>
        <w:jc w:val="left"/>
        <w:textAlignment w:val="auto"/>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附件七</w:t>
      </w:r>
    </w:p>
    <w:p>
      <w:pPr>
        <w:spacing w:line="600" w:lineRule="exact"/>
        <w:ind w:firstLine="3855" w:firstLineChars="1600"/>
        <w:jc w:val="both"/>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廉洁诚信协议</w:t>
      </w:r>
    </w:p>
    <w:p>
      <w:pPr>
        <w:spacing w:after="0"/>
        <w:jc w:val="left"/>
        <w:rPr>
          <w:rFonts w:hint="eastAsia" w:ascii="仿宋" w:hAnsi="仿宋" w:eastAsia="仿宋" w:cs="仿宋"/>
          <w:color w:val="000000" w:themeColor="text1"/>
          <w:sz w:val="32"/>
          <w:szCs w:val="32"/>
          <w14:textFill>
            <w14:solidFill>
              <w14:schemeClr w14:val="tx1"/>
            </w14:solidFill>
          </w14:textFill>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第一条  总则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1.3本协议所称相关主体，对任何一方而言，包括但不限于以下单位或者个人：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（1）一方或其关联方之工作人员；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（2）受一方委托办理相关事务的单位或者个人；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（3）利用职权或者影响力影响交易的单位或者个人；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（4）前述相关人员的亲属；</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（5）与前述相关主体存在利害关系的其他单位或者人员。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乙方相关主体实施违反本协议约定之行为的，均应视为乙方实施行为。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第二条  商业贿赂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2.3本条第1款所称其他形式，包括但不限于：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（1）以任何方式实施商业贿赂或违规提供回扣、折扣、宴请与游玩活动或其他不正当利益；</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（2）为甲方或甲方相关主体安排有可能影响公平、公正交易的宴请、健身、娱乐等活动；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（3）为甲方或甲方相关主体投资入股、个人借款或买卖股票、债券等提供方便；</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（4）为甲方或甲方相关主体购买或装修住房、婚丧嫁娶、配偶子女上学或工作安排以及出国出境、旅游等提供方便；</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（5）违反规定为甲方或甲方相关主体在乙方相关企业工作、挂名兼职、合伙经营、介绍承揽业务等提供方便；</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（6）向甲方或甲方相关主体提供借款、融资、担保等；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（7）给予或承诺给予其不正当利益的其他行为；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（8）其他违反国家法律法规或商业道德准则的影响公正交易的行为。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第三条  回扣</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3.3乙方在账外暗中给予甲方相关主体回扣的，视为实施商业贿赂行为。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第四条  折扣</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4.4乙方违反本条约定的，视为实施商业贿赂行为。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第五条  宴请与游玩活动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5.2乙方不得为甲方相关主体提供各种形式的旅游、健身、KTV、酒吧、按摩、赌博、色情等娱乐休闲活动。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5.3乙方违反本条约定的，视为实施商业贿赂行为。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第六条  禁止行为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双方一致同意双方或双方相关主体的如下行为是应当禁止的营私舞弊或腐败行为：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6.1甲方及甲方相关主体向乙方索要或收受财物或其他形式的财产性利益、非财产性利益。</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6.2乙方及乙方相关主体向甲方或甲方相关主体提供财物或其他形式的财产性利益、非财产性利益，包括但不限于：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（1）报销甲方相关主体的私人费用；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（2）提供超过宴请标准的宴请或娱乐活动；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（3）介绍甲方相关主体亲友到乙方处工作；</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（4）提出、邀请或事实上接受甲方相关主体在乙方参股或参与乙方经营活动；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（5）组织或向甲方相关主体提供旅游等代偿活动利益；</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（6）向甲方相关主体提供借款、融资、担保等；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（7）给予或承诺给予甲方相关主体不正当利益的其他行为；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（8）其他违反本协议约定、国家法律法规或商业道德准则的影响公正交易的行为。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第七条  乙方承诺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乙方承诺在双方的商务接洽、合同关系、交易过程中遵守如下要求：</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7.1 避免利害关系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7.2 恪守廉洁自律原则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7.3 恪守诚实信用原则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7.3.3严格遵守甲方的供应商行为准则、合作协议、保密承诺书等政策文件中的相关规定。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7.3.5严格遵守国家相关法律法规及甲方的管理规定，不参与任何违法活动。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7.3.6承诺实事求是，不对内部或社会传递任何虚假信息，严格遵守保密协议，不透露任何甲方的商业机密。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7.3.7未经甲方同意，不向任何新闻媒体、第三方述及有关甲方工作人员恪守商业道德方面的评价、信息。</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7.4 确保信息公开透明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7.4.1主动向甲方披露与采购项目相关的信息，包括乙方真实情况、产品价格、技术参数、服务团队信息、履约情况等。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7.4.2不利用非法手段向甲方及甲方相关主体打探有关涉及甲方及甲方相关主体的商业秘密、人员信息、采购信息等。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7.5 积极配合监督举报</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7.6 加强内部廉洁管理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7.6.2设立监督机制：通过专门的监督机构或人员，对乙方的业务活动进行实时监督，确保员工行为的合规性。</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7.6.3建立举报制度：鼓励员工积极举报违规行为，对举报人予以保护并给予奖励。</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第八条  违约责任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8.3 如乙方违反本协议任何约定或承诺，</w:t>
      </w:r>
      <w:r>
        <w:rPr>
          <w:rFonts w:hint="eastAsia" w:ascii="仿宋_GB2312" w:hAnsi="仿宋_GB2312" w:eastAsia="仿宋_GB2312" w:cs="仿宋_GB2312"/>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8.4</w:t>
      </w:r>
      <w:r>
        <w:rPr>
          <w:rFonts w:hint="eastAsia" w:ascii="仿宋_GB2312" w:hAnsi="仿宋_GB2312" w:eastAsia="仿宋_GB2312" w:cs="仿宋_GB2312"/>
          <w:b/>
          <w:bCs/>
          <w:kern w:val="2"/>
          <w:sz w:val="24"/>
          <w:szCs w:val="24"/>
          <w:lang w:val="en-US" w:eastAsia="zh-CN" w:bidi="ar"/>
        </w:rPr>
        <w:t>甲方及甲方子公司按照前述条款要求乙方承担赔偿责任的，</w:t>
      </w:r>
      <w:r>
        <w:rPr>
          <w:rFonts w:hint="eastAsia" w:ascii="仿宋_GB2312" w:hAnsi="仿宋_GB2312" w:eastAsia="仿宋_GB2312" w:cs="仿宋_GB2312"/>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8.5乙方知悉并同意，对于上述情形的处理甲方有完全的判断权和自主权。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2" w:firstLineChars="200"/>
        <w:jc w:val="both"/>
        <w:textAlignment w:val="auto"/>
        <w:rPr>
          <w:rFonts w:hint="eastAsia" w:ascii="仿宋_GB2312" w:hAnsi="仿宋_GB2312" w:eastAsia="仿宋_GB2312" w:cs="仿宋_GB2312"/>
          <w:b/>
          <w:bCs/>
          <w:sz w:val="24"/>
          <w:szCs w:val="24"/>
          <w:lang w:val="en-US"/>
        </w:rPr>
      </w:pPr>
      <w:r>
        <w:rPr>
          <w:rFonts w:hint="eastAsia" w:ascii="仿宋_GB2312" w:hAnsi="仿宋_GB2312" w:eastAsia="仿宋_GB2312" w:cs="仿宋_GB2312"/>
          <w:b/>
          <w:bCs/>
          <w:kern w:val="2"/>
          <w:sz w:val="24"/>
          <w:szCs w:val="24"/>
          <w:lang w:val="en-US" w:eastAsia="zh-CN" w:bidi="ar"/>
        </w:rPr>
        <w:t>第九条  附则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lang w:val="en-US"/>
        </w:rPr>
      </w:pPr>
      <w:r>
        <w:rPr>
          <w:rFonts w:hint="eastAsia" w:ascii="仿宋_GB2312" w:hAnsi="仿宋_GB2312" w:eastAsia="仿宋_GB2312" w:cs="仿宋_GB2312"/>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80"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kern w:val="2"/>
          <w:sz w:val="24"/>
          <w:szCs w:val="24"/>
          <w:lang w:val="en-US" w:eastAsia="zh-CN" w:bidi="ar"/>
        </w:rPr>
        <w:t>9.5本协议长期有效。</w:t>
      </w:r>
    </w:p>
    <w:p>
      <w:pPr>
        <w:pStyle w:val="2"/>
        <w:rPr>
          <w:rFonts w:hint="eastAsia" w:ascii="仿宋" w:hAnsi="仿宋" w:eastAsia="仿宋" w:cs="仿宋"/>
          <w:color w:val="000000" w:themeColor="text1"/>
          <w:sz w:val="32"/>
          <w:szCs w:val="32"/>
          <w14:textFill>
            <w14:solidFill>
              <w14:schemeClr w14:val="tx1"/>
            </w14:solidFill>
          </w14:textFill>
        </w:rPr>
      </w:pPr>
    </w:p>
    <w:p>
      <w:pPr>
        <w:pStyle w:val="2"/>
        <w:rPr>
          <w:rFonts w:hint="eastAsia" w:ascii="仿宋" w:hAnsi="仿宋" w:eastAsia="仿宋" w:cs="仿宋"/>
          <w:color w:val="000000" w:themeColor="text1"/>
          <w:sz w:val="32"/>
          <w:szCs w:val="32"/>
          <w14:textFill>
            <w14:solidFill>
              <w14:schemeClr w14:val="tx1"/>
            </w14:solidFill>
          </w14:textFill>
        </w:rPr>
      </w:pPr>
    </w:p>
    <w:p>
      <w:pPr>
        <w:pStyle w:val="2"/>
        <w:rPr>
          <w:rFonts w:hint="eastAsia" w:ascii="仿宋" w:hAnsi="仿宋" w:eastAsia="仿宋" w:cs="仿宋"/>
          <w:color w:val="000000" w:themeColor="text1"/>
          <w:sz w:val="32"/>
          <w:szCs w:val="32"/>
          <w14:textFill>
            <w14:solidFill>
              <w14:schemeClr w14:val="tx1"/>
            </w14:solidFill>
          </w14:textFill>
        </w:rPr>
      </w:pPr>
    </w:p>
    <w:p>
      <w:pPr>
        <w:pStyle w:val="2"/>
        <w:rPr>
          <w:rFonts w:hint="eastAsia" w:ascii="仿宋" w:hAnsi="仿宋" w:eastAsia="仿宋" w:cs="仿宋"/>
          <w:color w:val="000000" w:themeColor="text1"/>
          <w:sz w:val="32"/>
          <w:szCs w:val="32"/>
          <w14:textFill>
            <w14:solidFill>
              <w14:schemeClr w14:val="tx1"/>
            </w14:solidFill>
          </w14:textFill>
        </w:rPr>
      </w:pPr>
    </w:p>
    <w:p>
      <w:pPr>
        <w:pStyle w:val="2"/>
        <w:rPr>
          <w:rFonts w:hint="eastAsia" w:ascii="仿宋" w:hAnsi="仿宋" w:eastAsia="仿宋" w:cs="仿宋"/>
          <w:color w:val="000000" w:themeColor="text1"/>
          <w:sz w:val="32"/>
          <w:szCs w:val="32"/>
          <w14:textFill>
            <w14:solidFill>
              <w14:schemeClr w14:val="tx1"/>
            </w14:solidFill>
          </w14:textFill>
        </w:rPr>
      </w:pPr>
    </w:p>
    <w:p>
      <w:pPr>
        <w:tabs>
          <w:tab w:val="left" w:pos="2866"/>
          <w:tab w:val="left" w:pos="4087"/>
          <w:tab w:val="left" w:pos="5308"/>
        </w:tabs>
        <w:spacing w:before="0"/>
        <w:ind w:right="0" w:firstLine="312" w:firstLineChars="100"/>
        <w:jc w:val="left"/>
        <w:rPr>
          <w:rFonts w:hint="eastAsia" w:ascii="仿宋" w:hAnsi="仿宋" w:eastAsia="仿宋" w:cs="仿宋"/>
          <w:color w:val="000000" w:themeColor="text1"/>
          <w:spacing w:val="-4"/>
          <w:sz w:val="32"/>
          <w:szCs w:val="32"/>
          <w14:textFill>
            <w14:solidFill>
              <w14:schemeClr w14:val="tx1"/>
            </w14:solidFill>
          </w14:textFill>
        </w:rPr>
      </w:pPr>
    </w:p>
    <w:p>
      <w:pPr>
        <w:pStyle w:val="3"/>
        <w:pageBreakBefore/>
        <w:ind w:left="0" w:firstLine="3064" w:firstLineChars="1090"/>
        <w:jc w:val="left"/>
        <w:rPr>
          <w:rFonts w:ascii="仿宋_GB2312" w:hAnsi="宋体" w:eastAsia="仿宋_GB2312"/>
          <w:color w:val="auto"/>
          <w:sz w:val="28"/>
          <w:szCs w:val="28"/>
        </w:rPr>
      </w:pPr>
      <w:bookmarkStart w:id="124" w:name="_Toc4181"/>
      <w:bookmarkStart w:id="125" w:name="_Toc186737811"/>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pPr>
        <w:spacing w:line="360" w:lineRule="auto"/>
        <w:ind w:firstLine="480" w:firstLineChars="200"/>
        <w:rPr>
          <w:rFonts w:hint="eastAsia"/>
          <w:lang w:val="en-US" w:eastAsia="zh-CN"/>
        </w:rPr>
      </w:pPr>
      <w:r>
        <w:rPr>
          <w:rFonts w:hint="eastAsia"/>
          <w:lang w:val="en-US" w:eastAsia="zh-CN"/>
        </w:rPr>
        <w:t>一、采购项目背景</w:t>
      </w:r>
    </w:p>
    <w:p>
      <w:pPr>
        <w:spacing w:line="360" w:lineRule="auto"/>
        <w:ind w:firstLine="480" w:firstLineChars="200"/>
      </w:pPr>
      <w:r>
        <w:rPr>
          <w:rFonts w:hint="eastAsia"/>
          <w:lang w:val="en-US" w:eastAsia="zh-CN"/>
        </w:rPr>
        <w:t>随着保险市场的日益成熟和竞争的加剧，为了适应市场竞争的需要，提高企业运营的效率，需要对人力资源与服务进行更高效的安排和管理。而对劳务外包项目进行采购能够提高公司的运营效率，降低成本，能够更好的利益外部资源，提高服务质量，减少管理压力等。通过劳务外包的方式，将非核心业务交给专业的外包服务提供商负责，从而可以集中资源和精力专注于核心业务的发展，降低用工风险，确保公司业务的稳健发展。</w:t>
      </w:r>
    </w:p>
    <w:p>
      <w:pPr>
        <w:numPr>
          <w:ilvl w:val="0"/>
          <w:numId w:val="8"/>
        </w:numPr>
        <w:spacing w:line="360" w:lineRule="auto"/>
        <w:ind w:firstLine="480" w:firstLineChars="200"/>
        <w:rPr>
          <w:rFonts w:hint="eastAsia"/>
          <w:lang w:val="en-US" w:eastAsia="zh-CN"/>
        </w:rPr>
      </w:pPr>
      <w:r>
        <w:rPr>
          <w:rFonts w:hint="eastAsia"/>
          <w:lang w:val="en-US" w:eastAsia="zh-CN"/>
        </w:rPr>
        <w:t>采购内容</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default"/>
          <w:lang w:val="en-US" w:eastAsia="zh-CN"/>
        </w:rPr>
      </w:pPr>
      <w:r>
        <w:rPr>
          <w:rFonts w:hint="eastAsia"/>
          <w:lang w:val="en-US" w:eastAsia="zh-CN"/>
        </w:rPr>
        <w:t xml:space="preserve">    </w:t>
      </w:r>
      <w:r>
        <w:rPr>
          <w:rFonts w:hint="eastAsia" w:asciiTheme="minorHAnsi" w:hAnsiTheme="minorHAnsi" w:eastAsiaTheme="minorEastAsia" w:cstheme="minorBidi"/>
          <w:sz w:val="24"/>
          <w:szCs w:val="24"/>
          <w:lang w:val="en-US" w:eastAsia="zh-CN" w:bidi="ar-SA"/>
        </w:rPr>
        <w:t>项目拟采购1家供应商提供2年期劳务外包服务，项目劳务人员需求2人，</w:t>
      </w:r>
      <w:r>
        <w:rPr>
          <w:rFonts w:hint="eastAsia" w:asciiTheme="minorHAnsi" w:hAnsiTheme="minorHAnsi" w:eastAsiaTheme="minorEastAsia" w:cstheme="minorBidi"/>
          <w:sz w:val="24"/>
          <w:szCs w:val="24"/>
          <w:highlight w:val="none"/>
          <w:lang w:val="en-US" w:eastAsia="zh-CN" w:bidi="ar-SA"/>
        </w:rPr>
        <w:t>学历要求</w:t>
      </w:r>
      <w:r>
        <w:rPr>
          <w:rFonts w:hint="eastAsia" w:cstheme="minorBidi"/>
          <w:sz w:val="24"/>
          <w:szCs w:val="24"/>
          <w:highlight w:val="none"/>
          <w:lang w:val="en-US" w:eastAsia="zh-CN" w:bidi="ar-SA"/>
        </w:rPr>
        <w:t>大专及以上学历</w:t>
      </w:r>
      <w:r>
        <w:rPr>
          <w:rFonts w:hint="eastAsia" w:asciiTheme="minorHAnsi" w:hAnsiTheme="minorHAnsi" w:eastAsiaTheme="minorEastAsia" w:cstheme="minorBidi"/>
          <w:sz w:val="24"/>
          <w:szCs w:val="24"/>
          <w:highlight w:val="none"/>
          <w:lang w:val="en-US" w:eastAsia="zh-CN" w:bidi="ar-SA"/>
        </w:rPr>
        <w:t>、年龄要求</w:t>
      </w:r>
      <w:r>
        <w:rPr>
          <w:rFonts w:hint="eastAsia" w:cstheme="minorBidi"/>
          <w:sz w:val="24"/>
          <w:szCs w:val="24"/>
          <w:highlight w:val="none"/>
          <w:lang w:val="en-US" w:eastAsia="zh-CN" w:bidi="ar-SA"/>
        </w:rPr>
        <w:t>45周岁及以下</w:t>
      </w:r>
      <w:r>
        <w:rPr>
          <w:rFonts w:hint="eastAsia" w:asciiTheme="minorHAnsi" w:hAnsiTheme="minorHAnsi" w:eastAsiaTheme="minorEastAsia" w:cstheme="minorBidi"/>
          <w:sz w:val="24"/>
          <w:szCs w:val="24"/>
          <w:highlight w:val="none"/>
          <w:lang w:val="en-US" w:eastAsia="zh-CN" w:bidi="ar-SA"/>
        </w:rPr>
        <w:t>，</w:t>
      </w:r>
      <w:r>
        <w:rPr>
          <w:rFonts w:hint="eastAsia" w:asciiTheme="minorHAnsi" w:hAnsiTheme="minorHAnsi" w:eastAsiaTheme="minorEastAsia" w:cstheme="minorBidi"/>
          <w:sz w:val="24"/>
          <w:szCs w:val="24"/>
          <w:lang w:val="en-US" w:eastAsia="zh-CN" w:bidi="ar-SA"/>
        </w:rPr>
        <w:t>需满足我司工作开展要求</w:t>
      </w:r>
      <w:r>
        <w:rPr>
          <w:rFonts w:hint="eastAsia" w:cstheme="minorBidi"/>
          <w:sz w:val="24"/>
          <w:szCs w:val="24"/>
          <w:lang w:val="en-US" w:eastAsia="zh-CN" w:bidi="ar-SA"/>
        </w:rPr>
        <w:t>。</w:t>
      </w:r>
      <w:r>
        <w:rPr>
          <w:rFonts w:hint="eastAsia" w:asciiTheme="minorHAnsi" w:hAnsiTheme="minorHAnsi" w:eastAsiaTheme="minorEastAsia" w:cstheme="minorBidi"/>
          <w:sz w:val="24"/>
          <w:szCs w:val="24"/>
          <w:lang w:val="en-US" w:eastAsia="zh-CN" w:bidi="ar-SA"/>
        </w:rPr>
        <w:t>具体包括</w:t>
      </w:r>
      <w:r>
        <w:rPr>
          <w:rFonts w:hint="eastAsia" w:cstheme="minorBidi"/>
          <w:sz w:val="24"/>
          <w:szCs w:val="24"/>
          <w:lang w:val="en-US" w:eastAsia="zh-CN" w:bidi="ar-SA"/>
        </w:rPr>
        <w:t>：1.</w:t>
      </w:r>
      <w:r>
        <w:rPr>
          <w:rFonts w:hint="eastAsia" w:asciiTheme="minorHAnsi" w:hAnsiTheme="minorHAnsi" w:eastAsiaTheme="minorEastAsia" w:cstheme="minorBidi"/>
          <w:sz w:val="24"/>
          <w:szCs w:val="24"/>
          <w:lang w:val="en-US" w:eastAsia="zh-CN" w:bidi="ar-SA"/>
        </w:rPr>
        <w:t>对未逾期账户每月还款提醒服务</w:t>
      </w:r>
      <w:r>
        <w:rPr>
          <w:rFonts w:hint="eastAsia" w:cstheme="minorBidi"/>
          <w:sz w:val="24"/>
          <w:szCs w:val="24"/>
          <w:lang w:val="en-US" w:eastAsia="zh-CN" w:bidi="ar-SA"/>
        </w:rPr>
        <w:t>；2.</w:t>
      </w:r>
      <w:r>
        <w:rPr>
          <w:rFonts w:hint="eastAsia" w:asciiTheme="minorHAnsi" w:hAnsiTheme="minorHAnsi" w:eastAsiaTheme="minorEastAsia" w:cstheme="minorBidi"/>
          <w:sz w:val="24"/>
          <w:szCs w:val="24"/>
          <w:lang w:val="en-US" w:eastAsia="zh-CN" w:bidi="ar-SA"/>
        </w:rPr>
        <w:t>逾期账户催收服务</w:t>
      </w:r>
      <w:r>
        <w:rPr>
          <w:rFonts w:hint="eastAsia" w:cstheme="minorBidi"/>
          <w:sz w:val="24"/>
          <w:szCs w:val="24"/>
          <w:lang w:val="en-US" w:eastAsia="zh-CN" w:bidi="ar-SA"/>
        </w:rPr>
        <w:t>；3.</w:t>
      </w:r>
      <w:r>
        <w:rPr>
          <w:rFonts w:hint="eastAsia" w:asciiTheme="minorHAnsi" w:hAnsiTheme="minorHAnsi" w:eastAsiaTheme="minorEastAsia" w:cstheme="minorBidi"/>
          <w:sz w:val="24"/>
          <w:szCs w:val="24"/>
          <w:lang w:val="en-US" w:eastAsia="zh-CN" w:bidi="ar-SA"/>
        </w:rPr>
        <w:t>逾期理赔账户下户调查回访服务</w:t>
      </w:r>
      <w:r>
        <w:rPr>
          <w:rFonts w:hint="eastAsia" w:cstheme="minorBidi"/>
          <w:sz w:val="24"/>
          <w:szCs w:val="24"/>
          <w:lang w:val="en-US" w:eastAsia="zh-CN" w:bidi="ar-SA"/>
        </w:rPr>
        <w:t>；4.</w:t>
      </w:r>
      <w:bookmarkStart w:id="212" w:name="_GoBack"/>
      <w:bookmarkEnd w:id="212"/>
      <w:r>
        <w:rPr>
          <w:rFonts w:hint="eastAsia" w:asciiTheme="minorHAnsi" w:hAnsiTheme="minorHAnsi" w:eastAsiaTheme="minorEastAsia" w:cstheme="minorBidi"/>
          <w:sz w:val="24"/>
          <w:szCs w:val="24"/>
          <w:lang w:val="en-US" w:eastAsia="zh-CN" w:bidi="ar-SA"/>
        </w:rPr>
        <w:t>资料收集整理服务</w:t>
      </w:r>
      <w:r>
        <w:rPr>
          <w:rFonts w:hint="eastAsia" w:cstheme="minorBidi"/>
          <w:sz w:val="24"/>
          <w:szCs w:val="24"/>
          <w:lang w:val="en-US" w:eastAsia="zh-CN" w:bidi="ar-SA"/>
        </w:rPr>
        <w:t>。</w:t>
      </w:r>
    </w:p>
    <w:p>
      <w:pPr>
        <w:numPr>
          <w:ilvl w:val="0"/>
          <w:numId w:val="8"/>
        </w:numPr>
        <w:spacing w:line="360" w:lineRule="auto"/>
        <w:ind w:left="0" w:leftChars="0" w:firstLine="480" w:firstLineChars="200"/>
        <w:rPr>
          <w:rFonts w:hint="eastAsia"/>
          <w:lang w:val="en-US" w:eastAsia="zh-CN"/>
        </w:rPr>
      </w:pPr>
      <w:r>
        <w:rPr>
          <w:rFonts w:hint="eastAsia"/>
          <w:lang w:val="en-US" w:eastAsia="zh-CN"/>
        </w:rPr>
        <w:t>采购数量</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asciiTheme="minorHAnsi" w:hAnsiTheme="minorHAnsi" w:eastAsiaTheme="minorEastAsia" w:cstheme="minorBidi"/>
          <w:sz w:val="24"/>
          <w:szCs w:val="24"/>
          <w:lang w:val="en-US" w:eastAsia="zh-CN" w:bidi="ar-SA"/>
        </w:rPr>
        <w:t>本项目</w:t>
      </w:r>
      <w:r>
        <w:rPr>
          <w:rFonts w:hint="eastAsia" w:cstheme="minorBidi"/>
          <w:sz w:val="24"/>
          <w:szCs w:val="24"/>
          <w:lang w:val="en-US" w:eastAsia="zh-CN" w:bidi="ar-SA"/>
        </w:rPr>
        <w:t>拟</w:t>
      </w:r>
      <w:r>
        <w:rPr>
          <w:rFonts w:hint="eastAsia" w:asciiTheme="minorHAnsi" w:hAnsiTheme="minorHAnsi" w:eastAsiaTheme="minorEastAsia" w:cstheme="minorBidi"/>
          <w:sz w:val="24"/>
          <w:szCs w:val="24"/>
          <w:lang w:val="en-US" w:eastAsia="zh-CN" w:bidi="ar-SA"/>
        </w:rPr>
        <w:t>采用单价合同形式，并涉有4个分项结算标准，以下提供的数量为预估数量，仅作为供应商报价依据，不作为采购方承诺，最终据实结算。</w:t>
      </w:r>
    </w:p>
    <w:tbl>
      <w:tblPr>
        <w:tblStyle w:val="30"/>
        <w:tblW w:w="0" w:type="auto"/>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35"/>
        <w:gridCol w:w="4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4035" w:type="dxa"/>
            <w:vAlign w:val="center"/>
          </w:tcPr>
          <w:p>
            <w:pPr>
              <w:widowControl/>
              <w:spacing w:line="600" w:lineRule="exact"/>
              <w:jc w:val="center"/>
              <w:rPr>
                <w:rFonts w:hint="default" w:ascii="仿宋_GB2312" w:hAnsi="宋体" w:eastAsia="仿宋_GB2312" w:cs="宋体"/>
                <w:color w:val="000000" w:themeColor="text1"/>
                <w:kern w:val="0"/>
                <w:sz w:val="24"/>
                <w:szCs w:val="24"/>
                <w:highlight w:val="none"/>
                <w:vertAlign w:val="baseline"/>
                <w:lang w:val="en-US" w:eastAsia="zh-CN"/>
                <w14:textFill>
                  <w14:solidFill>
                    <w14:schemeClr w14:val="tx1"/>
                  </w14:solidFill>
                </w14:textFill>
              </w:rPr>
            </w:pPr>
            <w:r>
              <w:rPr>
                <w:rFonts w:hint="eastAsia"/>
                <w:lang w:val="en-US" w:eastAsia="zh-CN"/>
              </w:rPr>
              <w:t>项目</w:t>
            </w:r>
          </w:p>
        </w:tc>
        <w:tc>
          <w:tcPr>
            <w:tcW w:w="4714" w:type="dxa"/>
            <w:vAlign w:val="center"/>
          </w:tcPr>
          <w:p>
            <w:pPr>
              <w:widowControl/>
              <w:spacing w:line="600" w:lineRule="exact"/>
              <w:jc w:val="center"/>
              <w:rPr>
                <w:rFonts w:hint="eastAsia" w:ascii="仿宋_GB2312" w:hAnsi="宋体" w:eastAsia="宋体" w:cs="宋体"/>
                <w:color w:val="000000" w:themeColor="text1"/>
                <w:kern w:val="0"/>
                <w:sz w:val="24"/>
                <w:szCs w:val="24"/>
                <w:highlight w:val="none"/>
                <w:vertAlign w:val="baseline"/>
                <w:lang w:val="en-US"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预计发生</w:t>
            </w:r>
            <w:r>
              <w:rPr>
                <w:rFonts w:hint="eastAsia" w:ascii="宋体" w:hAnsi="宋体" w:eastAsia="宋体" w:cs="宋体"/>
                <w:color w:val="000000" w:themeColor="text1"/>
                <w:sz w:val="24"/>
                <w:szCs w:val="24"/>
                <w:lang w:val="en-US" w:eastAsia="zh-CN"/>
                <w14:textFill>
                  <w14:solidFill>
                    <w14:schemeClr w14:val="tx1"/>
                  </w14:solidFill>
                </w14:textFill>
              </w:rPr>
              <w:t>总量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035" w:type="dxa"/>
            <w:vAlign w:val="center"/>
          </w:tcPr>
          <w:p>
            <w:pPr>
              <w:widowControl/>
              <w:spacing w:line="240" w:lineRule="auto"/>
              <w:jc w:val="center"/>
              <w:rPr>
                <w:rFonts w:hint="eastAsia" w:ascii="宋体" w:hAnsi="宋体" w:eastAsia="宋体" w:cs="宋体"/>
                <w:color w:val="000000" w:themeColor="text1"/>
                <w:kern w:val="0"/>
                <w:sz w:val="18"/>
                <w:szCs w:val="18"/>
                <w:highlight w:val="none"/>
                <w:vertAlign w:val="baseline"/>
                <w:lang w:eastAsia="zh-CN"/>
                <w14:textFill>
                  <w14:solidFill>
                    <w14:schemeClr w14:val="tx1"/>
                  </w14:solidFill>
                </w14:textFill>
              </w:rPr>
            </w:pPr>
          </w:p>
          <w:p>
            <w:pPr>
              <w:widowControl/>
              <w:spacing w:line="240" w:lineRule="auto"/>
              <w:jc w:val="center"/>
              <w:rPr>
                <w:rFonts w:hint="eastAsia" w:ascii="宋体" w:hAnsi="宋体" w:eastAsia="宋体" w:cs="宋体"/>
                <w:color w:val="000000" w:themeColor="text1"/>
                <w:kern w:val="0"/>
                <w:sz w:val="18"/>
                <w:szCs w:val="18"/>
                <w:highlight w:val="none"/>
                <w:vertAlign w:val="baseline"/>
                <w:lang w:eastAsia="zh-CN"/>
                <w14:textFill>
                  <w14:solidFill>
                    <w14:schemeClr w14:val="tx1"/>
                  </w14:solidFill>
                </w14:textFill>
              </w:rPr>
            </w:pPr>
            <w:r>
              <w:rPr>
                <w:rFonts w:hint="eastAsia"/>
                <w:lang w:val="en-US" w:eastAsia="zh-CN"/>
              </w:rPr>
              <w:t>未逾期账户每月还款提醒服务</w:t>
            </w:r>
          </w:p>
        </w:tc>
        <w:tc>
          <w:tcPr>
            <w:tcW w:w="4714" w:type="dxa"/>
            <w:vAlign w:val="center"/>
          </w:tcPr>
          <w:p>
            <w:pPr>
              <w:widowControl/>
              <w:spacing w:line="600" w:lineRule="exact"/>
              <w:jc w:val="center"/>
              <w:rPr>
                <w:rFonts w:hint="default" w:ascii="宋体" w:hAnsi="宋体" w:eastAsia="宋体" w:cs="宋体"/>
                <w:color w:val="000000" w:themeColor="text1"/>
                <w:kern w:val="0"/>
                <w:sz w:val="18"/>
                <w:szCs w:val="18"/>
                <w:highlight w:val="none"/>
                <w:vertAlign w:val="baseline"/>
                <w:lang w:val="en-US" w:eastAsia="zh-CN"/>
                <w14:textFill>
                  <w14:solidFill>
                    <w14:schemeClr w14:val="tx1"/>
                  </w14:solidFill>
                </w14:textFill>
              </w:rPr>
            </w:pPr>
            <w:r>
              <w:rPr>
                <w:rFonts w:hint="eastAsia"/>
                <w:lang w:val="en-US" w:eastAsia="zh-CN"/>
              </w:rPr>
              <w:t>960次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4035" w:type="dxa"/>
            <w:vAlign w:val="center"/>
          </w:tcPr>
          <w:p>
            <w:pPr>
              <w:widowControl/>
              <w:spacing w:line="240" w:lineRule="auto"/>
              <w:jc w:val="center"/>
              <w:rPr>
                <w:rFonts w:hint="eastAsia" w:ascii="宋体" w:hAnsi="宋体" w:eastAsia="宋体" w:cs="宋体"/>
                <w:color w:val="000000" w:themeColor="text1"/>
                <w:kern w:val="0"/>
                <w:sz w:val="18"/>
                <w:szCs w:val="18"/>
                <w:highlight w:val="none"/>
                <w:vertAlign w:val="baseline"/>
                <w:lang w:eastAsia="zh-CN"/>
                <w14:textFill>
                  <w14:solidFill>
                    <w14:schemeClr w14:val="tx1"/>
                  </w14:solidFill>
                </w14:textFill>
              </w:rPr>
            </w:pPr>
          </w:p>
          <w:p>
            <w:pPr>
              <w:widowControl/>
              <w:spacing w:line="240" w:lineRule="auto"/>
              <w:jc w:val="center"/>
              <w:rPr>
                <w:rFonts w:hint="eastAsia" w:ascii="宋体" w:hAnsi="宋体" w:eastAsia="宋体" w:cs="宋体"/>
                <w:color w:val="000000" w:themeColor="text1"/>
                <w:kern w:val="0"/>
                <w:sz w:val="18"/>
                <w:szCs w:val="18"/>
                <w:highlight w:val="none"/>
                <w:vertAlign w:val="baseline"/>
                <w:lang w:eastAsia="zh-CN"/>
                <w14:textFill>
                  <w14:solidFill>
                    <w14:schemeClr w14:val="tx1"/>
                  </w14:solidFill>
                </w14:textFill>
              </w:rPr>
            </w:pPr>
            <w:r>
              <w:rPr>
                <w:rFonts w:hint="eastAsia"/>
                <w:lang w:val="en-US" w:eastAsia="zh-CN"/>
              </w:rPr>
              <w:t>逾期账户催收服务</w:t>
            </w:r>
          </w:p>
        </w:tc>
        <w:tc>
          <w:tcPr>
            <w:tcW w:w="4714" w:type="dxa"/>
            <w:vAlign w:val="center"/>
          </w:tcPr>
          <w:p>
            <w:pPr>
              <w:widowControl/>
              <w:spacing w:line="600" w:lineRule="exact"/>
              <w:jc w:val="center"/>
              <w:rPr>
                <w:rFonts w:hint="default" w:ascii="宋体" w:hAnsi="宋体" w:eastAsia="宋体" w:cs="宋体"/>
                <w:color w:val="000000" w:themeColor="text1"/>
                <w:kern w:val="0"/>
                <w:sz w:val="18"/>
                <w:szCs w:val="18"/>
                <w:highlight w:val="none"/>
                <w:vertAlign w:val="baseline"/>
                <w:lang w:val="en-US" w:eastAsia="zh-CN"/>
                <w14:textFill>
                  <w14:solidFill>
                    <w14:schemeClr w14:val="tx1"/>
                  </w14:solidFill>
                </w14:textFill>
              </w:rPr>
            </w:pPr>
            <w:r>
              <w:rPr>
                <w:rFonts w:hint="eastAsia"/>
                <w:lang w:val="en-US" w:eastAsia="zh-CN"/>
              </w:rPr>
              <w:t>每人每月预计催收金额4万/两年计192万，催回比例上限20%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35" w:type="dxa"/>
            <w:vAlign w:val="center"/>
          </w:tcPr>
          <w:p>
            <w:pPr>
              <w:widowControl/>
              <w:spacing w:line="240" w:lineRule="auto"/>
              <w:jc w:val="center"/>
              <w:rPr>
                <w:rFonts w:hint="eastAsia" w:ascii="宋体" w:hAnsi="宋体" w:eastAsia="宋体" w:cs="宋体"/>
                <w:color w:val="000000" w:themeColor="text1"/>
                <w:kern w:val="0"/>
                <w:sz w:val="18"/>
                <w:szCs w:val="18"/>
                <w:highlight w:val="none"/>
                <w:vertAlign w:val="baseline"/>
                <w:lang w:eastAsia="zh-CN"/>
                <w14:textFill>
                  <w14:solidFill>
                    <w14:schemeClr w14:val="tx1"/>
                  </w14:solidFill>
                </w14:textFill>
              </w:rPr>
            </w:pPr>
          </w:p>
          <w:p>
            <w:pPr>
              <w:widowControl/>
              <w:spacing w:line="240" w:lineRule="auto"/>
              <w:jc w:val="center"/>
              <w:rPr>
                <w:rFonts w:hint="eastAsia" w:ascii="宋体" w:hAnsi="宋体" w:eastAsia="宋体" w:cs="宋体"/>
                <w:color w:val="000000" w:themeColor="text1"/>
                <w:kern w:val="0"/>
                <w:sz w:val="18"/>
                <w:szCs w:val="18"/>
                <w:highlight w:val="none"/>
                <w:vertAlign w:val="baseline"/>
                <w:lang w:eastAsia="zh-CN"/>
                <w14:textFill>
                  <w14:solidFill>
                    <w14:schemeClr w14:val="tx1"/>
                  </w14:solidFill>
                </w14:textFill>
              </w:rPr>
            </w:pPr>
            <w:r>
              <w:rPr>
                <w:rFonts w:hint="eastAsia"/>
                <w:lang w:val="en-US" w:eastAsia="zh-CN"/>
              </w:rPr>
              <w:t>逾期理赔账户下户调查回访服务</w:t>
            </w:r>
          </w:p>
        </w:tc>
        <w:tc>
          <w:tcPr>
            <w:tcW w:w="4714" w:type="dxa"/>
            <w:vAlign w:val="center"/>
          </w:tcPr>
          <w:p>
            <w:pPr>
              <w:widowControl/>
              <w:spacing w:line="600" w:lineRule="exact"/>
              <w:jc w:val="center"/>
              <w:rPr>
                <w:rFonts w:hint="default" w:ascii="宋体" w:hAnsi="宋体" w:eastAsia="宋体" w:cs="宋体"/>
                <w:color w:val="000000" w:themeColor="text1"/>
                <w:kern w:val="0"/>
                <w:sz w:val="18"/>
                <w:szCs w:val="18"/>
                <w:highlight w:val="none"/>
                <w:vertAlign w:val="baseline"/>
                <w:lang w:val="en-US" w:eastAsia="zh-CN"/>
                <w14:textFill>
                  <w14:solidFill>
                    <w14:schemeClr w14:val="tx1"/>
                  </w14:solidFill>
                </w14:textFill>
              </w:rPr>
            </w:pPr>
            <w:r>
              <w:rPr>
                <w:rFonts w:hint="eastAsia"/>
                <w:lang w:val="en-US" w:eastAsia="zh-CN"/>
              </w:rPr>
              <w:t>960次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035" w:type="dxa"/>
            <w:vAlign w:val="center"/>
          </w:tcPr>
          <w:p>
            <w:pPr>
              <w:widowControl/>
              <w:spacing w:line="240" w:lineRule="auto"/>
              <w:jc w:val="center"/>
              <w:rPr>
                <w:rFonts w:hint="eastAsia" w:ascii="宋体" w:hAnsi="宋体" w:eastAsia="宋体" w:cs="宋体"/>
                <w:color w:val="000000" w:themeColor="text1"/>
                <w:kern w:val="0"/>
                <w:sz w:val="18"/>
                <w:szCs w:val="18"/>
                <w:highlight w:val="none"/>
                <w:vertAlign w:val="baseline"/>
                <w:lang w:eastAsia="zh-CN"/>
                <w14:textFill>
                  <w14:solidFill>
                    <w14:schemeClr w14:val="tx1"/>
                  </w14:solidFill>
                </w14:textFill>
              </w:rPr>
            </w:pPr>
          </w:p>
          <w:p>
            <w:pPr>
              <w:widowControl/>
              <w:spacing w:line="240" w:lineRule="auto"/>
              <w:jc w:val="center"/>
              <w:rPr>
                <w:rFonts w:hint="eastAsia" w:ascii="宋体" w:hAnsi="宋体" w:eastAsia="宋体" w:cs="宋体"/>
                <w:color w:val="000000" w:themeColor="text1"/>
                <w:kern w:val="0"/>
                <w:sz w:val="18"/>
                <w:szCs w:val="18"/>
                <w:highlight w:val="none"/>
                <w:vertAlign w:val="baseline"/>
                <w:lang w:eastAsia="zh-CN"/>
                <w14:textFill>
                  <w14:solidFill>
                    <w14:schemeClr w14:val="tx1"/>
                  </w14:solidFill>
                </w14:textFill>
              </w:rPr>
            </w:pPr>
            <w:r>
              <w:rPr>
                <w:rFonts w:hint="eastAsia"/>
                <w:lang w:val="en-US" w:eastAsia="zh-CN"/>
              </w:rPr>
              <w:t>资料收集整理服务</w:t>
            </w:r>
          </w:p>
        </w:tc>
        <w:tc>
          <w:tcPr>
            <w:tcW w:w="4714" w:type="dxa"/>
            <w:vAlign w:val="center"/>
          </w:tcPr>
          <w:p>
            <w:pPr>
              <w:widowControl/>
              <w:spacing w:line="600" w:lineRule="exact"/>
              <w:jc w:val="center"/>
              <w:rPr>
                <w:rFonts w:hint="default" w:ascii="宋体" w:hAnsi="宋体" w:eastAsia="宋体" w:cs="宋体"/>
                <w:color w:val="000000" w:themeColor="text1"/>
                <w:kern w:val="0"/>
                <w:sz w:val="18"/>
                <w:szCs w:val="18"/>
                <w:highlight w:val="none"/>
                <w:vertAlign w:val="baseline"/>
                <w:lang w:val="en-US" w:eastAsia="zh-CN"/>
                <w14:textFill>
                  <w14:solidFill>
                    <w14:schemeClr w14:val="tx1"/>
                  </w14:solidFill>
                </w14:textFill>
              </w:rPr>
            </w:pPr>
            <w:r>
              <w:rPr>
                <w:rFonts w:hint="eastAsia"/>
                <w:lang w:val="en-US" w:eastAsia="zh-CN"/>
              </w:rPr>
              <w:t>960次</w:t>
            </w:r>
          </w:p>
        </w:tc>
      </w:tr>
    </w:tbl>
    <w:p>
      <w:pPr>
        <w:pStyle w:val="2"/>
        <w:numPr>
          <w:ilvl w:val="0"/>
          <w:numId w:val="0"/>
        </w:numPr>
        <w:rPr>
          <w:rFonts w:hint="eastAsia"/>
          <w:lang w:val="en-US" w:eastAsia="zh-CN"/>
        </w:rPr>
      </w:pPr>
    </w:p>
    <w:p>
      <w:pPr>
        <w:numPr>
          <w:ilvl w:val="0"/>
          <w:numId w:val="8"/>
        </w:numPr>
        <w:spacing w:line="360" w:lineRule="auto"/>
        <w:ind w:left="0" w:leftChars="0" w:firstLine="480" w:firstLineChars="200"/>
        <w:rPr>
          <w:rFonts w:hint="eastAsia"/>
          <w:lang w:val="en-US" w:eastAsia="zh-CN"/>
        </w:rPr>
      </w:pPr>
      <w:r>
        <w:rPr>
          <w:rFonts w:hint="eastAsia"/>
          <w:lang w:val="en-US" w:eastAsia="zh-CN"/>
        </w:rPr>
        <w:t>付款方式</w:t>
      </w:r>
    </w:p>
    <w:p>
      <w:pPr>
        <w:spacing w:line="360" w:lineRule="auto"/>
        <w:ind w:firstLine="480" w:firstLineChars="200"/>
        <w:rPr>
          <w:rFonts w:hint="eastAsia"/>
          <w:lang w:val="en-US" w:eastAsia="zh-CN"/>
        </w:rPr>
      </w:pPr>
      <w:r>
        <w:rPr>
          <w:rFonts w:hint="eastAsia"/>
          <w:lang w:val="en-US" w:eastAsia="zh-CN"/>
        </w:rPr>
        <w:t>采用转账方式付款。付款前，我司应对供应商提供的劳务项目进行验收、确认，视情况向我司出具劳务费结算单，并根据我司书面确认后的劳务费用出具付款通知书和专用发票，我司于15个工作日内以转账结算方式向供应商支付本期的劳务费用。</w:t>
      </w:r>
    </w:p>
    <w:p>
      <w:pPr>
        <w:spacing w:line="360" w:lineRule="auto"/>
        <w:ind w:firstLine="480" w:firstLineChars="200"/>
        <w:rPr>
          <w:rFonts w:hint="eastAsia"/>
          <w:lang w:val="en-US" w:eastAsia="zh-CN"/>
        </w:rPr>
      </w:pPr>
      <w:r>
        <w:rPr>
          <w:rFonts w:hint="eastAsia"/>
          <w:lang w:val="en-US" w:eastAsia="zh-CN"/>
        </w:rPr>
        <w:t>供应商如需改变上述账户，应提前10日以书面通知我司。</w:t>
      </w:r>
    </w:p>
    <w:p>
      <w:pPr>
        <w:spacing w:line="360" w:lineRule="auto"/>
        <w:ind w:firstLine="480" w:firstLineChars="200"/>
        <w:rPr>
          <w:rFonts w:hint="eastAsia"/>
          <w:lang w:val="en-US" w:eastAsia="zh-CN"/>
        </w:rPr>
      </w:pPr>
      <w:r>
        <w:rPr>
          <w:rFonts w:hint="eastAsia"/>
          <w:lang w:val="en-US" w:eastAsia="zh-CN"/>
        </w:rPr>
        <w:t>五、服务要求</w:t>
      </w:r>
    </w:p>
    <w:p>
      <w:pPr>
        <w:pStyle w:val="2"/>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Theme="minorHAnsi" w:hAnsiTheme="minorHAnsi" w:eastAsiaTheme="minorEastAsia" w:cstheme="minorBidi"/>
          <w:sz w:val="24"/>
          <w:szCs w:val="24"/>
          <w:lang w:val="en-US" w:eastAsia="zh-CN" w:bidi="ar-SA"/>
        </w:rPr>
      </w:pPr>
      <w:r>
        <w:rPr>
          <w:rFonts w:hint="eastAsia" w:cstheme="minorBidi"/>
          <w:sz w:val="24"/>
          <w:szCs w:val="24"/>
          <w:lang w:val="en-US" w:eastAsia="zh-CN" w:bidi="ar-SA"/>
        </w:rPr>
        <w:t>1.</w:t>
      </w:r>
      <w:r>
        <w:rPr>
          <w:rFonts w:hint="eastAsia" w:asciiTheme="minorHAnsi" w:hAnsiTheme="minorHAnsi" w:eastAsiaTheme="minorEastAsia" w:cstheme="minorBidi"/>
          <w:sz w:val="24"/>
          <w:szCs w:val="24"/>
          <w:lang w:val="en-US" w:eastAsia="zh-CN" w:bidi="ar-SA"/>
        </w:rPr>
        <w:t>供应商提供的劳务外包服务至少需满足我司基本要求，包括但不限于项目团队人员配备合理，职责分工明确，经验丰富，在逾期提醒、催收服务能力、客户回访、资料整理收集等多个领域具备实力。能根据公司具体的需求提供制定个性化的服务方案，确保服务的专业性和高效性。</w:t>
      </w:r>
    </w:p>
    <w:p>
      <w:pPr>
        <w:pStyle w:val="2"/>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cstheme="minorBidi"/>
          <w:sz w:val="24"/>
          <w:szCs w:val="24"/>
          <w:lang w:val="en-US" w:eastAsia="zh-CN" w:bidi="ar-SA"/>
        </w:rPr>
      </w:pPr>
      <w:r>
        <w:rPr>
          <w:rFonts w:hint="eastAsia" w:cstheme="minorBidi"/>
          <w:sz w:val="24"/>
          <w:szCs w:val="24"/>
          <w:lang w:val="en-US" w:eastAsia="zh-CN" w:bidi="ar-SA"/>
        </w:rPr>
        <w:t>2.根据我司业务需求，委派符合下述岗位要求的人员，提供助贷险相关逾期账户的提醒、催告、信息核实、资料整理及司法追偿辅助等非核心业务流程外包服务。具体岗位及职责如下：</w:t>
      </w:r>
    </w:p>
    <w:p>
      <w:pPr>
        <w:pStyle w:val="2"/>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cstheme="minorBidi"/>
          <w:sz w:val="24"/>
          <w:szCs w:val="24"/>
          <w:lang w:val="en-US" w:eastAsia="zh-CN" w:bidi="ar-SA"/>
        </w:rPr>
      </w:pPr>
      <w:r>
        <w:rPr>
          <w:rFonts w:hint="eastAsia" w:cstheme="minorBidi"/>
          <w:sz w:val="24"/>
          <w:szCs w:val="24"/>
          <w:lang w:val="en-US" w:eastAsia="zh-CN" w:bidi="ar-SA"/>
        </w:rPr>
        <w:t>（1）催收专员：负责通过电话、信函等合法方式，与逾期客户进行沟通，提醒还款并记录沟通详情。</w:t>
      </w:r>
    </w:p>
    <w:p>
      <w:pPr>
        <w:pStyle w:val="2"/>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cstheme="minorBidi"/>
          <w:sz w:val="24"/>
          <w:szCs w:val="24"/>
          <w:lang w:val="en-US" w:eastAsia="zh-CN" w:bidi="ar-SA"/>
        </w:rPr>
      </w:pPr>
      <w:r>
        <w:rPr>
          <w:rFonts w:hint="eastAsia" w:cstheme="minorBidi"/>
          <w:sz w:val="24"/>
          <w:szCs w:val="24"/>
          <w:lang w:val="en-US" w:eastAsia="zh-CN" w:bidi="ar-SA"/>
        </w:rPr>
        <w:t>（2）案件管理员：负责对催收案件进行分配、跟踪与信息更新，整理并归档催收过程中产生的各类文件与资料。</w:t>
      </w:r>
    </w:p>
    <w:p>
      <w:pPr>
        <w:pStyle w:val="2"/>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cstheme="minorBidi"/>
          <w:sz w:val="24"/>
          <w:szCs w:val="24"/>
          <w:lang w:val="en-US" w:eastAsia="zh-CN" w:bidi="ar-SA"/>
        </w:rPr>
      </w:pPr>
      <w:r>
        <w:rPr>
          <w:rFonts w:hint="eastAsia" w:cstheme="minorBidi"/>
          <w:sz w:val="24"/>
          <w:szCs w:val="24"/>
          <w:lang w:val="en-US" w:eastAsia="zh-CN" w:bidi="ar-SA"/>
        </w:rPr>
        <w:t>（3）诉讼追偿岗：负责对符合诉讼条件的逾期案件进行辅助处理，包括但不限于诉讼材料的收集、整理、初审与递交；协助我司法律顾问或律师跟踪案件进度，更新诉讼状态；完成与司法追偿相关的数据录入与文书准备工作。</w:t>
      </w:r>
    </w:p>
    <w:p>
      <w:pPr>
        <w:pStyle w:val="2"/>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cstheme="minorBidi"/>
          <w:sz w:val="24"/>
          <w:szCs w:val="24"/>
          <w:lang w:val="en-US" w:eastAsia="zh-CN" w:bidi="ar-SA"/>
        </w:rPr>
      </w:pPr>
      <w:r>
        <w:rPr>
          <w:rFonts w:hint="eastAsia" w:cstheme="minorBidi"/>
          <w:sz w:val="24"/>
          <w:szCs w:val="24"/>
          <w:lang w:val="en-US" w:eastAsia="zh-CN" w:bidi="ar-SA"/>
        </w:rPr>
        <w:t>3.岗位胜任能力及资格要求</w:t>
      </w:r>
    </w:p>
    <w:p>
      <w:pPr>
        <w:pStyle w:val="2"/>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cstheme="minorBidi"/>
          <w:sz w:val="24"/>
          <w:szCs w:val="24"/>
          <w:lang w:val="en-US" w:eastAsia="zh-CN" w:bidi="ar-SA"/>
        </w:rPr>
      </w:pPr>
      <w:r>
        <w:rPr>
          <w:rFonts w:hint="eastAsia" w:cstheme="minorBidi"/>
          <w:sz w:val="24"/>
          <w:szCs w:val="24"/>
          <w:lang w:val="en-US" w:eastAsia="zh-CN" w:bidi="ar-SA"/>
        </w:rPr>
        <w:t>（1）具有一定的工作经验；</w:t>
      </w:r>
    </w:p>
    <w:p>
      <w:pPr>
        <w:pStyle w:val="2"/>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cstheme="minorBidi"/>
          <w:sz w:val="24"/>
          <w:szCs w:val="24"/>
          <w:lang w:val="en-US" w:eastAsia="zh-CN" w:bidi="ar-SA"/>
        </w:rPr>
      </w:pPr>
      <w:r>
        <w:rPr>
          <w:rFonts w:hint="eastAsia" w:cstheme="minorBidi"/>
          <w:sz w:val="24"/>
          <w:szCs w:val="24"/>
          <w:lang w:val="en-US" w:eastAsia="zh-CN" w:bidi="ar-SA"/>
        </w:rPr>
        <w:t>（2）具备良好的沟通能力和抗压能力；</w:t>
      </w:r>
    </w:p>
    <w:p>
      <w:pPr>
        <w:pStyle w:val="2"/>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cstheme="minorBidi"/>
          <w:sz w:val="24"/>
          <w:szCs w:val="24"/>
          <w:lang w:val="en-US" w:eastAsia="zh-CN" w:bidi="ar-SA"/>
        </w:rPr>
      </w:pPr>
      <w:r>
        <w:rPr>
          <w:rFonts w:hint="eastAsia" w:cstheme="minorBidi"/>
          <w:sz w:val="24"/>
          <w:szCs w:val="24"/>
          <w:lang w:val="en-US" w:eastAsia="zh-CN" w:bidi="ar-SA"/>
        </w:rPr>
        <w:t>（3）具备基本的法律知识，熟悉民事诉讼流程，严谨细致；</w:t>
      </w:r>
    </w:p>
    <w:p>
      <w:pPr>
        <w:pStyle w:val="2"/>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default" w:asciiTheme="minorHAnsi" w:hAnsiTheme="minorHAnsi" w:eastAsiaTheme="minorEastAsia" w:cstheme="minorBidi"/>
          <w:sz w:val="24"/>
          <w:szCs w:val="24"/>
          <w:lang w:val="en-US" w:eastAsia="zh-CN" w:bidi="ar-SA"/>
        </w:rPr>
      </w:pPr>
      <w:r>
        <w:rPr>
          <w:rFonts w:hint="eastAsia" w:cstheme="minorBidi"/>
          <w:sz w:val="24"/>
          <w:szCs w:val="24"/>
          <w:lang w:val="en-US" w:eastAsia="zh-CN" w:bidi="ar-SA"/>
        </w:rPr>
        <w:t>（4）工作人员须经过我司培训，考核合格后方可上岗；</w:t>
      </w:r>
    </w:p>
    <w:p>
      <w:pPr>
        <w:pStyle w:val="2"/>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default" w:cstheme="minorBidi"/>
          <w:sz w:val="24"/>
          <w:szCs w:val="24"/>
          <w:lang w:val="en-US" w:eastAsia="zh-CN" w:bidi="ar-SA"/>
        </w:rPr>
      </w:pPr>
      <w:r>
        <w:rPr>
          <w:rFonts w:hint="eastAsia" w:cstheme="minorBidi"/>
          <w:sz w:val="24"/>
          <w:szCs w:val="24"/>
          <w:lang w:val="en-US" w:eastAsia="zh-CN" w:bidi="ar-SA"/>
        </w:rPr>
        <w:t>（5）我司有权对供应商提供的工作人员数量、条件等进行限定，供应商为我司提供服务的人员应当符合我司的要求，如不符合，供应商应重新提供更换至我司满意为止。</w:t>
      </w:r>
    </w:p>
    <w:p/>
    <w:p>
      <w:pPr>
        <w:pStyle w:val="2"/>
      </w:pPr>
    </w:p>
    <w:p>
      <w:pPr>
        <w:pStyle w:val="3"/>
        <w:spacing w:before="0" w:after="0"/>
        <w:jc w:val="left"/>
        <w:rPr>
          <w:rFonts w:ascii="仿宋" w:hAnsi="仿宋" w:eastAsia="仿宋" w:cs="仿宋"/>
          <w:sz w:val="28"/>
          <w:szCs w:val="28"/>
        </w:rPr>
      </w:pPr>
      <w:bookmarkStart w:id="126" w:name="_Toc3675"/>
      <w:bookmarkStart w:id="127" w:name="_Toc186737812"/>
      <w:bookmarkStart w:id="128" w:name="_Toc9891"/>
      <w:r>
        <w:rPr>
          <w:rFonts w:hint="eastAsia" w:ascii="仿宋" w:hAnsi="仿宋" w:eastAsia="仿宋" w:cs="仿宋"/>
          <w:sz w:val="28"/>
          <w:szCs w:val="28"/>
        </w:rPr>
        <w:t>第六章 响应文件格式</w:t>
      </w:r>
      <w:bookmarkEnd w:id="126"/>
      <w:bookmarkEnd w:id="127"/>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1"/>
              <w:spacing w:before="156" w:after="312"/>
              <w:ind w:right="-284"/>
              <w:jc w:val="center"/>
              <w:rPr>
                <w:rFonts w:ascii="仿宋" w:hAnsi="仿宋" w:eastAsia="仿宋" w:cs="仿宋"/>
                <w:color w:val="000000"/>
                <w:sz w:val="32"/>
              </w:rPr>
            </w:pPr>
            <w:r>
              <w:rPr>
                <w:rFonts w:hint="eastAsia" w:ascii="仿宋" w:hAnsi="仿宋" w:eastAsia="仿宋" w:cs="仿宋"/>
                <w:color w:val="000000"/>
                <w:sz w:val="32"/>
              </w:rPr>
              <w:t>（项目名称）项目</w:t>
            </w:r>
          </w:p>
          <w:p>
            <w:pPr>
              <w:pStyle w:val="61"/>
              <w:ind w:right="-284" w:firstLine="2240"/>
              <w:rPr>
                <w:rFonts w:ascii="仿宋" w:hAnsi="仿宋" w:eastAsia="仿宋" w:cs="仿宋"/>
                <w:color w:val="000000"/>
                <w:sz w:val="28"/>
                <w:u w:val="single"/>
              </w:rPr>
            </w:pPr>
          </w:p>
          <w:p>
            <w:pPr>
              <w:pStyle w:val="61"/>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比选响应文件</w:t>
            </w:r>
          </w:p>
          <w:p>
            <w:pPr>
              <w:pStyle w:val="61"/>
              <w:spacing w:before="624" w:after="156" w:line="160" w:lineRule="atLeast"/>
              <w:ind w:right="-284"/>
              <w:jc w:val="center"/>
              <w:rPr>
                <w:rFonts w:ascii="仿宋" w:hAnsi="仿宋" w:eastAsia="仿宋" w:cs="仿宋"/>
                <w:color w:val="000000"/>
                <w:sz w:val="52"/>
              </w:rPr>
            </w:pPr>
          </w:p>
          <w:p>
            <w:pPr>
              <w:pStyle w:val="61"/>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（商务文件/技术文件/报价文件）</w:t>
            </w:r>
          </w:p>
          <w:p>
            <w:pPr>
              <w:pStyle w:val="61"/>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1"/>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1"/>
              <w:spacing w:after="624"/>
              <w:ind w:right="-284"/>
              <w:jc w:val="center"/>
              <w:rPr>
                <w:rFonts w:ascii="仿宋" w:hAnsi="仿宋" w:eastAsia="仿宋" w:cs="仿宋"/>
                <w:color w:val="000000"/>
                <w:sz w:val="24"/>
              </w:rPr>
            </w:pPr>
          </w:p>
          <w:p>
            <w:pPr>
              <w:pStyle w:val="61"/>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jc w:val="both"/>
        <w:rPr>
          <w:rFonts w:ascii="仿宋" w:hAnsi="仿宋" w:eastAsia="仿宋" w:cs="仿宋"/>
          <w:color w:val="000000"/>
          <w:sz w:val="24"/>
          <w:szCs w:val="24"/>
        </w:rPr>
      </w:pPr>
      <w:bookmarkStart w:id="129" w:name="_Toc3936"/>
      <w:bookmarkStart w:id="130" w:name="_Toc21280"/>
      <w:bookmarkStart w:id="131" w:name="_Toc287600131"/>
      <w:bookmarkStart w:id="132" w:name="_Toc19910"/>
      <w:bookmarkStart w:id="133" w:name="_Toc444891353"/>
      <w:bookmarkStart w:id="134" w:name="_Toc517281836"/>
      <w:bookmarkStart w:id="135" w:name="_Toc11783"/>
      <w:bookmarkStart w:id="136" w:name="_Toc25957"/>
      <w:bookmarkStart w:id="137" w:name="_Toc19783362"/>
      <w:bookmarkStart w:id="138" w:name="_Toc287600129"/>
      <w:bookmarkStart w:id="139" w:name="_Toc19783360"/>
      <w:r>
        <w:rPr>
          <w:rFonts w:ascii="仿宋" w:hAnsi="仿宋" w:eastAsia="仿宋" w:cs="仿宋"/>
          <w:color w:val="000000"/>
          <w:sz w:val="24"/>
          <w:szCs w:val="24"/>
        </w:rPr>
        <w:br w:type="page"/>
      </w:r>
      <w:bookmarkStart w:id="140" w:name="_Toc186737813"/>
      <w:bookmarkStart w:id="141" w:name="_Toc17191"/>
      <w:r>
        <w:rPr>
          <w:rFonts w:hint="eastAsia" w:ascii="仿宋" w:hAnsi="仿宋" w:eastAsia="仿宋" w:cs="仿宋"/>
          <w:color w:val="000000"/>
          <w:sz w:val="24"/>
          <w:szCs w:val="24"/>
        </w:rPr>
        <w:t>一、商务文件</w:t>
      </w:r>
      <w:bookmarkEnd w:id="129"/>
      <w:bookmarkEnd w:id="140"/>
      <w:bookmarkEnd w:id="141"/>
    </w:p>
    <w:p>
      <w:pPr>
        <w:jc w:val="center"/>
      </w:pPr>
      <w:bookmarkStart w:id="142" w:name="_Toc26744"/>
      <w:r>
        <w:rPr>
          <w:rFonts w:hint="eastAsia" w:ascii="仿宋" w:hAnsi="仿宋" w:eastAsia="仿宋" w:cs="仿宋"/>
          <w:b/>
          <w:bCs/>
        </w:rPr>
        <w:t>初步评审索引表</w:t>
      </w:r>
      <w:bookmarkEnd w:id="142"/>
    </w:p>
    <w:tbl>
      <w:tblPr>
        <w:tblStyle w:val="29"/>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0"/>
        <w:gridCol w:w="4217"/>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301"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8"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30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8"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8"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8" w:type="dxa"/>
            <w:vAlign w:val="center"/>
          </w:tcPr>
          <w:p>
            <w:pPr>
              <w:pStyle w:val="72"/>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8" w:type="dxa"/>
            <w:vAlign w:val="center"/>
          </w:tcPr>
          <w:p>
            <w:pPr>
              <w:pStyle w:val="61"/>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3301" w:type="dxa"/>
            <w:vAlign w:val="center"/>
          </w:tcPr>
          <w:p>
            <w:pPr>
              <w:spacing w:before="24" w:after="24" w:line="276" w:lineRule="auto"/>
              <w:jc w:val="center"/>
              <w:rPr>
                <w:rFonts w:ascii="仿宋" w:hAnsi="仿宋" w:eastAsia="仿宋" w:cs="仿宋"/>
                <w:color w:val="000000"/>
                <w:szCs w:val="21"/>
              </w:rPr>
            </w:pPr>
            <w:r>
              <w:rPr>
                <w:rFonts w:ascii="仿宋" w:hAnsi="仿宋" w:eastAsia="仿宋" w:cs="仿宋"/>
                <w:color w:val="000000"/>
                <w:sz w:val="22"/>
                <w:szCs w:val="21"/>
              </w:rPr>
              <w:t>在中华人民共和国境内依法登记的法人或其他组织，具有独立承担民事责任的能力</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000000"/>
                <w:szCs w:val="21"/>
              </w:rPr>
            </w:pPr>
            <w:r>
              <w:rPr>
                <w:rFonts w:ascii="仿宋" w:hAnsi="仿宋" w:eastAsia="仿宋" w:cs="仿宋"/>
                <w:color w:val="000000"/>
                <w:sz w:val="22"/>
                <w:szCs w:val="21"/>
              </w:rPr>
              <w:t>具有良好的商业信誉和健全的财务会计制度</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000000"/>
                <w:szCs w:val="21"/>
              </w:rPr>
            </w:pPr>
            <w:r>
              <w:rPr>
                <w:rFonts w:ascii="仿宋" w:hAnsi="仿宋" w:eastAsia="仿宋" w:cs="仿宋"/>
                <w:color w:val="000000"/>
                <w:sz w:val="22"/>
                <w:szCs w:val="21"/>
              </w:rPr>
              <w:t>具有依法缴纳税收和社会保障资金的良好记录</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 w:val="22"/>
                <w:szCs w:val="21"/>
              </w:rPr>
              <w:t>近三年内无违法违规记录</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未被纳入采购人及其所隶属的中国人民保险各级机构的供应商黑名单</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控股管理关系</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FF0000"/>
                <w:szCs w:val="21"/>
              </w:rPr>
            </w:pPr>
            <w:r>
              <w:rPr>
                <w:rFonts w:hint="eastAsia" w:ascii="仿宋" w:hAnsi="仿宋" w:eastAsia="仿宋" w:cs="Cambria Math"/>
                <w:color w:val="000000"/>
                <w:sz w:val="22"/>
                <w:szCs w:val="21"/>
              </w:rPr>
              <w:t>非联合体投标</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jc w:val="center"/>
              <w:rPr>
                <w:rFonts w:ascii="仿宋" w:hAnsi="仿宋" w:eastAsia="仿宋" w:cs="仿宋"/>
                <w:color w:val="FF0000"/>
                <w:szCs w:val="21"/>
              </w:rPr>
            </w:pPr>
            <w:r>
              <w:rPr>
                <w:rFonts w:ascii="仿宋" w:hAnsi="仿宋" w:eastAsia="仿宋" w:cs="仿宋"/>
                <w:color w:val="auto"/>
                <w:sz w:val="22"/>
                <w:szCs w:val="21"/>
              </w:rPr>
              <w:t>提供人力资源服务许可证</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30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8"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301"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Cambria Math"/>
                <w:color w:val="auto"/>
                <w:szCs w:val="21"/>
              </w:rPr>
              <w:t>供应商偏离应答</w:t>
            </w:r>
          </w:p>
        </w:tc>
        <w:tc>
          <w:tcPr>
            <w:tcW w:w="4218" w:type="dxa"/>
            <w:vAlign w:val="center"/>
          </w:tcPr>
          <w:p>
            <w:pPr>
              <w:spacing w:before="24" w:after="24" w:line="276" w:lineRule="auto"/>
              <w:rPr>
                <w:rFonts w:ascii="仿宋" w:hAnsi="仿宋" w:eastAsia="仿宋" w:cs="仿宋"/>
                <w:color w:val="000000"/>
                <w:szCs w:val="21"/>
              </w:rPr>
            </w:pPr>
          </w:p>
        </w:tc>
      </w:tr>
    </w:tbl>
    <w:p>
      <w:pPr>
        <w:rPr>
          <w:rFonts w:ascii="宋体" w:hAnsi="宋体"/>
          <w:szCs w:val="21"/>
        </w:rPr>
        <w:sectPr>
          <w:footerReference r:id="rId11" w:type="default"/>
          <w:pgSz w:w="11906" w:h="16838"/>
          <w:pgMar w:top="1417" w:right="1134" w:bottom="1134" w:left="1134" w:header="964" w:footer="964" w:gutter="0"/>
          <w:pgNumType w:fmt="decimal"/>
          <w:cols w:space="720" w:num="1"/>
          <w:docGrid w:linePitch="312" w:charSpace="0"/>
        </w:sectPr>
      </w:pPr>
    </w:p>
    <w:bookmarkEnd w:id="130"/>
    <w:bookmarkEnd w:id="131"/>
    <w:bookmarkEnd w:id="132"/>
    <w:bookmarkEnd w:id="133"/>
    <w:bookmarkEnd w:id="134"/>
    <w:bookmarkEnd w:id="135"/>
    <w:bookmarkEnd w:id="136"/>
    <w:bookmarkEnd w:id="137"/>
    <w:p>
      <w:pPr>
        <w:jc w:val="center"/>
        <w:rPr>
          <w:rFonts w:ascii="仿宋" w:hAnsi="仿宋" w:eastAsia="仿宋" w:cs="仿宋"/>
          <w:b/>
          <w:bCs/>
          <w:highlight w:val="none"/>
        </w:rPr>
      </w:pPr>
      <w:bookmarkStart w:id="143" w:name="_Toc25121"/>
      <w:bookmarkStart w:id="144" w:name="_Toc444891354"/>
      <w:bookmarkStart w:id="145" w:name="_Toc517281837"/>
      <w:bookmarkStart w:id="146" w:name="_Toc27799"/>
      <w:bookmarkStart w:id="147" w:name="_Toc12140"/>
      <w:bookmarkStart w:id="148" w:name="_Toc7202"/>
      <w:r>
        <w:rPr>
          <w:rFonts w:hint="eastAsia" w:ascii="仿宋" w:hAnsi="仿宋" w:eastAsia="仿宋" w:cs="仿宋"/>
          <w:b/>
          <w:bCs/>
          <w:highlight w:val="none"/>
        </w:rPr>
        <w:t>详细评审索引表</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1</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商务得分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10</w:t>
            </w:r>
            <w:r>
              <w:rPr>
                <w:rFonts w:hint="eastAsia" w:ascii="仿宋" w:hAnsi="仿宋" w:eastAsia="仿宋" w:cs="宋体"/>
                <w:color w:val="000000"/>
                <w:szCs w:val="21"/>
                <w:lang w:bidi="ar"/>
              </w:rPr>
              <w:t>分）</w:t>
            </w:r>
          </w:p>
        </w:tc>
        <w:tc>
          <w:tcPr>
            <w:tcW w:w="2268" w:type="dxa"/>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val="en-US" w:eastAsia="zh-CN" w:bidi="ar"/>
              </w:rPr>
              <w:t>企业</w:t>
            </w:r>
            <w:r>
              <w:rPr>
                <w:rFonts w:hint="eastAsia" w:ascii="仿宋" w:hAnsi="仿宋" w:eastAsia="仿宋" w:cs="宋体"/>
                <w:color w:val="000000"/>
                <w:szCs w:val="21"/>
                <w:lang w:bidi="ar"/>
              </w:rPr>
              <w:t>综合实力</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5</w:t>
            </w:r>
            <w:r>
              <w:rPr>
                <w:rFonts w:hint="eastAsia" w:ascii="仿宋" w:hAnsi="仿宋" w:eastAsia="仿宋" w:cs="宋体"/>
                <w:color w:val="000000"/>
                <w:szCs w:val="21"/>
                <w:lang w:bidi="ar"/>
              </w:rPr>
              <w:t>分）</w:t>
            </w:r>
          </w:p>
        </w:tc>
        <w:tc>
          <w:tcPr>
            <w:tcW w:w="4820" w:type="dxa"/>
            <w:tcMar>
              <w:top w:w="15" w:type="dxa"/>
              <w:left w:w="15" w:type="dxa"/>
              <w:right w:w="15" w:type="dxa"/>
            </w:tcMar>
            <w:vAlign w:val="center"/>
          </w:tcPr>
          <w:p>
            <w:pPr>
              <w:adjustRightInd w:val="0"/>
              <w:snapToGrid w:val="0"/>
              <w:rPr>
                <w:rFonts w:ascii="仿宋" w:hAnsi="仿宋" w:eastAsia="仿宋" w:cs="宋体"/>
                <w:color w:val="000000"/>
                <w:szCs w:val="21"/>
              </w:rPr>
            </w:pPr>
            <w:r>
              <w:rPr>
                <w:rFonts w:hint="eastAsia" w:ascii="仿宋" w:hAnsi="仿宋" w:eastAsia="仿宋" w:cs="宋体"/>
                <w:color w:val="000000"/>
                <w:szCs w:val="21"/>
              </w:rPr>
              <w:t>说明：XX</w:t>
            </w:r>
          </w:p>
          <w:p>
            <w:pPr>
              <w:rPr>
                <w:rStyle w:val="75"/>
                <w:rFonts w:hint="default" w:cs="宋体"/>
                <w:color w:val="000000"/>
                <w:lang w:bidi="ar"/>
              </w:rPr>
            </w:pPr>
            <w:r>
              <w:rPr>
                <w:rFonts w:hint="eastAsia" w:ascii="仿宋" w:hAnsi="仿宋" w:eastAsia="仿宋" w:cs="宋体"/>
                <w:color w:val="000000"/>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2</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lang w:bidi="ar"/>
              </w:rPr>
            </w:pPr>
          </w:p>
        </w:tc>
        <w:tc>
          <w:tcPr>
            <w:tcW w:w="2268" w:type="dxa"/>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同类业绩</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w:t>
            </w:r>
            <w:r>
              <w:rPr>
                <w:rFonts w:hint="eastAsia" w:ascii="仿宋" w:hAnsi="仿宋" w:eastAsia="仿宋" w:cs="宋体"/>
                <w:color w:val="000000"/>
                <w:szCs w:val="21"/>
                <w:lang w:val="en-US" w:eastAsia="zh-CN" w:bidi="ar"/>
              </w:rPr>
              <w:t>5</w:t>
            </w:r>
            <w:r>
              <w:rPr>
                <w:rFonts w:hint="eastAsia" w:ascii="仿宋" w:hAnsi="仿宋" w:eastAsia="仿宋" w:cs="宋体"/>
                <w:color w:val="000000"/>
                <w:szCs w:val="21"/>
                <w:lang w:bidi="ar"/>
              </w:rPr>
              <w:t>分）</w:t>
            </w:r>
          </w:p>
        </w:tc>
        <w:tc>
          <w:tcPr>
            <w:tcW w:w="4820" w:type="dxa"/>
            <w:tcMar>
              <w:top w:w="15" w:type="dxa"/>
              <w:left w:w="15" w:type="dxa"/>
              <w:right w:w="15" w:type="dxa"/>
            </w:tcMar>
            <w:vAlign w:val="center"/>
          </w:tcPr>
          <w:p>
            <w:pPr>
              <w:rPr>
                <w:rStyle w:val="75"/>
                <w:rFonts w:hint="default" w:cs="宋体"/>
                <w:color w:val="000000"/>
                <w:lang w:bidi="ar"/>
              </w:rPr>
            </w:pPr>
          </w:p>
        </w:tc>
      </w:tr>
    </w:tbl>
    <w:p>
      <w:pPr>
        <w:rPr>
          <w:rFonts w:ascii="仿宋" w:hAnsi="仿宋" w:eastAsia="仿宋" w:cs="仿宋"/>
          <w:color w:val="000000"/>
          <w:sz w:val="28"/>
          <w:szCs w:val="28"/>
        </w:rPr>
      </w:pPr>
      <w:r>
        <w:rPr>
          <w:rFonts w:hint="eastAsia" w:ascii="仿宋" w:hAnsi="仿宋" w:eastAsia="仿宋" w:cs="仿宋"/>
          <w:color w:val="000000"/>
          <w:sz w:val="28"/>
          <w:szCs w:val="28"/>
        </w:rPr>
        <w:br w:type="page"/>
      </w:r>
    </w:p>
    <w:p>
      <w:pPr>
        <w:pStyle w:val="5"/>
        <w:spacing w:before="0" w:line="440" w:lineRule="exact"/>
        <w:rPr>
          <w:rFonts w:ascii="仿宋" w:hAnsi="仿宋" w:eastAsia="仿宋" w:cs="仿宋"/>
          <w:color w:val="000000"/>
          <w:sz w:val="24"/>
          <w:szCs w:val="24"/>
        </w:rPr>
      </w:pPr>
      <w:bookmarkStart w:id="149" w:name="_Toc27958"/>
      <w:bookmarkStart w:id="150" w:name="_Toc186737814"/>
      <w:r>
        <w:rPr>
          <w:rFonts w:hint="eastAsia" w:ascii="仿宋" w:hAnsi="仿宋" w:eastAsia="仿宋" w:cs="仿宋"/>
          <w:color w:val="000000"/>
          <w:sz w:val="24"/>
          <w:szCs w:val="24"/>
        </w:rPr>
        <w:t>（一）响应函</w:t>
      </w:r>
      <w:bookmarkEnd w:id="149"/>
      <w:bookmarkEnd w:id="150"/>
    </w:p>
    <w:p>
      <w:pPr>
        <w:pStyle w:val="61"/>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 本响应函及比选响应文件自比选响应文件提交截止日起有效期为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000000"/>
        </w:rPr>
        <w:t>，我方承诺在响应有效期内不修改、撤销比选响应文件。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（2）我方承诺按照比选文件规定递交履约保证金。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（3）我方承诺按照比选文件的规定及合同约定履行相关责任和义务。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38"/>
      <w:bookmarkEnd w:id="139"/>
      <w:bookmarkEnd w:id="143"/>
      <w:bookmarkEnd w:id="144"/>
      <w:bookmarkEnd w:id="145"/>
      <w:bookmarkEnd w:id="146"/>
      <w:bookmarkEnd w:id="147"/>
      <w:bookmarkEnd w:id="148"/>
      <w:bookmarkStart w:id="151" w:name="_Toc13983"/>
      <w:bookmarkStart w:id="152" w:name="_Toc186737815"/>
      <w:r>
        <w:rPr>
          <w:rFonts w:hint="eastAsia" w:ascii="仿宋" w:hAnsi="仿宋" w:eastAsia="仿宋" w:cs="仿宋"/>
          <w:color w:val="000000"/>
          <w:sz w:val="24"/>
          <w:szCs w:val="24"/>
        </w:rPr>
        <w:t>（二）法定代表人（负责人）身份证明书</w:t>
      </w:r>
      <w:bookmarkEnd w:id="151"/>
      <w:bookmarkEnd w:id="152"/>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pStyle w:val="61"/>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3" w:name="_Toc444891355"/>
      <w:bookmarkStart w:id="154" w:name="_Toc26267"/>
      <w:bookmarkStart w:id="155" w:name="_Toc517281838"/>
      <w:bookmarkStart w:id="156" w:name="_Toc24788"/>
      <w:bookmarkStart w:id="157" w:name="_Toc20707"/>
      <w:bookmarkStart w:id="158" w:name="_Toc4426"/>
      <w:bookmarkStart w:id="159" w:name="_Toc19783361"/>
      <w:bookmarkStart w:id="160" w:name="_Toc186737816"/>
      <w:bookmarkStart w:id="161" w:name="_Toc287600130"/>
      <w:bookmarkStart w:id="162" w:name="_Toc5582"/>
      <w:r>
        <w:rPr>
          <w:rFonts w:hint="eastAsia" w:ascii="仿宋" w:hAnsi="仿宋" w:eastAsia="仿宋" w:cs="仿宋"/>
          <w:color w:val="000000"/>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1"/>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w:t>
      </w:r>
    </w:p>
    <w:p>
      <w:pPr>
        <w:pStyle w:val="61"/>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1"/>
        <w:spacing w:line="360" w:lineRule="auto"/>
        <w:ind w:firstLine="482" w:firstLineChars="200"/>
        <w:rPr>
          <w:rFonts w:ascii="仿宋" w:hAnsi="仿宋" w:eastAsia="仿宋" w:cs="Cambria Math"/>
          <w:b/>
          <w:bCs/>
          <w:color w:val="000000"/>
          <w:sz w:val="24"/>
          <w:szCs w:val="24"/>
        </w:rPr>
      </w:pPr>
    </w:p>
    <w:p>
      <w:pPr>
        <w:pStyle w:val="61"/>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1"/>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1"/>
        <w:wordWrap w:val="0"/>
        <w:spacing w:line="360" w:lineRule="auto"/>
        <w:ind w:right="105" w:firstLine="4200" w:firstLineChars="1750"/>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tabs>
          <w:tab w:val="left" w:pos="540"/>
        </w:tabs>
        <w:rPr>
          <w:rFonts w:ascii="仿宋" w:hAnsi="仿宋" w:eastAsia="仿宋" w:cs="仿宋"/>
          <w:color w:val="000000"/>
          <w:szCs w:val="21"/>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163" w:name="_Toc30551"/>
      <w:bookmarkStart w:id="164" w:name="_Toc186737817"/>
      <w:bookmarkStart w:id="165" w:name="_Toc517281841"/>
      <w:r>
        <w:rPr>
          <w:rFonts w:hint="eastAsia" w:ascii="仿宋" w:hAnsi="仿宋" w:eastAsia="仿宋" w:cs="仿宋"/>
          <w:color w:val="000000"/>
          <w:sz w:val="24"/>
          <w:szCs w:val="24"/>
        </w:rPr>
        <w:t>（四）资格证明文件</w:t>
      </w:r>
      <w:bookmarkEnd w:id="163"/>
      <w:bookmarkEnd w:id="164"/>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1"/>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rPr>
            </w:pPr>
          </w:p>
        </w:tc>
      </w:tr>
    </w:tbl>
    <w:p>
      <w:pPr>
        <w:pStyle w:val="61"/>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pStyle w:val="61"/>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
        <w:spacing w:before="0" w:after="0" w:line="360" w:lineRule="auto"/>
        <w:rPr>
          <w:rFonts w:ascii="仿宋" w:hAnsi="仿宋" w:eastAsia="仿宋" w:cs="仿宋"/>
          <w:color w:val="000000"/>
          <w:sz w:val="24"/>
          <w:szCs w:val="24"/>
        </w:rPr>
      </w:pPr>
      <w:r>
        <w:rPr>
          <w:rFonts w:hint="eastAsia" w:ascii="仿宋" w:hAnsi="仿宋" w:cs="仿宋"/>
          <w:color w:val="000000"/>
        </w:rPr>
        <w:br w:type="page"/>
      </w:r>
      <w:r>
        <w:rPr>
          <w:rFonts w:hint="eastAsia" w:ascii="仿宋" w:hAnsi="仿宋" w:eastAsia="仿宋" w:cs="仿宋"/>
          <w:color w:val="000000"/>
          <w:sz w:val="24"/>
          <w:szCs w:val="24"/>
        </w:rPr>
        <w:t>2、财务审计报告或银行资信证明</w:t>
      </w:r>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提供</w:t>
      </w:r>
      <w:r>
        <w:rPr>
          <w:rFonts w:ascii="仿宋" w:hAnsi="仿宋" w:eastAsia="仿宋" w:cs="仿宋"/>
          <w:color w:val="auto"/>
        </w:rPr>
        <w:t>20</w:t>
      </w:r>
      <w:r>
        <w:rPr>
          <w:rFonts w:hint="eastAsia" w:ascii="仿宋" w:hAnsi="仿宋" w:eastAsia="仿宋" w:cs="仿宋"/>
          <w:color w:val="auto"/>
          <w:lang w:val="en-US" w:eastAsia="zh-CN"/>
        </w:rPr>
        <w:t>25</w:t>
      </w:r>
      <w:r>
        <w:rPr>
          <w:rFonts w:hint="eastAsia" w:ascii="仿宋" w:hAnsi="仿宋" w:eastAsia="仿宋" w:cs="仿宋"/>
          <w:color w:val="auto"/>
        </w:rPr>
        <w:t>年</w:t>
      </w:r>
      <w:r>
        <w:rPr>
          <w:rFonts w:hint="eastAsia" w:ascii="仿宋" w:hAnsi="仿宋" w:eastAsia="仿宋" w:cs="仿宋"/>
          <w:color w:val="000000"/>
        </w:rPr>
        <w:t>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rPr>
        <w:t>响应文件递交截止日前</w:t>
      </w:r>
      <w:r>
        <w:rPr>
          <w:rFonts w:ascii="仿宋" w:hAnsi="仿宋" w:eastAsia="仿宋" w:cs="仿宋"/>
          <w:color w:val="000000"/>
        </w:rPr>
        <w:t>6</w:t>
      </w:r>
      <w:r>
        <w:rPr>
          <w:rFonts w:hint="eastAsia" w:ascii="仿宋" w:hAnsi="仿宋" w:eastAsia="仿宋" w:cs="仿宋"/>
          <w:color w:val="000000"/>
        </w:rPr>
        <w:t>个月内开具的银行资信证明。</w:t>
      </w:r>
    </w:p>
    <w:p>
      <w:pPr>
        <w:pStyle w:val="2"/>
        <w:spacing w:before="240"/>
        <w:rPr>
          <w:rFonts w:ascii="仿宋" w:hAnsi="仿宋" w:eastAsia="仿宋" w:cs="Cambria Math"/>
          <w:b/>
          <w:bCs/>
          <w:color w:val="000000"/>
        </w:rPr>
      </w:pPr>
      <w:r>
        <w:rPr>
          <w:rFonts w:ascii="仿宋" w:hAnsi="仿宋" w:eastAsia="仿宋" w:cs="Cambria Math"/>
          <w:b/>
          <w:bCs/>
          <w:color w:val="000000"/>
        </w:rPr>
        <w:t>或提供</w:t>
      </w:r>
    </w:p>
    <w:p>
      <w:pPr>
        <w:pStyle w:val="2"/>
        <w:spacing w:before="240"/>
        <w:rPr>
          <w:rFonts w:ascii="仿宋" w:hAnsi="仿宋" w:eastAsia="仿宋" w:cs="Cambria Math"/>
          <w:b/>
          <w:bCs/>
          <w:color w:val="000000"/>
        </w:rPr>
      </w:pPr>
      <w:r>
        <w:rPr>
          <w:rFonts w:hint="eastAsia" w:ascii="仿宋" w:hAnsi="仿宋" w:eastAsia="仿宋" w:cs="Cambria Math"/>
          <w:b/>
          <w:bCs/>
          <w:color w:val="000000"/>
        </w:rPr>
        <w:t>《具有良好的商业信誉和健全的财务会计制度承诺书》</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承诺符合</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资格条件中要求的具有良好的商业信誉和健全的财务会计制度比选响应资格，并对上述承诺真实性负责。</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2"/>
      </w:pPr>
    </w:p>
    <w:p>
      <w:pPr>
        <w:spacing w:line="360" w:lineRule="auto"/>
        <w:ind w:firstLine="480" w:firstLineChars="200"/>
        <w:textAlignment w:val="baseline"/>
        <w:rPr>
          <w:rFonts w:ascii="仿宋" w:hAnsi="仿宋" w:eastAsia="仿宋" w:cs="仿宋"/>
          <w:color w:val="000000"/>
        </w:rPr>
      </w:pPr>
      <w:r>
        <w:rPr>
          <w:rFonts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3、税收和社保证明材料</w:t>
      </w:r>
    </w:p>
    <w:p>
      <w:pPr>
        <w:spacing w:line="360" w:lineRule="auto"/>
        <w:textAlignment w:val="baseline"/>
        <w:rPr>
          <w:rFonts w:ascii="仿宋" w:hAnsi="仿宋" w:eastAsia="仿宋" w:cs="宋体"/>
          <w:color w:val="000000"/>
        </w:rPr>
      </w:pPr>
      <w:r>
        <w:rPr>
          <w:rFonts w:hint="eastAsia" w:ascii="仿宋" w:hAnsi="仿宋" w:eastAsia="仿宋" w:cs="宋体"/>
          <w:color w:val="000000"/>
        </w:rPr>
        <w:t>提供6个月任意一个月的企业税收和社会保障资金缴纳凭证。</w:t>
      </w:r>
    </w:p>
    <w:p>
      <w:pPr>
        <w:pStyle w:val="2"/>
      </w:pP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7"/>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8"/>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ind w:firstLine="240" w:firstLineChars="100"/>
        <w:rPr>
          <w:rFonts w:ascii="仿宋" w:hAnsi="仿宋" w:eastAsia="仿宋" w:cs="仿宋"/>
          <w:color w:val="000000"/>
        </w:rPr>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9"/>
                    <a:stretch>
                      <a:fillRect/>
                    </a:stretch>
                  </pic:blipFill>
                  <pic:spPr>
                    <a:xfrm>
                      <a:off x="0" y="0"/>
                      <a:ext cx="6117590" cy="3169285"/>
                    </a:xfrm>
                    <a:prstGeom prst="rect">
                      <a:avLst/>
                    </a:prstGeom>
                  </pic:spPr>
                </pic:pic>
              </a:graphicData>
            </a:graphic>
          </wp:inline>
        </w:drawing>
      </w:r>
      <w:r>
        <w:rPr>
          <w:rFonts w:ascii="仿宋" w:hAnsi="仿宋" w:eastAsia="仿宋" w:cs="仿宋"/>
          <w:color w:val="000000"/>
        </w:rPr>
        <w:br w:type="page"/>
      </w:r>
      <w:r>
        <w:rPr>
          <w:rFonts w:hint="eastAsia" w:ascii="仿宋" w:hAnsi="仿宋" w:eastAsia="仿宋" w:cs="仿宋"/>
          <w:color w:val="000000"/>
          <w:lang w:val="en-US" w:eastAsia="zh-CN"/>
        </w:rPr>
        <w:t>5</w:t>
      </w:r>
      <w:r>
        <w:rPr>
          <w:rFonts w:hint="eastAsia" w:ascii="仿宋" w:hAnsi="仿宋" w:eastAsia="仿宋" w:cs="仿宋"/>
          <w:color w:val="000000"/>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6"/>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166" w:name="_Hlk69983040"/>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706" w:leftChars="-2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（项目名称）的比选，根据法律法规维护投标公正性的相关规定，我方与采购人之间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78"/>
        <w:adjustRightInd w:val="0"/>
        <w:snapToGrid w:val="0"/>
        <w:spacing w:line="360" w:lineRule="auto"/>
        <w:jc w:val="left"/>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left="480" w:hanging="480" w:hangingChars="200"/>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rPr>
          <w:rFonts w:ascii="仿宋" w:hAnsi="仿宋" w:eastAsia="仿宋" w:cs="仿宋"/>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r>
        <w:rPr>
          <w:rFonts w:hint="eastAsia" w:ascii="仿宋" w:hAnsi="仿宋" w:eastAsia="仿宋" w:cs="仿宋"/>
          <w:color w:val="000000"/>
        </w:rPr>
        <w:br w:type="page"/>
      </w:r>
      <w:r>
        <w:rPr>
          <w:rFonts w:hint="eastAsia" w:ascii="仿宋" w:hAnsi="仿宋" w:eastAsia="仿宋" w:cs="仿宋"/>
          <w:color w:val="000000"/>
          <w:lang w:val="en-US" w:eastAsia="zh-CN"/>
        </w:rPr>
        <w:t>7</w:t>
      </w:r>
      <w:r>
        <w:rPr>
          <w:rFonts w:hint="eastAsia" w:ascii="仿宋" w:hAnsi="仿宋" w:eastAsia="仿宋" w:cs="仿宋"/>
          <w:color w:val="000000"/>
        </w:rPr>
        <w:t>、非联合体比选响应声明</w:t>
      </w:r>
    </w:p>
    <w:bookmarkEnd w:id="165"/>
    <w:bookmarkEnd w:id="166"/>
    <w:p>
      <w:pPr>
        <w:pStyle w:val="2"/>
        <w:spacing w:before="240"/>
        <w:rPr>
          <w:rFonts w:ascii="仿宋" w:hAnsi="仿宋" w:eastAsia="仿宋" w:cs="Cambria Math"/>
          <w:b/>
          <w:bCs/>
          <w:color w:val="000000"/>
        </w:rPr>
      </w:pPr>
      <w:bookmarkStart w:id="167" w:name="_Toc71192048"/>
      <w:r>
        <w:rPr>
          <w:rFonts w:hint="eastAsia" w:ascii="仿宋" w:hAnsi="仿宋" w:eastAsia="仿宋" w:cs="Cambria Math"/>
          <w:b/>
          <w:bCs/>
          <w:color w:val="000000"/>
        </w:rPr>
        <w:t>非联合体比选响应声明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比选响应，非联合体参与比选响应。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pStyle w:val="76"/>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168" w:name="_Toc18208"/>
      <w:bookmarkStart w:id="169" w:name="_Toc112068411"/>
      <w:bookmarkStart w:id="170" w:name="_Toc144139212"/>
      <w:bookmarkStart w:id="171" w:name="_Toc15130"/>
      <w:bookmarkStart w:id="172" w:name="_Toc186737818"/>
      <w:bookmarkStart w:id="173" w:name="_Toc65683009"/>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注：所有偏离须在本表中列出，未在本偏离表中列出偏离，将视为供应商已完全接受比选文件要求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rPr>
          <w:rFonts w:ascii="仿宋" w:hAnsi="仿宋" w:eastAsia="仿宋" w:cs="仿宋"/>
          <w:b/>
          <w:bCs/>
          <w:color w:val="000000"/>
        </w:rPr>
      </w:pPr>
      <w:r>
        <w:rPr>
          <w:rFonts w:hint="eastAsia" w:ascii="仿宋" w:hAnsi="仿宋" w:eastAsia="仿宋" w:cs="仿宋"/>
          <w:b/>
          <w:bCs/>
          <w:color w:val="000000"/>
        </w:rPr>
        <w:t>（六）合同条款应答偏</w:t>
      </w:r>
      <w:r>
        <w:rPr>
          <w:rFonts w:ascii="仿宋" w:hAnsi="仿宋" w:eastAsia="仿宋" w:cs="仿宋"/>
          <w:b/>
          <w:bCs/>
          <w:color w:val="000000"/>
        </w:rPr>
        <w:t>离表</w:t>
      </w:r>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注：所有偏离必须在本表中列出，未在本偏离表中列出偏离，将视为供应商已完全接受比选文件要求；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174" w:name="_Toc186737819"/>
      <w:bookmarkStart w:id="175" w:name="_Toc17890"/>
      <w:r>
        <w:rPr>
          <w:rFonts w:hint="eastAsia" w:ascii="仿宋" w:hAnsi="仿宋" w:eastAsia="仿宋" w:cs="仿宋"/>
          <w:color w:val="000000"/>
          <w:sz w:val="24"/>
          <w:szCs w:val="24"/>
        </w:rPr>
        <w:t>（七）供应商行为准则承诺书</w:t>
      </w:r>
      <w:bookmarkEnd w:id="174"/>
      <w:bookmarkEnd w:id="175"/>
    </w:p>
    <w:p>
      <w:pPr>
        <w:jc w:val="center"/>
        <w:rPr>
          <w:rFonts w:ascii="仿宋" w:hAnsi="仿宋" w:eastAsia="仿宋" w:cs="宋体"/>
          <w:b/>
          <w:bCs/>
          <w:color w:val="000000"/>
          <w:sz w:val="28"/>
          <w:szCs w:val="28"/>
        </w:rPr>
      </w:pPr>
      <w:bookmarkStart w:id="176"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7"/>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7" w:name="_Toc186737820"/>
      <w:bookmarkStart w:id="178" w:name="_Toc8068"/>
      <w:r>
        <w:rPr>
          <w:rFonts w:hint="eastAsia" w:ascii="仿宋" w:hAnsi="仿宋" w:eastAsia="仿宋" w:cs="宋体"/>
          <w:bCs w:val="0"/>
          <w:color w:val="000000"/>
          <w:sz w:val="24"/>
          <w:szCs w:val="24"/>
        </w:rPr>
        <w:t>（八）供应商廉洁诚信承诺书</w:t>
      </w:r>
      <w:bookmarkEnd w:id="176"/>
      <w:bookmarkEnd w:id="177"/>
      <w:bookmarkEnd w:id="178"/>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5"/>
        <w:spacing w:before="0" w:after="0" w:line="360" w:lineRule="auto"/>
        <w:rPr>
          <w:rFonts w:ascii="仿宋" w:hAnsi="仿宋" w:cs="宋体"/>
          <w:color w:val="000000"/>
          <w:szCs w:val="24"/>
        </w:rPr>
      </w:pPr>
      <w:bookmarkStart w:id="179" w:name="_Toc186737821"/>
      <w:r>
        <w:rPr>
          <w:rFonts w:hint="eastAsia" w:ascii="仿宋" w:hAnsi="仿宋" w:eastAsia="仿宋" w:cs="宋体"/>
          <w:bCs w:val="0"/>
          <w:color w:val="000000"/>
          <w:sz w:val="24"/>
          <w:szCs w:val="24"/>
        </w:rPr>
        <w:t>（九）信息安全采购要求承诺函</w:t>
      </w:r>
      <w:bookmarkEnd w:id="179"/>
    </w:p>
    <w:p>
      <w:pPr>
        <w:jc w:val="center"/>
        <w:rPr>
          <w:b/>
        </w:rPr>
      </w:pPr>
    </w:p>
    <w:p>
      <w:pPr>
        <w:jc w:val="center"/>
        <w:rPr>
          <w:b/>
        </w:rPr>
      </w:pPr>
      <w:r>
        <w:rPr>
          <w:rFonts w:hint="eastAsia"/>
          <w:b/>
        </w:rPr>
        <w:t>信息安全采购要求承诺函</w:t>
      </w:r>
    </w:p>
    <w:p/>
    <w:p>
      <w:pPr>
        <w:adjustRightInd w:val="0"/>
        <w:snapToGrid w:val="0"/>
        <w:spacing w:line="360" w:lineRule="auto"/>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致：中国人民财产保险股份有限公司</w:t>
      </w:r>
      <w:r>
        <w:rPr>
          <w:rFonts w:hint="eastAsia" w:ascii="仿宋_GB2312" w:hAnsi="宋体" w:eastAsia="仿宋_GB2312"/>
          <w:color w:val="000000" w:themeColor="text1"/>
          <w:lang w:val="en-US" w:eastAsia="zh-CN"/>
          <w14:textFill>
            <w14:solidFill>
              <w14:schemeClr w14:val="tx1"/>
            </w14:solidFill>
          </w14:textFill>
        </w:rPr>
        <w:t>乐山市</w:t>
      </w:r>
      <w:r>
        <w:rPr>
          <w:rFonts w:ascii="仿宋_GB2312" w:hAnsi="宋体" w:eastAsia="仿宋_GB2312"/>
          <w:color w:val="000000" w:themeColor="text1"/>
          <w14:textFill>
            <w14:solidFill>
              <w14:schemeClr w14:val="tx1"/>
            </w14:solidFill>
          </w14:textFill>
        </w:rPr>
        <w:t>分公司</w:t>
      </w:r>
      <w:r>
        <w:rPr>
          <w:rFonts w:hint="eastAsia" w:ascii="仿宋_GB2312" w:hAnsi="宋体" w:eastAsia="仿宋_GB2312"/>
          <w:color w:val="000000" w:themeColor="text1"/>
          <w14:textFill>
            <w14:solidFill>
              <w14:schemeClr w14:val="tx1"/>
            </w14:solidFill>
          </w14:textFill>
        </w:rPr>
        <w:t>（）</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2.根据实际情况，投标人在A\B两项之间择一承诺</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A投标人向招标人提供的产品或服务，不需要任何外国实体提供技术支持。</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3.根据实际情况，投标人在A\B两项之间择一承诺</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rPr>
          <w:rFonts w:ascii="仿宋_GB2312" w:hAnsi="宋体" w:eastAsia="仿宋_GB2312"/>
          <w:color w:val="000000" w:themeColor="text1"/>
          <w14:textFill>
            <w14:solidFill>
              <w14:schemeClr w14:val="tx1"/>
            </w14:solidFill>
          </w14:textFill>
        </w:rPr>
      </w:pPr>
    </w:p>
    <w:p>
      <w:pPr>
        <w:spacing w:line="360" w:lineRule="auto"/>
        <w:rPr>
          <w:rFonts w:ascii="仿宋_GB2312" w:hAnsi="宋体" w:eastAsia="仿宋_GB2312"/>
          <w:color w:val="000000" w:themeColor="text1"/>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投标人授权代表(签字):</w:t>
      </w:r>
      <w:r>
        <w:rPr>
          <w:rFonts w:hint="eastAsia" w:ascii="仿宋_GB2312" w:hAnsi="宋体" w:eastAsia="仿宋_GB2312"/>
          <w:color w:val="000000" w:themeColor="text1"/>
          <w14:textFill>
            <w14:solidFill>
              <w14:schemeClr w14:val="tx1"/>
            </w14:solidFill>
          </w14:textFill>
        </w:rPr>
        <w:tab/>
      </w:r>
    </w:p>
    <w:p>
      <w:pPr>
        <w:spacing w:line="360" w:lineRule="auto"/>
        <w:rPr>
          <w:rFonts w:ascii="仿宋" w:hAnsi="仿宋" w:eastAsia="仿宋" w:cs="仿宋"/>
          <w:color w:val="000000"/>
        </w:rPr>
      </w:pPr>
      <w:r>
        <w:rPr>
          <w:rFonts w:hint="eastAsia" w:ascii="仿宋_GB2312" w:hAnsi="宋体" w:eastAsia="仿宋_GB2312"/>
          <w:color w:val="000000" w:themeColor="text1"/>
          <w14:textFill>
            <w14:solidFill>
              <w14:schemeClr w14:val="tx1"/>
            </w14:solidFill>
          </w14:textFill>
        </w:rPr>
        <w:t>日期：</w:t>
      </w: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spacing w:line="360" w:lineRule="auto"/>
        <w:ind w:firstLine="4790" w:firstLineChars="1491"/>
        <w:rPr>
          <w:rStyle w:val="58"/>
          <w:rFonts w:ascii="仿宋" w:hAnsi="仿宋" w:eastAsia="仿宋" w:cs="仿宋"/>
        </w:rPr>
      </w:pPr>
    </w:p>
    <w:p>
      <w:pPr>
        <w:pStyle w:val="5"/>
        <w:spacing w:before="0" w:after="0" w:line="360" w:lineRule="auto"/>
        <w:rPr>
          <w:rFonts w:ascii="仿宋" w:hAnsi="仿宋" w:eastAsia="仿宋" w:cs="宋体"/>
          <w:bCs w:val="0"/>
          <w:color w:val="000000"/>
          <w:sz w:val="21"/>
          <w:szCs w:val="24"/>
        </w:rPr>
      </w:pPr>
      <w:bookmarkStart w:id="180" w:name="_Toc186737822"/>
      <w:r>
        <w:rPr>
          <w:rFonts w:hint="eastAsia" w:ascii="仿宋" w:hAnsi="仿宋" w:eastAsia="仿宋" w:cs="宋体"/>
          <w:color w:val="000000"/>
          <w:sz w:val="24"/>
        </w:rPr>
        <w:t>（十）其他材料</w:t>
      </w:r>
      <w:bookmarkEnd w:id="180"/>
    </w:p>
    <w:p>
      <w:pPr>
        <w:spacing w:line="360" w:lineRule="auto"/>
        <w:rPr>
          <w:rFonts w:ascii="宋体" w:hAnsi="宋体"/>
          <w:szCs w:val="21"/>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67"/>
    <w:p>
      <w:pPr>
        <w:pStyle w:val="4"/>
        <w:jc w:val="both"/>
        <w:rPr>
          <w:rFonts w:ascii="仿宋" w:hAnsi="仿宋" w:eastAsia="仿宋" w:cs="仿宋"/>
          <w:color w:val="000000"/>
          <w:sz w:val="24"/>
          <w:szCs w:val="24"/>
          <w:highlight w:val="none"/>
        </w:rPr>
      </w:pPr>
      <w:bookmarkStart w:id="181" w:name="_Toc186737823"/>
      <w:bookmarkStart w:id="182" w:name="_Toc28698"/>
      <w:r>
        <w:rPr>
          <w:rFonts w:hint="eastAsia" w:ascii="仿宋" w:hAnsi="仿宋" w:eastAsia="仿宋" w:cs="仿宋"/>
          <w:color w:val="000000"/>
          <w:sz w:val="24"/>
          <w:szCs w:val="24"/>
        </w:rPr>
        <w:t>二、技术文件</w:t>
      </w:r>
      <w:bookmarkEnd w:id="181"/>
      <w:bookmarkEnd w:id="182"/>
    </w:p>
    <w:p>
      <w:pPr>
        <w:jc w:val="center"/>
        <w:rPr>
          <w:rFonts w:ascii="仿宋" w:hAnsi="仿宋" w:eastAsia="仿宋" w:cs="仿宋"/>
          <w:b/>
          <w:bCs/>
          <w:highlight w:val="none"/>
        </w:rPr>
      </w:pPr>
      <w:bookmarkStart w:id="183" w:name="_Toc30870"/>
      <w:bookmarkStart w:id="184" w:name="_Toc23108"/>
      <w:r>
        <w:rPr>
          <w:rFonts w:hint="eastAsia" w:ascii="仿宋" w:hAnsi="仿宋" w:eastAsia="仿宋" w:cs="仿宋"/>
          <w:b/>
          <w:bCs/>
          <w:highlight w:val="none"/>
        </w:rPr>
        <w:t>详细评审索引表</w:t>
      </w:r>
      <w:bookmarkEnd w:id="183"/>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000000"/>
                <w:szCs w:val="21"/>
              </w:rPr>
            </w:pPr>
            <w:r>
              <w:rPr>
                <w:rFonts w:hint="eastAsia" w:ascii="仿宋" w:hAnsi="仿宋" w:eastAsia="仿宋" w:cs="宋体"/>
                <w:b/>
                <w:color w:val="000000"/>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000000"/>
                <w:szCs w:val="21"/>
                <w:lang w:bidi="ar"/>
              </w:rPr>
            </w:pPr>
            <w:r>
              <w:rPr>
                <w:rFonts w:hint="eastAsia" w:ascii="仿宋" w:hAnsi="仿宋" w:eastAsia="仿宋" w:cs="宋体"/>
                <w:b/>
                <w:bCs/>
                <w:color w:val="000000"/>
                <w:szCs w:val="21"/>
              </w:rPr>
              <w:t>评审项</w:t>
            </w:r>
          </w:p>
        </w:tc>
        <w:tc>
          <w:tcPr>
            <w:tcW w:w="2268" w:type="dxa"/>
          </w:tcPr>
          <w:p>
            <w:pPr>
              <w:jc w:val="center"/>
              <w:rPr>
                <w:rFonts w:ascii="仿宋" w:hAnsi="仿宋" w:eastAsia="仿宋" w:cs="宋体"/>
                <w:b/>
                <w:color w:val="000000"/>
                <w:szCs w:val="21"/>
              </w:rPr>
            </w:pPr>
            <w:r>
              <w:rPr>
                <w:rFonts w:hint="eastAsia" w:ascii="仿宋" w:hAnsi="仿宋" w:eastAsia="仿宋" w:cs="宋体"/>
                <w:b/>
                <w:color w:val="000000"/>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000000"/>
                <w:szCs w:val="21"/>
              </w:rPr>
            </w:pPr>
            <w:r>
              <w:rPr>
                <w:rFonts w:hint="eastAsia" w:ascii="仿宋" w:hAnsi="仿宋" w:eastAsia="仿宋" w:cs="宋体"/>
                <w:b/>
                <w:color w:val="000000"/>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3</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lang w:val="en-US" w:eastAsia="zh-CN"/>
              </w:rPr>
              <w:t>技术/服务</w:t>
            </w:r>
            <w:r>
              <w:rPr>
                <w:rFonts w:hint="eastAsia" w:ascii="仿宋" w:hAnsi="仿宋" w:eastAsia="仿宋" w:cs="宋体"/>
                <w:color w:val="000000"/>
                <w:szCs w:val="21"/>
              </w:rPr>
              <w:t>得分</w:t>
            </w:r>
          </w:p>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rPr>
              <w:t>（</w:t>
            </w:r>
            <w:r>
              <w:rPr>
                <w:rFonts w:hint="eastAsia" w:ascii="仿宋" w:hAnsi="仿宋" w:eastAsia="仿宋" w:cs="宋体"/>
                <w:color w:val="000000"/>
                <w:szCs w:val="21"/>
                <w:lang w:val="en-US" w:eastAsia="zh-CN"/>
              </w:rPr>
              <w:t>40</w:t>
            </w:r>
            <w:r>
              <w:rPr>
                <w:rFonts w:hint="eastAsia" w:ascii="仿宋" w:hAnsi="仿宋" w:eastAsia="仿宋" w:cs="宋体"/>
                <w:color w:val="000000"/>
                <w:szCs w:val="21"/>
              </w:rPr>
              <w:t>分）</w:t>
            </w:r>
          </w:p>
        </w:tc>
        <w:tc>
          <w:tcPr>
            <w:tcW w:w="2268" w:type="dxa"/>
            <w:vAlign w:val="center"/>
          </w:tcPr>
          <w:p>
            <w:pPr>
              <w:jc w:val="center"/>
              <w:rPr>
                <w:rFonts w:ascii="仿宋" w:hAnsi="仿宋" w:eastAsia="仿宋" w:cs="宋体"/>
                <w:color w:val="000000"/>
                <w:szCs w:val="21"/>
              </w:rPr>
            </w:pPr>
            <w:r>
              <w:rPr>
                <w:rFonts w:hint="eastAsia" w:ascii="仿宋" w:hAnsi="仿宋" w:eastAsia="仿宋" w:cs="宋体"/>
                <w:color w:val="000000"/>
                <w:szCs w:val="21"/>
              </w:rPr>
              <w:t>项目团队人员配备</w:t>
            </w: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4</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rPr>
              <w:t>项目团队人员管理方案</w:t>
            </w: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5</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rPr>
              <w:t>应急处理预案和服务承诺</w:t>
            </w:r>
          </w:p>
        </w:tc>
        <w:tc>
          <w:tcPr>
            <w:tcW w:w="4820" w:type="dxa"/>
            <w:tcMar>
              <w:top w:w="15" w:type="dxa"/>
              <w:left w:w="15" w:type="dxa"/>
              <w:right w:w="15" w:type="dxa"/>
            </w:tcMar>
            <w:vAlign w:val="center"/>
          </w:tcPr>
          <w:p>
            <w:pPr>
              <w:rPr>
                <w:rStyle w:val="75"/>
                <w:rFonts w:hint="default" w:cs="宋体"/>
                <w:color w:val="000000"/>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000000"/>
                <w:szCs w:val="21"/>
                <w:lang w:bidi="ar"/>
              </w:rPr>
            </w:pPr>
            <w:r>
              <w:rPr>
                <w:rFonts w:hint="eastAsia" w:ascii="仿宋" w:hAnsi="仿宋" w:eastAsia="仿宋" w:cs="宋体"/>
                <w:color w:val="000000"/>
                <w:szCs w:val="21"/>
                <w:lang w:bidi="ar"/>
              </w:rPr>
              <w:t>6</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000000"/>
                <w:szCs w:val="21"/>
              </w:rPr>
            </w:pPr>
          </w:p>
        </w:tc>
        <w:tc>
          <w:tcPr>
            <w:tcW w:w="2268" w:type="dxa"/>
            <w:vAlign w:val="center"/>
          </w:tcPr>
          <w:p>
            <w:pPr>
              <w:jc w:val="center"/>
              <w:textAlignment w:val="center"/>
              <w:rPr>
                <w:rFonts w:ascii="仿宋" w:hAnsi="仿宋" w:eastAsia="仿宋" w:cs="宋体"/>
                <w:color w:val="000000"/>
                <w:szCs w:val="21"/>
              </w:rPr>
            </w:pPr>
            <w:r>
              <w:rPr>
                <w:rFonts w:hint="eastAsia" w:ascii="仿宋" w:hAnsi="仿宋" w:eastAsia="仿宋" w:cs="宋体"/>
                <w:color w:val="000000"/>
                <w:szCs w:val="21"/>
              </w:rPr>
              <w:t>服务流程及内容</w:t>
            </w:r>
          </w:p>
        </w:tc>
        <w:tc>
          <w:tcPr>
            <w:tcW w:w="4820" w:type="dxa"/>
            <w:tcMar>
              <w:top w:w="15" w:type="dxa"/>
              <w:left w:w="15" w:type="dxa"/>
              <w:right w:w="15" w:type="dxa"/>
            </w:tcMar>
            <w:vAlign w:val="center"/>
          </w:tcPr>
          <w:p>
            <w:pPr>
              <w:rPr>
                <w:rStyle w:val="75"/>
                <w:rFonts w:hint="default" w:cs="宋体"/>
                <w:color w:val="000000"/>
                <w:lang w:bidi="ar"/>
              </w:rPr>
            </w:pPr>
          </w:p>
        </w:tc>
      </w:tr>
    </w:tbl>
    <w:p>
      <w:pPr>
        <w:rPr>
          <w:rFonts w:ascii="仿宋" w:hAnsi="仿宋" w:eastAsia="仿宋" w:cs="仿宋"/>
          <w:color w:val="000000"/>
        </w:rPr>
      </w:pPr>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185" w:name="_Toc186737824"/>
      <w:bookmarkStart w:id="186" w:name="_Toc17302"/>
      <w:r>
        <w:rPr>
          <w:rFonts w:hint="eastAsia" w:ascii="仿宋" w:hAnsi="仿宋" w:eastAsia="仿宋" w:cs="仿宋"/>
          <w:color w:val="000000"/>
          <w:sz w:val="24"/>
          <w:szCs w:val="24"/>
        </w:rPr>
        <w:t>（一）采购需求应答偏离表</w:t>
      </w:r>
      <w:bookmarkEnd w:id="184"/>
      <w:bookmarkEnd w:id="185"/>
      <w:bookmarkEnd w:id="186"/>
    </w:p>
    <w:p>
      <w:pPr>
        <w:spacing w:line="360" w:lineRule="auto"/>
        <w:jc w:val="center"/>
        <w:rPr>
          <w:rFonts w:ascii="仿宋" w:hAnsi="仿宋" w:eastAsia="仿宋" w:cs="仿宋"/>
          <w:b/>
          <w:bCs/>
          <w:color w:val="000000"/>
        </w:rPr>
      </w:pPr>
      <w:bookmarkStart w:id="187" w:name="_Toc125771198"/>
      <w:bookmarkStart w:id="188" w:name="_Toc125561188"/>
      <w:bookmarkStart w:id="189" w:name="_Toc293297544"/>
      <w:r>
        <w:rPr>
          <w:rFonts w:hint="eastAsia" w:ascii="仿宋" w:hAnsi="仿宋" w:eastAsia="仿宋" w:cs="仿宋"/>
          <w:b/>
          <w:bCs/>
          <w:color w:val="000000"/>
        </w:rPr>
        <w:t>采购需求应答偏离表</w:t>
      </w:r>
      <w:bookmarkEnd w:id="187"/>
      <w:bookmarkEnd w:id="188"/>
      <w:bookmarkEnd w:id="189"/>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rPr>
      </w:pPr>
      <w:r>
        <w:rPr>
          <w:rFonts w:hint="eastAsia" w:ascii="仿宋" w:hAnsi="仿宋" w:eastAsia="仿宋" w:cs="仿宋"/>
          <w:color w:val="000000"/>
        </w:rPr>
        <w:t>注：</w:t>
      </w:r>
      <w:r>
        <w:rPr>
          <w:rFonts w:hint="eastAsia" w:ascii="仿宋" w:hAnsi="仿宋" w:eastAsia="仿宋" w:cs="Cambria Math"/>
          <w:color w:val="000000"/>
        </w:rPr>
        <w:t>对于未列出的偏离内容视同供应商已完全接受比选文件的要求，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360" w:lineRule="auto"/>
        <w:ind w:left="480" w:hanging="480" w:hangingChars="200"/>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90" w:name="_Toc186737825"/>
      <w:bookmarkStart w:id="191" w:name="_Toc8284"/>
      <w:r>
        <w:rPr>
          <w:rFonts w:hint="eastAsia" w:ascii="仿宋" w:hAnsi="仿宋" w:eastAsia="仿宋" w:cs="仿宋"/>
          <w:color w:val="000000"/>
          <w:sz w:val="24"/>
          <w:szCs w:val="24"/>
        </w:rPr>
        <w:t>（二）技术方案</w:t>
      </w:r>
      <w:bookmarkEnd w:id="190"/>
      <w:bookmarkEnd w:id="191"/>
    </w:p>
    <w:p>
      <w:pPr>
        <w:spacing w:line="360" w:lineRule="auto"/>
        <w:ind w:firstLine="480" w:firstLineChars="200"/>
        <w:rPr>
          <w:rFonts w:ascii="仿宋" w:hAnsi="仿宋" w:eastAsia="仿宋" w:cs="仿宋"/>
          <w:color w:val="000000"/>
        </w:rPr>
      </w:pPr>
      <w:r>
        <w:rPr>
          <w:rFonts w:hint="eastAsia" w:ascii="仿宋" w:hAnsi="仿宋" w:eastAsia="仿宋" w:cs="仿宋"/>
          <w:color w:val="000000" w:themeColor="text1"/>
          <w14:textFill>
            <w14:solidFill>
              <w14:schemeClr w14:val="tx1"/>
            </w14:solidFill>
          </w14:textFill>
        </w:rPr>
        <w:t>供应商须按</w:t>
      </w:r>
      <w:r>
        <w:rPr>
          <w:rFonts w:hint="eastAsia" w:ascii="仿宋" w:hAnsi="仿宋" w:eastAsia="仿宋" w:cs="仿宋"/>
          <w:color w:val="000000" w:themeColor="text1"/>
          <w:lang w:val="en-US" w:eastAsia="zh-CN"/>
          <w14:textFill>
            <w14:solidFill>
              <w14:schemeClr w14:val="tx1"/>
            </w14:solidFill>
          </w14:textFill>
        </w:rPr>
        <w:t>采购</w:t>
      </w:r>
      <w:r>
        <w:rPr>
          <w:rFonts w:hint="eastAsia" w:ascii="仿宋" w:hAnsi="仿宋" w:eastAsia="仿宋" w:cs="仿宋"/>
          <w:color w:val="000000" w:themeColor="text1"/>
          <w14:textFill>
            <w14:solidFill>
              <w14:schemeClr w14:val="tx1"/>
            </w14:solidFill>
          </w14:textFill>
        </w:rPr>
        <w:t>要求提供内容详实、要素完备的技术方案，方案应包含且不限于以下核心内容：服务内容响应方案、人员配置方案</w:t>
      </w:r>
      <w:r>
        <w:rPr>
          <w:rFonts w:hint="eastAsia" w:ascii="仿宋" w:hAnsi="仿宋" w:eastAsia="仿宋" w:cs="仿宋"/>
          <w:color w:val="000000" w:themeColor="text1"/>
          <w:lang w:eastAsia="zh-CN"/>
          <w14:textFill>
            <w14:solidFill>
              <w14:schemeClr w14:val="tx1"/>
            </w14:solidFill>
          </w14:textFill>
        </w:rPr>
        <w:t>、</w:t>
      </w:r>
      <w:r>
        <w:rPr>
          <w:rFonts w:hint="eastAsia" w:ascii="仿宋" w:hAnsi="仿宋" w:eastAsia="仿宋" w:cs="仿宋"/>
          <w:color w:val="000000" w:themeColor="text1"/>
          <w14:textFill>
            <w14:solidFill>
              <w14:schemeClr w14:val="tx1"/>
            </w14:solidFill>
          </w14:textFill>
        </w:rPr>
        <w:t>服务执行计划、管理与保障措施</w:t>
      </w:r>
      <w:r>
        <w:rPr>
          <w:rFonts w:hint="eastAsia" w:ascii="仿宋" w:hAnsi="仿宋" w:eastAsia="仿宋" w:cs="仿宋"/>
          <w:color w:val="000000" w:themeColor="text1"/>
          <w:lang w:eastAsia="zh-CN"/>
          <w14:textFill>
            <w14:solidFill>
              <w14:schemeClr w14:val="tx1"/>
            </w14:solidFill>
          </w14:textFill>
        </w:rPr>
        <w:t>，</w:t>
      </w:r>
      <w:r>
        <w:rPr>
          <w:rFonts w:hint="eastAsia" w:ascii="仿宋" w:hAnsi="仿宋" w:eastAsia="仿宋" w:cs="仿宋"/>
          <w:color w:val="000000" w:themeColor="text1"/>
          <w14:textFill>
            <w14:solidFill>
              <w14:schemeClr w14:val="tx1"/>
            </w14:solidFill>
          </w14:textFill>
        </w:rPr>
        <w:t>涵盖供应商对派驻人员的日常管理（如考勤、绩效）、培训计划（如岗前培训、技能提升），以及安全保障（如安全培训、防护设备提供）和应急处理方案（如人员临时缺岗替补）、应急处理机制及服务质量承诺等，确保全面覆盖项目需求，具备明确的可操作性与执行标准。</w:t>
      </w:r>
      <w:bookmarkStart w:id="192" w:name="_Toc444891358"/>
      <w:bookmarkStart w:id="193" w:name="_Toc517281860"/>
      <w:r>
        <w:rPr>
          <w:rFonts w:hint="eastAsia" w:ascii="仿宋" w:hAnsi="仿宋" w:eastAsia="仿宋" w:cs="仿宋"/>
          <w:color w:val="000000"/>
        </w:rPr>
        <w:br w:type="page"/>
      </w:r>
    </w:p>
    <w:p>
      <w:pPr>
        <w:pStyle w:val="6"/>
        <w:rPr>
          <w:rFonts w:ascii="仿宋" w:hAnsi="仿宋" w:eastAsia="仿宋" w:cs="Cambria Math"/>
          <w:color w:val="000000"/>
          <w:sz w:val="24"/>
          <w:szCs w:val="24"/>
        </w:rPr>
      </w:pPr>
      <w:r>
        <w:rPr>
          <w:rFonts w:hint="eastAsia" w:ascii="仿宋" w:hAnsi="仿宋" w:eastAsia="仿宋" w:cs="Cambria Math"/>
          <w:color w:val="000000"/>
          <w:sz w:val="24"/>
          <w:szCs w:val="24"/>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26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姓名</w:t>
            </w:r>
          </w:p>
        </w:tc>
        <w:tc>
          <w:tcPr>
            <w:tcW w:w="851"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学历</w:t>
            </w:r>
          </w:p>
        </w:tc>
        <w:tc>
          <w:tcPr>
            <w:tcW w:w="980"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专业资质</w:t>
            </w:r>
          </w:p>
        </w:tc>
        <w:tc>
          <w:tcPr>
            <w:tcW w:w="992"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工作年限</w:t>
            </w:r>
          </w:p>
        </w:tc>
        <w:tc>
          <w:tcPr>
            <w:tcW w:w="1276"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服务内容</w:t>
            </w:r>
          </w:p>
        </w:tc>
        <w:tc>
          <w:tcPr>
            <w:tcW w:w="1695" w:type="dxa"/>
            <w:vAlign w:val="center"/>
          </w:tcPr>
          <w:p>
            <w:pPr>
              <w:snapToGrid w:val="0"/>
              <w:spacing w:line="300" w:lineRule="exact"/>
              <w:jc w:val="center"/>
              <w:rPr>
                <w:rFonts w:ascii="仿宋" w:hAnsi="仿宋" w:eastAsia="仿宋" w:cs="仿宋"/>
                <w:b/>
                <w:color w:val="000000"/>
                <w:szCs w:val="21"/>
              </w:rPr>
            </w:pPr>
            <w:r>
              <w:rPr>
                <w:rFonts w:hint="eastAsia" w:ascii="仿宋" w:hAnsi="仿宋" w:eastAsia="仿宋" w:cs="仿宋"/>
                <w:b/>
                <w:color w:val="000000"/>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2</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3</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4</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000000"/>
                <w:szCs w:val="21"/>
              </w:rPr>
            </w:pPr>
            <w:r>
              <w:rPr>
                <w:rFonts w:hint="eastAsia" w:ascii="仿宋" w:hAnsi="仿宋" w:eastAsia="仿宋" w:cs="仿宋"/>
                <w:color w:val="000000"/>
                <w:szCs w:val="21"/>
              </w:rPr>
              <w:t>...</w:t>
            </w:r>
          </w:p>
        </w:tc>
        <w:tc>
          <w:tcPr>
            <w:tcW w:w="1260" w:type="dxa"/>
            <w:vAlign w:val="center"/>
          </w:tcPr>
          <w:p>
            <w:pPr>
              <w:snapToGrid w:val="0"/>
              <w:spacing w:line="360" w:lineRule="auto"/>
              <w:jc w:val="center"/>
              <w:rPr>
                <w:rFonts w:ascii="仿宋" w:hAnsi="仿宋" w:eastAsia="仿宋" w:cs="仿宋"/>
                <w:color w:val="000000"/>
                <w:szCs w:val="21"/>
              </w:rPr>
            </w:pPr>
          </w:p>
        </w:tc>
        <w:tc>
          <w:tcPr>
            <w:tcW w:w="851" w:type="dxa"/>
          </w:tcPr>
          <w:p>
            <w:pPr>
              <w:snapToGrid w:val="0"/>
              <w:spacing w:line="360" w:lineRule="auto"/>
              <w:jc w:val="center"/>
              <w:rPr>
                <w:rFonts w:ascii="仿宋" w:hAnsi="仿宋" w:eastAsia="仿宋" w:cs="仿宋"/>
                <w:color w:val="000000"/>
                <w:szCs w:val="21"/>
              </w:rPr>
            </w:pPr>
          </w:p>
        </w:tc>
        <w:tc>
          <w:tcPr>
            <w:tcW w:w="980" w:type="dxa"/>
            <w:vAlign w:val="center"/>
          </w:tcPr>
          <w:p>
            <w:pPr>
              <w:snapToGrid w:val="0"/>
              <w:spacing w:line="360" w:lineRule="auto"/>
              <w:jc w:val="center"/>
              <w:rPr>
                <w:rFonts w:ascii="仿宋" w:hAnsi="仿宋" w:eastAsia="仿宋" w:cs="仿宋"/>
                <w:color w:val="000000"/>
                <w:szCs w:val="21"/>
              </w:rPr>
            </w:pPr>
          </w:p>
        </w:tc>
        <w:tc>
          <w:tcPr>
            <w:tcW w:w="992" w:type="dxa"/>
            <w:vAlign w:val="center"/>
          </w:tcPr>
          <w:p>
            <w:pPr>
              <w:snapToGrid w:val="0"/>
              <w:spacing w:line="360" w:lineRule="auto"/>
              <w:jc w:val="center"/>
              <w:rPr>
                <w:rFonts w:ascii="仿宋" w:hAnsi="仿宋" w:eastAsia="仿宋" w:cs="仿宋"/>
                <w:color w:val="000000"/>
                <w:szCs w:val="21"/>
              </w:rPr>
            </w:pPr>
          </w:p>
        </w:tc>
        <w:tc>
          <w:tcPr>
            <w:tcW w:w="1276" w:type="dxa"/>
            <w:vAlign w:val="center"/>
          </w:tcPr>
          <w:p>
            <w:pPr>
              <w:snapToGrid w:val="0"/>
              <w:spacing w:line="360" w:lineRule="auto"/>
              <w:jc w:val="center"/>
              <w:rPr>
                <w:rFonts w:ascii="仿宋" w:hAnsi="仿宋" w:eastAsia="仿宋" w:cs="仿宋"/>
                <w:color w:val="000000"/>
                <w:szCs w:val="21"/>
              </w:rPr>
            </w:pPr>
          </w:p>
        </w:tc>
        <w:tc>
          <w:tcPr>
            <w:tcW w:w="1134" w:type="dxa"/>
            <w:vAlign w:val="center"/>
          </w:tcPr>
          <w:p>
            <w:pPr>
              <w:snapToGrid w:val="0"/>
              <w:spacing w:line="360" w:lineRule="auto"/>
              <w:jc w:val="center"/>
              <w:rPr>
                <w:rFonts w:ascii="仿宋" w:hAnsi="仿宋" w:eastAsia="仿宋" w:cs="仿宋"/>
                <w:color w:val="000000"/>
                <w:szCs w:val="21"/>
              </w:rPr>
            </w:pPr>
          </w:p>
        </w:tc>
        <w:tc>
          <w:tcPr>
            <w:tcW w:w="1695" w:type="dxa"/>
            <w:vAlign w:val="center"/>
          </w:tcPr>
          <w:p>
            <w:pPr>
              <w:snapToGrid w:val="0"/>
              <w:spacing w:line="360" w:lineRule="auto"/>
              <w:jc w:val="center"/>
              <w:rPr>
                <w:rFonts w:ascii="仿宋" w:hAnsi="仿宋" w:eastAsia="仿宋" w:cs="仿宋"/>
                <w:color w:val="000000"/>
                <w:szCs w:val="21"/>
              </w:rPr>
            </w:pPr>
          </w:p>
        </w:tc>
      </w:tr>
    </w:tbl>
    <w:p>
      <w:pPr>
        <w:adjustRightInd w:val="0"/>
        <w:snapToGrid w:val="0"/>
        <w:spacing w:before="240" w:line="360" w:lineRule="auto"/>
        <w:ind w:firstLine="482" w:firstLineChars="200"/>
        <w:rPr>
          <w:rFonts w:ascii="仿宋" w:hAnsi="仿宋" w:eastAsia="仿宋" w:cs="仿宋"/>
          <w:b/>
          <w:bCs/>
          <w:color w:val="000000"/>
        </w:rPr>
      </w:pPr>
      <w:r>
        <w:rPr>
          <w:rFonts w:hint="eastAsia" w:ascii="仿宋" w:hAnsi="仿宋" w:eastAsia="仿宋" w:cs="仿宋"/>
          <w:b/>
          <w:bCs/>
          <w:color w:val="000000"/>
        </w:rPr>
        <w:t>注：需按照采购需求中的相关要求，列明本项目服务团队所有人员信息及职责分工。</w:t>
      </w:r>
    </w:p>
    <w:p>
      <w:pPr>
        <w:rPr>
          <w:rFonts w:ascii="仿宋" w:hAnsi="仿宋" w:eastAsia="仿宋" w:cs="仿宋"/>
          <w:color w:val="000000"/>
        </w:rPr>
      </w:pPr>
      <w:r>
        <w:rPr>
          <w:rFonts w:hint="eastAsia" w:ascii="仿宋" w:hAnsi="仿宋" w:eastAsia="仿宋" w:cs="仿宋"/>
          <w:color w:val="000000"/>
        </w:rPr>
        <w:br w:type="page"/>
      </w:r>
    </w:p>
    <w:p>
      <w:pPr>
        <w:pStyle w:val="6"/>
        <w:spacing w:before="0" w:after="0"/>
        <w:rPr>
          <w:rFonts w:ascii="仿宋" w:hAnsi="仿宋" w:eastAsia="仿宋" w:cs="Cambria Math"/>
          <w:color w:val="000000"/>
          <w:sz w:val="24"/>
          <w:szCs w:val="24"/>
        </w:rPr>
      </w:pPr>
      <w:r>
        <w:rPr>
          <w:rFonts w:hint="eastAsia" w:ascii="仿宋" w:hAnsi="仿宋" w:eastAsia="仿宋" w:cs="Cambria Math"/>
          <w:color w:val="000000"/>
          <w:sz w:val="24"/>
          <w:szCs w:val="24"/>
        </w:rPr>
        <w:t>2、拟派团队成员简历表</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38" w:hRule="atLeast"/>
        </w:trPr>
        <w:tc>
          <w:tcPr>
            <w:tcW w:w="1380" w:type="dxa"/>
            <w:vAlign w:val="center"/>
          </w:tcPr>
          <w:p>
            <w:pPr>
              <w:jc w:val="center"/>
              <w:rPr>
                <w:rFonts w:ascii="仿宋" w:hAnsi="仿宋" w:eastAsia="仿宋" w:cs="仿宋"/>
                <w:color w:val="000000"/>
              </w:rPr>
            </w:pPr>
            <w:r>
              <w:rPr>
                <w:rFonts w:hint="eastAsia" w:ascii="仿宋" w:hAnsi="仿宋" w:eastAsia="仿宋" w:cs="仿宋"/>
                <w:color w:val="000000"/>
              </w:rPr>
              <w:t>姓  名</w:t>
            </w:r>
          </w:p>
        </w:tc>
        <w:tc>
          <w:tcPr>
            <w:tcW w:w="1680" w:type="dxa"/>
            <w:gridSpan w:val="3"/>
            <w:vAlign w:val="center"/>
          </w:tcPr>
          <w:p>
            <w:pPr>
              <w:jc w:val="center"/>
              <w:rPr>
                <w:rFonts w:ascii="仿宋" w:hAnsi="仿宋" w:eastAsia="仿宋" w:cs="仿宋"/>
                <w:color w:val="000000"/>
              </w:rPr>
            </w:pPr>
          </w:p>
        </w:tc>
        <w:tc>
          <w:tcPr>
            <w:tcW w:w="945" w:type="dxa"/>
            <w:gridSpan w:val="2"/>
            <w:vAlign w:val="center"/>
          </w:tcPr>
          <w:p>
            <w:pPr>
              <w:rPr>
                <w:rFonts w:ascii="仿宋" w:hAnsi="仿宋" w:eastAsia="仿宋" w:cs="仿宋"/>
                <w:color w:val="000000"/>
              </w:rPr>
            </w:pPr>
            <w:r>
              <w:rPr>
                <w:rFonts w:hint="eastAsia" w:ascii="仿宋" w:hAnsi="仿宋" w:eastAsia="仿宋" w:cs="仿宋"/>
                <w:color w:val="000000"/>
              </w:rPr>
              <w:t>性 别</w:t>
            </w:r>
          </w:p>
        </w:tc>
        <w:tc>
          <w:tcPr>
            <w:tcW w:w="945" w:type="dxa"/>
            <w:vAlign w:val="center"/>
          </w:tcPr>
          <w:p>
            <w:pPr>
              <w:rPr>
                <w:rFonts w:ascii="仿宋" w:hAnsi="仿宋" w:eastAsia="仿宋" w:cs="仿宋"/>
                <w:color w:val="000000"/>
              </w:rPr>
            </w:pPr>
          </w:p>
        </w:tc>
        <w:tc>
          <w:tcPr>
            <w:tcW w:w="1854" w:type="dxa"/>
            <w:gridSpan w:val="2"/>
            <w:vAlign w:val="center"/>
          </w:tcPr>
          <w:p>
            <w:pPr>
              <w:rPr>
                <w:rFonts w:ascii="仿宋" w:hAnsi="仿宋" w:eastAsia="仿宋" w:cs="仿宋"/>
                <w:color w:val="000000"/>
              </w:rPr>
            </w:pPr>
            <w:r>
              <w:rPr>
                <w:rFonts w:hint="eastAsia" w:ascii="仿宋" w:hAnsi="仿宋" w:eastAsia="仿宋" w:cs="仿宋"/>
                <w:color w:val="000000"/>
              </w:rPr>
              <w:t>出 生 日 期</w:t>
            </w:r>
          </w:p>
        </w:tc>
        <w:tc>
          <w:tcPr>
            <w:tcW w:w="2694" w:type="dxa"/>
            <w:vAlign w:val="center"/>
          </w:tcPr>
          <w:p>
            <w:pPr>
              <w:rPr>
                <w:rFonts w:ascii="仿宋" w:hAnsi="仿宋" w:eastAsia="仿宋" w:cs="仿宋"/>
                <w:color w:val="000000"/>
              </w:rPr>
            </w:pPr>
            <w:r>
              <w:rPr>
                <w:rFonts w:hint="eastAsia" w:ascii="仿宋" w:hAnsi="仿宋" w:eastAsia="仿宋" w:cs="仿宋"/>
                <w:color w:val="00000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ascii="仿宋" w:hAnsi="仿宋" w:eastAsia="仿宋" w:cs="仿宋"/>
                <w:color w:val="000000"/>
              </w:rPr>
            </w:pPr>
            <w:r>
              <w:rPr>
                <w:rFonts w:hint="eastAsia" w:ascii="仿宋" w:hAnsi="仿宋" w:eastAsia="仿宋" w:cs="仿宋"/>
                <w:color w:val="000000"/>
              </w:rPr>
              <w:t>毕业院校及专业</w:t>
            </w:r>
          </w:p>
        </w:tc>
        <w:tc>
          <w:tcPr>
            <w:tcW w:w="3570" w:type="dxa"/>
            <w:gridSpan w:val="6"/>
            <w:vAlign w:val="center"/>
          </w:tcPr>
          <w:p>
            <w:pPr>
              <w:rPr>
                <w:rFonts w:ascii="仿宋" w:hAnsi="仿宋" w:eastAsia="仿宋" w:cs="仿宋"/>
                <w:color w:val="000000"/>
              </w:rPr>
            </w:pPr>
          </w:p>
        </w:tc>
        <w:tc>
          <w:tcPr>
            <w:tcW w:w="1854" w:type="dxa"/>
            <w:gridSpan w:val="2"/>
            <w:vAlign w:val="center"/>
          </w:tcPr>
          <w:p>
            <w:pPr>
              <w:ind w:left="-18"/>
              <w:jc w:val="center"/>
              <w:rPr>
                <w:rFonts w:ascii="仿宋" w:hAnsi="仿宋" w:eastAsia="仿宋" w:cs="仿宋"/>
                <w:color w:val="000000"/>
              </w:rPr>
            </w:pPr>
            <w:r>
              <w:rPr>
                <w:rFonts w:hint="eastAsia" w:ascii="仿宋" w:hAnsi="仿宋" w:eastAsia="仿宋" w:cs="仿宋"/>
                <w:color w:val="000000"/>
              </w:rPr>
              <w:t>学历</w:t>
            </w:r>
          </w:p>
        </w:tc>
        <w:tc>
          <w:tcPr>
            <w:tcW w:w="2694" w:type="dxa"/>
            <w:vAlign w:val="center"/>
          </w:tcPr>
          <w:p>
            <w:pPr>
              <w:ind w:left="45"/>
              <w:rPr>
                <w:rFonts w:ascii="仿宋" w:hAnsi="仿宋" w:eastAsia="仿宋" w:cs="仿宋"/>
                <w:color w:val="000000"/>
              </w:rPr>
            </w:pPr>
            <w:r>
              <w:rPr>
                <w:rFonts w:hint="eastAsia" w:ascii="仿宋" w:hAnsi="仿宋" w:eastAsia="仿宋" w:cs="仿宋"/>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仿宋"/>
                <w:color w:val="000000"/>
              </w:rPr>
            </w:pPr>
            <w:r>
              <w:rPr>
                <w:rFonts w:hint="eastAsia" w:ascii="仿宋" w:hAnsi="仿宋" w:eastAsia="仿宋" w:cs="仿宋"/>
                <w:color w:val="000000"/>
              </w:rPr>
              <w:t>工作年限</w:t>
            </w:r>
          </w:p>
        </w:tc>
        <w:tc>
          <w:tcPr>
            <w:tcW w:w="1974" w:type="dxa"/>
            <w:gridSpan w:val="2"/>
            <w:vAlign w:val="center"/>
          </w:tcPr>
          <w:p>
            <w:pPr>
              <w:rPr>
                <w:rFonts w:ascii="仿宋" w:hAnsi="仿宋" w:eastAsia="仿宋" w:cs="仿宋"/>
                <w:color w:val="000000"/>
              </w:rPr>
            </w:pPr>
          </w:p>
        </w:tc>
        <w:tc>
          <w:tcPr>
            <w:tcW w:w="2835" w:type="dxa"/>
            <w:gridSpan w:val="4"/>
            <w:vAlign w:val="center"/>
          </w:tcPr>
          <w:p>
            <w:pPr>
              <w:jc w:val="center"/>
              <w:rPr>
                <w:rFonts w:ascii="仿宋" w:hAnsi="仿宋" w:eastAsia="仿宋" w:cs="仿宋"/>
                <w:color w:val="000000"/>
              </w:rPr>
            </w:pPr>
            <w:r>
              <w:rPr>
                <w:rFonts w:hint="eastAsia" w:ascii="仿宋" w:hAnsi="仿宋" w:eastAsia="仿宋" w:cs="仿宋"/>
                <w:color w:val="000000"/>
              </w:rPr>
              <w:t>为供应商服务时间</w:t>
            </w:r>
          </w:p>
        </w:tc>
        <w:tc>
          <w:tcPr>
            <w:tcW w:w="2694" w:type="dxa"/>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仿宋"/>
                <w:color w:val="000000"/>
              </w:rPr>
            </w:pPr>
            <w:r>
              <w:rPr>
                <w:rFonts w:hint="eastAsia" w:ascii="仿宋" w:hAnsi="仿宋" w:eastAsia="仿宋" w:cs="仿宋"/>
                <w:color w:val="000000"/>
              </w:rPr>
              <w:t>专业资质</w:t>
            </w:r>
          </w:p>
        </w:tc>
        <w:tc>
          <w:tcPr>
            <w:tcW w:w="1974" w:type="dxa"/>
            <w:gridSpan w:val="2"/>
            <w:vAlign w:val="center"/>
          </w:tcPr>
          <w:p>
            <w:pPr>
              <w:rPr>
                <w:rFonts w:ascii="仿宋" w:hAnsi="仿宋" w:eastAsia="仿宋" w:cs="仿宋"/>
                <w:color w:val="000000"/>
              </w:rPr>
            </w:pPr>
          </w:p>
        </w:tc>
        <w:tc>
          <w:tcPr>
            <w:tcW w:w="2835" w:type="dxa"/>
            <w:gridSpan w:val="4"/>
            <w:vAlign w:val="center"/>
          </w:tcPr>
          <w:p>
            <w:pPr>
              <w:jc w:val="center"/>
              <w:rPr>
                <w:rFonts w:ascii="仿宋" w:hAnsi="仿宋" w:eastAsia="仿宋" w:cs="仿宋"/>
                <w:color w:val="000000"/>
              </w:rPr>
            </w:pPr>
            <w:r>
              <w:rPr>
                <w:rFonts w:hint="eastAsia" w:ascii="仿宋" w:hAnsi="仿宋" w:eastAsia="仿宋" w:cs="仿宋"/>
                <w:color w:val="000000"/>
              </w:rPr>
              <w:t>在本项目中的职务</w:t>
            </w:r>
          </w:p>
        </w:tc>
        <w:tc>
          <w:tcPr>
            <w:tcW w:w="2694" w:type="dxa"/>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ind w:firstLine="3360" w:firstLineChars="1400"/>
              <w:rPr>
                <w:rFonts w:ascii="仿宋" w:hAnsi="仿宋" w:eastAsia="仿宋" w:cs="仿宋"/>
                <w:color w:val="000000"/>
              </w:rPr>
            </w:pPr>
            <w:r>
              <w:rPr>
                <w:rFonts w:hint="eastAsia" w:ascii="仿宋" w:hAnsi="仿宋" w:eastAsia="仿宋" w:cs="仿宋"/>
                <w:color w:val="000000"/>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color w:val="000000"/>
              </w:rPr>
            </w:pPr>
            <w:r>
              <w:rPr>
                <w:rFonts w:hint="eastAsia" w:ascii="仿宋" w:hAnsi="仿宋" w:eastAsia="仿宋" w:cs="仿宋"/>
                <w:color w:val="000000"/>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仿宋"/>
                <w:color w:val="000000"/>
              </w:rPr>
            </w:pPr>
            <w:r>
              <w:rPr>
                <w:rFonts w:hint="eastAsia" w:ascii="仿宋" w:hAnsi="仿宋" w:eastAsia="仿宋" w:cs="仿宋"/>
                <w:color w:val="000000"/>
              </w:rPr>
              <w:t>时   间</w:t>
            </w:r>
          </w:p>
        </w:tc>
        <w:tc>
          <w:tcPr>
            <w:tcW w:w="4536" w:type="dxa"/>
            <w:gridSpan w:val="6"/>
            <w:vAlign w:val="center"/>
          </w:tcPr>
          <w:p>
            <w:pPr>
              <w:jc w:val="center"/>
              <w:rPr>
                <w:rFonts w:ascii="仿宋" w:hAnsi="仿宋" w:eastAsia="仿宋" w:cs="仿宋"/>
                <w:color w:val="000000"/>
              </w:rPr>
            </w:pPr>
            <w:r>
              <w:rPr>
                <w:rFonts w:hint="eastAsia" w:ascii="仿宋" w:hAnsi="仿宋" w:eastAsia="仿宋" w:cs="仿宋"/>
                <w:color w:val="000000"/>
              </w:rPr>
              <w:t>同类项目名称及简要描述</w:t>
            </w:r>
          </w:p>
        </w:tc>
        <w:tc>
          <w:tcPr>
            <w:tcW w:w="3261" w:type="dxa"/>
            <w:gridSpan w:val="2"/>
            <w:vAlign w:val="center"/>
          </w:tcPr>
          <w:p>
            <w:pPr>
              <w:jc w:val="center"/>
              <w:rPr>
                <w:rFonts w:ascii="仿宋" w:hAnsi="仿宋" w:eastAsia="仿宋" w:cs="仿宋"/>
                <w:color w:val="000000"/>
              </w:rPr>
            </w:pPr>
            <w:r>
              <w:rPr>
                <w:rFonts w:hint="eastAsia" w:ascii="仿宋" w:hAnsi="仿宋" w:eastAsia="仿宋" w:cs="仿宋"/>
                <w:color w:val="000000"/>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ascii="仿宋" w:hAnsi="仿宋" w:eastAsia="仿宋" w:cs="仿宋"/>
                <w:color w:val="000000"/>
              </w:rPr>
            </w:pPr>
          </w:p>
        </w:tc>
        <w:tc>
          <w:tcPr>
            <w:tcW w:w="4536" w:type="dxa"/>
            <w:gridSpan w:val="6"/>
          </w:tcPr>
          <w:p>
            <w:pPr>
              <w:rPr>
                <w:rFonts w:ascii="仿宋" w:hAnsi="仿宋" w:eastAsia="仿宋" w:cs="仿宋"/>
                <w:color w:val="000000"/>
              </w:rPr>
            </w:pPr>
          </w:p>
        </w:tc>
        <w:tc>
          <w:tcPr>
            <w:tcW w:w="3261" w:type="dxa"/>
            <w:gridSpan w:val="2"/>
          </w:tcPr>
          <w:p>
            <w:pPr>
              <w:rPr>
                <w:rFonts w:ascii="仿宋" w:hAnsi="仿宋" w:eastAsia="仿宋" w:cs="仿宋"/>
                <w:color w:val="000000"/>
              </w:rPr>
            </w:pPr>
          </w:p>
        </w:tc>
      </w:tr>
    </w:tbl>
    <w:p>
      <w:pPr>
        <w:spacing w:before="240" w:line="360" w:lineRule="auto"/>
        <w:rPr>
          <w:rFonts w:ascii="仿宋" w:hAnsi="仿宋" w:eastAsia="仿宋" w:cs="仿宋"/>
          <w:b/>
          <w:color w:val="000000"/>
        </w:rPr>
      </w:pPr>
      <w:r>
        <w:rPr>
          <w:rFonts w:hint="eastAsia" w:ascii="仿宋" w:hAnsi="仿宋" w:eastAsia="仿宋" w:cs="仿宋"/>
          <w:b/>
          <w:color w:val="000000"/>
        </w:rPr>
        <w:t>注：</w:t>
      </w:r>
    </w:p>
    <w:p>
      <w:pPr>
        <w:spacing w:line="360" w:lineRule="auto"/>
        <w:rPr>
          <w:rFonts w:ascii="仿宋" w:hAnsi="仿宋" w:eastAsia="仿宋" w:cs="仿宋"/>
          <w:b/>
          <w:color w:val="000000"/>
        </w:rPr>
      </w:pPr>
      <w:r>
        <w:rPr>
          <w:rFonts w:hint="eastAsia" w:ascii="仿宋" w:hAnsi="仿宋" w:eastAsia="仿宋" w:cs="仿宋"/>
          <w:b/>
          <w:color w:val="000000"/>
        </w:rPr>
        <w:t>1、需随此表附上团队成员的身份证、毕业证、专业资质证书、同类项目实施经验证明等材料。</w:t>
      </w:r>
    </w:p>
    <w:p>
      <w:pPr>
        <w:spacing w:line="360" w:lineRule="auto"/>
        <w:rPr>
          <w:rFonts w:ascii="仿宋" w:hAnsi="仿宋" w:eastAsia="仿宋" w:cs="仿宋"/>
          <w:b/>
          <w:color w:val="000000"/>
        </w:rPr>
      </w:pPr>
      <w:r>
        <w:rPr>
          <w:rFonts w:hint="eastAsia" w:ascii="仿宋" w:hAnsi="仿宋" w:eastAsia="仿宋" w:cs="仿宋"/>
          <w:b/>
          <w:color w:val="000000"/>
        </w:rPr>
        <w:t>2、“先附简历、再附材料”为一个人员的完整材料，人员简历排放顺序需与人员汇总表一致。</w:t>
      </w:r>
    </w:p>
    <w:p>
      <w:pPr>
        <w:spacing w:line="360" w:lineRule="auto"/>
        <w:rPr>
          <w:rFonts w:ascii="仿宋" w:hAnsi="仿宋" w:eastAsia="仿宋" w:cs="仿宋"/>
          <w:color w:val="000000"/>
        </w:rPr>
      </w:pPr>
    </w:p>
    <w:p>
      <w:pPr>
        <w:rPr>
          <w:rFonts w:ascii="仿宋" w:hAnsi="仿宋" w:eastAsia="仿宋" w:cs="仿宋"/>
          <w:color w:val="000000"/>
        </w:rPr>
      </w:pPr>
    </w:p>
    <w:p>
      <w:pPr>
        <w:rPr>
          <w:rFonts w:ascii="仿宋" w:hAnsi="仿宋" w:eastAsia="仿宋" w:cs="仿宋"/>
          <w:color w:val="000000"/>
        </w:rPr>
      </w:pPr>
      <w:r>
        <w:rPr>
          <w:rFonts w:hint="eastAsia" w:ascii="仿宋" w:hAnsi="仿宋" w:eastAsia="仿宋" w:cs="仿宋"/>
          <w:color w:val="000000"/>
        </w:rPr>
        <w:br w:type="page"/>
      </w:r>
    </w:p>
    <w:p>
      <w:pPr>
        <w:pStyle w:val="5"/>
        <w:spacing w:before="0" w:after="0" w:line="360" w:lineRule="auto"/>
        <w:rPr>
          <w:rFonts w:ascii="仿宋" w:hAnsi="仿宋" w:eastAsia="仿宋" w:cs="仿宋"/>
          <w:color w:val="000000"/>
          <w:sz w:val="24"/>
          <w:szCs w:val="24"/>
        </w:rPr>
      </w:pPr>
      <w:bookmarkStart w:id="194" w:name="_Toc20365"/>
      <w:bookmarkStart w:id="195" w:name="_Toc186737826"/>
      <w:r>
        <w:rPr>
          <w:rFonts w:hint="eastAsia" w:ascii="仿宋" w:hAnsi="仿宋" w:eastAsia="仿宋" w:cs="仿宋"/>
          <w:color w:val="000000"/>
          <w:sz w:val="24"/>
          <w:szCs w:val="24"/>
        </w:rPr>
        <w:t>（三）</w:t>
      </w:r>
      <w:bookmarkEnd w:id="192"/>
      <w:bookmarkEnd w:id="193"/>
      <w:r>
        <w:rPr>
          <w:rFonts w:hint="eastAsia" w:ascii="仿宋" w:hAnsi="仿宋" w:eastAsia="仿宋" w:cs="仿宋"/>
          <w:color w:val="000000"/>
          <w:sz w:val="24"/>
          <w:szCs w:val="24"/>
        </w:rPr>
        <w:t>其他材料</w:t>
      </w:r>
      <w:bookmarkEnd w:id="194"/>
      <w:bookmarkEnd w:id="195"/>
    </w:p>
    <w:p>
      <w:pPr>
        <w:spacing w:line="360" w:lineRule="auto"/>
        <w:rPr>
          <w:rFonts w:hint="eastAsia" w:ascii="仿宋" w:hAnsi="仿宋" w:eastAsia="仿宋" w:cs="Cambria Math"/>
          <w:color w:val="000000"/>
        </w:rPr>
        <w:sectPr>
          <w:headerReference r:id="rId12" w:type="default"/>
          <w:footerReference r:id="rId13" w:type="default"/>
          <w:pgSz w:w="11906" w:h="16838"/>
          <w:pgMar w:top="1418" w:right="1555" w:bottom="1418" w:left="1531" w:header="851" w:footer="992" w:gutter="0"/>
          <w:pgNumType w:fmt="decimal"/>
          <w:cols w:space="720" w:num="1"/>
          <w:titlePg/>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bookmarkStart w:id="196" w:name="_Toc186737827"/>
      <w:bookmarkStart w:id="197" w:name="_Toc20443"/>
    </w:p>
    <w:p>
      <w:pPr>
        <w:spacing w:line="360" w:lineRule="auto"/>
        <w:rPr>
          <w:rFonts w:ascii="仿宋" w:hAnsi="仿宋" w:eastAsia="仿宋" w:cs="仿宋"/>
          <w:color w:val="000000"/>
        </w:rPr>
      </w:pPr>
      <w:r>
        <w:rPr>
          <w:rFonts w:hint="eastAsia" w:ascii="仿宋" w:hAnsi="仿宋" w:eastAsia="仿宋" w:cs="仿宋"/>
          <w:color w:val="000000"/>
        </w:rPr>
        <w:t>三、报价文件</w:t>
      </w:r>
      <w:bookmarkEnd w:id="196"/>
      <w:bookmarkEnd w:id="197"/>
    </w:p>
    <w:p>
      <w:pPr>
        <w:pStyle w:val="5"/>
        <w:spacing w:before="0" w:after="0" w:line="360" w:lineRule="auto"/>
        <w:ind w:firstLine="482"/>
        <w:rPr>
          <w:rFonts w:ascii="仿宋" w:hAnsi="仿宋" w:eastAsia="仿宋" w:cs="仿宋"/>
          <w:color w:val="000000"/>
          <w:sz w:val="24"/>
          <w:szCs w:val="24"/>
        </w:rPr>
      </w:pPr>
      <w:bookmarkStart w:id="198" w:name="_Toc511726864"/>
      <w:bookmarkStart w:id="199" w:name="_Toc186737828"/>
      <w:bookmarkStart w:id="200" w:name="_Toc18942"/>
      <w:r>
        <w:rPr>
          <w:rFonts w:hint="eastAsia" w:ascii="仿宋" w:hAnsi="仿宋" w:eastAsia="仿宋" w:cs="仿宋"/>
          <w:color w:val="000000"/>
          <w:sz w:val="24"/>
          <w:szCs w:val="24"/>
        </w:rPr>
        <w:t>（一）报价</w:t>
      </w:r>
      <w:bookmarkEnd w:id="198"/>
      <w:r>
        <w:rPr>
          <w:rFonts w:hint="eastAsia" w:ascii="仿宋" w:hAnsi="仿宋" w:eastAsia="仿宋" w:cs="仿宋"/>
          <w:color w:val="000000"/>
          <w:sz w:val="24"/>
          <w:szCs w:val="24"/>
        </w:rPr>
        <w:t>一览表</w:t>
      </w:r>
      <w:bookmarkEnd w:id="199"/>
      <w:bookmarkEnd w:id="200"/>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1"/>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jc w:val="center"/>
        <w:textAlignment w:val="center"/>
        <w:rPr>
          <w:rFonts w:ascii="仿宋" w:hAnsi="仿宋" w:eastAsia="仿宋" w:cs="仿宋"/>
          <w:color w:val="000000"/>
          <w:szCs w:val="21"/>
          <w:lang w:bidi="ar"/>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blPrEx>
          <w:tblCellMar>
            <w:top w:w="0" w:type="dxa"/>
            <w:left w:w="108" w:type="dxa"/>
            <w:bottom w:w="0" w:type="dxa"/>
            <w:right w:w="108" w:type="dxa"/>
          </w:tblCellMar>
        </w:tblPrEx>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含税总价</w:t>
            </w:r>
            <w:r>
              <w:rPr>
                <w:rFonts w:hint="eastAsia" w:ascii="仿宋" w:hAnsi="仿宋" w:eastAsia="仿宋" w:cs="宋体"/>
                <w:b/>
                <w:color w:val="000000"/>
                <w:szCs w:val="21"/>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税率</w:t>
            </w:r>
          </w:p>
          <w:p>
            <w:pPr>
              <w:jc w:val="center"/>
              <w:rPr>
                <w:rFonts w:ascii="仿宋" w:hAnsi="仿宋" w:eastAsia="仿宋" w:cs="宋体"/>
                <w:b/>
                <w:bCs/>
                <w:color w:val="000000"/>
                <w:szCs w:val="21"/>
              </w:rPr>
            </w:pPr>
            <w:r>
              <w:rPr>
                <w:rFonts w:hint="eastAsia" w:ascii="仿宋" w:hAnsi="仿宋" w:eastAsia="仿宋" w:cs="宋体"/>
                <w:b/>
                <w:bCs/>
                <w:color w:val="000000"/>
                <w:szCs w:val="21"/>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r>
              <w:rPr>
                <w:rFonts w:hint="eastAsia" w:ascii="仿宋" w:hAnsi="仿宋" w:eastAsia="仿宋" w:cs="宋体"/>
                <w:b/>
                <w:bCs/>
                <w:color w:val="000000"/>
                <w:szCs w:val="21"/>
              </w:rPr>
              <w:t>不含税总价</w:t>
            </w:r>
            <w:r>
              <w:rPr>
                <w:rFonts w:hint="eastAsia" w:ascii="仿宋" w:hAnsi="仿宋" w:eastAsia="仿宋" w:cs="宋体"/>
                <w:b/>
                <w:color w:val="000000"/>
                <w:szCs w:val="21"/>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szCs w:val="21"/>
              </w:rPr>
            </w:pPr>
            <w:r>
              <w:rPr>
                <w:rFonts w:hint="eastAsia" w:ascii="仿宋" w:hAnsi="仿宋" w:eastAsia="仿宋" w:cs="宋体"/>
                <w:b/>
                <w:bCs/>
                <w:color w:val="000000"/>
                <w:szCs w:val="21"/>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szCs w:val="21"/>
              </w:rPr>
            </w:pPr>
            <w:r>
              <w:rPr>
                <w:rFonts w:hint="eastAsia" w:ascii="仿宋" w:hAnsi="仿宋" w:eastAsia="仿宋" w:cs="宋体"/>
                <w:bCs/>
                <w:color w:val="000000"/>
                <w:szCs w:val="21"/>
                <w:lang w:eastAsia="zh-CN"/>
              </w:rPr>
              <w:t>人保财险</w:t>
            </w:r>
            <w:r>
              <w:rPr>
                <w:rFonts w:hint="eastAsia" w:ascii="仿宋" w:hAnsi="仿宋" w:eastAsia="仿宋" w:cs="宋体"/>
                <w:bCs/>
                <w:color w:val="000000"/>
                <w:szCs w:val="21"/>
                <w:lang w:val="en-US" w:eastAsia="zh-CN"/>
              </w:rPr>
              <w:t>四川省</w:t>
            </w:r>
            <w:r>
              <w:rPr>
                <w:rFonts w:hint="eastAsia" w:ascii="仿宋" w:hAnsi="仿宋" w:eastAsia="仿宋" w:cs="宋体"/>
                <w:bCs/>
                <w:color w:val="000000"/>
                <w:szCs w:val="21"/>
                <w:lang w:eastAsia="zh-CN"/>
              </w:rPr>
              <w:t>乐山市分公司融信部</w:t>
            </w:r>
            <w:r>
              <w:rPr>
                <w:rFonts w:hint="eastAsia" w:ascii="仿宋" w:hAnsi="仿宋" w:eastAsia="仿宋" w:cs="宋体"/>
                <w:bCs/>
                <w:color w:val="000000"/>
                <w:szCs w:val="21"/>
                <w:lang w:val="en-US" w:eastAsia="zh-CN"/>
              </w:rPr>
              <w:t>劳务</w:t>
            </w:r>
            <w:r>
              <w:rPr>
                <w:rFonts w:hint="eastAsia" w:ascii="仿宋" w:hAnsi="仿宋" w:eastAsia="仿宋" w:cs="宋体"/>
                <w:bCs/>
                <w:color w:val="000000"/>
                <w:szCs w:val="21"/>
                <w:lang w:eastAsia="zh-CN"/>
              </w:rPr>
              <w:t>外包服务采购项目</w:t>
            </w: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szCs w:val="21"/>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szCs w:val="21"/>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szCs w:val="21"/>
              </w:rPr>
            </w:pPr>
            <w:r>
              <w:rPr>
                <w:rFonts w:hint="eastAsia" w:ascii="仿宋" w:hAnsi="仿宋" w:eastAsia="仿宋" w:cs="宋体"/>
                <w:color w:val="000000"/>
                <w:szCs w:val="21"/>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ascii="仿宋" w:hAnsi="仿宋" w:eastAsia="仿宋"/>
          <w:bCs/>
        </w:rPr>
      </w:pPr>
      <w:r>
        <w:rPr>
          <w:rFonts w:hint="eastAsia" w:ascii="仿宋" w:hAnsi="仿宋" w:eastAsia="仿宋"/>
          <w:bCs/>
        </w:rPr>
        <w:t>1.本次报价精确到小数点后两位（四舍五入）。</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201" w:name="_Toc2267055"/>
      <w:bookmarkStart w:id="202" w:name="_Toc16591840"/>
      <w:bookmarkStart w:id="203" w:name="_Toc482180015"/>
      <w:bookmarkStart w:id="204" w:name="_Toc518302646"/>
      <w:bookmarkStart w:id="205" w:name="_Toc530319762"/>
      <w:bookmarkStart w:id="206" w:name="_Toc517281864"/>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5"/>
        <w:numPr>
          <w:ilvl w:val="5"/>
          <w:numId w:val="0"/>
        </w:numPr>
        <w:spacing w:line="360" w:lineRule="auto"/>
        <w:jc w:val="center"/>
        <w:rPr>
          <w:rFonts w:ascii="仿宋" w:hAnsi="仿宋" w:eastAsia="仿宋" w:cs="仿宋"/>
          <w:color w:val="000000"/>
          <w:sz w:val="24"/>
          <w:szCs w:val="24"/>
        </w:rPr>
      </w:pPr>
      <w:r>
        <w:rPr>
          <w:rFonts w:hint="eastAsia" w:ascii="仿宋" w:hAnsi="仿宋" w:eastAsia="仿宋" w:cs="仿宋"/>
          <w:color w:val="000000"/>
          <w:sz w:val="24"/>
          <w:szCs w:val="24"/>
        </w:rPr>
        <w:br w:type="page"/>
      </w:r>
      <w:bookmarkEnd w:id="201"/>
      <w:bookmarkEnd w:id="202"/>
      <w:bookmarkEnd w:id="203"/>
      <w:bookmarkEnd w:id="204"/>
      <w:bookmarkEnd w:id="205"/>
      <w:bookmarkEnd w:id="206"/>
      <w:bookmarkStart w:id="207" w:name="_Toc186737829"/>
      <w:bookmarkStart w:id="208" w:name="_Toc15457"/>
      <w:r>
        <w:rPr>
          <w:rFonts w:hint="eastAsia" w:ascii="仿宋" w:hAnsi="仿宋" w:eastAsia="仿宋" w:cs="仿宋"/>
          <w:color w:val="000000"/>
          <w:sz w:val="24"/>
          <w:szCs w:val="24"/>
        </w:rPr>
        <w:t>（二）分项报价表</w:t>
      </w:r>
      <w:bookmarkEnd w:id="207"/>
      <w:bookmarkEnd w:id="208"/>
    </w:p>
    <w:bookmarkEnd w:id="128"/>
    <w:p>
      <w:pPr>
        <w:adjustRightInd w:val="0"/>
        <w:snapToGrid w:val="0"/>
        <w:spacing w:line="360" w:lineRule="auto"/>
        <w:jc w:val="center"/>
        <w:rPr>
          <w:rFonts w:ascii="宋体" w:hAnsi="宋体" w:cs="宋体"/>
          <w:color w:val="auto"/>
        </w:rPr>
      </w:pPr>
    </w:p>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rPr>
        <w:t xml:space="preserve">供应商名称： </w:t>
      </w:r>
    </w:p>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rPr>
        <w:t>项目名称：</w:t>
      </w:r>
    </w:p>
    <w:tbl>
      <w:tblPr>
        <w:tblStyle w:val="29"/>
        <w:tblW w:w="8847" w:type="dxa"/>
        <w:tblInd w:w="0" w:type="dxa"/>
        <w:tblLayout w:type="fixed"/>
        <w:tblCellMar>
          <w:top w:w="15" w:type="dxa"/>
          <w:left w:w="15" w:type="dxa"/>
          <w:bottom w:w="15" w:type="dxa"/>
          <w:right w:w="15" w:type="dxa"/>
        </w:tblCellMar>
      </w:tblPr>
      <w:tblGrid>
        <w:gridCol w:w="3402"/>
        <w:gridCol w:w="1121"/>
        <w:gridCol w:w="2387"/>
        <w:gridCol w:w="1937"/>
      </w:tblGrid>
      <w:tr>
        <w:tblPrEx>
          <w:tblCellMar>
            <w:top w:w="15" w:type="dxa"/>
            <w:left w:w="15" w:type="dxa"/>
            <w:bottom w:w="15" w:type="dxa"/>
            <w:right w:w="15" w:type="dxa"/>
          </w:tblCellMar>
        </w:tblPrEx>
        <w:trPr>
          <w:trHeight w:val="285" w:hRule="atLeast"/>
        </w:trPr>
        <w:tc>
          <w:tcPr>
            <w:tcW w:w="340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rPr>
              <w:t>名称</w:t>
            </w:r>
          </w:p>
        </w:tc>
        <w:tc>
          <w:tcPr>
            <w:tcW w:w="11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rPr>
              <w:t>数量</w:t>
            </w:r>
          </w:p>
        </w:tc>
        <w:tc>
          <w:tcPr>
            <w:tcW w:w="238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rPr>
              <w:t>单价（含税）（元）</w:t>
            </w:r>
          </w:p>
        </w:tc>
        <w:tc>
          <w:tcPr>
            <w:tcW w:w="19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rPr>
              <w:t>单价净价（元）</w:t>
            </w:r>
          </w:p>
        </w:tc>
      </w:tr>
      <w:tr>
        <w:tblPrEx>
          <w:tblCellMar>
            <w:top w:w="15" w:type="dxa"/>
            <w:left w:w="15" w:type="dxa"/>
            <w:bottom w:w="15" w:type="dxa"/>
            <w:right w:w="15" w:type="dxa"/>
          </w:tblCellMar>
        </w:tblPrEx>
        <w:trPr>
          <w:trHeight w:val="300" w:hRule="atLeast"/>
        </w:trPr>
        <w:tc>
          <w:tcPr>
            <w:tcW w:w="340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rPr>
              <w:t>未逾期账户每月还款提醒服务</w:t>
            </w:r>
          </w:p>
        </w:tc>
        <w:tc>
          <w:tcPr>
            <w:tcW w:w="11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default" w:ascii="楷体" w:hAnsi="楷体" w:eastAsia="楷体" w:cs="仿宋_GB2312"/>
                <w:i/>
                <w:color w:val="auto"/>
                <w:szCs w:val="32"/>
                <w:lang w:val="en-US" w:eastAsia="zh-CN"/>
              </w:rPr>
            </w:pPr>
            <w:r>
              <w:rPr>
                <w:rFonts w:hint="eastAsia" w:ascii="楷体" w:hAnsi="楷体" w:eastAsia="楷体" w:cs="仿宋_GB2312"/>
                <w:i/>
                <w:color w:val="auto"/>
                <w:szCs w:val="32"/>
              </w:rPr>
              <w:t xml:space="preserve"> </w:t>
            </w:r>
            <w:r>
              <w:rPr>
                <w:rFonts w:hint="eastAsia" w:ascii="楷体" w:hAnsi="楷体" w:eastAsia="楷体" w:cs="仿宋_GB2312"/>
                <w:i/>
                <w:color w:val="auto"/>
                <w:szCs w:val="32"/>
                <w:lang w:val="en-US" w:eastAsia="zh-CN"/>
              </w:rPr>
              <w:t>960次</w:t>
            </w:r>
          </w:p>
        </w:tc>
        <w:tc>
          <w:tcPr>
            <w:tcW w:w="238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p>
        </w:tc>
        <w:tc>
          <w:tcPr>
            <w:tcW w:w="19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p>
        </w:tc>
      </w:tr>
      <w:tr>
        <w:tblPrEx>
          <w:tblCellMar>
            <w:top w:w="15" w:type="dxa"/>
            <w:left w:w="15" w:type="dxa"/>
            <w:bottom w:w="15" w:type="dxa"/>
            <w:right w:w="15" w:type="dxa"/>
          </w:tblCellMar>
        </w:tblPrEx>
        <w:trPr>
          <w:trHeight w:val="285" w:hRule="atLeast"/>
        </w:trPr>
        <w:tc>
          <w:tcPr>
            <w:tcW w:w="340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rPr>
              <w:t>逾期理赔账户下户调查回访服务</w:t>
            </w:r>
          </w:p>
        </w:tc>
        <w:tc>
          <w:tcPr>
            <w:tcW w:w="11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default" w:ascii="楷体" w:hAnsi="楷体" w:eastAsia="楷体" w:cs="仿宋_GB2312"/>
                <w:i/>
                <w:color w:val="auto"/>
                <w:szCs w:val="32"/>
                <w:lang w:val="en-US" w:eastAsia="zh-CN"/>
              </w:rPr>
            </w:pPr>
            <w:r>
              <w:rPr>
                <w:rFonts w:hint="eastAsia" w:ascii="楷体" w:hAnsi="楷体" w:eastAsia="楷体" w:cs="仿宋_GB2312"/>
                <w:i/>
                <w:color w:val="auto"/>
                <w:szCs w:val="32"/>
              </w:rPr>
              <w:t xml:space="preserve"> </w:t>
            </w:r>
            <w:r>
              <w:rPr>
                <w:rFonts w:hint="eastAsia" w:ascii="楷体" w:hAnsi="楷体" w:eastAsia="楷体" w:cs="仿宋_GB2312"/>
                <w:i/>
                <w:color w:val="auto"/>
                <w:szCs w:val="32"/>
                <w:lang w:val="en-US" w:eastAsia="zh-CN"/>
              </w:rPr>
              <w:t>960次</w:t>
            </w:r>
          </w:p>
        </w:tc>
        <w:tc>
          <w:tcPr>
            <w:tcW w:w="238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p>
        </w:tc>
        <w:tc>
          <w:tcPr>
            <w:tcW w:w="19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p>
        </w:tc>
      </w:tr>
      <w:tr>
        <w:tblPrEx>
          <w:tblCellMar>
            <w:top w:w="15" w:type="dxa"/>
            <w:left w:w="15" w:type="dxa"/>
            <w:bottom w:w="15" w:type="dxa"/>
            <w:right w:w="15" w:type="dxa"/>
          </w:tblCellMar>
        </w:tblPrEx>
        <w:trPr>
          <w:trHeight w:val="285" w:hRule="atLeast"/>
        </w:trPr>
        <w:tc>
          <w:tcPr>
            <w:tcW w:w="340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lang w:val="en-US" w:eastAsia="zh-CN"/>
              </w:rPr>
              <w:t>资料收集整理服务</w:t>
            </w:r>
          </w:p>
        </w:tc>
        <w:tc>
          <w:tcPr>
            <w:tcW w:w="1121"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default" w:ascii="楷体" w:hAnsi="楷体" w:eastAsia="楷体" w:cs="仿宋_GB2312"/>
                <w:i/>
                <w:color w:val="auto"/>
                <w:szCs w:val="32"/>
                <w:lang w:val="en-US" w:eastAsia="zh-CN"/>
              </w:rPr>
            </w:pPr>
            <w:r>
              <w:rPr>
                <w:rFonts w:hint="eastAsia" w:ascii="楷体" w:hAnsi="楷体" w:eastAsia="楷体" w:cs="仿宋_GB2312"/>
                <w:i/>
                <w:color w:val="auto"/>
                <w:szCs w:val="32"/>
              </w:rPr>
              <w:t xml:space="preserve"> </w:t>
            </w:r>
            <w:r>
              <w:rPr>
                <w:rFonts w:hint="eastAsia" w:ascii="楷体" w:hAnsi="楷体" w:eastAsia="楷体" w:cs="仿宋_GB2312"/>
                <w:i/>
                <w:color w:val="auto"/>
                <w:szCs w:val="32"/>
                <w:lang w:val="en-US" w:eastAsia="zh-CN"/>
              </w:rPr>
              <w:t>960次</w:t>
            </w:r>
          </w:p>
        </w:tc>
        <w:tc>
          <w:tcPr>
            <w:tcW w:w="238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p>
        </w:tc>
        <w:tc>
          <w:tcPr>
            <w:tcW w:w="193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p>
        </w:tc>
      </w:tr>
    </w:tbl>
    <w:p>
      <w:pPr>
        <w:adjustRightInd w:val="0"/>
        <w:snapToGrid w:val="0"/>
        <w:spacing w:line="360" w:lineRule="auto"/>
        <w:rPr>
          <w:rFonts w:ascii="楷体" w:hAnsi="楷体" w:eastAsia="楷体" w:cs="仿宋_GB2312"/>
          <w:i/>
          <w:color w:val="auto"/>
          <w:szCs w:val="32"/>
        </w:rPr>
      </w:pPr>
    </w:p>
    <w:tbl>
      <w:tblPr>
        <w:tblStyle w:val="29"/>
        <w:tblW w:w="9736" w:type="dxa"/>
        <w:tblInd w:w="0" w:type="dxa"/>
        <w:tblLayout w:type="fixed"/>
        <w:tblCellMar>
          <w:top w:w="15" w:type="dxa"/>
          <w:left w:w="15" w:type="dxa"/>
          <w:bottom w:w="15" w:type="dxa"/>
          <w:right w:w="15" w:type="dxa"/>
        </w:tblCellMar>
      </w:tblPr>
      <w:tblGrid>
        <w:gridCol w:w="2006"/>
        <w:gridCol w:w="1552"/>
        <w:gridCol w:w="1735"/>
        <w:gridCol w:w="1878"/>
        <w:gridCol w:w="1396"/>
        <w:gridCol w:w="1169"/>
      </w:tblGrid>
      <w:tr>
        <w:tblPrEx>
          <w:tblCellMar>
            <w:top w:w="15" w:type="dxa"/>
            <w:left w:w="15" w:type="dxa"/>
            <w:bottom w:w="15" w:type="dxa"/>
            <w:right w:w="15" w:type="dxa"/>
          </w:tblCellMar>
        </w:tblPrEx>
        <w:trPr>
          <w:trHeight w:val="947" w:hRule="atLeast"/>
        </w:trPr>
        <w:tc>
          <w:tcPr>
            <w:tcW w:w="200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rPr>
              <w:t>名称</w:t>
            </w:r>
          </w:p>
        </w:tc>
        <w:tc>
          <w:tcPr>
            <w:tcW w:w="155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default" w:ascii="楷体" w:hAnsi="楷体" w:eastAsia="楷体" w:cs="仿宋_GB2312"/>
                <w:i/>
                <w:color w:val="auto"/>
                <w:szCs w:val="32"/>
                <w:lang w:val="en-US" w:eastAsia="zh-CN"/>
              </w:rPr>
            </w:pPr>
            <w:r>
              <w:rPr>
                <w:rFonts w:hint="eastAsia" w:ascii="楷体" w:hAnsi="楷体" w:eastAsia="楷体" w:cs="仿宋_GB2312"/>
                <w:i/>
                <w:color w:val="auto"/>
                <w:szCs w:val="32"/>
                <w:lang w:val="en-US" w:eastAsia="zh-CN"/>
              </w:rPr>
              <w:t>催回金额上限</w:t>
            </w:r>
          </w:p>
        </w:tc>
        <w:tc>
          <w:tcPr>
            <w:tcW w:w="173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default" w:ascii="楷体" w:hAnsi="楷体" w:eastAsia="楷体" w:cs="仿宋_GB2312"/>
                <w:i/>
                <w:color w:val="auto"/>
                <w:szCs w:val="32"/>
                <w:lang w:val="en-US" w:eastAsia="zh-CN"/>
              </w:rPr>
            </w:pPr>
            <w:r>
              <w:rPr>
                <w:rFonts w:hint="eastAsia" w:ascii="楷体" w:hAnsi="楷体" w:eastAsia="楷体" w:cs="仿宋_GB2312"/>
                <w:i/>
                <w:color w:val="auto"/>
                <w:szCs w:val="32"/>
                <w:lang w:val="en-US" w:eastAsia="zh-CN"/>
              </w:rPr>
              <w:t>催回比例上限%</w:t>
            </w:r>
          </w:p>
        </w:tc>
        <w:tc>
          <w:tcPr>
            <w:tcW w:w="187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default" w:ascii="楷体" w:hAnsi="楷体" w:eastAsia="楷体" w:cs="仿宋_GB2312"/>
                <w:i/>
                <w:color w:val="auto"/>
                <w:szCs w:val="32"/>
                <w:lang w:val="en-US" w:eastAsia="zh-CN"/>
              </w:rPr>
            </w:pPr>
            <w:r>
              <w:rPr>
                <w:rFonts w:hint="eastAsia" w:ascii="楷体" w:hAnsi="楷体" w:eastAsia="楷体" w:cs="仿宋_GB2312"/>
                <w:i/>
                <w:color w:val="auto"/>
                <w:szCs w:val="32"/>
                <w:lang w:val="en-US" w:eastAsia="zh-CN"/>
              </w:rPr>
              <w:t xml:space="preserve"> 报价催回比例%</w:t>
            </w:r>
          </w:p>
        </w:tc>
        <w:tc>
          <w:tcPr>
            <w:tcW w:w="139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lang w:val="en-US" w:eastAsia="zh-CN"/>
              </w:rPr>
              <w:t>报价</w:t>
            </w:r>
            <w:r>
              <w:rPr>
                <w:rFonts w:hint="eastAsia" w:ascii="楷体" w:hAnsi="楷体" w:eastAsia="楷体" w:cs="仿宋_GB2312"/>
                <w:i/>
                <w:color w:val="auto"/>
                <w:szCs w:val="32"/>
              </w:rPr>
              <w:t>（含税）（元）</w:t>
            </w:r>
          </w:p>
        </w:tc>
        <w:tc>
          <w:tcPr>
            <w:tcW w:w="116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lang w:val="en-US" w:eastAsia="zh-CN"/>
              </w:rPr>
              <w:t>报价</w:t>
            </w:r>
            <w:r>
              <w:rPr>
                <w:rFonts w:hint="eastAsia" w:ascii="楷体" w:hAnsi="楷体" w:eastAsia="楷体" w:cs="仿宋_GB2312"/>
                <w:i/>
                <w:color w:val="auto"/>
                <w:szCs w:val="32"/>
              </w:rPr>
              <w:t>净价（元）</w:t>
            </w:r>
          </w:p>
        </w:tc>
      </w:tr>
      <w:tr>
        <w:tblPrEx>
          <w:tblCellMar>
            <w:top w:w="15" w:type="dxa"/>
            <w:left w:w="15" w:type="dxa"/>
            <w:bottom w:w="15" w:type="dxa"/>
            <w:right w:w="15" w:type="dxa"/>
          </w:tblCellMar>
        </w:tblPrEx>
        <w:trPr>
          <w:trHeight w:val="530" w:hRule="atLeast"/>
        </w:trPr>
        <w:tc>
          <w:tcPr>
            <w:tcW w:w="200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r>
              <w:rPr>
                <w:rFonts w:hint="eastAsia" w:ascii="楷体" w:hAnsi="楷体" w:eastAsia="楷体" w:cs="仿宋_GB2312"/>
                <w:i/>
                <w:color w:val="auto"/>
                <w:szCs w:val="32"/>
                <w:lang w:val="en-US" w:eastAsia="zh-CN"/>
              </w:rPr>
              <w:t>逾期账户催收服务</w:t>
            </w:r>
          </w:p>
        </w:tc>
        <w:tc>
          <w:tcPr>
            <w:tcW w:w="155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default" w:ascii="楷体" w:hAnsi="楷体" w:eastAsia="楷体" w:cs="仿宋_GB2312"/>
                <w:i/>
                <w:color w:val="auto"/>
                <w:szCs w:val="32"/>
                <w:lang w:val="en-US" w:eastAsia="zh-CN"/>
              </w:rPr>
            </w:pPr>
            <w:r>
              <w:rPr>
                <w:rFonts w:hint="eastAsia" w:ascii="楷体" w:hAnsi="楷体" w:eastAsia="楷体" w:cs="仿宋_GB2312"/>
                <w:i/>
                <w:color w:val="auto"/>
                <w:szCs w:val="32"/>
              </w:rPr>
              <w:t xml:space="preserve"> </w:t>
            </w:r>
            <w:r>
              <w:rPr>
                <w:rFonts w:hint="eastAsia" w:ascii="楷体" w:hAnsi="楷体" w:eastAsia="楷体" w:cs="仿宋_GB2312"/>
                <w:i/>
                <w:color w:val="auto"/>
                <w:szCs w:val="32"/>
                <w:lang w:val="en-US" w:eastAsia="zh-CN"/>
              </w:rPr>
              <w:t>1920000元</w:t>
            </w:r>
          </w:p>
        </w:tc>
        <w:tc>
          <w:tcPr>
            <w:tcW w:w="1735"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default" w:ascii="楷体" w:hAnsi="楷体" w:eastAsia="楷体" w:cs="仿宋_GB2312"/>
                <w:i/>
                <w:color w:val="auto"/>
                <w:szCs w:val="32"/>
                <w:lang w:val="en-US" w:eastAsia="zh-CN"/>
              </w:rPr>
            </w:pPr>
            <w:r>
              <w:rPr>
                <w:rFonts w:hint="eastAsia" w:ascii="楷体" w:hAnsi="楷体" w:eastAsia="楷体" w:cs="仿宋_GB2312"/>
                <w:i/>
                <w:color w:val="auto"/>
                <w:szCs w:val="32"/>
                <w:lang w:val="en-US" w:eastAsia="zh-CN"/>
              </w:rPr>
              <w:t>20%</w:t>
            </w:r>
          </w:p>
        </w:tc>
        <w:tc>
          <w:tcPr>
            <w:tcW w:w="187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hint="eastAsia" w:ascii="楷体" w:hAnsi="楷体" w:eastAsia="楷体" w:cs="仿宋_GB2312"/>
                <w:i/>
                <w:color w:val="auto"/>
                <w:szCs w:val="32"/>
                <w:lang w:val="en-US" w:eastAsia="zh-CN"/>
              </w:rPr>
            </w:pPr>
          </w:p>
        </w:tc>
        <w:tc>
          <w:tcPr>
            <w:tcW w:w="1396"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p>
        </w:tc>
        <w:tc>
          <w:tcPr>
            <w:tcW w:w="116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rPr>
                <w:rFonts w:ascii="楷体" w:hAnsi="楷体" w:eastAsia="楷体" w:cs="仿宋_GB2312"/>
                <w:i/>
                <w:color w:val="auto"/>
                <w:szCs w:val="32"/>
              </w:rPr>
            </w:pPr>
          </w:p>
        </w:tc>
      </w:tr>
    </w:tbl>
    <w:p>
      <w:pPr>
        <w:pStyle w:val="2"/>
        <w:rPr>
          <w:color w:val="auto"/>
        </w:rPr>
      </w:pPr>
    </w:p>
    <w:p>
      <w:pPr>
        <w:adjustRightInd w:val="0"/>
        <w:snapToGrid w:val="0"/>
        <w:spacing w:line="360" w:lineRule="auto"/>
        <w:rPr>
          <w:rFonts w:ascii="楷体" w:hAnsi="楷体" w:eastAsia="楷体" w:cs="仿宋_GB2312"/>
          <w:i/>
          <w:color w:val="auto"/>
          <w:szCs w:val="32"/>
        </w:rPr>
      </w:pPr>
    </w:p>
    <w:p>
      <w:pPr>
        <w:adjustRightInd w:val="0"/>
        <w:snapToGrid w:val="0"/>
        <w:spacing w:line="360" w:lineRule="auto"/>
        <w:rPr>
          <w:rFonts w:ascii="楷体" w:hAnsi="楷体" w:eastAsia="楷体" w:cs="仿宋_GB2312"/>
          <w:i/>
          <w:color w:val="auto"/>
          <w:szCs w:val="32"/>
        </w:rPr>
      </w:pPr>
      <w:r>
        <w:rPr>
          <w:rFonts w:ascii="楷体" w:hAnsi="楷体" w:eastAsia="楷体" w:cs="仿宋_GB2312"/>
          <w:i/>
          <w:color w:val="auto"/>
          <w:szCs w:val="32"/>
        </w:rPr>
        <w:t>注：</w:t>
      </w:r>
    </w:p>
    <w:p>
      <w:pPr>
        <w:adjustRightInd w:val="0"/>
        <w:snapToGrid w:val="0"/>
        <w:spacing w:line="360" w:lineRule="auto"/>
        <w:rPr>
          <w:rFonts w:ascii="楷体" w:hAnsi="楷体" w:eastAsia="楷体" w:cs="仿宋_GB2312"/>
          <w:i/>
          <w:color w:val="auto"/>
          <w:szCs w:val="32"/>
        </w:rPr>
      </w:pPr>
      <w:r>
        <w:rPr>
          <w:rFonts w:ascii="楷体" w:hAnsi="楷体" w:eastAsia="楷体" w:cs="仿宋_GB2312"/>
          <w:i/>
          <w:color w:val="auto"/>
          <w:szCs w:val="32"/>
        </w:rPr>
        <w:t>1.涉及需分项报价的</w:t>
      </w:r>
      <w:r>
        <w:rPr>
          <w:rFonts w:hint="eastAsia" w:ascii="楷体" w:hAnsi="楷体" w:eastAsia="楷体" w:cs="仿宋_GB2312"/>
          <w:i/>
          <w:color w:val="auto"/>
          <w:szCs w:val="32"/>
        </w:rPr>
        <w:t>，</w:t>
      </w:r>
      <w:r>
        <w:rPr>
          <w:rFonts w:ascii="楷体" w:hAnsi="楷体" w:eastAsia="楷体" w:cs="仿宋_GB2312"/>
          <w:i/>
          <w:color w:val="auto"/>
          <w:szCs w:val="32"/>
        </w:rPr>
        <w:t>供应商每次报价均需提供本表。</w:t>
      </w:r>
    </w:p>
    <w:p>
      <w:pPr>
        <w:adjustRightInd w:val="0"/>
        <w:snapToGrid w:val="0"/>
        <w:spacing w:line="360" w:lineRule="auto"/>
        <w:rPr>
          <w:rFonts w:ascii="楷体" w:hAnsi="楷体" w:eastAsia="楷体" w:cs="仿宋_GB2312"/>
          <w:i/>
          <w:color w:val="auto"/>
          <w:szCs w:val="32"/>
        </w:rPr>
      </w:pPr>
      <w:r>
        <w:rPr>
          <w:rFonts w:ascii="楷体" w:hAnsi="楷体" w:eastAsia="楷体" w:cs="仿宋_GB2312"/>
          <w:i/>
          <w:color w:val="auto"/>
          <w:szCs w:val="32"/>
        </w:rPr>
        <w:t>2.如果按单价计算的结果与总价不一致，以单价为准修正总价。</w:t>
      </w:r>
    </w:p>
    <w:p>
      <w:pPr>
        <w:adjustRightInd w:val="0"/>
        <w:snapToGrid w:val="0"/>
        <w:spacing w:line="360" w:lineRule="auto"/>
        <w:rPr>
          <w:rFonts w:ascii="楷体" w:hAnsi="楷体" w:eastAsia="楷体" w:cs="仿宋_GB2312"/>
          <w:i/>
          <w:color w:val="auto"/>
          <w:szCs w:val="32"/>
        </w:rPr>
      </w:pPr>
      <w:r>
        <w:rPr>
          <w:rFonts w:ascii="楷体" w:hAnsi="楷体" w:eastAsia="楷体" w:cs="仿宋_GB2312"/>
          <w:i/>
          <w:color w:val="auto"/>
          <w:szCs w:val="32"/>
        </w:rPr>
        <w:t>3.供应商可根据实际情况自行扩展表格细项。</w:t>
      </w:r>
    </w:p>
    <w:p>
      <w:pPr>
        <w:pStyle w:val="2"/>
        <w:rPr>
          <w:rFonts w:hint="default" w:eastAsia="楷体"/>
          <w:color w:val="auto"/>
          <w:lang w:val="en-US" w:eastAsia="zh-CN"/>
        </w:rPr>
      </w:pPr>
      <w:r>
        <w:rPr>
          <w:rFonts w:hint="eastAsia" w:ascii="楷体" w:hAnsi="楷体" w:eastAsia="楷体" w:cs="仿宋_GB2312"/>
          <w:i/>
          <w:color w:val="auto"/>
          <w:szCs w:val="32"/>
          <w:lang w:val="en-US" w:eastAsia="zh-CN"/>
        </w:rPr>
        <w:t>4.逾期账户催收服务金额（含税）（元）=催回金额上限*催回比例%。</w:t>
      </w:r>
    </w:p>
    <w:p>
      <w:pPr>
        <w:adjustRightInd w:val="0"/>
        <w:snapToGrid w:val="0"/>
        <w:spacing w:line="360" w:lineRule="auto"/>
        <w:rPr>
          <w:rFonts w:ascii="宋体" w:hAnsi="宋体" w:cs="宋体"/>
          <w:color w:val="FF0000"/>
        </w:rPr>
      </w:pPr>
    </w:p>
    <w:p>
      <w:pPr>
        <w:adjustRightInd w:val="0"/>
        <w:snapToGrid w:val="0"/>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授权代表签字并加盖公章</w:t>
      </w:r>
      <w:r>
        <w:rPr>
          <w:rFonts w:hint="eastAsia" w:ascii="宋体" w:hAnsi="宋体" w:cs="宋体"/>
          <w:color w:val="000000" w:themeColor="text1"/>
          <w:u w:val="single"/>
          <w14:textFill>
            <w14:solidFill>
              <w14:schemeClr w14:val="tx1"/>
            </w14:solidFill>
          </w14:textFill>
        </w:rPr>
        <w:t xml:space="preserve"> </w:t>
      </w:r>
    </w:p>
    <w:p>
      <w:pPr>
        <w:adjustRightInd w:val="0"/>
        <w:snapToGrid w:val="0"/>
        <w:spacing w:line="360" w:lineRule="auto"/>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日期：</w:t>
      </w:r>
      <w:r>
        <w:rPr>
          <w:rFonts w:hint="eastAsia" w:ascii="宋体" w:hAnsi="宋体" w:cs="宋体"/>
          <w:color w:val="000000" w:themeColor="text1"/>
          <w:u w:val="single"/>
          <w14:textFill>
            <w14:solidFill>
              <w14:schemeClr w14:val="tx1"/>
            </w14:solidFill>
          </w14:textFill>
        </w:rPr>
        <w:t xml:space="preserve"> </w:t>
      </w:r>
      <w:bookmarkStart w:id="209" w:name="_Toc127761806"/>
      <w:bookmarkEnd w:id="209"/>
      <w:bookmarkStart w:id="210" w:name="_Toc125183170"/>
      <w:bookmarkEnd w:id="210"/>
      <w:bookmarkStart w:id="211" w:name="_Toc104714659"/>
      <w:bookmarkEnd w:id="211"/>
    </w:p>
    <w:p>
      <w:pPr>
        <w:pStyle w:val="3"/>
        <w:tabs>
          <w:tab w:val="clear" w:pos="425"/>
        </w:tabs>
        <w:spacing w:before="0" w:after="0" w:line="560" w:lineRule="exact"/>
        <w:ind w:left="424" w:hanging="424" w:hangingChars="151"/>
        <w:jc w:val="left"/>
        <w:rPr>
          <w:rFonts w:ascii="仿宋_GB2312" w:hAnsi="宋体" w:eastAsia="仿宋_GB2312" w:cs="宋体"/>
          <w:color w:val="auto"/>
          <w:sz w:val="28"/>
          <w:szCs w:val="28"/>
        </w:rPr>
      </w:pPr>
    </w:p>
    <w:p>
      <w:pPr>
        <w:pStyle w:val="3"/>
        <w:tabs>
          <w:tab w:val="clear" w:pos="425"/>
        </w:tabs>
        <w:spacing w:before="0" w:after="0" w:line="560" w:lineRule="exact"/>
        <w:ind w:left="424" w:hanging="424" w:hangingChars="151"/>
        <w:jc w:val="left"/>
        <w:rPr>
          <w:rFonts w:ascii="仿宋_GB2312" w:hAnsi="宋体" w:eastAsia="仿宋_GB2312" w:cs="宋体"/>
          <w:color w:val="auto"/>
          <w:sz w:val="28"/>
          <w:szCs w:val="28"/>
        </w:rPr>
      </w:pPr>
    </w:p>
    <w:sectPr>
      <w:footerReference r:id="rId15" w:type="first"/>
      <w:footerReference r:id="rId14" w:type="default"/>
      <w:pgSz w:w="11906" w:h="16838"/>
      <w:pgMar w:top="1418" w:right="1555" w:bottom="1418" w:left="1531"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sz w:val="20"/>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28</w:t>
                    </w:r>
                    <w:r>
                      <w:fldChar w:fldCharType="end"/>
                    </w:r>
                  </w:p>
                </w:txbxContent>
              </v:textbox>
            </v:shape>
          </w:pict>
        </mc:Fallback>
      </mc:AlternateContent>
    </w:r>
  </w:p>
  <w:p>
    <w:pPr>
      <w:pStyle w:val="1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jc w:val="both"/>
    </w:pPr>
  </w:p>
  <w:p>
    <w:pPr>
      <w:pStyle w:val="20"/>
      <w:pBdr>
        <w:bottom w:val="none" w:color="auto" w:sz="0" w:space="0"/>
      </w:pBdr>
      <w:rPr>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71B25D"/>
    <w:multiLevelType w:val="singleLevel"/>
    <w:tmpl w:val="9471B25D"/>
    <w:lvl w:ilvl="0" w:tentative="0">
      <w:start w:val="2"/>
      <w:numFmt w:val="chineseCounting"/>
      <w:suff w:val="nothing"/>
      <w:lvlText w:val="（%1）"/>
      <w:lvlJc w:val="left"/>
      <w:pPr>
        <w:ind w:left="210" w:leftChars="0" w:firstLine="0" w:firstLineChars="0"/>
      </w:pPr>
      <w:rPr>
        <w:rFonts w:hint="eastAsia"/>
      </w:rPr>
    </w:lvl>
  </w:abstractNum>
  <w:abstractNum w:abstractNumId="1">
    <w:nsid w:val="BFAC5F55"/>
    <w:multiLevelType w:val="singleLevel"/>
    <w:tmpl w:val="BFAC5F55"/>
    <w:lvl w:ilvl="0" w:tentative="0">
      <w:start w:val="1"/>
      <w:numFmt w:val="decimal"/>
      <w:lvlText w:val="%1."/>
      <w:lvlJc w:val="left"/>
      <w:pPr>
        <w:tabs>
          <w:tab w:val="left" w:pos="312"/>
        </w:tabs>
        <w:ind w:left="420" w:leftChars="0" w:firstLine="0" w:firstLineChars="0"/>
      </w:pPr>
    </w:lvl>
  </w:abstractNum>
  <w:abstractNum w:abstractNumId="2">
    <w:nsid w:val="D0CED237"/>
    <w:multiLevelType w:val="singleLevel"/>
    <w:tmpl w:val="D0CED237"/>
    <w:lvl w:ilvl="0" w:tentative="0">
      <w:start w:val="1"/>
      <w:numFmt w:val="decimal"/>
      <w:suff w:val="nothing"/>
      <w:lvlText w:val="（%1）"/>
      <w:lvlJc w:val="left"/>
    </w:lvl>
  </w:abstractNum>
  <w:abstractNum w:abstractNumId="3">
    <w:nsid w:val="DF1F3127"/>
    <w:multiLevelType w:val="singleLevel"/>
    <w:tmpl w:val="DF1F3127"/>
    <w:lvl w:ilvl="0" w:tentative="0">
      <w:start w:val="4"/>
      <w:numFmt w:val="chineseCounting"/>
      <w:suff w:val="space"/>
      <w:lvlText w:val="第%1章"/>
      <w:lvlJc w:val="left"/>
      <w:rPr>
        <w:rFonts w:hint="eastAsia"/>
      </w:rPr>
    </w:lvl>
  </w:abstractNum>
  <w:abstractNum w:abstractNumId="4">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5">
    <w:nsid w:val="26A3F8B8"/>
    <w:multiLevelType w:val="singleLevel"/>
    <w:tmpl w:val="26A3F8B8"/>
    <w:lvl w:ilvl="0" w:tentative="0">
      <w:start w:val="1"/>
      <w:numFmt w:val="decimal"/>
      <w:lvlText w:val="%1."/>
      <w:lvlJc w:val="left"/>
      <w:pPr>
        <w:tabs>
          <w:tab w:val="left" w:pos="312"/>
        </w:tabs>
        <w:ind w:left="420" w:leftChars="0" w:firstLine="0" w:firstLineChars="0"/>
      </w:pPr>
    </w:lvl>
  </w:abstractNum>
  <w:abstractNum w:abstractNumId="6">
    <w:nsid w:val="5B1DD663"/>
    <w:multiLevelType w:val="singleLevel"/>
    <w:tmpl w:val="5B1DD663"/>
    <w:lvl w:ilvl="0" w:tentative="0">
      <w:start w:val="2"/>
      <w:numFmt w:val="chineseCounting"/>
      <w:suff w:val="nothing"/>
      <w:lvlText w:val="%1、"/>
      <w:lvlJc w:val="left"/>
      <w:rPr>
        <w:rFonts w:hint="eastAsia"/>
      </w:rPr>
    </w:lvl>
  </w:abstractNum>
  <w:abstractNum w:abstractNumId="7">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4"/>
  </w:num>
  <w:num w:numId="2">
    <w:abstractNumId w:val="7"/>
  </w:num>
  <w:num w:numId="3">
    <w:abstractNumId w:val="2"/>
  </w:num>
  <w:num w:numId="4">
    <w:abstractNumId w:val="3"/>
  </w:num>
  <w:num w:numId="5">
    <w:abstractNumId w:val="5"/>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6974FE"/>
    <w:rsid w:val="032269F9"/>
    <w:rsid w:val="03CA6EF6"/>
    <w:rsid w:val="0569312B"/>
    <w:rsid w:val="06E8750D"/>
    <w:rsid w:val="0A141145"/>
    <w:rsid w:val="0AA10115"/>
    <w:rsid w:val="0ACB4877"/>
    <w:rsid w:val="0E6F7B27"/>
    <w:rsid w:val="105746A1"/>
    <w:rsid w:val="13B40768"/>
    <w:rsid w:val="17334565"/>
    <w:rsid w:val="178772D7"/>
    <w:rsid w:val="18146217"/>
    <w:rsid w:val="18215304"/>
    <w:rsid w:val="19332BB1"/>
    <w:rsid w:val="19A838A8"/>
    <w:rsid w:val="1D237383"/>
    <w:rsid w:val="1F5171F9"/>
    <w:rsid w:val="232457F5"/>
    <w:rsid w:val="24CF4FC0"/>
    <w:rsid w:val="292532D4"/>
    <w:rsid w:val="29E0310F"/>
    <w:rsid w:val="2DF81ACA"/>
    <w:rsid w:val="2E3461D7"/>
    <w:rsid w:val="2F6D6814"/>
    <w:rsid w:val="34425E22"/>
    <w:rsid w:val="362C1207"/>
    <w:rsid w:val="37915A99"/>
    <w:rsid w:val="397D76E1"/>
    <w:rsid w:val="3D686E9D"/>
    <w:rsid w:val="3E2D229D"/>
    <w:rsid w:val="41DE5B88"/>
    <w:rsid w:val="55FE463F"/>
    <w:rsid w:val="56257777"/>
    <w:rsid w:val="5AE1183E"/>
    <w:rsid w:val="5B7D6727"/>
    <w:rsid w:val="5B9A01BB"/>
    <w:rsid w:val="5C5D0552"/>
    <w:rsid w:val="5E511C02"/>
    <w:rsid w:val="63936F88"/>
    <w:rsid w:val="6936651F"/>
    <w:rsid w:val="6D535020"/>
    <w:rsid w:val="6F204EAE"/>
    <w:rsid w:val="72DF1A44"/>
    <w:rsid w:val="746305B1"/>
    <w:rsid w:val="74862811"/>
    <w:rsid w:val="772B54F6"/>
    <w:rsid w:val="7913570D"/>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3.jpeg"/><Relationship Id="rId18" Type="http://schemas.openxmlformats.org/officeDocument/2006/relationships/image" Target="media/image2.jpeg"/><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3978</Words>
  <Characters>22681</Characters>
  <Lines>189</Lines>
  <Paragraphs>53</Paragraphs>
  <TotalTime>1</TotalTime>
  <ScaleCrop>false</ScaleCrop>
  <LinksUpToDate>false</LinksUpToDate>
  <CharactersWithSpaces>26606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王珏慧</cp:lastModifiedBy>
  <cp:lastPrinted>2019-12-03T09:03:00Z</cp:lastPrinted>
  <dcterms:modified xsi:type="dcterms:W3CDTF">2026-05-27T08:31:50Z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36607F6C9DB14249AA2D1165A6C219A1</vt:lpwstr>
  </property>
</Properties>
</file>