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0"/>
        <w:adjustRightInd w:val="0"/>
        <w:snapToGrid w:val="0"/>
        <w:spacing w:line="360" w:lineRule="auto"/>
        <w:jc w:val="center"/>
        <w:rPr>
          <w:rFonts w:hint="eastAsia" w:ascii="黑体" w:hAnsi="黑体" w:eastAsia="黑体"/>
          <w:sz w:val="32"/>
          <w:szCs w:val="32"/>
        </w:rPr>
      </w:pPr>
      <w:r>
        <w:rPr>
          <w:rFonts w:hint="eastAsia" w:ascii="黑体" w:hAnsi="黑体" w:eastAsia="黑体"/>
          <w:sz w:val="32"/>
          <w:szCs w:val="32"/>
          <w:lang w:val="en-US" w:eastAsia="zh-CN"/>
        </w:rPr>
        <w:t>人保财险青海乐都支公司职场装修改造采购</w:t>
      </w:r>
      <w:r>
        <w:rPr>
          <w:rFonts w:hint="eastAsia" w:ascii="黑体" w:hAnsi="黑体" w:eastAsia="黑体"/>
          <w:sz w:val="32"/>
          <w:szCs w:val="32"/>
        </w:rPr>
        <w:t>项目</w:t>
      </w:r>
    </w:p>
    <w:p>
      <w:pPr>
        <w:pStyle w:val="50"/>
        <w:adjustRightInd w:val="0"/>
        <w:snapToGrid w:val="0"/>
        <w:spacing w:line="360" w:lineRule="auto"/>
        <w:jc w:val="center"/>
        <w:rPr>
          <w:sz w:val="28"/>
          <w:szCs w:val="28"/>
        </w:rPr>
      </w:pPr>
      <w:r>
        <w:rPr>
          <w:rFonts w:hint="eastAsia" w:ascii="黑体" w:hAnsi="黑体" w:eastAsia="黑体"/>
          <w:sz w:val="32"/>
          <w:szCs w:val="32"/>
          <w:lang w:val="en-US" w:eastAsia="zh-CN"/>
        </w:rPr>
        <w:t>比选</w:t>
      </w:r>
      <w:r>
        <w:rPr>
          <w:rFonts w:hint="eastAsia" w:ascii="黑体" w:hAnsi="黑体" w:eastAsia="黑体"/>
          <w:sz w:val="32"/>
          <w:szCs w:val="32"/>
        </w:rPr>
        <w:t>文件</w:t>
      </w:r>
    </w:p>
    <w:p>
      <w:pPr>
        <w:pStyle w:val="50"/>
        <w:adjustRightInd w:val="0"/>
        <w:snapToGrid w:val="0"/>
        <w:spacing w:line="360" w:lineRule="auto"/>
        <w:rPr>
          <w:rFonts w:hint="eastAsia"/>
          <w:sz w:val="28"/>
          <w:szCs w:val="28"/>
        </w:rPr>
      </w:pPr>
      <w:r>
        <w:rPr>
          <w:rFonts w:hint="eastAsia" w:ascii="黑体" w:hAnsi="黑体" w:eastAsia="黑体"/>
          <w:color w:val="auto"/>
          <w:sz w:val="32"/>
          <w:szCs w:val="32"/>
          <w:u w:val="single"/>
          <w:lang w:val="en-US" w:eastAsia="zh-CN"/>
        </w:rPr>
        <w:t xml:space="preserve">                         </w:t>
      </w:r>
      <w:r>
        <w:rPr>
          <w:rFonts w:hint="eastAsia"/>
          <w:b/>
          <w:bCs/>
          <w:color w:val="auto"/>
          <w:sz w:val="28"/>
          <w:szCs w:val="28"/>
        </w:rPr>
        <w:t>：</w:t>
      </w:r>
    </w:p>
    <w:p>
      <w:pPr>
        <w:pStyle w:val="50"/>
        <w:adjustRightInd w:val="0"/>
        <w:snapToGrid w:val="0"/>
        <w:spacing w:line="360" w:lineRule="auto"/>
        <w:ind w:firstLine="560"/>
        <w:rPr>
          <w:sz w:val="28"/>
          <w:szCs w:val="28"/>
        </w:rPr>
      </w:pPr>
      <w:r>
        <w:rPr>
          <w:rFonts w:hint="eastAsia"/>
          <w:sz w:val="28"/>
          <w:szCs w:val="28"/>
        </w:rPr>
        <w:t>我公司拟通过</w:t>
      </w:r>
      <w:r>
        <w:rPr>
          <w:rFonts w:hint="eastAsia"/>
          <w:b/>
          <w:bCs/>
          <w:sz w:val="28"/>
          <w:szCs w:val="28"/>
          <w:lang w:val="en-US" w:eastAsia="zh-CN"/>
        </w:rPr>
        <w:t>比选</w:t>
      </w:r>
      <w:r>
        <w:rPr>
          <w:rFonts w:hint="eastAsia"/>
          <w:b/>
          <w:bCs/>
          <w:sz w:val="28"/>
          <w:szCs w:val="28"/>
        </w:rPr>
        <w:t>方式</w:t>
      </w:r>
      <w:r>
        <w:rPr>
          <w:rFonts w:hint="eastAsia"/>
          <w:sz w:val="28"/>
          <w:szCs w:val="28"/>
        </w:rPr>
        <w:t>选择</w:t>
      </w:r>
      <w:r>
        <w:rPr>
          <w:rFonts w:hint="eastAsia"/>
          <w:sz w:val="28"/>
          <w:szCs w:val="28"/>
          <w:lang w:val="en-US" w:eastAsia="zh-CN"/>
        </w:rPr>
        <w:t>人保财险乐都支公司职场装修改造项目</w:t>
      </w:r>
      <w:r>
        <w:rPr>
          <w:rFonts w:hint="eastAsia"/>
          <w:sz w:val="28"/>
          <w:szCs w:val="28"/>
        </w:rPr>
        <w:t>供应商，</w:t>
      </w: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按本文件之规定准备</w:t>
      </w:r>
      <w:r>
        <w:rPr>
          <w:rFonts w:hint="eastAsia"/>
          <w:b/>
          <w:color w:val="000000"/>
          <w:sz w:val="28"/>
          <w:szCs w:val="28"/>
        </w:rPr>
        <w:t>响应文件</w:t>
      </w:r>
      <w:r>
        <w:rPr>
          <w:rFonts w:hint="eastAsia"/>
          <w:sz w:val="28"/>
          <w:szCs w:val="28"/>
        </w:rPr>
        <w:t>并参加</w:t>
      </w:r>
      <w:r>
        <w:rPr>
          <w:rFonts w:hint="eastAsia"/>
          <w:sz w:val="28"/>
          <w:szCs w:val="28"/>
          <w:lang w:val="en-US" w:eastAsia="zh-CN"/>
        </w:rPr>
        <w:t>比选</w:t>
      </w:r>
      <w:r>
        <w:rPr>
          <w:rFonts w:hint="eastAsia"/>
          <w:sz w:val="28"/>
          <w:szCs w:val="28"/>
        </w:rPr>
        <w:t>会议，</w:t>
      </w:r>
      <w:r>
        <w:rPr>
          <w:rFonts w:hint="eastAsia"/>
          <w:sz w:val="28"/>
          <w:szCs w:val="28"/>
          <w:lang w:val="en-US" w:eastAsia="zh-CN"/>
        </w:rPr>
        <w:t>比选</w:t>
      </w:r>
      <w:r>
        <w:rPr>
          <w:rFonts w:hint="eastAsia"/>
          <w:sz w:val="28"/>
          <w:szCs w:val="28"/>
        </w:rPr>
        <w:t>相关事宜见附件。</w:t>
      </w:r>
    </w:p>
    <w:p>
      <w:pPr>
        <w:pStyle w:val="50"/>
        <w:adjustRightInd w:val="0"/>
        <w:snapToGrid w:val="0"/>
        <w:spacing w:line="360" w:lineRule="auto"/>
        <w:ind w:firstLine="420"/>
        <w:rPr>
          <w:rFonts w:hint="default" w:eastAsia="宋体"/>
          <w:sz w:val="28"/>
          <w:szCs w:val="28"/>
          <w:lang w:val="en-US" w:eastAsia="zh-CN"/>
        </w:rPr>
      </w:pPr>
      <w:r>
        <w:rPr>
          <w:rFonts w:hint="eastAsia"/>
          <w:sz w:val="28"/>
          <w:szCs w:val="28"/>
        </w:rPr>
        <w:t xml:space="preserve"> 采购机构名称：中国人民财产保险股份有限公司</w:t>
      </w:r>
      <w:r>
        <w:rPr>
          <w:rFonts w:hint="eastAsia"/>
          <w:sz w:val="28"/>
          <w:szCs w:val="28"/>
          <w:lang w:val="en-US" w:eastAsia="zh-CN"/>
        </w:rPr>
        <w:t>海东市分公司</w:t>
      </w:r>
    </w:p>
    <w:p>
      <w:pPr>
        <w:pStyle w:val="50"/>
        <w:adjustRightInd w:val="0"/>
        <w:snapToGrid w:val="0"/>
        <w:spacing w:line="360" w:lineRule="auto"/>
        <w:ind w:firstLine="420"/>
        <w:rPr>
          <w:rFonts w:hint="eastAsia"/>
          <w:sz w:val="28"/>
          <w:szCs w:val="28"/>
        </w:rPr>
      </w:pPr>
    </w:p>
    <w:p>
      <w:pPr>
        <w:pStyle w:val="50"/>
        <w:adjustRightInd w:val="0"/>
        <w:snapToGrid w:val="0"/>
        <w:spacing w:line="360" w:lineRule="auto"/>
        <w:ind w:firstLine="420"/>
        <w:rPr>
          <w:rFonts w:hint="default" w:eastAsia="宋体"/>
          <w:sz w:val="28"/>
          <w:szCs w:val="28"/>
          <w:lang w:val="en-US" w:eastAsia="zh-CN"/>
        </w:rPr>
      </w:pPr>
      <w:r>
        <w:rPr>
          <w:rFonts w:hint="eastAsia"/>
          <w:sz w:val="28"/>
          <w:szCs w:val="28"/>
        </w:rPr>
        <w:t>地址：</w:t>
      </w:r>
      <w:r>
        <w:rPr>
          <w:rFonts w:hint="eastAsia"/>
          <w:sz w:val="28"/>
          <w:szCs w:val="28"/>
          <w:lang w:val="en-US" w:eastAsia="zh-CN"/>
        </w:rPr>
        <w:t>青海省海东市乐都区碾伯镇西关街15号世翔大厦10楼</w:t>
      </w:r>
    </w:p>
    <w:p>
      <w:pPr>
        <w:pStyle w:val="50"/>
        <w:adjustRightInd w:val="0"/>
        <w:snapToGrid w:val="0"/>
        <w:spacing w:line="360" w:lineRule="auto"/>
        <w:ind w:firstLine="420"/>
        <w:rPr>
          <w:rFonts w:hint="default" w:eastAsia="宋体"/>
          <w:color w:val="FF0000"/>
          <w:sz w:val="28"/>
          <w:szCs w:val="28"/>
          <w:lang w:val="en-US" w:eastAsia="zh-CN"/>
        </w:rPr>
      </w:pPr>
      <w:r>
        <w:rPr>
          <w:rFonts w:hint="eastAsia"/>
          <w:sz w:val="28"/>
          <w:szCs w:val="28"/>
        </w:rPr>
        <w:t>电话：</w:t>
      </w:r>
      <w:r>
        <w:rPr>
          <w:rFonts w:hint="eastAsia"/>
          <w:sz w:val="28"/>
          <w:szCs w:val="28"/>
          <w:lang w:val="en-US" w:eastAsia="zh-CN"/>
        </w:rPr>
        <w:t>0972-8612613 18909727759</w:t>
      </w:r>
    </w:p>
    <w:p>
      <w:pPr>
        <w:pStyle w:val="50"/>
        <w:adjustRightInd w:val="0"/>
        <w:snapToGrid w:val="0"/>
        <w:spacing w:line="360" w:lineRule="auto"/>
        <w:ind w:firstLine="420"/>
        <w:rPr>
          <w:rFonts w:hint="eastAsia"/>
          <w:sz w:val="28"/>
          <w:szCs w:val="28"/>
        </w:rPr>
      </w:pPr>
      <w:r>
        <w:rPr>
          <w:rFonts w:hint="eastAsia"/>
          <w:sz w:val="28"/>
          <w:szCs w:val="28"/>
        </w:rPr>
        <w:t>联系人：</w:t>
      </w:r>
      <w:r>
        <w:rPr>
          <w:rFonts w:hint="eastAsia"/>
          <w:sz w:val="28"/>
          <w:szCs w:val="28"/>
          <w:lang w:val="en-US" w:eastAsia="zh-CN"/>
        </w:rPr>
        <w:t>赵化君</w:t>
      </w:r>
    </w:p>
    <w:p>
      <w:pPr>
        <w:pStyle w:val="50"/>
        <w:adjustRightInd w:val="0"/>
        <w:snapToGrid w:val="0"/>
        <w:spacing w:line="360" w:lineRule="auto"/>
        <w:rPr>
          <w:sz w:val="28"/>
          <w:szCs w:val="28"/>
        </w:rPr>
      </w:pPr>
      <w:r>
        <w:rPr>
          <w:rFonts w:hint="eastAsia"/>
          <w:sz w:val="28"/>
          <w:szCs w:val="28"/>
        </w:rPr>
        <w:t xml:space="preserve">   附件：一、</w:t>
      </w:r>
      <w:r>
        <w:rPr>
          <w:rFonts w:hint="eastAsia"/>
          <w:sz w:val="28"/>
          <w:szCs w:val="28"/>
          <w:lang w:val="en-US" w:eastAsia="zh-CN"/>
        </w:rPr>
        <w:t>比选</w:t>
      </w:r>
      <w:r>
        <w:rPr>
          <w:rFonts w:hint="eastAsia"/>
          <w:sz w:val="28"/>
          <w:szCs w:val="28"/>
        </w:rPr>
        <w:t>事项说明</w:t>
      </w:r>
    </w:p>
    <w:p>
      <w:pPr>
        <w:pStyle w:val="50"/>
        <w:adjustRightInd w:val="0"/>
        <w:snapToGrid w:val="0"/>
        <w:spacing w:line="360" w:lineRule="auto"/>
        <w:ind w:firstLine="840"/>
        <w:rPr>
          <w:sz w:val="28"/>
          <w:szCs w:val="28"/>
        </w:rPr>
      </w:pPr>
      <w:r>
        <w:rPr>
          <w:rFonts w:hint="eastAsia"/>
          <w:sz w:val="28"/>
          <w:szCs w:val="28"/>
        </w:rPr>
        <w:t xml:space="preserve">   二、响应文件格式和表格</w:t>
      </w:r>
    </w:p>
    <w:p>
      <w:pPr>
        <w:pStyle w:val="50"/>
        <w:adjustRightInd w:val="0"/>
        <w:snapToGrid w:val="0"/>
        <w:spacing w:line="360" w:lineRule="auto"/>
        <w:ind w:firstLine="840"/>
        <w:rPr>
          <w:sz w:val="28"/>
          <w:szCs w:val="28"/>
        </w:rPr>
      </w:pPr>
      <w:r>
        <w:rPr>
          <w:rFonts w:hint="eastAsia"/>
          <w:sz w:val="28"/>
          <w:szCs w:val="28"/>
        </w:rPr>
        <w:t xml:space="preserve">   三、资格证明文件</w:t>
      </w:r>
    </w:p>
    <w:p>
      <w:pPr>
        <w:pStyle w:val="50"/>
        <w:adjustRightInd w:val="0"/>
        <w:snapToGrid w:val="0"/>
        <w:spacing w:line="360" w:lineRule="auto"/>
        <w:ind w:firstLine="840"/>
        <w:rPr>
          <w:sz w:val="28"/>
          <w:szCs w:val="28"/>
        </w:rPr>
      </w:pPr>
      <w:r>
        <w:rPr>
          <w:rFonts w:hint="eastAsia"/>
          <w:sz w:val="28"/>
          <w:szCs w:val="28"/>
        </w:rPr>
        <w:t xml:space="preserve">   四、项目采购需求及服务要求</w:t>
      </w:r>
    </w:p>
    <w:p>
      <w:pPr>
        <w:pStyle w:val="50"/>
        <w:adjustRightInd w:val="0"/>
        <w:snapToGrid w:val="0"/>
        <w:spacing w:line="360" w:lineRule="auto"/>
        <w:rPr>
          <w:sz w:val="28"/>
          <w:szCs w:val="28"/>
        </w:rPr>
      </w:pPr>
      <w:r>
        <w:rPr>
          <w:rFonts w:hint="eastAsia"/>
          <w:sz w:val="28"/>
          <w:szCs w:val="28"/>
        </w:rPr>
        <w:t xml:space="preserve"> </w:t>
      </w:r>
    </w:p>
    <w:p>
      <w:pPr>
        <w:pStyle w:val="50"/>
        <w:adjustRightInd w:val="0"/>
        <w:snapToGrid w:val="0"/>
        <w:spacing w:line="360" w:lineRule="auto"/>
        <w:rPr>
          <w:rFonts w:hint="eastAsia"/>
          <w:sz w:val="28"/>
          <w:szCs w:val="28"/>
          <w:lang w:val="en-US" w:eastAsia="zh-CN"/>
        </w:rPr>
      </w:pPr>
    </w:p>
    <w:p>
      <w:pPr>
        <w:pStyle w:val="50"/>
        <w:adjustRightInd w:val="0"/>
        <w:snapToGrid w:val="0"/>
        <w:spacing w:line="360" w:lineRule="auto"/>
        <w:ind w:firstLine="4760" w:firstLineChars="1700"/>
        <w:rPr>
          <w:rFonts w:hint="eastAsia"/>
          <w:sz w:val="28"/>
          <w:szCs w:val="28"/>
        </w:rPr>
      </w:pPr>
      <w:r>
        <w:rPr>
          <w:rFonts w:hint="eastAsia"/>
          <w:sz w:val="28"/>
          <w:szCs w:val="28"/>
          <w:lang w:val="en-US" w:eastAsia="zh-CN"/>
        </w:rPr>
        <w:t>中</w:t>
      </w:r>
      <w:r>
        <w:rPr>
          <w:rFonts w:hint="eastAsia"/>
          <w:sz w:val="28"/>
          <w:szCs w:val="28"/>
        </w:rPr>
        <w:t>国人民财产保险股份有限公司</w:t>
      </w:r>
    </w:p>
    <w:p>
      <w:pPr>
        <w:pStyle w:val="50"/>
        <w:adjustRightInd w:val="0"/>
        <w:snapToGrid w:val="0"/>
        <w:spacing w:line="360" w:lineRule="auto"/>
        <w:ind w:firstLine="5880" w:firstLineChars="2100"/>
        <w:rPr>
          <w:rFonts w:hint="default" w:eastAsia="宋体"/>
          <w:sz w:val="28"/>
          <w:szCs w:val="28"/>
          <w:lang w:val="en-US" w:eastAsia="zh-CN"/>
        </w:rPr>
      </w:pPr>
      <w:r>
        <w:rPr>
          <w:rFonts w:hint="eastAsia"/>
          <w:sz w:val="28"/>
          <w:szCs w:val="28"/>
          <w:lang w:val="en-US" w:eastAsia="zh-CN"/>
        </w:rPr>
        <w:t xml:space="preserve">海东市分公司 </w:t>
      </w:r>
    </w:p>
    <w:p>
      <w:pPr>
        <w:pStyle w:val="50"/>
        <w:adjustRightInd w:val="0"/>
        <w:snapToGrid w:val="0"/>
        <w:spacing w:line="360" w:lineRule="auto"/>
        <w:ind w:firstLine="570"/>
        <w:jc w:val="center"/>
        <w:rPr>
          <w:rFonts w:hint="default" w:eastAsia="宋体"/>
          <w:sz w:val="28"/>
          <w:szCs w:val="28"/>
          <w:lang w:val="en-US" w:eastAsia="zh-CN"/>
        </w:rPr>
      </w:pPr>
      <w:r>
        <w:rPr>
          <w:rFonts w:hint="eastAsia"/>
          <w:sz w:val="28"/>
          <w:szCs w:val="28"/>
          <w:lang w:val="en-US" w:eastAsia="zh-CN"/>
        </w:rPr>
        <w:t xml:space="preserve">                             2026年5月                                                                                                                                          </w:t>
      </w:r>
    </w:p>
    <w:p>
      <w:pPr>
        <w:pStyle w:val="50"/>
        <w:adjustRightInd w:val="0"/>
        <w:snapToGrid w:val="0"/>
        <w:spacing w:line="360" w:lineRule="auto"/>
        <w:ind w:firstLine="570"/>
        <w:jc w:val="center"/>
        <w:rPr>
          <w:rFonts w:hint="eastAsia"/>
          <w:sz w:val="28"/>
          <w:szCs w:val="28"/>
          <w:lang w:val="en-US" w:eastAsia="zh-CN"/>
        </w:rPr>
      </w:pPr>
      <w:r>
        <w:rPr>
          <w:rFonts w:hint="eastAsia"/>
          <w:sz w:val="28"/>
          <w:szCs w:val="28"/>
          <w:lang w:val="en-US" w:eastAsia="zh-CN"/>
        </w:rPr>
        <w:t xml:space="preserve">                                                                                                                                                         </w:t>
      </w:r>
    </w:p>
    <w:p>
      <w:pPr>
        <w:pStyle w:val="50"/>
        <w:adjustRightInd w:val="0"/>
        <w:snapToGrid w:val="0"/>
        <w:spacing w:line="360" w:lineRule="auto"/>
        <w:ind w:left="3780" w:right="620" w:hanging="3780"/>
        <w:jc w:val="right"/>
        <w:rPr>
          <w:sz w:val="28"/>
          <w:szCs w:val="28"/>
        </w:rPr>
      </w:pPr>
    </w:p>
    <w:p>
      <w:pPr>
        <w:pStyle w:val="50"/>
        <w:adjustRightInd w:val="0"/>
        <w:snapToGrid w:val="0"/>
        <w:spacing w:line="360" w:lineRule="auto"/>
        <w:ind w:left="3780" w:right="620" w:hanging="3780"/>
        <w:jc w:val="right"/>
        <w:rPr>
          <w:sz w:val="28"/>
          <w:szCs w:val="28"/>
        </w:rPr>
      </w:pPr>
    </w:p>
    <w:p>
      <w:pPr>
        <w:pStyle w:val="50"/>
        <w:adjustRightInd w:val="0"/>
        <w:snapToGrid w:val="0"/>
        <w:spacing w:line="360" w:lineRule="auto"/>
        <w:jc w:val="center"/>
        <w:rPr>
          <w:b/>
          <w:bCs/>
          <w:sz w:val="36"/>
          <w:szCs w:val="36"/>
        </w:rPr>
      </w:pPr>
    </w:p>
    <w:p>
      <w:pPr>
        <w:pStyle w:val="50"/>
        <w:adjustRightInd w:val="0"/>
        <w:snapToGrid w:val="0"/>
        <w:spacing w:line="360" w:lineRule="auto"/>
        <w:jc w:val="both"/>
        <w:rPr>
          <w:b/>
          <w:bCs/>
          <w:sz w:val="36"/>
          <w:szCs w:val="36"/>
        </w:rPr>
      </w:pPr>
    </w:p>
    <w:sdt>
      <w:sdtPr>
        <w:rPr>
          <w:rFonts w:ascii="宋体" w:hAnsi="宋体" w:eastAsia="宋体" w:cs="Times New Roman"/>
          <w:kern w:val="2"/>
          <w:sz w:val="21"/>
          <w:lang w:val="en-US" w:eastAsia="zh-CN" w:bidi="ar-SA"/>
        </w:rPr>
        <w:id w:val="147479819"/>
        <w15:color w:val="DBDBDB"/>
        <w:docPartObj>
          <w:docPartGallery w:val="Table of Contents"/>
          <w:docPartUnique/>
        </w:docPartObj>
      </w:sdtPr>
      <w:sdtEndPr>
        <w:rPr>
          <w:rFonts w:hint="default" w:ascii="宋体" w:hAnsi="宋体" w:eastAsia="宋体" w:cs="宋体"/>
          <w:color w:val="000000"/>
          <w:kern w:val="0"/>
          <w:sz w:val="21"/>
          <w:szCs w:val="21"/>
          <w:lang w:val="en-US" w:eastAsia="zh-CN" w:bidi="ar-SA"/>
        </w:rPr>
      </w:sdtEndPr>
      <w:sdtContent>
        <w:p>
          <w:pPr>
            <w:spacing w:before="0" w:beforeLines="0" w:after="0" w:afterLines="0" w:line="240" w:lineRule="auto"/>
            <w:ind w:left="0" w:leftChars="0" w:right="0" w:rightChars="0" w:firstLine="0" w:firstLineChars="0"/>
            <w:jc w:val="center"/>
            <w:rPr>
              <w:sz w:val="21"/>
              <w:szCs w:val="21"/>
            </w:rPr>
          </w:pPr>
          <w:r>
            <w:rPr>
              <w:rFonts w:ascii="宋体" w:hAnsi="宋体" w:eastAsia="宋体"/>
              <w:sz w:val="21"/>
              <w:szCs w:val="21"/>
            </w:rPr>
            <w:t>目录</w:t>
          </w:r>
        </w:p>
        <w:p>
          <w:pPr>
            <w:pStyle w:val="20"/>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color w:val="000000"/>
              <w:kern w:val="0"/>
              <w:sz w:val="21"/>
              <w:szCs w:val="21"/>
              <w:lang w:val="en-US" w:eastAsia="zh-CN" w:bidi="ar-SA"/>
            </w:rPr>
            <w:instrText xml:space="preserve">TOC \o "1-3" \h \u </w:instrText>
          </w:r>
          <w:r>
            <w:rPr>
              <w:rFonts w:hint="default" w:ascii="宋体" w:hAnsi="宋体" w:eastAsia="宋体" w:cs="宋体"/>
              <w:color w:val="000000"/>
              <w:kern w:val="0"/>
              <w:sz w:val="21"/>
              <w:szCs w:val="21"/>
              <w:lang w:val="en-US" w:eastAsia="zh-CN" w:bidi="ar-SA"/>
            </w:rPr>
            <w:fldChar w:fldCharType="separate"/>
          </w: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_Toc23399 </w:instrText>
          </w:r>
          <w:r>
            <w:rPr>
              <w:rFonts w:hint="default" w:ascii="宋体" w:hAnsi="宋体" w:eastAsia="宋体" w:cs="宋体"/>
              <w:kern w:val="0"/>
              <w:sz w:val="21"/>
              <w:szCs w:val="21"/>
              <w:lang w:val="en-US" w:eastAsia="zh-CN" w:bidi="ar-SA"/>
            </w:rPr>
            <w:fldChar w:fldCharType="separate"/>
          </w:r>
          <w:r>
            <w:rPr>
              <w:rFonts w:hint="eastAsia"/>
              <w:sz w:val="21"/>
              <w:szCs w:val="21"/>
            </w:rPr>
            <w:t>附件一：</w:t>
          </w:r>
          <w:r>
            <w:rPr>
              <w:rFonts w:hint="eastAsia"/>
              <w:sz w:val="21"/>
              <w:szCs w:val="21"/>
              <w:lang w:val="en-US" w:eastAsia="zh-CN"/>
            </w:rPr>
            <w:t>比选</w:t>
          </w:r>
          <w:r>
            <w:rPr>
              <w:rFonts w:hint="eastAsia"/>
              <w:sz w:val="21"/>
              <w:szCs w:val="21"/>
            </w:rPr>
            <w:t>事项说明</w:t>
          </w:r>
          <w:r>
            <w:rPr>
              <w:sz w:val="21"/>
              <w:szCs w:val="21"/>
            </w:rPr>
            <w:tab/>
          </w:r>
          <w:r>
            <w:rPr>
              <w:sz w:val="21"/>
              <w:szCs w:val="21"/>
            </w:rPr>
            <w:fldChar w:fldCharType="begin"/>
          </w:r>
          <w:r>
            <w:rPr>
              <w:sz w:val="21"/>
              <w:szCs w:val="21"/>
            </w:rPr>
            <w:instrText xml:space="preserve"> PAGEREF _Toc23399 \h </w:instrText>
          </w:r>
          <w:r>
            <w:rPr>
              <w:sz w:val="21"/>
              <w:szCs w:val="21"/>
            </w:rPr>
            <w:fldChar w:fldCharType="separate"/>
          </w:r>
          <w:r>
            <w:rPr>
              <w:sz w:val="21"/>
              <w:szCs w:val="21"/>
            </w:rPr>
            <w:t>3</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_Toc10062 </w:instrText>
          </w:r>
          <w:r>
            <w:rPr>
              <w:rFonts w:hint="default" w:ascii="宋体" w:hAnsi="宋体" w:eastAsia="宋体" w:cs="宋体"/>
              <w:kern w:val="0"/>
              <w:sz w:val="21"/>
              <w:szCs w:val="21"/>
              <w:lang w:val="en-US" w:eastAsia="zh-CN" w:bidi="ar-SA"/>
            </w:rPr>
            <w:fldChar w:fldCharType="separate"/>
          </w:r>
          <w:r>
            <w:rPr>
              <w:rFonts w:hint="default"/>
              <w:sz w:val="21"/>
              <w:szCs w:val="21"/>
            </w:rPr>
            <w:t xml:space="preserve">一、 </w:t>
          </w:r>
          <w:r>
            <w:rPr>
              <w:rFonts w:hint="eastAsia"/>
              <w:sz w:val="21"/>
              <w:szCs w:val="21"/>
            </w:rPr>
            <w:t>供应商资格及报名要求</w:t>
          </w:r>
          <w:r>
            <w:rPr>
              <w:sz w:val="21"/>
              <w:szCs w:val="21"/>
            </w:rPr>
            <w:tab/>
          </w:r>
          <w:r>
            <w:rPr>
              <w:sz w:val="21"/>
              <w:szCs w:val="21"/>
            </w:rPr>
            <w:fldChar w:fldCharType="begin"/>
          </w:r>
          <w:r>
            <w:rPr>
              <w:sz w:val="21"/>
              <w:szCs w:val="21"/>
            </w:rPr>
            <w:instrText xml:space="preserve"> PAGEREF _Toc10062 \h </w:instrText>
          </w:r>
          <w:r>
            <w:rPr>
              <w:sz w:val="21"/>
              <w:szCs w:val="21"/>
            </w:rPr>
            <w:fldChar w:fldCharType="separate"/>
          </w:r>
          <w:r>
            <w:rPr>
              <w:sz w:val="21"/>
              <w:szCs w:val="21"/>
            </w:rPr>
            <w:t>3</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_Toc11126 </w:instrText>
          </w:r>
          <w:r>
            <w:rPr>
              <w:rFonts w:hint="default" w:ascii="宋体" w:hAnsi="宋体" w:eastAsia="宋体" w:cs="宋体"/>
              <w:kern w:val="0"/>
              <w:sz w:val="21"/>
              <w:szCs w:val="21"/>
              <w:lang w:val="en-US" w:eastAsia="zh-CN" w:bidi="ar-SA"/>
            </w:rPr>
            <w:fldChar w:fldCharType="separate"/>
          </w:r>
          <w:r>
            <w:rPr>
              <w:rFonts w:hint="eastAsia"/>
              <w:sz w:val="21"/>
              <w:szCs w:val="21"/>
            </w:rPr>
            <w:t>二、评审标准</w:t>
          </w:r>
          <w:r>
            <w:rPr>
              <w:sz w:val="21"/>
              <w:szCs w:val="21"/>
            </w:rPr>
            <w:tab/>
          </w:r>
          <w:r>
            <w:rPr>
              <w:sz w:val="21"/>
              <w:szCs w:val="21"/>
            </w:rPr>
            <w:fldChar w:fldCharType="begin"/>
          </w:r>
          <w:r>
            <w:rPr>
              <w:sz w:val="21"/>
              <w:szCs w:val="21"/>
            </w:rPr>
            <w:instrText xml:space="preserve"> PAGEREF _Toc11126 \h </w:instrText>
          </w:r>
          <w:r>
            <w:rPr>
              <w:sz w:val="21"/>
              <w:szCs w:val="21"/>
            </w:rPr>
            <w:fldChar w:fldCharType="separate"/>
          </w:r>
          <w:r>
            <w:rPr>
              <w:sz w:val="21"/>
              <w:szCs w:val="21"/>
            </w:rPr>
            <w:t>3</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_Toc5657 </w:instrText>
          </w:r>
          <w:r>
            <w:rPr>
              <w:rFonts w:hint="default" w:ascii="宋体" w:hAnsi="宋体" w:eastAsia="宋体" w:cs="宋体"/>
              <w:kern w:val="0"/>
              <w:sz w:val="21"/>
              <w:szCs w:val="21"/>
              <w:lang w:val="en-US" w:eastAsia="zh-CN" w:bidi="ar-SA"/>
            </w:rPr>
            <w:fldChar w:fldCharType="separate"/>
          </w:r>
          <w:r>
            <w:rPr>
              <w:rFonts w:hint="eastAsia"/>
              <w:sz w:val="21"/>
              <w:szCs w:val="21"/>
            </w:rPr>
            <w:t>三、响应文件要求</w:t>
          </w:r>
          <w:r>
            <w:rPr>
              <w:sz w:val="21"/>
              <w:szCs w:val="21"/>
            </w:rPr>
            <w:tab/>
          </w:r>
          <w:r>
            <w:rPr>
              <w:sz w:val="21"/>
              <w:szCs w:val="21"/>
            </w:rPr>
            <w:fldChar w:fldCharType="begin"/>
          </w:r>
          <w:r>
            <w:rPr>
              <w:sz w:val="21"/>
              <w:szCs w:val="21"/>
            </w:rPr>
            <w:instrText xml:space="preserve"> PAGEREF _Toc5657 \h </w:instrText>
          </w:r>
          <w:r>
            <w:rPr>
              <w:sz w:val="21"/>
              <w:szCs w:val="21"/>
            </w:rPr>
            <w:fldChar w:fldCharType="separate"/>
          </w:r>
          <w:r>
            <w:rPr>
              <w:sz w:val="21"/>
              <w:szCs w:val="21"/>
            </w:rPr>
            <w:t>6</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_Toc9418 </w:instrText>
          </w:r>
          <w:r>
            <w:rPr>
              <w:rFonts w:hint="default" w:ascii="宋体" w:hAnsi="宋体" w:eastAsia="宋体" w:cs="宋体"/>
              <w:kern w:val="0"/>
              <w:sz w:val="21"/>
              <w:szCs w:val="21"/>
              <w:lang w:val="en-US" w:eastAsia="zh-CN" w:bidi="ar-SA"/>
            </w:rPr>
            <w:fldChar w:fldCharType="separate"/>
          </w:r>
          <w:r>
            <w:rPr>
              <w:rFonts w:hint="eastAsia"/>
              <w:sz w:val="21"/>
              <w:szCs w:val="21"/>
            </w:rPr>
            <w:t>四、</w:t>
          </w:r>
          <w:r>
            <w:rPr>
              <w:rFonts w:hint="eastAsia"/>
              <w:sz w:val="21"/>
              <w:szCs w:val="21"/>
              <w:lang w:val="en-US" w:eastAsia="zh-CN"/>
            </w:rPr>
            <w:t>比选</w:t>
          </w:r>
          <w:r>
            <w:rPr>
              <w:rFonts w:hint="eastAsia"/>
              <w:sz w:val="21"/>
              <w:szCs w:val="21"/>
            </w:rPr>
            <w:t>时间和地点</w:t>
          </w:r>
          <w:r>
            <w:rPr>
              <w:sz w:val="21"/>
              <w:szCs w:val="21"/>
            </w:rPr>
            <w:tab/>
          </w:r>
          <w:r>
            <w:rPr>
              <w:sz w:val="21"/>
              <w:szCs w:val="21"/>
            </w:rPr>
            <w:fldChar w:fldCharType="begin"/>
          </w:r>
          <w:r>
            <w:rPr>
              <w:sz w:val="21"/>
              <w:szCs w:val="21"/>
            </w:rPr>
            <w:instrText xml:space="preserve"> PAGEREF _Toc9418 \h </w:instrText>
          </w:r>
          <w:r>
            <w:rPr>
              <w:sz w:val="21"/>
              <w:szCs w:val="21"/>
            </w:rPr>
            <w:fldChar w:fldCharType="separate"/>
          </w:r>
          <w:r>
            <w:rPr>
              <w:sz w:val="21"/>
              <w:szCs w:val="21"/>
            </w:rPr>
            <w:t>7</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_Toc12566 </w:instrText>
          </w:r>
          <w:r>
            <w:rPr>
              <w:rFonts w:hint="default" w:ascii="宋体" w:hAnsi="宋体" w:eastAsia="宋体" w:cs="宋体"/>
              <w:kern w:val="0"/>
              <w:sz w:val="21"/>
              <w:szCs w:val="21"/>
              <w:lang w:val="en-US" w:eastAsia="zh-CN" w:bidi="ar-SA"/>
            </w:rPr>
            <w:fldChar w:fldCharType="separate"/>
          </w:r>
          <w:r>
            <w:rPr>
              <w:rFonts w:hint="eastAsia"/>
              <w:sz w:val="21"/>
              <w:szCs w:val="21"/>
            </w:rPr>
            <w:t>五、</w:t>
          </w:r>
          <w:r>
            <w:rPr>
              <w:rFonts w:hint="eastAsia"/>
              <w:sz w:val="21"/>
              <w:szCs w:val="21"/>
              <w:lang w:val="en-US" w:eastAsia="zh-CN"/>
            </w:rPr>
            <w:t>比选</w:t>
          </w:r>
          <w:r>
            <w:rPr>
              <w:rFonts w:hint="eastAsia"/>
              <w:sz w:val="21"/>
              <w:szCs w:val="21"/>
            </w:rPr>
            <w:t>流程说明</w:t>
          </w:r>
          <w:r>
            <w:rPr>
              <w:sz w:val="21"/>
              <w:szCs w:val="21"/>
            </w:rPr>
            <w:tab/>
          </w:r>
          <w:r>
            <w:rPr>
              <w:sz w:val="21"/>
              <w:szCs w:val="21"/>
            </w:rPr>
            <w:fldChar w:fldCharType="begin"/>
          </w:r>
          <w:r>
            <w:rPr>
              <w:sz w:val="21"/>
              <w:szCs w:val="21"/>
            </w:rPr>
            <w:instrText xml:space="preserve"> PAGEREF _Toc12566 \h </w:instrText>
          </w:r>
          <w:r>
            <w:rPr>
              <w:sz w:val="21"/>
              <w:szCs w:val="21"/>
            </w:rPr>
            <w:fldChar w:fldCharType="separate"/>
          </w:r>
          <w:r>
            <w:rPr>
              <w:sz w:val="21"/>
              <w:szCs w:val="21"/>
            </w:rPr>
            <w:t>7</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_Toc13961 </w:instrText>
          </w:r>
          <w:r>
            <w:rPr>
              <w:rFonts w:hint="default" w:ascii="宋体" w:hAnsi="宋体" w:eastAsia="宋体" w:cs="宋体"/>
              <w:kern w:val="0"/>
              <w:sz w:val="21"/>
              <w:szCs w:val="21"/>
              <w:lang w:val="en-US" w:eastAsia="zh-CN" w:bidi="ar-SA"/>
            </w:rPr>
            <w:fldChar w:fldCharType="separate"/>
          </w:r>
          <w:r>
            <w:rPr>
              <w:rFonts w:hint="eastAsia"/>
              <w:sz w:val="21"/>
              <w:szCs w:val="21"/>
              <w:lang w:val="en-US" w:eastAsia="zh-CN"/>
            </w:rPr>
            <w:t>六</w:t>
          </w:r>
          <w:r>
            <w:rPr>
              <w:rFonts w:hint="eastAsia"/>
              <w:sz w:val="21"/>
              <w:szCs w:val="21"/>
            </w:rPr>
            <w:t>、特别声明</w:t>
          </w:r>
          <w:r>
            <w:rPr>
              <w:sz w:val="21"/>
              <w:szCs w:val="21"/>
            </w:rPr>
            <w:tab/>
          </w:r>
          <w:r>
            <w:rPr>
              <w:sz w:val="21"/>
              <w:szCs w:val="21"/>
            </w:rPr>
            <w:fldChar w:fldCharType="begin"/>
          </w:r>
          <w:r>
            <w:rPr>
              <w:sz w:val="21"/>
              <w:szCs w:val="21"/>
            </w:rPr>
            <w:instrText xml:space="preserve"> PAGEREF _Toc13961 \h </w:instrText>
          </w:r>
          <w:r>
            <w:rPr>
              <w:sz w:val="21"/>
              <w:szCs w:val="21"/>
            </w:rPr>
            <w:fldChar w:fldCharType="separate"/>
          </w:r>
          <w:r>
            <w:rPr>
              <w:sz w:val="21"/>
              <w:szCs w:val="21"/>
            </w:rPr>
            <w:t>8</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0"/>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_Toc27870 </w:instrText>
          </w:r>
          <w:r>
            <w:rPr>
              <w:rFonts w:hint="default" w:ascii="宋体" w:hAnsi="宋体" w:eastAsia="宋体" w:cs="宋体"/>
              <w:kern w:val="0"/>
              <w:sz w:val="21"/>
              <w:szCs w:val="21"/>
              <w:lang w:val="en-US" w:eastAsia="zh-CN" w:bidi="ar-SA"/>
            </w:rPr>
            <w:fldChar w:fldCharType="separate"/>
          </w:r>
          <w:r>
            <w:rPr>
              <w:rFonts w:hint="eastAsia"/>
              <w:sz w:val="21"/>
              <w:szCs w:val="21"/>
            </w:rPr>
            <w:t>附件二：响应文件格式和表格</w:t>
          </w:r>
          <w:r>
            <w:rPr>
              <w:sz w:val="21"/>
              <w:szCs w:val="21"/>
            </w:rPr>
            <w:tab/>
          </w:r>
          <w:r>
            <w:rPr>
              <w:sz w:val="21"/>
              <w:szCs w:val="21"/>
            </w:rPr>
            <w:fldChar w:fldCharType="begin"/>
          </w:r>
          <w:r>
            <w:rPr>
              <w:sz w:val="21"/>
              <w:szCs w:val="21"/>
            </w:rPr>
            <w:instrText xml:space="preserve"> PAGEREF _Toc27870 \h </w:instrText>
          </w:r>
          <w:r>
            <w:rPr>
              <w:sz w:val="21"/>
              <w:szCs w:val="21"/>
            </w:rPr>
            <w:fldChar w:fldCharType="separate"/>
          </w:r>
          <w:r>
            <w:rPr>
              <w:sz w:val="21"/>
              <w:szCs w:val="21"/>
            </w:rPr>
            <w:t>9</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_Toc25795 </w:instrText>
          </w:r>
          <w:r>
            <w:rPr>
              <w:rFonts w:hint="default" w:ascii="宋体" w:hAnsi="宋体" w:eastAsia="宋体" w:cs="宋体"/>
              <w:kern w:val="0"/>
              <w:sz w:val="21"/>
              <w:szCs w:val="21"/>
              <w:lang w:val="en-US" w:eastAsia="zh-CN" w:bidi="ar-SA"/>
            </w:rPr>
            <w:fldChar w:fldCharType="separate"/>
          </w:r>
          <w:r>
            <w:rPr>
              <w:rFonts w:hint="eastAsia"/>
              <w:sz w:val="21"/>
              <w:szCs w:val="21"/>
            </w:rPr>
            <w:t>附件2.1</w:t>
          </w:r>
          <w:r>
            <w:rPr>
              <w:sz w:val="21"/>
              <w:szCs w:val="21"/>
            </w:rPr>
            <w:t xml:space="preserve"> </w:t>
          </w:r>
          <w:r>
            <w:rPr>
              <w:rFonts w:hint="eastAsia"/>
              <w:sz w:val="21"/>
              <w:szCs w:val="21"/>
            </w:rPr>
            <w:t>承诺与声明格式</w:t>
          </w:r>
          <w:r>
            <w:rPr>
              <w:sz w:val="21"/>
              <w:szCs w:val="21"/>
            </w:rPr>
            <w:tab/>
          </w:r>
          <w:r>
            <w:rPr>
              <w:sz w:val="21"/>
              <w:szCs w:val="21"/>
            </w:rPr>
            <w:fldChar w:fldCharType="begin"/>
          </w:r>
          <w:r>
            <w:rPr>
              <w:sz w:val="21"/>
              <w:szCs w:val="21"/>
            </w:rPr>
            <w:instrText xml:space="preserve"> PAGEREF _Toc25795 \h </w:instrText>
          </w:r>
          <w:r>
            <w:rPr>
              <w:sz w:val="21"/>
              <w:szCs w:val="21"/>
            </w:rPr>
            <w:fldChar w:fldCharType="separate"/>
          </w:r>
          <w:r>
            <w:rPr>
              <w:sz w:val="21"/>
              <w:szCs w:val="21"/>
            </w:rPr>
            <w:t>10</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_Toc8089 </w:instrText>
          </w:r>
          <w:r>
            <w:rPr>
              <w:rFonts w:hint="default" w:ascii="宋体" w:hAnsi="宋体" w:eastAsia="宋体" w:cs="宋体"/>
              <w:kern w:val="0"/>
              <w:sz w:val="21"/>
              <w:szCs w:val="21"/>
              <w:lang w:val="en-US" w:eastAsia="zh-CN" w:bidi="ar-SA"/>
            </w:rPr>
            <w:fldChar w:fldCharType="separate"/>
          </w:r>
          <w:r>
            <w:rPr>
              <w:rFonts w:hint="eastAsia"/>
              <w:sz w:val="21"/>
              <w:szCs w:val="21"/>
            </w:rPr>
            <w:t>附件2.2</w:t>
          </w:r>
          <w:r>
            <w:rPr>
              <w:sz w:val="21"/>
              <w:szCs w:val="21"/>
            </w:rPr>
            <w:t xml:space="preserve"> </w:t>
          </w:r>
          <w:r>
            <w:rPr>
              <w:rFonts w:hint="eastAsia"/>
              <w:sz w:val="21"/>
              <w:szCs w:val="21"/>
            </w:rPr>
            <w:t>法人代表授权书格式</w:t>
          </w:r>
          <w:r>
            <w:rPr>
              <w:sz w:val="21"/>
              <w:szCs w:val="21"/>
            </w:rPr>
            <w:tab/>
          </w:r>
          <w:r>
            <w:rPr>
              <w:sz w:val="21"/>
              <w:szCs w:val="21"/>
            </w:rPr>
            <w:fldChar w:fldCharType="begin"/>
          </w:r>
          <w:r>
            <w:rPr>
              <w:sz w:val="21"/>
              <w:szCs w:val="21"/>
            </w:rPr>
            <w:instrText xml:space="preserve"> PAGEREF _Toc8089 \h </w:instrText>
          </w:r>
          <w:r>
            <w:rPr>
              <w:sz w:val="21"/>
              <w:szCs w:val="21"/>
            </w:rPr>
            <w:fldChar w:fldCharType="separate"/>
          </w:r>
          <w:r>
            <w:rPr>
              <w:sz w:val="21"/>
              <w:szCs w:val="21"/>
            </w:rPr>
            <w:t>11</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_Toc28148 </w:instrText>
          </w:r>
          <w:r>
            <w:rPr>
              <w:rFonts w:hint="default" w:ascii="宋体" w:hAnsi="宋体" w:eastAsia="宋体" w:cs="宋体"/>
              <w:kern w:val="0"/>
              <w:sz w:val="21"/>
              <w:szCs w:val="21"/>
              <w:lang w:val="en-US" w:eastAsia="zh-CN" w:bidi="ar-SA"/>
            </w:rPr>
            <w:fldChar w:fldCharType="separate"/>
          </w:r>
          <w:r>
            <w:rPr>
              <w:rFonts w:hint="eastAsia"/>
              <w:sz w:val="21"/>
              <w:szCs w:val="21"/>
            </w:rPr>
            <w:t>附件2.3</w:t>
          </w:r>
          <w:r>
            <w:rPr>
              <w:sz w:val="21"/>
              <w:szCs w:val="21"/>
            </w:rPr>
            <w:t xml:space="preserve"> </w:t>
          </w:r>
          <w:r>
            <w:rPr>
              <w:rFonts w:hint="eastAsia"/>
              <w:sz w:val="21"/>
              <w:szCs w:val="21"/>
            </w:rPr>
            <w:t>投标函格式</w:t>
          </w:r>
          <w:r>
            <w:rPr>
              <w:sz w:val="21"/>
              <w:szCs w:val="21"/>
            </w:rPr>
            <w:tab/>
          </w:r>
          <w:r>
            <w:rPr>
              <w:sz w:val="21"/>
              <w:szCs w:val="21"/>
            </w:rPr>
            <w:fldChar w:fldCharType="begin"/>
          </w:r>
          <w:r>
            <w:rPr>
              <w:sz w:val="21"/>
              <w:szCs w:val="21"/>
            </w:rPr>
            <w:instrText xml:space="preserve"> PAGEREF _Toc28148 \h </w:instrText>
          </w:r>
          <w:r>
            <w:rPr>
              <w:sz w:val="21"/>
              <w:szCs w:val="21"/>
            </w:rPr>
            <w:fldChar w:fldCharType="separate"/>
          </w:r>
          <w:r>
            <w:rPr>
              <w:sz w:val="21"/>
              <w:szCs w:val="21"/>
            </w:rPr>
            <w:t>12</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_Toc4863 </w:instrText>
          </w:r>
          <w:r>
            <w:rPr>
              <w:rFonts w:hint="default" w:ascii="宋体" w:hAnsi="宋体" w:eastAsia="宋体" w:cs="宋体"/>
              <w:kern w:val="0"/>
              <w:sz w:val="21"/>
              <w:szCs w:val="21"/>
              <w:lang w:val="en-US" w:eastAsia="zh-CN" w:bidi="ar-SA"/>
            </w:rPr>
            <w:fldChar w:fldCharType="separate"/>
          </w:r>
          <w:r>
            <w:rPr>
              <w:rFonts w:hint="eastAsia"/>
              <w:sz w:val="21"/>
              <w:szCs w:val="21"/>
            </w:rPr>
            <w:t>附件2.4 报价一览表格式</w:t>
          </w:r>
          <w:r>
            <w:rPr>
              <w:sz w:val="21"/>
              <w:szCs w:val="21"/>
            </w:rPr>
            <w:tab/>
          </w:r>
          <w:r>
            <w:rPr>
              <w:sz w:val="21"/>
              <w:szCs w:val="21"/>
            </w:rPr>
            <w:fldChar w:fldCharType="begin"/>
          </w:r>
          <w:r>
            <w:rPr>
              <w:sz w:val="21"/>
              <w:szCs w:val="21"/>
            </w:rPr>
            <w:instrText xml:space="preserve"> PAGEREF _Toc4863 \h </w:instrText>
          </w:r>
          <w:r>
            <w:rPr>
              <w:sz w:val="21"/>
              <w:szCs w:val="21"/>
            </w:rPr>
            <w:fldChar w:fldCharType="separate"/>
          </w:r>
          <w:r>
            <w:rPr>
              <w:sz w:val="21"/>
              <w:szCs w:val="21"/>
            </w:rPr>
            <w:t>14</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0"/>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_Toc21375 </w:instrText>
          </w:r>
          <w:r>
            <w:rPr>
              <w:rFonts w:hint="default" w:ascii="宋体" w:hAnsi="宋体" w:eastAsia="宋体" w:cs="宋体"/>
              <w:kern w:val="0"/>
              <w:sz w:val="21"/>
              <w:szCs w:val="21"/>
              <w:lang w:val="en-US" w:eastAsia="zh-CN" w:bidi="ar-SA"/>
            </w:rPr>
            <w:fldChar w:fldCharType="separate"/>
          </w:r>
          <w:r>
            <w:rPr>
              <w:rFonts w:hint="eastAsia"/>
              <w:sz w:val="21"/>
              <w:szCs w:val="21"/>
            </w:rPr>
            <w:t>附件三：资格证明文件</w:t>
          </w:r>
          <w:r>
            <w:rPr>
              <w:sz w:val="21"/>
              <w:szCs w:val="21"/>
            </w:rPr>
            <w:tab/>
          </w:r>
          <w:r>
            <w:rPr>
              <w:sz w:val="21"/>
              <w:szCs w:val="21"/>
            </w:rPr>
            <w:fldChar w:fldCharType="begin"/>
          </w:r>
          <w:r>
            <w:rPr>
              <w:sz w:val="21"/>
              <w:szCs w:val="21"/>
            </w:rPr>
            <w:instrText xml:space="preserve"> PAGEREF _Toc21375 \h </w:instrText>
          </w:r>
          <w:r>
            <w:rPr>
              <w:sz w:val="21"/>
              <w:szCs w:val="21"/>
            </w:rPr>
            <w:fldChar w:fldCharType="separate"/>
          </w:r>
          <w:r>
            <w:rPr>
              <w:sz w:val="21"/>
              <w:szCs w:val="21"/>
            </w:rPr>
            <w:t>17</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_Toc19086 </w:instrText>
          </w:r>
          <w:r>
            <w:rPr>
              <w:rFonts w:hint="default" w:ascii="宋体" w:hAnsi="宋体" w:eastAsia="宋体" w:cs="宋体"/>
              <w:kern w:val="0"/>
              <w:sz w:val="21"/>
              <w:szCs w:val="21"/>
              <w:lang w:val="en-US" w:eastAsia="zh-CN" w:bidi="ar-SA"/>
            </w:rPr>
            <w:fldChar w:fldCharType="separate"/>
          </w:r>
          <w:r>
            <w:rPr>
              <w:rFonts w:hint="eastAsia"/>
              <w:sz w:val="21"/>
              <w:szCs w:val="21"/>
            </w:rPr>
            <w:t>附件3.1</w:t>
          </w:r>
          <w:r>
            <w:rPr>
              <w:sz w:val="21"/>
              <w:szCs w:val="21"/>
            </w:rPr>
            <w:t xml:space="preserve"> </w:t>
          </w:r>
          <w:r>
            <w:rPr>
              <w:rFonts w:hint="eastAsia"/>
              <w:sz w:val="21"/>
              <w:szCs w:val="21"/>
            </w:rPr>
            <w:t>供应商基本情况表</w:t>
          </w:r>
          <w:r>
            <w:rPr>
              <w:sz w:val="21"/>
              <w:szCs w:val="21"/>
            </w:rPr>
            <w:tab/>
          </w:r>
          <w:r>
            <w:rPr>
              <w:sz w:val="21"/>
              <w:szCs w:val="21"/>
            </w:rPr>
            <w:fldChar w:fldCharType="begin"/>
          </w:r>
          <w:r>
            <w:rPr>
              <w:sz w:val="21"/>
              <w:szCs w:val="21"/>
            </w:rPr>
            <w:instrText xml:space="preserve"> PAGEREF _Toc19086 \h </w:instrText>
          </w:r>
          <w:r>
            <w:rPr>
              <w:sz w:val="21"/>
              <w:szCs w:val="21"/>
            </w:rPr>
            <w:fldChar w:fldCharType="separate"/>
          </w:r>
          <w:r>
            <w:rPr>
              <w:sz w:val="21"/>
              <w:szCs w:val="21"/>
            </w:rPr>
            <w:t>18</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_Toc3467 </w:instrText>
          </w:r>
          <w:r>
            <w:rPr>
              <w:rFonts w:hint="default" w:ascii="宋体" w:hAnsi="宋体" w:eastAsia="宋体" w:cs="宋体"/>
              <w:kern w:val="0"/>
              <w:sz w:val="21"/>
              <w:szCs w:val="21"/>
              <w:lang w:val="en-US" w:eastAsia="zh-CN" w:bidi="ar-SA"/>
            </w:rPr>
            <w:fldChar w:fldCharType="separate"/>
          </w:r>
          <w:r>
            <w:rPr>
              <w:rFonts w:hint="eastAsia"/>
              <w:sz w:val="21"/>
              <w:szCs w:val="21"/>
            </w:rPr>
            <w:t>附件3.</w:t>
          </w:r>
          <w:r>
            <w:rPr>
              <w:rFonts w:hint="eastAsia"/>
              <w:sz w:val="21"/>
              <w:szCs w:val="21"/>
              <w:lang w:val="en-US" w:eastAsia="zh-CN"/>
            </w:rPr>
            <w:t>2</w:t>
          </w:r>
          <w:r>
            <w:rPr>
              <w:sz w:val="21"/>
              <w:szCs w:val="21"/>
            </w:rPr>
            <w:t xml:space="preserve"> </w:t>
          </w:r>
          <w:r>
            <w:rPr>
              <w:rFonts w:hint="eastAsia"/>
              <w:sz w:val="21"/>
              <w:szCs w:val="21"/>
            </w:rPr>
            <w:t>法人营业执照（复印件）</w:t>
          </w:r>
          <w:r>
            <w:rPr>
              <w:sz w:val="21"/>
              <w:szCs w:val="21"/>
            </w:rPr>
            <w:tab/>
          </w:r>
          <w:r>
            <w:rPr>
              <w:sz w:val="21"/>
              <w:szCs w:val="21"/>
            </w:rPr>
            <w:fldChar w:fldCharType="begin"/>
          </w:r>
          <w:r>
            <w:rPr>
              <w:sz w:val="21"/>
              <w:szCs w:val="21"/>
            </w:rPr>
            <w:instrText xml:space="preserve"> PAGEREF _Toc3467 \h </w:instrText>
          </w:r>
          <w:r>
            <w:rPr>
              <w:sz w:val="21"/>
              <w:szCs w:val="21"/>
            </w:rPr>
            <w:fldChar w:fldCharType="separate"/>
          </w:r>
          <w:r>
            <w:rPr>
              <w:sz w:val="21"/>
              <w:szCs w:val="21"/>
            </w:rPr>
            <w:t>19</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_Toc267 </w:instrText>
          </w:r>
          <w:r>
            <w:rPr>
              <w:rFonts w:hint="default" w:ascii="宋体" w:hAnsi="宋体" w:eastAsia="宋体" w:cs="宋体"/>
              <w:kern w:val="0"/>
              <w:sz w:val="21"/>
              <w:szCs w:val="21"/>
              <w:lang w:val="en-US" w:eastAsia="zh-CN" w:bidi="ar-SA"/>
            </w:rPr>
            <w:fldChar w:fldCharType="separate"/>
          </w:r>
          <w:r>
            <w:rPr>
              <w:rFonts w:hint="eastAsia"/>
              <w:sz w:val="21"/>
              <w:szCs w:val="21"/>
            </w:rPr>
            <w:t>附件3.</w:t>
          </w:r>
          <w:r>
            <w:rPr>
              <w:rFonts w:hint="eastAsia"/>
              <w:sz w:val="21"/>
              <w:szCs w:val="21"/>
              <w:lang w:val="en-US" w:eastAsia="zh-CN"/>
            </w:rPr>
            <w:t xml:space="preserve">3 </w:t>
          </w:r>
          <w:r>
            <w:rPr>
              <w:rFonts w:hint="eastAsia"/>
              <w:sz w:val="21"/>
              <w:szCs w:val="21"/>
            </w:rPr>
            <w:t>已完成类似项目一览表（格式）</w:t>
          </w:r>
          <w:r>
            <w:rPr>
              <w:sz w:val="21"/>
              <w:szCs w:val="21"/>
            </w:rPr>
            <w:tab/>
          </w:r>
          <w:r>
            <w:rPr>
              <w:sz w:val="21"/>
              <w:szCs w:val="21"/>
            </w:rPr>
            <w:fldChar w:fldCharType="begin"/>
          </w:r>
          <w:r>
            <w:rPr>
              <w:sz w:val="21"/>
              <w:szCs w:val="21"/>
            </w:rPr>
            <w:instrText xml:space="preserve"> PAGEREF _Toc267 \h </w:instrText>
          </w:r>
          <w:r>
            <w:rPr>
              <w:sz w:val="21"/>
              <w:szCs w:val="21"/>
            </w:rPr>
            <w:fldChar w:fldCharType="separate"/>
          </w:r>
          <w:r>
            <w:rPr>
              <w:sz w:val="21"/>
              <w:szCs w:val="21"/>
            </w:rPr>
            <w:t>20</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_Toc4694 </w:instrText>
          </w:r>
          <w:r>
            <w:rPr>
              <w:rFonts w:hint="default" w:ascii="宋体" w:hAnsi="宋体" w:eastAsia="宋体" w:cs="宋体"/>
              <w:kern w:val="0"/>
              <w:sz w:val="21"/>
              <w:szCs w:val="21"/>
              <w:lang w:val="en-US" w:eastAsia="zh-CN" w:bidi="ar-SA"/>
            </w:rPr>
            <w:fldChar w:fldCharType="separate"/>
          </w:r>
          <w:r>
            <w:rPr>
              <w:rFonts w:hint="eastAsia"/>
              <w:sz w:val="21"/>
              <w:szCs w:val="21"/>
            </w:rPr>
            <w:t>附件3.</w:t>
          </w:r>
          <w:r>
            <w:rPr>
              <w:rFonts w:hint="eastAsia"/>
              <w:sz w:val="21"/>
              <w:szCs w:val="21"/>
              <w:lang w:val="en-US" w:eastAsia="zh-CN"/>
            </w:rPr>
            <w:t xml:space="preserve">4 </w:t>
          </w:r>
          <w:r>
            <w:rPr>
              <w:rFonts w:hint="eastAsia"/>
              <w:sz w:val="21"/>
              <w:szCs w:val="21"/>
            </w:rPr>
            <w:t>提供书面声明函</w:t>
          </w:r>
          <w:r>
            <w:rPr>
              <w:sz w:val="21"/>
              <w:szCs w:val="21"/>
            </w:rPr>
            <w:tab/>
          </w:r>
          <w:r>
            <w:rPr>
              <w:sz w:val="21"/>
              <w:szCs w:val="21"/>
            </w:rPr>
            <w:fldChar w:fldCharType="begin"/>
          </w:r>
          <w:r>
            <w:rPr>
              <w:sz w:val="21"/>
              <w:szCs w:val="21"/>
            </w:rPr>
            <w:instrText xml:space="preserve"> PAGEREF _Toc4694 \h </w:instrText>
          </w:r>
          <w:r>
            <w:rPr>
              <w:sz w:val="21"/>
              <w:szCs w:val="21"/>
            </w:rPr>
            <w:fldChar w:fldCharType="separate"/>
          </w:r>
          <w:r>
            <w:rPr>
              <w:sz w:val="21"/>
              <w:szCs w:val="21"/>
            </w:rPr>
            <w:t>21</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_Toc30592 </w:instrText>
          </w:r>
          <w:r>
            <w:rPr>
              <w:rFonts w:hint="default" w:ascii="宋体" w:hAnsi="宋体" w:eastAsia="宋体" w:cs="宋体"/>
              <w:kern w:val="0"/>
              <w:sz w:val="21"/>
              <w:szCs w:val="21"/>
              <w:lang w:val="en-US" w:eastAsia="zh-CN" w:bidi="ar-SA"/>
            </w:rPr>
            <w:fldChar w:fldCharType="separate"/>
          </w:r>
          <w:r>
            <w:rPr>
              <w:rFonts w:hint="eastAsia"/>
              <w:sz w:val="21"/>
              <w:szCs w:val="21"/>
            </w:rPr>
            <w:t>附件3</w:t>
          </w:r>
          <w:r>
            <w:rPr>
              <w:sz w:val="21"/>
              <w:szCs w:val="21"/>
            </w:rPr>
            <w:t>.</w:t>
          </w:r>
          <w:r>
            <w:rPr>
              <w:rFonts w:hint="eastAsia"/>
              <w:sz w:val="21"/>
              <w:szCs w:val="21"/>
              <w:lang w:val="en-US" w:eastAsia="zh-CN"/>
            </w:rPr>
            <w:t>5</w:t>
          </w:r>
          <w:r>
            <w:rPr>
              <w:sz w:val="21"/>
              <w:szCs w:val="21"/>
            </w:rPr>
            <w:t xml:space="preserve"> </w:t>
          </w:r>
          <w:r>
            <w:rPr>
              <w:rFonts w:hint="eastAsia"/>
              <w:sz w:val="21"/>
              <w:szCs w:val="21"/>
            </w:rPr>
            <w:t>与本次采购有关的其他资质证明文件</w:t>
          </w:r>
          <w:r>
            <w:rPr>
              <w:sz w:val="21"/>
              <w:szCs w:val="21"/>
            </w:rPr>
            <w:tab/>
          </w:r>
          <w:r>
            <w:rPr>
              <w:sz w:val="21"/>
              <w:szCs w:val="21"/>
            </w:rPr>
            <w:fldChar w:fldCharType="begin"/>
          </w:r>
          <w:r>
            <w:rPr>
              <w:sz w:val="21"/>
              <w:szCs w:val="21"/>
            </w:rPr>
            <w:instrText xml:space="preserve"> PAGEREF _Toc30592 \h </w:instrText>
          </w:r>
          <w:r>
            <w:rPr>
              <w:sz w:val="21"/>
              <w:szCs w:val="21"/>
            </w:rPr>
            <w:fldChar w:fldCharType="separate"/>
          </w:r>
          <w:r>
            <w:rPr>
              <w:sz w:val="21"/>
              <w:szCs w:val="21"/>
            </w:rPr>
            <w:t>22</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0"/>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_Toc10130 </w:instrText>
          </w:r>
          <w:r>
            <w:rPr>
              <w:rFonts w:hint="default" w:ascii="宋体" w:hAnsi="宋体" w:eastAsia="宋体" w:cs="宋体"/>
              <w:kern w:val="0"/>
              <w:sz w:val="21"/>
              <w:szCs w:val="21"/>
              <w:lang w:val="en-US" w:eastAsia="zh-CN" w:bidi="ar-SA"/>
            </w:rPr>
            <w:fldChar w:fldCharType="separate"/>
          </w:r>
          <w:r>
            <w:rPr>
              <w:rFonts w:hint="eastAsia"/>
              <w:sz w:val="21"/>
              <w:szCs w:val="21"/>
            </w:rPr>
            <w:t>附件四：项目采购需求及服务要求</w:t>
          </w:r>
          <w:r>
            <w:rPr>
              <w:sz w:val="21"/>
              <w:szCs w:val="21"/>
            </w:rPr>
            <w:tab/>
          </w:r>
          <w:r>
            <w:rPr>
              <w:sz w:val="21"/>
              <w:szCs w:val="21"/>
            </w:rPr>
            <w:fldChar w:fldCharType="begin"/>
          </w:r>
          <w:r>
            <w:rPr>
              <w:sz w:val="21"/>
              <w:szCs w:val="21"/>
            </w:rPr>
            <w:instrText xml:space="preserve"> PAGEREF _Toc10130 \h </w:instrText>
          </w:r>
          <w:r>
            <w:rPr>
              <w:sz w:val="21"/>
              <w:szCs w:val="21"/>
            </w:rPr>
            <w:fldChar w:fldCharType="separate"/>
          </w:r>
          <w:r>
            <w:rPr>
              <w:sz w:val="21"/>
              <w:szCs w:val="21"/>
            </w:rPr>
            <w:t>23</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_Toc14494 </w:instrText>
          </w:r>
          <w:r>
            <w:rPr>
              <w:rFonts w:hint="default" w:ascii="宋体" w:hAnsi="宋体" w:eastAsia="宋体" w:cs="宋体"/>
              <w:kern w:val="0"/>
              <w:sz w:val="21"/>
              <w:szCs w:val="21"/>
              <w:lang w:val="en-US" w:eastAsia="zh-CN" w:bidi="ar-SA"/>
            </w:rPr>
            <w:fldChar w:fldCharType="separate"/>
          </w:r>
          <w:r>
            <w:rPr>
              <w:rFonts w:hint="eastAsia"/>
              <w:sz w:val="21"/>
              <w:szCs w:val="21"/>
            </w:rPr>
            <w:t>附件4.1</w:t>
          </w:r>
          <w:r>
            <w:rPr>
              <w:sz w:val="21"/>
              <w:szCs w:val="21"/>
            </w:rPr>
            <w:t xml:space="preserve"> </w:t>
          </w:r>
          <w:r>
            <w:rPr>
              <w:rFonts w:hint="eastAsia"/>
              <w:sz w:val="21"/>
              <w:szCs w:val="21"/>
            </w:rPr>
            <w:t>合同条款</w:t>
          </w:r>
          <w:r>
            <w:rPr>
              <w:sz w:val="21"/>
              <w:szCs w:val="21"/>
            </w:rPr>
            <w:tab/>
          </w:r>
          <w:r>
            <w:rPr>
              <w:sz w:val="21"/>
              <w:szCs w:val="21"/>
            </w:rPr>
            <w:fldChar w:fldCharType="begin"/>
          </w:r>
          <w:r>
            <w:rPr>
              <w:sz w:val="21"/>
              <w:szCs w:val="21"/>
            </w:rPr>
            <w:instrText xml:space="preserve"> PAGEREF _Toc14494 \h </w:instrText>
          </w:r>
          <w:r>
            <w:rPr>
              <w:sz w:val="21"/>
              <w:szCs w:val="21"/>
            </w:rPr>
            <w:fldChar w:fldCharType="separate"/>
          </w:r>
          <w:r>
            <w:rPr>
              <w:sz w:val="21"/>
              <w:szCs w:val="21"/>
            </w:rPr>
            <w:t>23</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_Toc8674 </w:instrText>
          </w:r>
          <w:r>
            <w:rPr>
              <w:rFonts w:hint="default" w:ascii="宋体" w:hAnsi="宋体" w:eastAsia="宋体" w:cs="宋体"/>
              <w:kern w:val="0"/>
              <w:sz w:val="21"/>
              <w:szCs w:val="21"/>
              <w:lang w:val="en-US" w:eastAsia="zh-CN" w:bidi="ar-SA"/>
            </w:rPr>
            <w:fldChar w:fldCharType="separate"/>
          </w:r>
          <w:r>
            <w:rPr>
              <w:rFonts w:hint="eastAsia"/>
              <w:sz w:val="21"/>
              <w:szCs w:val="21"/>
            </w:rPr>
            <w:t>附件4.2 采购需求及技术服务要求</w:t>
          </w:r>
          <w:r>
            <w:rPr>
              <w:sz w:val="21"/>
              <w:szCs w:val="21"/>
            </w:rPr>
            <w:tab/>
          </w:r>
          <w:r>
            <w:rPr>
              <w:sz w:val="21"/>
              <w:szCs w:val="21"/>
            </w:rPr>
            <w:fldChar w:fldCharType="begin"/>
          </w:r>
          <w:r>
            <w:rPr>
              <w:sz w:val="21"/>
              <w:szCs w:val="21"/>
            </w:rPr>
            <w:instrText xml:space="preserve"> PAGEREF _Toc8674 \h </w:instrText>
          </w:r>
          <w:r>
            <w:rPr>
              <w:sz w:val="21"/>
              <w:szCs w:val="21"/>
            </w:rPr>
            <w:fldChar w:fldCharType="separate"/>
          </w:r>
          <w:r>
            <w:rPr>
              <w:sz w:val="21"/>
              <w:szCs w:val="21"/>
            </w:rPr>
            <w:t>39</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3"/>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_Toc20555 </w:instrText>
          </w:r>
          <w:r>
            <w:rPr>
              <w:rFonts w:hint="default" w:ascii="宋体" w:hAnsi="宋体" w:eastAsia="宋体" w:cs="宋体"/>
              <w:kern w:val="0"/>
              <w:sz w:val="21"/>
              <w:szCs w:val="21"/>
              <w:lang w:val="en-US" w:eastAsia="zh-CN" w:bidi="ar-SA"/>
            </w:rPr>
            <w:fldChar w:fldCharType="separate"/>
          </w:r>
          <w:r>
            <w:rPr>
              <w:rFonts w:hint="eastAsia"/>
              <w:sz w:val="21"/>
              <w:szCs w:val="21"/>
            </w:rPr>
            <w:t>附件4.3 供应商技术响应文件</w:t>
          </w:r>
          <w:r>
            <w:rPr>
              <w:sz w:val="21"/>
              <w:szCs w:val="21"/>
            </w:rPr>
            <w:tab/>
          </w:r>
          <w:r>
            <w:rPr>
              <w:sz w:val="21"/>
              <w:szCs w:val="21"/>
            </w:rPr>
            <w:fldChar w:fldCharType="begin"/>
          </w:r>
          <w:r>
            <w:rPr>
              <w:sz w:val="21"/>
              <w:szCs w:val="21"/>
            </w:rPr>
            <w:instrText xml:space="preserve"> PAGEREF _Toc20555 \h </w:instrText>
          </w:r>
          <w:r>
            <w:rPr>
              <w:sz w:val="21"/>
              <w:szCs w:val="21"/>
            </w:rPr>
            <w:fldChar w:fldCharType="separate"/>
          </w:r>
          <w:r>
            <w:rPr>
              <w:sz w:val="21"/>
              <w:szCs w:val="21"/>
            </w:rPr>
            <w:t>40</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20"/>
            <w:tabs>
              <w:tab w:val="right" w:leader="dot" w:pos="8835"/>
            </w:tabs>
            <w:rPr>
              <w:sz w:val="21"/>
              <w:szCs w:val="21"/>
            </w:rPr>
          </w:pPr>
          <w:r>
            <w:rPr>
              <w:rFonts w:hint="default" w:ascii="宋体" w:hAnsi="宋体" w:eastAsia="宋体" w:cs="宋体"/>
              <w:color w:val="000000"/>
              <w:kern w:val="0"/>
              <w:sz w:val="21"/>
              <w:szCs w:val="21"/>
              <w:lang w:val="en-US" w:eastAsia="zh-CN" w:bidi="ar-SA"/>
            </w:rPr>
            <w:fldChar w:fldCharType="begin"/>
          </w:r>
          <w:r>
            <w:rPr>
              <w:rFonts w:hint="default" w:ascii="宋体" w:hAnsi="宋体" w:eastAsia="宋体" w:cs="宋体"/>
              <w:kern w:val="0"/>
              <w:sz w:val="21"/>
              <w:szCs w:val="21"/>
              <w:lang w:val="en-US" w:eastAsia="zh-CN" w:bidi="ar-SA"/>
            </w:rPr>
            <w:instrText xml:space="preserve"> HYPERLINK \l _Toc2081 </w:instrText>
          </w:r>
          <w:r>
            <w:rPr>
              <w:rFonts w:hint="default" w:ascii="宋体" w:hAnsi="宋体" w:eastAsia="宋体" w:cs="宋体"/>
              <w:kern w:val="0"/>
              <w:sz w:val="21"/>
              <w:szCs w:val="21"/>
              <w:lang w:val="en-US" w:eastAsia="zh-CN" w:bidi="ar-SA"/>
            </w:rPr>
            <w:fldChar w:fldCharType="separate"/>
          </w:r>
          <w:r>
            <w:rPr>
              <w:rFonts w:hint="eastAsia"/>
              <w:sz w:val="21"/>
              <w:szCs w:val="21"/>
              <w:lang w:val="en-US" w:eastAsia="zh-CN"/>
            </w:rPr>
            <w:t>附件</w:t>
          </w:r>
          <w:r>
            <w:rPr>
              <w:rFonts w:hint="eastAsia"/>
              <w:sz w:val="21"/>
              <w:szCs w:val="21"/>
            </w:rPr>
            <w:t>五、供应商承诺文件</w:t>
          </w:r>
          <w:r>
            <w:rPr>
              <w:sz w:val="21"/>
              <w:szCs w:val="21"/>
            </w:rPr>
            <w:tab/>
          </w:r>
          <w:r>
            <w:rPr>
              <w:sz w:val="21"/>
              <w:szCs w:val="21"/>
            </w:rPr>
            <w:fldChar w:fldCharType="begin"/>
          </w:r>
          <w:r>
            <w:rPr>
              <w:sz w:val="21"/>
              <w:szCs w:val="21"/>
            </w:rPr>
            <w:instrText xml:space="preserve"> PAGEREF _Toc2081 \h </w:instrText>
          </w:r>
          <w:r>
            <w:rPr>
              <w:sz w:val="21"/>
              <w:szCs w:val="21"/>
            </w:rPr>
            <w:fldChar w:fldCharType="separate"/>
          </w:r>
          <w:r>
            <w:rPr>
              <w:sz w:val="21"/>
              <w:szCs w:val="21"/>
            </w:rPr>
            <w:t>41</w:t>
          </w:r>
          <w:r>
            <w:rPr>
              <w:sz w:val="21"/>
              <w:szCs w:val="21"/>
            </w:rPr>
            <w:fldChar w:fldCharType="end"/>
          </w:r>
          <w:r>
            <w:rPr>
              <w:rFonts w:hint="default" w:ascii="宋体" w:hAnsi="宋体" w:eastAsia="宋体" w:cs="宋体"/>
              <w:color w:val="000000"/>
              <w:kern w:val="0"/>
              <w:sz w:val="21"/>
              <w:szCs w:val="21"/>
              <w:lang w:val="en-US" w:eastAsia="zh-CN" w:bidi="ar-SA"/>
            </w:rPr>
            <w:fldChar w:fldCharType="end"/>
          </w:r>
        </w:p>
        <w:p>
          <w:pPr>
            <w:pStyle w:val="50"/>
            <w:wordWrap w:val="0"/>
            <w:adjustRightInd w:val="0"/>
            <w:snapToGrid w:val="0"/>
            <w:spacing w:line="360" w:lineRule="auto"/>
            <w:ind w:right="620" w:firstLine="420"/>
            <w:jc w:val="both"/>
            <w:rPr>
              <w:rFonts w:hint="default" w:ascii="宋体" w:hAnsi="宋体" w:eastAsia="宋体" w:cs="宋体"/>
              <w:b/>
              <w:color w:val="000000"/>
              <w:kern w:val="0"/>
              <w:sz w:val="21"/>
              <w:szCs w:val="21"/>
              <w:lang w:val="en-US" w:eastAsia="zh-CN" w:bidi="ar-SA"/>
            </w:rPr>
            <w:sectPr>
              <w:footerReference r:id="rId3" w:type="default"/>
              <w:footerReference r:id="rId4" w:type="even"/>
              <w:pgSz w:w="11906" w:h="16838"/>
              <w:pgMar w:top="1440" w:right="1274" w:bottom="1440" w:left="1797" w:header="851" w:footer="992" w:gutter="0"/>
              <w:cols w:space="720" w:num="1"/>
              <w:docGrid w:linePitch="312" w:charSpace="0"/>
            </w:sectPr>
          </w:pPr>
          <w:r>
            <w:rPr>
              <w:rFonts w:hint="default" w:ascii="宋体" w:hAnsi="宋体" w:eastAsia="宋体" w:cs="宋体"/>
              <w:color w:val="000000"/>
              <w:kern w:val="0"/>
              <w:sz w:val="21"/>
              <w:szCs w:val="21"/>
              <w:lang w:val="en-US" w:eastAsia="zh-CN" w:bidi="ar-SA"/>
            </w:rPr>
            <w:fldChar w:fldCharType="end"/>
          </w:r>
        </w:p>
      </w:sdtContent>
    </w:sdt>
    <w:p>
      <w:pPr>
        <w:widowControl/>
        <w:adjustRightInd w:val="0"/>
        <w:snapToGrid w:val="0"/>
        <w:spacing w:line="360" w:lineRule="auto"/>
        <w:ind w:right="740"/>
        <w:jc w:val="left"/>
        <w:rPr>
          <w:rFonts w:ascii="宋体" w:hAnsi="宋体" w:cs="宋体"/>
          <w:b/>
          <w:bCs/>
          <w:kern w:val="0"/>
          <w:sz w:val="28"/>
          <w:szCs w:val="28"/>
        </w:rPr>
      </w:pPr>
    </w:p>
    <w:p>
      <w:pPr>
        <w:pStyle w:val="2"/>
        <w:numPr>
          <w:ilvl w:val="0"/>
          <w:numId w:val="0"/>
        </w:numPr>
        <w:adjustRightInd w:val="0"/>
        <w:snapToGrid w:val="0"/>
        <w:rPr>
          <w:sz w:val="30"/>
          <w:szCs w:val="30"/>
        </w:rPr>
      </w:pPr>
      <w:bookmarkStart w:id="0" w:name="_Toc23399"/>
      <w:r>
        <w:rPr>
          <w:rFonts w:hint="eastAsia"/>
          <w:sz w:val="30"/>
          <w:szCs w:val="30"/>
        </w:rPr>
        <w:t>附件一：</w:t>
      </w:r>
      <w:r>
        <w:rPr>
          <w:rFonts w:hint="eastAsia"/>
          <w:sz w:val="30"/>
          <w:szCs w:val="30"/>
          <w:lang w:val="en-US" w:eastAsia="zh-CN"/>
        </w:rPr>
        <w:t>比选</w:t>
      </w:r>
      <w:r>
        <w:rPr>
          <w:rFonts w:hint="eastAsia"/>
          <w:sz w:val="30"/>
          <w:szCs w:val="30"/>
        </w:rPr>
        <w:t>事项说明</w:t>
      </w:r>
      <w:bookmarkEnd w:id="0"/>
    </w:p>
    <w:p>
      <w:pPr>
        <w:pStyle w:val="3"/>
        <w:numPr>
          <w:ilvl w:val="0"/>
          <w:numId w:val="3"/>
        </w:numPr>
        <w:adjustRightInd w:val="0"/>
        <w:snapToGrid w:val="0"/>
        <w:spacing w:before="0" w:after="0" w:line="360" w:lineRule="auto"/>
        <w:rPr>
          <w:sz w:val="24"/>
          <w:szCs w:val="24"/>
        </w:rPr>
      </w:pPr>
      <w:bookmarkStart w:id="1" w:name="_Toc10062"/>
      <w:r>
        <w:rPr>
          <w:rFonts w:hint="eastAsia"/>
          <w:sz w:val="24"/>
          <w:szCs w:val="24"/>
        </w:rPr>
        <w:t>供应商资格及报名要求</w:t>
      </w:r>
      <w:bookmarkEnd w:id="1"/>
    </w:p>
    <w:p>
      <w:pPr>
        <w:ind w:firstLine="420" w:firstLineChars="200"/>
      </w:pPr>
      <w: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Arial" w:hAnsi="Arial" w:cs="Arial"/>
          <w:sz w:val="24"/>
          <w:szCs w:val="24"/>
          <w:lang w:val="en-US" w:eastAsia="zh-CN"/>
        </w:rPr>
        <w:t>4.</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Arial" w:hAnsi="Arial" w:cs="Arial"/>
          <w:sz w:val="24"/>
          <w:szCs w:val="24"/>
          <w:lang w:val="en-US" w:eastAsia="zh-CN"/>
        </w:rPr>
        <w:t>5.</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widowControl/>
        <w:adjustRightInd w:val="0"/>
        <w:snapToGrid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（二）报名要求</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 </w:t>
      </w:r>
      <w:r>
        <w:rPr>
          <w:rFonts w:ascii="宋体" w:hAnsi="宋体" w:cs="宋体"/>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14:textFill>
            <w14:solidFill>
              <w14:schemeClr w14:val="tx1"/>
            </w14:solidFill>
          </w14:textFill>
        </w:rPr>
        <w:t>符合供应商资格的供应商通过“人保e采”外网（https://ec.picc.com）完成供应商入库、项目报名。</w:t>
      </w:r>
    </w:p>
    <w:p>
      <w:pPr>
        <w:pStyle w:val="3"/>
        <w:numPr>
          <w:ilvl w:val="0"/>
          <w:numId w:val="0"/>
        </w:numPr>
        <w:adjustRightInd w:val="0"/>
        <w:snapToGrid w:val="0"/>
        <w:spacing w:before="0" w:after="0" w:line="360" w:lineRule="auto"/>
        <w:ind w:firstLine="482" w:firstLineChars="200"/>
        <w:rPr>
          <w:color w:val="auto"/>
          <w:sz w:val="24"/>
          <w:szCs w:val="24"/>
        </w:rPr>
      </w:pPr>
      <w:bookmarkStart w:id="2" w:name="_Toc11126"/>
      <w:r>
        <w:rPr>
          <w:rFonts w:hint="eastAsia"/>
          <w:sz w:val="24"/>
          <w:szCs w:val="24"/>
        </w:rPr>
        <w:t>二、评审标准</w:t>
      </w:r>
      <w:bookmarkEnd w:id="2"/>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auto"/>
          <w:kern w:val="0"/>
          <w:sz w:val="24"/>
          <w:szCs w:val="24"/>
        </w:rPr>
        <w:t>采购评审标准由项目</w:t>
      </w:r>
      <w:r>
        <w:rPr>
          <w:rFonts w:hint="eastAsia" w:ascii="宋体" w:hAnsi="宋体" w:cs="宋体"/>
          <w:color w:val="auto"/>
          <w:kern w:val="0"/>
          <w:sz w:val="24"/>
          <w:szCs w:val="24"/>
          <w:lang w:val="en-US" w:eastAsia="zh-CN"/>
        </w:rPr>
        <w:t>价格部分、项目管理机构、企业业绩、合理化建议、施工组织设计标准构成，评审专家将</w:t>
      </w:r>
      <w:r>
        <w:rPr>
          <w:rFonts w:hint="eastAsia" w:ascii="宋体" w:hAnsi="宋体" w:cs="宋体"/>
          <w:color w:val="000000" w:themeColor="text1"/>
          <w:kern w:val="0"/>
          <w:sz w:val="24"/>
          <w:szCs w:val="24"/>
          <w14:textFill>
            <w14:solidFill>
              <w14:schemeClr w14:val="tx1"/>
            </w14:solidFill>
          </w14:textFill>
        </w:rPr>
        <w:t>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auto"/>
          <w:kern w:val="0"/>
          <w:sz w:val="24"/>
          <w:szCs w:val="24"/>
          <w:lang w:val="en-US" w:eastAsia="zh-CN"/>
        </w:rPr>
        <w:t>价格部分、项目管理机构、企业业绩、合理化建议、施工组织设计标准</w:t>
      </w:r>
      <w:r>
        <w:rPr>
          <w:rFonts w:hint="eastAsia" w:ascii="宋体" w:hAnsi="宋体" w:cs="宋体"/>
          <w:color w:val="FF0000"/>
          <w:kern w:val="0"/>
          <w:sz w:val="24"/>
          <w:szCs w:val="24"/>
        </w:rPr>
        <w:t>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27"/>
        <w:tblW w:w="87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5"/>
        <w:gridCol w:w="1155"/>
        <w:gridCol w:w="5850"/>
        <w:gridCol w:w="7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35"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center"/>
              <w:textAlignment w:val="bottom"/>
              <w:rPr>
                <w:rFonts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内容</w:t>
            </w:r>
          </w:p>
        </w:tc>
        <w:tc>
          <w:tcPr>
            <w:tcW w:w="11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评审因素</w:t>
            </w:r>
          </w:p>
        </w:tc>
        <w:tc>
          <w:tcPr>
            <w:tcW w:w="5850"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评分说明</w:t>
            </w:r>
          </w:p>
        </w:tc>
        <w:tc>
          <w:tcPr>
            <w:tcW w:w="72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restart"/>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价格部分（35分）</w:t>
            </w:r>
          </w:p>
        </w:tc>
        <w:tc>
          <w:tcPr>
            <w:tcW w:w="1155" w:type="dxa"/>
            <w:vMerge w:val="restart"/>
            <w:tcBorders>
              <w:top w:val="nil"/>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投标报价（35分）</w:t>
            </w:r>
          </w:p>
        </w:tc>
        <w:tc>
          <w:tcPr>
            <w:tcW w:w="585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 有效投标人≥3家（不含本数）</w:t>
            </w:r>
          </w:p>
        </w:tc>
        <w:tc>
          <w:tcPr>
            <w:tcW w:w="72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5" w:type="dxa"/>
            <w:vMerge w:val="continue"/>
            <w:tcBorders>
              <w:top w:val="single" w:color="000000" w:sz="8" w:space="0"/>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（1）评标基准价：满足招标文件全部要求，且投标价格最低的有效评标价。</w:t>
            </w: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1035" w:type="dxa"/>
            <w:vMerge w:val="continue"/>
            <w:tcBorders>
              <w:top w:val="single" w:color="000000" w:sz="8" w:space="0"/>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（2）价格分计算方式：评标价与评标基准价一致的投标人，获得本项满分35分；其他投标人价格得分精确到小数点后两位，计算公式为：价格得分＝（评标基准价/该投标人评标价）×35。</w:t>
            </w: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continue"/>
            <w:tcBorders>
              <w:top w:val="single" w:color="000000" w:sz="8" w:space="0"/>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r>
              <w:rPr>
                <w:rFonts w:ascii="Arial" w:hAnsi="Arial" w:eastAsia="仿宋" w:cs="Arial"/>
                <w:i w:val="0"/>
                <w:iCs w:val="0"/>
                <w:color w:val="000000"/>
                <w:kern w:val="0"/>
                <w:sz w:val="21"/>
                <w:szCs w:val="21"/>
                <w:u w:val="none"/>
                <w:lang w:val="en-US" w:eastAsia="zh-CN" w:bidi="ar"/>
              </w:rPr>
              <w:t xml:space="preserve"> </w:t>
            </w:r>
            <w:r>
              <w:rPr>
                <w:rFonts w:hint="eastAsia" w:ascii="仿宋" w:hAnsi="仿宋" w:eastAsia="仿宋" w:cs="仿宋"/>
                <w:i w:val="0"/>
                <w:iCs w:val="0"/>
                <w:color w:val="000000"/>
                <w:kern w:val="0"/>
                <w:sz w:val="21"/>
                <w:szCs w:val="21"/>
                <w:u w:val="none"/>
                <w:lang w:val="en-US" w:eastAsia="zh-CN" w:bidi="ar"/>
              </w:rPr>
              <w:t>有效投标报价≥3个（含3个）</w:t>
            </w: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continue"/>
            <w:tcBorders>
              <w:top w:val="single" w:color="000000" w:sz="8" w:space="0"/>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（1）评标基准价：所有有效评标价的算术平均值。</w:t>
            </w: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035" w:type="dxa"/>
            <w:vMerge w:val="continue"/>
            <w:tcBorders>
              <w:top w:val="single" w:color="000000" w:sz="8" w:space="0"/>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（2）价格得分计算方式：价格得分=(1-A×│1－该投标人评标价／评标基准价│)×35</w:t>
            </w: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035" w:type="dxa"/>
            <w:vMerge w:val="continue"/>
            <w:tcBorders>
              <w:top w:val="single" w:color="000000" w:sz="8" w:space="0"/>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价格调整系数A：投标人评标价低于评标基准价时，A=0.3；投标人评标价高于评标基准价时，A=1。</w:t>
            </w: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continue"/>
            <w:tcBorders>
              <w:top w:val="single" w:color="000000" w:sz="8" w:space="0"/>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若计算得出价格得分＜0，统一按0分计分。</w:t>
            </w: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035" w:type="dxa"/>
            <w:vMerge w:val="continue"/>
            <w:tcBorders>
              <w:top w:val="single" w:color="000000" w:sz="8" w:space="0"/>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偏差率计算公式：偏差率=100% ×（投标有效报价 - 评标基准价）/评标基准价</w:t>
            </w: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项目管理机构（8分）</w:t>
            </w:r>
          </w:p>
        </w:tc>
        <w:tc>
          <w:tcPr>
            <w:tcW w:w="115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项目团队配置（4分）</w:t>
            </w:r>
          </w:p>
        </w:tc>
        <w:tc>
          <w:tcPr>
            <w:tcW w:w="5850" w:type="dxa"/>
            <w:vMerge w:val="restart"/>
            <w:tcBorders>
              <w:top w:val="single" w:color="000000" w:sz="8" w:space="0"/>
              <w:left w:val="single" w:color="000000" w:sz="8" w:space="0"/>
              <w:bottom w:val="single" w:color="000000" w:sz="8" w:space="0"/>
              <w:right w:val="nil"/>
            </w:tcBorders>
            <w:shd w:val="clear" w:color="auto" w:fill="auto"/>
            <w:vAlign w:val="top"/>
          </w:tcPr>
          <w:p>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1.施工班组配置齐全（含水电、木工、瓦工、油漆工等），人员持证上岗，分工明确，得4分；人员配置不全或无证上岗，每缺1项扣1分，扣完为止。</w:t>
            </w:r>
          </w:p>
        </w:tc>
        <w:tc>
          <w:tcPr>
            <w:tcW w:w="72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vMerge w:val="continue"/>
            <w:tcBorders>
              <w:top w:val="single" w:color="000000" w:sz="8" w:space="0"/>
              <w:left w:val="single" w:color="000000" w:sz="8" w:space="0"/>
              <w:bottom w:val="single" w:color="000000" w:sz="8" w:space="0"/>
              <w:right w:val="nil"/>
            </w:tcBorders>
            <w:shd w:val="clear" w:color="auto" w:fill="auto"/>
            <w:vAlign w:val="top"/>
          </w:tcPr>
          <w:p>
            <w:pPr>
              <w:jc w:val="left"/>
              <w:rPr>
                <w:rFonts w:hint="eastAsia" w:ascii="仿宋" w:hAnsi="仿宋" w:eastAsia="仿宋" w:cs="仿宋"/>
                <w:i w:val="0"/>
                <w:iCs w:val="0"/>
                <w:color w:val="000000"/>
                <w:sz w:val="21"/>
                <w:szCs w:val="21"/>
                <w:u w:val="none"/>
              </w:rPr>
            </w:pPr>
          </w:p>
        </w:tc>
        <w:tc>
          <w:tcPr>
            <w:tcW w:w="7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项目管理流程及制度（4分）</w:t>
            </w:r>
          </w:p>
        </w:tc>
        <w:tc>
          <w:tcPr>
            <w:tcW w:w="585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1.有完善的项目管理制度（含质量管控、安全管理、进度管理、现场管理等），流程清晰，可操作性强，得2分；制度不完善或缺乏针对性，扣1-2分；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2.针对本项目制定专项现场管理方案（如施工期间职场办公区域隔离、噪音控制、垃圾清运、消防安全管理等），措施具体、贴合职场场景，得2分；方案简单、无针对性，扣1-2分。</w:t>
            </w:r>
          </w:p>
        </w:tc>
        <w:tc>
          <w:tcPr>
            <w:tcW w:w="72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企业业绩（5分）</w:t>
            </w:r>
          </w:p>
        </w:tc>
        <w:tc>
          <w:tcPr>
            <w:tcW w:w="115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企业业绩（5分）</w:t>
            </w:r>
          </w:p>
        </w:tc>
        <w:tc>
          <w:tcPr>
            <w:tcW w:w="5850" w:type="dxa"/>
            <w:vMerge w:val="restart"/>
            <w:tcBorders>
              <w:top w:val="single" w:color="000000" w:sz="8" w:space="0"/>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1.近3年内（自投标截止之日起倒算），投标单位完成过至少1个小规模职场装修改造项目（单项合同金额与本项目相近，且项目规模、施工内容相似），得3分；无相关业绩，本项不得分；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业绩提供完整证明材料（合同复印件、竣工验收报告等），且项目无质量投诉、安全事故，得2分；材料不全，扣1分；有质量投诉或安全事故记录，本项不得分；近3年内每多完成1个类似业绩，加1分，最多加2分（本项总分不超过5分）</w:t>
            </w:r>
          </w:p>
        </w:tc>
        <w:tc>
          <w:tcPr>
            <w:tcW w:w="72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vMerge w:val="continue"/>
            <w:tcBorders>
              <w:top w:val="single" w:color="000000" w:sz="8" w:space="0"/>
              <w:left w:val="single" w:color="000000" w:sz="8" w:space="0"/>
              <w:bottom w:val="single" w:color="000000" w:sz="8" w:space="0"/>
              <w:right w:val="single" w:color="000000" w:sz="8" w:space="0"/>
            </w:tcBorders>
            <w:shd w:val="clear" w:color="auto" w:fill="auto"/>
            <w:vAlign w:val="top"/>
          </w:tcPr>
          <w:p>
            <w:pPr>
              <w:jc w:val="left"/>
              <w:rPr>
                <w:rFonts w:hint="eastAsia" w:ascii="仿宋" w:hAnsi="仿宋" w:eastAsia="仿宋" w:cs="仿宋"/>
                <w:i w:val="0"/>
                <w:iCs w:val="0"/>
                <w:color w:val="000000"/>
                <w:sz w:val="21"/>
                <w:szCs w:val="21"/>
                <w:u w:val="none"/>
              </w:rPr>
            </w:pP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vMerge w:val="continue"/>
            <w:tcBorders>
              <w:top w:val="single" w:color="000000" w:sz="8" w:space="0"/>
              <w:left w:val="single" w:color="000000" w:sz="8" w:space="0"/>
              <w:bottom w:val="single" w:color="000000" w:sz="8" w:space="0"/>
              <w:right w:val="single" w:color="000000" w:sz="8" w:space="0"/>
            </w:tcBorders>
            <w:shd w:val="clear" w:color="auto" w:fill="auto"/>
            <w:vAlign w:val="top"/>
          </w:tcPr>
          <w:p>
            <w:pPr>
              <w:jc w:val="left"/>
              <w:rPr>
                <w:rFonts w:hint="eastAsia" w:ascii="仿宋" w:hAnsi="仿宋" w:eastAsia="仿宋" w:cs="仿宋"/>
                <w:i w:val="0"/>
                <w:iCs w:val="0"/>
                <w:color w:val="000000"/>
                <w:sz w:val="21"/>
                <w:szCs w:val="21"/>
                <w:u w:val="none"/>
              </w:rPr>
            </w:pP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合理化建议（5分）</w:t>
            </w:r>
          </w:p>
        </w:tc>
        <w:tc>
          <w:tcPr>
            <w:tcW w:w="1155"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合理化建议（5分）</w:t>
            </w:r>
          </w:p>
        </w:tc>
        <w:tc>
          <w:tcPr>
            <w:tcW w:w="585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1.针对本项目装修改造（如材料选择、工艺优化、空间利用、节能降耗、后期维护等）提出合理化建议，建议贴合项目实际、具有可操作性，得3分；无合理化建议，本项不得分；建议空洞、无针对性，扣1-3分；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2.建议能有效降低施工成本、缩短工期或提升装修质量、实用性，每有1项切实可行的优化建议，加1分，最多加2分（本项总分不超过5分）；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建议存在不合理、不可行内容，每有1项扣1分，扣完为止。</w:t>
            </w:r>
          </w:p>
        </w:tc>
        <w:tc>
          <w:tcPr>
            <w:tcW w:w="72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left"/>
              <w:rPr>
                <w:rFonts w:hint="eastAsia" w:ascii="仿宋" w:hAnsi="仿宋" w:eastAsia="仿宋" w:cs="仿宋"/>
                <w:i w:val="0"/>
                <w:iCs w:val="0"/>
                <w:color w:val="000000"/>
                <w:sz w:val="21"/>
                <w:szCs w:val="21"/>
                <w:u w:val="none"/>
              </w:rPr>
            </w:pP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left"/>
              <w:rPr>
                <w:rFonts w:hint="eastAsia" w:ascii="仿宋" w:hAnsi="仿宋" w:eastAsia="仿宋" w:cs="仿宋"/>
                <w:i w:val="0"/>
                <w:iCs w:val="0"/>
                <w:color w:val="000000"/>
                <w:sz w:val="21"/>
                <w:szCs w:val="21"/>
                <w:u w:val="none"/>
              </w:rPr>
            </w:pP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left"/>
              <w:rPr>
                <w:rFonts w:hint="eastAsia" w:ascii="仿宋" w:hAnsi="仿宋" w:eastAsia="仿宋" w:cs="仿宋"/>
                <w:i w:val="0"/>
                <w:iCs w:val="0"/>
                <w:color w:val="000000"/>
                <w:sz w:val="21"/>
                <w:szCs w:val="21"/>
                <w:u w:val="none"/>
              </w:rPr>
            </w:pP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103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left"/>
              <w:rPr>
                <w:rFonts w:hint="eastAsia" w:ascii="仿宋" w:hAnsi="仿宋" w:eastAsia="仿宋" w:cs="仿宋"/>
                <w:i w:val="0"/>
                <w:iCs w:val="0"/>
                <w:color w:val="000000"/>
                <w:sz w:val="21"/>
                <w:szCs w:val="21"/>
                <w:u w:val="none"/>
              </w:rPr>
            </w:pPr>
          </w:p>
        </w:tc>
        <w:tc>
          <w:tcPr>
            <w:tcW w:w="72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103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施工组织设计评分标准（47分）</w:t>
            </w:r>
          </w:p>
        </w:tc>
        <w:tc>
          <w:tcPr>
            <w:tcW w:w="115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施工方案与技术措施（15分）</w:t>
            </w:r>
          </w:p>
        </w:tc>
        <w:tc>
          <w:tcPr>
            <w:tcW w:w="5850" w:type="dxa"/>
            <w:tcBorders>
              <w:top w:val="nil"/>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1.施工方案紧扣本项目职场装修改造需求（如墙面翻新、地面铺设、吊顶安装、水电改造、办公区域分区装修等），流程合理、步骤清晰，符合相关施工规范，得8分；方案不贴合项目实际、流程混乱，扣3-8分；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2.针对本项目重点、难点工序（如旧装修拆除、水电隐蔽工程、办公区域交叉施工等），有具体的技术措施和解决方案，措施可行、针对性强，得7分；无重点难点分析或措施不合理，扣3-7分。</w:t>
            </w:r>
          </w:p>
        </w:tc>
        <w:tc>
          <w:tcPr>
            <w:tcW w:w="72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施工进度计划（8分）</w:t>
            </w:r>
          </w:p>
        </w:tc>
        <w:tc>
          <w:tcPr>
            <w:tcW w:w="585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1.进度计划符合招标文件要求的工期，节点划分合理（如拆除阶段、基础施工阶段、装修阶段、收尾阶段），明确各节点完成时间，得4分；工期超出要求或节点划分混乱，扣1-4分；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2.有完善的进度保障措施（如人员调配、材料供应、机械安排等），能应对工期延误风险，且进度计划可调整、可管控，得4分；无保障措施或措施不可行，扣1-4分。</w:t>
            </w:r>
          </w:p>
        </w:tc>
        <w:tc>
          <w:tcPr>
            <w:tcW w:w="72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质量保障措施（8分）</w:t>
            </w:r>
          </w:p>
        </w:tc>
        <w:tc>
          <w:tcPr>
            <w:tcW w:w="585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1.有明确的质量目标（如符合国家建筑装修工程质量验收标准、达到合格及以上等级），建立完善的质量管控体系，明确各岗位质量职责，得4分；无质量目标或管控体系不完善，扣1-4分；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2.针对材料质量、施工工艺、隐蔽工程等关键环节，有具体的质量检查、验收措施（如材料进场检验、工序自检、互检、交接检等），措施到位、可落地，得4分；措施缺失或不具体，扣1-4分。</w:t>
            </w:r>
          </w:p>
        </w:tc>
        <w:tc>
          <w:tcPr>
            <w:tcW w:w="72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安全文明施工措施（8分）</w:t>
            </w:r>
          </w:p>
        </w:tc>
        <w:tc>
          <w:tcPr>
            <w:tcW w:w="585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安全管理目标明确（无安全事故、无人员伤亡），有完善的安全管理制度和安全防护措施（如施工人员安全培训、安全帽/安全带佩戴要求、用电安全、消防安全等），得4分；无安全目标或措施不完善，扣1-4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2.文明施工措施到位，符合职场办公环境要求（如施工区域隔离、噪音控制、粉尘控制、垃圾日产日清、施工人员着装规范等），不影响职场正常办公秩序，得4分；措施不到位，扣1-4分。</w:t>
            </w:r>
          </w:p>
        </w:tc>
        <w:tc>
          <w:tcPr>
            <w:tcW w:w="72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材料与设备保障（4分）</w:t>
            </w:r>
          </w:p>
        </w:tc>
        <w:tc>
          <w:tcPr>
            <w:tcW w:w="585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1.材料选用符合招标文件要求，明确材料品牌、规格、型号，质量合格、环保达标（提供相关检测报告承诺），得2分；材料不符合要求或未明确相关信息，扣1-2分；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2.施工设备配置齐全、性能良好，能满足施工需求，有设备维护、检修措施，确保施工顺利进行，得2分；设备配置不足或无维护措施，扣1-2分。</w:t>
            </w:r>
          </w:p>
        </w:tc>
        <w:tc>
          <w:tcPr>
            <w:tcW w:w="72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售后服务（4分）</w:t>
            </w:r>
          </w:p>
        </w:tc>
        <w:tc>
          <w:tcPr>
            <w:tcW w:w="585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1.有完善的售后服务方案，明确质保期（质保期符合国家相关规定，且不低于招标文件要求），质保范围清晰，得2分；无售后服务方案或质保期、范围不明确，扣1-2分；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2.售后服务响应及时（如故障报修24小时内响应、现场处理），有明确的售后人员配置和服务流程，得2分；响应不及时或流程不清晰，扣1-2分。</w:t>
            </w:r>
          </w:p>
        </w:tc>
        <w:tc>
          <w:tcPr>
            <w:tcW w:w="72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3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总分</w:t>
            </w:r>
          </w:p>
        </w:tc>
        <w:tc>
          <w:tcPr>
            <w:tcW w:w="1155" w:type="dxa"/>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72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100</w:t>
            </w:r>
          </w:p>
        </w:tc>
      </w:tr>
    </w:tbl>
    <w:p/>
    <w:p/>
    <w:p/>
    <w:p/>
    <w:p/>
    <w:p>
      <w:pPr>
        <w:pStyle w:val="3"/>
        <w:numPr>
          <w:ilvl w:val="0"/>
          <w:numId w:val="0"/>
        </w:numPr>
        <w:adjustRightInd w:val="0"/>
        <w:snapToGrid w:val="0"/>
        <w:spacing w:before="0" w:after="0" w:line="360" w:lineRule="auto"/>
        <w:ind w:firstLine="482" w:firstLineChars="200"/>
        <w:rPr>
          <w:sz w:val="24"/>
          <w:szCs w:val="24"/>
        </w:rPr>
      </w:pPr>
      <w:bookmarkStart w:id="3" w:name="_Toc5657"/>
      <w:r>
        <w:rPr>
          <w:rFonts w:hint="eastAsia"/>
          <w:sz w:val="24"/>
          <w:szCs w:val="24"/>
        </w:rPr>
        <w:t>三、响应文件要求</w:t>
      </w:r>
      <w:bookmarkEnd w:id="3"/>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1.</w:t>
      </w:r>
      <w:r>
        <w:rPr>
          <w:rFonts w:hint="eastAsia" w:ascii="宋体" w:hAnsi="宋体" w:cs="宋体"/>
          <w:kern w:val="0"/>
          <w:sz w:val="24"/>
          <w:szCs w:val="24"/>
        </w:rPr>
        <w:t>参加</w:t>
      </w:r>
      <w:r>
        <w:rPr>
          <w:rFonts w:hint="eastAsia" w:ascii="宋体" w:hAnsi="宋体" w:cs="宋体"/>
          <w:kern w:val="0"/>
          <w:sz w:val="24"/>
          <w:szCs w:val="24"/>
          <w:lang w:val="en-US" w:eastAsia="zh-CN"/>
        </w:rPr>
        <w:t>比选</w:t>
      </w:r>
      <w:r>
        <w:rPr>
          <w:rFonts w:hint="eastAsia" w:ascii="宋体" w:hAnsi="宋体" w:cs="宋体"/>
          <w:kern w:val="0"/>
          <w:sz w:val="24"/>
          <w:szCs w:val="24"/>
        </w:rPr>
        <w:t>的供应商应按一式</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w:t>
      </w:r>
      <w:r>
        <w:rPr>
          <w:rFonts w:hint="eastAsia" w:ascii="宋体" w:hAnsi="宋体" w:cs="宋体"/>
          <w:color w:val="auto"/>
          <w:kern w:val="0"/>
          <w:sz w:val="24"/>
          <w:szCs w:val="24"/>
          <w:lang w:eastAsia="zh-CN"/>
        </w:rPr>
        <w:t>）</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w:t>
      </w:r>
      <w:r>
        <w:rPr>
          <w:rFonts w:hint="eastAsia" w:ascii="宋体" w:hAnsi="宋体" w:cs="宋体"/>
          <w:kern w:val="0"/>
          <w:sz w:val="24"/>
          <w:szCs w:val="24"/>
          <w:lang w:val="en-US" w:eastAsia="zh-CN"/>
        </w:rPr>
        <w:t>比选</w:t>
      </w:r>
      <w:r>
        <w:rPr>
          <w:rFonts w:hint="eastAsia" w:ascii="宋体" w:hAnsi="宋体" w:cs="宋体"/>
          <w:kern w:val="0"/>
          <w:sz w:val="24"/>
          <w:szCs w:val="24"/>
        </w:rPr>
        <w:t>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供应商廉洁诚信承诺书（格式详见附件五）</w:t>
      </w:r>
    </w:p>
    <w:p>
      <w:pPr>
        <w:widowControl/>
        <w:adjustRightInd w:val="0"/>
        <w:snapToGrid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（5）供应商行为准则承诺书（格式详见附件五）</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（6）报价一览表（单独密封）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（7）分项报价表（单独密封）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hint="eastAsia" w:ascii="宋体" w:hAnsi="宋体" w:cs="宋体"/>
          <w:color w:val="000000" w:themeColor="text1"/>
          <w:kern w:val="0"/>
          <w:sz w:val="24"/>
          <w:szCs w:val="24"/>
          <w14:textFill>
            <w14:solidFill>
              <w14:schemeClr w14:val="tx1"/>
            </w14:solidFill>
          </w14:textFill>
        </w:rPr>
        <w:t>）资格证明文件（格式详见附件三）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lang w:val="en-US" w:eastAsia="zh-CN"/>
          <w14:textFill>
            <w14:solidFill>
              <w14:schemeClr w14:val="tx1"/>
            </w14:solidFill>
          </w14:textFill>
        </w:rPr>
        <w:t>0</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w:t>
      </w:r>
      <w:r>
        <w:rPr>
          <w:rFonts w:hint="eastAsia" w:ascii="宋体" w:hAnsi="宋体" w:cs="宋体"/>
          <w:kern w:val="0"/>
          <w:sz w:val="24"/>
          <w:szCs w:val="24"/>
          <w:lang w:val="en-US" w:eastAsia="zh-CN"/>
        </w:rPr>
        <w:t>比选</w:t>
      </w:r>
      <w:r>
        <w:rPr>
          <w:rFonts w:hint="eastAsia" w:ascii="宋体" w:hAnsi="宋体" w:cs="宋体"/>
          <w:kern w:val="0"/>
          <w:sz w:val="24"/>
          <w:szCs w:val="24"/>
        </w:rPr>
        <w:t>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w:t>
      </w:r>
      <w:r>
        <w:rPr>
          <w:rFonts w:hint="eastAsia" w:ascii="Arial" w:hAnsi="Arial" w:cs="Arial"/>
          <w:sz w:val="24"/>
          <w:szCs w:val="24"/>
          <w:lang w:val="en-US" w:eastAsia="zh-CN"/>
        </w:rPr>
        <w:t>比选</w:t>
      </w:r>
      <w:r>
        <w:rPr>
          <w:rFonts w:ascii="Arial" w:hAnsi="Arial" w:cs="Arial"/>
          <w:sz w:val="24"/>
          <w:szCs w:val="24"/>
        </w:rPr>
        <w:t>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w:t>
      </w:r>
      <w:r>
        <w:rPr>
          <w:rFonts w:hint="eastAsia" w:asciiTheme="minorEastAsia" w:hAnsiTheme="minorEastAsia" w:eastAsiaTheme="minorEastAsia"/>
          <w:sz w:val="24"/>
          <w:lang w:val="en-US" w:eastAsia="zh-CN"/>
        </w:rPr>
        <w:t>比选</w:t>
      </w:r>
      <w:r>
        <w:rPr>
          <w:rFonts w:hint="eastAsia" w:asciiTheme="minorEastAsia" w:hAnsiTheme="minorEastAsia" w:eastAsiaTheme="minorEastAsia"/>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bookmarkStart w:id="4" w:name="_Toc9418"/>
      <w:r>
        <w:rPr>
          <w:rFonts w:hint="eastAsia"/>
          <w:sz w:val="24"/>
          <w:szCs w:val="24"/>
        </w:rPr>
        <w:t>四、</w:t>
      </w:r>
      <w:r>
        <w:rPr>
          <w:rFonts w:hint="eastAsia"/>
          <w:sz w:val="24"/>
          <w:szCs w:val="24"/>
          <w:lang w:val="en-US" w:eastAsia="zh-CN"/>
        </w:rPr>
        <w:t>比选</w:t>
      </w:r>
      <w:r>
        <w:rPr>
          <w:rFonts w:hint="eastAsia"/>
          <w:sz w:val="24"/>
          <w:szCs w:val="24"/>
        </w:rPr>
        <w:t>时间和地点</w:t>
      </w:r>
      <w:bookmarkEnd w:id="4"/>
    </w:p>
    <w:p>
      <w:pPr>
        <w:widowControl/>
        <w:adjustRightInd w:val="0"/>
        <w:snapToGrid w:val="0"/>
        <w:spacing w:line="360" w:lineRule="auto"/>
        <w:ind w:firstLine="480"/>
        <w:rPr>
          <w:rFonts w:hint="eastAsia"/>
          <w:sz w:val="24"/>
          <w:szCs w:val="24"/>
        </w:rPr>
      </w:pPr>
      <w:bookmarkStart w:id="5" w:name="OLE_LINK4"/>
      <w:bookmarkEnd w:id="5"/>
      <w:bookmarkStart w:id="6" w:name="OLE_LINK3"/>
      <w:bookmarkEnd w:id="6"/>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4</w:t>
      </w:r>
      <w:bookmarkStart w:id="40" w:name="_GoBack"/>
      <w:bookmarkEnd w:id="40"/>
      <w:r>
        <w:rPr>
          <w:rFonts w:hint="eastAsia" w:ascii="宋体" w:hAnsi="宋体" w:cs="宋体"/>
          <w:color w:val="FF0000"/>
          <w:kern w:val="0"/>
          <w:sz w:val="24"/>
          <w:szCs w:val="24"/>
        </w:rPr>
        <w:t>日上午</w:t>
      </w:r>
      <w:r>
        <w:rPr>
          <w:rFonts w:hint="eastAsia" w:ascii="宋体" w:hAnsi="宋体" w:cs="宋体"/>
          <w:color w:val="FF0000"/>
          <w:kern w:val="0"/>
          <w:sz w:val="24"/>
          <w:szCs w:val="24"/>
          <w:lang w:val="en-US" w:eastAsia="zh-CN"/>
        </w:rPr>
        <w:t>10:00</w:t>
      </w:r>
      <w:r>
        <w:rPr>
          <w:rFonts w:hint="eastAsia" w:ascii="宋体" w:hAnsi="宋体" w:cs="宋体"/>
          <w:color w:val="FF0000"/>
          <w:kern w:val="0"/>
          <w:sz w:val="24"/>
          <w:szCs w:val="24"/>
        </w:rPr>
        <w:t>，</w:t>
      </w:r>
      <w:r>
        <w:rPr>
          <w:rFonts w:hint="eastAsia" w:ascii="宋体" w:hAnsi="宋体" w:cs="宋体"/>
          <w:color w:val="FF0000"/>
          <w:kern w:val="0"/>
          <w:sz w:val="24"/>
          <w:szCs w:val="24"/>
          <w:lang w:val="en-US" w:eastAsia="zh-CN"/>
        </w:rPr>
        <w:t>海东市乐都区世翔大厦10楼</w:t>
      </w:r>
      <w:r>
        <w:rPr>
          <w:rFonts w:hint="eastAsia" w:ascii="宋体" w:hAnsi="宋体" w:cs="宋体"/>
          <w:color w:val="FF0000"/>
          <w:kern w:val="0"/>
          <w:sz w:val="24"/>
          <w:szCs w:val="24"/>
        </w:rPr>
        <w:t>中国人民财产保险股份有限公司</w:t>
      </w:r>
      <w:r>
        <w:rPr>
          <w:rFonts w:hint="eastAsia" w:ascii="宋体" w:hAnsi="宋体" w:cs="宋体"/>
          <w:color w:val="FF0000"/>
          <w:kern w:val="0"/>
          <w:sz w:val="24"/>
          <w:szCs w:val="24"/>
          <w:lang w:val="en-US" w:eastAsia="zh-CN"/>
        </w:rPr>
        <w:t>海东市分公司小</w:t>
      </w:r>
      <w:r>
        <w:rPr>
          <w:rFonts w:hint="eastAsia" w:ascii="宋体" w:hAnsi="宋体" w:cs="宋体"/>
          <w:color w:val="FF0000"/>
          <w:kern w:val="0"/>
          <w:sz w:val="24"/>
          <w:szCs w:val="24"/>
        </w:rPr>
        <w:t>会议室（时间、地点如有变化，将另行提前通知</w:t>
      </w:r>
      <w:r>
        <w:rPr>
          <w:rFonts w:hint="eastAsia" w:ascii="宋体" w:hAnsi="宋体" w:cs="宋体"/>
          <w:color w:val="FF0000"/>
          <w:kern w:val="0"/>
          <w:sz w:val="24"/>
          <w:szCs w:val="24"/>
          <w:lang w:eastAsia="zh-CN"/>
        </w:rPr>
        <w:t>）</w:t>
      </w:r>
      <w:r>
        <w:rPr>
          <w:rFonts w:hint="eastAsia" w:ascii="宋体" w:hAnsi="宋体" w:cs="宋体"/>
          <w:color w:val="FF0000"/>
          <w:kern w:val="0"/>
          <w:sz w:val="24"/>
          <w:szCs w:val="24"/>
        </w:rPr>
        <w:t>。</w:t>
      </w:r>
    </w:p>
    <w:p>
      <w:pPr>
        <w:pStyle w:val="3"/>
        <w:numPr>
          <w:ilvl w:val="0"/>
          <w:numId w:val="0"/>
        </w:numPr>
        <w:adjustRightInd w:val="0"/>
        <w:snapToGrid w:val="0"/>
        <w:spacing w:before="0" w:after="0" w:line="360" w:lineRule="auto"/>
        <w:ind w:firstLine="482" w:firstLineChars="200"/>
        <w:rPr>
          <w:sz w:val="24"/>
          <w:szCs w:val="24"/>
        </w:rPr>
      </w:pPr>
      <w:bookmarkStart w:id="7" w:name="_Toc12566"/>
      <w:r>
        <w:rPr>
          <w:rFonts w:hint="eastAsia"/>
          <w:sz w:val="24"/>
          <w:szCs w:val="24"/>
        </w:rPr>
        <w:t>五、</w:t>
      </w:r>
      <w:r>
        <w:rPr>
          <w:rFonts w:hint="eastAsia"/>
          <w:sz w:val="24"/>
          <w:szCs w:val="24"/>
          <w:lang w:val="en-US" w:eastAsia="zh-CN"/>
        </w:rPr>
        <w:t>比选</w:t>
      </w:r>
      <w:r>
        <w:rPr>
          <w:rFonts w:hint="eastAsia"/>
          <w:sz w:val="24"/>
          <w:szCs w:val="24"/>
        </w:rPr>
        <w:t>流程说明</w:t>
      </w:r>
      <w:bookmarkEnd w:id="7"/>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lang w:val="en-US" w:eastAsia="zh-CN"/>
        </w:rPr>
        <w:t>比选</w:t>
      </w:r>
      <w:r>
        <w:rPr>
          <w:rFonts w:hint="eastAsia" w:ascii="宋体" w:hAnsi="宋体" w:cs="宋体"/>
          <w:b/>
          <w:bCs/>
          <w:kern w:val="0"/>
          <w:sz w:val="24"/>
          <w:szCs w:val="24"/>
        </w:rPr>
        <w:t>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w:t>
      </w:r>
      <w:r>
        <w:rPr>
          <w:rFonts w:hint="eastAsia" w:cs="Arial" w:asciiTheme="minorEastAsia" w:hAnsiTheme="minorEastAsia" w:eastAsiaTheme="minorEastAsia"/>
          <w:sz w:val="24"/>
          <w:szCs w:val="24"/>
          <w:lang w:val="en-US" w:eastAsia="zh-CN"/>
        </w:rPr>
        <w:t>比选</w:t>
      </w:r>
      <w:r>
        <w:rPr>
          <w:rFonts w:cs="Arial" w:asciiTheme="minorEastAsia" w:hAnsiTheme="minorEastAsia" w:eastAsiaTheme="minorEastAsia"/>
          <w:sz w:val="24"/>
          <w:szCs w:val="24"/>
        </w:rPr>
        <w:t>文件》的供应商，进入</w:t>
      </w:r>
      <w:r>
        <w:rPr>
          <w:rFonts w:hint="eastAsia" w:cs="Arial" w:asciiTheme="minorEastAsia" w:hAnsiTheme="minorEastAsia" w:eastAsiaTheme="minorEastAsia"/>
          <w:sz w:val="24"/>
          <w:szCs w:val="24"/>
          <w:lang w:val="en-US" w:eastAsia="zh-CN"/>
        </w:rPr>
        <w:t>比选</w:t>
      </w:r>
      <w:r>
        <w:rPr>
          <w:rFonts w:cs="Arial" w:asciiTheme="minorEastAsia" w:hAnsiTheme="minorEastAsia" w:eastAsiaTheme="minorEastAsia"/>
          <w:sz w:val="24"/>
          <w:szCs w:val="24"/>
        </w:rPr>
        <w:t>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w:t>
      </w:r>
      <w:r>
        <w:rPr>
          <w:rFonts w:hint="eastAsia" w:ascii="宋体" w:hAnsi="宋体" w:cs="宋体"/>
          <w:kern w:val="0"/>
          <w:sz w:val="24"/>
          <w:szCs w:val="24"/>
          <w:lang w:val="en-US" w:eastAsia="zh-CN"/>
        </w:rPr>
        <w:t>比选</w:t>
      </w:r>
      <w:r>
        <w:rPr>
          <w:rFonts w:hint="eastAsia" w:ascii="宋体" w:hAnsi="宋体" w:cs="宋体"/>
          <w:kern w:val="0"/>
          <w:sz w:val="24"/>
          <w:szCs w:val="24"/>
        </w:rPr>
        <w:t>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w:t>
      </w:r>
      <w:r>
        <w:rPr>
          <w:rFonts w:hint="eastAsia" w:ascii="宋体" w:hAnsi="宋体" w:cs="宋体"/>
          <w:kern w:val="0"/>
          <w:sz w:val="24"/>
          <w:szCs w:val="24"/>
          <w:lang w:val="en-US" w:eastAsia="zh-CN"/>
        </w:rPr>
        <w:t>比选</w:t>
      </w:r>
      <w:r>
        <w:rPr>
          <w:rFonts w:hint="eastAsia" w:ascii="宋体" w:hAnsi="宋体" w:cs="宋体"/>
          <w:kern w:val="0"/>
          <w:sz w:val="24"/>
          <w:szCs w:val="24"/>
        </w:rPr>
        <w:t>小组成员集中与实质性响应《</w:t>
      </w:r>
      <w:r>
        <w:rPr>
          <w:rFonts w:hint="eastAsia" w:ascii="宋体" w:hAnsi="宋体" w:cs="宋体"/>
          <w:kern w:val="0"/>
          <w:sz w:val="24"/>
          <w:szCs w:val="24"/>
          <w:lang w:val="en-US" w:eastAsia="zh-CN"/>
        </w:rPr>
        <w:t>比选</w:t>
      </w:r>
      <w:r>
        <w:rPr>
          <w:rFonts w:hint="eastAsia" w:ascii="宋体" w:hAnsi="宋体" w:cs="宋体"/>
          <w:kern w:val="0"/>
          <w:sz w:val="24"/>
          <w:szCs w:val="24"/>
        </w:rPr>
        <w:t>文件》的供应商分别就商务、技术服务等进行</w:t>
      </w:r>
      <w:r>
        <w:rPr>
          <w:rFonts w:hint="eastAsia" w:ascii="宋体" w:hAnsi="宋体" w:cs="宋体"/>
          <w:kern w:val="0"/>
          <w:sz w:val="24"/>
          <w:szCs w:val="24"/>
          <w:lang w:val="en-US" w:eastAsia="zh-CN"/>
        </w:rPr>
        <w:t>比选</w:t>
      </w:r>
      <w:r>
        <w:rPr>
          <w:rFonts w:hint="eastAsia" w:ascii="宋体" w:hAnsi="宋体" w:cs="宋体"/>
          <w:kern w:val="0"/>
          <w:sz w:val="24"/>
          <w:szCs w:val="24"/>
        </w:rPr>
        <w:t>，并给予供应商平等的</w:t>
      </w:r>
      <w:r>
        <w:rPr>
          <w:rFonts w:hint="eastAsia" w:ascii="宋体" w:hAnsi="宋体" w:cs="宋体"/>
          <w:kern w:val="0"/>
          <w:sz w:val="24"/>
          <w:szCs w:val="24"/>
          <w:lang w:val="en-US" w:eastAsia="zh-CN"/>
        </w:rPr>
        <w:t>比选</w:t>
      </w:r>
      <w:r>
        <w:rPr>
          <w:rFonts w:hint="eastAsia" w:ascii="宋体" w:hAnsi="宋体" w:cs="宋体"/>
          <w:kern w:val="0"/>
          <w:sz w:val="24"/>
          <w:szCs w:val="24"/>
        </w:rPr>
        <w:t>机会。</w:t>
      </w:r>
      <w:r>
        <w:rPr>
          <w:rFonts w:hint="eastAsia" w:ascii="宋体" w:hAnsi="宋体" w:cs="宋体"/>
          <w:kern w:val="0"/>
          <w:sz w:val="24"/>
          <w:szCs w:val="24"/>
          <w:lang w:val="en-US" w:eastAsia="zh-CN"/>
        </w:rPr>
        <w:t>比选</w:t>
      </w:r>
      <w:r>
        <w:rPr>
          <w:rFonts w:cs="Arial" w:asciiTheme="minorEastAsia" w:hAnsiTheme="minorEastAsia" w:eastAsiaTheme="minorEastAsia"/>
          <w:sz w:val="24"/>
          <w:szCs w:val="24"/>
        </w:rPr>
        <w:t>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.第一轮报价结束后，</w:t>
      </w:r>
      <w:r>
        <w:rPr>
          <w:rFonts w:hint="eastAsia" w:ascii="宋体" w:hAnsi="宋体" w:cs="宋体"/>
          <w:kern w:val="0"/>
          <w:sz w:val="24"/>
          <w:szCs w:val="24"/>
          <w:lang w:val="en-US" w:eastAsia="zh-CN"/>
        </w:rPr>
        <w:t>比选</w:t>
      </w:r>
      <w:r>
        <w:rPr>
          <w:rFonts w:hint="eastAsia" w:ascii="宋体" w:hAnsi="宋体" w:cs="宋体"/>
          <w:kern w:val="0"/>
          <w:sz w:val="24"/>
          <w:szCs w:val="24"/>
        </w:rPr>
        <w:t>小组邀请项目报价高价者首先进入</w:t>
      </w:r>
      <w:r>
        <w:rPr>
          <w:rFonts w:hint="eastAsia" w:ascii="宋体" w:hAnsi="宋体" w:cs="宋体"/>
          <w:kern w:val="0"/>
          <w:sz w:val="24"/>
          <w:szCs w:val="24"/>
          <w:lang w:val="en-US" w:eastAsia="zh-CN"/>
        </w:rPr>
        <w:t>比选</w:t>
      </w:r>
      <w:r>
        <w:rPr>
          <w:rFonts w:hint="eastAsia" w:ascii="宋体" w:hAnsi="宋体" w:cs="宋体"/>
          <w:kern w:val="0"/>
          <w:sz w:val="24"/>
          <w:szCs w:val="24"/>
        </w:rPr>
        <w:t xml:space="preserve">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w:t>
      </w:r>
      <w:r>
        <w:rPr>
          <w:rFonts w:hint="eastAsia" w:ascii="宋体" w:hAnsi="宋体" w:cs="宋体"/>
          <w:kern w:val="0"/>
          <w:sz w:val="24"/>
          <w:szCs w:val="24"/>
          <w:lang w:val="en-US" w:eastAsia="zh-CN"/>
        </w:rPr>
        <w:t>比选</w:t>
      </w:r>
      <w:r>
        <w:rPr>
          <w:rFonts w:hint="eastAsia" w:ascii="宋体" w:hAnsi="宋体" w:cs="宋体"/>
          <w:kern w:val="0"/>
          <w:sz w:val="24"/>
          <w:szCs w:val="24"/>
        </w:rPr>
        <w:t>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w:t>
      </w:r>
      <w:r>
        <w:rPr>
          <w:rFonts w:hint="eastAsia" w:ascii="宋体" w:hAnsi="宋体" w:cs="宋体"/>
          <w:kern w:val="0"/>
          <w:sz w:val="24"/>
          <w:szCs w:val="24"/>
          <w:lang w:val="en-US" w:eastAsia="zh-CN"/>
        </w:rPr>
        <w:t>比选</w:t>
      </w:r>
      <w:r>
        <w:rPr>
          <w:rFonts w:hint="eastAsia" w:ascii="宋体" w:hAnsi="宋体" w:cs="宋体"/>
          <w:kern w:val="0"/>
          <w:sz w:val="24"/>
          <w:szCs w:val="24"/>
        </w:rPr>
        <w:t>小组认为竞价已达到预期效果，则要求所有参加</w:t>
      </w:r>
      <w:r>
        <w:rPr>
          <w:rFonts w:hint="eastAsia" w:ascii="宋体" w:hAnsi="宋体" w:cs="宋体"/>
          <w:kern w:val="0"/>
          <w:sz w:val="24"/>
          <w:szCs w:val="24"/>
          <w:lang w:val="en-US" w:eastAsia="zh-CN"/>
        </w:rPr>
        <w:t>比选</w:t>
      </w:r>
      <w:r>
        <w:rPr>
          <w:rFonts w:hint="eastAsia" w:ascii="宋体" w:hAnsi="宋体" w:cs="宋体"/>
          <w:kern w:val="0"/>
          <w:sz w:val="24"/>
          <w:szCs w:val="24"/>
        </w:rPr>
        <w:t>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w:t>
      </w:r>
      <w:r>
        <w:rPr>
          <w:rFonts w:hint="eastAsia" w:ascii="宋体" w:hAnsi="宋体" w:cs="宋体"/>
          <w:kern w:val="0"/>
          <w:sz w:val="24"/>
          <w:szCs w:val="24"/>
          <w:lang w:val="en-US" w:eastAsia="zh-CN"/>
        </w:rPr>
        <w:t>比选</w:t>
      </w:r>
      <w:r>
        <w:rPr>
          <w:rFonts w:hint="eastAsia" w:ascii="宋体" w:hAnsi="宋体" w:cs="宋体"/>
          <w:kern w:val="0"/>
          <w:sz w:val="24"/>
          <w:szCs w:val="24"/>
        </w:rPr>
        <w:t>小组对本次</w:t>
      </w:r>
      <w:r>
        <w:rPr>
          <w:rFonts w:hint="eastAsia" w:ascii="宋体" w:hAnsi="宋体" w:cs="宋体"/>
          <w:kern w:val="0"/>
          <w:sz w:val="24"/>
          <w:szCs w:val="24"/>
          <w:lang w:val="en-US" w:eastAsia="zh-CN"/>
        </w:rPr>
        <w:t>比选</w:t>
      </w:r>
      <w:r>
        <w:rPr>
          <w:rFonts w:hint="eastAsia" w:ascii="宋体" w:hAnsi="宋体" w:cs="宋体"/>
          <w:kern w:val="0"/>
          <w:sz w:val="24"/>
          <w:szCs w:val="24"/>
        </w:rPr>
        <w:t>结果进行最终打分。</w:t>
      </w:r>
    </w:p>
    <w:p>
      <w:pPr>
        <w:pStyle w:val="3"/>
        <w:numPr>
          <w:ilvl w:val="0"/>
          <w:numId w:val="0"/>
        </w:numPr>
        <w:adjustRightInd w:val="0"/>
        <w:snapToGrid w:val="0"/>
        <w:spacing w:before="0" w:after="0" w:line="360" w:lineRule="auto"/>
        <w:ind w:firstLine="482" w:firstLineChars="200"/>
        <w:rPr>
          <w:sz w:val="24"/>
          <w:szCs w:val="24"/>
        </w:rPr>
      </w:pPr>
      <w:bookmarkStart w:id="8" w:name="_Toc13961"/>
      <w:r>
        <w:rPr>
          <w:rFonts w:hint="eastAsia"/>
          <w:sz w:val="24"/>
          <w:szCs w:val="24"/>
          <w:lang w:val="en-US" w:eastAsia="zh-CN"/>
        </w:rPr>
        <w:t>六</w:t>
      </w:r>
      <w:r>
        <w:rPr>
          <w:rFonts w:hint="eastAsia"/>
          <w:sz w:val="24"/>
          <w:szCs w:val="24"/>
        </w:rPr>
        <w:t>、特别声明</w:t>
      </w:r>
      <w:bookmarkEnd w:id="8"/>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w:t>
      </w:r>
      <w:r>
        <w:rPr>
          <w:rFonts w:hint="eastAsia" w:ascii="宋体" w:hAnsi="宋体" w:cs="宋体"/>
          <w:kern w:val="0"/>
          <w:sz w:val="24"/>
          <w:szCs w:val="24"/>
          <w:lang w:val="en-US" w:eastAsia="zh-CN"/>
        </w:rPr>
        <w:t>比选</w:t>
      </w:r>
      <w:r>
        <w:rPr>
          <w:rFonts w:hint="eastAsia" w:ascii="宋体" w:hAnsi="宋体" w:cs="宋体"/>
          <w:kern w:val="0"/>
          <w:sz w:val="24"/>
          <w:szCs w:val="24"/>
        </w:rPr>
        <w:t>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w:t>
      </w:r>
      <w:r>
        <w:rPr>
          <w:rFonts w:hint="eastAsia" w:ascii="宋体" w:hAnsi="宋体" w:cs="宋体"/>
          <w:kern w:val="0"/>
          <w:sz w:val="24"/>
          <w:szCs w:val="24"/>
          <w:lang w:val="en-US" w:eastAsia="zh-CN"/>
        </w:rPr>
        <w:t>比选</w:t>
      </w:r>
      <w:r>
        <w:rPr>
          <w:rFonts w:hint="eastAsia" w:ascii="宋体" w:hAnsi="宋体" w:cs="宋体"/>
          <w:kern w:val="0"/>
          <w:sz w:val="24"/>
          <w:szCs w:val="24"/>
        </w:rPr>
        <w:t>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9" w:name="_Toc125183154"/>
      <w:bookmarkEnd w:id="9"/>
      <w:bookmarkStart w:id="10" w:name="_Toc104714652"/>
      <w:bookmarkEnd w:id="10"/>
      <w:bookmarkStart w:id="11" w:name="_Toc27870"/>
      <w:bookmarkStart w:id="12" w:name="_Toc137965295"/>
      <w:r>
        <w:rPr>
          <w:rFonts w:hint="eastAsia"/>
          <w:sz w:val="30"/>
          <w:szCs w:val="30"/>
        </w:rPr>
        <w:t>附件二：响应文件格式和表格</w:t>
      </w:r>
      <w:bookmarkEnd w:id="11"/>
      <w:bookmarkEnd w:id="12"/>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hint="eastAsia" w:ascii="宋体" w:hAnsi="宋体" w:eastAsia="宋体" w:cs="宋体"/>
          <w:kern w:val="0"/>
          <w:sz w:val="24"/>
          <w:szCs w:val="24"/>
          <w:lang w:val="en-US" w:eastAsia="zh-CN"/>
        </w:rPr>
      </w:pPr>
      <w:r>
        <w:rPr>
          <w:rFonts w:hint="eastAsia" w:ascii="宋体" w:hAnsi="宋体" w:cs="宋体"/>
          <w:kern w:val="0"/>
          <w:sz w:val="24"/>
          <w:szCs w:val="24"/>
        </w:rPr>
        <w:t>附件2.1 承诺与声明</w:t>
      </w:r>
      <w:r>
        <w:rPr>
          <w:rFonts w:hint="eastAsia" w:ascii="宋体" w:hAnsi="宋体" w:cs="宋体"/>
          <w:kern w:val="0"/>
          <w:sz w:val="24"/>
          <w:szCs w:val="24"/>
          <w:lang w:val="en-US" w:eastAsia="zh-CN"/>
        </w:rPr>
        <w:t>格式</w:t>
      </w:r>
    </w:p>
    <w:p>
      <w:pPr>
        <w:widowControl/>
        <w:adjustRightInd w:val="0"/>
        <w:snapToGrid w:val="0"/>
        <w:spacing w:line="360" w:lineRule="auto"/>
        <w:rPr>
          <w:rFonts w:hint="eastAsia" w:ascii="宋体" w:hAnsi="宋体" w:eastAsia="宋体" w:cs="宋体"/>
          <w:kern w:val="0"/>
          <w:sz w:val="24"/>
          <w:szCs w:val="24"/>
          <w:lang w:val="en-US" w:eastAsia="zh-CN"/>
        </w:rPr>
      </w:pPr>
      <w:r>
        <w:rPr>
          <w:rFonts w:hint="eastAsia" w:ascii="宋体" w:hAnsi="宋体" w:cs="宋体"/>
          <w:kern w:val="0"/>
          <w:sz w:val="24"/>
          <w:szCs w:val="24"/>
        </w:rPr>
        <w:t>附件2.2 法人代表授权书</w:t>
      </w:r>
      <w:r>
        <w:rPr>
          <w:rFonts w:hint="eastAsia" w:ascii="宋体" w:hAnsi="宋体" w:cs="宋体"/>
          <w:kern w:val="0"/>
          <w:sz w:val="24"/>
          <w:szCs w:val="24"/>
          <w:lang w:val="en-US" w:eastAsia="zh-CN"/>
        </w:rPr>
        <w:t>格式</w:t>
      </w:r>
    </w:p>
    <w:p>
      <w:pPr>
        <w:widowControl/>
        <w:adjustRightInd w:val="0"/>
        <w:snapToGrid w:val="0"/>
        <w:spacing w:line="360" w:lineRule="auto"/>
        <w:rPr>
          <w:rFonts w:hint="eastAsia" w:ascii="宋体" w:hAnsi="宋体" w:eastAsia="宋体" w:cs="宋体"/>
          <w:kern w:val="0"/>
          <w:sz w:val="24"/>
          <w:szCs w:val="24"/>
          <w:lang w:val="en-US" w:eastAsia="zh-CN"/>
        </w:rPr>
      </w:pPr>
      <w:r>
        <w:rPr>
          <w:rFonts w:hint="eastAsia" w:ascii="宋体" w:hAnsi="宋体" w:cs="宋体"/>
          <w:kern w:val="0"/>
          <w:sz w:val="24"/>
          <w:szCs w:val="24"/>
        </w:rPr>
        <w:t>附件2.3 投标函</w:t>
      </w:r>
      <w:r>
        <w:rPr>
          <w:rFonts w:hint="eastAsia" w:ascii="宋体" w:hAnsi="宋体" w:cs="宋体"/>
          <w:kern w:val="0"/>
          <w:sz w:val="24"/>
          <w:szCs w:val="24"/>
          <w:lang w:val="en-US" w:eastAsia="zh-CN"/>
        </w:rPr>
        <w:t>格式</w:t>
      </w:r>
    </w:p>
    <w:p>
      <w:pPr>
        <w:widowControl/>
        <w:adjustRightInd w:val="0"/>
        <w:snapToGrid w:val="0"/>
        <w:spacing w:line="360" w:lineRule="auto"/>
        <w:rPr>
          <w:rFonts w:hint="eastAsia" w:ascii="宋体" w:hAnsi="宋体" w:eastAsia="宋体" w:cs="宋体"/>
          <w:kern w:val="0"/>
          <w:sz w:val="24"/>
          <w:szCs w:val="24"/>
          <w:lang w:val="en-US" w:eastAsia="zh-CN"/>
        </w:rPr>
      </w:pPr>
      <w:r>
        <w:rPr>
          <w:rFonts w:hint="eastAsia" w:ascii="宋体" w:hAnsi="宋体" w:cs="宋体"/>
          <w:kern w:val="0"/>
          <w:sz w:val="24"/>
          <w:szCs w:val="24"/>
        </w:rPr>
        <w:t>附件2.4 报价一览表</w:t>
      </w:r>
      <w:r>
        <w:rPr>
          <w:rFonts w:hint="eastAsia" w:ascii="宋体" w:hAnsi="宋体" w:cs="宋体"/>
          <w:kern w:val="0"/>
          <w:sz w:val="24"/>
          <w:szCs w:val="24"/>
          <w:lang w:val="en-US" w:eastAsia="zh-CN"/>
        </w:rPr>
        <w:t>格式</w:t>
      </w:r>
    </w:p>
    <w:p>
      <w:pPr>
        <w:pStyle w:val="3"/>
        <w:numPr>
          <w:ilvl w:val="0"/>
          <w:numId w:val="0"/>
        </w:numPr>
        <w:rPr>
          <w:kern w:val="0"/>
          <w:sz w:val="24"/>
          <w:szCs w:val="24"/>
        </w:rPr>
      </w:pPr>
      <w:r>
        <w:rPr>
          <w:rFonts w:hint="eastAsia"/>
          <w:kern w:val="0"/>
          <w:sz w:val="24"/>
          <w:szCs w:val="24"/>
        </w:rPr>
        <w:br w:type="page"/>
      </w:r>
      <w:bookmarkStart w:id="13" w:name="_Toc25795"/>
      <w:r>
        <w:rPr>
          <w:rFonts w:hint="eastAsia"/>
          <w:sz w:val="24"/>
          <w:szCs w:val="24"/>
        </w:rPr>
        <w:t>附件2.1</w:t>
      </w:r>
      <w:r>
        <w:rPr>
          <w:sz w:val="24"/>
          <w:szCs w:val="24"/>
        </w:rPr>
        <w:t xml:space="preserve"> </w:t>
      </w:r>
      <w:r>
        <w:rPr>
          <w:rFonts w:hint="eastAsia"/>
          <w:sz w:val="24"/>
          <w:szCs w:val="24"/>
        </w:rPr>
        <w:t>承诺与声明格式</w:t>
      </w:r>
      <w:bookmarkEnd w:id="13"/>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14" w:name="_Toc125183169"/>
      <w:bookmarkEnd w:id="14"/>
      <w:bookmarkStart w:id="15" w:name="_Toc104714658"/>
      <w:bookmarkEnd w:id="15"/>
      <w:bookmarkStart w:id="16" w:name="_Toc137965305"/>
      <w:bookmarkStart w:id="17" w:name="_Toc8089"/>
      <w:r>
        <w:rPr>
          <w:rFonts w:hint="eastAsia"/>
          <w:sz w:val="24"/>
          <w:szCs w:val="24"/>
        </w:rPr>
        <w:t>附件2.2</w:t>
      </w:r>
      <w:bookmarkEnd w:id="16"/>
      <w:r>
        <w:rPr>
          <w:sz w:val="24"/>
          <w:szCs w:val="24"/>
        </w:rPr>
        <w:t xml:space="preserve"> </w:t>
      </w:r>
      <w:r>
        <w:rPr>
          <w:rFonts w:hint="eastAsia"/>
          <w:sz w:val="24"/>
          <w:szCs w:val="24"/>
        </w:rPr>
        <w:t>法人代表授权书格式</w:t>
      </w:r>
      <w:bookmarkEnd w:id="17"/>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bookmarkStart w:id="18" w:name="_Toc28148"/>
      <w:r>
        <w:rPr>
          <w:rFonts w:hint="eastAsia"/>
          <w:sz w:val="24"/>
          <w:szCs w:val="24"/>
        </w:rPr>
        <w:t>附件2.3</w:t>
      </w:r>
      <w:r>
        <w:rPr>
          <w:sz w:val="24"/>
          <w:szCs w:val="24"/>
        </w:rPr>
        <w:t xml:space="preserve"> </w:t>
      </w:r>
      <w:r>
        <w:rPr>
          <w:rFonts w:hint="eastAsia"/>
          <w:sz w:val="24"/>
          <w:szCs w:val="24"/>
        </w:rPr>
        <w:t>投标函格式</w:t>
      </w:r>
      <w:bookmarkEnd w:id="18"/>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w:t>
      </w:r>
      <w:r>
        <w:rPr>
          <w:rFonts w:hint="eastAsia" w:ascii="宋体" w:hAnsi="宋体" w:cs="宋体"/>
          <w:kern w:val="0"/>
          <w:sz w:val="24"/>
          <w:szCs w:val="24"/>
          <w:lang w:val="en-US" w:eastAsia="zh-CN"/>
        </w:rPr>
        <w:t>比选</w:t>
      </w:r>
      <w:r>
        <w:rPr>
          <w:rFonts w:hint="eastAsia" w:ascii="宋体" w:hAnsi="宋体" w:cs="宋体"/>
          <w:kern w:val="0"/>
          <w:sz w:val="24"/>
          <w:szCs w:val="24"/>
        </w:rPr>
        <w:t>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w:t>
      </w:r>
      <w:r>
        <w:rPr>
          <w:rFonts w:hint="eastAsia" w:ascii="宋体" w:hAnsi="宋体" w:cs="宋体"/>
          <w:kern w:val="0"/>
          <w:sz w:val="24"/>
          <w:szCs w:val="24"/>
          <w:lang w:val="en-US" w:eastAsia="zh-CN"/>
        </w:rPr>
        <w:t>比选</w:t>
      </w:r>
      <w:r>
        <w:rPr>
          <w:rFonts w:hint="eastAsia" w:ascii="宋体" w:hAnsi="宋体" w:cs="宋体"/>
          <w:kern w:val="0"/>
          <w:sz w:val="24"/>
          <w:szCs w:val="24"/>
        </w:rPr>
        <w:t>文件要求提供的有关文件</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w:t>
      </w:r>
      <w:r>
        <w:rPr>
          <w:rFonts w:hint="eastAsia" w:ascii="宋体" w:hAnsi="宋体" w:cs="宋体"/>
          <w:kern w:val="0"/>
          <w:sz w:val="24"/>
          <w:szCs w:val="24"/>
          <w:lang w:val="en-US" w:eastAsia="zh-CN"/>
        </w:rPr>
        <w:t>比选</w:t>
      </w:r>
      <w:r>
        <w:rPr>
          <w:rFonts w:hint="eastAsia" w:ascii="宋体" w:hAnsi="宋体" w:cs="宋体"/>
          <w:kern w:val="0"/>
          <w:sz w:val="24"/>
          <w:szCs w:val="24"/>
        </w:rPr>
        <w:t>价格表中规定的应提交和提供的货物和服务</w:t>
      </w:r>
      <w:r>
        <w:rPr>
          <w:rFonts w:hint="eastAsia" w:ascii="宋体" w:hAnsi="宋体" w:cs="宋体"/>
          <w:kern w:val="0"/>
          <w:sz w:val="24"/>
          <w:szCs w:val="24"/>
          <w:lang w:val="en-US" w:eastAsia="zh-CN"/>
        </w:rPr>
        <w:t>比选</w:t>
      </w:r>
      <w:r>
        <w:rPr>
          <w:rFonts w:hint="eastAsia" w:ascii="宋体" w:hAnsi="宋体" w:cs="宋体"/>
          <w:kern w:val="0"/>
          <w:sz w:val="24"/>
          <w:szCs w:val="24"/>
        </w:rPr>
        <w:t>总价为</w:t>
      </w:r>
      <w:r>
        <w:rPr>
          <w:rFonts w:hint="eastAsia" w:ascii="宋体" w:hAnsi="宋体" w:cs="宋体"/>
          <w:kern w:val="0"/>
          <w:sz w:val="24"/>
          <w:szCs w:val="24"/>
          <w:u w:val="single"/>
        </w:rPr>
        <w:t>（注明币种，并用文字和数字表示的</w:t>
      </w:r>
      <w:r>
        <w:rPr>
          <w:rFonts w:hint="eastAsia" w:ascii="宋体" w:hAnsi="宋体" w:cs="宋体"/>
          <w:kern w:val="0"/>
          <w:sz w:val="24"/>
          <w:szCs w:val="24"/>
          <w:u w:val="single"/>
          <w:lang w:val="en-US" w:eastAsia="zh-CN"/>
        </w:rPr>
        <w:t>比选</w:t>
      </w:r>
      <w:r>
        <w:rPr>
          <w:rFonts w:hint="eastAsia" w:ascii="宋体" w:hAnsi="宋体" w:cs="宋体"/>
          <w:kern w:val="0"/>
          <w:sz w:val="24"/>
          <w:szCs w:val="24"/>
          <w:u w:val="single"/>
        </w:rPr>
        <w:t>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w:t>
      </w:r>
      <w:r>
        <w:rPr>
          <w:rFonts w:hint="eastAsia" w:ascii="宋体" w:hAnsi="宋体" w:cs="宋体"/>
          <w:kern w:val="0"/>
          <w:sz w:val="24"/>
          <w:szCs w:val="24"/>
          <w:lang w:val="en-US" w:eastAsia="zh-CN"/>
        </w:rPr>
        <w:t>比选</w:t>
      </w:r>
      <w:r>
        <w:rPr>
          <w:rFonts w:hint="eastAsia" w:ascii="宋体" w:hAnsi="宋体" w:cs="宋体"/>
          <w:kern w:val="0"/>
          <w:sz w:val="24"/>
          <w:szCs w:val="24"/>
        </w:rPr>
        <w:t>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w:t>
      </w:r>
      <w:r>
        <w:rPr>
          <w:rFonts w:hint="eastAsia" w:ascii="宋体" w:hAnsi="宋体" w:cs="宋体"/>
          <w:kern w:val="0"/>
          <w:sz w:val="24"/>
          <w:szCs w:val="24"/>
          <w:lang w:val="en-US" w:eastAsia="zh-CN"/>
        </w:rPr>
        <w:t>比选</w:t>
      </w:r>
      <w:r>
        <w:rPr>
          <w:rFonts w:hint="eastAsia" w:ascii="宋体" w:hAnsi="宋体" w:cs="宋体"/>
          <w:kern w:val="0"/>
          <w:sz w:val="24"/>
          <w:szCs w:val="24"/>
        </w:rPr>
        <w:t>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w:t>
      </w:r>
      <w:r>
        <w:rPr>
          <w:rFonts w:hint="eastAsia" w:ascii="宋体" w:hAnsi="宋体" w:cs="宋体"/>
          <w:kern w:val="0"/>
          <w:sz w:val="24"/>
          <w:szCs w:val="24"/>
          <w:lang w:val="en-US" w:eastAsia="zh-CN"/>
        </w:rPr>
        <w:t>比选</w:t>
      </w:r>
      <w:r>
        <w:rPr>
          <w:rFonts w:hint="eastAsia" w:ascii="宋体" w:hAnsi="宋体" w:cs="宋体"/>
          <w:kern w:val="0"/>
          <w:sz w:val="24"/>
          <w:szCs w:val="24"/>
        </w:rPr>
        <w:t>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19" w:name="_Toc4863"/>
      <w:r>
        <w:rPr>
          <w:rFonts w:hint="eastAsia"/>
          <w:sz w:val="24"/>
          <w:szCs w:val="24"/>
        </w:rPr>
        <w:t>附件2.4 报价一览表格式</w:t>
      </w:r>
      <w:bookmarkEnd w:id="19"/>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首次报价一览表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7"/>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atLeas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lang w:bidi="ar"/>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第二轮报价一览表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7"/>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atLeas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lang w:bidi="ar"/>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第三轮报价一览表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7"/>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atLeas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lang w:bidi="ar"/>
              </w:rPr>
            </w:pP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lang w:bidi="ar"/>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pStyle w:val="3"/>
        <w:numPr>
          <w:ilvl w:val="0"/>
          <w:numId w:val="0"/>
        </w:numPr>
        <w:rPr>
          <w:b w:val="0"/>
          <w:bCs w:val="0"/>
          <w:kern w:val="0"/>
          <w:sz w:val="24"/>
          <w:szCs w:val="24"/>
        </w:rPr>
      </w:pPr>
      <w:bookmarkStart w:id="20" w:name="_Toc125183170"/>
      <w:bookmarkEnd w:id="20"/>
      <w:bookmarkStart w:id="21" w:name="_Toc104714659"/>
      <w:bookmarkEnd w:id="21"/>
      <w:bookmarkStart w:id="22" w:name="_Toc127761806"/>
      <w:bookmarkEnd w:id="22"/>
      <w:r>
        <w:rPr>
          <w:rFonts w:hint="eastAsia"/>
          <w:kern w:val="0"/>
          <w:sz w:val="28"/>
          <w:szCs w:val="28"/>
        </w:rPr>
        <w:br w:type="page"/>
      </w:r>
      <w:bookmarkStart w:id="23" w:name="_Toc21375"/>
      <w:r>
        <w:rPr>
          <w:rFonts w:hint="eastAsia"/>
          <w:sz w:val="30"/>
          <w:szCs w:val="30"/>
        </w:rPr>
        <w:t>附件三：资格证明文件</w:t>
      </w:r>
      <w:bookmarkEnd w:id="23"/>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法人</w:t>
      </w:r>
      <w:r>
        <w:rPr>
          <w:rFonts w:hint="eastAsia" w:ascii="宋体" w:hAnsi="宋体" w:cs="宋体"/>
          <w:kern w:val="0"/>
          <w:sz w:val="24"/>
          <w:szCs w:val="24"/>
          <w:lang w:eastAsia="zh-CN"/>
        </w:rPr>
        <w:t>、</w:t>
      </w:r>
      <w:r>
        <w:rPr>
          <w:rFonts w:hint="eastAsia" w:ascii="宋体" w:hAnsi="宋体" w:cs="宋体"/>
          <w:kern w:val="0"/>
          <w:sz w:val="24"/>
          <w:szCs w:val="24"/>
        </w:rPr>
        <w:t>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ascii="宋体" w:hAnsi="宋体" w:cs="宋体"/>
          <w:kern w:val="0"/>
          <w:sz w:val="24"/>
          <w:szCs w:val="24"/>
        </w:rPr>
        <w:t xml:space="preserve">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ascii="宋体" w:hAnsi="宋体" w:cs="宋体"/>
          <w:kern w:val="0"/>
          <w:sz w:val="24"/>
          <w:szCs w:val="24"/>
        </w:rPr>
        <w:t>与本次采购有关的其他资质证明文件</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24" w:name="_Toc19086"/>
      <w:r>
        <w:rPr>
          <w:rFonts w:hint="eastAsia"/>
          <w:sz w:val="24"/>
          <w:szCs w:val="24"/>
        </w:rPr>
        <w:t>附件3.1</w:t>
      </w:r>
      <w:r>
        <w:rPr>
          <w:sz w:val="24"/>
          <w:szCs w:val="24"/>
        </w:rPr>
        <w:t xml:space="preserve"> </w:t>
      </w:r>
      <w:r>
        <w:rPr>
          <w:rFonts w:hint="eastAsia"/>
          <w:sz w:val="24"/>
          <w:szCs w:val="24"/>
        </w:rPr>
        <w:t>供应商基本情况表</w:t>
      </w:r>
      <w:bookmarkEnd w:id="24"/>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bookmarkStart w:id="25" w:name="_Toc3467"/>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法人</w:t>
      </w:r>
      <w:r>
        <w:rPr>
          <w:rFonts w:hint="eastAsia"/>
          <w:sz w:val="24"/>
          <w:szCs w:val="24"/>
          <w:lang w:eastAsia="zh-CN"/>
        </w:rPr>
        <w:t>、</w:t>
      </w:r>
      <w:r>
        <w:rPr>
          <w:rFonts w:hint="eastAsia"/>
          <w:sz w:val="24"/>
          <w:szCs w:val="24"/>
        </w:rPr>
        <w:t>营业执照（复印件）</w:t>
      </w:r>
      <w:bookmarkEnd w:id="25"/>
    </w:p>
    <w:p>
      <w:pPr>
        <w:widowControl/>
        <w:jc w:val="left"/>
        <w:rPr>
          <w:rFonts w:ascii="Calibri Light" w:hAnsi="Calibri Light"/>
          <w:bCs/>
          <w:sz w:val="24"/>
          <w:szCs w:val="24"/>
        </w:rPr>
      </w:pPr>
      <w:r>
        <w:rPr>
          <w:b/>
          <w:sz w:val="24"/>
          <w:szCs w:val="24"/>
        </w:rPr>
        <w:br w:type="page"/>
      </w:r>
    </w:p>
    <w:p>
      <w:pPr>
        <w:pStyle w:val="3"/>
        <w:numPr>
          <w:ilvl w:val="0"/>
          <w:numId w:val="0"/>
        </w:numPr>
        <w:adjustRightInd w:val="0"/>
        <w:snapToGrid w:val="0"/>
        <w:spacing w:before="0" w:after="0" w:line="360" w:lineRule="auto"/>
        <w:rPr>
          <w:sz w:val="24"/>
          <w:szCs w:val="24"/>
        </w:rPr>
      </w:pPr>
      <w:bookmarkStart w:id="26" w:name="_Toc267"/>
      <w:r>
        <w:rPr>
          <w:rFonts w:hint="eastAsia"/>
          <w:sz w:val="24"/>
          <w:szCs w:val="24"/>
        </w:rPr>
        <w:t>附件3.</w:t>
      </w:r>
      <w:r>
        <w:rPr>
          <w:rFonts w:hint="eastAsia"/>
          <w:sz w:val="24"/>
          <w:szCs w:val="24"/>
          <w:lang w:val="en-US" w:eastAsia="zh-CN"/>
        </w:rPr>
        <w:t xml:space="preserve">3 </w:t>
      </w:r>
      <w:r>
        <w:rPr>
          <w:rFonts w:hint="eastAsia"/>
          <w:sz w:val="24"/>
          <w:szCs w:val="24"/>
        </w:rPr>
        <w:t>已完成类似项目一览表（格式）</w:t>
      </w:r>
      <w:bookmarkEnd w:id="26"/>
    </w:p>
    <w:tbl>
      <w:tblPr>
        <w:tblStyle w:val="27"/>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bookmarkStart w:id="27" w:name="_Toc4694"/>
      <w:r>
        <w:rPr>
          <w:rFonts w:hint="eastAsia"/>
          <w:sz w:val="24"/>
          <w:szCs w:val="24"/>
        </w:rPr>
        <w:t>附件3.</w:t>
      </w:r>
      <w:r>
        <w:rPr>
          <w:rFonts w:hint="eastAsia"/>
          <w:sz w:val="24"/>
          <w:szCs w:val="24"/>
          <w:lang w:val="en-US" w:eastAsia="zh-CN"/>
        </w:rPr>
        <w:t xml:space="preserve">4 </w:t>
      </w:r>
      <w:r>
        <w:rPr>
          <w:rFonts w:hint="eastAsia"/>
          <w:sz w:val="24"/>
          <w:szCs w:val="24"/>
        </w:rPr>
        <w:t>提供书面声明函</w:t>
      </w:r>
      <w:bookmarkEnd w:id="27"/>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海东市分公司：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0"/>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spacing w:line="240" w:lineRule="auto"/>
        <w:rPr>
          <w:kern w:val="0"/>
          <w:sz w:val="24"/>
          <w:szCs w:val="24"/>
        </w:rPr>
      </w:pPr>
      <w:bookmarkStart w:id="28" w:name="_Toc30592"/>
      <w:r>
        <w:rPr>
          <w:rFonts w:hint="eastAsia"/>
          <w:sz w:val="24"/>
          <w:szCs w:val="24"/>
        </w:rPr>
        <w:t>附件3</w:t>
      </w:r>
      <w:r>
        <w:rPr>
          <w:sz w:val="24"/>
          <w:szCs w:val="24"/>
        </w:rPr>
        <w:t>.</w:t>
      </w:r>
      <w:r>
        <w:rPr>
          <w:rFonts w:hint="eastAsia"/>
          <w:sz w:val="24"/>
          <w:szCs w:val="24"/>
          <w:lang w:val="en-US" w:eastAsia="zh-CN"/>
        </w:rPr>
        <w:t>5</w:t>
      </w:r>
      <w:r>
        <w:rPr>
          <w:sz w:val="24"/>
          <w:szCs w:val="24"/>
        </w:rPr>
        <w:t xml:space="preserve"> </w:t>
      </w:r>
      <w:r>
        <w:rPr>
          <w:rFonts w:hint="eastAsia"/>
          <w:sz w:val="24"/>
          <w:szCs w:val="24"/>
        </w:rPr>
        <w:t>与本次采购有关的其他资质证明文件</w:t>
      </w:r>
      <w:r>
        <w:rPr>
          <w:rFonts w:hint="eastAsia"/>
          <w:kern w:val="0"/>
          <w:sz w:val="24"/>
          <w:szCs w:val="24"/>
        </w:rPr>
        <w:br w:type="page"/>
      </w:r>
      <w:bookmarkEnd w:id="28"/>
    </w:p>
    <w:p>
      <w:pPr>
        <w:pStyle w:val="2"/>
        <w:numPr>
          <w:ilvl w:val="0"/>
          <w:numId w:val="0"/>
        </w:numPr>
        <w:adjustRightInd w:val="0"/>
        <w:snapToGrid w:val="0"/>
        <w:ind w:left="432" w:hanging="432"/>
        <w:rPr>
          <w:sz w:val="30"/>
          <w:szCs w:val="30"/>
        </w:rPr>
      </w:pPr>
      <w:bookmarkStart w:id="29" w:name="_Toc10130"/>
      <w:r>
        <w:rPr>
          <w:rFonts w:hint="eastAsia"/>
          <w:sz w:val="30"/>
          <w:szCs w:val="30"/>
        </w:rPr>
        <w:t>附件四：项目采购需求</w:t>
      </w:r>
      <w:bookmarkStart w:id="30" w:name="_Toc125183171"/>
      <w:bookmarkEnd w:id="30"/>
      <w:bookmarkStart w:id="31" w:name="_Toc190852156"/>
      <w:bookmarkEnd w:id="31"/>
      <w:bookmarkStart w:id="32" w:name="_Toc137965307"/>
      <w:bookmarkEnd w:id="32"/>
      <w:r>
        <w:rPr>
          <w:rFonts w:hint="eastAsia"/>
          <w:sz w:val="30"/>
          <w:szCs w:val="30"/>
        </w:rPr>
        <w:t>及服务要求</w:t>
      </w:r>
      <w:bookmarkEnd w:id="29"/>
    </w:p>
    <w:p>
      <w:pPr>
        <w:pStyle w:val="3"/>
        <w:numPr>
          <w:ilvl w:val="0"/>
          <w:numId w:val="0"/>
        </w:numPr>
        <w:adjustRightInd w:val="0"/>
        <w:snapToGrid w:val="0"/>
        <w:spacing w:before="0" w:after="0" w:line="360" w:lineRule="auto"/>
        <w:rPr>
          <w:sz w:val="24"/>
          <w:szCs w:val="24"/>
        </w:rPr>
      </w:pPr>
      <w:bookmarkStart w:id="33" w:name="_Toc14494"/>
      <w:r>
        <w:rPr>
          <w:rFonts w:hint="eastAsia"/>
          <w:sz w:val="24"/>
          <w:szCs w:val="24"/>
        </w:rPr>
        <w:t>附件4.</w:t>
      </w:r>
      <w:bookmarkStart w:id="34" w:name="_Toc169079576"/>
      <w:bookmarkStart w:id="35" w:name="_Toc104714603"/>
      <w:r>
        <w:rPr>
          <w:rFonts w:hint="eastAsia"/>
          <w:sz w:val="24"/>
          <w:szCs w:val="24"/>
        </w:rPr>
        <w:t>1</w:t>
      </w:r>
      <w:r>
        <w:rPr>
          <w:sz w:val="24"/>
          <w:szCs w:val="24"/>
        </w:rPr>
        <w:t xml:space="preserve"> </w:t>
      </w:r>
      <w:r>
        <w:rPr>
          <w:rFonts w:hint="eastAsia"/>
          <w:sz w:val="24"/>
          <w:szCs w:val="24"/>
        </w:rPr>
        <w:t>合同条款</w:t>
      </w:r>
      <w:bookmarkEnd w:id="33"/>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bookmarkStart w:id="36" w:name="_Toc68615221"/>
      <w:r>
        <w:rPr>
          <w:rFonts w:hint="default" w:ascii="仿宋_GB2312" w:hAnsi="宋体" w:eastAsia="仿宋_GB2312" w:cs="仿宋_GB2312"/>
          <w:b/>
          <w:bCs/>
          <w:kern w:val="0"/>
          <w:sz w:val="32"/>
          <w:szCs w:val="32"/>
        </w:rPr>
        <w:t>合同正文</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第一条</w:t>
      </w:r>
      <w:r>
        <w:rPr>
          <w:rFonts w:hint="default" w:ascii="仿宋_GB2312" w:hAnsi="宋体" w:eastAsia="仿宋_GB2312" w:cs="仿宋_GB2312"/>
          <w:kern w:val="0"/>
          <w:sz w:val="32"/>
          <w:szCs w:val="32"/>
        </w:rPr>
        <w:t xml:space="preserve"> 工程概况</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工程概况</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本合同项下甲乙双方约定的工程项目的概况见本合同【附件】。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第二条</w:t>
      </w:r>
      <w:r>
        <w:rPr>
          <w:rFonts w:hint="default" w:ascii="仿宋_GB2312" w:hAnsi="宋体" w:eastAsia="仿宋_GB2312" w:cs="仿宋_GB2312"/>
          <w:kern w:val="0"/>
          <w:sz w:val="32"/>
          <w:szCs w:val="32"/>
        </w:rPr>
        <w:t xml:space="preserve"> 合同工期及质量标准</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合同工期及质量标准</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本合同项下甲乙双方约定的工程期限及质量标准见本合同【附件】。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第三条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双方的权利和义务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发包人的权利和义务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（1）发包人为承包人的施工提供协助和配合；</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（2）施工场地具备开工条件后，发包人应按约定及时向承包人交付施工现场；</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（3）开工前向承包人提供施工图纸；</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（4）协调物业公司及有关部门做好通道、电梯等设施的使用；</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（5）指派驻工地代表，负责对工程质量、进度进行监督检查，办理验收、变更洽商手续及其他事宜；</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（6）开工时向承包人提供原始水、电、燃气、暖气管道等管道线路图纸，如经发包人认可确实需要拆改原建筑物结构或设备管线，由发包人负责协调到有关部门办理相应审批手续；</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（7）知会邻里在施工期限间产生的灰尘和噪音可能对其生活和工作环境造成的影响，协调邻里关系；</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（8）发包人享有其他双方约定的权利、承担其他双方约定的义务。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承包人的权利和义务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（1）承包人在开工前应按照政府及相关部门、物业公司的要求办理一切施工所需手续，并缴纳有关的费用和装修押金；</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（2）拟定施工方案和进度计划，开工前交发包人审定后执行；</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（3）开工前，应将施工主要负责人员名单报发包人确认、备案，如承包人更换施工主要负责人时，必须事先征得发包人书面同意；</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（4）指派驻工地代表，并将其姓名、简历及联系方式书面告知发包人，负责履行合同，组织施工，按期限保质保量完成施工任务，解决由承包人负责的各项事宜；</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（5）严格执行施工规范、安全操作规程、防火安全和环境保护规定。严格按照图纸或作法说明进行施工，做好各项事宜；</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（6）遵守政府有关主管部门及物业公司对施工场地交通及通道、施工噪音以及环境保护、安全生产、施工时间等的管理规定，按规定办理有关手续，并以书面形式通知发包人；</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（7）已竣工工程未交付发包人之前，承包人负责成品的保护工作，保护期间发生损坏，承包人自费予以修复；</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（8）妥善保管发包人堆放在现场的财产和物品，做好施工所涉设备设施及管线和邻近建筑物、构筑物的保护工作，并承担相关费用，造成损失的由承包人承担责任；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（9）保证施工场地清洁符合环境卫生管理的有关规定，交工前清理现场达到规定要求，承担因自身原因违反有关规定造成的损失和罚款；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（10）遵守国家或地方政府及有关部门对施工现场管理的规定，做好施工现场保卫和垃圾清运等工作，处理好由于施工带来的扰民问题及与周围单位的关系；</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11）施工中未经发包人同意或有关部门批准，不得随意拆改原建筑物结构及各种设备管线。未经发包人同意，承包人擅自拆改原建筑物结构或设备管线，由此发生的损失或造成的事故（包括罚款），由承包人负责并承担损失；</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（12）承包人有义务事先告知发包人未知的与本工程质量相关的事项，如承包人知道或根据经验应该知道的有关质量问题而未告知发包人，则造成的损失由承包人承担；</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（13）承包人负责工程的消防验收通过。验收不通过，承包人承担一切损失和责任。但如在消防验收未通过之前发包人擅自使用而造成的验收不通过，发包人承担相应的损失；</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（14）负责编制竣工验收报告及工程结算报告，并提交发包人审核；</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（15）承包人享有其他双方约定的权利、承担其他双方约定的义务。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第四条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材料设备供应</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材料设备供应</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（1）承包人提供的材料设备清单见本合同【附件】。</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（2）如有发包人供应材料，承包人有义务事先告知发包人准确的材料用量及符合施工条件的材料，否则造成的损失由承包人承担。若发包人不予采纳而造成工程质量问题及材料的浪费，由发包人负责。</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设备材料质量要求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（1）承包人应就其材料设备向发包人提供产品合格证明、使用说明书等文件；若材料设备不符合质量要求，由承包人承担由此发生的责任和费用。</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（2）凡由承包人采购的材料、设备，如不符合质量要求或规格有差异，应禁止使用。若已使用，对工程造成质量问题及由此发生的损失由承包人承担。</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（3）凡由承包人供应的材料致使室内甲醛等有害物质浓度含量超标，造成环境污染的，承包人应承担相应责任并赔偿损失。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如有发包人供应的材料交由承包人保管的，承包人应妥善保管，如因保管不当造成损失或丢失，由承包人赔偿。</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第五条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工程变更</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施工中如发包人对原设计提出的变更未实质影响工程量的（单项子目在_______以内的变更视为未实质影响工程量），应视为合理变更，承包人应按照发包人的要求进行施工，合同价款不变。如发包人对原设计进行重大变更，应在变更前_______天向承包人发出书面变更通知，承包人按通知进行变更。变更涉及工程量增加的，承包人应于接到变更通知后的7天内提出变更价款报告的完整资料，逾期不报变更签认的视为承包人放弃该变更价款的请求权；变更涉及工程量减少的，经双方审核确认后签署相关变更洽商文件。工程变更在发包人审核确认前，只能作为技术洽商，而不作经济洽商或支付依据；所有变更结算将在工程验收合格后，在工程结算办理时一并办理，因变更所涉及款项将与工程尾款一并支付。承包人不得以存在工程变更或者需要办理变更结算手续为由，拖延交付工程，否则将被视为违反本合同约定而承担约定的逾期违约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承包人根据现场实际情况提出合理建议涉及到变更设计和对原定材料的更换，以及增减工程量，必须经发包人或发包人代表批准，并签字确认。未经发包人批准签字，承包人擅自变更设计或对原定材料更换，发包人有权不认可，发生的全部费用由承包人承担，且工期不顺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施工中如发现设计有错误或者不合理的地方，承包人应及时以书面形式通知发包人（最迟不得超过发现之时起12小时），由发包人及时会同设计等单位作出修改意见或变更设计文件，并及时将修改或变更的设计文件送达承包人，承包人应按修改或变更的设计文件进行施工。</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承包人报发包人的所有签证均应客观、真实、准确，承包人所报的签认材料有错误或失误的，发包人退回承包人进行修正，承包人故意虚报或瞒报的，发包人有权拒绝签认并不再签认本项签证，其相应损失由承包人自行承担。</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（五） 对以下原因造成竣工日期推迟的，经发包人书面确认，工期相应顺延，除此以外的其他原因导致竣工日期延误的，由承包人承担违约责任：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（1）政府机关或发包人要求承包人暂停施工的；</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（2）不可抗力；</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（3）发包人设计变更导致关键线路上的工作延误的。</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（六） 承包人负责设计工作的，因施工图设计错误或缺陷造成的所有损失均由承包人承担。</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第六条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检查与返工</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承包人应认真按照标准、规范、设计的要求和合同的约定进行施工和自检。</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发包人有权随时对承包人进行施工检查，检查发现质量不合格的，承包人应按发包人要求进行返工或修复处理，直至达到发包人要求。发包人进行破坏性检查后发现质量不合格的，承包人自行负责修复或返工费用；检验合格的，由发包人承担必要的返工或修复成本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第七条</w:t>
      </w:r>
      <w:r>
        <w:rPr>
          <w:rFonts w:hint="default" w:ascii="仿宋_GB2312" w:hAnsi="宋体" w:eastAsia="仿宋_GB2312" w:cs="仿宋_GB2312"/>
          <w:kern w:val="0"/>
          <w:sz w:val="32"/>
          <w:szCs w:val="32"/>
        </w:rPr>
        <w:t xml:space="preserve"> 安全施工</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安全施工</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一）承包人应遵守工程建设安全生产有关管理规定，严格按安全标准组织施工，并随时接受行业安全检查人员依法实施的监督检查，采取必要的安全防护措施，消除事故隐患。承包人已充分了解施工现场，并负责自行排除施工现场可能的各类隐患。由于承包人措施不力造成事故的责任和因此发生的费用，由承包人承担。</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（二）承包人应对其在施工场地的工作人员进行安全教育，并对他们的安全负责。发包人不得要求承包人违反安全管理的规定进行施工。</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（三）发生重大伤亡事故，承包人应按照有关规定立即上报有关部门并通知发包人，同时按政府有关部门要求处理。发包人为抢救提供必要条件，发生的费用由事故责任方承担。</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第八条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工程验收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工程验收</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（1）工程完工后，承包人应书面通知发包人验收，并向发包人提交竣工验收报告和完整的竣工验收资料，发包人收到竣工资料和竣工验收报告应及时组织验收。验收合格，由发包人书面确认。</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发包人和承包人双方应及时办理隐蔽工程和中间工程的检查与验收手续。当工程具备覆盖、遮盖条件或达到中间验收标准（如水管及电线管的凿槽暗敷恢复工作），承包人自检，并于八小时前通知发包人参加，验收合格，发包人或发包人代表在验收记录上签字后，方可进行隐蔽工程继续施工。</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验收不合格的，承包人应在发包人确定的合理期限内完成整改，经整改仍不合格或承包人在发包人确定的合理期限内未完成整改的，发包人可委托第三方进行整改，所需费用由承包人承担，发包人有权直接从承包人工程款中直接扣除该等费用。发包人有其他损失的，承包人还应负责赔偿。</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验收标准</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本工程质量评定验收标准的依据：</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（1）施工图纸、作法说明、设计变更、施工技术文件等；</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（2）有关工程质量的相关法律法规的规定，以及国家有关施工验收规范、室内环境污染控制规范；</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（3）招标文件、本合同对工程的具体要求。</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工程阶段验收项目：_______</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第九条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工程结算</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工程验收合格后，承包人应向发包人提交工程结算报告和完整的结算资料，发包人收到工程结算报告和完整的结算资料后应及时进行结算。</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按本合同约定的固定包干价，以及双方书面签署确认的变更价款洽商文件进行结算。</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第十条</w:t>
      </w:r>
      <w:r>
        <w:rPr>
          <w:rFonts w:hint="default" w:ascii="仿宋_GB2312" w:hAnsi="宋体" w:eastAsia="仿宋_GB2312" w:cs="仿宋_GB2312"/>
          <w:kern w:val="0"/>
          <w:sz w:val="32"/>
          <w:szCs w:val="32"/>
        </w:rPr>
        <w:t xml:space="preserve"> 保修(适用于建设工程施工合同)</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保修</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保修期内乙方对工程项目提供保修维护服务，具体内容及方式见【附件】，甲方不再就此支付任何费用。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第十一条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禁止分包与转让</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非经发包人事先书面同意，承包人不得将承包工程的任何部分分包。</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承包人不得将其承包的全部工程转包给他人，也不得将其承包的全部工程肢解以后以分包的名义分别转包给他人。</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承包人将其承包的全部工程转包给他人或者肢解以后以分包的名义分别转包给他人，发包人有权解除合同，本合同自解除通知送达承包人之日或发包人指定日期届至时解除。</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未经发包人书面同意，承包人不得将其本合同项下之全部义务或其中一部分义务转让给第三方执行。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第十二条</w:t>
      </w:r>
      <w:r>
        <w:rPr>
          <w:rFonts w:hint="default" w:ascii="仿宋_GB2312" w:hAnsi="宋体" w:eastAsia="仿宋_GB2312" w:cs="仿宋_GB2312"/>
          <w:kern w:val="0"/>
          <w:sz w:val="32"/>
          <w:szCs w:val="32"/>
        </w:rPr>
        <w:t xml:space="preserve"> 权利保证</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权利保证</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第十三条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违约责任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发包人或承包人不能按本合同条款约定内容履行自己的各项义务及发生使合同无法履行的行为，应承担相应的违约责任，包括支付违约金、赔偿因其违约给对方造成的全部经济损失。</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（二） 发包人未按本合同的约定支付合同价款，经承包人书面催告后7日内仍未支付的，每逾期一日，按应付款金额_______%向承包人支付违约金。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除发包人批准的工期顺延外，因承包人原因不能按本合同约定的工期完成本工程的，每逾期一日，向发包人支付本合同约定的合同总价款_______%的逾期违约金。</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（四） </w:t>
      </w:r>
      <w:r>
        <w:rPr>
          <w:rFonts w:hint="default" w:ascii="仿宋_GB2312" w:hAnsi="宋体" w:eastAsia="仿宋_GB2312" w:cs="仿宋_GB2312"/>
          <w:b/>
          <w:bCs/>
          <w:kern w:val="0"/>
          <w:sz w:val="32"/>
          <w:szCs w:val="32"/>
        </w:rPr>
        <w:t>承包人瑕疵履行的违约责任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本合同工程完工后，因工程存在较大质量问题不能通过验收，且经整改后仍无法达到约定质量标准的，发包人有权解除合同，拒绝就工程支付任何费用，承包人应予退还已支付的全部工程款，并向发包人支付本合同约定的总价款_______%的质量违约金。</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因承包人施工质量不合格又拒绝进行修复或返工，或者工期拖延达_______日以上的，发包人有权解除合同。合同解除后的_______日内双方就已完工且合格部分办理结算，发包人有权从结算金额中扣除因承包人违约给发包人造成的损失及违约金。承包人应在发包人通知合同解除后_______日内撤离现场，不得以任何理由占住施工现场。承包人迟延撤离现场的，每逾期一日，按照本合同规定的逾期违约金的_______倍计算迟延撤场违约金。</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（五） 工程竣工验收合格并交付发包人使用后，在承包人承诺的合理使用年限内，承包人不履行修理或维护义务给发包人造成经济损失的，承包人承担赔偿责任。</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（六）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（七） 除本合同的约定外，因承包人的违约行为给发包人造成损失的，承包人应向发包人支付相当于本合同总价款_______%的违约金，如发包人受到的损失超过违约金的，超出部分由承包人继续承担赔偿责任。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第十四条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第十五条</w:t>
      </w:r>
      <w:r>
        <w:rPr>
          <w:rFonts w:hint="default" w:ascii="仿宋_GB2312" w:hAnsi="宋体" w:eastAsia="仿宋_GB2312" w:cs="仿宋_GB2312"/>
          <w:kern w:val="0"/>
          <w:sz w:val="32"/>
          <w:szCs w:val="32"/>
        </w:rPr>
        <w:t xml:space="preserve"> 合同变更</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合同变更</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第十六条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合同特别终止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（1）乙方破产、解散（包括但不限于乙方股东会决议解散、乙方被吊销营业执照、被责令关闭、被撤销、被司法机关裁决解散等情形）；</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第十七条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合同效力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第十八条</w:t>
      </w:r>
      <w:r>
        <w:rPr>
          <w:rFonts w:hint="default" w:ascii="仿宋_GB2312" w:hAnsi="宋体" w:eastAsia="仿宋_GB2312" w:cs="仿宋_GB2312"/>
          <w:kern w:val="0"/>
          <w:sz w:val="32"/>
          <w:szCs w:val="32"/>
        </w:rPr>
        <w:t xml:space="preserve"> 附件的组成（适用于建设工程施工合同）</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附件的组成</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附件一、工程概况</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附件二、合同工期及质量标准</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附件三、付款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附件四、材料设备供应</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附件五、保修</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第十九条</w:t>
      </w:r>
      <w:r>
        <w:rPr>
          <w:rFonts w:hint="default" w:ascii="仿宋_GB2312" w:hAnsi="宋体" w:eastAsia="仿宋_GB2312" w:cs="仿宋_GB2312"/>
          <w:kern w:val="0"/>
          <w:sz w:val="32"/>
          <w:szCs w:val="32"/>
        </w:rPr>
        <w:t xml:space="preserve">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第二十条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合同价格</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（一） 合同价格（含税）总计为RMB_______元（大写：_______）。</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上述合同价格为承包范围所确定的固定包干价，包括本工程的设计（如有）、供货、施工、安装、竣工验收及保修的所有费用，包括但不限于人工、材料及材料市场差价、机械费、其他直接及间接费用、临时设施费、现场经费、企业管理费、计划利润、税金（营业税、城市建设维护税和教育费附加）、需交纳的总包服务费（如有）、文明施工增加费、风险费、冬雨季施工费、技术措施费、安全措施费、扬尘费、工期奖、保险费、检验试验费、民扰及扰民费，及治安、消防、安全、环保等政府部门因进行本工程规定应由施工单位交纳的所有费用。除双方另有明确约定外，发包人不再向承包人另行支付其它任何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第二十一条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不可抗力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本合同付款安排见【附件】。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第二十二条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法律适用与争议解决</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凡因本合同引起的或与本合同有关的任何争议，双方首先应友好协商解决。协商不成的，任何一方均可向甲方所在地有管辖权的法院提起诉讼。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第二十三条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合同生效及其他</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经甲乙双方法定代表人或授权代表签字并加盖公章后生效，在竣工结算、发包人支付完毕，工程验收合格并交付给发包人后，除有关保修条款、违约责任条款、争议解决条款仍然生效外，其他条款即告终止。</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（二）</w:t>
      </w:r>
      <w:r>
        <w:rPr>
          <w:rFonts w:hint="default" w:ascii="仿宋_GB2312" w:hAnsi="宋体" w:eastAsia="仿宋_GB2312" w:cs="仿宋_GB2312"/>
          <w:color w:val="FF0000"/>
          <w:kern w:val="0"/>
          <w:sz w:val="32"/>
          <w:szCs w:val="32"/>
        </w:rPr>
        <w:t xml:space="preserve"> </w:t>
      </w:r>
      <w:r>
        <w:rPr>
          <w:rFonts w:hint="default" w:ascii="仿宋_GB2312" w:hAnsi="宋体" w:eastAsia="仿宋_GB2312" w:cs="仿宋_GB2312"/>
          <w:kern w:val="0"/>
          <w:sz w:val="32"/>
          <w:szCs w:val="32"/>
        </w:rPr>
        <w:t>本合同一式_______份，其中正本_______份，副本_______份。甲方执_______份正本，_______份副本；乙方执_______份正本，_______份副本。</w:t>
      </w:r>
    </w:p>
    <w:p>
      <w:pPr>
        <w:spacing w:before="100" w:beforeAutospacing="1" w:after="100" w:afterAutospacing="1"/>
        <w:rPr>
          <w:color w:val="3A3A3A"/>
        </w:rPr>
      </w:pPr>
    </w:p>
    <w:p>
      <w:pPr>
        <w:widowControl/>
        <w:jc w:val="left"/>
        <w:rPr>
          <w:b/>
          <w:bCs/>
          <w:kern w:val="0"/>
          <w:sz w:val="32"/>
          <w:szCs w:val="32"/>
        </w:rPr>
      </w:pPr>
      <w:r>
        <w:br w:type="page"/>
      </w:r>
    </w:p>
    <w:bookmarkEnd w:id="34"/>
    <w:bookmarkEnd w:id="35"/>
    <w:bookmarkEnd w:id="36"/>
    <w:p>
      <w:pPr>
        <w:pStyle w:val="3"/>
        <w:numPr>
          <w:ilvl w:val="0"/>
          <w:numId w:val="0"/>
        </w:numPr>
        <w:spacing w:line="240" w:lineRule="auto"/>
        <w:rPr>
          <w:rFonts w:hint="eastAsia"/>
          <w:sz w:val="24"/>
          <w:szCs w:val="24"/>
        </w:rPr>
      </w:pPr>
      <w:bookmarkStart w:id="37" w:name="_Toc8674"/>
      <w:r>
        <w:rPr>
          <w:rFonts w:hint="eastAsia"/>
          <w:sz w:val="24"/>
          <w:szCs w:val="24"/>
        </w:rPr>
        <w:t>附件4.2 采购需求及技术服务要求</w:t>
      </w:r>
      <w:bookmarkEnd w:id="37"/>
    </w:p>
    <w:p>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一、项目基本信息</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-项目名称:人保财险青海乐都支公司职场装修改造项目</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-建设地点:青海省海东市乐都区碾伯镇西关街15号(世翔大厦1013</w:t>
      </w:r>
    </w:p>
    <w:p>
      <w:pPr>
        <w:rPr>
          <w:rFonts w:hint="eastAsia" w:ascii="宋体" w:hAnsi="宋体" w:eastAsia="宋体" w:cs="宋体"/>
          <w:sz w:val="28"/>
          <w:szCs w:val="28"/>
        </w:rPr>
      </w:pPr>
      <w:r>
        <w:rPr>
          <w:rFonts w:hint="eastAsia" w:ascii="宋体" w:hAnsi="宋体" w:eastAsia="宋体" w:cs="宋体"/>
          <w:sz w:val="28"/>
          <w:szCs w:val="28"/>
        </w:rPr>
        <w:t>号、1024号)</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-改造范围:建筑面积一楼489.96㎡，二楼489.96㎡，含一楼办公</w:t>
      </w:r>
    </w:p>
    <w:p>
      <w:pPr>
        <w:rPr>
          <w:rFonts w:hint="eastAsia" w:ascii="宋体" w:hAnsi="宋体" w:eastAsia="宋体" w:cs="宋体"/>
          <w:sz w:val="28"/>
          <w:szCs w:val="28"/>
        </w:rPr>
      </w:pPr>
      <w:r>
        <w:rPr>
          <w:rFonts w:hint="eastAsia" w:ascii="宋体" w:hAnsi="宋体" w:eastAsia="宋体" w:cs="宋体"/>
          <w:sz w:val="28"/>
          <w:szCs w:val="28"/>
        </w:rPr>
        <w:t>区、二楼会议室等公共区域。</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-预算/最高限价:8.5万元。</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-工期要求:合同签订后20日历天内竣工并通过验收(含拆除、清运</w:t>
      </w:r>
    </w:p>
    <w:p>
      <w:pPr>
        <w:rPr>
          <w:rFonts w:hint="eastAsia" w:ascii="宋体" w:hAnsi="宋体" w:eastAsia="宋体" w:cs="宋体"/>
          <w:sz w:val="28"/>
          <w:szCs w:val="28"/>
        </w:rPr>
      </w:pPr>
      <w:r>
        <w:rPr>
          <w:rFonts w:hint="eastAsia" w:ascii="宋体" w:hAnsi="宋体" w:eastAsia="宋体" w:cs="宋体"/>
          <w:sz w:val="28"/>
          <w:szCs w:val="28"/>
        </w:rPr>
        <w:t>施工、调试、报验)</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-质量标准:合格，符合国家及地方现行规范、图纸及本项目技术要</w:t>
      </w:r>
    </w:p>
    <w:p>
      <w:pPr>
        <w:rPr>
          <w:rFonts w:hint="eastAsia" w:ascii="宋体" w:hAnsi="宋体" w:eastAsia="宋体" w:cs="宋体"/>
          <w:sz w:val="28"/>
          <w:szCs w:val="28"/>
        </w:rPr>
      </w:pPr>
      <w:r>
        <w:rPr>
          <w:rFonts w:hint="eastAsia" w:ascii="宋体" w:hAnsi="宋体" w:eastAsia="宋体" w:cs="宋体"/>
          <w:sz w:val="28"/>
          <w:szCs w:val="28"/>
        </w:rPr>
        <w:t>求，一次性通过消防、环保及竣工验收。</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-承包方式:包工包料、包设计深化、包运输、包安装、包检测、包</w:t>
      </w:r>
    </w:p>
    <w:p>
      <w:pPr>
        <w:rPr>
          <w:rFonts w:hint="eastAsia" w:ascii="宋体" w:hAnsi="宋体" w:eastAsia="宋体" w:cs="宋体"/>
          <w:sz w:val="28"/>
          <w:szCs w:val="28"/>
        </w:rPr>
      </w:pPr>
      <w:r>
        <w:rPr>
          <w:rFonts w:hint="eastAsia" w:ascii="宋体" w:hAnsi="宋体" w:eastAsia="宋体" w:cs="宋体"/>
          <w:sz w:val="28"/>
          <w:szCs w:val="28"/>
        </w:rPr>
        <w:t>验收、包维保、包安全文明施工。</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二、工程范围(清单式，必须明确)</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1.拆除及清运:柜台、玻璃隔墙、墙面涂料、旧管线等拆除;垃圾外</w:t>
      </w:r>
    </w:p>
    <w:p>
      <w:pPr>
        <w:rPr>
          <w:rFonts w:hint="eastAsia" w:ascii="宋体" w:hAnsi="宋体" w:eastAsia="宋体" w:cs="宋体"/>
          <w:sz w:val="28"/>
          <w:szCs w:val="28"/>
        </w:rPr>
      </w:pPr>
      <w:r>
        <w:rPr>
          <w:rFonts w:hint="eastAsia" w:ascii="宋体" w:hAnsi="宋体" w:eastAsia="宋体" w:cs="宋体"/>
          <w:sz w:val="28"/>
          <w:szCs w:val="28"/>
        </w:rPr>
        <w:t>运消纳，场地清理干净。</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2.装饰装修(硬装)</w:t>
      </w:r>
    </w:p>
    <w:p>
      <w:pPr>
        <w:rPr>
          <w:rFonts w:hint="eastAsia" w:ascii="宋体" w:hAnsi="宋体" w:eastAsia="宋体" w:cs="宋体"/>
          <w:sz w:val="28"/>
          <w:szCs w:val="28"/>
        </w:rPr>
      </w:pPr>
      <w:r>
        <w:rPr>
          <w:rFonts w:hint="eastAsia" w:ascii="宋体" w:hAnsi="宋体" w:eastAsia="宋体" w:cs="宋体"/>
          <w:sz w:val="28"/>
          <w:szCs w:val="28"/>
        </w:rPr>
        <w:t>-墙面:腻子、打磨、乳胶漆/无机涂料/硬包/玻璃隔断;阴阳角处理、</w:t>
      </w:r>
    </w:p>
    <w:p>
      <w:pPr>
        <w:rPr>
          <w:rFonts w:hint="eastAsia" w:ascii="宋体" w:hAnsi="宋体" w:eastAsia="宋体" w:cs="宋体"/>
          <w:sz w:val="28"/>
          <w:szCs w:val="28"/>
        </w:rPr>
      </w:pPr>
      <w:r>
        <w:rPr>
          <w:rFonts w:hint="eastAsia" w:ascii="宋体" w:hAnsi="宋体" w:eastAsia="宋体" w:cs="宋体"/>
          <w:sz w:val="28"/>
          <w:szCs w:val="28"/>
        </w:rPr>
        <w:t>挂网防裂。</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3.电气工程(强电)</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-配电:配电箱/空开更换或新增;回路划分、接地系统。</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-布线:国标铜线、阻燃PVC管穿管;强弱电间距&gt;300mm;插座、网</w:t>
      </w:r>
    </w:p>
    <w:p>
      <w:pPr>
        <w:rPr>
          <w:rFonts w:hint="eastAsia" w:ascii="宋体" w:hAnsi="宋体" w:eastAsia="宋体" w:cs="宋体"/>
          <w:sz w:val="28"/>
          <w:szCs w:val="28"/>
        </w:rPr>
      </w:pPr>
      <w:r>
        <w:rPr>
          <w:rFonts w:hint="eastAsia" w:ascii="宋体" w:hAnsi="宋体" w:eastAsia="宋体" w:cs="宋体"/>
          <w:sz w:val="28"/>
          <w:szCs w:val="28"/>
        </w:rPr>
        <w:t>络、电话点位布设。</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4.弱电系统:网络、电话、会议系统管线及点位敷设;配合设备安装</w:t>
      </w:r>
    </w:p>
    <w:p>
      <w:pPr>
        <w:rPr>
          <w:rFonts w:hint="eastAsia" w:ascii="宋体" w:hAnsi="宋体" w:eastAsia="宋体" w:cs="宋体"/>
          <w:sz w:val="28"/>
          <w:szCs w:val="28"/>
        </w:rPr>
      </w:pPr>
      <w:r>
        <w:rPr>
          <w:rFonts w:hint="eastAsia" w:ascii="宋体" w:hAnsi="宋体" w:eastAsia="宋体" w:cs="宋体"/>
          <w:sz w:val="28"/>
          <w:szCs w:val="28"/>
        </w:rPr>
        <w:t>调试。</w:t>
      </w:r>
    </w:p>
    <w:p>
      <w:pPr>
        <w:widowControl/>
        <w:jc w:val="left"/>
        <w:rPr>
          <w:rFonts w:asciiTheme="minorEastAsia" w:hAnsiTheme="minorEastAsia" w:eastAsiaTheme="minorEastAsia"/>
          <w:sz w:val="28"/>
          <w:szCs w:val="28"/>
        </w:rPr>
      </w:pPr>
      <w:r>
        <w:rPr>
          <w:rFonts w:asciiTheme="minorEastAsia" w:hAnsiTheme="minorEastAsia" w:eastAsiaTheme="minorEastAsia"/>
          <w:sz w:val="28"/>
          <w:szCs w:val="28"/>
        </w:rPr>
        <w:br w:type="page"/>
      </w:r>
    </w:p>
    <w:p>
      <w:pPr>
        <w:pStyle w:val="3"/>
        <w:numPr>
          <w:ilvl w:val="0"/>
          <w:numId w:val="0"/>
        </w:numPr>
        <w:spacing w:line="240" w:lineRule="auto"/>
        <w:rPr>
          <w:sz w:val="24"/>
          <w:szCs w:val="24"/>
        </w:rPr>
      </w:pPr>
      <w:bookmarkStart w:id="38" w:name="_Toc20555"/>
      <w:r>
        <w:rPr>
          <w:rFonts w:hint="eastAsia"/>
          <w:sz w:val="24"/>
          <w:szCs w:val="24"/>
        </w:rPr>
        <w:t>附件4.3 供应商技术响应文件</w:t>
      </w:r>
      <w:bookmarkEnd w:id="38"/>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hint="eastAsia"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adjustRightInd w:val="0"/>
        <w:snapToGrid w:val="0"/>
        <w:spacing w:line="360" w:lineRule="auto"/>
        <w:ind w:firstLine="564"/>
        <w:rPr>
          <w:rFonts w:hint="eastAsia" w:ascii="宋体" w:hAnsi="宋体"/>
          <w:sz w:val="24"/>
          <w:szCs w:val="24"/>
        </w:rPr>
      </w:pPr>
    </w:p>
    <w:p>
      <w:pPr>
        <w:pStyle w:val="2"/>
        <w:numPr>
          <w:ilvl w:val="0"/>
          <w:numId w:val="0"/>
        </w:numPr>
        <w:adjustRightInd w:val="0"/>
        <w:snapToGrid w:val="0"/>
        <w:ind w:left="432" w:hanging="432"/>
        <w:rPr>
          <w:rFonts w:hint="eastAsia"/>
          <w:sz w:val="30"/>
          <w:szCs w:val="30"/>
        </w:rPr>
      </w:pPr>
      <w:bookmarkStart w:id="39" w:name="_Toc2081"/>
      <w:r>
        <w:rPr>
          <w:rFonts w:hint="eastAsia"/>
          <w:sz w:val="30"/>
          <w:szCs w:val="30"/>
          <w:lang w:val="en-US" w:eastAsia="zh-CN"/>
        </w:rPr>
        <w:t>附件</w:t>
      </w:r>
      <w:r>
        <w:rPr>
          <w:rFonts w:hint="eastAsia"/>
          <w:sz w:val="30"/>
          <w:szCs w:val="30"/>
        </w:rPr>
        <w:t>五、供应商承诺文件</w:t>
      </w:r>
      <w:bookmarkEnd w:id="39"/>
    </w:p>
    <w:p>
      <w:pPr>
        <w:adjustRightInd w:val="0"/>
        <w:snapToGrid w:val="0"/>
        <w:spacing w:line="360" w:lineRule="auto"/>
        <w:ind w:firstLine="564"/>
        <w:rPr>
          <w:rFonts w:ascii="宋体" w:hAnsi="宋体"/>
          <w:b/>
          <w:sz w:val="24"/>
          <w:szCs w:val="24"/>
        </w:rPr>
      </w:pPr>
      <w:r>
        <w:rPr>
          <w:rFonts w:hint="eastAsia" w:ascii="宋体" w:hAnsi="宋体"/>
          <w:b/>
          <w:sz w:val="24"/>
          <w:szCs w:val="24"/>
        </w:rPr>
        <w:t>附件5.1供应商廉洁诚信承诺书</w:t>
      </w:r>
    </w:p>
    <w:p>
      <w:pPr>
        <w:adjustRightInd w:val="0"/>
        <w:snapToGrid w:val="0"/>
        <w:spacing w:line="360" w:lineRule="auto"/>
        <w:ind w:firstLine="2880" w:firstLineChars="1200"/>
        <w:jc w:val="both"/>
        <w:rPr>
          <w:rFonts w:ascii="宋体" w:hAnsi="宋体"/>
          <w:sz w:val="24"/>
          <w:szCs w:val="24"/>
        </w:rPr>
      </w:pPr>
      <w:r>
        <w:rPr>
          <w:rFonts w:hint="eastAsia" w:ascii="宋体" w:hAnsi="宋体"/>
          <w:sz w:val="24"/>
          <w:szCs w:val="24"/>
        </w:rPr>
        <w:t>供应商廉洁诚信承诺书</w:t>
      </w:r>
    </w:p>
    <w:p>
      <w:pPr>
        <w:adjustRightInd w:val="0"/>
        <w:snapToGrid w:val="0"/>
        <w:spacing w:line="360" w:lineRule="auto"/>
        <w:ind w:firstLine="564"/>
        <w:rPr>
          <w:rFonts w:ascii="宋体" w:hAnsi="宋体"/>
          <w:sz w:val="24"/>
          <w:szCs w:val="24"/>
        </w:rPr>
      </w:pPr>
    </w:p>
    <w:p>
      <w:pPr>
        <w:adjustRightInd w:val="0"/>
        <w:snapToGrid w:val="0"/>
        <w:spacing w:line="360" w:lineRule="auto"/>
        <w:ind w:firstLine="564"/>
        <w:rPr>
          <w:rFonts w:ascii="宋体" w:hAnsi="宋体"/>
          <w:sz w:val="24"/>
          <w:szCs w:val="24"/>
        </w:rPr>
      </w:pPr>
      <w:r>
        <w:rPr>
          <w:rFonts w:hint="eastAsia" w:ascii="宋体" w:hAnsi="宋体"/>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adjustRightInd w:val="0"/>
        <w:snapToGrid w:val="0"/>
        <w:spacing w:line="360" w:lineRule="auto"/>
        <w:ind w:firstLine="564"/>
        <w:rPr>
          <w:rFonts w:ascii="宋体" w:hAnsi="宋体"/>
          <w:sz w:val="24"/>
          <w:szCs w:val="24"/>
        </w:rPr>
      </w:pPr>
      <w:r>
        <w:rPr>
          <w:rFonts w:hint="eastAsia" w:ascii="宋体" w:hAnsi="宋体"/>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adjustRightInd w:val="0"/>
        <w:snapToGrid w:val="0"/>
        <w:spacing w:line="360" w:lineRule="auto"/>
        <w:ind w:firstLine="564"/>
        <w:rPr>
          <w:rFonts w:ascii="宋体" w:hAnsi="宋体"/>
          <w:sz w:val="24"/>
          <w:szCs w:val="24"/>
        </w:rPr>
      </w:pPr>
      <w:r>
        <w:rPr>
          <w:rFonts w:hint="eastAsia" w:ascii="宋体" w:hAnsi="宋体"/>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adjustRightInd w:val="0"/>
        <w:snapToGrid w:val="0"/>
        <w:spacing w:line="360" w:lineRule="auto"/>
        <w:ind w:firstLine="564"/>
        <w:rPr>
          <w:rFonts w:ascii="宋体" w:hAnsi="宋体"/>
          <w:sz w:val="24"/>
          <w:szCs w:val="24"/>
        </w:rPr>
      </w:pPr>
      <w:r>
        <w:rPr>
          <w:rFonts w:hint="eastAsia" w:ascii="宋体" w:hAnsi="宋体"/>
          <w:sz w:val="24"/>
          <w:szCs w:val="24"/>
        </w:rPr>
        <w:t>三、廉洁自律承诺。我们坚决不以任何形式为获取或意图获取交易机会、竞争优势或谋取不正当利益而向中国人民保险或相关主体实施商业贿赂或营私舞弊行为，包括但不限于：</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（1）以任何方式实施商业贿赂或违规提供金钱、实物、回扣、折扣、宴请与游玩活动或其他不正当利益；</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（2）为其安排有可能影响公平、公正交易的宴请、健身、娱乐等活动；</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（3）为其投资入股、个人借款或买卖股票、债券等提供方便；</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（4）为其购买或装修住房、婚丧嫁娶、配偶子女上学或工作安排以及出国出境、旅游等提供方便；</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（5）违反规定为其在我方相关企业工作、挂名兼职、合伙经营、介绍承揽业务等提供方便；</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（6）向其提供借款、融资、担保等；</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（7）给予或承诺给予其不正当利益的其他行为；</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（8）其他违反国家法律法规或商业道德准则的影响公正交易的行为。</w:t>
      </w:r>
    </w:p>
    <w:p>
      <w:pPr>
        <w:adjustRightInd w:val="0"/>
        <w:snapToGrid w:val="0"/>
        <w:spacing w:line="360" w:lineRule="auto"/>
        <w:ind w:firstLine="564"/>
        <w:rPr>
          <w:rFonts w:ascii="宋体" w:hAnsi="宋体"/>
          <w:sz w:val="24"/>
          <w:szCs w:val="24"/>
        </w:rPr>
      </w:pPr>
      <w:r>
        <w:rPr>
          <w:rFonts w:hint="eastAsia" w:ascii="宋体" w:hAnsi="宋体"/>
          <w:sz w:val="24"/>
          <w:szCs w:val="24"/>
        </w:rPr>
        <w:t>我们也不会以任何方式向中国人民保险或相关主体索要金钱、实物等不正当利益，或收受中国人保或相关主体给予的金钱、实物等不正当利益。</w:t>
      </w:r>
    </w:p>
    <w:p>
      <w:pPr>
        <w:adjustRightInd w:val="0"/>
        <w:snapToGrid w:val="0"/>
        <w:spacing w:line="360" w:lineRule="auto"/>
        <w:ind w:firstLine="564"/>
        <w:rPr>
          <w:rFonts w:ascii="宋体" w:hAnsi="宋体"/>
          <w:sz w:val="24"/>
          <w:szCs w:val="24"/>
        </w:rPr>
      </w:pPr>
      <w:r>
        <w:rPr>
          <w:rFonts w:hint="eastAsia" w:ascii="宋体" w:hAnsi="宋体"/>
          <w:sz w:val="24"/>
          <w:szCs w:val="24"/>
        </w:rPr>
        <w:t>四、诚实信用承诺。我们坚决不进行任何违背诚实信用原则的行为，包括但不限于：</w:t>
      </w:r>
    </w:p>
    <w:p>
      <w:pPr>
        <w:adjustRightInd w:val="0"/>
        <w:snapToGrid w:val="0"/>
        <w:spacing w:line="360" w:lineRule="auto"/>
        <w:ind w:firstLine="564"/>
        <w:rPr>
          <w:rFonts w:ascii="宋体" w:hAnsi="宋体"/>
          <w:sz w:val="24"/>
          <w:szCs w:val="24"/>
        </w:rPr>
      </w:pPr>
      <w:r>
        <w:rPr>
          <w:rFonts w:hint="eastAsia" w:ascii="宋体" w:hAnsi="宋体"/>
          <w:sz w:val="24"/>
          <w:szCs w:val="24"/>
          <w:lang w:val="en-US" w:eastAsia="zh-CN"/>
        </w:rPr>
        <w:t>(1)</w:t>
      </w:r>
      <w:r>
        <w:rPr>
          <w:rFonts w:hint="eastAsia" w:ascii="宋体" w:hAnsi="宋体"/>
          <w:sz w:val="24"/>
          <w:szCs w:val="24"/>
        </w:rPr>
        <w:t>出借、转让资质证书；</w:t>
      </w:r>
    </w:p>
    <w:p>
      <w:pPr>
        <w:adjustRightInd w:val="0"/>
        <w:snapToGrid w:val="0"/>
        <w:spacing w:line="360" w:lineRule="auto"/>
        <w:ind w:firstLine="564"/>
        <w:rPr>
          <w:rFonts w:ascii="宋体" w:hAnsi="宋体"/>
          <w:sz w:val="24"/>
          <w:szCs w:val="24"/>
        </w:rPr>
      </w:pPr>
      <w:r>
        <w:rPr>
          <w:rFonts w:hint="eastAsia" w:ascii="宋体" w:hAnsi="宋体"/>
          <w:sz w:val="24"/>
          <w:szCs w:val="24"/>
          <w:lang w:val="en-US" w:eastAsia="zh-CN"/>
        </w:rPr>
        <w:t>(2)</w:t>
      </w:r>
      <w:r>
        <w:rPr>
          <w:rFonts w:hint="eastAsia" w:ascii="宋体" w:hAnsi="宋体"/>
          <w:sz w:val="24"/>
          <w:szCs w:val="24"/>
        </w:rPr>
        <w:t>伙同他人串标、围标或非法排挤竞争对手；</w:t>
      </w:r>
    </w:p>
    <w:p>
      <w:pPr>
        <w:adjustRightInd w:val="0"/>
        <w:snapToGrid w:val="0"/>
        <w:spacing w:line="360" w:lineRule="auto"/>
        <w:ind w:firstLine="564"/>
        <w:rPr>
          <w:rFonts w:ascii="宋体" w:hAnsi="宋体"/>
          <w:sz w:val="24"/>
          <w:szCs w:val="24"/>
        </w:rPr>
      </w:pPr>
      <w:r>
        <w:rPr>
          <w:rFonts w:hint="eastAsia" w:ascii="宋体" w:hAnsi="宋体"/>
          <w:sz w:val="24"/>
          <w:szCs w:val="24"/>
          <w:lang w:val="en-US" w:eastAsia="zh-CN"/>
        </w:rPr>
        <w:t>(3)</w:t>
      </w:r>
      <w:r>
        <w:rPr>
          <w:rFonts w:hint="eastAsia" w:ascii="宋体" w:hAnsi="宋体"/>
          <w:sz w:val="24"/>
          <w:szCs w:val="24"/>
        </w:rPr>
        <w:t>在采购活动中提供虚假资料，以他人名义参与或者以其他方式弄虚作假，夸大自身技术和提供服务的能力，损害贵方合法权益；</w:t>
      </w:r>
    </w:p>
    <w:p>
      <w:pPr>
        <w:adjustRightInd w:val="0"/>
        <w:snapToGrid w:val="0"/>
        <w:spacing w:line="360" w:lineRule="auto"/>
        <w:ind w:firstLine="564"/>
        <w:rPr>
          <w:rFonts w:ascii="宋体" w:hAnsi="宋体"/>
          <w:sz w:val="24"/>
          <w:szCs w:val="24"/>
        </w:rPr>
      </w:pPr>
      <w:r>
        <w:rPr>
          <w:rFonts w:hint="eastAsia" w:ascii="宋体" w:hAnsi="宋体"/>
          <w:sz w:val="24"/>
          <w:szCs w:val="24"/>
        </w:rPr>
        <w:t>（4）隐瞒任何可能对贵方利益造成影响的信息，不配合贵方的审计。</w:t>
      </w:r>
    </w:p>
    <w:p>
      <w:pPr>
        <w:adjustRightInd w:val="0"/>
        <w:snapToGrid w:val="0"/>
        <w:spacing w:line="360" w:lineRule="auto"/>
        <w:ind w:firstLine="564"/>
        <w:rPr>
          <w:rFonts w:ascii="宋体" w:hAnsi="宋体"/>
          <w:sz w:val="24"/>
          <w:szCs w:val="24"/>
        </w:rPr>
      </w:pPr>
      <w:r>
        <w:rPr>
          <w:rFonts w:hint="eastAsia" w:ascii="宋体" w:hAnsi="宋体"/>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adjustRightInd w:val="0"/>
        <w:snapToGrid w:val="0"/>
        <w:spacing w:line="360" w:lineRule="auto"/>
        <w:ind w:firstLine="564"/>
        <w:rPr>
          <w:rFonts w:ascii="宋体" w:hAnsi="宋体"/>
          <w:sz w:val="24"/>
          <w:szCs w:val="24"/>
        </w:rPr>
      </w:pPr>
      <w:r>
        <w:rPr>
          <w:rFonts w:hint="eastAsia" w:ascii="宋体" w:hAnsi="宋体"/>
          <w:sz w:val="24"/>
          <w:szCs w:val="24"/>
        </w:rPr>
        <w:t>六、加强内部管理承诺。为了实现以上承诺要求，我们将积极配合采取以下措施，不断加强自身内部管理：</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（1）廉洁教育培训：加强对员工的廉洁教育和培训，提高员工的道德素质和法律意识，建立健全内部管理制度，确保员工行为的合规性和廉洁性；</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（2）设立监督机制：通过专门的监督机构或人员，对我方的业务活动进行实时监督，确保员工行为的合规性；</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（3）建立举报制度：鼓励员工积极举报违规行为，对举报人予以保护并给予奖励。</w:t>
      </w:r>
    </w:p>
    <w:p>
      <w:pPr>
        <w:adjustRightInd w:val="0"/>
        <w:snapToGrid w:val="0"/>
        <w:spacing w:line="360" w:lineRule="auto"/>
        <w:ind w:firstLine="564"/>
        <w:rPr>
          <w:rFonts w:ascii="宋体" w:hAnsi="宋体"/>
          <w:sz w:val="24"/>
          <w:szCs w:val="24"/>
        </w:rPr>
      </w:pPr>
      <w:r>
        <w:rPr>
          <w:rFonts w:hint="eastAsia" w:ascii="宋体" w:hAnsi="宋体"/>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八、如违反上述承诺，我方自愿承担以下法律责任：</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（1）如我方及我方工作人员违反本承诺书承诺，中国人民保险有权依据其采购管理、供应商管理和采购文件相关要求，对我方进行严肃处理，相关处罚结果记入供应商诚信档案；</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（2）如我方及我方工作人员违反本承诺书承诺，中国人民保险及其子公司等所有关联主体有权限制或取消我方在中国人民保险参与采购项目的资格；</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（3）如我方及我方工作人员违反本承诺书承诺，中国人民保险及其子公司等所有关联主体有权选择单方全面终止与我方的合同及合作而无需承担任何责任；</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adjustRightInd w:val="0"/>
        <w:snapToGrid w:val="0"/>
        <w:spacing w:line="360" w:lineRule="auto"/>
        <w:ind w:firstLine="564"/>
        <w:rPr>
          <w:rFonts w:ascii="宋体" w:hAnsi="宋体"/>
          <w:sz w:val="24"/>
          <w:szCs w:val="24"/>
        </w:rPr>
      </w:pPr>
    </w:p>
    <w:p>
      <w:pPr>
        <w:adjustRightInd w:val="0"/>
        <w:snapToGrid w:val="0"/>
        <w:spacing w:line="360" w:lineRule="auto"/>
        <w:ind w:firstLine="564"/>
        <w:rPr>
          <w:rFonts w:ascii="宋体" w:hAnsi="宋体"/>
          <w:sz w:val="24"/>
          <w:szCs w:val="24"/>
        </w:rPr>
      </w:pPr>
      <w:r>
        <w:rPr>
          <w:rFonts w:hint="eastAsia" w:ascii="宋体" w:hAnsi="宋体"/>
          <w:sz w:val="24"/>
          <w:szCs w:val="24"/>
        </w:rPr>
        <w:t>本承诺书自承诺方签字和盖章之日起生效。如我方成功中选中国人民保险采购项目，将按中国人民保险管理要求签署廉洁诚信协议作为采购合同附件，并严格遵守协议相关条款。</w:t>
      </w:r>
    </w:p>
    <w:p>
      <w:pPr>
        <w:adjustRightInd w:val="0"/>
        <w:snapToGrid w:val="0"/>
        <w:spacing w:line="360" w:lineRule="auto"/>
        <w:ind w:firstLine="564"/>
        <w:rPr>
          <w:rFonts w:ascii="宋体" w:hAnsi="宋体"/>
          <w:sz w:val="24"/>
          <w:szCs w:val="24"/>
        </w:rPr>
      </w:pPr>
    </w:p>
    <w:p>
      <w:pPr>
        <w:adjustRightInd w:val="0"/>
        <w:snapToGrid w:val="0"/>
        <w:spacing w:line="360" w:lineRule="auto"/>
        <w:ind w:firstLine="564"/>
        <w:rPr>
          <w:rFonts w:ascii="宋体" w:hAnsi="宋体"/>
          <w:sz w:val="24"/>
          <w:szCs w:val="24"/>
        </w:rPr>
      </w:pPr>
      <w:r>
        <w:rPr>
          <w:rFonts w:hint="eastAsia" w:ascii="宋体" w:hAnsi="宋体"/>
          <w:sz w:val="24"/>
          <w:szCs w:val="24"/>
        </w:rPr>
        <w:t>公司名称（全称、盖章）：________________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法定代表人姓名、职务：__________________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法定代表人或授权代表签字：______________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日期：__________________________________</w:t>
      </w:r>
    </w:p>
    <w:p>
      <w:pPr>
        <w:adjustRightInd w:val="0"/>
        <w:snapToGrid w:val="0"/>
        <w:spacing w:line="360" w:lineRule="auto"/>
        <w:ind w:firstLine="564"/>
        <w:rPr>
          <w:rFonts w:ascii="宋体" w:hAnsi="宋体"/>
          <w:sz w:val="24"/>
          <w:szCs w:val="24"/>
        </w:rPr>
      </w:pPr>
    </w:p>
    <w:p>
      <w:pPr>
        <w:adjustRightInd w:val="0"/>
        <w:snapToGrid w:val="0"/>
        <w:spacing w:line="360" w:lineRule="auto"/>
        <w:ind w:firstLine="564"/>
        <w:rPr>
          <w:rFonts w:hint="eastAsia" w:ascii="宋体" w:hAnsi="宋体"/>
          <w:b/>
          <w:sz w:val="24"/>
          <w:szCs w:val="24"/>
        </w:rPr>
      </w:pPr>
    </w:p>
    <w:p>
      <w:pPr>
        <w:adjustRightInd w:val="0"/>
        <w:snapToGrid w:val="0"/>
        <w:spacing w:line="360" w:lineRule="auto"/>
        <w:ind w:firstLine="564"/>
        <w:rPr>
          <w:rFonts w:hint="eastAsia" w:ascii="宋体" w:hAnsi="宋体"/>
          <w:b/>
          <w:sz w:val="24"/>
          <w:szCs w:val="24"/>
        </w:rPr>
      </w:pPr>
    </w:p>
    <w:p>
      <w:pPr>
        <w:adjustRightInd w:val="0"/>
        <w:snapToGrid w:val="0"/>
        <w:spacing w:line="360" w:lineRule="auto"/>
        <w:ind w:firstLine="564"/>
        <w:rPr>
          <w:rFonts w:hint="eastAsia" w:ascii="宋体" w:hAnsi="宋体"/>
          <w:b/>
          <w:sz w:val="24"/>
          <w:szCs w:val="24"/>
        </w:rPr>
      </w:pPr>
    </w:p>
    <w:p>
      <w:pPr>
        <w:adjustRightInd w:val="0"/>
        <w:snapToGrid w:val="0"/>
        <w:spacing w:line="360" w:lineRule="auto"/>
        <w:ind w:firstLine="564"/>
        <w:rPr>
          <w:rFonts w:hint="eastAsia" w:ascii="宋体" w:hAnsi="宋体"/>
          <w:b/>
          <w:sz w:val="24"/>
          <w:szCs w:val="24"/>
        </w:rPr>
      </w:pPr>
    </w:p>
    <w:p>
      <w:pPr>
        <w:adjustRightInd w:val="0"/>
        <w:snapToGrid w:val="0"/>
        <w:spacing w:line="360" w:lineRule="auto"/>
        <w:ind w:firstLine="564"/>
        <w:rPr>
          <w:rFonts w:hint="eastAsia" w:ascii="宋体" w:hAnsi="宋体"/>
          <w:b/>
          <w:sz w:val="24"/>
          <w:szCs w:val="24"/>
        </w:rPr>
      </w:pPr>
    </w:p>
    <w:p>
      <w:pPr>
        <w:adjustRightInd w:val="0"/>
        <w:snapToGrid w:val="0"/>
        <w:spacing w:line="360" w:lineRule="auto"/>
        <w:ind w:firstLine="564"/>
        <w:rPr>
          <w:rFonts w:hint="eastAsia" w:ascii="宋体" w:hAnsi="宋体"/>
          <w:b/>
          <w:sz w:val="24"/>
          <w:szCs w:val="24"/>
        </w:rPr>
      </w:pPr>
    </w:p>
    <w:p>
      <w:pPr>
        <w:adjustRightInd w:val="0"/>
        <w:snapToGrid w:val="0"/>
        <w:spacing w:line="360" w:lineRule="auto"/>
        <w:ind w:firstLine="564"/>
        <w:rPr>
          <w:rFonts w:hint="eastAsia" w:ascii="宋体" w:hAnsi="宋体"/>
          <w:b/>
          <w:sz w:val="24"/>
          <w:szCs w:val="24"/>
        </w:rPr>
      </w:pPr>
    </w:p>
    <w:p>
      <w:pPr>
        <w:adjustRightInd w:val="0"/>
        <w:snapToGrid w:val="0"/>
        <w:spacing w:line="360" w:lineRule="auto"/>
        <w:ind w:firstLine="564"/>
        <w:rPr>
          <w:rFonts w:hint="eastAsia" w:ascii="宋体" w:hAnsi="宋体"/>
          <w:b/>
          <w:sz w:val="24"/>
          <w:szCs w:val="24"/>
        </w:rPr>
      </w:pPr>
    </w:p>
    <w:p>
      <w:pPr>
        <w:adjustRightInd w:val="0"/>
        <w:snapToGrid w:val="0"/>
        <w:spacing w:line="360" w:lineRule="auto"/>
        <w:ind w:firstLine="564"/>
        <w:rPr>
          <w:rFonts w:hint="eastAsia" w:ascii="宋体" w:hAnsi="宋体"/>
          <w:b/>
          <w:sz w:val="24"/>
          <w:szCs w:val="24"/>
        </w:rPr>
      </w:pPr>
    </w:p>
    <w:p>
      <w:pPr>
        <w:adjustRightInd w:val="0"/>
        <w:snapToGrid w:val="0"/>
        <w:spacing w:line="360" w:lineRule="auto"/>
        <w:ind w:firstLine="564"/>
        <w:rPr>
          <w:rFonts w:hint="eastAsia" w:ascii="宋体" w:hAnsi="宋体"/>
          <w:b/>
          <w:sz w:val="24"/>
          <w:szCs w:val="24"/>
        </w:rPr>
      </w:pPr>
    </w:p>
    <w:p>
      <w:pPr>
        <w:adjustRightInd w:val="0"/>
        <w:snapToGrid w:val="0"/>
        <w:spacing w:line="360" w:lineRule="auto"/>
        <w:ind w:firstLine="564"/>
        <w:rPr>
          <w:rFonts w:hint="eastAsia" w:ascii="宋体" w:hAnsi="宋体"/>
          <w:b/>
          <w:sz w:val="24"/>
          <w:szCs w:val="24"/>
        </w:rPr>
      </w:pPr>
      <w:r>
        <w:rPr>
          <w:rFonts w:hint="eastAsia" w:ascii="宋体" w:hAnsi="宋体"/>
          <w:b/>
          <w:sz w:val="24"/>
          <w:szCs w:val="24"/>
        </w:rPr>
        <w:t>附件5.2供应商行为准则承诺书</w:t>
      </w:r>
    </w:p>
    <w:p>
      <w:pPr>
        <w:adjustRightInd w:val="0"/>
        <w:snapToGrid w:val="0"/>
        <w:spacing w:line="360" w:lineRule="auto"/>
        <w:ind w:firstLine="2089" w:firstLineChars="867"/>
        <w:rPr>
          <w:rFonts w:hint="eastAsia" w:ascii="宋体" w:hAnsi="宋体"/>
          <w:b/>
          <w:sz w:val="24"/>
          <w:szCs w:val="24"/>
        </w:rPr>
      </w:pPr>
    </w:p>
    <w:p>
      <w:pPr>
        <w:adjustRightInd w:val="0"/>
        <w:snapToGrid w:val="0"/>
        <w:spacing w:line="360" w:lineRule="auto"/>
        <w:ind w:firstLine="2800" w:firstLineChars="1167"/>
        <w:jc w:val="left"/>
        <w:rPr>
          <w:rFonts w:ascii="宋体" w:hAnsi="宋体"/>
          <w:sz w:val="24"/>
          <w:szCs w:val="24"/>
        </w:rPr>
      </w:pPr>
      <w:r>
        <w:rPr>
          <w:rFonts w:hint="eastAsia" w:ascii="宋体" w:hAnsi="宋体"/>
          <w:sz w:val="24"/>
          <w:szCs w:val="24"/>
        </w:rPr>
        <w:t>供应商行为准则承诺书</w:t>
      </w:r>
    </w:p>
    <w:p>
      <w:pPr>
        <w:adjustRightInd w:val="0"/>
        <w:snapToGrid w:val="0"/>
        <w:spacing w:line="360" w:lineRule="auto"/>
        <w:ind w:firstLine="564"/>
        <w:rPr>
          <w:rFonts w:ascii="宋体" w:hAnsi="宋体"/>
          <w:sz w:val="24"/>
          <w:szCs w:val="24"/>
        </w:rPr>
      </w:pPr>
    </w:p>
    <w:p>
      <w:pPr>
        <w:adjustRightInd w:val="0"/>
        <w:snapToGrid w:val="0"/>
        <w:spacing w:line="360" w:lineRule="auto"/>
        <w:ind w:firstLine="564"/>
        <w:rPr>
          <w:rFonts w:ascii="宋体" w:hAnsi="宋体"/>
          <w:sz w:val="24"/>
          <w:szCs w:val="24"/>
        </w:rPr>
      </w:pPr>
      <w:r>
        <w:rPr>
          <w:rFonts w:hint="eastAsia" w:ascii="宋体" w:hAnsi="宋体"/>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adjustRightInd w:val="0"/>
        <w:snapToGrid w:val="0"/>
        <w:spacing w:line="360" w:lineRule="auto"/>
        <w:ind w:firstLine="564"/>
        <w:rPr>
          <w:rFonts w:ascii="宋体" w:hAnsi="宋体"/>
          <w:sz w:val="24"/>
          <w:szCs w:val="24"/>
        </w:rPr>
      </w:pPr>
      <w:r>
        <w:rPr>
          <w:rFonts w:hint="eastAsia" w:ascii="宋体" w:hAnsi="宋体"/>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adjustRightInd w:val="0"/>
        <w:snapToGrid w:val="0"/>
        <w:spacing w:line="360" w:lineRule="auto"/>
        <w:ind w:firstLine="564"/>
        <w:rPr>
          <w:rFonts w:ascii="宋体" w:hAnsi="宋体"/>
          <w:sz w:val="24"/>
          <w:szCs w:val="24"/>
        </w:rPr>
      </w:pPr>
      <w:r>
        <w:rPr>
          <w:rFonts w:hint="eastAsia" w:ascii="宋体" w:hAnsi="宋体"/>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adjustRightInd w:val="0"/>
        <w:snapToGrid w:val="0"/>
        <w:spacing w:line="360" w:lineRule="auto"/>
        <w:ind w:firstLine="564"/>
        <w:rPr>
          <w:rFonts w:ascii="宋体" w:hAnsi="宋体"/>
          <w:sz w:val="24"/>
          <w:szCs w:val="24"/>
        </w:rPr>
      </w:pPr>
      <w:r>
        <w:rPr>
          <w:rFonts w:hint="eastAsia" w:ascii="宋体" w:hAnsi="宋体"/>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adjustRightInd w:val="0"/>
        <w:snapToGrid w:val="0"/>
        <w:spacing w:line="360" w:lineRule="auto"/>
        <w:ind w:firstLine="564"/>
        <w:rPr>
          <w:rFonts w:ascii="宋体" w:hAnsi="宋体"/>
          <w:sz w:val="24"/>
          <w:szCs w:val="24"/>
        </w:rPr>
      </w:pPr>
      <w:r>
        <w:rPr>
          <w:rFonts w:hint="eastAsia" w:ascii="宋体" w:hAnsi="宋体"/>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adjustRightInd w:val="0"/>
        <w:snapToGrid w:val="0"/>
        <w:spacing w:line="360" w:lineRule="auto"/>
        <w:ind w:firstLine="564"/>
        <w:rPr>
          <w:rFonts w:ascii="宋体" w:hAnsi="宋体"/>
          <w:sz w:val="24"/>
          <w:szCs w:val="24"/>
        </w:rPr>
      </w:pPr>
      <w:r>
        <w:rPr>
          <w:rFonts w:hint="eastAsia" w:ascii="宋体" w:hAnsi="宋体"/>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adjustRightInd w:val="0"/>
        <w:snapToGrid w:val="0"/>
        <w:spacing w:line="360" w:lineRule="auto"/>
        <w:ind w:firstLine="564"/>
        <w:rPr>
          <w:rFonts w:ascii="宋体" w:hAnsi="宋体"/>
          <w:sz w:val="24"/>
          <w:szCs w:val="24"/>
        </w:rPr>
      </w:pPr>
      <w:r>
        <w:rPr>
          <w:rFonts w:hint="eastAsia" w:ascii="宋体" w:hAnsi="宋体"/>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adjustRightInd w:val="0"/>
        <w:snapToGrid w:val="0"/>
        <w:spacing w:line="360" w:lineRule="auto"/>
        <w:ind w:firstLine="564"/>
        <w:rPr>
          <w:rFonts w:ascii="宋体" w:hAnsi="宋体"/>
          <w:sz w:val="24"/>
          <w:szCs w:val="24"/>
        </w:rPr>
      </w:pPr>
      <w:r>
        <w:rPr>
          <w:rFonts w:hint="eastAsia" w:ascii="宋体" w:hAnsi="宋体"/>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adjustRightInd w:val="0"/>
        <w:snapToGrid w:val="0"/>
        <w:spacing w:line="360" w:lineRule="auto"/>
        <w:ind w:firstLine="564"/>
        <w:rPr>
          <w:rFonts w:ascii="宋体" w:hAnsi="宋体"/>
          <w:sz w:val="24"/>
          <w:szCs w:val="24"/>
        </w:rPr>
      </w:pPr>
      <w:r>
        <w:rPr>
          <w:rFonts w:hint="eastAsia" w:ascii="宋体" w:hAnsi="宋体"/>
          <w:sz w:val="24"/>
          <w:szCs w:val="24"/>
        </w:rPr>
        <w:t>八、供应商承诺遵守中国人民保险有关采购管理和供应商管理的相关规定、履行相应义务。</w:t>
      </w:r>
    </w:p>
    <w:p>
      <w:pPr>
        <w:adjustRightInd w:val="0"/>
        <w:snapToGrid w:val="0"/>
        <w:spacing w:line="360" w:lineRule="auto"/>
        <w:ind w:firstLine="564"/>
        <w:rPr>
          <w:rFonts w:ascii="宋体" w:hAnsi="宋体"/>
          <w:sz w:val="24"/>
          <w:szCs w:val="24"/>
        </w:rPr>
      </w:pPr>
      <w:r>
        <w:rPr>
          <w:rFonts w:hint="eastAsia" w:ascii="宋体" w:hAnsi="宋体"/>
          <w:sz w:val="24"/>
          <w:szCs w:val="24"/>
        </w:rPr>
        <w:t>九、供应商参与中国人民保险采购过程中，将认真阅读并理解邀请文件的内容，并保证严格保密文件内容，不泄露中国人民保险任何信息。</w:t>
      </w:r>
    </w:p>
    <w:p>
      <w:pPr>
        <w:adjustRightInd w:val="0"/>
        <w:snapToGrid w:val="0"/>
        <w:spacing w:line="360" w:lineRule="auto"/>
        <w:ind w:firstLine="564"/>
        <w:rPr>
          <w:rFonts w:ascii="宋体" w:hAnsi="宋体"/>
          <w:sz w:val="24"/>
          <w:szCs w:val="24"/>
        </w:rPr>
      </w:pPr>
      <w:r>
        <w:rPr>
          <w:rFonts w:hint="eastAsia" w:ascii="宋体" w:hAnsi="宋体"/>
          <w:sz w:val="24"/>
          <w:szCs w:val="24"/>
        </w:rPr>
        <w:t>十、供应商保证所递交的投标文件、资格证明、产品资料、合同等文件内容的真实性、有效性；愿意承担虚构信息及伪造资格证明、合同等违背诚实信用原则导致的一切不利后果。</w:t>
      </w:r>
    </w:p>
    <w:p>
      <w:pPr>
        <w:adjustRightInd w:val="0"/>
        <w:snapToGrid w:val="0"/>
        <w:spacing w:line="360" w:lineRule="auto"/>
        <w:ind w:firstLine="564"/>
        <w:rPr>
          <w:rFonts w:ascii="宋体" w:hAnsi="宋体"/>
          <w:sz w:val="24"/>
          <w:szCs w:val="24"/>
        </w:rPr>
      </w:pPr>
      <w:r>
        <w:rPr>
          <w:rFonts w:hint="eastAsia" w:ascii="宋体" w:hAnsi="宋体"/>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adjustRightInd w:val="0"/>
        <w:snapToGrid w:val="0"/>
        <w:spacing w:line="360" w:lineRule="auto"/>
        <w:ind w:firstLine="564"/>
        <w:rPr>
          <w:rFonts w:ascii="宋体" w:hAnsi="宋体"/>
          <w:sz w:val="24"/>
          <w:szCs w:val="24"/>
        </w:rPr>
      </w:pPr>
      <w:r>
        <w:rPr>
          <w:rFonts w:hint="eastAsia" w:ascii="宋体" w:hAnsi="宋体"/>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adjustRightInd w:val="0"/>
        <w:snapToGrid w:val="0"/>
        <w:spacing w:line="360" w:lineRule="auto"/>
        <w:ind w:firstLine="564"/>
        <w:rPr>
          <w:rFonts w:ascii="宋体" w:hAnsi="宋体"/>
          <w:sz w:val="24"/>
          <w:szCs w:val="24"/>
        </w:rPr>
      </w:pPr>
      <w:r>
        <w:rPr>
          <w:rFonts w:hint="eastAsia" w:ascii="宋体" w:hAnsi="宋体"/>
          <w:sz w:val="24"/>
          <w:szCs w:val="24"/>
        </w:rPr>
        <w:t>十三、采购过程中涉及函件往来的，使用供应商以下地址及联系方式：</w:t>
      </w:r>
    </w:p>
    <w:p>
      <w:pPr>
        <w:adjustRightInd w:val="0"/>
        <w:snapToGrid w:val="0"/>
        <w:spacing w:line="360" w:lineRule="auto"/>
        <w:ind w:firstLine="564"/>
        <w:rPr>
          <w:rFonts w:ascii="宋体" w:hAnsi="宋体"/>
          <w:sz w:val="24"/>
          <w:szCs w:val="24"/>
        </w:rPr>
      </w:pPr>
      <w:r>
        <w:rPr>
          <w:rFonts w:hint="eastAsia" w:ascii="宋体" w:hAnsi="宋体"/>
          <w:sz w:val="24"/>
          <w:szCs w:val="24"/>
        </w:rPr>
        <w:t>公司名称（全称、盖章）：________________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法定代表人（负责人）姓名、职务：__________________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邮编：__________地址：__________________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电话：__________传真：__________________</w:t>
      </w:r>
    </w:p>
    <w:p>
      <w:pPr>
        <w:adjustRightInd w:val="0"/>
        <w:snapToGrid w:val="0"/>
        <w:spacing w:line="360" w:lineRule="auto"/>
        <w:ind w:firstLine="564"/>
        <w:rPr>
          <w:rFonts w:ascii="宋体" w:hAnsi="宋体"/>
          <w:sz w:val="24"/>
          <w:szCs w:val="24"/>
        </w:rPr>
      </w:pPr>
      <w:r>
        <w:rPr>
          <w:rFonts w:hint="eastAsia" w:ascii="宋体" w:hAnsi="宋体"/>
          <w:sz w:val="24"/>
          <w:szCs w:val="24"/>
        </w:rPr>
        <w:t>法定代表人（负责人）或授权代表签字：______________</w:t>
      </w:r>
    </w:p>
    <w:p>
      <w:pPr>
        <w:adjustRightInd w:val="0"/>
        <w:snapToGrid w:val="0"/>
        <w:spacing w:line="360" w:lineRule="auto"/>
        <w:ind w:firstLine="564"/>
        <w:rPr>
          <w:rFonts w:ascii="宋体" w:hAnsi="宋体"/>
          <w:sz w:val="24"/>
          <w:szCs w:val="24"/>
        </w:rPr>
      </w:pPr>
    </w:p>
    <w:p>
      <w:pPr>
        <w:adjustRightInd w:val="0"/>
        <w:snapToGrid w:val="0"/>
        <w:spacing w:line="360" w:lineRule="auto"/>
        <w:ind w:firstLine="564"/>
        <w:rPr>
          <w:rFonts w:ascii="宋体" w:hAnsi="宋体"/>
          <w:sz w:val="24"/>
          <w:szCs w:val="24"/>
        </w:rPr>
      </w:pPr>
    </w:p>
    <w:p>
      <w:pPr>
        <w:adjustRightInd w:val="0"/>
        <w:snapToGrid w:val="0"/>
        <w:spacing w:line="360" w:lineRule="auto"/>
        <w:ind w:firstLine="564"/>
        <w:rPr>
          <w:rFonts w:ascii="宋体" w:hAnsi="宋体"/>
          <w:sz w:val="24"/>
          <w:szCs w:val="24"/>
        </w:rPr>
      </w:pPr>
    </w:p>
    <w:p>
      <w:pPr>
        <w:widowControl/>
        <w:jc w:val="left"/>
        <w:rPr>
          <w:rFonts w:ascii="宋体" w:hAnsi="宋体"/>
          <w:sz w:val="24"/>
          <w:szCs w:val="24"/>
        </w:rPr>
      </w:pPr>
    </w:p>
    <w:sectPr>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separate"/>
    </w:r>
    <w:r>
      <w:rPr>
        <w:rStyle w:val="30"/>
      </w:rPr>
      <w:t>1</w:t>
    </w:r>
    <w: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29"/>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5C9476E4"/>
    <w:multiLevelType w:val="multilevel"/>
    <w:tmpl w:val="5C9476E4"/>
    <w:lvl w:ilvl="0" w:tentative="0">
      <w:start w:val="1"/>
      <w:numFmt w:val="japaneseCounting"/>
      <w:lvlText w:val="%1、"/>
      <w:lvlJc w:val="left"/>
      <w:pPr>
        <w:ind w:left="992" w:hanging="51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1"/>
  </w:num>
  <w:num w:numId="2">
    <w:abstractNumId w:val="2"/>
  </w:num>
  <w:num w:numId="3">
    <w:abstractNumId w:val="3"/>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124F"/>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82CFF"/>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5F5CA3"/>
    <w:rsid w:val="0062276F"/>
    <w:rsid w:val="00622CAC"/>
    <w:rsid w:val="00623C4C"/>
    <w:rsid w:val="00632995"/>
    <w:rsid w:val="006364B2"/>
    <w:rsid w:val="006526B3"/>
    <w:rsid w:val="00652D2D"/>
    <w:rsid w:val="006635E7"/>
    <w:rsid w:val="00682F7E"/>
    <w:rsid w:val="006B24E6"/>
    <w:rsid w:val="006B4A68"/>
    <w:rsid w:val="006B5F94"/>
    <w:rsid w:val="006C1522"/>
    <w:rsid w:val="006D104A"/>
    <w:rsid w:val="006E12BA"/>
    <w:rsid w:val="006F0B75"/>
    <w:rsid w:val="007239AE"/>
    <w:rsid w:val="007329B0"/>
    <w:rsid w:val="00770549"/>
    <w:rsid w:val="00775E29"/>
    <w:rsid w:val="00791F9A"/>
    <w:rsid w:val="007A31BF"/>
    <w:rsid w:val="007A4470"/>
    <w:rsid w:val="007B1080"/>
    <w:rsid w:val="007C2948"/>
    <w:rsid w:val="007E0A6F"/>
    <w:rsid w:val="007F6A6F"/>
    <w:rsid w:val="008061A3"/>
    <w:rsid w:val="008341AC"/>
    <w:rsid w:val="008425CC"/>
    <w:rsid w:val="008461F6"/>
    <w:rsid w:val="0085637D"/>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AE14B6"/>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0E19"/>
    <w:rsid w:val="00DA1B72"/>
    <w:rsid w:val="00DA7A02"/>
    <w:rsid w:val="00DB359C"/>
    <w:rsid w:val="00DB5AB5"/>
    <w:rsid w:val="00DD2DD3"/>
    <w:rsid w:val="00DE7F4D"/>
    <w:rsid w:val="00E0229C"/>
    <w:rsid w:val="00E0383F"/>
    <w:rsid w:val="00E15396"/>
    <w:rsid w:val="00E57C38"/>
    <w:rsid w:val="00E73393"/>
    <w:rsid w:val="00E73E83"/>
    <w:rsid w:val="00EA2E20"/>
    <w:rsid w:val="00EA46BC"/>
    <w:rsid w:val="00EA5817"/>
    <w:rsid w:val="00EC2B70"/>
    <w:rsid w:val="00ED0907"/>
    <w:rsid w:val="00ED2A5D"/>
    <w:rsid w:val="00EF0383"/>
    <w:rsid w:val="00EF66F3"/>
    <w:rsid w:val="00F420AF"/>
    <w:rsid w:val="00F92C64"/>
    <w:rsid w:val="00FC669B"/>
    <w:rsid w:val="0211109A"/>
    <w:rsid w:val="044D6E48"/>
    <w:rsid w:val="04632411"/>
    <w:rsid w:val="05E430EA"/>
    <w:rsid w:val="080E4C20"/>
    <w:rsid w:val="09CD5F44"/>
    <w:rsid w:val="0C8F5E07"/>
    <w:rsid w:val="0DE90449"/>
    <w:rsid w:val="1D34206D"/>
    <w:rsid w:val="206D7489"/>
    <w:rsid w:val="2206508A"/>
    <w:rsid w:val="24684952"/>
    <w:rsid w:val="2C917E3C"/>
    <w:rsid w:val="2F0E3A51"/>
    <w:rsid w:val="3221324A"/>
    <w:rsid w:val="328F2393"/>
    <w:rsid w:val="46CD28CD"/>
    <w:rsid w:val="49CC3014"/>
    <w:rsid w:val="4C107595"/>
    <w:rsid w:val="4E8111DC"/>
    <w:rsid w:val="51AF17CF"/>
    <w:rsid w:val="52234DCB"/>
    <w:rsid w:val="53F5442F"/>
    <w:rsid w:val="5B514944"/>
    <w:rsid w:val="5BBE0543"/>
    <w:rsid w:val="607109A5"/>
    <w:rsid w:val="62484139"/>
    <w:rsid w:val="6C8101A2"/>
    <w:rsid w:val="6E2C1B08"/>
    <w:rsid w:val="70C83C3C"/>
    <w:rsid w:val="712D2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6"/>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7"/>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38"/>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39"/>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0"/>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1"/>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5"/>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6"/>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49"/>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48"/>
    <w:qFormat/>
    <w:uiPriority w:val="0"/>
    <w:pPr>
      <w:widowControl/>
      <w:spacing w:line="360" w:lineRule="atLeast"/>
      <w:ind w:left="100" w:leftChars="2500"/>
      <w:jc w:val="left"/>
    </w:pPr>
    <w:rPr>
      <w:kern w:val="0"/>
      <w:sz w:val="24"/>
      <w:szCs w:val="24"/>
    </w:rPr>
  </w:style>
  <w:style w:type="paragraph" w:styleId="17">
    <w:name w:val="Balloon Text"/>
    <w:basedOn w:val="1"/>
    <w:link w:val="118"/>
    <w:unhideWhenUsed/>
    <w:qFormat/>
    <w:uiPriority w:val="99"/>
    <w:pPr>
      <w:spacing w:line="360" w:lineRule="auto"/>
      <w:ind w:firstLine="200" w:firstLineChars="200"/>
    </w:pPr>
    <w:rPr>
      <w:rFonts w:ascii="Calibri" w:hAnsi="Calibri" w:eastAsia="楷体"/>
      <w:sz w:val="18"/>
      <w:szCs w:val="18"/>
    </w:rPr>
  </w:style>
  <w:style w:type="paragraph" w:styleId="18">
    <w:name w:val="footer"/>
    <w:basedOn w:val="1"/>
    <w:link w:val="35"/>
    <w:unhideWhenUsed/>
    <w:qFormat/>
    <w:uiPriority w:val="99"/>
    <w:pPr>
      <w:tabs>
        <w:tab w:val="center" w:pos="4153"/>
        <w:tab w:val="right" w:pos="8306"/>
      </w:tabs>
      <w:snapToGrid w:val="0"/>
      <w:jc w:val="left"/>
    </w:pPr>
    <w:rPr>
      <w:sz w:val="18"/>
      <w:szCs w:val="18"/>
    </w:rPr>
  </w:style>
  <w:style w:type="paragraph" w:styleId="19">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Title"/>
    <w:basedOn w:val="1"/>
    <w:next w:val="1"/>
    <w:link w:val="114"/>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6">
    <w:name w:val="annotation subject"/>
    <w:basedOn w:val="11"/>
    <w:next w:val="11"/>
    <w:link w:val="57"/>
    <w:unhideWhenUsed/>
    <w:qFormat/>
    <w:uiPriority w:val="0"/>
    <w:rPr>
      <w:rFonts w:asciiTheme="minorHAnsi" w:hAnsiTheme="minorHAnsi" w:cstheme="minorBidi"/>
      <w:b/>
      <w:bCs/>
      <w:lang w:val="zh-CN"/>
    </w:rPr>
  </w:style>
  <w:style w:type="table" w:styleId="28">
    <w:name w:val="Table Grid"/>
    <w:basedOn w:val="2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FollowedHyperlink"/>
    <w:qFormat/>
    <w:uiPriority w:val="99"/>
    <w:rPr>
      <w:color w:val="800080"/>
      <w:u w:val="single"/>
    </w:rPr>
  </w:style>
  <w:style w:type="character" w:styleId="32">
    <w:name w:val="Hyperlink"/>
    <w:qFormat/>
    <w:uiPriority w:val="99"/>
    <w:rPr>
      <w:color w:val="0000FF"/>
      <w:u w:val="single"/>
    </w:rPr>
  </w:style>
  <w:style w:type="character" w:styleId="33">
    <w:name w:val="annotation reference"/>
    <w:qFormat/>
    <w:uiPriority w:val="0"/>
    <w:rPr>
      <w:sz w:val="21"/>
      <w:szCs w:val="21"/>
    </w:rPr>
  </w:style>
  <w:style w:type="character" w:customStyle="1" w:styleId="34">
    <w:name w:val="页眉 Char"/>
    <w:basedOn w:val="29"/>
    <w:link w:val="19"/>
    <w:qFormat/>
    <w:uiPriority w:val="99"/>
    <w:rPr>
      <w:sz w:val="18"/>
      <w:szCs w:val="18"/>
    </w:rPr>
  </w:style>
  <w:style w:type="character" w:customStyle="1" w:styleId="35">
    <w:name w:val="页脚 Char"/>
    <w:basedOn w:val="29"/>
    <w:link w:val="18"/>
    <w:qFormat/>
    <w:uiPriority w:val="99"/>
    <w:rPr>
      <w:sz w:val="18"/>
      <w:szCs w:val="18"/>
    </w:rPr>
  </w:style>
  <w:style w:type="character" w:customStyle="1" w:styleId="36">
    <w:name w:val="标题 1 Char"/>
    <w:basedOn w:val="29"/>
    <w:link w:val="2"/>
    <w:qFormat/>
    <w:uiPriority w:val="9"/>
    <w:rPr>
      <w:rFonts w:ascii="宋体" w:hAnsi="宋体" w:eastAsia="宋体" w:cs="宋体"/>
      <w:b/>
      <w:bCs/>
      <w:kern w:val="36"/>
      <w:szCs w:val="21"/>
    </w:rPr>
  </w:style>
  <w:style w:type="character" w:customStyle="1" w:styleId="37">
    <w:name w:val="标题 2 Char"/>
    <w:basedOn w:val="29"/>
    <w:link w:val="3"/>
    <w:qFormat/>
    <w:uiPriority w:val="9"/>
    <w:rPr>
      <w:rFonts w:ascii="Calibri Light" w:hAnsi="Calibri Light" w:eastAsia="宋体" w:cs="Times New Roman"/>
      <w:b/>
      <w:bCs/>
      <w:sz w:val="32"/>
      <w:szCs w:val="32"/>
    </w:rPr>
  </w:style>
  <w:style w:type="character" w:customStyle="1" w:styleId="38">
    <w:name w:val="标题 3 Char"/>
    <w:basedOn w:val="29"/>
    <w:link w:val="4"/>
    <w:qFormat/>
    <w:uiPriority w:val="9"/>
    <w:rPr>
      <w:rFonts w:ascii="Times New Roman" w:hAnsi="Times New Roman" w:eastAsia="宋体" w:cs="Times New Roman"/>
      <w:b/>
      <w:bCs/>
      <w:kern w:val="0"/>
      <w:sz w:val="32"/>
      <w:szCs w:val="32"/>
    </w:rPr>
  </w:style>
  <w:style w:type="character" w:customStyle="1" w:styleId="39">
    <w:name w:val="标题 4 Char"/>
    <w:basedOn w:val="29"/>
    <w:link w:val="5"/>
    <w:qFormat/>
    <w:uiPriority w:val="9"/>
    <w:rPr>
      <w:rFonts w:ascii="Calibri Light" w:hAnsi="Calibri Light" w:eastAsia="宋体" w:cs="Times New Roman"/>
      <w:b/>
      <w:bCs/>
      <w:sz w:val="28"/>
      <w:szCs w:val="28"/>
    </w:rPr>
  </w:style>
  <w:style w:type="character" w:customStyle="1" w:styleId="40">
    <w:name w:val="标题 5 Char"/>
    <w:basedOn w:val="29"/>
    <w:link w:val="6"/>
    <w:qFormat/>
    <w:uiPriority w:val="9"/>
    <w:rPr>
      <w:rFonts w:ascii="Times New Roman" w:hAnsi="Times New Roman" w:eastAsia="宋体" w:cs="Times New Roman"/>
      <w:b/>
      <w:bCs/>
      <w:sz w:val="28"/>
      <w:szCs w:val="28"/>
    </w:rPr>
  </w:style>
  <w:style w:type="character" w:customStyle="1" w:styleId="41">
    <w:name w:val="标题 6 Char"/>
    <w:basedOn w:val="29"/>
    <w:link w:val="7"/>
    <w:qFormat/>
    <w:uiPriority w:val="9"/>
    <w:rPr>
      <w:rFonts w:ascii="Cambria" w:hAnsi="Cambria" w:eastAsia="宋体" w:cs="宋体"/>
      <w:b/>
      <w:bCs/>
      <w:kern w:val="0"/>
      <w:sz w:val="24"/>
      <w:szCs w:val="24"/>
    </w:rPr>
  </w:style>
  <w:style w:type="character" w:customStyle="1" w:styleId="42">
    <w:name w:val="charchar1"/>
    <w:qFormat/>
    <w:uiPriority w:val="0"/>
    <w:rPr>
      <w:rFonts w:hint="default" w:ascii="Times New Roman" w:hAnsi="Times New Roman" w:cs="Times New Roman"/>
    </w:rPr>
  </w:style>
  <w:style w:type="character" w:customStyle="1" w:styleId="43">
    <w:name w:val="font11"/>
    <w:qFormat/>
    <w:uiPriority w:val="0"/>
    <w:rPr>
      <w:rFonts w:hint="default" w:ascii="Calibri" w:hAnsi="Calibri" w:cs="Calibri"/>
      <w:color w:val="1F497D"/>
      <w:sz w:val="21"/>
      <w:szCs w:val="21"/>
      <w:u w:val="none"/>
    </w:rPr>
  </w:style>
  <w:style w:type="character" w:customStyle="1" w:styleId="44">
    <w:name w:val="font71"/>
    <w:qFormat/>
    <w:uiPriority w:val="0"/>
    <w:rPr>
      <w:rFonts w:ascii="font-weight : 400" w:hAnsi="font-weight : 400" w:eastAsia="font-weight : 400" w:cs="font-weight : 400"/>
      <w:color w:val="000000"/>
      <w:sz w:val="21"/>
      <w:szCs w:val="21"/>
      <w:u w:val="none"/>
    </w:rPr>
  </w:style>
  <w:style w:type="character" w:customStyle="1" w:styleId="45">
    <w:name w:val="font81"/>
    <w:qFormat/>
    <w:uiPriority w:val="0"/>
    <w:rPr>
      <w:rFonts w:ascii="Calibri" w:hAnsi="Calibri" w:cs="Calibri"/>
      <w:color w:val="000000"/>
      <w:sz w:val="21"/>
      <w:szCs w:val="21"/>
      <w:u w:val="none"/>
    </w:rPr>
  </w:style>
  <w:style w:type="character" w:customStyle="1" w:styleId="46">
    <w:name w:val="font61"/>
    <w:qFormat/>
    <w:uiPriority w:val="0"/>
    <w:rPr>
      <w:rFonts w:hint="eastAsia" w:ascii="宋体" w:hAnsi="宋体" w:eastAsia="宋体" w:cs="宋体"/>
      <w:color w:val="000000"/>
      <w:sz w:val="20"/>
      <w:szCs w:val="20"/>
      <w:u w:val="none"/>
    </w:rPr>
  </w:style>
  <w:style w:type="character" w:customStyle="1" w:styleId="47">
    <w:name w:val="font21"/>
    <w:qFormat/>
    <w:uiPriority w:val="0"/>
    <w:rPr>
      <w:rFonts w:ascii="Calibri" w:hAnsi="Calibri" w:cs="Calibri"/>
      <w:color w:val="000000"/>
      <w:sz w:val="21"/>
      <w:szCs w:val="21"/>
      <w:u w:val="none"/>
    </w:rPr>
  </w:style>
  <w:style w:type="character" w:customStyle="1" w:styleId="48">
    <w:name w:val="日期 Char"/>
    <w:basedOn w:val="29"/>
    <w:link w:val="16"/>
    <w:qFormat/>
    <w:uiPriority w:val="0"/>
    <w:rPr>
      <w:rFonts w:ascii="Times New Roman" w:hAnsi="Times New Roman" w:eastAsia="宋体" w:cs="Times New Roman"/>
      <w:kern w:val="0"/>
      <w:sz w:val="24"/>
      <w:szCs w:val="24"/>
    </w:rPr>
  </w:style>
  <w:style w:type="character" w:customStyle="1" w:styleId="49">
    <w:name w:val="纯文本 Char"/>
    <w:basedOn w:val="29"/>
    <w:link w:val="14"/>
    <w:qFormat/>
    <w:uiPriority w:val="0"/>
    <w:rPr>
      <w:rFonts w:ascii="宋体" w:hAnsi="宋体" w:eastAsia="宋体" w:cs="宋体"/>
      <w:kern w:val="0"/>
      <w:szCs w:val="21"/>
    </w:rPr>
  </w:style>
  <w:style w:type="paragraph" w:customStyle="1" w:styleId="50">
    <w:name w:val="p0"/>
    <w:basedOn w:val="1"/>
    <w:qFormat/>
    <w:uiPriority w:val="0"/>
    <w:pPr>
      <w:widowControl/>
    </w:pPr>
    <w:rPr>
      <w:rFonts w:ascii="宋体" w:hAnsi="宋体" w:cs="宋体"/>
      <w:kern w:val="0"/>
      <w:szCs w:val="21"/>
    </w:rPr>
  </w:style>
  <w:style w:type="paragraph" w:customStyle="1" w:styleId="51">
    <w:name w:val="文档结构图1"/>
    <w:basedOn w:val="1"/>
    <w:next w:val="10"/>
    <w:link w:val="52"/>
    <w:qFormat/>
    <w:uiPriority w:val="0"/>
    <w:pPr>
      <w:spacing w:line="360" w:lineRule="auto"/>
      <w:ind w:firstLine="200" w:firstLineChars="200"/>
    </w:pPr>
    <w:rPr>
      <w:rFonts w:ascii="宋体" w:hAnsi="Calibri" w:eastAsia="楷体"/>
      <w:sz w:val="18"/>
      <w:szCs w:val="18"/>
      <w:lang w:val="zh-CN"/>
    </w:rPr>
  </w:style>
  <w:style w:type="character" w:customStyle="1" w:styleId="52">
    <w:name w:val="文档结构图 Char"/>
    <w:link w:val="51"/>
    <w:qFormat/>
    <w:uiPriority w:val="0"/>
    <w:rPr>
      <w:rFonts w:ascii="宋体" w:hAnsi="Calibri" w:eastAsia="楷体" w:cs="Times New Roman"/>
      <w:sz w:val="18"/>
      <w:szCs w:val="18"/>
      <w:lang w:val="zh-CN" w:eastAsia="zh-CN"/>
    </w:rPr>
  </w:style>
  <w:style w:type="table" w:customStyle="1" w:styleId="53">
    <w:name w:val="网格型1"/>
    <w:basedOn w:val="27"/>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4">
    <w:name w:val="批注文字1"/>
    <w:basedOn w:val="1"/>
    <w:next w:val="11"/>
    <w:link w:val="55"/>
    <w:qFormat/>
    <w:uiPriority w:val="0"/>
    <w:pPr>
      <w:spacing w:line="360" w:lineRule="auto"/>
      <w:ind w:firstLine="200" w:firstLineChars="200"/>
      <w:jc w:val="left"/>
    </w:pPr>
    <w:rPr>
      <w:rFonts w:ascii="Calibri" w:hAnsi="Calibri" w:eastAsia="楷体"/>
      <w:sz w:val="24"/>
      <w:szCs w:val="22"/>
      <w:lang w:val="zh-CN"/>
    </w:rPr>
  </w:style>
  <w:style w:type="character" w:customStyle="1" w:styleId="55">
    <w:name w:val="批注文字 Char"/>
    <w:link w:val="54"/>
    <w:qFormat/>
    <w:uiPriority w:val="0"/>
    <w:rPr>
      <w:rFonts w:ascii="Calibri" w:hAnsi="Calibri" w:eastAsia="楷体" w:cs="Times New Roman"/>
      <w:sz w:val="24"/>
      <w:lang w:val="zh-CN" w:eastAsia="zh-CN"/>
    </w:rPr>
  </w:style>
  <w:style w:type="paragraph" w:customStyle="1" w:styleId="56">
    <w:name w:val="批注主题1"/>
    <w:basedOn w:val="11"/>
    <w:next w:val="11"/>
    <w:qFormat/>
    <w:uiPriority w:val="0"/>
    <w:rPr>
      <w:b/>
      <w:bCs/>
      <w:lang w:val="zh-CN"/>
    </w:rPr>
  </w:style>
  <w:style w:type="character" w:customStyle="1" w:styleId="57">
    <w:name w:val="批注主题 Char"/>
    <w:link w:val="26"/>
    <w:qFormat/>
    <w:uiPriority w:val="0"/>
    <w:rPr>
      <w:rFonts w:eastAsia="楷体"/>
      <w:b/>
      <w:bCs/>
      <w:sz w:val="24"/>
      <w:lang w:val="zh-CN" w:eastAsia="zh-CN"/>
    </w:rPr>
  </w:style>
  <w:style w:type="paragraph" w:customStyle="1" w:styleId="58">
    <w:name w:val="批注框文本1"/>
    <w:basedOn w:val="1"/>
    <w:next w:val="17"/>
    <w:link w:val="59"/>
    <w:qFormat/>
    <w:uiPriority w:val="0"/>
    <w:pPr>
      <w:spacing w:line="360" w:lineRule="auto"/>
      <w:ind w:firstLine="200" w:firstLineChars="200"/>
    </w:pPr>
    <w:rPr>
      <w:rFonts w:ascii="Calibri" w:hAnsi="Calibri" w:eastAsia="楷体"/>
      <w:sz w:val="18"/>
      <w:szCs w:val="18"/>
      <w:lang w:val="zh-CN"/>
    </w:rPr>
  </w:style>
  <w:style w:type="character" w:customStyle="1" w:styleId="59">
    <w:name w:val="批注框文本 Char"/>
    <w:link w:val="58"/>
    <w:qFormat/>
    <w:uiPriority w:val="0"/>
    <w:rPr>
      <w:rFonts w:ascii="Calibri" w:hAnsi="Calibri" w:eastAsia="楷体" w:cs="Times New Roman"/>
      <w:sz w:val="18"/>
      <w:szCs w:val="18"/>
      <w:lang w:val="zh-CN" w:eastAsia="zh-CN"/>
    </w:rPr>
  </w:style>
  <w:style w:type="paragraph" w:customStyle="1" w:styleId="60">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1">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2">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3">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5">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6">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7">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8">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1">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2">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3">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5">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7">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0">
    <w:name w:val="????nd1"/>
    <w:basedOn w:val="1"/>
    <w:next w:val="9"/>
    <w:link w:val="111"/>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1">
    <w:name w:val="正文缩进 Char"/>
    <w:link w:val="110"/>
    <w:qFormat/>
    <w:uiPriority w:val="0"/>
    <w:rPr>
      <w:rFonts w:ascii="Calibri" w:hAnsi="Calibri" w:eastAsia="楷体" w:cs="Times New Roman"/>
      <w:sz w:val="24"/>
      <w:szCs w:val="20"/>
    </w:rPr>
  </w:style>
  <w:style w:type="paragraph" w:customStyle="1" w:styleId="112">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3">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4">
    <w:name w:val="标题 Char"/>
    <w:link w:val="25"/>
    <w:qFormat/>
    <w:uiPriority w:val="10"/>
    <w:rPr>
      <w:rFonts w:ascii="Calibri Light" w:hAnsi="Calibri Light"/>
      <w:b/>
      <w:bCs/>
      <w:sz w:val="32"/>
      <w:szCs w:val="32"/>
    </w:rPr>
  </w:style>
  <w:style w:type="character" w:customStyle="1" w:styleId="115">
    <w:name w:val="文档结构图 Char1"/>
    <w:basedOn w:val="29"/>
    <w:link w:val="10"/>
    <w:qFormat/>
    <w:uiPriority w:val="99"/>
    <w:rPr>
      <w:rFonts w:ascii="Microsoft YaHei UI" w:hAnsi="Calibri" w:eastAsia="Microsoft YaHei UI" w:cs="Times New Roman"/>
      <w:sz w:val="18"/>
      <w:szCs w:val="18"/>
    </w:rPr>
  </w:style>
  <w:style w:type="character" w:customStyle="1" w:styleId="116">
    <w:name w:val="批注文字 Char1"/>
    <w:basedOn w:val="29"/>
    <w:link w:val="11"/>
    <w:qFormat/>
    <w:uiPriority w:val="99"/>
    <w:rPr>
      <w:rFonts w:ascii="Calibri" w:hAnsi="Calibri" w:eastAsia="楷体" w:cs="Times New Roman"/>
      <w:sz w:val="24"/>
    </w:rPr>
  </w:style>
  <w:style w:type="character" w:customStyle="1" w:styleId="117">
    <w:name w:val="批注主题 Char1"/>
    <w:basedOn w:val="116"/>
    <w:qFormat/>
    <w:uiPriority w:val="99"/>
    <w:rPr>
      <w:rFonts w:ascii="Calibri" w:hAnsi="Calibri" w:eastAsia="楷体" w:cs="Times New Roman"/>
      <w:b/>
      <w:bCs/>
      <w:sz w:val="24"/>
    </w:rPr>
  </w:style>
  <w:style w:type="character" w:customStyle="1" w:styleId="118">
    <w:name w:val="批注框文本 Char1"/>
    <w:basedOn w:val="29"/>
    <w:link w:val="17"/>
    <w:qFormat/>
    <w:uiPriority w:val="99"/>
    <w:rPr>
      <w:rFonts w:ascii="Calibri" w:hAnsi="Calibri" w:eastAsia="楷体" w:cs="Times New Roman"/>
      <w:sz w:val="18"/>
      <w:szCs w:val="18"/>
    </w:rPr>
  </w:style>
  <w:style w:type="character" w:customStyle="1" w:styleId="119">
    <w:name w:val="标题 Char1"/>
    <w:basedOn w:val="29"/>
    <w:qFormat/>
    <w:uiPriority w:val="10"/>
    <w:rPr>
      <w:rFonts w:eastAsia="宋体" w:asciiTheme="majorHAnsi" w:hAnsiTheme="majorHAnsi" w:cstheme="majorBidi"/>
      <w:b/>
      <w:bCs/>
      <w:sz w:val="32"/>
      <w:szCs w:val="32"/>
    </w:rPr>
  </w:style>
  <w:style w:type="paragraph" w:styleId="120">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1">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8">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29">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0">
    <w:name w:val="图文"/>
    <w:basedOn w:val="1"/>
    <w:qFormat/>
    <w:uiPriority w:val="0"/>
    <w:pPr>
      <w:adjustRightInd w:val="0"/>
      <w:snapToGrid w:val="0"/>
      <w:spacing w:after="50" w:line="360" w:lineRule="auto"/>
    </w:pPr>
    <w:rPr>
      <w:sz w:val="24"/>
      <w:szCs w:val="24"/>
    </w:rPr>
  </w:style>
  <w:style w:type="character" w:customStyle="1" w:styleId="131">
    <w:name w:val="font31"/>
    <w:basedOn w:val="29"/>
    <w:qFormat/>
    <w:uiPriority w:val="0"/>
    <w:rPr>
      <w:rFonts w:hint="eastAsia" w:ascii="仿宋" w:hAnsi="仿宋" w:eastAsia="仿宋" w:cs="仿宋"/>
      <w:color w:val="000000"/>
      <w:sz w:val="21"/>
      <w:szCs w:val="21"/>
      <w:u w:val="none"/>
    </w:rPr>
  </w:style>
  <w:style w:type="character" w:customStyle="1" w:styleId="132">
    <w:name w:val="font51"/>
    <w:basedOn w:val="29"/>
    <w:qFormat/>
    <w:uiPriority w:val="0"/>
    <w:rPr>
      <w:rFonts w:ascii="Arial" w:hAnsi="Arial" w:cs="Arial"/>
      <w:color w:val="000000"/>
      <w:sz w:val="21"/>
      <w:szCs w:val="21"/>
      <w:u w:val="none"/>
    </w:rPr>
  </w:style>
  <w:style w:type="paragraph" w:customStyle="1" w:styleId="133">
    <w:name w:val="WPSOffice手动目录 1"/>
    <w:qFormat/>
    <w:uiPriority w:val="0"/>
    <w:pPr>
      <w:ind w:leftChars="0"/>
    </w:pPr>
    <w:rPr>
      <w:rFonts w:ascii="Times New Roman" w:hAnsi="Times New Roman" w:eastAsia="宋体" w:cs="Times New Roman"/>
      <w:sz w:val="20"/>
      <w:szCs w:val="20"/>
    </w:rPr>
  </w:style>
  <w:style w:type="paragraph" w:customStyle="1" w:styleId="134">
    <w:name w:val="WPSOffice手动目录 2"/>
    <w:qFormat/>
    <w:uiPriority w:val="0"/>
    <w:pPr>
      <w:ind w:leftChars="200"/>
    </w:pPr>
    <w:rPr>
      <w:rFonts w:ascii="Times New Roman" w:hAnsi="Times New Roman" w:eastAsia="宋体" w:cs="Times New Roman"/>
      <w:sz w:val="20"/>
      <w:szCs w:val="20"/>
    </w:rPr>
  </w:style>
  <w:style w:type="character" w:customStyle="1" w:styleId="135">
    <w:name w:val="font41"/>
    <w:basedOn w:val="29"/>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46</Pages>
  <Words>17890</Words>
  <Characters>18724</Characters>
  <Lines>122</Lines>
  <Paragraphs>34</Paragraphs>
  <TotalTime>3</TotalTime>
  <ScaleCrop>false</ScaleCrop>
  <LinksUpToDate>false</LinksUpToDate>
  <CharactersWithSpaces>19722</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汪发芳</cp:lastModifiedBy>
  <dcterms:modified xsi:type="dcterms:W3CDTF">2026-05-29T09:32:35Z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57CD75A06C994E5B9FB261641B1240B6</vt:lpwstr>
  </property>
</Properties>
</file>