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snapToGrid w:val="0"/>
          <w:color w:val="000000"/>
          <w:kern w:val="0"/>
          <w:sz w:val="44"/>
          <w:szCs w:val="44"/>
          <w:highlight w:val="none"/>
          <w:lang w:val="en-US" w:eastAsia="zh-CN"/>
        </w:rPr>
      </w:pPr>
      <w:bookmarkStart w:id="0" w:name="_Toc287600115"/>
      <w:bookmarkStart w:id="1" w:name="_Toc7300"/>
      <w:bookmarkStart w:id="2" w:name="_Toc19709"/>
      <w:bookmarkStart w:id="3" w:name="_Toc444891333"/>
      <w:bookmarkStart w:id="4" w:name="_Toc11838"/>
      <w:bookmarkStart w:id="5" w:name="_Toc517281813"/>
      <w:bookmarkStart w:id="6" w:name="_Toc11826"/>
      <w:r>
        <w:rPr>
          <w:rFonts w:hint="eastAsia" w:asciiTheme="minorEastAsia" w:hAnsiTheme="minorEastAsia" w:eastAsiaTheme="minorEastAsia" w:cstheme="minorEastAsia"/>
          <w:sz w:val="44"/>
          <w:szCs w:val="44"/>
        </w:rPr>
        <w:t>人保财险河南分公司租赁</w:t>
      </w:r>
      <w:r>
        <w:rPr>
          <w:rFonts w:hint="eastAsia" w:asciiTheme="minorEastAsia" w:hAnsiTheme="minorEastAsia" w:eastAsiaTheme="minorEastAsia" w:cstheme="minorEastAsia"/>
          <w:sz w:val="44"/>
          <w:szCs w:val="44"/>
          <w:lang w:eastAsia="zh-CN"/>
        </w:rPr>
        <w:t>三楼中</w:t>
      </w:r>
      <w:r>
        <w:rPr>
          <w:rFonts w:hint="eastAsia" w:asciiTheme="minorEastAsia" w:hAnsiTheme="minorEastAsia" w:eastAsiaTheme="minorEastAsia" w:cstheme="minorEastAsia"/>
          <w:sz w:val="44"/>
          <w:szCs w:val="44"/>
        </w:rPr>
        <w:t>会议室LED</w:t>
      </w:r>
      <w:r>
        <w:rPr>
          <w:rFonts w:hint="eastAsia" w:asciiTheme="minorEastAsia" w:hAnsiTheme="minorEastAsia" w:eastAsiaTheme="minorEastAsia" w:cstheme="minorEastAsia"/>
          <w:sz w:val="44"/>
          <w:szCs w:val="44"/>
          <w:lang w:eastAsia="zh-CN"/>
        </w:rPr>
        <w:t>显示</w:t>
      </w:r>
      <w:r>
        <w:rPr>
          <w:rFonts w:hint="eastAsia" w:asciiTheme="minorEastAsia" w:hAnsiTheme="minorEastAsia" w:eastAsiaTheme="minorEastAsia" w:cstheme="minorEastAsia"/>
          <w:sz w:val="44"/>
          <w:szCs w:val="44"/>
        </w:rPr>
        <w:t>屏</w:t>
      </w:r>
      <w:r>
        <w:rPr>
          <w:rFonts w:hint="eastAsia" w:asciiTheme="minorEastAsia" w:hAnsiTheme="minorEastAsia" w:eastAsiaTheme="minorEastAsia" w:cstheme="minorEastAsia"/>
          <w:sz w:val="44"/>
          <w:szCs w:val="44"/>
          <w:lang w:eastAsia="zh-CN"/>
        </w:rPr>
        <w:t>服务</w:t>
      </w:r>
      <w:r>
        <w:rPr>
          <w:rFonts w:hint="eastAsia" w:asciiTheme="minorEastAsia" w:hAnsiTheme="minorEastAsia" w:eastAsiaTheme="minorEastAsia" w:cstheme="minorEastAsia"/>
          <w:sz w:val="44"/>
          <w:szCs w:val="44"/>
          <w:lang w:val="en-US" w:eastAsia="zh-CN"/>
        </w:rPr>
        <w:t>项目</w:t>
      </w:r>
      <w:r>
        <w:rPr>
          <w:rFonts w:hint="eastAsia" w:asciiTheme="minorEastAsia" w:hAnsiTheme="minorEastAsia" w:eastAsiaTheme="minorEastAsia" w:cstheme="minorEastAsia"/>
          <w:sz w:val="44"/>
          <w:szCs w:val="44"/>
        </w:rPr>
        <w:t>供应商征集公告</w:t>
      </w:r>
    </w:p>
    <w:bookmarkEnd w:id="0"/>
    <w:bookmarkEnd w:id="1"/>
    <w:bookmarkEnd w:id="2"/>
    <w:bookmarkEnd w:id="3"/>
    <w:bookmarkEnd w:id="4"/>
    <w:bookmarkEnd w:id="5"/>
    <w:bookmarkEnd w:id="6"/>
    <w:p>
      <w:pPr>
        <w:pageBreakBefore w:val="0"/>
        <w:kinsoku/>
        <w:wordWrap w:val="0"/>
        <w:overflowPunct/>
        <w:topLinePunct w:val="0"/>
        <w:bidi w:val="0"/>
        <w:spacing w:line="240" w:lineRule="auto"/>
        <w:ind w:firstLine="560" w:firstLineChars="200"/>
        <w:textAlignment w:val="baseline"/>
        <w:rPr>
          <w:rFonts w:hint="eastAsia" w:ascii="仿宋_GB2312" w:hAnsi="仿宋_GB2312" w:eastAsia="仿宋_GB2312" w:cs="仿宋_GB2312"/>
          <w:color w:val="auto"/>
          <w:sz w:val="28"/>
          <w:szCs w:val="28"/>
          <w:highlight w:val="none"/>
          <w:u w:val="none"/>
        </w:rPr>
      </w:pPr>
    </w:p>
    <w:p>
      <w:pPr>
        <w:pageBreakBefore w:val="0"/>
        <w:kinsoku/>
        <w:wordWrap w:val="0"/>
        <w:overflowPunct/>
        <w:topLinePunct w:val="0"/>
        <w:bidi w:val="0"/>
        <w:spacing w:line="240" w:lineRule="auto"/>
        <w:ind w:firstLine="560" w:firstLineChars="200"/>
        <w:textAlignment w:val="baseline"/>
        <w:rPr>
          <w:rFonts w:hint="eastAsia" w:ascii="仿宋_GB2312" w:hAnsi="仿宋_GB2312" w:eastAsia="仿宋_GB2312" w:cs="仿宋_GB2312"/>
          <w:color w:val="auto"/>
          <w:sz w:val="28"/>
          <w:szCs w:val="28"/>
          <w:highlight w:val="none"/>
          <w:u w:val="none"/>
        </w:rPr>
      </w:pPr>
      <w:r>
        <w:rPr>
          <w:rFonts w:hint="eastAsia" w:ascii="仿宋_GB2312" w:hAnsi="仿宋_GB2312" w:eastAsia="仿宋_GB2312" w:cs="仿宋_GB2312"/>
          <w:color w:val="auto"/>
          <w:sz w:val="28"/>
          <w:szCs w:val="28"/>
          <w:highlight w:val="none"/>
          <w:u w:val="none"/>
        </w:rPr>
        <w:t>本项目人保</w:t>
      </w:r>
      <w:r>
        <w:rPr>
          <w:rFonts w:hint="eastAsia" w:ascii="仿宋_GB2312" w:hAnsi="仿宋_GB2312" w:eastAsia="仿宋_GB2312" w:cs="仿宋_GB2312"/>
          <w:color w:val="auto"/>
          <w:sz w:val="28"/>
          <w:szCs w:val="28"/>
          <w:highlight w:val="none"/>
          <w:u w:val="none"/>
          <w:lang w:val="en-US" w:eastAsia="zh-CN"/>
        </w:rPr>
        <w:t>财险河南分公司租赁三楼中会议室LED显示屏服务采</w:t>
      </w:r>
      <w:r>
        <w:rPr>
          <w:rFonts w:hint="eastAsia" w:ascii="仿宋_GB2312" w:hAnsi="仿宋_GB2312" w:eastAsia="仿宋_GB2312" w:cs="仿宋_GB2312"/>
          <w:color w:val="auto"/>
          <w:sz w:val="28"/>
          <w:szCs w:val="28"/>
          <w:highlight w:val="none"/>
          <w:u w:val="none"/>
        </w:rPr>
        <w:t>购项目由中国人民财产保险股份有限公司</w:t>
      </w:r>
      <w:r>
        <w:rPr>
          <w:rFonts w:hint="eastAsia" w:ascii="仿宋_GB2312" w:hAnsi="仿宋_GB2312" w:eastAsia="仿宋_GB2312" w:cs="仿宋_GB2312"/>
          <w:color w:val="auto"/>
          <w:sz w:val="28"/>
          <w:szCs w:val="28"/>
          <w:highlight w:val="none"/>
          <w:u w:val="none"/>
          <w:lang w:val="en-US" w:eastAsia="zh-CN"/>
        </w:rPr>
        <w:t>河南省</w:t>
      </w:r>
      <w:r>
        <w:rPr>
          <w:rFonts w:hint="eastAsia" w:ascii="仿宋_GB2312" w:hAnsi="仿宋_GB2312" w:eastAsia="仿宋_GB2312" w:cs="仿宋_GB2312"/>
          <w:color w:val="auto"/>
          <w:sz w:val="28"/>
          <w:szCs w:val="28"/>
          <w:highlight w:val="none"/>
          <w:u w:val="none"/>
        </w:rPr>
        <w:t>分公司</w:t>
      </w:r>
      <w:r>
        <w:rPr>
          <w:rFonts w:hint="eastAsia" w:ascii="仿宋_GB2312" w:hAnsi="仿宋_GB2312" w:eastAsia="仿宋_GB2312" w:cs="仿宋_GB2312"/>
          <w:color w:val="auto"/>
          <w:sz w:val="28"/>
          <w:szCs w:val="28"/>
          <w:highlight w:val="none"/>
        </w:rPr>
        <w:t>（以下简称“采购人”）批准并落实资金，组织本项目的</w:t>
      </w:r>
      <w:r>
        <w:rPr>
          <w:rFonts w:hint="eastAsia" w:ascii="仿宋_GB2312" w:hAnsi="仿宋_GB2312" w:eastAsia="仿宋_GB2312" w:cs="仿宋_GB2312"/>
          <w:color w:val="auto"/>
          <w:sz w:val="28"/>
          <w:szCs w:val="28"/>
          <w:highlight w:val="none"/>
          <w:lang w:eastAsia="zh-CN"/>
        </w:rPr>
        <w:t>比选</w:t>
      </w:r>
      <w:r>
        <w:rPr>
          <w:rFonts w:hint="eastAsia" w:ascii="仿宋_GB2312" w:hAnsi="仿宋_GB2312" w:eastAsia="仿宋_GB2312" w:cs="仿宋_GB2312"/>
          <w:color w:val="auto"/>
          <w:sz w:val="28"/>
          <w:szCs w:val="28"/>
          <w:highlight w:val="none"/>
        </w:rPr>
        <w:t>工作，</w:t>
      </w:r>
      <w:r>
        <w:rPr>
          <w:rFonts w:hint="eastAsia" w:ascii="仿宋_GB2312" w:hAnsi="仿宋_GB2312" w:eastAsia="仿宋_GB2312" w:cs="仿宋_GB2312"/>
          <w:color w:val="auto"/>
          <w:sz w:val="28"/>
          <w:szCs w:val="28"/>
          <w:highlight w:val="none"/>
          <w:u w:val="none"/>
        </w:rPr>
        <w:t>采购合同由中国人民财产保险股份有限公司</w:t>
      </w:r>
      <w:r>
        <w:rPr>
          <w:rFonts w:hint="eastAsia" w:ascii="仿宋_GB2312" w:hAnsi="仿宋_GB2312" w:eastAsia="仿宋_GB2312" w:cs="仿宋_GB2312"/>
          <w:color w:val="auto"/>
          <w:sz w:val="28"/>
          <w:szCs w:val="28"/>
          <w:highlight w:val="none"/>
          <w:u w:val="none"/>
          <w:lang w:val="en-US" w:eastAsia="zh-CN"/>
        </w:rPr>
        <w:t>河南省</w:t>
      </w:r>
      <w:r>
        <w:rPr>
          <w:rFonts w:hint="eastAsia" w:ascii="仿宋_GB2312" w:hAnsi="仿宋_GB2312" w:eastAsia="仿宋_GB2312" w:cs="仿宋_GB2312"/>
          <w:color w:val="auto"/>
          <w:sz w:val="28"/>
          <w:szCs w:val="28"/>
          <w:highlight w:val="none"/>
          <w:u w:val="none"/>
        </w:rPr>
        <w:t>分公司（以下简称“人保</w:t>
      </w:r>
      <w:r>
        <w:rPr>
          <w:rFonts w:hint="eastAsia" w:ascii="仿宋_GB2312" w:hAnsi="仿宋_GB2312" w:eastAsia="仿宋_GB2312" w:cs="仿宋_GB2312"/>
          <w:color w:val="auto"/>
          <w:sz w:val="28"/>
          <w:szCs w:val="28"/>
          <w:highlight w:val="none"/>
          <w:u w:val="none"/>
          <w:lang w:val="en-US" w:eastAsia="zh-CN"/>
        </w:rPr>
        <w:t>财险河南省分公司</w:t>
      </w:r>
      <w:r>
        <w:rPr>
          <w:rFonts w:hint="eastAsia" w:ascii="仿宋_GB2312" w:hAnsi="仿宋_GB2312" w:eastAsia="仿宋_GB2312" w:cs="仿宋_GB2312"/>
          <w:color w:val="auto"/>
          <w:sz w:val="28"/>
          <w:szCs w:val="28"/>
          <w:highlight w:val="none"/>
          <w:u w:val="none"/>
        </w:rPr>
        <w:t>”）根据成交结果与成交人签署。现进行公开</w:t>
      </w:r>
      <w:r>
        <w:rPr>
          <w:rFonts w:hint="eastAsia" w:ascii="仿宋_GB2312" w:hAnsi="仿宋_GB2312" w:eastAsia="仿宋_GB2312" w:cs="仿宋_GB2312"/>
          <w:color w:val="auto"/>
          <w:sz w:val="28"/>
          <w:szCs w:val="28"/>
          <w:highlight w:val="none"/>
          <w:u w:val="none"/>
          <w:lang w:eastAsia="zh-CN"/>
        </w:rPr>
        <w:t>比选采购</w:t>
      </w:r>
      <w:r>
        <w:rPr>
          <w:rFonts w:hint="eastAsia" w:ascii="仿宋_GB2312" w:hAnsi="仿宋_GB2312" w:eastAsia="仿宋_GB2312" w:cs="仿宋_GB2312"/>
          <w:color w:val="auto"/>
          <w:sz w:val="28"/>
          <w:szCs w:val="28"/>
          <w:highlight w:val="none"/>
          <w:u w:val="none"/>
        </w:rPr>
        <w:t>，有意向且具有提供标的物能力的潜在供应商（以下简称“供应商”）可前来参与</w:t>
      </w:r>
      <w:r>
        <w:rPr>
          <w:rFonts w:hint="eastAsia" w:ascii="仿宋_GB2312" w:hAnsi="仿宋_GB2312" w:eastAsia="仿宋_GB2312" w:cs="仿宋_GB2312"/>
          <w:color w:val="auto"/>
          <w:sz w:val="28"/>
          <w:szCs w:val="28"/>
          <w:highlight w:val="none"/>
          <w:u w:val="none"/>
          <w:lang w:eastAsia="zh-CN"/>
        </w:rPr>
        <w:t>比选</w:t>
      </w:r>
      <w:r>
        <w:rPr>
          <w:rFonts w:hint="eastAsia" w:ascii="仿宋_GB2312" w:hAnsi="仿宋_GB2312" w:eastAsia="仿宋_GB2312" w:cs="仿宋_GB2312"/>
          <w:color w:val="auto"/>
          <w:sz w:val="28"/>
          <w:szCs w:val="28"/>
          <w:highlight w:val="none"/>
          <w:u w:val="none"/>
        </w:rPr>
        <w:t xml:space="preserve">响应。 </w:t>
      </w:r>
    </w:p>
    <w:p>
      <w:pPr>
        <w:pStyle w:val="5"/>
        <w:pageBreakBefore w:val="0"/>
        <w:kinsoku/>
        <w:overflowPunct/>
        <w:topLinePunct w:val="0"/>
        <w:bidi w:val="0"/>
        <w:spacing w:line="240" w:lineRule="auto"/>
        <w:ind w:firstLine="0" w:firstLineChars="0"/>
        <w:jc w:val="left"/>
        <w:rPr>
          <w:rFonts w:hint="eastAsia" w:ascii="仿宋_GB2312" w:hAnsi="仿宋_GB2312" w:eastAsia="仿宋_GB2312" w:cs="仿宋_GB2312"/>
          <w:color w:val="auto"/>
          <w:sz w:val="28"/>
          <w:szCs w:val="28"/>
          <w:highlight w:val="none"/>
          <w:u w:val="none"/>
        </w:rPr>
      </w:pPr>
      <w:bookmarkStart w:id="7" w:name="_Toc21237"/>
      <w:r>
        <w:rPr>
          <w:rFonts w:hint="eastAsia" w:ascii="仿宋_GB2312" w:hAnsi="仿宋_GB2312" w:eastAsia="仿宋_GB2312" w:cs="仿宋_GB2312"/>
          <w:color w:val="auto"/>
          <w:sz w:val="28"/>
          <w:szCs w:val="28"/>
          <w:highlight w:val="none"/>
          <w:u w:val="none"/>
        </w:rPr>
        <w:t>一、项目概况与采购范围</w:t>
      </w:r>
      <w:bookmarkEnd w:id="7"/>
    </w:p>
    <w:p>
      <w:pPr>
        <w:pageBreakBefore w:val="0"/>
        <w:kinsoku/>
        <w:overflowPunct/>
        <w:topLinePunct w:val="0"/>
        <w:bidi w:val="0"/>
        <w:adjustRightInd w:val="0"/>
        <w:snapToGrid w:val="0"/>
        <w:spacing w:line="240" w:lineRule="auto"/>
        <w:ind w:firstLine="560" w:firstLineChars="200"/>
        <w:jc w:val="lef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u w:val="none"/>
        </w:rPr>
        <w:t>1.1 项目名称：人保</w:t>
      </w:r>
      <w:r>
        <w:rPr>
          <w:rFonts w:hint="eastAsia" w:ascii="仿宋_GB2312" w:hAnsi="仿宋_GB2312" w:eastAsia="仿宋_GB2312" w:cs="仿宋_GB2312"/>
          <w:color w:val="auto"/>
          <w:sz w:val="28"/>
          <w:szCs w:val="28"/>
          <w:highlight w:val="none"/>
          <w:u w:val="none"/>
          <w:lang w:val="en-US" w:eastAsia="zh-CN"/>
        </w:rPr>
        <w:t>财险河南分公司租赁三楼中会议室LED显示屏服务采</w:t>
      </w:r>
      <w:r>
        <w:rPr>
          <w:rFonts w:hint="eastAsia" w:ascii="仿宋_GB2312" w:hAnsi="仿宋_GB2312" w:eastAsia="仿宋_GB2312" w:cs="仿宋_GB2312"/>
          <w:color w:val="auto"/>
          <w:sz w:val="28"/>
          <w:szCs w:val="28"/>
          <w:highlight w:val="none"/>
          <w:u w:val="none"/>
        </w:rPr>
        <w:t>购项目</w:t>
      </w:r>
      <w:r>
        <w:rPr>
          <w:rFonts w:hint="eastAsia" w:ascii="仿宋_GB2312" w:hAnsi="仿宋_GB2312" w:eastAsia="仿宋_GB2312" w:cs="仿宋_GB2312"/>
          <w:color w:val="auto"/>
          <w:sz w:val="28"/>
          <w:szCs w:val="28"/>
          <w:highlight w:val="none"/>
        </w:rPr>
        <w:t>。</w:t>
      </w:r>
    </w:p>
    <w:p>
      <w:pPr>
        <w:pageBreakBefore w:val="0"/>
        <w:kinsoku/>
        <w:overflowPunct/>
        <w:topLinePunct w:val="0"/>
        <w:bidi w:val="0"/>
        <w:adjustRightInd w:val="0"/>
        <w:snapToGrid w:val="0"/>
        <w:spacing w:afterAutospacing="0" w:line="240" w:lineRule="auto"/>
        <w:ind w:firstLine="560" w:firstLineChars="200"/>
        <w:jc w:val="lef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1.2 采购范围：本项目拟采购</w:t>
      </w:r>
      <w:r>
        <w:rPr>
          <w:rFonts w:hint="eastAsia" w:ascii="仿宋_GB2312" w:hAnsi="仿宋_GB2312" w:eastAsia="仿宋_GB2312" w:cs="仿宋_GB2312"/>
          <w:color w:val="auto"/>
          <w:sz w:val="28"/>
          <w:szCs w:val="28"/>
          <w:highlight w:val="none"/>
          <w:lang w:eastAsia="zh-CN"/>
        </w:rPr>
        <w:t>租赁三楼中</w:t>
      </w:r>
      <w:r>
        <w:rPr>
          <w:rFonts w:hint="eastAsia" w:ascii="仿宋_GB2312" w:hAnsi="仿宋_GB2312" w:eastAsia="仿宋_GB2312" w:cs="仿宋_GB2312"/>
          <w:color w:val="auto"/>
          <w:sz w:val="28"/>
          <w:szCs w:val="28"/>
          <w:highlight w:val="none"/>
          <w:u w:val="none"/>
          <w:lang w:val="en-US" w:eastAsia="zh-CN"/>
        </w:rPr>
        <w:t>会议室LED显示屏服务，租赁期三年</w:t>
      </w:r>
      <w:r>
        <w:rPr>
          <w:rFonts w:hint="eastAsia" w:ascii="仿宋_GB2312" w:hAnsi="仿宋_GB2312" w:eastAsia="仿宋_GB2312" w:cs="仿宋_GB2312"/>
          <w:color w:val="auto"/>
          <w:sz w:val="28"/>
          <w:szCs w:val="28"/>
          <w:highlight w:val="none"/>
        </w:rPr>
        <w:t>。</w:t>
      </w:r>
    </w:p>
    <w:p>
      <w:pPr>
        <w:pageBreakBefore w:val="0"/>
        <w:kinsoku/>
        <w:overflowPunct/>
        <w:topLinePunct w:val="0"/>
        <w:bidi w:val="0"/>
        <w:adjustRightInd w:val="0"/>
        <w:snapToGrid w:val="0"/>
        <w:spacing w:beforeAutospacing="0" w:afterAutospacing="0" w:line="240" w:lineRule="auto"/>
        <w:ind w:firstLine="560" w:firstLineChars="200"/>
        <w:jc w:val="left"/>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rPr>
        <w:t xml:space="preserve">1.3 </w:t>
      </w:r>
      <w:r>
        <w:rPr>
          <w:rFonts w:hint="eastAsia" w:ascii="仿宋_GB2312" w:hAnsi="仿宋_GB2312" w:eastAsia="仿宋_GB2312" w:cs="仿宋_GB2312"/>
          <w:color w:val="auto"/>
          <w:sz w:val="28"/>
          <w:szCs w:val="28"/>
          <w:highlight w:val="none"/>
          <w:lang w:eastAsia="zh-CN"/>
        </w:rPr>
        <w:t>采购方式</w:t>
      </w:r>
      <w:r>
        <w:rPr>
          <w:rFonts w:hint="eastAsia" w:ascii="仿宋_GB2312" w:hAnsi="仿宋_GB2312" w:eastAsia="仿宋_GB2312" w:cs="仿宋_GB2312"/>
          <w:color w:val="auto"/>
          <w:sz w:val="28"/>
          <w:szCs w:val="28"/>
          <w:highlight w:val="none"/>
        </w:rPr>
        <w:t>：</w:t>
      </w:r>
      <w:r>
        <w:rPr>
          <w:rFonts w:hint="eastAsia" w:ascii="仿宋_GB2312" w:hAnsi="仿宋_GB2312" w:eastAsia="仿宋_GB2312" w:cs="仿宋_GB2312"/>
          <w:color w:val="auto"/>
          <w:sz w:val="28"/>
          <w:szCs w:val="28"/>
          <w:highlight w:val="none"/>
          <w:lang w:eastAsia="zh-CN"/>
        </w:rPr>
        <w:t>比选。</w:t>
      </w:r>
    </w:p>
    <w:p>
      <w:pPr>
        <w:pageBreakBefore w:val="0"/>
        <w:kinsoku/>
        <w:overflowPunct/>
        <w:topLinePunct w:val="0"/>
        <w:bidi w:val="0"/>
        <w:adjustRightInd w:val="0"/>
        <w:snapToGrid w:val="0"/>
        <w:spacing w:beforeAutospacing="0" w:line="240" w:lineRule="auto"/>
        <w:ind w:firstLine="560" w:firstLineChars="200"/>
        <w:jc w:val="lef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1.4 </w:t>
      </w:r>
      <w:r>
        <w:rPr>
          <w:rFonts w:hint="eastAsia" w:ascii="仿宋_GB2312" w:hAnsi="仿宋_GB2312" w:eastAsia="仿宋_GB2312" w:cs="仿宋_GB2312"/>
          <w:color w:val="auto"/>
          <w:sz w:val="28"/>
          <w:szCs w:val="28"/>
          <w:highlight w:val="none"/>
          <w:lang w:eastAsia="zh-CN"/>
        </w:rPr>
        <w:t>预算金额</w:t>
      </w:r>
      <w:r>
        <w:rPr>
          <w:rFonts w:hint="eastAsia" w:ascii="仿宋_GB2312" w:hAnsi="仿宋_GB2312" w:eastAsia="仿宋_GB2312" w:cs="仿宋_GB2312"/>
          <w:color w:val="auto"/>
          <w:sz w:val="28"/>
          <w:szCs w:val="28"/>
          <w:highlight w:val="none"/>
        </w:rPr>
        <w:t>：</w:t>
      </w:r>
      <w:r>
        <w:rPr>
          <w:rFonts w:hint="eastAsia" w:ascii="仿宋_GB2312" w:hAnsi="仿宋_GB2312" w:eastAsia="仿宋_GB2312" w:cs="仿宋_GB2312"/>
          <w:color w:val="auto"/>
          <w:sz w:val="28"/>
          <w:szCs w:val="28"/>
          <w:highlight w:val="none"/>
          <w:lang w:val="en-US" w:eastAsia="zh-CN"/>
        </w:rPr>
        <w:t>13万</w:t>
      </w:r>
      <w:r>
        <w:rPr>
          <w:rFonts w:hint="eastAsia" w:ascii="仿宋_GB2312" w:hAnsi="仿宋_GB2312" w:eastAsia="仿宋_GB2312" w:cs="仿宋_GB2312"/>
          <w:color w:val="auto"/>
          <w:sz w:val="28"/>
          <w:szCs w:val="28"/>
          <w:highlight w:val="none"/>
        </w:rPr>
        <w:t>。</w:t>
      </w:r>
    </w:p>
    <w:p>
      <w:pPr>
        <w:pageBreakBefore w:val="0"/>
        <w:kinsoku/>
        <w:overflowPunct/>
        <w:topLinePunct w:val="0"/>
        <w:bidi w:val="0"/>
        <w:adjustRightInd w:val="0"/>
        <w:snapToGrid w:val="0"/>
        <w:spacing w:line="240" w:lineRule="auto"/>
        <w:ind w:firstLine="560" w:firstLineChars="200"/>
        <w:jc w:val="lef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1.</w:t>
      </w:r>
      <w:r>
        <w:rPr>
          <w:rFonts w:hint="eastAsia" w:ascii="仿宋_GB2312" w:hAnsi="仿宋_GB2312" w:eastAsia="仿宋_GB2312" w:cs="仿宋_GB2312"/>
          <w:color w:val="auto"/>
          <w:sz w:val="28"/>
          <w:szCs w:val="28"/>
          <w:highlight w:val="none"/>
          <w:lang w:val="en-US" w:eastAsia="zh-CN"/>
        </w:rPr>
        <w:t>5</w:t>
      </w:r>
      <w:r>
        <w:rPr>
          <w:rFonts w:hint="eastAsia" w:ascii="仿宋_GB2312" w:hAnsi="仿宋_GB2312" w:eastAsia="仿宋_GB2312" w:cs="仿宋_GB2312"/>
          <w:color w:val="auto"/>
          <w:sz w:val="28"/>
          <w:szCs w:val="28"/>
          <w:highlight w:val="none"/>
        </w:rPr>
        <w:t>服务地点/交货地点：</w:t>
      </w:r>
      <w:r>
        <w:rPr>
          <w:rFonts w:hint="eastAsia" w:ascii="仿宋_GB2312" w:hAnsi="仿宋_GB2312" w:eastAsia="仿宋_GB2312" w:cs="仿宋_GB2312"/>
          <w:color w:val="auto"/>
          <w:sz w:val="28"/>
          <w:szCs w:val="28"/>
          <w:highlight w:val="none"/>
          <w:lang w:val="en-US" w:eastAsia="zh-CN"/>
        </w:rPr>
        <w:t>河南省郑州市</w:t>
      </w:r>
      <w:r>
        <w:rPr>
          <w:rFonts w:hint="eastAsia" w:ascii="仿宋_GB2312" w:hAnsi="仿宋_GB2312" w:eastAsia="仿宋_GB2312" w:cs="仿宋_GB2312"/>
          <w:color w:val="auto"/>
          <w:sz w:val="28"/>
          <w:szCs w:val="28"/>
          <w:highlight w:val="none"/>
        </w:rPr>
        <w:t>。</w:t>
      </w:r>
    </w:p>
    <w:p>
      <w:pPr>
        <w:pStyle w:val="2"/>
        <w:pageBreakBefore w:val="0"/>
        <w:kinsoku/>
        <w:overflowPunct/>
        <w:topLinePunct w:val="0"/>
        <w:bidi w:val="0"/>
        <w:spacing w:line="240" w:lineRule="auto"/>
        <w:jc w:val="left"/>
        <w:rPr>
          <w:rFonts w:hint="eastAsia" w:ascii="仿宋_GB2312" w:hAnsi="仿宋_GB2312" w:eastAsia="仿宋_GB2312" w:cs="仿宋_GB2312"/>
          <w:color w:val="auto"/>
          <w:kern w:val="2"/>
          <w:sz w:val="28"/>
          <w:szCs w:val="28"/>
          <w:highlight w:val="none"/>
          <w:lang w:val="en-US" w:eastAsia="zh-CN" w:bidi="ar-SA"/>
        </w:rPr>
      </w:pPr>
      <w:r>
        <w:rPr>
          <w:rFonts w:hint="eastAsia" w:ascii="仿宋_GB2312" w:hAnsi="仿宋_GB2312" w:eastAsia="仿宋_GB2312" w:cs="仿宋_GB2312"/>
          <w:color w:val="auto"/>
          <w:sz w:val="28"/>
          <w:szCs w:val="28"/>
          <w:highlight w:val="none"/>
          <w:lang w:val="en-US" w:eastAsia="zh-CN"/>
        </w:rPr>
        <w:t xml:space="preserve">    1.6 </w:t>
      </w:r>
      <w:r>
        <w:rPr>
          <w:rFonts w:hint="eastAsia" w:ascii="仿宋_GB2312" w:hAnsi="仿宋_GB2312" w:eastAsia="仿宋_GB2312" w:cs="仿宋_GB2312"/>
          <w:color w:val="auto"/>
          <w:kern w:val="2"/>
          <w:sz w:val="28"/>
          <w:szCs w:val="28"/>
          <w:highlight w:val="none"/>
          <w:lang w:val="en-US" w:eastAsia="zh-CN" w:bidi="ar-SA"/>
        </w:rPr>
        <w:t>本项目是否接受联合体投标：否</w:t>
      </w:r>
    </w:p>
    <w:p>
      <w:pPr>
        <w:pStyle w:val="5"/>
        <w:pageBreakBefore w:val="0"/>
        <w:kinsoku/>
        <w:overflowPunct/>
        <w:topLinePunct w:val="0"/>
        <w:bidi w:val="0"/>
        <w:spacing w:line="240" w:lineRule="auto"/>
        <w:ind w:firstLine="0" w:firstLineChars="0"/>
        <w:jc w:val="left"/>
        <w:rPr>
          <w:rFonts w:hint="eastAsia" w:ascii="仿宋_GB2312" w:hAnsi="仿宋_GB2312" w:eastAsia="仿宋_GB2312" w:cs="仿宋_GB2312"/>
          <w:color w:val="000000"/>
          <w:sz w:val="28"/>
          <w:szCs w:val="28"/>
          <w:highlight w:val="none"/>
        </w:rPr>
      </w:pPr>
      <w:bookmarkStart w:id="8" w:name="_Toc17569"/>
      <w:r>
        <w:rPr>
          <w:rFonts w:hint="eastAsia" w:ascii="仿宋_GB2312" w:hAnsi="仿宋_GB2312" w:eastAsia="仿宋_GB2312" w:cs="仿宋_GB2312"/>
          <w:color w:val="000000"/>
          <w:sz w:val="28"/>
          <w:szCs w:val="28"/>
          <w:highlight w:val="none"/>
        </w:rPr>
        <w:t>二、供应商资格要求</w:t>
      </w:r>
      <w:bookmarkEnd w:id="8"/>
    </w:p>
    <w:p>
      <w:pPr>
        <w:pageBreakBefore w:val="0"/>
        <w:kinsoku/>
        <w:overflowPunct/>
        <w:topLinePunct w:val="0"/>
        <w:bidi w:val="0"/>
        <w:spacing w:line="240" w:lineRule="auto"/>
        <w:ind w:firstLine="560" w:firstLineChars="200"/>
        <w:textAlignment w:val="baseline"/>
        <w:rPr>
          <w:rFonts w:hint="eastAsia" w:ascii="仿宋_GB2312" w:hAnsi="仿宋_GB2312" w:eastAsia="仿宋_GB2312" w:cs="仿宋_GB2312"/>
          <w:color w:val="000000"/>
          <w:sz w:val="28"/>
          <w:szCs w:val="28"/>
          <w:highlight w:val="none"/>
          <w:lang w:eastAsia="zh-CN"/>
        </w:rPr>
      </w:pPr>
      <w:r>
        <w:rPr>
          <w:rFonts w:hint="eastAsia" w:ascii="仿宋_GB2312" w:hAnsi="仿宋_GB2312" w:eastAsia="仿宋_GB2312" w:cs="仿宋_GB2312"/>
          <w:color w:val="000000"/>
          <w:sz w:val="28"/>
          <w:szCs w:val="28"/>
          <w:highlight w:val="none"/>
        </w:rPr>
        <w:t>2.1</w:t>
      </w:r>
      <w:r>
        <w:rPr>
          <w:rFonts w:hint="eastAsia" w:ascii="仿宋_GB2312" w:hAnsi="仿宋_GB2312" w:eastAsia="仿宋_GB2312" w:cs="仿宋_GB2312"/>
          <w:b/>
          <w:bCs/>
          <w:color w:val="000000"/>
          <w:sz w:val="28"/>
          <w:szCs w:val="28"/>
          <w:highlight w:val="none"/>
        </w:rPr>
        <w:t>在中华人民共和国境内依法登记的法人或其他组织，具有独立承担民事责任的能力，</w:t>
      </w:r>
      <w:r>
        <w:rPr>
          <w:rFonts w:hint="eastAsia" w:ascii="仿宋_GB2312" w:hAnsi="仿宋_GB2312" w:eastAsia="仿宋_GB2312" w:cs="仿宋_GB2312"/>
          <w:color w:val="000000"/>
          <w:sz w:val="28"/>
          <w:szCs w:val="28"/>
          <w:highlight w:val="none"/>
        </w:rPr>
        <w:t>供应商如为企业法人，须提供企业法人营业执照</w:t>
      </w:r>
      <w:r>
        <w:rPr>
          <w:rFonts w:hint="eastAsia" w:ascii="仿宋_GB2312" w:hAnsi="仿宋_GB2312" w:eastAsia="仿宋_GB2312" w:cs="仿宋_GB2312"/>
          <w:color w:val="000000"/>
          <w:sz w:val="28"/>
          <w:szCs w:val="28"/>
        </w:rPr>
        <w:t>（复印件）</w:t>
      </w:r>
      <w:r>
        <w:rPr>
          <w:rFonts w:hint="eastAsia" w:ascii="仿宋_GB2312" w:hAnsi="仿宋_GB2312" w:eastAsia="仿宋_GB2312" w:cs="仿宋_GB2312"/>
          <w:color w:val="000000"/>
          <w:sz w:val="28"/>
          <w:szCs w:val="28"/>
          <w:lang w:eastAsia="zh-CN"/>
        </w:rPr>
        <w:t>。</w:t>
      </w:r>
    </w:p>
    <w:p>
      <w:pPr>
        <w:pageBreakBefore w:val="0"/>
        <w:kinsoku/>
        <w:overflowPunct/>
        <w:topLinePunct w:val="0"/>
        <w:bidi w:val="0"/>
        <w:spacing w:line="240" w:lineRule="auto"/>
        <w:ind w:firstLine="560" w:firstLineChars="200"/>
        <w:textAlignment w:val="baseline"/>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2.2</w:t>
      </w:r>
      <w:r>
        <w:rPr>
          <w:rFonts w:hint="eastAsia" w:ascii="仿宋_GB2312" w:hAnsi="仿宋_GB2312" w:eastAsia="仿宋_GB2312" w:cs="仿宋_GB2312"/>
          <w:b/>
          <w:bCs/>
          <w:color w:val="000000"/>
          <w:sz w:val="28"/>
          <w:szCs w:val="28"/>
          <w:highlight w:val="none"/>
        </w:rPr>
        <w:t>具有良好的商业信誉和健全的财务会计制度</w:t>
      </w:r>
      <w:r>
        <w:rPr>
          <w:rFonts w:hint="eastAsia" w:ascii="仿宋_GB2312" w:hAnsi="仿宋_GB2312" w:eastAsia="仿宋_GB2312" w:cs="仿宋_GB2312"/>
          <w:color w:val="000000"/>
          <w:sz w:val="28"/>
          <w:szCs w:val="28"/>
          <w:highlight w:val="none"/>
        </w:rPr>
        <w:t>，需提供</w:t>
      </w:r>
      <w:r>
        <w:rPr>
          <w:rFonts w:hint="eastAsia" w:ascii="仿宋_GB2312" w:hAnsi="仿宋_GB2312" w:eastAsia="仿宋_GB2312" w:cs="仿宋_GB2312"/>
          <w:color w:val="auto"/>
          <w:sz w:val="28"/>
          <w:szCs w:val="28"/>
          <w:highlight w:val="none"/>
        </w:rPr>
        <w:t>20</w:t>
      </w:r>
      <w:r>
        <w:rPr>
          <w:rFonts w:hint="eastAsia" w:ascii="仿宋_GB2312" w:hAnsi="仿宋_GB2312" w:eastAsia="仿宋_GB2312" w:cs="仿宋_GB2312"/>
          <w:color w:val="auto"/>
          <w:sz w:val="28"/>
          <w:szCs w:val="28"/>
          <w:highlight w:val="none"/>
          <w:lang w:val="en-US" w:eastAsia="zh-CN"/>
        </w:rPr>
        <w:t>25</w:t>
      </w:r>
      <w:r>
        <w:rPr>
          <w:rFonts w:hint="eastAsia" w:ascii="仿宋_GB2312" w:hAnsi="仿宋_GB2312" w:eastAsia="仿宋_GB2312" w:cs="仿宋_GB2312"/>
          <w:color w:val="auto"/>
          <w:sz w:val="28"/>
          <w:szCs w:val="28"/>
          <w:highlight w:val="none"/>
        </w:rPr>
        <w:t>年</w:t>
      </w:r>
      <w:r>
        <w:rPr>
          <w:rFonts w:hint="eastAsia" w:ascii="仿宋_GB2312" w:hAnsi="仿宋_GB2312" w:eastAsia="仿宋_GB2312" w:cs="仿宋_GB2312"/>
          <w:color w:val="000000"/>
          <w:sz w:val="28"/>
          <w:szCs w:val="28"/>
          <w:highlight w:val="none"/>
        </w:rPr>
        <w:t>度经会计师事务所或审计机构审计的财务审计报告及财务报表（至少包含会计师事务所或审计机构签章页、资产负债表、现金流量表、损益表/利润表）或提供响应文件递交截止日前6个月内开具的银行资信证明。</w:t>
      </w:r>
    </w:p>
    <w:p>
      <w:pPr>
        <w:pageBreakBefore w:val="0"/>
        <w:kinsoku/>
        <w:overflowPunct/>
        <w:topLinePunct w:val="0"/>
        <w:bidi w:val="0"/>
        <w:spacing w:line="240" w:lineRule="auto"/>
        <w:ind w:firstLine="560" w:firstLineChars="200"/>
        <w:textAlignment w:val="baseline"/>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2.</w:t>
      </w:r>
      <w:r>
        <w:rPr>
          <w:rFonts w:hint="eastAsia" w:ascii="仿宋_GB2312" w:hAnsi="仿宋_GB2312" w:eastAsia="仿宋_GB2312" w:cs="仿宋_GB2312"/>
          <w:color w:val="000000"/>
          <w:sz w:val="28"/>
          <w:szCs w:val="28"/>
          <w:highlight w:val="none"/>
          <w:lang w:val="en-US" w:eastAsia="zh-CN"/>
        </w:rPr>
        <w:t>3</w:t>
      </w:r>
      <w:r>
        <w:rPr>
          <w:rFonts w:hint="eastAsia" w:ascii="仿宋_GB2312" w:hAnsi="仿宋_GB2312" w:eastAsia="仿宋_GB2312" w:cs="仿宋_GB2312"/>
          <w:b/>
          <w:bCs/>
          <w:color w:val="000000"/>
          <w:sz w:val="28"/>
          <w:szCs w:val="28"/>
          <w:highlight w:val="none"/>
        </w:rPr>
        <w:t>具有依法缴纳税收和社会保障资金的良好记录</w:t>
      </w:r>
      <w:r>
        <w:rPr>
          <w:rFonts w:hint="eastAsia" w:ascii="仿宋_GB2312" w:hAnsi="仿宋_GB2312" w:eastAsia="仿宋_GB2312" w:cs="仿宋_GB2312"/>
          <w:color w:val="000000"/>
          <w:sz w:val="28"/>
          <w:szCs w:val="28"/>
          <w:highlight w:val="none"/>
        </w:rPr>
        <w:t>，提供近6个月任意一个月的税收和社会保障资金缴纳凭证。</w:t>
      </w:r>
    </w:p>
    <w:p>
      <w:pPr>
        <w:pageBreakBefore w:val="0"/>
        <w:kinsoku/>
        <w:overflowPunct/>
        <w:topLinePunct w:val="0"/>
        <w:bidi w:val="0"/>
        <w:spacing w:line="240" w:lineRule="auto"/>
        <w:ind w:firstLine="560" w:firstLineChars="200"/>
        <w:textAlignment w:val="baseline"/>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2.</w:t>
      </w:r>
      <w:r>
        <w:rPr>
          <w:rFonts w:hint="eastAsia" w:ascii="仿宋_GB2312" w:hAnsi="仿宋_GB2312" w:eastAsia="仿宋_GB2312" w:cs="仿宋_GB2312"/>
          <w:color w:val="000000"/>
          <w:sz w:val="28"/>
          <w:szCs w:val="28"/>
          <w:highlight w:val="none"/>
          <w:lang w:val="en-US" w:eastAsia="zh-CN"/>
        </w:rPr>
        <w:t>4</w:t>
      </w:r>
      <w:r>
        <w:rPr>
          <w:rFonts w:hint="eastAsia" w:ascii="仿宋_GB2312" w:hAnsi="仿宋_GB2312" w:eastAsia="仿宋_GB2312" w:cs="仿宋_GB2312"/>
          <w:b/>
          <w:bCs/>
          <w:color w:val="000000"/>
          <w:sz w:val="28"/>
          <w:szCs w:val="28"/>
          <w:highlight w:val="none"/>
        </w:rPr>
        <w:t>供应商应经营状况良好，且近三年内（</w:t>
      </w:r>
      <w:r>
        <w:rPr>
          <w:rFonts w:hint="eastAsia" w:ascii="仿宋_GB2312" w:hAnsi="仿宋_GB2312" w:eastAsia="仿宋_GB2312" w:cs="仿宋_GB2312"/>
          <w:b/>
          <w:bCs/>
          <w:color w:val="auto"/>
          <w:sz w:val="28"/>
          <w:szCs w:val="28"/>
          <w:highlight w:val="none"/>
        </w:rPr>
        <w:t>20</w:t>
      </w:r>
      <w:r>
        <w:rPr>
          <w:rFonts w:hint="eastAsia" w:ascii="仿宋_GB2312" w:hAnsi="仿宋_GB2312" w:eastAsia="仿宋_GB2312" w:cs="仿宋_GB2312"/>
          <w:b/>
          <w:bCs/>
          <w:color w:val="auto"/>
          <w:sz w:val="28"/>
          <w:szCs w:val="28"/>
          <w:highlight w:val="none"/>
          <w:lang w:val="en-US" w:eastAsia="zh-CN"/>
        </w:rPr>
        <w:t>23</w:t>
      </w:r>
      <w:r>
        <w:rPr>
          <w:rFonts w:hint="eastAsia" w:ascii="仿宋_GB2312" w:hAnsi="仿宋_GB2312" w:eastAsia="仿宋_GB2312" w:cs="仿宋_GB2312"/>
          <w:b/>
          <w:bCs/>
          <w:color w:val="000000"/>
          <w:sz w:val="28"/>
          <w:szCs w:val="28"/>
          <w:highlight w:val="none"/>
        </w:rPr>
        <w:t>年1月1日至今）无违法违规记录。</w:t>
      </w:r>
      <w:r>
        <w:rPr>
          <w:rFonts w:hint="eastAsia" w:ascii="仿宋_GB2312" w:hAnsi="仿宋_GB2312" w:eastAsia="仿宋_GB2312" w:cs="仿宋_GB2312"/>
          <w:color w:val="000000"/>
          <w:sz w:val="28"/>
          <w:szCs w:val="28"/>
          <w:highlight w:val="none"/>
        </w:rPr>
        <w:t>违法违规记录是指被“信用中国”列入失信被执行人、重大税收违法失信主体、政府采购严重违法失信行为记录名单。供应商需提供自</w:t>
      </w:r>
      <w:r>
        <w:rPr>
          <w:rFonts w:hint="eastAsia" w:ascii="仿宋_GB2312" w:hAnsi="仿宋_GB2312" w:eastAsia="仿宋_GB2312" w:cs="仿宋_GB2312"/>
          <w:color w:val="000000"/>
          <w:sz w:val="28"/>
          <w:szCs w:val="28"/>
          <w:highlight w:val="none"/>
          <w:lang w:eastAsia="zh-CN"/>
        </w:rPr>
        <w:t>比选</w:t>
      </w:r>
      <w:r>
        <w:rPr>
          <w:rFonts w:hint="eastAsia" w:ascii="仿宋_GB2312" w:hAnsi="仿宋_GB2312" w:eastAsia="仿宋_GB2312" w:cs="仿宋_GB2312"/>
          <w:color w:val="000000"/>
          <w:sz w:val="28"/>
          <w:szCs w:val="28"/>
          <w:highlight w:val="none"/>
        </w:rPr>
        <w:t>公告发布之日至响应文件递交截止之日期间对以上三项内容的查询截图。</w:t>
      </w:r>
    </w:p>
    <w:p>
      <w:pPr>
        <w:pageBreakBefore w:val="0"/>
        <w:kinsoku/>
        <w:overflowPunct/>
        <w:topLinePunct w:val="0"/>
        <w:bidi w:val="0"/>
        <w:spacing w:line="240" w:lineRule="auto"/>
        <w:ind w:firstLine="560" w:firstLineChars="200"/>
        <w:textAlignment w:val="baseline"/>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信用中国查询网址：https://www.creditchina.gov.cn/xinyongfuwu/?navPage=5</w:t>
      </w:r>
    </w:p>
    <w:p>
      <w:pPr>
        <w:pageBreakBefore w:val="0"/>
        <w:kinsoku/>
        <w:overflowPunct/>
        <w:topLinePunct w:val="0"/>
        <w:bidi w:val="0"/>
        <w:spacing w:line="240" w:lineRule="auto"/>
        <w:ind w:firstLine="560" w:firstLineChars="200"/>
        <w:textAlignment w:val="baseline"/>
        <w:rPr>
          <w:rFonts w:hint="eastAsia" w:ascii="仿宋_GB2312" w:hAnsi="仿宋_GB2312" w:eastAsia="仿宋_GB2312" w:cs="仿宋_GB2312"/>
          <w:b/>
          <w:bCs/>
          <w:color w:val="000000"/>
          <w:sz w:val="28"/>
          <w:szCs w:val="28"/>
          <w:highlight w:val="none"/>
        </w:rPr>
      </w:pPr>
      <w:r>
        <w:rPr>
          <w:rFonts w:hint="eastAsia" w:ascii="仿宋_GB2312" w:hAnsi="仿宋_GB2312" w:eastAsia="仿宋_GB2312" w:cs="仿宋_GB2312"/>
          <w:color w:val="000000"/>
          <w:sz w:val="28"/>
          <w:szCs w:val="28"/>
          <w:highlight w:val="none"/>
        </w:rPr>
        <w:t>2.</w:t>
      </w:r>
      <w:r>
        <w:rPr>
          <w:rFonts w:hint="eastAsia" w:ascii="仿宋_GB2312" w:hAnsi="仿宋_GB2312" w:eastAsia="仿宋_GB2312" w:cs="仿宋_GB2312"/>
          <w:color w:val="000000"/>
          <w:sz w:val="28"/>
          <w:szCs w:val="28"/>
          <w:highlight w:val="none"/>
          <w:lang w:val="en-US" w:eastAsia="zh-CN"/>
        </w:rPr>
        <w:t>5</w:t>
      </w:r>
      <w:r>
        <w:rPr>
          <w:rFonts w:hint="eastAsia" w:ascii="仿宋_GB2312" w:hAnsi="仿宋_GB2312" w:eastAsia="仿宋_GB2312" w:cs="仿宋_GB2312"/>
          <w:b/>
          <w:bCs/>
          <w:color w:val="000000"/>
          <w:sz w:val="28"/>
          <w:szCs w:val="28"/>
          <w:highlight w:val="none"/>
        </w:rPr>
        <w:t>严禁列入</w:t>
      </w:r>
      <w:r>
        <w:rPr>
          <w:rFonts w:hint="eastAsia" w:ascii="仿宋_GB2312" w:hAnsi="仿宋_GB2312" w:eastAsia="仿宋_GB2312" w:cs="仿宋_GB2312"/>
          <w:b/>
          <w:bCs/>
          <w:color w:val="000000"/>
          <w:sz w:val="28"/>
          <w:szCs w:val="28"/>
          <w:highlight w:val="none"/>
          <w:lang w:val="en-US" w:eastAsia="zh-CN"/>
        </w:rPr>
        <w:t>采购</w:t>
      </w:r>
      <w:r>
        <w:rPr>
          <w:rFonts w:hint="eastAsia" w:ascii="仿宋_GB2312" w:hAnsi="仿宋_GB2312" w:eastAsia="仿宋_GB2312" w:cs="仿宋_GB2312"/>
          <w:b/>
          <w:bCs/>
          <w:color w:val="000000"/>
          <w:sz w:val="28"/>
          <w:szCs w:val="28"/>
          <w:highlight w:val="none"/>
        </w:rPr>
        <w:t>人及其所隶属的中国人民保险各级机构的供应商黑名单且在禁入期内的供应商参与采购活动。</w:t>
      </w:r>
    </w:p>
    <w:p>
      <w:pPr>
        <w:pageBreakBefore w:val="0"/>
        <w:kinsoku/>
        <w:overflowPunct/>
        <w:topLinePunct w:val="0"/>
        <w:bidi w:val="0"/>
        <w:spacing w:line="240" w:lineRule="auto"/>
        <w:ind w:firstLine="560" w:firstLineChars="200"/>
        <w:textAlignment w:val="baseline"/>
        <w:rPr>
          <w:rFonts w:hint="eastAsia" w:ascii="仿宋_GB2312" w:hAnsi="仿宋_GB2312" w:eastAsia="仿宋_GB2312" w:cs="仿宋_GB2312"/>
          <w:color w:val="000000"/>
          <w:sz w:val="28"/>
          <w:szCs w:val="28"/>
          <w:lang w:val="en-US" w:eastAsia="zh-CN"/>
        </w:rPr>
      </w:pPr>
      <w:r>
        <w:rPr>
          <w:rFonts w:hint="eastAsia" w:ascii="仿宋_GB2312" w:hAnsi="仿宋_GB2312" w:eastAsia="仿宋_GB2312" w:cs="仿宋_GB2312"/>
          <w:color w:val="000000"/>
          <w:sz w:val="28"/>
          <w:szCs w:val="28"/>
          <w:highlight w:val="none"/>
        </w:rPr>
        <w:t>2.</w:t>
      </w:r>
      <w:r>
        <w:rPr>
          <w:rFonts w:hint="eastAsia" w:ascii="仿宋_GB2312" w:hAnsi="仿宋_GB2312" w:eastAsia="仿宋_GB2312" w:cs="仿宋_GB2312"/>
          <w:color w:val="000000"/>
          <w:sz w:val="28"/>
          <w:szCs w:val="28"/>
          <w:highlight w:val="none"/>
          <w:lang w:val="en-US" w:eastAsia="zh-CN"/>
        </w:rPr>
        <w:t>6</w:t>
      </w:r>
      <w:r>
        <w:rPr>
          <w:rFonts w:hint="eastAsia" w:ascii="仿宋_GB2312" w:hAnsi="仿宋_GB2312" w:eastAsia="仿宋_GB2312" w:cs="仿宋_GB2312"/>
          <w:color w:val="000000"/>
          <w:sz w:val="28"/>
          <w:szCs w:val="28"/>
        </w:rPr>
        <w:t>本项目不接受联合体投标，不允许任何形式的分包或转包，</w:t>
      </w:r>
      <w:r>
        <w:rPr>
          <w:rFonts w:hint="eastAsia" w:ascii="仿宋_GB2312" w:hAnsi="仿宋_GB2312" w:eastAsia="仿宋_GB2312" w:cs="仿宋_GB2312"/>
          <w:color w:val="000000"/>
          <w:sz w:val="28"/>
          <w:szCs w:val="28"/>
          <w:lang w:val="en-US" w:eastAsia="zh-CN"/>
        </w:rPr>
        <w:t>单位负责人为同一人或者存在直接控股、管理关系的不同供应商，不得同时参加同一项目的投标。</w:t>
      </w:r>
    </w:p>
    <w:p>
      <w:pPr>
        <w:pStyle w:val="5"/>
        <w:pageBreakBefore w:val="0"/>
        <w:kinsoku/>
        <w:overflowPunct/>
        <w:topLinePunct w:val="0"/>
        <w:bidi w:val="0"/>
        <w:spacing w:after="240" w:line="240" w:lineRule="auto"/>
        <w:ind w:firstLine="0" w:firstLineChars="0"/>
        <w:jc w:val="left"/>
        <w:rPr>
          <w:rFonts w:hint="eastAsia" w:ascii="仿宋_GB2312" w:hAnsi="仿宋_GB2312" w:eastAsia="仿宋_GB2312" w:cs="仿宋_GB2312"/>
          <w:color w:val="000000"/>
          <w:sz w:val="28"/>
          <w:szCs w:val="28"/>
          <w:highlight w:val="none"/>
        </w:rPr>
      </w:pPr>
      <w:bookmarkStart w:id="9" w:name="_Toc2019"/>
      <w:r>
        <w:rPr>
          <w:rFonts w:hint="eastAsia" w:ascii="仿宋_GB2312" w:hAnsi="仿宋_GB2312" w:eastAsia="仿宋_GB2312" w:cs="仿宋_GB2312"/>
          <w:color w:val="000000"/>
          <w:sz w:val="28"/>
          <w:szCs w:val="28"/>
          <w:highlight w:val="none"/>
          <w:lang w:eastAsia="zh-CN"/>
        </w:rPr>
        <w:t>三</w:t>
      </w:r>
      <w:r>
        <w:rPr>
          <w:rFonts w:hint="eastAsia" w:ascii="仿宋_GB2312" w:hAnsi="仿宋_GB2312" w:eastAsia="仿宋_GB2312" w:cs="仿宋_GB2312"/>
          <w:color w:val="000000"/>
          <w:sz w:val="28"/>
          <w:szCs w:val="28"/>
          <w:highlight w:val="none"/>
        </w:rPr>
        <w:t>、</w:t>
      </w:r>
      <w:r>
        <w:rPr>
          <w:rFonts w:hint="eastAsia" w:ascii="仿宋_GB2312" w:hAnsi="仿宋_GB2312" w:eastAsia="仿宋_GB2312" w:cs="仿宋_GB2312"/>
          <w:color w:val="000000"/>
          <w:sz w:val="28"/>
          <w:szCs w:val="28"/>
          <w:highlight w:val="none"/>
          <w:lang w:eastAsia="zh-CN"/>
        </w:rPr>
        <w:t>比选</w:t>
      </w:r>
      <w:r>
        <w:rPr>
          <w:rFonts w:hint="eastAsia" w:ascii="仿宋_GB2312" w:hAnsi="仿宋_GB2312" w:eastAsia="仿宋_GB2312" w:cs="仿宋_GB2312"/>
          <w:color w:val="000000"/>
          <w:sz w:val="28"/>
          <w:szCs w:val="28"/>
          <w:highlight w:val="none"/>
        </w:rPr>
        <w:t>文件的获取</w:t>
      </w:r>
      <w:bookmarkEnd w:id="9"/>
    </w:p>
    <w:p>
      <w:pPr>
        <w:pStyle w:val="16"/>
        <w:keepNext w:val="0"/>
        <w:keepLines w:val="0"/>
        <w:pageBreakBefore w:val="0"/>
        <w:kinsoku/>
        <w:wordWrap/>
        <w:overflowPunct/>
        <w:topLinePunct w:val="0"/>
        <w:autoSpaceDE/>
        <w:autoSpaceDN/>
        <w:bidi w:val="0"/>
        <w:adjustRightInd w:val="0"/>
        <w:snapToGrid w:val="0"/>
        <w:spacing w:line="240" w:lineRule="auto"/>
        <w:ind w:firstLineChars="175"/>
        <w:jc w:val="left"/>
        <w:textAlignment w:val="auto"/>
        <w:rPr>
          <w:rFonts w:hint="eastAsia" w:ascii="仿宋_GB2312" w:hAnsi="仿宋_GB2312" w:eastAsia="仿宋_GB2312" w:cs="仿宋_GB2312"/>
          <w:color w:val="000000"/>
          <w:kern w:val="2"/>
          <w:sz w:val="28"/>
          <w:szCs w:val="28"/>
          <w:lang w:val="en-US" w:eastAsia="zh-CN" w:bidi="ar-SA"/>
        </w:rPr>
      </w:pPr>
      <w:r>
        <w:rPr>
          <w:rFonts w:hint="eastAsia" w:ascii="仿宋_GB2312" w:hAnsi="仿宋_GB2312" w:eastAsia="仿宋_GB2312" w:cs="仿宋_GB2312"/>
          <w:color w:val="000000"/>
          <w:sz w:val="28"/>
          <w:szCs w:val="28"/>
          <w:highlight w:val="none"/>
          <w:lang w:val="en-US" w:eastAsia="zh-CN"/>
        </w:rPr>
        <w:t>3.1</w:t>
      </w:r>
      <w:r>
        <w:rPr>
          <w:rFonts w:hint="eastAsia" w:ascii="仿宋_GB2312" w:hAnsi="仿宋_GB2312" w:eastAsia="仿宋_GB2312" w:cs="仿宋_GB2312"/>
          <w:color w:val="000000"/>
          <w:sz w:val="28"/>
          <w:szCs w:val="28"/>
          <w:highlight w:val="none"/>
        </w:rPr>
        <w:t>.</w:t>
      </w:r>
      <w:r>
        <w:rPr>
          <w:rFonts w:hint="eastAsia" w:ascii="仿宋_GB2312" w:hAnsi="仿宋_GB2312" w:eastAsia="仿宋_GB2312" w:cs="仿宋_GB2312"/>
          <w:color w:val="000000"/>
          <w:sz w:val="28"/>
          <w:szCs w:val="28"/>
          <w:highlight w:val="none"/>
          <w:lang w:eastAsia="zh-CN"/>
        </w:rPr>
        <w:t>比选</w:t>
      </w:r>
      <w:r>
        <w:rPr>
          <w:rFonts w:hint="eastAsia" w:ascii="仿宋_GB2312" w:hAnsi="仿宋_GB2312" w:eastAsia="仿宋_GB2312" w:cs="仿宋_GB2312"/>
          <w:color w:val="000000"/>
          <w:sz w:val="28"/>
          <w:szCs w:val="28"/>
          <w:highlight w:val="none"/>
        </w:rPr>
        <w:t>文件获取时间：</w:t>
      </w:r>
      <w:r>
        <w:rPr>
          <w:rFonts w:hint="eastAsia" w:ascii="仿宋_GB2312" w:hAnsi="仿宋_GB2312" w:eastAsia="仿宋_GB2312" w:cs="仿宋_GB2312"/>
          <w:b/>
          <w:color w:val="auto"/>
          <w:sz w:val="28"/>
          <w:szCs w:val="28"/>
          <w:highlight w:val="none"/>
          <w:u w:val="single"/>
        </w:rPr>
        <w:t>202</w:t>
      </w:r>
      <w:r>
        <w:rPr>
          <w:rFonts w:hint="eastAsia" w:ascii="仿宋_GB2312" w:hAnsi="仿宋_GB2312" w:eastAsia="仿宋_GB2312" w:cs="仿宋_GB2312"/>
          <w:b/>
          <w:color w:val="auto"/>
          <w:sz w:val="28"/>
          <w:szCs w:val="28"/>
          <w:highlight w:val="none"/>
          <w:u w:val="single"/>
          <w:lang w:val="en-US" w:eastAsia="zh-CN"/>
        </w:rPr>
        <w:t>6</w:t>
      </w:r>
      <w:r>
        <w:rPr>
          <w:rFonts w:hint="eastAsia" w:ascii="仿宋_GB2312" w:hAnsi="仿宋_GB2312" w:eastAsia="仿宋_GB2312" w:cs="仿宋_GB2312"/>
          <w:b/>
          <w:color w:val="auto"/>
          <w:sz w:val="28"/>
          <w:szCs w:val="28"/>
          <w:highlight w:val="none"/>
          <w:u w:val="single"/>
        </w:rPr>
        <w:t>年</w:t>
      </w:r>
      <w:r>
        <w:rPr>
          <w:rFonts w:hint="eastAsia" w:ascii="仿宋_GB2312" w:hAnsi="仿宋_GB2312" w:eastAsia="仿宋_GB2312" w:cs="仿宋_GB2312"/>
          <w:b/>
          <w:color w:val="auto"/>
          <w:sz w:val="28"/>
          <w:szCs w:val="28"/>
          <w:highlight w:val="none"/>
          <w:u w:val="single"/>
          <w:lang w:val="en-US" w:eastAsia="zh-CN"/>
        </w:rPr>
        <w:t>6</w:t>
      </w:r>
      <w:r>
        <w:rPr>
          <w:rFonts w:hint="eastAsia" w:ascii="仿宋_GB2312" w:hAnsi="仿宋_GB2312" w:eastAsia="仿宋_GB2312" w:cs="仿宋_GB2312"/>
          <w:b/>
          <w:color w:val="auto"/>
          <w:sz w:val="28"/>
          <w:szCs w:val="28"/>
          <w:highlight w:val="none"/>
          <w:u w:val="single"/>
        </w:rPr>
        <w:t>月</w:t>
      </w:r>
      <w:r>
        <w:rPr>
          <w:rFonts w:hint="eastAsia" w:ascii="仿宋_GB2312" w:hAnsi="仿宋_GB2312" w:eastAsia="仿宋_GB2312" w:cs="仿宋_GB2312"/>
          <w:b/>
          <w:color w:val="auto"/>
          <w:sz w:val="28"/>
          <w:szCs w:val="28"/>
          <w:highlight w:val="none"/>
          <w:u w:val="single"/>
          <w:lang w:val="en-US" w:eastAsia="zh-CN"/>
        </w:rPr>
        <w:t>3</w:t>
      </w:r>
      <w:r>
        <w:rPr>
          <w:rFonts w:hint="eastAsia" w:ascii="仿宋_GB2312" w:hAnsi="仿宋_GB2312" w:eastAsia="仿宋_GB2312" w:cs="仿宋_GB2312"/>
          <w:b/>
          <w:color w:val="auto"/>
          <w:sz w:val="28"/>
          <w:szCs w:val="28"/>
          <w:highlight w:val="none"/>
          <w:u w:val="single"/>
        </w:rPr>
        <w:t>日</w:t>
      </w:r>
      <w:r>
        <w:rPr>
          <w:rFonts w:hint="eastAsia" w:ascii="仿宋_GB2312" w:hAnsi="仿宋_GB2312" w:eastAsia="仿宋_GB2312" w:cs="仿宋_GB2312"/>
          <w:b/>
          <w:color w:val="auto"/>
          <w:sz w:val="28"/>
          <w:szCs w:val="28"/>
          <w:highlight w:val="none"/>
        </w:rPr>
        <w:t>至</w:t>
      </w:r>
      <w:r>
        <w:rPr>
          <w:rFonts w:hint="eastAsia" w:ascii="仿宋_GB2312" w:hAnsi="仿宋_GB2312" w:eastAsia="仿宋_GB2312" w:cs="仿宋_GB2312"/>
          <w:b/>
          <w:color w:val="auto"/>
          <w:sz w:val="28"/>
          <w:szCs w:val="28"/>
          <w:highlight w:val="none"/>
          <w:u w:val="single"/>
        </w:rPr>
        <w:t>202</w:t>
      </w:r>
      <w:r>
        <w:rPr>
          <w:rFonts w:hint="eastAsia" w:ascii="仿宋_GB2312" w:hAnsi="仿宋_GB2312" w:eastAsia="仿宋_GB2312" w:cs="仿宋_GB2312"/>
          <w:b/>
          <w:color w:val="auto"/>
          <w:sz w:val="28"/>
          <w:szCs w:val="28"/>
          <w:highlight w:val="none"/>
          <w:u w:val="single"/>
          <w:lang w:val="en-US" w:eastAsia="zh-CN"/>
        </w:rPr>
        <w:t>6</w:t>
      </w:r>
      <w:r>
        <w:rPr>
          <w:rFonts w:hint="eastAsia" w:ascii="仿宋_GB2312" w:hAnsi="仿宋_GB2312" w:eastAsia="仿宋_GB2312" w:cs="仿宋_GB2312"/>
          <w:b/>
          <w:color w:val="auto"/>
          <w:sz w:val="28"/>
          <w:szCs w:val="28"/>
          <w:highlight w:val="none"/>
          <w:u w:val="single"/>
        </w:rPr>
        <w:t>年</w:t>
      </w:r>
      <w:r>
        <w:rPr>
          <w:rFonts w:hint="eastAsia" w:ascii="仿宋_GB2312" w:hAnsi="仿宋_GB2312" w:eastAsia="仿宋_GB2312" w:cs="仿宋_GB2312"/>
          <w:b/>
          <w:color w:val="auto"/>
          <w:sz w:val="28"/>
          <w:szCs w:val="28"/>
          <w:highlight w:val="none"/>
          <w:u w:val="single"/>
          <w:lang w:val="en-US" w:eastAsia="zh-CN"/>
        </w:rPr>
        <w:t>6</w:t>
      </w:r>
      <w:r>
        <w:rPr>
          <w:rFonts w:hint="eastAsia" w:ascii="仿宋_GB2312" w:hAnsi="仿宋_GB2312" w:eastAsia="仿宋_GB2312" w:cs="仿宋_GB2312"/>
          <w:b/>
          <w:color w:val="auto"/>
          <w:sz w:val="28"/>
          <w:szCs w:val="28"/>
          <w:highlight w:val="none"/>
          <w:u w:val="single"/>
        </w:rPr>
        <w:t>月</w:t>
      </w:r>
      <w:r>
        <w:rPr>
          <w:rFonts w:hint="eastAsia" w:ascii="仿宋_GB2312" w:hAnsi="仿宋_GB2312" w:eastAsia="仿宋_GB2312" w:cs="仿宋_GB2312"/>
          <w:b/>
          <w:color w:val="auto"/>
          <w:sz w:val="28"/>
          <w:szCs w:val="28"/>
          <w:highlight w:val="none"/>
          <w:u w:val="single"/>
          <w:lang w:val="en-US" w:eastAsia="zh-CN"/>
        </w:rPr>
        <w:t>7</w:t>
      </w:r>
      <w:r>
        <w:rPr>
          <w:rFonts w:hint="eastAsia" w:ascii="仿宋_GB2312" w:hAnsi="仿宋_GB2312" w:eastAsia="仿宋_GB2312" w:cs="仿宋_GB2312"/>
          <w:b/>
          <w:color w:val="auto"/>
          <w:sz w:val="28"/>
          <w:szCs w:val="28"/>
          <w:highlight w:val="none"/>
          <w:u w:val="single"/>
        </w:rPr>
        <w:t>日，</w:t>
      </w:r>
      <w:r>
        <w:rPr>
          <w:rFonts w:hint="eastAsia" w:ascii="仿宋_GB2312" w:hAnsi="仿宋_GB2312" w:eastAsia="仿宋_GB2312" w:cs="仿宋_GB2312"/>
          <w:color w:val="auto"/>
          <w:sz w:val="28"/>
          <w:szCs w:val="28"/>
          <w:highlight w:val="none"/>
        </w:rPr>
        <w:t>上午</w:t>
      </w:r>
      <w:r>
        <w:rPr>
          <w:rFonts w:hint="eastAsia" w:ascii="仿宋_GB2312" w:hAnsi="仿宋_GB2312" w:eastAsia="仿宋_GB2312" w:cs="仿宋_GB2312"/>
          <w:color w:val="auto"/>
          <w:sz w:val="28"/>
          <w:szCs w:val="28"/>
          <w:highlight w:val="none"/>
          <w:lang w:val="en-US" w:eastAsia="zh-CN"/>
        </w:rPr>
        <w:t>9</w:t>
      </w:r>
      <w:r>
        <w:rPr>
          <w:rFonts w:hint="eastAsia" w:ascii="仿宋_GB2312" w:hAnsi="仿宋_GB2312" w:eastAsia="仿宋_GB2312" w:cs="仿宋_GB2312"/>
          <w:color w:val="auto"/>
          <w:sz w:val="28"/>
          <w:szCs w:val="28"/>
          <w:highlight w:val="none"/>
        </w:rPr>
        <w:t>时至</w:t>
      </w:r>
      <w:r>
        <w:rPr>
          <w:rFonts w:hint="eastAsia" w:ascii="仿宋_GB2312" w:hAnsi="仿宋_GB2312" w:eastAsia="仿宋_GB2312" w:cs="仿宋_GB2312"/>
          <w:color w:val="auto"/>
          <w:sz w:val="28"/>
          <w:szCs w:val="28"/>
          <w:highlight w:val="none"/>
          <w:lang w:val="en-US" w:eastAsia="zh-CN"/>
        </w:rPr>
        <w:t>12</w:t>
      </w:r>
      <w:r>
        <w:rPr>
          <w:rFonts w:hint="eastAsia" w:ascii="仿宋_GB2312" w:hAnsi="仿宋_GB2312" w:eastAsia="仿宋_GB2312" w:cs="仿宋_GB2312"/>
          <w:color w:val="auto"/>
          <w:sz w:val="28"/>
          <w:szCs w:val="28"/>
          <w:highlight w:val="none"/>
        </w:rPr>
        <w:t>时，下午</w:t>
      </w:r>
      <w:r>
        <w:rPr>
          <w:rFonts w:hint="eastAsia" w:ascii="仿宋_GB2312" w:hAnsi="仿宋_GB2312" w:eastAsia="仿宋_GB2312" w:cs="仿宋_GB2312"/>
          <w:color w:val="auto"/>
          <w:sz w:val="28"/>
          <w:szCs w:val="28"/>
          <w:highlight w:val="none"/>
          <w:lang w:val="en-US" w:eastAsia="zh-CN"/>
        </w:rPr>
        <w:t>14</w:t>
      </w:r>
      <w:r>
        <w:rPr>
          <w:rFonts w:hint="eastAsia" w:ascii="仿宋_GB2312" w:hAnsi="仿宋_GB2312" w:eastAsia="仿宋_GB2312" w:cs="仿宋_GB2312"/>
          <w:color w:val="auto"/>
          <w:sz w:val="28"/>
          <w:szCs w:val="28"/>
          <w:highlight w:val="none"/>
        </w:rPr>
        <w:t>时至</w:t>
      </w:r>
      <w:r>
        <w:rPr>
          <w:rFonts w:hint="eastAsia" w:ascii="仿宋_GB2312" w:hAnsi="仿宋_GB2312" w:eastAsia="仿宋_GB2312" w:cs="仿宋_GB2312"/>
          <w:color w:val="auto"/>
          <w:sz w:val="28"/>
          <w:szCs w:val="28"/>
          <w:highlight w:val="none"/>
          <w:lang w:val="en-US" w:eastAsia="zh-CN"/>
        </w:rPr>
        <w:t>18</w:t>
      </w:r>
      <w:r>
        <w:rPr>
          <w:rFonts w:hint="eastAsia" w:ascii="仿宋_GB2312" w:hAnsi="仿宋_GB2312" w:eastAsia="仿宋_GB2312" w:cs="仿宋_GB2312"/>
          <w:color w:val="auto"/>
          <w:sz w:val="28"/>
          <w:szCs w:val="28"/>
          <w:highlight w:val="none"/>
        </w:rPr>
        <w:t>时（北京时间，下同）。</w:t>
      </w:r>
    </w:p>
    <w:p>
      <w:pPr>
        <w:pStyle w:val="6"/>
        <w:keepNext w:val="0"/>
        <w:keepLines w:val="0"/>
        <w:pageBreakBefore w:val="0"/>
        <w:kinsoku/>
        <w:wordWrap/>
        <w:overflowPunct/>
        <w:topLinePunct w:val="0"/>
        <w:autoSpaceDE/>
        <w:autoSpaceDN/>
        <w:bidi w:val="0"/>
        <w:spacing w:line="240" w:lineRule="auto"/>
        <w:ind w:firstLine="560" w:firstLineChars="200"/>
        <w:textAlignment w:val="auto"/>
        <w:rPr>
          <w:rFonts w:hint="eastAsia" w:ascii="仿宋_GB2312" w:hAnsi="仿宋_GB2312" w:eastAsia="仿宋_GB2312" w:cs="仿宋_GB2312"/>
          <w:color w:val="auto"/>
          <w:kern w:val="2"/>
          <w:sz w:val="28"/>
          <w:szCs w:val="28"/>
          <w:highlight w:val="none"/>
          <w:lang w:val="en-US" w:eastAsia="zh-CN" w:bidi="ar-SA"/>
        </w:rPr>
      </w:pPr>
      <w:r>
        <w:rPr>
          <w:rFonts w:hint="eastAsia" w:ascii="仿宋_GB2312" w:hAnsi="仿宋_GB2312" w:eastAsia="仿宋_GB2312" w:cs="仿宋_GB2312"/>
          <w:color w:val="000000"/>
          <w:kern w:val="2"/>
          <w:sz w:val="28"/>
          <w:szCs w:val="28"/>
          <w:lang w:val="en-US" w:eastAsia="zh-CN" w:bidi="ar-SA"/>
        </w:rPr>
        <w:t>3.2拟报名参加本项目的供应商，通过“人保e采”管理系统完成供应商入库、项目报名。报名后可以发送邮件</w:t>
      </w:r>
      <w:r>
        <w:rPr>
          <w:rFonts w:hint="eastAsia" w:ascii="仿宋_GB2312" w:hAnsi="仿宋_GB2312" w:eastAsia="仿宋_GB2312" w:cs="仿宋_GB2312"/>
          <w:color w:val="auto"/>
          <w:kern w:val="2"/>
          <w:sz w:val="28"/>
          <w:szCs w:val="28"/>
          <w:highlight w:val="none"/>
          <w:lang w:val="en-US" w:eastAsia="zh-CN" w:bidi="ar-SA"/>
        </w:rPr>
        <w:t>（liujinlei01@hen.picc.com.cn）或者至中国人民财产保险股份有限公司河南省分公司533办公室申请获取比选文件。</w:t>
      </w:r>
    </w:p>
    <w:p>
      <w:pPr>
        <w:pStyle w:val="5"/>
        <w:pageBreakBefore w:val="0"/>
        <w:kinsoku/>
        <w:overflowPunct/>
        <w:topLinePunct w:val="0"/>
        <w:bidi w:val="0"/>
        <w:spacing w:line="240" w:lineRule="auto"/>
        <w:ind w:firstLine="0" w:firstLineChars="0"/>
        <w:jc w:val="left"/>
        <w:rPr>
          <w:rFonts w:hint="eastAsia" w:ascii="仿宋_GB2312" w:hAnsi="仿宋_GB2312" w:eastAsia="仿宋_GB2312" w:cs="仿宋_GB2312"/>
          <w:color w:val="000000"/>
          <w:sz w:val="28"/>
          <w:szCs w:val="28"/>
          <w:highlight w:val="none"/>
        </w:rPr>
      </w:pPr>
      <w:bookmarkStart w:id="10" w:name="_Toc32115"/>
      <w:r>
        <w:rPr>
          <w:rFonts w:hint="eastAsia" w:ascii="仿宋_GB2312" w:hAnsi="仿宋_GB2312" w:eastAsia="仿宋_GB2312" w:cs="仿宋_GB2312"/>
          <w:color w:val="000000"/>
          <w:sz w:val="28"/>
          <w:szCs w:val="28"/>
          <w:highlight w:val="none"/>
          <w:lang w:val="en-US" w:eastAsia="zh-CN"/>
        </w:rPr>
        <w:t>四</w:t>
      </w:r>
      <w:r>
        <w:rPr>
          <w:rFonts w:hint="eastAsia" w:ascii="仿宋_GB2312" w:hAnsi="仿宋_GB2312" w:eastAsia="仿宋_GB2312" w:cs="仿宋_GB2312"/>
          <w:color w:val="000000"/>
          <w:sz w:val="28"/>
          <w:szCs w:val="28"/>
          <w:highlight w:val="none"/>
        </w:rPr>
        <w:t>、响应文件的递交</w:t>
      </w:r>
      <w:bookmarkEnd w:id="10"/>
    </w:p>
    <w:p>
      <w:pPr>
        <w:pageBreakBefore w:val="0"/>
        <w:kinsoku/>
        <w:overflowPunct/>
        <w:topLinePunct w:val="0"/>
        <w:bidi w:val="0"/>
        <w:spacing w:line="240" w:lineRule="auto"/>
        <w:ind w:firstLine="560" w:firstLineChars="200"/>
        <w:textAlignment w:val="baseline"/>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lang w:val="en-US" w:eastAsia="zh-CN"/>
        </w:rPr>
        <w:t>4</w:t>
      </w:r>
      <w:r>
        <w:rPr>
          <w:rFonts w:hint="eastAsia" w:ascii="仿宋_GB2312" w:hAnsi="仿宋_GB2312" w:eastAsia="仿宋_GB2312" w:cs="仿宋_GB2312"/>
          <w:color w:val="000000"/>
          <w:sz w:val="28"/>
          <w:szCs w:val="28"/>
          <w:highlight w:val="none"/>
        </w:rPr>
        <w:t>.1响应文件递交截止时间：</w:t>
      </w:r>
      <w:r>
        <w:rPr>
          <w:rFonts w:hint="eastAsia" w:ascii="仿宋_GB2312" w:hAnsi="仿宋_GB2312" w:eastAsia="仿宋_GB2312" w:cs="仿宋_GB2312"/>
          <w:color w:val="auto"/>
          <w:sz w:val="28"/>
          <w:szCs w:val="28"/>
          <w:highlight w:val="none"/>
          <w:u w:val="single"/>
        </w:rPr>
        <w:t>20</w:t>
      </w:r>
      <w:r>
        <w:rPr>
          <w:rFonts w:hint="eastAsia" w:ascii="仿宋_GB2312" w:hAnsi="仿宋_GB2312" w:eastAsia="仿宋_GB2312" w:cs="仿宋_GB2312"/>
          <w:color w:val="auto"/>
          <w:sz w:val="28"/>
          <w:szCs w:val="28"/>
          <w:highlight w:val="none"/>
          <w:u w:val="single"/>
          <w:lang w:val="en-US" w:eastAsia="zh-CN"/>
        </w:rPr>
        <w:t>26</w:t>
      </w:r>
      <w:r>
        <w:rPr>
          <w:rFonts w:hint="eastAsia" w:ascii="仿宋_GB2312" w:hAnsi="仿宋_GB2312" w:eastAsia="仿宋_GB2312" w:cs="仿宋_GB2312"/>
          <w:color w:val="auto"/>
          <w:sz w:val="28"/>
          <w:szCs w:val="28"/>
          <w:highlight w:val="none"/>
          <w:u w:val="single"/>
        </w:rPr>
        <w:t>年</w:t>
      </w:r>
      <w:r>
        <w:rPr>
          <w:rFonts w:hint="eastAsia" w:ascii="仿宋_GB2312" w:hAnsi="仿宋_GB2312" w:eastAsia="仿宋_GB2312" w:cs="仿宋_GB2312"/>
          <w:color w:val="auto"/>
          <w:sz w:val="28"/>
          <w:szCs w:val="28"/>
          <w:highlight w:val="none"/>
          <w:u w:val="single"/>
          <w:lang w:val="en-US" w:eastAsia="zh-CN"/>
        </w:rPr>
        <w:t>6</w:t>
      </w:r>
      <w:r>
        <w:rPr>
          <w:rFonts w:hint="eastAsia" w:ascii="仿宋_GB2312" w:hAnsi="仿宋_GB2312" w:eastAsia="仿宋_GB2312" w:cs="仿宋_GB2312"/>
          <w:color w:val="auto"/>
          <w:sz w:val="28"/>
          <w:szCs w:val="28"/>
          <w:highlight w:val="none"/>
          <w:u w:val="single"/>
        </w:rPr>
        <w:t>月</w:t>
      </w:r>
      <w:r>
        <w:rPr>
          <w:rFonts w:hint="eastAsia" w:ascii="仿宋_GB2312" w:hAnsi="仿宋_GB2312" w:eastAsia="仿宋_GB2312" w:cs="仿宋_GB2312"/>
          <w:color w:val="auto"/>
          <w:sz w:val="28"/>
          <w:szCs w:val="28"/>
          <w:highlight w:val="none"/>
          <w:u w:val="single"/>
          <w:lang w:val="en-US" w:eastAsia="zh-CN"/>
        </w:rPr>
        <w:t>11</w:t>
      </w:r>
      <w:r>
        <w:rPr>
          <w:rFonts w:hint="eastAsia" w:ascii="仿宋_GB2312" w:hAnsi="仿宋_GB2312" w:eastAsia="仿宋_GB2312" w:cs="仿宋_GB2312"/>
          <w:color w:val="auto"/>
          <w:sz w:val="28"/>
          <w:szCs w:val="28"/>
          <w:highlight w:val="none"/>
          <w:u w:val="single"/>
        </w:rPr>
        <w:t>日</w:t>
      </w:r>
      <w:r>
        <w:rPr>
          <w:rFonts w:hint="eastAsia" w:ascii="仿宋_GB2312" w:hAnsi="仿宋_GB2312" w:eastAsia="仿宋_GB2312" w:cs="仿宋_GB2312"/>
          <w:color w:val="auto"/>
          <w:sz w:val="28"/>
          <w:szCs w:val="28"/>
          <w:highlight w:val="none"/>
          <w:u w:val="single"/>
          <w:lang w:val="en-US" w:eastAsia="zh-CN"/>
        </w:rPr>
        <w:t>14</w:t>
      </w:r>
      <w:r>
        <w:rPr>
          <w:rFonts w:hint="eastAsia" w:ascii="仿宋_GB2312" w:hAnsi="仿宋_GB2312" w:eastAsia="仿宋_GB2312" w:cs="仿宋_GB2312"/>
          <w:color w:val="auto"/>
          <w:sz w:val="28"/>
          <w:szCs w:val="28"/>
          <w:highlight w:val="none"/>
          <w:u w:val="single"/>
        </w:rPr>
        <w:t>时</w:t>
      </w:r>
      <w:r>
        <w:rPr>
          <w:rFonts w:hint="eastAsia" w:ascii="仿宋_GB2312" w:hAnsi="仿宋_GB2312" w:eastAsia="仿宋_GB2312" w:cs="仿宋_GB2312"/>
          <w:color w:val="auto"/>
          <w:sz w:val="28"/>
          <w:szCs w:val="28"/>
          <w:highlight w:val="none"/>
          <w:u w:val="single"/>
          <w:lang w:val="en-US" w:eastAsia="zh-CN"/>
        </w:rPr>
        <w:t>30</w:t>
      </w:r>
      <w:r>
        <w:rPr>
          <w:rFonts w:hint="eastAsia" w:ascii="仿宋_GB2312" w:hAnsi="仿宋_GB2312" w:eastAsia="仿宋_GB2312" w:cs="仿宋_GB2312"/>
          <w:color w:val="auto"/>
          <w:sz w:val="28"/>
          <w:szCs w:val="28"/>
          <w:highlight w:val="none"/>
          <w:u w:val="single"/>
        </w:rPr>
        <w:t>分00秒</w:t>
      </w:r>
      <w:r>
        <w:rPr>
          <w:rFonts w:hint="eastAsia" w:ascii="仿宋_GB2312" w:hAnsi="仿宋_GB2312" w:eastAsia="仿宋_GB2312" w:cs="仿宋_GB2312"/>
          <w:color w:val="auto"/>
          <w:sz w:val="28"/>
          <w:szCs w:val="28"/>
          <w:highlight w:val="none"/>
        </w:rPr>
        <w:t>。</w:t>
      </w:r>
      <w:r>
        <w:rPr>
          <w:rFonts w:hint="eastAsia" w:ascii="仿宋_GB2312" w:hAnsi="仿宋_GB2312" w:eastAsia="仿宋_GB2312" w:cs="仿宋_GB2312"/>
          <w:kern w:val="0"/>
          <w:sz w:val="28"/>
          <w:szCs w:val="28"/>
          <w:lang w:val="en-US" w:eastAsia="zh-CN" w:bidi="ar-SA"/>
        </w:rPr>
        <w:t>（时间如有调整则另行通知）</w:t>
      </w:r>
    </w:p>
    <w:p>
      <w:pPr>
        <w:pageBreakBefore w:val="0"/>
        <w:kinsoku/>
        <w:overflowPunct/>
        <w:topLinePunct w:val="0"/>
        <w:bidi w:val="0"/>
        <w:spacing w:line="240" w:lineRule="auto"/>
        <w:ind w:firstLine="560" w:firstLineChars="200"/>
        <w:jc w:val="left"/>
        <w:textAlignment w:val="baseline"/>
        <w:rPr>
          <w:rFonts w:hint="eastAsia" w:ascii="仿宋_GB2312" w:hAnsi="仿宋_GB2312" w:eastAsia="仿宋_GB2312" w:cs="仿宋_GB2312"/>
          <w:sz w:val="28"/>
          <w:szCs w:val="28"/>
          <w:highlight w:val="none"/>
        </w:rPr>
      </w:pPr>
      <w:r>
        <w:rPr>
          <w:rFonts w:hint="eastAsia" w:ascii="仿宋_GB2312" w:hAnsi="仿宋_GB2312" w:eastAsia="仿宋_GB2312" w:cs="仿宋_GB2312"/>
          <w:color w:val="000000"/>
          <w:sz w:val="28"/>
          <w:szCs w:val="28"/>
          <w:highlight w:val="none"/>
          <w:lang w:val="en-US" w:eastAsia="zh-CN"/>
        </w:rPr>
        <w:t>4</w:t>
      </w:r>
      <w:r>
        <w:rPr>
          <w:rFonts w:hint="eastAsia" w:ascii="仿宋_GB2312" w:hAnsi="仿宋_GB2312" w:eastAsia="仿宋_GB2312" w:cs="仿宋_GB2312"/>
          <w:color w:val="000000"/>
          <w:sz w:val="28"/>
          <w:szCs w:val="28"/>
          <w:highlight w:val="none"/>
        </w:rPr>
        <w:t>.2响应文件的递交</w:t>
      </w:r>
      <w:r>
        <w:rPr>
          <w:rFonts w:hint="eastAsia" w:ascii="仿宋_GB2312" w:hAnsi="仿宋_GB2312" w:eastAsia="仿宋_GB2312" w:cs="仿宋_GB2312"/>
          <w:color w:val="000000"/>
          <w:sz w:val="28"/>
          <w:szCs w:val="28"/>
          <w:highlight w:val="none"/>
          <w:lang w:val="en-US" w:eastAsia="zh-CN"/>
        </w:rPr>
        <w:t>地点</w:t>
      </w:r>
      <w:r>
        <w:rPr>
          <w:rFonts w:hint="eastAsia" w:ascii="仿宋_GB2312" w:hAnsi="仿宋_GB2312" w:eastAsia="仿宋_GB2312" w:cs="仿宋_GB2312"/>
          <w:color w:val="000000"/>
          <w:sz w:val="28"/>
          <w:szCs w:val="28"/>
          <w:highlight w:val="none"/>
        </w:rPr>
        <w:t>：河南省郑州市金水区黄河路116号附26号人保财险河南省分公司北楼三楼东会议室，</w:t>
      </w:r>
      <w:r>
        <w:rPr>
          <w:rFonts w:hint="eastAsia" w:ascii="仿宋_GB2312" w:hAnsi="仿宋_GB2312" w:eastAsia="仿宋_GB2312" w:cs="仿宋_GB2312"/>
          <w:b/>
          <w:bCs/>
          <w:color w:val="000000"/>
          <w:sz w:val="28"/>
          <w:szCs w:val="28"/>
          <w:highlight w:val="none"/>
        </w:rPr>
        <w:t>逾期送达或者未送达指定地点或者未按照</w:t>
      </w:r>
      <w:r>
        <w:rPr>
          <w:rFonts w:hint="eastAsia" w:ascii="仿宋_GB2312" w:hAnsi="仿宋_GB2312" w:eastAsia="仿宋_GB2312" w:cs="仿宋_GB2312"/>
          <w:b/>
          <w:bCs/>
          <w:color w:val="000000"/>
          <w:sz w:val="28"/>
          <w:szCs w:val="28"/>
          <w:highlight w:val="none"/>
          <w:lang w:val="en-US" w:eastAsia="zh-CN"/>
        </w:rPr>
        <w:t>比选</w:t>
      </w:r>
      <w:r>
        <w:rPr>
          <w:rFonts w:hint="eastAsia" w:ascii="仿宋_GB2312" w:hAnsi="仿宋_GB2312" w:eastAsia="仿宋_GB2312" w:cs="仿宋_GB2312"/>
          <w:b/>
          <w:bCs/>
          <w:color w:val="000000"/>
          <w:sz w:val="28"/>
          <w:szCs w:val="28"/>
          <w:highlight w:val="none"/>
        </w:rPr>
        <w:t>文件要求封装的纸质响应文件不予接收。</w:t>
      </w:r>
    </w:p>
    <w:p>
      <w:pPr>
        <w:pageBreakBefore w:val="0"/>
        <w:kinsoku/>
        <w:overflowPunct/>
        <w:topLinePunct w:val="0"/>
        <w:bidi w:val="0"/>
        <w:spacing w:line="240" w:lineRule="auto"/>
        <w:ind w:firstLine="560" w:firstLineChars="200"/>
        <w:textAlignment w:val="baseline"/>
        <w:rPr>
          <w:rFonts w:hint="eastAsia" w:ascii="仿宋_GB2312" w:hAnsi="仿宋_GB2312" w:eastAsia="仿宋_GB2312" w:cs="仿宋_GB2312"/>
          <w:b w:val="0"/>
          <w:bCs w:val="0"/>
          <w:color w:val="000000"/>
          <w:kern w:val="2"/>
          <w:sz w:val="28"/>
          <w:szCs w:val="28"/>
          <w:highlight w:val="none"/>
          <w:lang w:val="en-US" w:eastAsia="zh-CN" w:bidi="ar-SA"/>
        </w:rPr>
      </w:pPr>
      <w:r>
        <w:rPr>
          <w:rFonts w:hint="eastAsia" w:ascii="仿宋_GB2312" w:hAnsi="仿宋_GB2312" w:eastAsia="仿宋_GB2312" w:cs="仿宋_GB2312"/>
          <w:b w:val="0"/>
          <w:color w:val="000000"/>
          <w:kern w:val="2"/>
          <w:sz w:val="28"/>
          <w:szCs w:val="28"/>
          <w:highlight w:val="none"/>
          <w:lang w:val="en-US" w:eastAsia="zh-CN" w:bidi="ar-SA"/>
        </w:rPr>
        <w:t>4.3</w:t>
      </w:r>
      <w:r>
        <w:rPr>
          <w:rFonts w:hint="eastAsia" w:ascii="仿宋_GB2312" w:hAnsi="仿宋_GB2312" w:eastAsia="仿宋_GB2312" w:cs="仿宋_GB2312"/>
          <w:b w:val="0"/>
          <w:bCs w:val="0"/>
          <w:color w:val="000000"/>
          <w:kern w:val="2"/>
          <w:sz w:val="28"/>
          <w:szCs w:val="28"/>
          <w:highlight w:val="none"/>
          <w:lang w:val="en-US" w:eastAsia="zh-CN" w:bidi="ar-SA"/>
        </w:rPr>
        <w:t>本项目将于上述同一时间、地点进行比选，</w:t>
      </w:r>
      <w:r>
        <w:rPr>
          <w:rFonts w:hint="eastAsia" w:ascii="仿宋_GB2312" w:hAnsi="仿宋_GB2312" w:eastAsia="仿宋_GB2312" w:cs="仿宋_GB2312"/>
          <w:b w:val="0"/>
          <w:bCs w:val="0"/>
          <w:color w:val="auto"/>
          <w:kern w:val="2"/>
          <w:sz w:val="28"/>
          <w:szCs w:val="28"/>
          <w:highlight w:val="none"/>
          <w:lang w:val="en-US" w:eastAsia="zh-CN" w:bidi="ar-SA"/>
        </w:rPr>
        <w:t>采购人/采购代理机构邀</w:t>
      </w:r>
      <w:r>
        <w:rPr>
          <w:rFonts w:hint="eastAsia" w:ascii="仿宋_GB2312" w:hAnsi="仿宋_GB2312" w:eastAsia="仿宋_GB2312" w:cs="仿宋_GB2312"/>
          <w:b w:val="0"/>
          <w:bCs w:val="0"/>
          <w:color w:val="000000"/>
          <w:kern w:val="2"/>
          <w:sz w:val="28"/>
          <w:szCs w:val="28"/>
          <w:highlight w:val="none"/>
          <w:lang w:val="en-US" w:eastAsia="zh-CN" w:bidi="ar-SA"/>
        </w:rPr>
        <w:t>请供应商代表准时参加。</w:t>
      </w:r>
    </w:p>
    <w:p>
      <w:pPr>
        <w:pStyle w:val="5"/>
        <w:pageBreakBefore w:val="0"/>
        <w:kinsoku/>
        <w:overflowPunct/>
        <w:topLinePunct w:val="0"/>
        <w:bidi w:val="0"/>
        <w:spacing w:line="240" w:lineRule="auto"/>
        <w:ind w:firstLine="0" w:firstLineChars="0"/>
        <w:jc w:val="left"/>
        <w:rPr>
          <w:rFonts w:hint="eastAsia" w:ascii="仿宋_GB2312" w:hAnsi="仿宋_GB2312" w:eastAsia="仿宋_GB2312" w:cs="仿宋_GB2312"/>
          <w:color w:val="000000"/>
          <w:sz w:val="28"/>
          <w:szCs w:val="28"/>
          <w:highlight w:val="none"/>
        </w:rPr>
      </w:pPr>
      <w:bookmarkStart w:id="11" w:name="_Toc874"/>
      <w:r>
        <w:rPr>
          <w:rFonts w:hint="eastAsia" w:ascii="仿宋_GB2312" w:hAnsi="仿宋_GB2312" w:eastAsia="仿宋_GB2312" w:cs="仿宋_GB2312"/>
          <w:color w:val="000000"/>
          <w:sz w:val="28"/>
          <w:szCs w:val="28"/>
          <w:highlight w:val="none"/>
          <w:lang w:val="en-US" w:eastAsia="zh-CN"/>
        </w:rPr>
        <w:t>五</w:t>
      </w:r>
      <w:r>
        <w:rPr>
          <w:rFonts w:hint="eastAsia" w:ascii="仿宋_GB2312" w:hAnsi="仿宋_GB2312" w:eastAsia="仿宋_GB2312" w:cs="仿宋_GB2312"/>
          <w:color w:val="000000"/>
          <w:sz w:val="28"/>
          <w:szCs w:val="28"/>
          <w:highlight w:val="none"/>
        </w:rPr>
        <w:t>、发布公告的媒介</w:t>
      </w:r>
      <w:bookmarkEnd w:id="11"/>
    </w:p>
    <w:p>
      <w:pPr>
        <w:pageBreakBefore w:val="0"/>
        <w:kinsoku/>
        <w:overflowPunct/>
        <w:topLinePunct w:val="0"/>
        <w:bidi w:val="0"/>
        <w:spacing w:line="240" w:lineRule="auto"/>
        <w:ind w:firstLine="560" w:firstLineChars="200"/>
        <w:jc w:val="left"/>
        <w:textAlignment w:val="baseline"/>
        <w:rPr>
          <w:rFonts w:hint="eastAsia" w:ascii="仿宋_GB2312" w:hAnsi="仿宋_GB2312" w:eastAsia="仿宋_GB2312" w:cs="仿宋_GB2312"/>
          <w:color w:val="000000"/>
          <w:sz w:val="28"/>
          <w:szCs w:val="28"/>
          <w:highlight w:val="none"/>
        </w:rPr>
      </w:pPr>
      <w:bookmarkStart w:id="12" w:name="_Toc30596"/>
      <w:r>
        <w:rPr>
          <w:rFonts w:hint="eastAsia" w:ascii="仿宋_GB2312" w:hAnsi="仿宋_GB2312" w:eastAsia="仿宋_GB2312" w:cs="仿宋_GB2312"/>
          <w:color w:val="000000"/>
          <w:sz w:val="28"/>
          <w:szCs w:val="28"/>
          <w:highlight w:val="none"/>
        </w:rPr>
        <w:t>本项目</w:t>
      </w:r>
      <w:r>
        <w:rPr>
          <w:rFonts w:hint="eastAsia" w:ascii="仿宋_GB2312" w:hAnsi="仿宋_GB2312" w:eastAsia="仿宋_GB2312" w:cs="仿宋_GB2312"/>
          <w:color w:val="000000"/>
          <w:sz w:val="28"/>
          <w:szCs w:val="28"/>
          <w:highlight w:val="none"/>
          <w:lang w:eastAsia="zh-CN"/>
        </w:rPr>
        <w:t>比选</w:t>
      </w:r>
      <w:r>
        <w:rPr>
          <w:rFonts w:hint="eastAsia" w:ascii="仿宋_GB2312" w:hAnsi="仿宋_GB2312" w:eastAsia="仿宋_GB2312" w:cs="仿宋_GB2312"/>
          <w:color w:val="000000"/>
          <w:sz w:val="28"/>
          <w:szCs w:val="28"/>
          <w:highlight w:val="none"/>
        </w:rPr>
        <w:t>公告在“人保e采”外网门户（https://ec.picc.com/）上发布</w:t>
      </w:r>
      <w:r>
        <w:rPr>
          <w:rFonts w:hint="eastAsia" w:ascii="仿宋_GB2312" w:hAnsi="仿宋_GB2312" w:eastAsia="仿宋_GB2312" w:cs="仿宋_GB2312"/>
          <w:color w:val="000000"/>
          <w:sz w:val="28"/>
          <w:szCs w:val="28"/>
          <w:highlight w:val="none"/>
          <w:lang w:eastAsia="zh-CN"/>
        </w:rPr>
        <w:t>。</w:t>
      </w:r>
      <w:bookmarkStart w:id="13" w:name="_GoBack"/>
      <w:bookmarkEnd w:id="13"/>
    </w:p>
    <w:p>
      <w:pPr>
        <w:pStyle w:val="5"/>
        <w:pageBreakBefore w:val="0"/>
        <w:kinsoku/>
        <w:overflowPunct/>
        <w:topLinePunct w:val="0"/>
        <w:bidi w:val="0"/>
        <w:spacing w:line="240" w:lineRule="auto"/>
        <w:ind w:firstLine="0" w:firstLineChars="0"/>
        <w:jc w:val="left"/>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lang w:val="en-US" w:eastAsia="zh-CN"/>
        </w:rPr>
        <w:t>六</w:t>
      </w:r>
      <w:r>
        <w:rPr>
          <w:rFonts w:hint="eastAsia" w:ascii="仿宋_GB2312" w:hAnsi="仿宋_GB2312" w:eastAsia="仿宋_GB2312" w:cs="仿宋_GB2312"/>
          <w:color w:val="000000"/>
          <w:sz w:val="28"/>
          <w:szCs w:val="28"/>
          <w:highlight w:val="none"/>
        </w:rPr>
        <w:t>、联系方式</w:t>
      </w:r>
      <w:bookmarkEnd w:id="12"/>
    </w:p>
    <w:p>
      <w:pPr>
        <w:pageBreakBefore w:val="0"/>
        <w:tabs>
          <w:tab w:val="left" w:pos="-105"/>
          <w:tab w:val="left" w:pos="420"/>
          <w:tab w:val="left" w:pos="630"/>
          <w:tab w:val="left" w:pos="1155"/>
          <w:tab w:val="left" w:pos="1890"/>
          <w:tab w:val="left" w:pos="3150"/>
          <w:tab w:val="left" w:pos="3780"/>
        </w:tabs>
        <w:kinsoku/>
        <w:overflowPunct/>
        <w:topLinePunct w:val="0"/>
        <w:bidi w:val="0"/>
        <w:spacing w:line="240" w:lineRule="auto"/>
        <w:ind w:firstLine="492" w:firstLineChars="175"/>
        <w:jc w:val="left"/>
        <w:rPr>
          <w:rFonts w:hint="eastAsia" w:ascii="仿宋_GB2312" w:hAnsi="仿宋_GB2312" w:eastAsia="仿宋_GB2312" w:cs="仿宋_GB2312"/>
          <w:b/>
          <w:bCs/>
          <w:color w:val="auto"/>
          <w:sz w:val="28"/>
          <w:szCs w:val="28"/>
          <w:highlight w:val="none"/>
        </w:rPr>
      </w:pPr>
      <w:r>
        <w:rPr>
          <w:rFonts w:hint="eastAsia" w:ascii="仿宋_GB2312" w:hAnsi="仿宋_GB2312" w:eastAsia="仿宋_GB2312" w:cs="仿宋_GB2312"/>
          <w:b/>
          <w:bCs/>
          <w:color w:val="auto"/>
          <w:sz w:val="28"/>
          <w:szCs w:val="28"/>
          <w:highlight w:val="none"/>
        </w:rPr>
        <w:t>采购人：中国人民财产保险股份有限公司</w:t>
      </w:r>
      <w:r>
        <w:rPr>
          <w:rFonts w:hint="eastAsia" w:ascii="仿宋_GB2312" w:hAnsi="仿宋_GB2312" w:eastAsia="仿宋_GB2312" w:cs="仿宋_GB2312"/>
          <w:b/>
          <w:bCs/>
          <w:color w:val="auto"/>
          <w:sz w:val="28"/>
          <w:szCs w:val="28"/>
          <w:highlight w:val="none"/>
          <w:lang w:val="en-US" w:eastAsia="zh-CN"/>
        </w:rPr>
        <w:t>河南</w:t>
      </w:r>
      <w:r>
        <w:rPr>
          <w:rFonts w:hint="eastAsia" w:ascii="仿宋_GB2312" w:hAnsi="仿宋_GB2312" w:eastAsia="仿宋_GB2312" w:cs="仿宋_GB2312"/>
          <w:b/>
          <w:bCs/>
          <w:color w:val="auto"/>
          <w:sz w:val="28"/>
          <w:szCs w:val="28"/>
          <w:highlight w:val="none"/>
        </w:rPr>
        <w:t>分公司</w:t>
      </w:r>
    </w:p>
    <w:p>
      <w:pPr>
        <w:pageBreakBefore w:val="0"/>
        <w:kinsoku/>
        <w:overflowPunct/>
        <w:topLinePunct w:val="0"/>
        <w:bidi w:val="0"/>
        <w:spacing w:line="240" w:lineRule="auto"/>
        <w:ind w:firstLine="490" w:firstLineChars="175"/>
        <w:jc w:val="lef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地址：河南省郑州市金水区黄河路116号附26号</w:t>
      </w:r>
    </w:p>
    <w:p>
      <w:pPr>
        <w:pStyle w:val="2"/>
        <w:pageBreakBefore w:val="0"/>
        <w:kinsoku/>
        <w:overflowPunct/>
        <w:topLinePunct w:val="0"/>
        <w:bidi w:val="0"/>
        <w:spacing w:afterAutospacing="0" w:line="240" w:lineRule="auto"/>
        <w:ind w:firstLine="420" w:firstLineChars="0"/>
        <w:jc w:val="left"/>
        <w:rPr>
          <w:rFonts w:hint="default"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highlight w:val="none"/>
          <w:lang w:val="en-US" w:eastAsia="zh-CN"/>
        </w:rPr>
        <w:t>联系人：刘金磊</w:t>
      </w:r>
    </w:p>
    <w:p>
      <w:pPr>
        <w:pStyle w:val="2"/>
        <w:pageBreakBefore w:val="0"/>
        <w:kinsoku/>
        <w:overflowPunct/>
        <w:topLinePunct w:val="0"/>
        <w:bidi w:val="0"/>
        <w:spacing w:before="58" w:beforeLines="18" w:beforeAutospacing="0" w:line="240" w:lineRule="auto"/>
        <w:ind w:firstLine="420" w:firstLineChars="0"/>
        <w:jc w:val="left"/>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highlight w:val="none"/>
          <w:lang w:val="en-US" w:eastAsia="zh-CN"/>
        </w:rPr>
        <w:t>联系电话：15036068673</w:t>
      </w:r>
    </w:p>
    <w:p>
      <w:pPr>
        <w:pStyle w:val="2"/>
        <w:pageBreakBefore w:val="0"/>
        <w:kinsoku/>
        <w:overflowPunct/>
        <w:topLinePunct w:val="0"/>
        <w:bidi w:val="0"/>
        <w:spacing w:before="58" w:beforeLines="18" w:beforeAutospacing="0" w:line="240" w:lineRule="auto"/>
        <w:ind w:firstLine="420" w:firstLineChars="0"/>
        <w:jc w:val="left"/>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highlight w:val="none"/>
          <w:lang w:val="en-US" w:eastAsia="zh-CN"/>
        </w:rPr>
        <w:t>电子邮箱：</w:t>
      </w:r>
      <w:r>
        <w:rPr>
          <w:rFonts w:hint="eastAsia" w:ascii="仿宋_GB2312" w:hAnsi="仿宋_GB2312" w:eastAsia="仿宋_GB2312" w:cs="仿宋_GB2312"/>
          <w:color w:val="000000"/>
          <w:sz w:val="28"/>
          <w:szCs w:val="28"/>
          <w:highlight w:val="none"/>
          <w:lang w:val="en-US" w:eastAsia="zh-CN"/>
        </w:rPr>
        <w:fldChar w:fldCharType="begin"/>
      </w:r>
      <w:r>
        <w:rPr>
          <w:rFonts w:hint="eastAsia" w:ascii="仿宋_GB2312" w:hAnsi="仿宋_GB2312" w:eastAsia="仿宋_GB2312" w:cs="仿宋_GB2312"/>
          <w:color w:val="000000"/>
          <w:sz w:val="28"/>
          <w:szCs w:val="28"/>
          <w:highlight w:val="none"/>
          <w:lang w:val="en-US" w:eastAsia="zh-CN"/>
        </w:rPr>
        <w:instrText xml:space="preserve"> HYPERLINK "mailto:liujinlei01@hen.picc.com.cn" </w:instrText>
      </w:r>
      <w:r>
        <w:rPr>
          <w:rFonts w:hint="eastAsia" w:ascii="仿宋_GB2312" w:hAnsi="仿宋_GB2312" w:eastAsia="仿宋_GB2312" w:cs="仿宋_GB2312"/>
          <w:color w:val="000000"/>
          <w:sz w:val="28"/>
          <w:szCs w:val="28"/>
          <w:highlight w:val="none"/>
          <w:lang w:val="en-US" w:eastAsia="zh-CN"/>
        </w:rPr>
        <w:fldChar w:fldCharType="separate"/>
      </w:r>
      <w:r>
        <w:rPr>
          <w:rStyle w:val="15"/>
          <w:rFonts w:hint="eastAsia" w:ascii="仿宋_GB2312" w:hAnsi="仿宋_GB2312" w:eastAsia="仿宋_GB2312" w:cs="仿宋_GB2312"/>
          <w:color w:val="000000"/>
          <w:sz w:val="28"/>
          <w:szCs w:val="28"/>
          <w:highlight w:val="none"/>
          <w:lang w:val="en-US" w:eastAsia="zh-CN"/>
        </w:rPr>
        <w:t>liujinlei01@hen.picc.com.cn</w:t>
      </w:r>
      <w:r>
        <w:rPr>
          <w:rFonts w:hint="eastAsia" w:ascii="仿宋_GB2312" w:hAnsi="仿宋_GB2312" w:eastAsia="仿宋_GB2312" w:cs="仿宋_GB2312"/>
          <w:color w:val="000000"/>
          <w:sz w:val="28"/>
          <w:szCs w:val="28"/>
          <w:highlight w:val="none"/>
          <w:lang w:val="en-US" w:eastAsia="zh-CN"/>
        </w:rPr>
        <w:fldChar w:fldCharType="end"/>
      </w:r>
    </w:p>
    <w:p>
      <w:pPr>
        <w:pageBreakBefore w:val="0"/>
        <w:kinsoku/>
        <w:overflowPunct/>
        <w:topLinePunct w:val="0"/>
        <w:bidi w:val="0"/>
        <w:spacing w:line="240" w:lineRule="auto"/>
        <w:ind w:firstLine="490" w:firstLineChars="175"/>
        <w:jc w:val="left"/>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监督电话：0371-65990220</w:t>
      </w:r>
    </w:p>
    <w:p>
      <w:pPr>
        <w:pageBreakBefore w:val="0"/>
        <w:kinsoku/>
        <w:overflowPunct/>
        <w:topLinePunct w:val="0"/>
        <w:bidi w:val="0"/>
        <w:spacing w:line="240" w:lineRule="auto"/>
        <w:ind w:firstLine="490" w:firstLineChars="175"/>
        <w:jc w:val="left"/>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邮箱：jiandujubao-hen@hen.picc.com.cn</w:t>
      </w:r>
    </w:p>
    <w:p>
      <w:pPr>
        <w:pageBreakBefore w:val="0"/>
        <w:kinsoku/>
        <w:overflowPunct/>
        <w:topLinePunct w:val="0"/>
        <w:bidi w:val="0"/>
        <w:spacing w:line="240" w:lineRule="auto"/>
        <w:ind w:firstLine="490" w:firstLineChars="175"/>
        <w:jc w:val="left"/>
        <w:rPr>
          <w:rFonts w:hint="eastAsia" w:ascii="仿宋_GB2312" w:hAnsi="仿宋_GB2312" w:eastAsia="仿宋_GB2312" w:cs="仿宋_GB2312"/>
          <w:color w:val="auto"/>
          <w:sz w:val="28"/>
          <w:szCs w:val="28"/>
          <w:highlight w:val="none"/>
          <w:lang w:val="en-US" w:eastAsia="zh-CN"/>
        </w:rPr>
      </w:pPr>
    </w:p>
    <w:p>
      <w:pPr>
        <w:pageBreakBefore w:val="0"/>
        <w:kinsoku/>
        <w:overflowPunct/>
        <w:topLinePunct w:val="0"/>
        <w:bidi w:val="0"/>
        <w:spacing w:line="240" w:lineRule="auto"/>
        <w:ind w:firstLine="560" w:firstLineChars="200"/>
        <w:jc w:val="right"/>
        <w:textAlignment w:val="baseline"/>
        <w:rPr>
          <w:rFonts w:hint="eastAsia" w:ascii="仿宋_GB2312" w:hAnsi="仿宋_GB2312" w:eastAsia="仿宋_GB2312" w:cs="仿宋_GB2312"/>
          <w:color w:val="FF0000"/>
          <w:sz w:val="28"/>
          <w:szCs w:val="28"/>
          <w:highlight w:val="none"/>
        </w:rPr>
      </w:pPr>
    </w:p>
    <w:p>
      <w:pPr>
        <w:pageBreakBefore w:val="0"/>
        <w:kinsoku/>
        <w:overflowPunct/>
        <w:topLinePunct w:val="0"/>
        <w:bidi w:val="0"/>
        <w:spacing w:line="240" w:lineRule="auto"/>
        <w:ind w:firstLine="560" w:firstLineChars="200"/>
        <w:jc w:val="right"/>
        <w:textAlignment w:val="baseline"/>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采购人：中国人民财产保险股份有限公司</w:t>
      </w:r>
      <w:r>
        <w:rPr>
          <w:rFonts w:hint="eastAsia" w:ascii="仿宋_GB2312" w:hAnsi="仿宋_GB2312" w:eastAsia="仿宋_GB2312" w:cs="仿宋_GB2312"/>
          <w:color w:val="auto"/>
          <w:sz w:val="28"/>
          <w:szCs w:val="28"/>
          <w:highlight w:val="none"/>
          <w:lang w:val="en-US" w:eastAsia="zh-CN"/>
        </w:rPr>
        <w:t>河南省</w:t>
      </w:r>
      <w:r>
        <w:rPr>
          <w:rFonts w:hint="eastAsia" w:ascii="仿宋_GB2312" w:hAnsi="仿宋_GB2312" w:eastAsia="仿宋_GB2312" w:cs="仿宋_GB2312"/>
          <w:color w:val="auto"/>
          <w:sz w:val="28"/>
          <w:szCs w:val="28"/>
          <w:highlight w:val="none"/>
        </w:rPr>
        <w:t>分公司</w:t>
      </w:r>
    </w:p>
    <w:p>
      <w:pPr>
        <w:pageBreakBefore w:val="0"/>
        <w:kinsoku/>
        <w:overflowPunct/>
        <w:topLinePunct w:val="0"/>
        <w:bidi w:val="0"/>
        <w:spacing w:line="240" w:lineRule="auto"/>
        <w:ind w:firstLine="560" w:firstLineChars="200"/>
        <w:jc w:val="right"/>
        <w:textAlignment w:val="baseline"/>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202</w:t>
      </w:r>
      <w:r>
        <w:rPr>
          <w:rFonts w:hint="eastAsia" w:ascii="仿宋_GB2312" w:hAnsi="仿宋_GB2312" w:eastAsia="仿宋_GB2312" w:cs="仿宋_GB2312"/>
          <w:color w:val="auto"/>
          <w:sz w:val="28"/>
          <w:szCs w:val="28"/>
          <w:highlight w:val="none"/>
          <w:lang w:val="en-US" w:eastAsia="zh-CN"/>
        </w:rPr>
        <w:t>6</w:t>
      </w:r>
      <w:r>
        <w:rPr>
          <w:rFonts w:hint="eastAsia" w:ascii="仿宋_GB2312" w:hAnsi="仿宋_GB2312" w:eastAsia="仿宋_GB2312" w:cs="仿宋_GB2312"/>
          <w:color w:val="auto"/>
          <w:sz w:val="28"/>
          <w:szCs w:val="28"/>
          <w:highlight w:val="none"/>
        </w:rPr>
        <w:t>年</w:t>
      </w:r>
      <w:r>
        <w:rPr>
          <w:rFonts w:hint="eastAsia" w:ascii="仿宋_GB2312" w:hAnsi="仿宋_GB2312" w:eastAsia="仿宋_GB2312" w:cs="仿宋_GB2312"/>
          <w:color w:val="auto"/>
          <w:sz w:val="28"/>
          <w:szCs w:val="28"/>
          <w:highlight w:val="none"/>
          <w:lang w:val="en-US" w:eastAsia="zh-CN"/>
        </w:rPr>
        <w:t>6</w:t>
      </w:r>
      <w:r>
        <w:rPr>
          <w:rFonts w:hint="eastAsia" w:ascii="仿宋_GB2312" w:hAnsi="仿宋_GB2312" w:eastAsia="仿宋_GB2312" w:cs="仿宋_GB2312"/>
          <w:color w:val="auto"/>
          <w:sz w:val="28"/>
          <w:szCs w:val="28"/>
          <w:highlight w:val="none"/>
        </w:rPr>
        <w:t>月</w:t>
      </w:r>
      <w:r>
        <w:rPr>
          <w:rFonts w:hint="eastAsia" w:ascii="仿宋_GB2312" w:hAnsi="仿宋_GB2312" w:eastAsia="仿宋_GB2312" w:cs="仿宋_GB2312"/>
          <w:color w:val="auto"/>
          <w:sz w:val="28"/>
          <w:szCs w:val="28"/>
          <w:highlight w:val="none"/>
          <w:lang w:val="en-US" w:eastAsia="zh-CN"/>
        </w:rPr>
        <w:t>1</w:t>
      </w:r>
      <w:r>
        <w:rPr>
          <w:rFonts w:hint="eastAsia" w:ascii="仿宋_GB2312" w:hAnsi="仿宋_GB2312" w:eastAsia="仿宋_GB2312" w:cs="仿宋_GB2312"/>
          <w:color w:val="auto"/>
          <w:sz w:val="28"/>
          <w:szCs w:val="28"/>
          <w:highlight w:val="none"/>
        </w:rPr>
        <w:t>日</w:t>
      </w:r>
    </w:p>
    <w:p>
      <w:pPr>
        <w:pageBreakBefore w:val="0"/>
        <w:widowControl/>
        <w:tabs>
          <w:tab w:val="center" w:pos="4313"/>
        </w:tabs>
        <w:kinsoku/>
        <w:overflowPunct/>
        <w:topLinePunct w:val="0"/>
        <w:autoSpaceDE w:val="0"/>
        <w:autoSpaceDN w:val="0"/>
        <w:bidi w:val="0"/>
        <w:adjustRightInd w:val="0"/>
        <w:snapToGrid w:val="0"/>
        <w:spacing w:line="240" w:lineRule="auto"/>
        <w:jc w:val="center"/>
        <w:textAlignment w:val="baseline"/>
        <w:outlineLvl w:val="0"/>
        <w:rPr>
          <w:rFonts w:hint="eastAsia" w:ascii="方正小标宋简体" w:hAnsi="方正小标宋简体" w:eastAsia="方正小标宋简体" w:cs="方正小标宋简体"/>
          <w:snapToGrid w:val="0"/>
          <w:color w:val="000000"/>
          <w:kern w:val="0"/>
          <w:sz w:val="36"/>
          <w:szCs w:val="36"/>
          <w:highlight w:val="none"/>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B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3F15CA"/>
    <w:rsid w:val="051B326D"/>
    <w:rsid w:val="052615FE"/>
    <w:rsid w:val="0937330E"/>
    <w:rsid w:val="09B92B16"/>
    <w:rsid w:val="0B752658"/>
    <w:rsid w:val="0C8D3A83"/>
    <w:rsid w:val="0C9F68C2"/>
    <w:rsid w:val="0F600249"/>
    <w:rsid w:val="0FC31544"/>
    <w:rsid w:val="123C2076"/>
    <w:rsid w:val="12B738B7"/>
    <w:rsid w:val="13966E30"/>
    <w:rsid w:val="1426159E"/>
    <w:rsid w:val="14370BB7"/>
    <w:rsid w:val="14ED2C64"/>
    <w:rsid w:val="14F9049E"/>
    <w:rsid w:val="15743D5B"/>
    <w:rsid w:val="16653E28"/>
    <w:rsid w:val="17543053"/>
    <w:rsid w:val="17A53A7B"/>
    <w:rsid w:val="189958CC"/>
    <w:rsid w:val="19EF587B"/>
    <w:rsid w:val="1A7502CC"/>
    <w:rsid w:val="1B7D0F94"/>
    <w:rsid w:val="1BBB0ED2"/>
    <w:rsid w:val="1D60546A"/>
    <w:rsid w:val="1E09245B"/>
    <w:rsid w:val="1F3E77A1"/>
    <w:rsid w:val="1F4E1942"/>
    <w:rsid w:val="203E5DA7"/>
    <w:rsid w:val="223E40CB"/>
    <w:rsid w:val="23434580"/>
    <w:rsid w:val="245C47B5"/>
    <w:rsid w:val="25E565F3"/>
    <w:rsid w:val="263D0D74"/>
    <w:rsid w:val="268E133C"/>
    <w:rsid w:val="27A705BE"/>
    <w:rsid w:val="2A6B1F44"/>
    <w:rsid w:val="2DED531B"/>
    <w:rsid w:val="2FD8768A"/>
    <w:rsid w:val="306D20EC"/>
    <w:rsid w:val="30E97D54"/>
    <w:rsid w:val="32F566AF"/>
    <w:rsid w:val="331A6A2F"/>
    <w:rsid w:val="33F96AFB"/>
    <w:rsid w:val="34902392"/>
    <w:rsid w:val="35314224"/>
    <w:rsid w:val="35972EA1"/>
    <w:rsid w:val="373C572E"/>
    <w:rsid w:val="37D50FEE"/>
    <w:rsid w:val="3A9F75B9"/>
    <w:rsid w:val="3B5709E5"/>
    <w:rsid w:val="3BDA5417"/>
    <w:rsid w:val="3C901B6F"/>
    <w:rsid w:val="3DD6592F"/>
    <w:rsid w:val="3E5C2D7B"/>
    <w:rsid w:val="3FB278E1"/>
    <w:rsid w:val="41F80236"/>
    <w:rsid w:val="425F1FBB"/>
    <w:rsid w:val="44514D68"/>
    <w:rsid w:val="4582269B"/>
    <w:rsid w:val="460573F1"/>
    <w:rsid w:val="46091EC4"/>
    <w:rsid w:val="487765CB"/>
    <w:rsid w:val="4882019F"/>
    <w:rsid w:val="48D650C2"/>
    <w:rsid w:val="497C6E74"/>
    <w:rsid w:val="49D91E1F"/>
    <w:rsid w:val="4BFC3701"/>
    <w:rsid w:val="4C28579F"/>
    <w:rsid w:val="4DB952EE"/>
    <w:rsid w:val="4DC4695C"/>
    <w:rsid w:val="4E40003F"/>
    <w:rsid w:val="51B6448E"/>
    <w:rsid w:val="528662F0"/>
    <w:rsid w:val="531E73F0"/>
    <w:rsid w:val="55840350"/>
    <w:rsid w:val="55997E7C"/>
    <w:rsid w:val="58CC44BC"/>
    <w:rsid w:val="5BF670A5"/>
    <w:rsid w:val="5FB95E27"/>
    <w:rsid w:val="606740D2"/>
    <w:rsid w:val="61052F26"/>
    <w:rsid w:val="61581510"/>
    <w:rsid w:val="61C26401"/>
    <w:rsid w:val="62340FAB"/>
    <w:rsid w:val="62D56FA3"/>
    <w:rsid w:val="641E024B"/>
    <w:rsid w:val="64BA1C4E"/>
    <w:rsid w:val="662C40AE"/>
    <w:rsid w:val="68747772"/>
    <w:rsid w:val="6A5C0B1C"/>
    <w:rsid w:val="6B8839C0"/>
    <w:rsid w:val="6C4A6B37"/>
    <w:rsid w:val="6D232AE4"/>
    <w:rsid w:val="6F2F6B4D"/>
    <w:rsid w:val="6F60192C"/>
    <w:rsid w:val="712E5096"/>
    <w:rsid w:val="73B30B46"/>
    <w:rsid w:val="73DC62AF"/>
    <w:rsid w:val="75596EB6"/>
    <w:rsid w:val="75B9436A"/>
    <w:rsid w:val="75FB4F85"/>
    <w:rsid w:val="761A3AFE"/>
    <w:rsid w:val="7A8C5508"/>
    <w:rsid w:val="7ABD6846"/>
    <w:rsid w:val="7AD205BF"/>
    <w:rsid w:val="7B286F3A"/>
    <w:rsid w:val="7BEC6A46"/>
    <w:rsid w:val="7C0F57C3"/>
    <w:rsid w:val="7EC2601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5">
    <w:name w:val="heading 2"/>
    <w:basedOn w:val="1"/>
    <w:next w:val="1"/>
    <w:qFormat/>
    <w:uiPriority w:val="0"/>
    <w:pPr>
      <w:keepNext/>
      <w:keepLines/>
      <w:spacing w:line="360" w:lineRule="auto"/>
      <w:ind w:firstLine="540" w:firstLineChars="192"/>
      <w:jc w:val="center"/>
      <w:outlineLvl w:val="1"/>
    </w:pPr>
    <w:rPr>
      <w:rFonts w:ascii="Arial" w:hAnsi="Arial"/>
      <w:b/>
      <w:bCs/>
      <w:color w:val="FF0000"/>
      <w:sz w:val="28"/>
      <w:szCs w:val="32"/>
    </w:rPr>
  </w:style>
  <w:style w:type="character" w:default="1" w:styleId="14">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jc w:val="center"/>
    </w:pPr>
    <w:rPr>
      <w:sz w:val="52"/>
    </w:rPr>
  </w:style>
  <w:style w:type="paragraph" w:styleId="3">
    <w:name w:val="Body Text 2"/>
    <w:basedOn w:val="1"/>
    <w:next w:val="2"/>
    <w:qFormat/>
    <w:uiPriority w:val="0"/>
    <w:rPr>
      <w:sz w:val="28"/>
    </w:rPr>
  </w:style>
  <w:style w:type="paragraph" w:styleId="6">
    <w:name w:val="Normal Indent"/>
    <w:basedOn w:val="1"/>
    <w:qFormat/>
    <w:uiPriority w:val="0"/>
    <w:pPr>
      <w:widowControl/>
      <w:ind w:firstLine="420"/>
      <w:jc w:val="left"/>
    </w:pPr>
    <w:rPr>
      <w:kern w:val="0"/>
      <w:sz w:val="20"/>
      <w:szCs w:val="20"/>
    </w:rPr>
  </w:style>
  <w:style w:type="paragraph" w:styleId="7">
    <w:name w:val="Body Text Indent"/>
    <w:basedOn w:val="1"/>
    <w:next w:val="8"/>
    <w:qFormat/>
    <w:uiPriority w:val="0"/>
    <w:pPr>
      <w:spacing w:line="400" w:lineRule="exact"/>
      <w:ind w:firstLine="560" w:firstLineChars="200"/>
    </w:pPr>
    <w:rPr>
      <w:sz w:val="28"/>
      <w:u w:val="single"/>
    </w:rPr>
  </w:style>
  <w:style w:type="paragraph" w:styleId="8">
    <w:name w:val="envelope return"/>
    <w:basedOn w:val="1"/>
    <w:qFormat/>
    <w:uiPriority w:val="0"/>
  </w:style>
  <w:style w:type="paragraph" w:styleId="9">
    <w:name w:val="Block Text"/>
    <w:basedOn w:val="1"/>
    <w:qFormat/>
    <w:uiPriority w:val="0"/>
    <w:pPr>
      <w:widowControl w:val="0"/>
      <w:jc w:val="both"/>
    </w:pPr>
    <w:rPr>
      <w:rFonts w:ascii="Calibri" w:hAnsi="Calibri" w:eastAsia="宋体" w:cs="Times New Roman"/>
      <w:kern w:val="2"/>
      <w:sz w:val="21"/>
      <w:szCs w:val="24"/>
      <w:lang w:val="en-US" w:eastAsia="zh-CN" w:bidi="ar-SA"/>
    </w:rPr>
  </w:style>
  <w:style w:type="paragraph" w:styleId="10">
    <w:name w:val="footer"/>
    <w:basedOn w:val="1"/>
    <w:qFormat/>
    <w:uiPriority w:val="99"/>
    <w:pPr>
      <w:tabs>
        <w:tab w:val="center" w:pos="4153"/>
        <w:tab w:val="right" w:pos="8306"/>
      </w:tabs>
      <w:snapToGrid w:val="0"/>
      <w:jc w:val="left"/>
    </w:pPr>
    <w:rPr>
      <w:sz w:val="18"/>
      <w:szCs w:val="18"/>
    </w:rPr>
  </w:style>
  <w:style w:type="paragraph" w:styleId="11">
    <w:name w:val="header"/>
    <w:basedOn w:val="1"/>
    <w:qFormat/>
    <w:uiPriority w:val="99"/>
    <w:pPr>
      <w:pBdr>
        <w:bottom w:val="single" w:color="auto" w:sz="6" w:space="1"/>
      </w:pBdr>
      <w:tabs>
        <w:tab w:val="center" w:pos="4153"/>
        <w:tab w:val="right" w:pos="8306"/>
      </w:tabs>
      <w:snapToGrid w:val="0"/>
      <w:jc w:val="center"/>
    </w:pPr>
    <w:rPr>
      <w:sz w:val="18"/>
      <w:szCs w:val="18"/>
    </w:rPr>
  </w:style>
  <w:style w:type="paragraph" w:styleId="12">
    <w:name w:val="Body Text First Indent 2"/>
    <w:basedOn w:val="7"/>
    <w:next w:val="9"/>
    <w:qFormat/>
    <w:uiPriority w:val="0"/>
    <w:pPr>
      <w:ind w:firstLine="420" w:firstLineChars="200"/>
    </w:pPr>
    <w:rPr>
      <w:rFonts w:ascii="Arial" w:hAnsi="Arial"/>
      <w:snapToGrid w:val="0"/>
      <w:kern w:val="0"/>
      <w:sz w:val="20"/>
    </w:rPr>
  </w:style>
  <w:style w:type="character" w:styleId="15">
    <w:name w:val="Hyperlink"/>
    <w:basedOn w:val="14"/>
    <w:qFormat/>
    <w:uiPriority w:val="0"/>
    <w:rPr>
      <w:color w:val="0000FF"/>
      <w:u w:val="single"/>
    </w:rPr>
  </w:style>
  <w:style w:type="paragraph" w:customStyle="1" w:styleId="16">
    <w:name w:val="中文正文、"/>
    <w:basedOn w:val="1"/>
    <w:qFormat/>
    <w:uiPriority w:val="0"/>
    <w:pPr>
      <w:adjustRightInd/>
      <w:spacing w:line="360" w:lineRule="auto"/>
      <w:ind w:firstLine="420" w:firstLineChars="200"/>
    </w:pPr>
    <w:rPr>
      <w:szCs w:val="21"/>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5</TotalTime>
  <ScaleCrop>false</ScaleCrop>
  <LinksUpToDate>false</LinksUpToDate>
  <CharactersWithSpaces>0</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2026-05-29T07:50:00Z</dcterms:created>
  <dc:creator>Administrator</dc:creator>
  <cp:lastModifiedBy>刘金磊</cp:lastModifiedBy>
  <dcterms:modified xsi:type="dcterms:W3CDTF">2026-06-01T07:52:12Z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1FBD624D5D5C4A65973F96C562DDC770</vt:lpwstr>
  </property>
</Properties>
</file>