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911A44">
      <w:pPr>
        <w:pStyle w:val="2"/>
        <w:spacing w:before="0" w:after="0" w:line="480" w:lineRule="auto"/>
        <w:ind w:firstLine="4216" w:firstLineChars="1500"/>
        <w:jc w:val="both"/>
        <w:rPr>
          <w:rFonts w:hint="eastAsia" w:ascii="仿宋" w:hAnsi="仿宋" w:cs="宋体"/>
        </w:rPr>
      </w:pPr>
      <w:r>
        <w:rPr>
          <w:rFonts w:hint="eastAsia" w:ascii="仿宋" w:hAnsi="仿宋" w:cs="宋体"/>
        </w:rPr>
        <w:t>招标公告</w:t>
      </w:r>
    </w:p>
    <w:p w14:paraId="568F5D73">
      <w:pPr>
        <w:pStyle w:val="3"/>
        <w:numPr>
          <w:ilvl w:val="255"/>
          <w:numId w:val="0"/>
        </w:numPr>
        <w:rPr>
          <w:rFonts w:hint="eastAsia" w:ascii="仿宋" w:hAnsi="仿宋" w:cs="宋体"/>
          <w:color w:val="000000"/>
          <w:szCs w:val="24"/>
        </w:rPr>
      </w:pPr>
      <w:bookmarkStart w:id="0" w:name="_Toc24950"/>
      <w:bookmarkStart w:id="1" w:name="_Toc25200"/>
      <w:bookmarkStart w:id="2" w:name="_Toc10131"/>
      <w:bookmarkStart w:id="3" w:name="_Toc109124223"/>
      <w:bookmarkStart w:id="4" w:name="_Toc65682913"/>
      <w:bookmarkStart w:id="5" w:name="_Toc203925627"/>
      <w:bookmarkStart w:id="6" w:name="_Toc23271"/>
      <w:r>
        <w:rPr>
          <w:rFonts w:hint="eastAsia" w:ascii="仿宋" w:hAnsi="仿宋" w:cs="宋体"/>
          <w:color w:val="000000"/>
          <w:szCs w:val="24"/>
        </w:rPr>
        <w:t>一、</w:t>
      </w:r>
      <w:bookmarkEnd w:id="0"/>
      <w:bookmarkEnd w:id="1"/>
      <w:bookmarkEnd w:id="2"/>
      <w:r>
        <w:rPr>
          <w:rFonts w:hint="eastAsia" w:ascii="仿宋" w:hAnsi="仿宋" w:cs="宋体"/>
          <w:color w:val="000000"/>
          <w:szCs w:val="24"/>
        </w:rPr>
        <w:t>招标条件</w:t>
      </w:r>
      <w:bookmarkEnd w:id="3"/>
      <w:bookmarkEnd w:id="4"/>
      <w:bookmarkEnd w:id="5"/>
      <w:bookmarkEnd w:id="6"/>
    </w:p>
    <w:p w14:paraId="37B0F1C6">
      <w:pPr>
        <w:spacing w:line="360" w:lineRule="auto"/>
        <w:ind w:firstLine="420"/>
        <w:rPr>
          <w:rFonts w:hint="eastAsia" w:ascii="仿宋" w:hAnsi="仿宋" w:eastAsia="仿宋" w:cs="宋体"/>
          <w:color w:val="000000"/>
          <w:sz w:val="24"/>
          <w:szCs w:val="24"/>
        </w:rPr>
      </w:pPr>
      <w:r>
        <w:rPr>
          <w:rFonts w:hint="eastAsia" w:ascii="仿宋" w:hAnsi="仿宋" w:eastAsia="仿宋" w:cs="宋体"/>
          <w:color w:val="000000"/>
          <w:sz w:val="24"/>
          <w:szCs w:val="24"/>
        </w:rPr>
        <w:t>本招标项目</w:t>
      </w:r>
      <w:r>
        <w:rPr>
          <w:rFonts w:hint="eastAsia" w:ascii="仿宋" w:hAnsi="仿宋" w:eastAsia="仿宋" w:cs="宋体"/>
          <w:color w:val="000000"/>
          <w:sz w:val="24"/>
          <w:szCs w:val="24"/>
          <w:u w:val="single"/>
          <w:lang w:eastAsia="zh-CN"/>
        </w:rPr>
        <w:t>人保财险唐山市滦南支公司院内地面及院墙装修项目</w:t>
      </w:r>
      <w:r>
        <w:rPr>
          <w:rFonts w:hint="eastAsia" w:ascii="仿宋" w:hAnsi="仿宋" w:eastAsia="仿宋" w:cs="宋体"/>
          <w:color w:val="000000"/>
          <w:sz w:val="24"/>
          <w:szCs w:val="24"/>
        </w:rPr>
        <w:t>（招标代理项目编号：HBCT-261102</w:t>
      </w:r>
      <w:r>
        <w:rPr>
          <w:rFonts w:hint="eastAsia" w:ascii="仿宋" w:hAnsi="仿宋" w:eastAsia="仿宋" w:cs="宋体"/>
          <w:color w:val="000000"/>
          <w:sz w:val="24"/>
          <w:szCs w:val="24"/>
          <w:lang w:val="en-US" w:eastAsia="zh-CN"/>
        </w:rPr>
        <w:t>-001</w:t>
      </w:r>
      <w:r>
        <w:rPr>
          <w:rFonts w:hint="eastAsia" w:ascii="仿宋" w:hAnsi="仿宋" w:eastAsia="仿宋" w:cs="宋体"/>
          <w:color w:val="000000"/>
          <w:sz w:val="24"/>
          <w:szCs w:val="24"/>
        </w:rPr>
        <w:t>）</w:t>
      </w:r>
      <w:bookmarkStart w:id="7" w:name="_Hlk69906010"/>
      <w:r>
        <w:rPr>
          <w:rFonts w:hint="eastAsia" w:ascii="仿宋" w:hAnsi="仿宋" w:eastAsia="仿宋" w:cs="宋体"/>
          <w:color w:val="000000"/>
          <w:sz w:val="24"/>
          <w:szCs w:val="24"/>
        </w:rPr>
        <w:t>由中国人民财产保险股份有限公司唐山市分公司（以下简称“招标人”）批准并落实资金，组织本项目的相关招标工作，采购合同由中国人民</w:t>
      </w:r>
      <w:r>
        <w:rPr>
          <w:rFonts w:ascii="仿宋" w:hAnsi="仿宋" w:eastAsia="仿宋" w:cs="宋体"/>
          <w:color w:val="000000"/>
          <w:sz w:val="24"/>
          <w:szCs w:val="24"/>
        </w:rPr>
        <w:t>财产保险股份</w:t>
      </w:r>
      <w:r>
        <w:rPr>
          <w:rFonts w:hint="eastAsia" w:ascii="仿宋" w:hAnsi="仿宋" w:eastAsia="仿宋" w:cs="宋体"/>
          <w:color w:val="000000"/>
          <w:sz w:val="24"/>
          <w:szCs w:val="24"/>
        </w:rPr>
        <w:t>有限</w:t>
      </w:r>
      <w:r>
        <w:rPr>
          <w:rFonts w:ascii="仿宋" w:hAnsi="仿宋" w:eastAsia="仿宋" w:cs="宋体"/>
          <w:color w:val="000000"/>
          <w:sz w:val="24"/>
          <w:szCs w:val="24"/>
        </w:rPr>
        <w:t>公司</w:t>
      </w:r>
      <w:r>
        <w:rPr>
          <w:rFonts w:hint="eastAsia" w:ascii="仿宋" w:hAnsi="仿宋" w:eastAsia="仿宋" w:cs="宋体"/>
          <w:color w:val="000000"/>
          <w:sz w:val="24"/>
          <w:szCs w:val="24"/>
        </w:rPr>
        <w:t>唐山市分公司（以下简称“人保财险唐山市分公司”）根据中标结果与中标人签署。</w:t>
      </w:r>
      <w:bookmarkEnd w:id="7"/>
      <w:r>
        <w:rPr>
          <w:rFonts w:hint="eastAsia" w:ascii="仿宋" w:hAnsi="仿宋" w:eastAsia="仿宋" w:cs="宋体"/>
          <w:color w:val="000000"/>
          <w:sz w:val="24"/>
          <w:szCs w:val="24"/>
        </w:rPr>
        <w:t>现委托河北省成套招标有限公司（以下简称“招标代理机构”）进行公开招标，有意向且具有提供标的物能力的潜在投标人（以下简称“投标人”）可前来投标。</w:t>
      </w:r>
    </w:p>
    <w:p w14:paraId="105056F7">
      <w:pPr>
        <w:pStyle w:val="3"/>
        <w:numPr>
          <w:ilvl w:val="255"/>
          <w:numId w:val="0"/>
        </w:numPr>
        <w:rPr>
          <w:rFonts w:hint="eastAsia" w:ascii="仿宋" w:hAnsi="仿宋" w:cs="宋体"/>
          <w:color w:val="000000"/>
          <w:szCs w:val="24"/>
        </w:rPr>
      </w:pPr>
      <w:bookmarkStart w:id="8" w:name="_Toc203925628"/>
      <w:bookmarkStart w:id="9" w:name="_Toc109124224"/>
      <w:bookmarkStart w:id="10" w:name="_Toc18478"/>
      <w:bookmarkStart w:id="11" w:name="_Toc65682914"/>
      <w:r>
        <w:rPr>
          <w:rFonts w:hint="eastAsia"/>
        </w:rPr>
        <w:t>二</w:t>
      </w:r>
      <w:r>
        <w:rPr>
          <w:rFonts w:hint="eastAsia" w:ascii="仿宋" w:hAnsi="仿宋" w:cs="宋体"/>
          <w:color w:val="000000"/>
          <w:szCs w:val="24"/>
        </w:rPr>
        <w:t>、项目概况与招标范围</w:t>
      </w:r>
      <w:bookmarkEnd w:id="8"/>
      <w:bookmarkEnd w:id="9"/>
      <w:bookmarkEnd w:id="10"/>
      <w:bookmarkEnd w:id="11"/>
    </w:p>
    <w:p w14:paraId="779EA98E">
      <w:pPr>
        <w:spacing w:line="360" w:lineRule="auto"/>
        <w:ind w:firstLine="480" w:firstLineChars="200"/>
        <w:textAlignment w:val="baseline"/>
        <w:rPr>
          <w:rFonts w:hint="eastAsia" w:ascii="仿宋" w:hAnsi="仿宋" w:eastAsia="仿宋" w:cs="宋体"/>
          <w:color w:val="000000"/>
          <w:sz w:val="24"/>
          <w:szCs w:val="24"/>
          <w:u w:val="single"/>
          <w:lang w:eastAsia="zh-CN"/>
        </w:rPr>
      </w:pPr>
      <w:r>
        <w:rPr>
          <w:rFonts w:hint="eastAsia" w:ascii="仿宋" w:hAnsi="仿宋" w:eastAsia="仿宋" w:cs="宋体"/>
          <w:color w:val="000000"/>
          <w:sz w:val="24"/>
          <w:szCs w:val="24"/>
        </w:rPr>
        <w:t>2.1项目名称：</w:t>
      </w:r>
      <w:bookmarkStart w:id="12" w:name="_Hlk69456893"/>
      <w:bookmarkStart w:id="13" w:name="_Toc65682915"/>
      <w:bookmarkStart w:id="14" w:name="_Toc17299"/>
      <w:r>
        <w:rPr>
          <w:rFonts w:hint="eastAsia" w:ascii="仿宋" w:hAnsi="仿宋" w:eastAsia="仿宋" w:cs="宋体"/>
          <w:color w:val="000000"/>
          <w:sz w:val="24"/>
          <w:szCs w:val="24"/>
          <w:u w:val="single"/>
          <w:lang w:eastAsia="zh-CN"/>
        </w:rPr>
        <w:t>人保财险唐山市滦南支公司院内地面及院墙装修项目</w:t>
      </w:r>
    </w:p>
    <w:p w14:paraId="59742A24">
      <w:pPr>
        <w:spacing w:line="360" w:lineRule="auto"/>
        <w:ind w:firstLine="480" w:firstLineChars="200"/>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rPr>
        <w:t>2.2招标范围：</w:t>
      </w:r>
      <w:bookmarkStart w:id="15" w:name="_Hlk69456860"/>
      <w:r>
        <w:rPr>
          <w:rFonts w:hint="eastAsia" w:ascii="仿宋" w:hAnsi="仿宋" w:eastAsia="仿宋" w:cs="宋体"/>
          <w:color w:val="000000"/>
          <w:sz w:val="24"/>
          <w:szCs w:val="24"/>
        </w:rPr>
        <w:t>本项目拟采购</w:t>
      </w:r>
      <w:bookmarkEnd w:id="15"/>
      <w:r>
        <w:rPr>
          <w:rFonts w:ascii="仿宋" w:hAnsi="仿宋" w:eastAsia="仿宋" w:cs="宋体"/>
          <w:color w:val="000000"/>
          <w:sz w:val="24"/>
          <w:szCs w:val="24"/>
        </w:rPr>
        <w:t>1</w:t>
      </w:r>
      <w:r>
        <w:rPr>
          <w:rFonts w:hint="eastAsia" w:ascii="仿宋" w:hAnsi="仿宋" w:eastAsia="仿宋" w:cs="宋体"/>
          <w:color w:val="000000"/>
          <w:sz w:val="24"/>
          <w:szCs w:val="24"/>
        </w:rPr>
        <w:t>家供应商。具体内容及要求见招标文件第五章技术规范书。</w:t>
      </w:r>
    </w:p>
    <w:p w14:paraId="1A1FEEC5">
      <w:pPr>
        <w:spacing w:line="360" w:lineRule="auto"/>
        <w:ind w:firstLine="480" w:firstLineChars="200"/>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rPr>
        <w:t>2.3项目性质：工程。</w:t>
      </w:r>
    </w:p>
    <w:p w14:paraId="3553C9A2">
      <w:pPr>
        <w:spacing w:line="360" w:lineRule="auto"/>
        <w:ind w:firstLine="480" w:firstLineChars="200"/>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rPr>
        <w:t>2.4标包划分：本项目划分为</w:t>
      </w:r>
      <w:r>
        <w:rPr>
          <w:rFonts w:ascii="仿宋" w:hAnsi="仿宋" w:eastAsia="仿宋" w:cs="宋体"/>
          <w:color w:val="000000"/>
          <w:sz w:val="24"/>
          <w:szCs w:val="24"/>
        </w:rPr>
        <w:t>1</w:t>
      </w:r>
      <w:r>
        <w:rPr>
          <w:rFonts w:hint="eastAsia" w:ascii="仿宋" w:hAnsi="仿宋" w:eastAsia="仿宋" w:cs="宋体"/>
          <w:color w:val="000000"/>
          <w:sz w:val="24"/>
          <w:szCs w:val="24"/>
        </w:rPr>
        <w:t>个标包，情况如下：</w:t>
      </w:r>
    </w:p>
    <w:p w14:paraId="21E47FF9">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rPr>
        <w:t>项目包含院墙总面积500平方米，进行里外抹灰并包含拆除及清运；院内地面2000平方米，铺设混凝土地面并包含拆除</w:t>
      </w:r>
      <w:r>
        <w:rPr>
          <w:rFonts w:hint="eastAsia" w:ascii="仿宋" w:hAnsi="仿宋" w:eastAsia="仿宋" w:cs="宋体"/>
          <w:color w:val="000000"/>
          <w:sz w:val="24"/>
          <w:szCs w:val="24"/>
          <w:highlight w:val="none"/>
        </w:rPr>
        <w:t>及清运。预算金额：38万元。</w:t>
      </w:r>
    </w:p>
    <w:p w14:paraId="29503F6B">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2.5工期</w:t>
      </w:r>
      <w:r>
        <w:rPr>
          <w:rFonts w:ascii="仿宋" w:hAnsi="仿宋" w:eastAsia="仿宋" w:cs="宋体"/>
          <w:color w:val="000000"/>
          <w:sz w:val="24"/>
          <w:szCs w:val="24"/>
          <w:highlight w:val="none"/>
        </w:rPr>
        <w:t>：</w:t>
      </w:r>
      <w:r>
        <w:rPr>
          <w:rFonts w:hint="eastAsia" w:ascii="仿宋" w:hAnsi="仿宋" w:eastAsia="仿宋" w:cs="宋体"/>
          <w:color w:val="000000"/>
          <w:sz w:val="24"/>
          <w:szCs w:val="24"/>
          <w:highlight w:val="none"/>
        </w:rPr>
        <w:t>总工期 60日历天。</w:t>
      </w:r>
    </w:p>
    <w:p w14:paraId="66D7D60D">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2.6</w:t>
      </w:r>
      <w:bookmarkEnd w:id="12"/>
      <w:r>
        <w:rPr>
          <w:rFonts w:ascii="仿宋" w:hAnsi="仿宋" w:eastAsia="仿宋" w:cs="宋体"/>
          <w:color w:val="000000"/>
          <w:sz w:val="24"/>
          <w:szCs w:val="24"/>
          <w:highlight w:val="none"/>
        </w:rPr>
        <w:t>项目地点：</w:t>
      </w:r>
      <w:r>
        <w:rPr>
          <w:rFonts w:hint="eastAsia" w:ascii="仿宋" w:hAnsi="仿宋" w:eastAsia="仿宋" w:cs="宋体"/>
          <w:color w:val="000000"/>
          <w:sz w:val="24"/>
          <w:szCs w:val="24"/>
          <w:highlight w:val="none"/>
        </w:rPr>
        <w:t>滦南县友谊路33号</w:t>
      </w:r>
    </w:p>
    <w:p w14:paraId="64DB4F3E">
      <w:pPr>
        <w:spacing w:line="360" w:lineRule="auto"/>
        <w:ind w:firstLine="480" w:firstLineChars="200"/>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rPr>
        <w:t>2.7 承包</w:t>
      </w:r>
      <w:r>
        <w:rPr>
          <w:rFonts w:ascii="仿宋" w:hAnsi="仿宋" w:eastAsia="仿宋" w:cs="宋体"/>
          <w:color w:val="000000"/>
          <w:sz w:val="24"/>
          <w:szCs w:val="24"/>
        </w:rPr>
        <w:t>方</w:t>
      </w:r>
      <w:r>
        <w:rPr>
          <w:rFonts w:hint="eastAsia" w:ascii="仿宋" w:hAnsi="仿宋" w:eastAsia="仿宋" w:cs="宋体"/>
          <w:color w:val="000000"/>
          <w:sz w:val="24"/>
          <w:szCs w:val="24"/>
        </w:rPr>
        <w:t>式：本工程实行总价包干合同，本工程合同价款为按照承包范国、招标图纸、工程管理及技术要求总价包干性质(包工、包料、包工期、包质量、包效量、包开办费、人工费及材料价之任何市场价格差别、施工管理费、安全措施费、特殊地区材料运费补差、特殊条件施工增加费、所有间接费、其它直接费(如超高费)、综合费率、机械进退场费及场内搬迁费、保险、利润和国家规定的任何收费、税金、必须的加班费、赶工措施费、技术措施费、材料检测费、水电检测费、费率或汇率的变动、专家论证费、商检费、专利费、包装、空运、国外及本地运输及存仓费、因材料/设备迟到工地的窝工费以及为申请施工及满足国家对文明施工的要求产生的费用等)，合同价款除本合同明确规定(如暂列金额、暂定项目、暂定数量、暂定单价、工程指令、工程签证、工程变更)外，不得以任何方法调整或变更。</w:t>
      </w:r>
    </w:p>
    <w:p w14:paraId="71E95B99">
      <w:pPr>
        <w:spacing w:line="360" w:lineRule="auto"/>
        <w:ind w:firstLine="480" w:firstLineChars="200"/>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rPr>
        <w:t>2.8投标报价：总价报价（工程量清单报价）。</w:t>
      </w:r>
    </w:p>
    <w:p w14:paraId="34B264AC">
      <w:pPr>
        <w:spacing w:line="360" w:lineRule="auto"/>
        <w:ind w:firstLine="480" w:firstLineChars="200"/>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rPr>
        <w:t>2.9质量标准：合格。达到国家、行业相关现行标准。</w:t>
      </w:r>
    </w:p>
    <w:p w14:paraId="434B89F5">
      <w:pPr>
        <w:pStyle w:val="3"/>
        <w:numPr>
          <w:ilvl w:val="0"/>
          <w:numId w:val="0"/>
        </w:numPr>
      </w:pPr>
      <w:bookmarkStart w:id="16" w:name="_Toc109124225"/>
      <w:bookmarkStart w:id="17" w:name="_Toc203925629"/>
      <w:r>
        <w:rPr>
          <w:rFonts w:hint="eastAsia"/>
        </w:rPr>
        <w:t>三、投标人资格要求</w:t>
      </w:r>
      <w:bookmarkEnd w:id="13"/>
      <w:bookmarkEnd w:id="14"/>
      <w:bookmarkEnd w:id="16"/>
      <w:bookmarkEnd w:id="17"/>
    </w:p>
    <w:p w14:paraId="3E95C9D6">
      <w:pPr>
        <w:pStyle w:val="4"/>
        <w:ind w:firstLine="480" w:firstLineChars="200"/>
        <w:rPr>
          <w:rFonts w:hint="eastAsia" w:ascii="宋体" w:hAnsi="宋体"/>
          <w:szCs w:val="21"/>
        </w:rPr>
      </w:pPr>
      <w:bookmarkStart w:id="18" w:name="_Toc65682916"/>
      <w:bookmarkStart w:id="19" w:name="_Toc109124226"/>
      <w:bookmarkStart w:id="20" w:name="_Toc203925630"/>
      <w:bookmarkStart w:id="21" w:name="_Toc21224"/>
      <w:r>
        <w:rPr>
          <w:rFonts w:hint="eastAsia" w:ascii="仿宋" w:hAnsi="仿宋" w:eastAsia="仿宋" w:cs="宋体"/>
          <w:color w:val="000000"/>
          <w:sz w:val="24"/>
          <w:szCs w:val="24"/>
        </w:rPr>
        <w:t>3.1</w:t>
      </w:r>
      <w:r>
        <w:rPr>
          <w:rFonts w:hint="eastAsia" w:ascii="仿宋" w:hAnsi="仿宋" w:eastAsia="仿宋" w:cs="Monaco"/>
          <w:b/>
          <w:bCs/>
          <w:color w:val="000000"/>
          <w:sz w:val="24"/>
          <w:szCs w:val="24"/>
        </w:rPr>
        <w:t>在中华人民共和国境内依法登记的法人或其他组织，</w:t>
      </w:r>
      <w:r>
        <w:rPr>
          <w:rFonts w:hint="eastAsia" w:ascii="仿宋" w:hAnsi="仿宋" w:eastAsia="仿宋" w:cs="Monaco"/>
          <w:b/>
          <w:color w:val="000000"/>
          <w:sz w:val="24"/>
          <w:szCs w:val="24"/>
        </w:rPr>
        <w:t>具有独立承担民事责任的能力</w:t>
      </w:r>
      <w:r>
        <w:rPr>
          <w:rFonts w:hint="eastAsia" w:ascii="仿宋" w:hAnsi="仿宋" w:eastAsia="仿宋" w:cs="Monaco"/>
          <w:color w:val="000000"/>
          <w:sz w:val="24"/>
          <w:szCs w:val="24"/>
        </w:rPr>
        <w:t>，投标人如为企业法人，须提供企业法人营业执照</w:t>
      </w:r>
      <w:r>
        <w:rPr>
          <w:rFonts w:hint="eastAsia" w:ascii="仿宋" w:hAnsi="仿宋" w:eastAsia="仿宋" w:cs="Monaco"/>
          <w:color w:val="000000"/>
          <w:sz w:val="24"/>
        </w:rPr>
        <w:t>（复印件）</w:t>
      </w:r>
      <w:r>
        <w:rPr>
          <w:rFonts w:hint="eastAsia" w:ascii="仿宋" w:hAnsi="仿宋" w:eastAsia="仿宋" w:cs="Monaco"/>
          <w:color w:val="000000"/>
          <w:sz w:val="24"/>
          <w:szCs w:val="24"/>
        </w:rPr>
        <w:t>；投标人如为事业单位或其他组织，须提供事业单位法人证书或登记证或组织机构代码证或其他有效证明文件（复印件）。</w:t>
      </w:r>
    </w:p>
    <w:p w14:paraId="218CB41E">
      <w:pPr>
        <w:spacing w:line="360" w:lineRule="auto"/>
        <w:ind w:firstLine="480" w:firstLineChars="200"/>
        <w:textAlignment w:val="baseline"/>
      </w:pPr>
      <w:r>
        <w:rPr>
          <w:rFonts w:hint="eastAsia" w:ascii="仿宋" w:hAnsi="仿宋" w:eastAsia="仿宋" w:cs="宋体"/>
          <w:color w:val="000000"/>
          <w:sz w:val="24"/>
          <w:szCs w:val="24"/>
        </w:rPr>
        <w:t>3.</w:t>
      </w:r>
      <w:r>
        <w:rPr>
          <w:rFonts w:ascii="仿宋" w:hAnsi="仿宋" w:eastAsia="仿宋" w:cs="宋体"/>
          <w:color w:val="000000"/>
          <w:sz w:val="24"/>
          <w:szCs w:val="24"/>
        </w:rPr>
        <w:t>2</w:t>
      </w:r>
      <w:r>
        <w:rPr>
          <w:rFonts w:hint="eastAsia" w:ascii="仿宋" w:hAnsi="仿宋" w:eastAsia="仿宋" w:cs="宋体"/>
          <w:b/>
          <w:color w:val="000000"/>
          <w:sz w:val="24"/>
          <w:szCs w:val="24"/>
        </w:rPr>
        <w:t>具有良好的商业信誉和健全的财务会计制度</w:t>
      </w:r>
      <w:r>
        <w:rPr>
          <w:rFonts w:hint="eastAsia" w:ascii="仿宋" w:hAnsi="仿宋" w:eastAsia="仿宋" w:cs="宋体"/>
          <w:color w:val="000000"/>
          <w:sz w:val="24"/>
          <w:szCs w:val="24"/>
        </w:rPr>
        <w:t>，需提供20</w:t>
      </w:r>
      <w:r>
        <w:rPr>
          <w:rFonts w:ascii="仿宋" w:hAnsi="仿宋" w:eastAsia="仿宋" w:cs="宋体"/>
          <w:color w:val="000000"/>
          <w:sz w:val="24"/>
          <w:szCs w:val="24"/>
        </w:rPr>
        <w:t>2</w:t>
      </w:r>
      <w:r>
        <w:rPr>
          <w:rFonts w:hint="eastAsia" w:ascii="仿宋" w:hAnsi="仿宋" w:eastAsia="仿宋" w:cs="宋体"/>
          <w:color w:val="000000"/>
          <w:sz w:val="24"/>
          <w:szCs w:val="24"/>
        </w:rPr>
        <w:t>4或</w:t>
      </w:r>
      <w:r>
        <w:rPr>
          <w:rFonts w:ascii="仿宋" w:hAnsi="仿宋" w:eastAsia="仿宋" w:cs="宋体"/>
          <w:color w:val="000000"/>
          <w:sz w:val="24"/>
          <w:szCs w:val="24"/>
        </w:rPr>
        <w:t>202</w:t>
      </w:r>
      <w:r>
        <w:rPr>
          <w:rFonts w:hint="eastAsia" w:ascii="仿宋" w:hAnsi="仿宋" w:eastAsia="仿宋" w:cs="宋体"/>
          <w:color w:val="000000"/>
          <w:sz w:val="24"/>
          <w:szCs w:val="24"/>
        </w:rPr>
        <w:t>5年度经会计师事务所或审计机构审计的财务审计报告及财务报表（至少包含会计师事务所或审计机构签章页、资产负债表、现金流量表、损益表/利润表）或开标日前</w:t>
      </w:r>
      <w:r>
        <w:rPr>
          <w:rFonts w:ascii="仿宋" w:hAnsi="仿宋" w:eastAsia="仿宋" w:cs="宋体"/>
          <w:color w:val="000000"/>
          <w:sz w:val="24"/>
          <w:szCs w:val="24"/>
        </w:rPr>
        <w:t>6</w:t>
      </w:r>
      <w:r>
        <w:rPr>
          <w:rFonts w:hint="eastAsia" w:ascii="仿宋" w:hAnsi="仿宋" w:eastAsia="仿宋" w:cs="宋体"/>
          <w:color w:val="000000"/>
          <w:sz w:val="24"/>
          <w:szCs w:val="24"/>
        </w:rPr>
        <w:t>个月内开具的银行资信证明。</w:t>
      </w:r>
    </w:p>
    <w:p w14:paraId="515C235C">
      <w:pPr>
        <w:spacing w:line="360" w:lineRule="auto"/>
        <w:ind w:firstLine="480" w:firstLineChars="200"/>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rPr>
        <w:t>3.</w:t>
      </w:r>
      <w:r>
        <w:rPr>
          <w:rFonts w:ascii="仿宋" w:hAnsi="仿宋" w:eastAsia="仿宋" w:cs="宋体"/>
          <w:color w:val="000000"/>
          <w:sz w:val="24"/>
          <w:szCs w:val="24"/>
        </w:rPr>
        <w:t xml:space="preserve">3 </w:t>
      </w:r>
      <w:r>
        <w:rPr>
          <w:rFonts w:hint="eastAsia" w:ascii="仿宋" w:hAnsi="仿宋" w:eastAsia="仿宋" w:cs="宋体"/>
          <w:b/>
          <w:color w:val="000000"/>
          <w:sz w:val="24"/>
          <w:szCs w:val="24"/>
        </w:rPr>
        <w:t>具有履行合同所必需的设备和专业技术能力。</w:t>
      </w:r>
    </w:p>
    <w:p w14:paraId="058A7DC9">
      <w:pPr>
        <w:spacing w:line="360" w:lineRule="auto"/>
        <w:ind w:firstLine="480" w:firstLineChars="200"/>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3.4 </w:t>
      </w:r>
      <w:r>
        <w:rPr>
          <w:rFonts w:hint="eastAsia" w:ascii="仿宋" w:hAnsi="仿宋" w:eastAsia="仿宋" w:cs="宋体"/>
          <w:b/>
          <w:color w:val="000000"/>
          <w:sz w:val="24"/>
          <w:szCs w:val="24"/>
        </w:rPr>
        <w:t>具有依法缴纳税收和社会保障资金的良好记录</w:t>
      </w:r>
      <w:r>
        <w:rPr>
          <w:rFonts w:hint="eastAsia" w:ascii="仿宋" w:hAnsi="仿宋" w:eastAsia="仿宋" w:cs="宋体"/>
          <w:color w:val="000000"/>
          <w:sz w:val="24"/>
          <w:szCs w:val="24"/>
        </w:rPr>
        <w:t>，提供近6个月任意一个月的税收</w:t>
      </w:r>
      <w:r>
        <w:rPr>
          <w:rFonts w:hint="eastAsia" w:ascii="仿宋" w:hAnsi="仿宋" w:eastAsia="仿宋" w:cs="宋体"/>
          <w:b/>
          <w:color w:val="000000"/>
          <w:sz w:val="24"/>
          <w:szCs w:val="24"/>
        </w:rPr>
        <w:t>和</w:t>
      </w:r>
      <w:r>
        <w:rPr>
          <w:rFonts w:hint="eastAsia" w:ascii="仿宋" w:hAnsi="仿宋" w:eastAsia="仿宋" w:cs="宋体"/>
          <w:color w:val="000000"/>
          <w:sz w:val="24"/>
          <w:szCs w:val="24"/>
        </w:rPr>
        <w:t>社会保障资金缴纳凭证。</w:t>
      </w:r>
    </w:p>
    <w:p w14:paraId="7E8DCCD2">
      <w:pPr>
        <w:spacing w:line="360" w:lineRule="auto"/>
        <w:ind w:firstLine="480" w:firstLineChars="200"/>
        <w:textAlignment w:val="baseline"/>
        <w:rPr>
          <w:rFonts w:hint="eastAsia" w:ascii="仿宋" w:hAnsi="仿宋" w:eastAsia="仿宋" w:cs="Monaco"/>
          <w:color w:val="000000"/>
          <w:sz w:val="24"/>
          <w:szCs w:val="24"/>
        </w:rPr>
      </w:pPr>
      <w:r>
        <w:rPr>
          <w:rFonts w:hint="eastAsia" w:ascii="仿宋" w:hAnsi="仿宋" w:eastAsia="仿宋" w:cs="宋体"/>
          <w:color w:val="000000"/>
          <w:sz w:val="24"/>
          <w:szCs w:val="24"/>
        </w:rPr>
        <w:t>3.5</w:t>
      </w:r>
      <w:r>
        <w:rPr>
          <w:rFonts w:hint="eastAsia" w:ascii="仿宋" w:hAnsi="仿宋" w:eastAsia="仿宋" w:cs="Monaco"/>
          <w:b/>
          <w:color w:val="000000"/>
          <w:sz w:val="24"/>
          <w:szCs w:val="24"/>
        </w:rPr>
        <w:t>投标人应经营状况良好，且近三年内</w:t>
      </w:r>
      <w:r>
        <w:rPr>
          <w:rFonts w:hint="eastAsia" w:ascii="仿宋" w:hAnsi="仿宋" w:eastAsia="仿宋" w:cs="Monaco"/>
          <w:b/>
          <w:sz w:val="24"/>
          <w:szCs w:val="24"/>
        </w:rPr>
        <w:t>（20</w:t>
      </w:r>
      <w:r>
        <w:rPr>
          <w:rFonts w:ascii="仿宋" w:hAnsi="仿宋" w:eastAsia="仿宋" w:cs="Monaco"/>
          <w:b/>
          <w:sz w:val="24"/>
          <w:szCs w:val="24"/>
        </w:rPr>
        <w:t>2</w:t>
      </w:r>
      <w:r>
        <w:rPr>
          <w:rFonts w:hint="eastAsia" w:ascii="仿宋" w:hAnsi="仿宋" w:eastAsia="仿宋" w:cs="Monaco"/>
          <w:b/>
          <w:sz w:val="24"/>
          <w:szCs w:val="24"/>
        </w:rPr>
        <w:t>3年1</w:t>
      </w:r>
      <w:r>
        <w:rPr>
          <w:rFonts w:hint="eastAsia" w:ascii="仿宋" w:hAnsi="仿宋" w:eastAsia="仿宋" w:cs="Monaco"/>
          <w:b/>
          <w:color w:val="000000"/>
          <w:sz w:val="24"/>
          <w:szCs w:val="24"/>
        </w:rPr>
        <w:t>月1日至今）无违法违规记录。</w:t>
      </w:r>
      <w:r>
        <w:rPr>
          <w:rFonts w:hint="eastAsia" w:ascii="仿宋" w:hAnsi="仿宋" w:eastAsia="仿宋" w:cs="Monaco"/>
          <w:color w:val="000000"/>
          <w:sz w:val="24"/>
          <w:szCs w:val="24"/>
        </w:rPr>
        <w:t>违法违规记录是指被“信用中国”列入失信被执行人、重大税收违法失信主体、政府采购严重违法失信行为记录名单。投标人需提供自招标公告发布之日至投标截止之日期间对以上三项内容的查询截图。</w:t>
      </w:r>
    </w:p>
    <w:p w14:paraId="1DE8B575">
      <w:pPr>
        <w:spacing w:line="360" w:lineRule="auto"/>
        <w:ind w:firstLine="480" w:firstLineChars="200"/>
        <w:textAlignment w:val="baseline"/>
        <w:rPr>
          <w:rFonts w:hint="eastAsia" w:ascii="仿宋" w:hAnsi="仿宋" w:eastAsia="仿宋" w:cs="Monaco"/>
          <w:color w:val="000000"/>
          <w:sz w:val="24"/>
          <w:szCs w:val="24"/>
        </w:rPr>
      </w:pPr>
      <w:r>
        <w:rPr>
          <w:rFonts w:hint="eastAsia" w:ascii="仿宋" w:hAnsi="仿宋" w:eastAsia="仿宋" w:cs="Monaco"/>
          <w:color w:val="000000"/>
          <w:sz w:val="24"/>
          <w:szCs w:val="24"/>
        </w:rPr>
        <w:t>信用中国查询网址：https://www.creditchina.gov.cn/xinyongfuwu/?navPage=5</w:t>
      </w:r>
    </w:p>
    <w:p w14:paraId="3D788603">
      <w:pPr>
        <w:spacing w:line="360" w:lineRule="auto"/>
        <w:ind w:firstLine="480" w:firstLineChars="200"/>
        <w:textAlignment w:val="baseline"/>
        <w:rPr>
          <w:rFonts w:hint="eastAsia" w:ascii="仿宋" w:hAnsi="仿宋" w:eastAsia="仿宋" w:cs="宋体"/>
          <w:b/>
          <w:color w:val="000000"/>
          <w:sz w:val="24"/>
          <w:szCs w:val="24"/>
        </w:rPr>
      </w:pPr>
      <w:r>
        <w:rPr>
          <w:rFonts w:hint="eastAsia" w:ascii="仿宋" w:hAnsi="仿宋" w:eastAsia="仿宋" w:cs="宋体"/>
          <w:color w:val="000000"/>
          <w:sz w:val="24"/>
          <w:szCs w:val="24"/>
        </w:rPr>
        <w:t>3</w:t>
      </w:r>
      <w:r>
        <w:rPr>
          <w:rFonts w:ascii="仿宋" w:hAnsi="仿宋" w:eastAsia="仿宋" w:cs="宋体"/>
          <w:color w:val="000000"/>
          <w:sz w:val="24"/>
          <w:szCs w:val="24"/>
        </w:rPr>
        <w:t xml:space="preserve">.6 </w:t>
      </w:r>
      <w:r>
        <w:rPr>
          <w:rFonts w:hint="eastAsia" w:ascii="仿宋" w:hAnsi="仿宋" w:eastAsia="仿宋" w:cs="宋体"/>
          <w:b/>
          <w:color w:val="000000"/>
          <w:sz w:val="24"/>
          <w:szCs w:val="24"/>
        </w:rPr>
        <w:t>严禁列入中国人民保险各级机构的投标人黑名单且在禁入期内的投标人参与采购活动。。</w:t>
      </w:r>
    </w:p>
    <w:p w14:paraId="337D0695">
      <w:pPr>
        <w:spacing w:line="360" w:lineRule="auto"/>
        <w:ind w:firstLine="480" w:firstLineChars="200"/>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rPr>
        <w:t>3.</w:t>
      </w:r>
      <w:r>
        <w:rPr>
          <w:rFonts w:ascii="仿宋" w:hAnsi="仿宋" w:eastAsia="仿宋" w:cs="宋体"/>
          <w:color w:val="000000"/>
          <w:sz w:val="24"/>
          <w:szCs w:val="24"/>
        </w:rPr>
        <w:t>7</w:t>
      </w:r>
      <w:r>
        <w:rPr>
          <w:rFonts w:hint="eastAsia" w:ascii="仿宋" w:hAnsi="仿宋" w:eastAsia="仿宋" w:cs="宋体"/>
          <w:color w:val="000000"/>
          <w:sz w:val="24"/>
          <w:szCs w:val="24"/>
        </w:rPr>
        <w:t>单位负责人为同一人或存在控股、管理关系的不同单位，不得参加同一标段/标包投标或未划分标段/标包的同一招标项目投标，</w:t>
      </w:r>
      <w:r>
        <w:rPr>
          <w:rFonts w:hint="eastAsia" w:ascii="仿宋" w:hAnsi="仿宋" w:eastAsia="仿宋" w:cs="Monaco"/>
          <w:color w:val="000000"/>
          <w:sz w:val="24"/>
          <w:szCs w:val="24"/>
        </w:rPr>
        <w:t>需填写《投标人控股及管理关系情况申报表》。</w:t>
      </w:r>
    </w:p>
    <w:p w14:paraId="212589A6">
      <w:pPr>
        <w:spacing w:line="360" w:lineRule="auto"/>
        <w:ind w:firstLine="480" w:firstLineChars="200"/>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rPr>
        <w:t>3.8</w:t>
      </w:r>
      <w:r>
        <w:rPr>
          <w:rFonts w:ascii="仿宋" w:hAnsi="仿宋" w:eastAsia="仿宋" w:cs="宋体"/>
          <w:color w:val="000000"/>
          <w:sz w:val="24"/>
          <w:szCs w:val="24"/>
        </w:rPr>
        <w:t xml:space="preserve"> </w:t>
      </w:r>
      <w:r>
        <w:rPr>
          <w:rFonts w:hint="eastAsia" w:ascii="仿宋" w:hAnsi="仿宋" w:eastAsia="仿宋" w:cs="宋体"/>
          <w:color w:val="000000"/>
          <w:sz w:val="24"/>
          <w:szCs w:val="24"/>
        </w:rPr>
        <w:t>本项目不接受联合体投标，不得分包、转包。</w:t>
      </w:r>
    </w:p>
    <w:p w14:paraId="09C647FA">
      <w:pPr>
        <w:pStyle w:val="3"/>
        <w:numPr>
          <w:ilvl w:val="0"/>
          <w:numId w:val="0"/>
        </w:numPr>
      </w:pPr>
      <w:r>
        <w:rPr>
          <w:rFonts w:hint="eastAsia"/>
        </w:rPr>
        <w:t>四、资格审查方法</w:t>
      </w:r>
      <w:bookmarkEnd w:id="18"/>
      <w:bookmarkEnd w:id="19"/>
      <w:bookmarkEnd w:id="20"/>
      <w:bookmarkEnd w:id="21"/>
    </w:p>
    <w:p w14:paraId="43AA5436">
      <w:pPr>
        <w:spacing w:line="360" w:lineRule="auto"/>
        <w:ind w:firstLine="480" w:firstLineChars="200"/>
        <w:textAlignment w:val="baseline"/>
        <w:rPr>
          <w:rFonts w:hint="eastAsia" w:ascii="仿宋" w:hAnsi="仿宋" w:eastAsia="仿宋" w:cs="宋体"/>
          <w:sz w:val="24"/>
          <w:szCs w:val="24"/>
        </w:rPr>
      </w:pPr>
      <w:bookmarkStart w:id="22" w:name="_Toc65682917"/>
      <w:bookmarkStart w:id="23" w:name="_Toc32460"/>
      <w:r>
        <w:rPr>
          <w:rFonts w:hint="eastAsia" w:ascii="仿宋" w:hAnsi="仿宋" w:eastAsia="仿宋" w:cs="宋体"/>
          <w:sz w:val="24"/>
          <w:szCs w:val="24"/>
        </w:rPr>
        <w:t>本项目将进行资格后审，资格审查方法为合格制，资格审查标准和内容见招标文件第三章“评标办法”。未通过资格后审的投标人，投标将被否决。</w:t>
      </w:r>
    </w:p>
    <w:p w14:paraId="16836CE7">
      <w:pPr>
        <w:pStyle w:val="3"/>
        <w:numPr>
          <w:ilvl w:val="0"/>
          <w:numId w:val="0"/>
        </w:numPr>
      </w:pPr>
      <w:bookmarkStart w:id="24" w:name="_Toc109124227"/>
      <w:bookmarkStart w:id="25" w:name="_Toc203925631"/>
      <w:r>
        <w:rPr>
          <w:rFonts w:hint="eastAsia"/>
        </w:rPr>
        <w:t>五、招标文件的获取</w:t>
      </w:r>
      <w:bookmarkEnd w:id="22"/>
      <w:bookmarkEnd w:id="23"/>
      <w:bookmarkEnd w:id="24"/>
      <w:bookmarkEnd w:id="25"/>
    </w:p>
    <w:p w14:paraId="04C11216">
      <w:pPr>
        <w:spacing w:line="360" w:lineRule="auto"/>
        <w:ind w:firstLine="480" w:firstLineChars="200"/>
        <w:textAlignment w:val="baseline"/>
        <w:rPr>
          <w:rFonts w:hint="eastAsia" w:ascii="仿宋" w:hAnsi="仿宋" w:eastAsia="仿宋" w:cs="宋体"/>
          <w:sz w:val="24"/>
          <w:szCs w:val="24"/>
        </w:rPr>
      </w:pPr>
      <w:r>
        <w:rPr>
          <w:rFonts w:hint="eastAsia" w:ascii="仿宋" w:hAnsi="仿宋" w:eastAsia="仿宋" w:cs="宋体"/>
          <w:sz w:val="24"/>
          <w:szCs w:val="24"/>
        </w:rPr>
        <w:t>5.1招标文件获取时间：2026年</w:t>
      </w:r>
      <w:r>
        <w:rPr>
          <w:rFonts w:hint="eastAsia" w:ascii="仿宋" w:hAnsi="仿宋" w:eastAsia="仿宋" w:cs="宋体"/>
          <w:sz w:val="24"/>
          <w:szCs w:val="24"/>
          <w:lang w:val="en-US" w:eastAsia="zh-CN"/>
        </w:rPr>
        <w:t>6</w:t>
      </w:r>
      <w:r>
        <w:rPr>
          <w:rFonts w:hint="eastAsia" w:ascii="仿宋" w:hAnsi="仿宋" w:eastAsia="仿宋" w:cs="宋体"/>
          <w:sz w:val="24"/>
          <w:szCs w:val="24"/>
        </w:rPr>
        <w:t>月</w:t>
      </w:r>
      <w:r>
        <w:rPr>
          <w:rFonts w:hint="eastAsia" w:ascii="仿宋" w:hAnsi="仿宋" w:eastAsia="仿宋" w:cs="宋体"/>
          <w:sz w:val="24"/>
          <w:szCs w:val="24"/>
          <w:lang w:val="en-US" w:eastAsia="zh-CN"/>
        </w:rPr>
        <w:t>3</w:t>
      </w:r>
      <w:r>
        <w:rPr>
          <w:rFonts w:hint="eastAsia" w:ascii="仿宋" w:hAnsi="仿宋" w:eastAsia="仿宋" w:cs="宋体"/>
          <w:sz w:val="24"/>
          <w:szCs w:val="24"/>
        </w:rPr>
        <w:t>日至2026年</w:t>
      </w:r>
      <w:r>
        <w:rPr>
          <w:rFonts w:hint="eastAsia" w:ascii="仿宋" w:hAnsi="仿宋" w:eastAsia="仿宋" w:cs="宋体"/>
          <w:sz w:val="24"/>
          <w:szCs w:val="24"/>
          <w:lang w:val="en-US" w:eastAsia="zh-CN"/>
        </w:rPr>
        <w:t>6</w:t>
      </w:r>
      <w:r>
        <w:rPr>
          <w:rFonts w:hint="eastAsia" w:ascii="仿宋" w:hAnsi="仿宋" w:eastAsia="仿宋" w:cs="宋体"/>
          <w:sz w:val="24"/>
          <w:szCs w:val="24"/>
        </w:rPr>
        <w:t>月</w:t>
      </w:r>
      <w:r>
        <w:rPr>
          <w:rFonts w:hint="eastAsia" w:ascii="仿宋" w:hAnsi="仿宋" w:eastAsia="仿宋" w:cs="宋体"/>
          <w:sz w:val="24"/>
          <w:szCs w:val="24"/>
          <w:lang w:val="en-US" w:eastAsia="zh-CN"/>
        </w:rPr>
        <w:t>9</w:t>
      </w:r>
      <w:r>
        <w:rPr>
          <w:rFonts w:hint="eastAsia" w:ascii="仿宋" w:hAnsi="仿宋" w:eastAsia="仿宋" w:cs="宋体"/>
          <w:sz w:val="24"/>
          <w:szCs w:val="24"/>
        </w:rPr>
        <w:t>日，每天上午9:00-11:30；下午14:30-17:00（节假日除外）（北京时间，下同）。</w:t>
      </w:r>
    </w:p>
    <w:p w14:paraId="31C12B88">
      <w:pPr>
        <w:spacing w:line="360" w:lineRule="auto"/>
        <w:ind w:firstLine="480" w:firstLineChars="200"/>
        <w:textAlignment w:val="baseline"/>
        <w:rPr>
          <w:rFonts w:hint="eastAsia" w:ascii="仿宋" w:hAnsi="仿宋" w:eastAsia="仿宋" w:cs="宋体"/>
          <w:sz w:val="24"/>
          <w:szCs w:val="24"/>
        </w:rPr>
      </w:pPr>
      <w:r>
        <w:rPr>
          <w:rFonts w:hint="eastAsia" w:ascii="仿宋" w:hAnsi="仿宋" w:eastAsia="仿宋" w:cs="宋体"/>
          <w:sz w:val="24"/>
          <w:szCs w:val="24"/>
        </w:rPr>
        <w:t>5.2 招标文件获取方式：</w:t>
      </w:r>
    </w:p>
    <w:p w14:paraId="331AD6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sz w:val="24"/>
          <w:lang w:val="en-US" w:eastAsia="zh-CN"/>
        </w:rPr>
      </w:pPr>
      <w:r>
        <w:rPr>
          <w:rFonts w:hint="eastAsia" w:ascii="仿宋" w:hAnsi="仿宋" w:eastAsia="仿宋" w:cs="宋体"/>
          <w:sz w:val="24"/>
        </w:rPr>
        <w:t>拟报名参加本项目的投标人，报名时需提供</w:t>
      </w:r>
      <w:r>
        <w:rPr>
          <w:rFonts w:hint="eastAsia" w:ascii="仿宋" w:hAnsi="仿宋" w:eastAsia="仿宋" w:cs="宋体"/>
          <w:sz w:val="24"/>
          <w:lang w:eastAsia="zh-CN"/>
        </w:rPr>
        <w:t>：①法定代表人（单位负责人）身份证明书及身份证或法定代表人授权书（格式自拟）及被授权人身份证；②资格要求证明文件；</w:t>
      </w:r>
      <w:r>
        <w:rPr>
          <w:rFonts w:hint="eastAsia" w:ascii="仿宋" w:hAnsi="仿宋" w:eastAsia="仿宋"/>
          <w:sz w:val="24"/>
          <w:highlight w:val="none"/>
        </w:rPr>
        <w:t>③在“人保e采”外网门户（https://ec.picc.com/）报名成功截图</w:t>
      </w:r>
      <w:r>
        <w:rPr>
          <w:rFonts w:hint="eastAsia" w:ascii="仿宋" w:hAnsi="仿宋" w:eastAsia="仿宋" w:cs="宋体"/>
          <w:sz w:val="24"/>
          <w:lang w:eastAsia="zh-CN"/>
        </w:rPr>
        <w:t>④标书费缴费凭证。将以上资料加盖单位公章并将扫描件发送到指定邮箱报名。报名邮箱：</w:t>
      </w:r>
      <w:r>
        <w:rPr>
          <w:rFonts w:hint="eastAsia" w:ascii="仿宋" w:hAnsi="仿宋" w:eastAsia="仿宋" w:cs="宋体"/>
          <w:sz w:val="24"/>
          <w:lang w:val="en-US" w:eastAsia="zh-CN"/>
        </w:rPr>
        <w:t>gjsc516@163.com</w:t>
      </w:r>
      <w:r>
        <w:rPr>
          <w:rFonts w:hint="eastAsia" w:ascii="仿宋" w:hAnsi="仿宋" w:eastAsia="仿宋" w:cs="宋体"/>
          <w:sz w:val="24"/>
          <w:lang w:eastAsia="zh-CN"/>
        </w:rPr>
        <w:t>（备注：“项目名称</w:t>
      </w:r>
      <w:r>
        <w:rPr>
          <w:rFonts w:hint="eastAsia" w:ascii="仿宋" w:hAnsi="仿宋" w:eastAsia="仿宋" w:cs="宋体"/>
          <w:sz w:val="24"/>
          <w:lang w:val="en-US" w:eastAsia="zh-CN"/>
        </w:rPr>
        <w:t>简称</w:t>
      </w:r>
      <w:r>
        <w:rPr>
          <w:rFonts w:hint="eastAsia" w:ascii="仿宋" w:hAnsi="仿宋" w:eastAsia="仿宋" w:cs="宋体"/>
          <w:sz w:val="24"/>
          <w:lang w:eastAsia="zh-CN"/>
        </w:rPr>
        <w:t>+单位名称+联系方式+邮箱”）。报名资料审核通过后，采购文件通过邮箱发送。报名不成功或未获取到完整资料的，导致投标资格被否决的，自行承担责任。缴费时应注明项目名称、编号或包件号，在下载截止时间前未提供有效缴费凭证的，视为未购买采购文件。标书费指定账户：河北省成套招标有限公司，开户行：河北银行金桥支行，账号：63712010200479。</w:t>
      </w:r>
    </w:p>
    <w:p w14:paraId="4FCE03D8">
      <w:pPr>
        <w:spacing w:line="360" w:lineRule="auto"/>
        <w:ind w:firstLine="480" w:firstLineChars="200"/>
        <w:textAlignment w:val="baseline"/>
        <w:rPr>
          <w:rFonts w:hint="eastAsia" w:ascii="仿宋" w:hAnsi="仿宋" w:eastAsia="仿宋" w:cs="宋体"/>
          <w:sz w:val="24"/>
        </w:rPr>
      </w:pPr>
      <w:r>
        <w:rPr>
          <w:rFonts w:hint="eastAsia" w:ascii="仿宋" w:hAnsi="仿宋" w:eastAsia="仿宋" w:cs="宋体"/>
          <w:sz w:val="24"/>
        </w:rPr>
        <w:t>5.3招标文件售价：300元人民币，招标文件售后不退。</w:t>
      </w:r>
    </w:p>
    <w:p w14:paraId="5EA830DF">
      <w:pPr>
        <w:pStyle w:val="3"/>
        <w:numPr>
          <w:ilvl w:val="0"/>
          <w:numId w:val="0"/>
        </w:numPr>
      </w:pPr>
      <w:bookmarkStart w:id="26" w:name="_Toc7435"/>
      <w:bookmarkStart w:id="27" w:name="_Toc203925632"/>
      <w:bookmarkStart w:id="28" w:name="_Toc109124228"/>
      <w:r>
        <w:rPr>
          <w:rFonts w:hint="eastAsia"/>
        </w:rPr>
        <w:t>六、投标文件的递交</w:t>
      </w:r>
      <w:bookmarkEnd w:id="26"/>
      <w:bookmarkEnd w:id="27"/>
      <w:bookmarkEnd w:id="28"/>
    </w:p>
    <w:p w14:paraId="1C69BF92">
      <w:pPr>
        <w:spacing w:line="360" w:lineRule="auto"/>
        <w:ind w:firstLine="480" w:firstLineChars="200"/>
        <w:textAlignment w:val="baseline"/>
        <w:rPr>
          <w:rFonts w:hint="eastAsia" w:ascii="仿宋" w:hAnsi="仿宋" w:eastAsia="仿宋" w:cs="宋体"/>
          <w:sz w:val="24"/>
        </w:rPr>
      </w:pPr>
      <w:r>
        <w:rPr>
          <w:rFonts w:hint="eastAsia" w:ascii="仿宋" w:hAnsi="仿宋" w:eastAsia="仿宋" w:cs="宋体"/>
          <w:sz w:val="24"/>
          <w:szCs w:val="24"/>
        </w:rPr>
        <w:t>6.1投标文件递交截止时间</w:t>
      </w:r>
      <w:r>
        <w:rPr>
          <w:rFonts w:hint="eastAsia" w:ascii="仿宋" w:hAnsi="仿宋" w:eastAsia="仿宋" w:cs="宋体"/>
          <w:sz w:val="24"/>
        </w:rPr>
        <w:t>：2026年</w:t>
      </w:r>
      <w:r>
        <w:rPr>
          <w:rFonts w:hint="eastAsia" w:ascii="仿宋" w:hAnsi="仿宋" w:eastAsia="仿宋" w:cs="宋体"/>
          <w:sz w:val="24"/>
          <w:lang w:val="en-US" w:eastAsia="zh-CN"/>
        </w:rPr>
        <w:t>6</w:t>
      </w:r>
      <w:r>
        <w:rPr>
          <w:rFonts w:hint="eastAsia" w:ascii="仿宋" w:hAnsi="仿宋" w:eastAsia="仿宋" w:cs="宋体"/>
          <w:sz w:val="24"/>
        </w:rPr>
        <w:t>月</w:t>
      </w:r>
      <w:r>
        <w:rPr>
          <w:rFonts w:hint="eastAsia" w:ascii="仿宋" w:hAnsi="仿宋" w:eastAsia="仿宋" w:cs="宋体"/>
          <w:sz w:val="24"/>
          <w:lang w:val="en-US" w:eastAsia="zh-CN"/>
        </w:rPr>
        <w:t>24</w:t>
      </w:r>
      <w:r>
        <w:rPr>
          <w:rFonts w:hint="eastAsia" w:ascii="仿宋" w:hAnsi="仿宋" w:eastAsia="仿宋" w:cs="宋体"/>
          <w:sz w:val="24"/>
        </w:rPr>
        <w:t>日</w:t>
      </w:r>
      <w:r>
        <w:rPr>
          <w:rFonts w:hint="eastAsia" w:ascii="仿宋" w:hAnsi="仿宋" w:eastAsia="仿宋" w:cs="宋体"/>
          <w:sz w:val="24"/>
          <w:lang w:val="en-US" w:eastAsia="zh-CN"/>
        </w:rPr>
        <w:t>14</w:t>
      </w:r>
      <w:r>
        <w:rPr>
          <w:rFonts w:hint="eastAsia" w:ascii="仿宋" w:hAnsi="仿宋" w:eastAsia="仿宋" w:cs="宋体"/>
          <w:sz w:val="24"/>
        </w:rPr>
        <w:t>时分00秒。</w:t>
      </w:r>
    </w:p>
    <w:p w14:paraId="06BC18F1">
      <w:pPr>
        <w:spacing w:line="360" w:lineRule="auto"/>
        <w:ind w:firstLine="480" w:firstLineChars="200"/>
        <w:textAlignment w:val="baseline"/>
        <w:rPr>
          <w:rFonts w:hint="eastAsia" w:ascii="仿宋" w:hAnsi="仿宋" w:eastAsia="仿宋" w:cs="宋体"/>
          <w:b/>
          <w:bCs/>
          <w:sz w:val="24"/>
          <w:szCs w:val="24"/>
        </w:rPr>
      </w:pPr>
      <w:r>
        <w:rPr>
          <w:rFonts w:hint="eastAsia" w:ascii="仿宋" w:hAnsi="仿宋" w:eastAsia="仿宋" w:cs="宋体"/>
          <w:sz w:val="24"/>
          <w:szCs w:val="24"/>
        </w:rPr>
        <w:t>6.2投标文件递交地点：须现场递交至</w:t>
      </w:r>
      <w:r>
        <w:rPr>
          <w:rFonts w:ascii="仿宋" w:hAnsi="仿宋" w:eastAsia="仿宋" w:cs="宋体"/>
          <w:sz w:val="24"/>
        </w:rPr>
        <w:t>河北省成套招标有限公司（石家庄市桥西区金石工业园（新石北路南）</w:t>
      </w:r>
      <w:r>
        <w:rPr>
          <w:rFonts w:hint="eastAsia" w:ascii="仿宋" w:hAnsi="仿宋" w:eastAsia="仿宋" w:cs="宋体"/>
          <w:sz w:val="24"/>
        </w:rPr>
        <w:t>瞪羚加速器14层室，</w:t>
      </w:r>
      <w:r>
        <w:rPr>
          <w:rFonts w:hint="eastAsia" w:ascii="仿宋" w:hAnsi="仿宋" w:eastAsia="仿宋" w:cs="宋体"/>
          <w:b/>
          <w:bCs/>
          <w:sz w:val="24"/>
          <w:szCs w:val="24"/>
        </w:rPr>
        <w:t>逾期送达或者未送达指定地点或者未按照招标文件要求封装的纸质投标文件不予接收。</w:t>
      </w:r>
      <w:bookmarkStart w:id="29" w:name="_Toc109124229"/>
      <w:bookmarkStart w:id="30" w:name="_Toc3941"/>
    </w:p>
    <w:p w14:paraId="317B1BAB">
      <w:pPr>
        <w:spacing w:line="360" w:lineRule="auto"/>
        <w:ind w:firstLine="480" w:firstLineChars="200"/>
        <w:textAlignment w:val="baseline"/>
        <w:rPr>
          <w:rFonts w:hint="eastAsia" w:ascii="仿宋" w:hAnsi="仿宋" w:eastAsia="仿宋" w:cs="宋体"/>
          <w:sz w:val="24"/>
          <w:szCs w:val="24"/>
        </w:rPr>
      </w:pPr>
      <w:r>
        <w:rPr>
          <w:rFonts w:hint="eastAsia" w:ascii="仿宋" w:hAnsi="仿宋" w:eastAsia="仿宋" w:cs="宋体"/>
          <w:sz w:val="24"/>
          <w:szCs w:val="24"/>
        </w:rPr>
        <w:t>6.3</w:t>
      </w:r>
      <w:r>
        <w:rPr>
          <w:rFonts w:hint="eastAsia" w:ascii="仿宋" w:hAnsi="仿宋" w:eastAsia="仿宋" w:cs="宋体"/>
          <w:b/>
          <w:bCs/>
          <w:sz w:val="24"/>
          <w:szCs w:val="24"/>
        </w:rPr>
        <w:t>本项目将于上述同一时间、地点进行开标</w:t>
      </w:r>
      <w:r>
        <w:rPr>
          <w:rFonts w:hint="eastAsia" w:ascii="仿宋" w:hAnsi="仿宋" w:eastAsia="仿宋" w:cs="宋体"/>
          <w:sz w:val="24"/>
          <w:szCs w:val="24"/>
        </w:rPr>
        <w:t>，招标人/招标代理机构邀请投标人代表准时参加。</w:t>
      </w:r>
    </w:p>
    <w:p w14:paraId="66EC85EC">
      <w:pPr>
        <w:spacing w:line="360" w:lineRule="auto"/>
        <w:ind w:firstLine="480" w:firstLineChars="200"/>
        <w:textAlignment w:val="baseline"/>
        <w:rPr>
          <w:rFonts w:hint="eastAsia" w:ascii="仿宋" w:hAnsi="仿宋" w:eastAsia="仿宋" w:cs="宋体"/>
          <w:b/>
          <w:bCs/>
          <w:sz w:val="24"/>
          <w:szCs w:val="24"/>
        </w:rPr>
      </w:pPr>
      <w:r>
        <w:rPr>
          <w:rFonts w:hint="eastAsia" w:ascii="仿宋" w:hAnsi="仿宋" w:eastAsia="仿宋" w:cs="宋体"/>
          <w:sz w:val="24"/>
          <w:szCs w:val="24"/>
        </w:rPr>
        <w:t>6.4</w:t>
      </w:r>
      <w:r>
        <w:rPr>
          <w:rFonts w:hint="eastAsia" w:ascii="仿宋" w:hAnsi="仿宋" w:eastAsia="仿宋" w:cs="宋体"/>
          <w:b/>
          <w:bCs/>
          <w:sz w:val="24"/>
          <w:szCs w:val="24"/>
        </w:rPr>
        <w:t>出现以下情形之一时，招标人/招标代理机构不予接收投标文件：</w:t>
      </w:r>
    </w:p>
    <w:p w14:paraId="0F337CD1">
      <w:pPr>
        <w:spacing w:line="360" w:lineRule="auto"/>
        <w:ind w:firstLine="480" w:firstLineChars="200"/>
        <w:textAlignment w:val="baseline"/>
        <w:rPr>
          <w:rFonts w:hint="eastAsia" w:ascii="仿宋" w:hAnsi="仿宋" w:eastAsia="仿宋" w:cs="宋体"/>
          <w:sz w:val="24"/>
          <w:szCs w:val="24"/>
        </w:rPr>
      </w:pPr>
      <w:r>
        <w:rPr>
          <w:rFonts w:hint="eastAsia" w:ascii="仿宋" w:hAnsi="仿宋" w:eastAsia="仿宋" w:cs="宋体"/>
          <w:sz w:val="24"/>
          <w:szCs w:val="24"/>
        </w:rPr>
        <w:t>6.4.1  逾期送达或者未送达指定地点的；</w:t>
      </w:r>
    </w:p>
    <w:p w14:paraId="2E0C9CF2">
      <w:pPr>
        <w:spacing w:line="360" w:lineRule="auto"/>
        <w:ind w:firstLine="480" w:firstLineChars="200"/>
        <w:textAlignment w:val="baseline"/>
        <w:rPr>
          <w:rFonts w:hint="eastAsia" w:ascii="仿宋" w:hAnsi="仿宋" w:eastAsia="仿宋" w:cs="宋体"/>
          <w:sz w:val="24"/>
          <w:szCs w:val="24"/>
        </w:rPr>
      </w:pPr>
      <w:r>
        <w:rPr>
          <w:rFonts w:hint="eastAsia" w:ascii="仿宋" w:hAnsi="仿宋" w:eastAsia="仿宋" w:cs="宋体"/>
          <w:sz w:val="24"/>
          <w:szCs w:val="24"/>
        </w:rPr>
        <w:t>6.4.2  未按照招标文件要求密封的；</w:t>
      </w:r>
    </w:p>
    <w:p w14:paraId="7AF0565B">
      <w:pPr>
        <w:spacing w:line="360" w:lineRule="auto"/>
        <w:ind w:firstLine="480" w:firstLineChars="200"/>
        <w:textAlignment w:val="baseline"/>
        <w:rPr>
          <w:rFonts w:hint="eastAsia" w:ascii="仿宋" w:hAnsi="仿宋" w:eastAsia="仿宋" w:cs="宋体"/>
          <w:sz w:val="24"/>
          <w:szCs w:val="24"/>
        </w:rPr>
      </w:pPr>
      <w:r>
        <w:rPr>
          <w:rFonts w:hint="eastAsia" w:ascii="仿宋" w:hAnsi="仿宋" w:eastAsia="仿宋" w:cs="宋体"/>
          <w:sz w:val="24"/>
          <w:szCs w:val="24"/>
        </w:rPr>
        <w:t>6.4.3  未按照招标公告要求获取招标文件的。</w:t>
      </w:r>
    </w:p>
    <w:p w14:paraId="150E4DF2">
      <w:pPr>
        <w:pStyle w:val="3"/>
        <w:numPr>
          <w:ilvl w:val="0"/>
          <w:numId w:val="0"/>
        </w:numPr>
      </w:pPr>
      <w:bookmarkStart w:id="31" w:name="_Toc203925633"/>
      <w:r>
        <w:rPr>
          <w:rFonts w:hint="eastAsia"/>
        </w:rPr>
        <w:t>七、发布公告的媒介</w:t>
      </w:r>
      <w:bookmarkEnd w:id="29"/>
      <w:bookmarkEnd w:id="30"/>
      <w:bookmarkEnd w:id="31"/>
    </w:p>
    <w:p w14:paraId="2156EB83">
      <w:pPr>
        <w:spacing w:line="360" w:lineRule="auto"/>
        <w:ind w:firstLine="480" w:firstLineChars="200"/>
        <w:textAlignment w:val="baseline"/>
        <w:rPr>
          <w:rFonts w:hint="eastAsia" w:ascii="仿宋" w:hAnsi="仿宋" w:eastAsia="仿宋" w:cs="宋体"/>
          <w:sz w:val="24"/>
          <w:szCs w:val="24"/>
        </w:rPr>
      </w:pPr>
      <w:r>
        <w:rPr>
          <w:rFonts w:hint="eastAsia" w:ascii="仿宋" w:hAnsi="仿宋" w:eastAsia="仿宋" w:cs="宋体"/>
          <w:sz w:val="24"/>
          <w:szCs w:val="24"/>
        </w:rPr>
        <w:t>本项目招标公告同时在“人保e采”外网门户（https://ec.picc.com/）、“金采网”（www.cfcpn.com）、“中国招标投标公共服务平台”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7AA8B873">
      <w:pPr>
        <w:pStyle w:val="3"/>
        <w:numPr>
          <w:ilvl w:val="255"/>
          <w:numId w:val="0"/>
        </w:numPr>
      </w:pPr>
      <w:bookmarkStart w:id="32" w:name="_Toc203925634"/>
      <w:bookmarkStart w:id="33" w:name="_Toc26408"/>
      <w:bookmarkStart w:id="34" w:name="_Toc20415"/>
      <w:bookmarkStart w:id="35" w:name="_Toc24589"/>
      <w:bookmarkStart w:id="36" w:name="_Toc7046"/>
      <w:bookmarkStart w:id="37" w:name="_Toc109124230"/>
      <w:r>
        <w:rPr>
          <w:rFonts w:hint="eastAsia"/>
        </w:rPr>
        <w:t>八、联系方式</w:t>
      </w:r>
      <w:bookmarkEnd w:id="32"/>
      <w:bookmarkEnd w:id="33"/>
      <w:bookmarkEnd w:id="34"/>
      <w:bookmarkEnd w:id="35"/>
      <w:bookmarkEnd w:id="36"/>
      <w:bookmarkEnd w:id="37"/>
    </w:p>
    <w:p w14:paraId="1ADDAE45">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sz w:val="24"/>
        </w:rPr>
      </w:pPr>
      <w:r>
        <w:rPr>
          <w:rFonts w:hint="eastAsia" w:ascii="仿宋" w:hAnsi="仿宋" w:eastAsia="仿宋" w:cs="仿宋"/>
          <w:b/>
          <w:bCs/>
          <w:sz w:val="24"/>
        </w:rPr>
        <w:t>采购人：</w:t>
      </w:r>
      <w:r>
        <w:rPr>
          <w:rFonts w:hint="eastAsia" w:ascii="仿宋" w:hAnsi="仿宋" w:eastAsia="仿宋" w:cs="宋体"/>
          <w:b/>
          <w:sz w:val="24"/>
        </w:rPr>
        <w:t>中国人民财产保险股份有限公司唐山市分公司</w:t>
      </w:r>
    </w:p>
    <w:p w14:paraId="2CBF6260">
      <w:pPr>
        <w:spacing w:line="360" w:lineRule="auto"/>
        <w:ind w:firstLine="420" w:firstLineChars="175"/>
        <w:jc w:val="left"/>
        <w:rPr>
          <w:rFonts w:hint="eastAsia" w:ascii="宋体" w:hAnsi="宋体" w:cs="宋体"/>
          <w:szCs w:val="21"/>
        </w:rPr>
      </w:pPr>
      <w:r>
        <w:rPr>
          <w:rFonts w:hint="eastAsia" w:ascii="仿宋" w:hAnsi="仿宋" w:eastAsia="仿宋" w:cs="仿宋"/>
          <w:sz w:val="24"/>
        </w:rPr>
        <w:t>地址： 唐山市新华西道60号</w:t>
      </w:r>
    </w:p>
    <w:p w14:paraId="1B7928D3">
      <w:pPr>
        <w:spacing w:line="360" w:lineRule="auto"/>
        <w:ind w:firstLine="420" w:firstLineChars="175"/>
        <w:jc w:val="left"/>
        <w:rPr>
          <w:rFonts w:hint="eastAsia" w:ascii="仿宋" w:hAnsi="仿宋" w:eastAsia="仿宋" w:cs="仿宋"/>
          <w:sz w:val="24"/>
        </w:rPr>
      </w:pPr>
      <w:r>
        <w:rPr>
          <w:rFonts w:hint="eastAsia" w:ascii="仿宋" w:hAnsi="仿宋" w:eastAsia="仿宋" w:cs="仿宋"/>
          <w:sz w:val="24"/>
        </w:rPr>
        <w:t>联</w:t>
      </w:r>
      <w:r>
        <w:rPr>
          <w:rFonts w:ascii="仿宋" w:hAnsi="仿宋" w:eastAsia="仿宋" w:cs="仿宋"/>
          <w:sz w:val="24"/>
        </w:rPr>
        <w:t xml:space="preserve"> </w:t>
      </w:r>
      <w:r>
        <w:rPr>
          <w:rFonts w:hint="eastAsia" w:ascii="仿宋" w:hAnsi="仿宋" w:eastAsia="仿宋" w:cs="仿宋"/>
          <w:sz w:val="24"/>
        </w:rPr>
        <w:t>系</w:t>
      </w:r>
      <w:r>
        <w:rPr>
          <w:rFonts w:ascii="仿宋" w:hAnsi="仿宋" w:eastAsia="仿宋" w:cs="仿宋"/>
          <w:sz w:val="24"/>
        </w:rPr>
        <w:t xml:space="preserve"> </w:t>
      </w:r>
      <w:r>
        <w:rPr>
          <w:rFonts w:hint="eastAsia" w:ascii="仿宋" w:hAnsi="仿宋" w:eastAsia="仿宋" w:cs="仿宋"/>
          <w:sz w:val="24"/>
        </w:rPr>
        <w:t>人： 郑彬</w:t>
      </w:r>
    </w:p>
    <w:p w14:paraId="3912C62A">
      <w:pPr>
        <w:spacing w:line="360" w:lineRule="auto"/>
        <w:ind w:firstLine="420" w:firstLineChars="175"/>
        <w:jc w:val="left"/>
        <w:rPr>
          <w:rFonts w:hint="eastAsia" w:ascii="仿宋" w:hAnsi="仿宋" w:eastAsia="仿宋" w:cs="仿宋"/>
          <w:sz w:val="24"/>
        </w:rPr>
      </w:pPr>
      <w:r>
        <w:rPr>
          <w:rFonts w:hint="eastAsia" w:ascii="仿宋" w:hAnsi="仿宋" w:eastAsia="仿宋" w:cs="仿宋"/>
          <w:sz w:val="24"/>
        </w:rPr>
        <w:t>电</w:t>
      </w:r>
      <w:r>
        <w:rPr>
          <w:rFonts w:ascii="仿宋" w:hAnsi="仿宋" w:eastAsia="仿宋" w:cs="仿宋"/>
          <w:sz w:val="24"/>
        </w:rPr>
        <w:t xml:space="preserve">    </w:t>
      </w:r>
      <w:r>
        <w:rPr>
          <w:rFonts w:hint="eastAsia" w:ascii="仿宋" w:hAnsi="仿宋" w:eastAsia="仿宋" w:cs="仿宋"/>
          <w:sz w:val="24"/>
        </w:rPr>
        <w:t>话：1</w:t>
      </w:r>
      <w:r>
        <w:rPr>
          <w:rFonts w:ascii="仿宋" w:hAnsi="仿宋" w:eastAsia="仿宋" w:cs="仿宋"/>
          <w:sz w:val="24"/>
        </w:rPr>
        <w:t>3663369813</w:t>
      </w:r>
    </w:p>
    <w:p w14:paraId="169D8A2E">
      <w:pPr>
        <w:spacing w:line="360" w:lineRule="auto"/>
        <w:ind w:firstLine="422" w:firstLineChars="175"/>
        <w:jc w:val="left"/>
        <w:rPr>
          <w:rFonts w:hint="eastAsia" w:ascii="仿宋" w:hAnsi="仿宋" w:eastAsia="仿宋" w:cs="仿宋"/>
          <w:sz w:val="24"/>
        </w:rPr>
      </w:pPr>
      <w:r>
        <w:rPr>
          <w:rFonts w:hint="eastAsia" w:ascii="仿宋" w:hAnsi="仿宋" w:eastAsia="仿宋" w:cs="宋体"/>
          <w:b/>
          <w:sz w:val="24"/>
        </w:rPr>
        <w:t>招标代理机构：</w:t>
      </w:r>
      <w:r>
        <w:rPr>
          <w:rFonts w:ascii="仿宋" w:hAnsi="仿宋" w:eastAsia="仿宋"/>
          <w:b/>
          <w:bCs/>
          <w:sz w:val="24"/>
        </w:rPr>
        <w:t>河北省成套招标有限公司</w:t>
      </w:r>
    </w:p>
    <w:p w14:paraId="39C2CDAB">
      <w:pPr>
        <w:spacing w:line="360" w:lineRule="auto"/>
        <w:ind w:firstLine="420" w:firstLineChars="175"/>
        <w:jc w:val="left"/>
        <w:rPr>
          <w:rFonts w:hint="eastAsia" w:ascii="仿宋" w:hAnsi="仿宋" w:eastAsia="仿宋" w:cs="仿宋"/>
          <w:sz w:val="24"/>
        </w:rPr>
      </w:pPr>
      <w:r>
        <w:rPr>
          <w:rFonts w:hint="eastAsia" w:ascii="仿宋" w:hAnsi="仿宋" w:eastAsia="仿宋" w:cs="宋体"/>
          <w:sz w:val="24"/>
        </w:rPr>
        <w:t>地址：</w:t>
      </w:r>
      <w:r>
        <w:rPr>
          <w:rFonts w:ascii="仿宋" w:hAnsi="仿宋" w:eastAsia="仿宋"/>
          <w:sz w:val="24"/>
        </w:rPr>
        <w:t>河北省石家庄市工农路486号</w:t>
      </w:r>
    </w:p>
    <w:p w14:paraId="1D4C977A">
      <w:pPr>
        <w:spacing w:line="360" w:lineRule="auto"/>
        <w:ind w:firstLine="420" w:firstLineChars="175"/>
        <w:jc w:val="left"/>
        <w:rPr>
          <w:rFonts w:hint="eastAsia" w:ascii="仿宋" w:hAnsi="仿宋" w:eastAsia="仿宋" w:cs="仿宋"/>
          <w:sz w:val="24"/>
        </w:rPr>
      </w:pPr>
      <w:r>
        <w:rPr>
          <w:rFonts w:hint="eastAsia" w:ascii="仿宋" w:hAnsi="仿宋" w:eastAsia="仿宋" w:cs="宋体"/>
          <w:sz w:val="24"/>
        </w:rPr>
        <w:t>联系人：</w:t>
      </w:r>
      <w:r>
        <w:rPr>
          <w:rFonts w:hint="eastAsia" w:ascii="仿宋" w:hAnsi="仿宋" w:eastAsia="仿宋" w:cs="宋体"/>
          <w:sz w:val="24"/>
          <w:lang w:val="en-US" w:eastAsia="zh-CN"/>
        </w:rPr>
        <w:t>张</w:t>
      </w:r>
      <w:r>
        <w:rPr>
          <w:rFonts w:hint="eastAsia" w:ascii="仿宋" w:hAnsi="仿宋" w:eastAsia="仿宋" w:cs="宋体"/>
          <w:sz w:val="24"/>
        </w:rPr>
        <w:t>经理</w:t>
      </w:r>
    </w:p>
    <w:p w14:paraId="756DE597">
      <w:pPr>
        <w:spacing w:line="360" w:lineRule="auto"/>
        <w:ind w:firstLine="420" w:firstLineChars="175"/>
        <w:jc w:val="left"/>
        <w:rPr>
          <w:rFonts w:hint="default" w:ascii="仿宋" w:hAnsi="仿宋" w:eastAsia="仿宋"/>
          <w:sz w:val="24"/>
          <w:lang w:val="en-US" w:eastAsia="zh-CN"/>
        </w:rPr>
      </w:pPr>
      <w:r>
        <w:rPr>
          <w:rFonts w:hint="eastAsia" w:ascii="仿宋" w:hAnsi="仿宋" w:eastAsia="仿宋" w:cs="宋体"/>
          <w:sz w:val="24"/>
        </w:rPr>
        <w:t>电话：</w:t>
      </w:r>
      <w:r>
        <w:rPr>
          <w:rFonts w:hint="eastAsia" w:ascii="仿宋" w:hAnsi="仿宋" w:eastAsia="仿宋" w:cs="宋体"/>
          <w:sz w:val="24"/>
          <w:lang w:val="en-US" w:eastAsia="zh-CN"/>
        </w:rPr>
        <w:t>18633909960、</w:t>
      </w:r>
      <w:r>
        <w:rPr>
          <w:rFonts w:hint="eastAsia" w:ascii="仿宋" w:hAnsi="仿宋" w:eastAsia="仿宋"/>
          <w:sz w:val="24"/>
        </w:rPr>
        <w:t>15032863257</w:t>
      </w:r>
    </w:p>
    <w:p w14:paraId="4720C945">
      <w:pPr>
        <w:pStyle w:val="4"/>
      </w:pPr>
    </w:p>
    <w:p w14:paraId="5559895A">
      <w:pPr>
        <w:pStyle w:val="4"/>
      </w:pPr>
    </w:p>
    <w:p w14:paraId="5376AD40">
      <w:pPr>
        <w:pStyle w:val="5"/>
      </w:pPr>
    </w:p>
    <w:p w14:paraId="48F34684">
      <w:pPr>
        <w:spacing w:line="360" w:lineRule="auto"/>
        <w:ind w:right="960" w:firstLine="3840" w:firstLineChars="1600"/>
        <w:textAlignment w:val="baseline"/>
        <w:rPr>
          <w:rFonts w:hint="eastAsia" w:ascii="仿宋" w:hAnsi="仿宋" w:eastAsia="仿宋" w:cs="宋体"/>
          <w:sz w:val="24"/>
        </w:rPr>
      </w:pPr>
      <w:r>
        <w:rPr>
          <w:rFonts w:hint="eastAsia" w:ascii="仿宋" w:hAnsi="仿宋" w:eastAsia="仿宋" w:cs="宋体"/>
          <w:sz w:val="24"/>
        </w:rPr>
        <w:t>招标人：人保财险唐山市分公司</w:t>
      </w:r>
    </w:p>
    <w:p w14:paraId="11BAC9B8">
      <w:pPr>
        <w:spacing w:line="360" w:lineRule="auto"/>
        <w:ind w:right="960" w:firstLine="480" w:firstLineChars="200"/>
        <w:textAlignment w:val="baseline"/>
        <w:rPr>
          <w:rFonts w:hint="eastAsia" w:ascii="仿宋" w:hAnsi="仿宋" w:eastAsia="仿宋" w:cs="宋体"/>
          <w:sz w:val="24"/>
        </w:rPr>
      </w:pPr>
      <w:r>
        <w:rPr>
          <w:rFonts w:hint="eastAsia" w:ascii="仿宋" w:hAnsi="仿宋" w:eastAsia="仿宋" w:cs="宋体"/>
          <w:sz w:val="24"/>
        </w:rPr>
        <w:t xml:space="preserve">                           招标代理机构：</w:t>
      </w:r>
      <w:r>
        <w:rPr>
          <w:rFonts w:ascii="仿宋" w:hAnsi="仿宋" w:eastAsia="仿宋"/>
          <w:sz w:val="24"/>
        </w:rPr>
        <w:t>河北省成套招标有限公司</w:t>
      </w:r>
    </w:p>
    <w:p w14:paraId="531D85C5">
      <w:pPr>
        <w:spacing w:line="360" w:lineRule="auto"/>
        <w:ind w:right="960" w:firstLine="5280" w:firstLineChars="2200"/>
        <w:textAlignment w:val="baseline"/>
        <w:rPr>
          <w:rFonts w:hint="eastAsia" w:ascii="仿宋" w:hAnsi="仿宋" w:eastAsia="仿宋" w:cs="宋体"/>
          <w:sz w:val="24"/>
          <w:szCs w:val="24"/>
        </w:rPr>
      </w:pPr>
      <w:r>
        <w:rPr>
          <w:rFonts w:hint="eastAsia" w:ascii="仿宋" w:hAnsi="仿宋" w:eastAsia="仿宋" w:cs="宋体"/>
          <w:sz w:val="24"/>
          <w:szCs w:val="24"/>
        </w:rPr>
        <w:t>2026年</w:t>
      </w:r>
      <w:r>
        <w:rPr>
          <w:rFonts w:hint="eastAsia" w:ascii="仿宋" w:hAnsi="仿宋" w:eastAsia="仿宋" w:cs="宋体"/>
          <w:sz w:val="24"/>
          <w:szCs w:val="24"/>
          <w:lang w:val="en-US" w:eastAsia="zh-CN"/>
        </w:rPr>
        <w:t>6</w:t>
      </w:r>
      <w:r>
        <w:rPr>
          <w:rFonts w:hint="eastAsia" w:ascii="仿宋" w:hAnsi="仿宋" w:eastAsia="仿宋" w:cs="宋体"/>
          <w:sz w:val="24"/>
          <w:szCs w:val="24"/>
        </w:rPr>
        <w:t>月</w:t>
      </w:r>
      <w:r>
        <w:rPr>
          <w:rFonts w:hint="eastAsia" w:ascii="仿宋" w:hAnsi="仿宋" w:eastAsia="仿宋" w:cs="宋体"/>
          <w:sz w:val="24"/>
          <w:szCs w:val="24"/>
          <w:lang w:val="en-US" w:eastAsia="zh-CN"/>
        </w:rPr>
        <w:t>3</w:t>
      </w:r>
      <w:r>
        <w:rPr>
          <w:rFonts w:hint="eastAsia" w:ascii="仿宋" w:hAnsi="仿宋" w:eastAsia="仿宋" w:cs="宋体"/>
          <w:sz w:val="24"/>
          <w:szCs w:val="24"/>
        </w:rPr>
        <w:t>日</w:t>
      </w:r>
    </w:p>
    <w:p w14:paraId="49DA020C">
      <w:pPr>
        <w:pStyle w:val="4"/>
        <w:rPr>
          <w:rFonts w:hint="eastAsia" w:ascii="仿宋" w:hAnsi="仿宋" w:eastAsia="仿宋" w:cs="宋体"/>
          <w:sz w:val="24"/>
          <w:szCs w:val="24"/>
        </w:rPr>
      </w:pPr>
    </w:p>
    <w:p w14:paraId="1A7CBE75">
      <w:pPr>
        <w:pStyle w:val="5"/>
        <w:rPr>
          <w:rFonts w:hint="eastAsia" w:ascii="仿宋" w:hAnsi="仿宋" w:eastAsia="仿宋" w:cs="宋体"/>
          <w:sz w:val="24"/>
          <w:szCs w:val="24"/>
        </w:rPr>
      </w:pPr>
    </w:p>
    <w:p w14:paraId="73CCE568">
      <w:pPr>
        <w:pStyle w:val="5"/>
        <w:rPr>
          <w:rFonts w:hint="eastAsia" w:ascii="仿宋" w:hAnsi="仿宋" w:eastAsia="仿宋" w:cs="宋体"/>
          <w:sz w:val="24"/>
          <w:szCs w:val="24"/>
        </w:rPr>
      </w:pPr>
    </w:p>
    <w:p w14:paraId="484D28F1">
      <w:pPr>
        <w:widowControl/>
        <w:spacing w:line="240" w:lineRule="auto"/>
        <w:jc w:val="left"/>
      </w:pPr>
      <w:bookmarkStart w:id="38" w:name="_GoBack"/>
      <w:bookmarkEnd w:id="38"/>
    </w:p>
    <w:sectPr>
      <w:pgSz w:w="11906" w:h="16838"/>
      <w:pgMar w:top="1440" w:right="1463" w:bottom="1440" w:left="1463"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onaco">
    <w:altName w:val="Courier New"/>
    <w:panose1 w:val="020B0509030404040204"/>
    <w:charset w:val="00"/>
    <w:family w:val="moder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BC333D"/>
    <w:multiLevelType w:val="multilevel"/>
    <w:tmpl w:val="10BC333D"/>
    <w:lvl w:ilvl="0" w:tentative="0">
      <w:start w:val="1"/>
      <w:numFmt w:val="bullet"/>
      <w:pStyle w:val="3"/>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521030"/>
    <w:rsid w:val="4F5210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12" w:lineRule="auto"/>
      <w:jc w:val="both"/>
    </w:pPr>
    <w:rPr>
      <w:rFonts w:ascii="Calibri" w:hAnsi="Calibri" w:eastAsia="宋体" w:cs="Calibri"/>
      <w:kern w:val="2"/>
      <w:sz w:val="21"/>
      <w:lang w:val="en-US" w:eastAsia="zh-CN" w:bidi="ar-SA"/>
    </w:rPr>
  </w:style>
  <w:style w:type="paragraph" w:styleId="2">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3">
    <w:name w:val="heading 2"/>
    <w:basedOn w:val="1"/>
    <w:next w:val="1"/>
    <w:qFormat/>
    <w:uiPriority w:val="0"/>
    <w:pPr>
      <w:keepNext/>
      <w:keepLines/>
      <w:numPr>
        <w:ilvl w:val="0"/>
        <w:numId w:val="1"/>
      </w:numPr>
      <w:adjustRightInd w:val="0"/>
      <w:snapToGrid w:val="0"/>
      <w:spacing w:before="120" w:after="120" w:line="360" w:lineRule="auto"/>
      <w:jc w:val="left"/>
      <w:outlineLvl w:val="1"/>
    </w:pPr>
    <w:rPr>
      <w:rFonts w:ascii="宋体" w:hAnsi="Arial" w:eastAsia="仿宋"/>
      <w:b/>
      <w:sz w:val="2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next w:val="5"/>
    <w:unhideWhenUsed/>
    <w:qFormat/>
    <w:uiPriority w:val="99"/>
    <w:pPr>
      <w:spacing w:after="120"/>
    </w:pPr>
  </w:style>
  <w:style w:type="paragraph" w:styleId="5">
    <w:name w:val="Body Text 2"/>
    <w:basedOn w:val="1"/>
    <w:qFormat/>
    <w:uiPriority w:val="0"/>
    <w:rPr>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2026-06-02T06:41:00Z</dcterms:created>
  <dc:creator>焦凯</dc:creator>
  <cp:lastModifiedBy>焦凯</cp:lastModifiedBy>
  <dcterms:modified xsi:type="dcterms:W3CDTF">2026-06-02T06:42:16Z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FA05C9F00A5C4B2C8CEC82ABCAC7E7D8_11</vt:lpwstr>
  </property>
  <property fmtid="{D5CDD505-2E9C-101B-9397-08002B2CF9AE}" pid="4" name="KSOTemplateDocerSaveRecord">
    <vt:lpwstr>eyJoZGlkIjoiZjUyZmQwOWVhYTgyMGM1ODYwYjM3ZDBiOWNjMDc4NTUiLCJ1c2VySWQiOiIxNTExMjA0MzgxIn0=</vt:lpwstr>
  </property>
</Properties>
</file>