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5"/>
      </w:pPr>
    </w:p>
    <w:p>
      <w:pPr>
        <w:pStyle w:val="15"/>
        <w:jc w:val="center"/>
        <w:rPr>
          <w:rFonts w:hint="eastAsia"/>
          <w:b/>
          <w:sz w:val="32"/>
          <w:szCs w:val="32"/>
          <w:lang w:eastAsia="zh-CN"/>
        </w:rPr>
      </w:pPr>
      <w:r>
        <w:rPr>
          <w:rFonts w:hint="eastAsia"/>
          <w:b/>
          <w:sz w:val="32"/>
          <w:szCs w:val="32"/>
        </w:rPr>
        <w:t>人保财险</w:t>
      </w:r>
      <w:r>
        <w:rPr>
          <w:rFonts w:hint="eastAsia"/>
          <w:b/>
          <w:sz w:val="32"/>
          <w:szCs w:val="32"/>
          <w:lang w:eastAsia="zh-CN"/>
        </w:rPr>
        <w:t>四川省达州市</w:t>
      </w:r>
      <w:r>
        <w:rPr>
          <w:rFonts w:hint="eastAsia"/>
          <w:b/>
          <w:sz w:val="32"/>
          <w:szCs w:val="32"/>
        </w:rPr>
        <w:t>分公司</w:t>
      </w:r>
      <w:r>
        <w:rPr>
          <w:rFonts w:hint="eastAsia"/>
          <w:b/>
          <w:sz w:val="32"/>
          <w:szCs w:val="32"/>
          <w:lang w:eastAsia="zh-CN"/>
        </w:rPr>
        <w:t>农险户外墙体喷绘布</w:t>
      </w:r>
    </w:p>
    <w:p>
      <w:pPr>
        <w:pStyle w:val="15"/>
        <w:jc w:val="center"/>
        <w:rPr>
          <w:b/>
          <w:sz w:val="32"/>
          <w:szCs w:val="32"/>
        </w:rPr>
      </w:pPr>
      <w:r>
        <w:rPr>
          <w:rFonts w:hint="eastAsia"/>
          <w:b/>
          <w:sz w:val="32"/>
          <w:szCs w:val="32"/>
          <w:lang w:eastAsia="zh-CN"/>
        </w:rPr>
        <w:t>宣传</w:t>
      </w:r>
      <w:r>
        <w:rPr>
          <w:rFonts w:hint="eastAsia"/>
          <w:b/>
          <w:sz w:val="32"/>
          <w:szCs w:val="32"/>
        </w:rPr>
        <w:t xml:space="preserve">采购项目比价公告 </w:t>
      </w:r>
    </w:p>
    <w:p>
      <w:pPr>
        <w:pStyle w:val="15"/>
        <w:ind w:firstLine="640" w:firstLineChars="200"/>
        <w:rPr>
          <w:sz w:val="32"/>
          <w:szCs w:val="32"/>
        </w:rPr>
      </w:pPr>
      <w:r>
        <w:rPr>
          <w:rFonts w:hint="eastAsia" w:asciiTheme="minorHAnsi"/>
          <w:sz w:val="32"/>
          <w:szCs w:val="32"/>
          <w:lang w:val="en-GB"/>
        </w:rPr>
        <w:t>人保财险</w:t>
      </w:r>
      <w:r>
        <w:rPr>
          <w:rFonts w:hint="eastAsia" w:asciiTheme="minorHAnsi"/>
          <w:sz w:val="32"/>
          <w:szCs w:val="32"/>
          <w:lang w:val="en-GB" w:eastAsia="zh-CN"/>
        </w:rPr>
        <w:t>四川省达州市</w:t>
      </w:r>
      <w:r>
        <w:rPr>
          <w:rFonts w:hint="eastAsia" w:asciiTheme="minorHAnsi"/>
          <w:sz w:val="32"/>
          <w:szCs w:val="32"/>
          <w:lang w:val="en-GB"/>
        </w:rPr>
        <w:t>分公司</w:t>
      </w:r>
      <w:r>
        <w:rPr>
          <w:rFonts w:hint="eastAsia" w:asciiTheme="minorHAnsi"/>
          <w:sz w:val="32"/>
          <w:szCs w:val="32"/>
          <w:lang w:val="en-GB" w:eastAsia="zh-CN"/>
        </w:rPr>
        <w:t>农险户外墙体喷绘布宣传</w:t>
      </w:r>
      <w:r>
        <w:rPr>
          <w:rFonts w:hint="eastAsia" w:asciiTheme="minorHAnsi"/>
          <w:sz w:val="32"/>
          <w:szCs w:val="32"/>
          <w:lang w:val="en-GB"/>
        </w:rPr>
        <w:t>采购项目</w:t>
      </w:r>
      <w:r>
        <w:rPr>
          <w:rFonts w:hint="eastAsia"/>
          <w:sz w:val="32"/>
          <w:szCs w:val="32"/>
        </w:rPr>
        <w:t xml:space="preserve">已启动，现征集优秀供应商，欢迎参与。 </w:t>
      </w:r>
    </w:p>
    <w:p>
      <w:pPr>
        <w:pStyle w:val="15"/>
        <w:numPr>
          <w:ilvl w:val="0"/>
          <w:numId w:val="1"/>
        </w:numPr>
        <w:ind w:firstLine="643" w:firstLineChars="200"/>
        <w:rPr>
          <w:spacing w:val="-17"/>
          <w:sz w:val="32"/>
          <w:szCs w:val="32"/>
        </w:rPr>
      </w:pPr>
      <w:r>
        <w:rPr>
          <w:rFonts w:hint="eastAsia"/>
          <w:b/>
          <w:sz w:val="32"/>
          <w:szCs w:val="32"/>
        </w:rPr>
        <w:t>采购人：</w:t>
      </w:r>
      <w:r>
        <w:rPr>
          <w:rFonts w:hint="eastAsia"/>
          <w:spacing w:val="-17"/>
          <w:sz w:val="32"/>
          <w:szCs w:val="32"/>
        </w:rPr>
        <w:t>中国人民财产保险股份有限公司</w:t>
      </w:r>
      <w:r>
        <w:rPr>
          <w:rFonts w:hint="eastAsia"/>
          <w:spacing w:val="-17"/>
          <w:sz w:val="32"/>
          <w:szCs w:val="32"/>
          <w:lang w:eastAsia="zh-CN"/>
        </w:rPr>
        <w:t>达州市</w:t>
      </w:r>
      <w:r>
        <w:rPr>
          <w:rFonts w:hint="eastAsia"/>
          <w:spacing w:val="-17"/>
          <w:sz w:val="32"/>
          <w:szCs w:val="32"/>
        </w:rPr>
        <w:t>分公司</w:t>
      </w:r>
    </w:p>
    <w:p>
      <w:pPr>
        <w:pStyle w:val="15"/>
        <w:numPr>
          <w:ilvl w:val="0"/>
          <w:numId w:val="1"/>
        </w:numPr>
        <w:ind w:firstLine="643" w:firstLineChars="200"/>
        <w:rPr>
          <w:b/>
          <w:sz w:val="32"/>
          <w:szCs w:val="32"/>
        </w:rPr>
      </w:pPr>
      <w:r>
        <w:rPr>
          <w:rFonts w:hint="eastAsia"/>
          <w:b/>
          <w:sz w:val="32"/>
          <w:szCs w:val="32"/>
        </w:rPr>
        <w:t>采购需求</w:t>
      </w:r>
      <w:r>
        <w:rPr>
          <w:rFonts w:hint="eastAsia"/>
          <w:i/>
          <w:color w:val="FF0000"/>
          <w:sz w:val="32"/>
          <w:szCs w:val="32"/>
        </w:rPr>
        <w:t xml:space="preserve"> </w:t>
      </w:r>
    </w:p>
    <w:p>
      <w:pPr>
        <w:pStyle w:val="15"/>
        <w:ind w:firstLine="640" w:firstLineChars="200"/>
        <w:rPr>
          <w:sz w:val="32"/>
          <w:szCs w:val="32"/>
        </w:rPr>
      </w:pPr>
      <w:r>
        <w:rPr>
          <w:rFonts w:hint="eastAsia" w:asciiTheme="minorHAnsi"/>
          <w:sz w:val="32"/>
          <w:szCs w:val="32"/>
        </w:rPr>
        <w:t>（一）项目概况：</w:t>
      </w:r>
      <w:r>
        <w:rPr>
          <w:rFonts w:hint="eastAsia"/>
          <w:sz w:val="32"/>
          <w:szCs w:val="32"/>
        </w:rPr>
        <w:t>本项目</w:t>
      </w:r>
      <w:r>
        <w:rPr>
          <w:rFonts w:hint="eastAsia"/>
          <w:sz w:val="32"/>
          <w:szCs w:val="32"/>
          <w:lang w:eastAsia="zh-CN"/>
        </w:rPr>
        <w:t>划分为两个标包，分别对应不同宣传区域，实施周期、结算方式、费用标准及服务要求差异化设置。选定</w:t>
      </w:r>
      <w:r>
        <w:rPr>
          <w:rFonts w:hint="eastAsia"/>
          <w:sz w:val="32"/>
          <w:szCs w:val="32"/>
          <w:lang w:val="en-US" w:eastAsia="zh-CN"/>
        </w:rPr>
        <w:t>2</w:t>
      </w:r>
      <w:r>
        <w:rPr>
          <w:rFonts w:hint="eastAsia"/>
          <w:sz w:val="32"/>
          <w:szCs w:val="32"/>
        </w:rPr>
        <w:t>家供应商，</w:t>
      </w:r>
      <w:r>
        <w:rPr>
          <w:rFonts w:hint="eastAsia"/>
          <w:sz w:val="32"/>
          <w:szCs w:val="32"/>
          <w:lang w:eastAsia="zh-CN"/>
        </w:rPr>
        <w:t>分别</w:t>
      </w:r>
      <w:r>
        <w:rPr>
          <w:rFonts w:hint="eastAsia"/>
          <w:sz w:val="32"/>
          <w:szCs w:val="32"/>
        </w:rPr>
        <w:t>为</w:t>
      </w:r>
      <w:r>
        <w:rPr>
          <w:rFonts w:hint="eastAsia"/>
          <w:sz w:val="32"/>
          <w:szCs w:val="32"/>
          <w:lang w:eastAsia="zh-CN"/>
        </w:rPr>
        <w:t>两个标包提供（包含设计、制作、安装、更换及售后等）全程服务。</w:t>
      </w:r>
    </w:p>
    <w:p>
      <w:pPr>
        <w:pStyle w:val="15"/>
        <w:ind w:firstLine="640" w:firstLineChars="200"/>
        <w:rPr>
          <w:rFonts w:hint="eastAsia"/>
          <w:sz w:val="32"/>
          <w:szCs w:val="32"/>
        </w:rPr>
      </w:pPr>
      <w:r>
        <w:rPr>
          <w:rFonts w:hint="eastAsia"/>
          <w:sz w:val="32"/>
          <w:szCs w:val="32"/>
        </w:rPr>
        <w:t>（二）主要需求内容：</w:t>
      </w:r>
    </w:p>
    <w:p>
      <w:pPr>
        <w:pStyle w:val="15"/>
        <w:ind w:firstLine="572" w:firstLineChars="200"/>
        <w:rPr>
          <w:rFonts w:hint="eastAsia"/>
          <w:spacing w:val="-17"/>
          <w:sz w:val="32"/>
          <w:szCs w:val="32"/>
          <w:lang w:val="en-US" w:eastAsia="zh-CN"/>
        </w:rPr>
      </w:pPr>
      <w:r>
        <w:rPr>
          <w:rFonts w:hint="eastAsia"/>
          <w:spacing w:val="-17"/>
          <w:sz w:val="32"/>
          <w:szCs w:val="32"/>
          <w:lang w:eastAsia="zh-CN"/>
        </w:rPr>
        <w:t>标包</w:t>
      </w:r>
      <w:r>
        <w:rPr>
          <w:rFonts w:hint="eastAsia"/>
          <w:spacing w:val="-17"/>
          <w:sz w:val="32"/>
          <w:szCs w:val="32"/>
          <w:lang w:val="en-US" w:eastAsia="zh-CN"/>
        </w:rPr>
        <w:t>1：达川区辖内户外墙体喷绘布年度周期弹性宣传项目。</w:t>
      </w:r>
    </w:p>
    <w:p>
      <w:pPr>
        <w:pStyle w:val="15"/>
        <w:ind w:firstLine="572" w:firstLineChars="200"/>
        <w:rPr>
          <w:rFonts w:hint="default"/>
          <w:spacing w:val="-17"/>
          <w:sz w:val="32"/>
          <w:szCs w:val="32"/>
          <w:lang w:val="en-US" w:eastAsia="zh-CN"/>
        </w:rPr>
      </w:pPr>
      <w:r>
        <w:rPr>
          <w:rFonts w:hint="eastAsia"/>
          <w:spacing w:val="-17"/>
          <w:sz w:val="32"/>
          <w:szCs w:val="32"/>
          <w:lang w:val="en-US" w:eastAsia="zh-CN"/>
        </w:rPr>
        <w:t>标包2：大竹辖内户外墙体喷绘布固定点位长期宣传项目。</w:t>
      </w:r>
    </w:p>
    <w:p>
      <w:pPr>
        <w:pStyle w:val="15"/>
        <w:numPr>
          <w:ilvl w:val="0"/>
          <w:numId w:val="2"/>
        </w:numPr>
        <w:ind w:firstLine="640" w:firstLineChars="200"/>
        <w:rPr>
          <w:sz w:val="32"/>
          <w:szCs w:val="32"/>
        </w:rPr>
      </w:pPr>
      <w:r>
        <w:rPr>
          <w:rFonts w:hint="eastAsia"/>
          <w:sz w:val="32"/>
          <w:szCs w:val="32"/>
        </w:rPr>
        <w:t>采购数量或规模：</w:t>
      </w:r>
    </w:p>
    <w:tbl>
      <w:tblPr>
        <w:tblStyle w:val="9"/>
        <w:tblpPr w:leftFromText="180" w:rightFromText="180" w:vertAnchor="text" w:horzAnchor="page" w:tblpX="1960" w:tblpY="78"/>
        <w:tblOverlap w:val="never"/>
        <w:tblW w:w="492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6"/>
        <w:gridCol w:w="1936"/>
        <w:gridCol w:w="1966"/>
        <w:gridCol w:w="1442"/>
        <w:gridCol w:w="15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3" w:type="pct"/>
            <w:vAlign w:val="center"/>
          </w:tcPr>
          <w:p>
            <w:pPr>
              <w:jc w:val="center"/>
              <w:rPr>
                <w:rFonts w:ascii="仿宋" w:hAnsi="仿宋" w:eastAsia="仿宋" w:cs="宋体"/>
                <w:b/>
                <w:bCs/>
                <w:color w:val="000000" w:themeColor="text1"/>
                <w:sz w:val="22"/>
                <w:szCs w:val="22"/>
                <w14:textFill>
                  <w14:solidFill>
                    <w14:schemeClr w14:val="tx1"/>
                  </w14:solidFill>
                </w14:textFill>
              </w:rPr>
            </w:pPr>
            <w:r>
              <w:rPr>
                <w:rFonts w:hint="eastAsia" w:ascii="仿宋" w:hAnsi="仿宋" w:eastAsia="仿宋" w:cs="宋体"/>
                <w:b/>
                <w:bCs/>
                <w:color w:val="000000" w:themeColor="text1"/>
                <w:sz w:val="22"/>
                <w:szCs w:val="22"/>
                <w14:textFill>
                  <w14:solidFill>
                    <w14:schemeClr w14:val="tx1"/>
                  </w14:solidFill>
                </w14:textFill>
              </w:rPr>
              <w:t>标包号</w:t>
            </w:r>
          </w:p>
        </w:tc>
        <w:tc>
          <w:tcPr>
            <w:tcW w:w="1153" w:type="pct"/>
            <w:vAlign w:val="center"/>
          </w:tcPr>
          <w:p>
            <w:pPr>
              <w:jc w:val="center"/>
              <w:rPr>
                <w:rFonts w:ascii="仿宋" w:hAnsi="仿宋" w:eastAsia="仿宋" w:cs="宋体"/>
                <w:b/>
                <w:bCs/>
                <w:color w:val="000000" w:themeColor="text1"/>
                <w:sz w:val="22"/>
                <w:szCs w:val="22"/>
                <w14:textFill>
                  <w14:solidFill>
                    <w14:schemeClr w14:val="tx1"/>
                  </w14:solidFill>
                </w14:textFill>
              </w:rPr>
            </w:pPr>
            <w:r>
              <w:rPr>
                <w:rFonts w:hint="eastAsia" w:ascii="仿宋" w:hAnsi="仿宋" w:eastAsia="仿宋" w:cs="宋体"/>
                <w:b/>
                <w:bCs/>
                <w:color w:val="000000" w:themeColor="text1"/>
                <w:sz w:val="22"/>
                <w:szCs w:val="22"/>
                <w14:textFill>
                  <w14:solidFill>
                    <w14:schemeClr w14:val="tx1"/>
                  </w14:solidFill>
                </w14:textFill>
              </w:rPr>
              <w:t>标包名称</w:t>
            </w:r>
          </w:p>
        </w:tc>
        <w:tc>
          <w:tcPr>
            <w:tcW w:w="1171" w:type="pct"/>
            <w:vAlign w:val="center"/>
          </w:tcPr>
          <w:p>
            <w:pPr>
              <w:jc w:val="center"/>
              <w:rPr>
                <w:rFonts w:ascii="仿宋" w:hAnsi="仿宋" w:eastAsia="仿宋" w:cs="宋体"/>
                <w:b/>
                <w:bCs/>
                <w:color w:val="000000" w:themeColor="text1"/>
                <w:sz w:val="22"/>
                <w:szCs w:val="22"/>
                <w14:textFill>
                  <w14:solidFill>
                    <w14:schemeClr w14:val="tx1"/>
                  </w14:solidFill>
                </w14:textFill>
              </w:rPr>
            </w:pPr>
            <w:r>
              <w:rPr>
                <w:rFonts w:hint="eastAsia" w:ascii="仿宋" w:hAnsi="仿宋" w:eastAsia="仿宋" w:cs="宋体"/>
                <w:b/>
                <w:bCs/>
                <w:color w:val="000000" w:themeColor="text1"/>
                <w:sz w:val="22"/>
                <w:szCs w:val="22"/>
                <w14:textFill>
                  <w14:solidFill>
                    <w14:schemeClr w14:val="tx1"/>
                  </w14:solidFill>
                </w14:textFill>
              </w:rPr>
              <w:t>采购内容/数量</w:t>
            </w:r>
          </w:p>
        </w:tc>
        <w:tc>
          <w:tcPr>
            <w:tcW w:w="859" w:type="pct"/>
            <w:vAlign w:val="center"/>
          </w:tcPr>
          <w:p>
            <w:pPr>
              <w:jc w:val="center"/>
              <w:rPr>
                <w:rFonts w:hint="eastAsia" w:ascii="仿宋" w:hAnsi="仿宋" w:eastAsia="仿宋" w:cs="宋体"/>
                <w:b/>
                <w:bCs/>
                <w:color w:val="000000" w:themeColor="text1"/>
                <w:sz w:val="22"/>
                <w:szCs w:val="22"/>
                <w:lang w:eastAsia="zh-CN"/>
                <w14:textFill>
                  <w14:solidFill>
                    <w14:schemeClr w14:val="tx1"/>
                  </w14:solidFill>
                </w14:textFill>
              </w:rPr>
            </w:pPr>
            <w:r>
              <w:rPr>
                <w:rFonts w:hint="eastAsia" w:ascii="仿宋" w:hAnsi="仿宋" w:eastAsia="仿宋" w:cs="宋体"/>
                <w:b/>
                <w:bCs/>
                <w:color w:val="000000" w:themeColor="text1"/>
                <w:sz w:val="22"/>
                <w:szCs w:val="22"/>
                <w:lang w:eastAsia="zh-CN"/>
                <w14:textFill>
                  <w14:solidFill>
                    <w14:schemeClr w14:val="tx1"/>
                  </w14:solidFill>
                </w14:textFill>
              </w:rPr>
              <w:t>服务期限</w:t>
            </w:r>
          </w:p>
        </w:tc>
        <w:tc>
          <w:tcPr>
            <w:tcW w:w="911" w:type="pct"/>
            <w:vAlign w:val="center"/>
          </w:tcPr>
          <w:p>
            <w:pPr>
              <w:jc w:val="center"/>
              <w:rPr>
                <w:rFonts w:hint="eastAsia" w:ascii="仿宋" w:hAnsi="仿宋" w:eastAsia="仿宋" w:cs="宋体"/>
                <w:b/>
                <w:bCs/>
                <w:color w:val="000000" w:themeColor="text1"/>
                <w:sz w:val="22"/>
                <w:szCs w:val="22"/>
                <w:lang w:eastAsia="zh-CN"/>
                <w14:textFill>
                  <w14:solidFill>
                    <w14:schemeClr w14:val="tx1"/>
                  </w14:solidFill>
                </w14:textFill>
              </w:rPr>
            </w:pPr>
            <w:r>
              <w:rPr>
                <w:rFonts w:hint="eastAsia" w:ascii="仿宋" w:hAnsi="仿宋" w:eastAsia="仿宋" w:cs="宋体"/>
                <w:b/>
                <w:bCs/>
                <w:color w:val="000000" w:themeColor="text1"/>
                <w:sz w:val="22"/>
                <w:szCs w:val="22"/>
                <w:lang w:eastAsia="zh-CN"/>
                <w14:textFill>
                  <w14:solidFill>
                    <w14:schemeClr w14:val="tx1"/>
                  </w14:solidFill>
                </w14:textFill>
              </w:rPr>
              <w:t>服务</w:t>
            </w:r>
          </w:p>
          <w:p>
            <w:pPr>
              <w:jc w:val="center"/>
              <w:rPr>
                <w:rFonts w:hint="eastAsia" w:ascii="仿宋" w:hAnsi="仿宋" w:eastAsia="仿宋" w:cs="宋体"/>
                <w:b/>
                <w:bCs/>
                <w:color w:val="000000" w:themeColor="text1"/>
                <w:sz w:val="22"/>
                <w:szCs w:val="22"/>
                <w:lang w:eastAsia="zh-CN"/>
                <w14:textFill>
                  <w14:solidFill>
                    <w14:schemeClr w14:val="tx1"/>
                  </w14:solidFill>
                </w14:textFill>
              </w:rPr>
            </w:pPr>
            <w:r>
              <w:rPr>
                <w:rFonts w:hint="eastAsia" w:ascii="仿宋" w:hAnsi="仿宋" w:eastAsia="仿宋" w:cs="宋体"/>
                <w:b/>
                <w:bCs/>
                <w:color w:val="000000" w:themeColor="text1"/>
                <w:sz w:val="22"/>
                <w:szCs w:val="22"/>
                <w:lang w:eastAsia="zh-CN"/>
                <w14:textFill>
                  <w14:solidFill>
                    <w14:schemeClr w14:val="tx1"/>
                  </w14:solidFill>
                </w14:textFill>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3"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标包1</w:t>
            </w:r>
          </w:p>
        </w:tc>
        <w:tc>
          <w:tcPr>
            <w:tcW w:w="1153"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宋体"/>
                <w:color w:val="000000" w:themeColor="text1"/>
                <w:sz w:val="21"/>
                <w:szCs w:val="21"/>
                <w:lang w:eastAsia="zh-CN"/>
                <w14:textFill>
                  <w14:solidFill>
                    <w14:schemeClr w14:val="tx1"/>
                  </w14:solidFill>
                </w14:textFill>
              </w:rPr>
            </w:pPr>
            <w:r>
              <w:rPr>
                <w:rFonts w:hint="eastAsia" w:ascii="仿宋" w:hAnsi="仿宋" w:eastAsia="仿宋" w:cs="宋体"/>
                <w:color w:val="000000" w:themeColor="text1"/>
                <w:sz w:val="21"/>
                <w:szCs w:val="21"/>
                <w:lang w:eastAsia="zh-CN"/>
                <w14:textFill>
                  <w14:solidFill>
                    <w14:schemeClr w14:val="tx1"/>
                  </w14:solidFill>
                </w14:textFill>
              </w:rPr>
              <w:t>达川区辖内户外墙体喷绘布年度周期弹性宣传项目</w:t>
            </w:r>
          </w:p>
        </w:tc>
        <w:tc>
          <w:tcPr>
            <w:tcW w:w="1171"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default" w:ascii="仿宋" w:hAnsi="仿宋" w:eastAsia="仿宋" w:cs="宋体"/>
                <w:color w:val="000000" w:themeColor="text1"/>
                <w:sz w:val="21"/>
                <w:szCs w:val="21"/>
                <w:lang w:val="en-US" w:eastAsia="zh-CN"/>
                <w14:textFill>
                  <w14:solidFill>
                    <w14:schemeClr w14:val="tx1"/>
                  </w14:solidFill>
                </w14:textFill>
              </w:rPr>
            </w:pPr>
            <w:r>
              <w:rPr>
                <w:rFonts w:hint="eastAsia" w:ascii="仿宋" w:hAnsi="仿宋" w:eastAsia="仿宋" w:cs="宋体"/>
                <w:color w:val="000000" w:themeColor="text1"/>
                <w:sz w:val="21"/>
                <w:szCs w:val="21"/>
                <w:lang w:val="en-US" w:eastAsia="zh-CN"/>
                <w14:textFill>
                  <w14:solidFill>
                    <w14:schemeClr w14:val="tx1"/>
                  </w14:solidFill>
                </w14:textFill>
              </w:rPr>
              <w:t>12个月累计预估制作总面积不超过4000</w:t>
            </w:r>
            <w:r>
              <w:rPr>
                <w:rFonts w:hint="eastAsia" w:ascii="方正仿宋_GBK" w:hAnsi="方正仿宋_GBK" w:eastAsia="方正仿宋_GBK" w:cs="方正仿宋_GBK"/>
                <w:color w:val="000000" w:themeColor="text1"/>
                <w:sz w:val="21"/>
                <w:szCs w:val="21"/>
                <w:lang w:val="en-US" w:eastAsia="zh-CN"/>
                <w14:textFill>
                  <w14:solidFill>
                    <w14:schemeClr w14:val="tx1"/>
                  </w14:solidFill>
                </w14:textFill>
              </w:rPr>
              <w:t>㎡</w:t>
            </w:r>
          </w:p>
        </w:tc>
        <w:tc>
          <w:tcPr>
            <w:tcW w:w="859"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default" w:ascii="仿宋" w:hAnsi="仿宋" w:eastAsia="仿宋" w:cs="宋体"/>
                <w:color w:val="000000" w:themeColor="text1"/>
                <w:sz w:val="21"/>
                <w:szCs w:val="21"/>
                <w:lang w:val="en-US" w:eastAsia="zh-CN"/>
                <w14:textFill>
                  <w14:solidFill>
                    <w14:schemeClr w14:val="tx1"/>
                  </w14:solidFill>
                </w14:textFill>
              </w:rPr>
            </w:pPr>
            <w:r>
              <w:rPr>
                <w:rFonts w:hint="eastAsia" w:ascii="仿宋" w:hAnsi="仿宋" w:eastAsia="仿宋" w:cs="宋体"/>
                <w:color w:val="000000" w:themeColor="text1"/>
                <w:sz w:val="21"/>
                <w:szCs w:val="21"/>
                <w:lang w:val="en-US" w:eastAsia="zh-CN"/>
                <w14:textFill>
                  <w14:solidFill>
                    <w14:schemeClr w14:val="tx1"/>
                  </w14:solidFill>
                </w14:textFill>
              </w:rPr>
              <w:t>1年（累计不超过12个月）</w:t>
            </w:r>
          </w:p>
        </w:tc>
        <w:tc>
          <w:tcPr>
            <w:tcW w:w="911"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宋体"/>
                <w:color w:val="000000" w:themeColor="text1"/>
                <w:sz w:val="21"/>
                <w:szCs w:val="21"/>
                <w:lang w:val="en-US" w:eastAsia="zh-CN"/>
                <w14:textFill>
                  <w14:solidFill>
                    <w14:schemeClr w14:val="tx1"/>
                  </w14:solidFill>
                </w14:textFill>
              </w:rPr>
            </w:pPr>
            <w:r>
              <w:rPr>
                <w:rFonts w:hint="eastAsia" w:ascii="仿宋" w:hAnsi="仿宋" w:eastAsia="仿宋" w:cs="宋体"/>
                <w:color w:val="000000" w:themeColor="text1"/>
                <w:sz w:val="21"/>
                <w:szCs w:val="21"/>
                <w:lang w:val="en-US" w:eastAsia="zh-CN"/>
                <w14:textFill>
                  <w14:solidFill>
                    <w14:schemeClr w14:val="tx1"/>
                  </w14:solidFill>
                </w14:textFill>
              </w:rPr>
              <w:t>达川区辖内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3"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标包2</w:t>
            </w:r>
          </w:p>
        </w:tc>
        <w:tc>
          <w:tcPr>
            <w:tcW w:w="1153"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宋体"/>
                <w:color w:val="000000" w:themeColor="text1"/>
                <w:sz w:val="21"/>
                <w:szCs w:val="21"/>
                <w:lang w:eastAsia="zh-CN"/>
                <w14:textFill>
                  <w14:solidFill>
                    <w14:schemeClr w14:val="tx1"/>
                  </w14:solidFill>
                </w14:textFill>
              </w:rPr>
            </w:pPr>
            <w:r>
              <w:rPr>
                <w:rFonts w:hint="eastAsia" w:ascii="仿宋" w:hAnsi="仿宋" w:eastAsia="仿宋" w:cs="宋体"/>
                <w:color w:val="000000" w:themeColor="text1"/>
                <w:sz w:val="21"/>
                <w:szCs w:val="21"/>
                <w:lang w:eastAsia="zh-CN"/>
                <w14:textFill>
                  <w14:solidFill>
                    <w14:schemeClr w14:val="tx1"/>
                  </w14:solidFill>
                </w14:textFill>
              </w:rPr>
              <w:t>大竹辖内户外墙体喷绘布固定点位长期宣传项目</w:t>
            </w:r>
          </w:p>
        </w:tc>
        <w:tc>
          <w:tcPr>
            <w:tcW w:w="1171"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default" w:ascii="仿宋" w:hAnsi="仿宋" w:eastAsia="仿宋" w:cs="宋体"/>
                <w:color w:val="000000" w:themeColor="text1"/>
                <w:sz w:val="21"/>
                <w:szCs w:val="21"/>
                <w:lang w:val="en-US" w:eastAsia="zh-CN"/>
                <w14:textFill>
                  <w14:solidFill>
                    <w14:schemeClr w14:val="tx1"/>
                  </w14:solidFill>
                </w14:textFill>
              </w:rPr>
            </w:pPr>
            <w:r>
              <w:rPr>
                <w:rFonts w:hint="eastAsia" w:ascii="仿宋" w:hAnsi="仿宋" w:eastAsia="仿宋" w:cs="宋体"/>
                <w:color w:val="000000" w:themeColor="text1"/>
                <w:sz w:val="21"/>
                <w:szCs w:val="21"/>
                <w:lang w:eastAsia="zh-CN"/>
                <w14:textFill>
                  <w14:solidFill>
                    <w14:schemeClr w14:val="tx1"/>
                  </w14:solidFill>
                </w14:textFill>
              </w:rPr>
              <w:t>预估</w:t>
            </w:r>
            <w:r>
              <w:rPr>
                <w:rFonts w:hint="eastAsia" w:ascii="仿宋" w:hAnsi="仿宋" w:eastAsia="仿宋" w:cs="宋体"/>
                <w:color w:val="000000" w:themeColor="text1"/>
                <w:sz w:val="21"/>
                <w:szCs w:val="21"/>
                <w:lang w:val="en-US" w:eastAsia="zh-CN"/>
                <w14:textFill>
                  <w14:solidFill>
                    <w14:schemeClr w14:val="tx1"/>
                  </w14:solidFill>
                </w14:textFill>
              </w:rPr>
              <w:t>1000</w:t>
            </w:r>
            <w:r>
              <w:rPr>
                <w:rFonts w:hint="eastAsia" w:ascii="方正仿宋_GBK" w:hAnsi="方正仿宋_GBK" w:eastAsia="方正仿宋_GBK" w:cs="方正仿宋_GBK"/>
                <w:color w:val="000000" w:themeColor="text1"/>
                <w:sz w:val="21"/>
                <w:szCs w:val="21"/>
                <w:lang w:val="en-US" w:eastAsia="zh-CN"/>
                <w14:textFill>
                  <w14:solidFill>
                    <w14:schemeClr w14:val="tx1"/>
                  </w14:solidFill>
                </w14:textFill>
              </w:rPr>
              <w:t>㎡</w:t>
            </w:r>
            <w:r>
              <w:rPr>
                <w:rFonts w:hint="eastAsia" w:ascii="仿宋" w:hAnsi="仿宋" w:eastAsia="仿宋" w:cs="宋体"/>
                <w:color w:val="000000" w:themeColor="text1"/>
                <w:sz w:val="21"/>
                <w:szCs w:val="21"/>
                <w:lang w:val="en-US" w:eastAsia="zh-CN"/>
                <w14:textFill>
                  <w14:solidFill>
                    <w14:schemeClr w14:val="tx1"/>
                  </w14:solidFill>
                </w14:textFill>
              </w:rPr>
              <w:t>/20处点位</w:t>
            </w:r>
          </w:p>
        </w:tc>
        <w:tc>
          <w:tcPr>
            <w:tcW w:w="859"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default" w:ascii="仿宋" w:hAnsi="仿宋" w:eastAsia="仿宋" w:cs="宋体"/>
                <w:color w:val="000000" w:themeColor="text1"/>
                <w:sz w:val="21"/>
                <w:szCs w:val="21"/>
                <w:lang w:val="en-US" w:eastAsia="zh-CN"/>
                <w14:textFill>
                  <w14:solidFill>
                    <w14:schemeClr w14:val="tx1"/>
                  </w14:solidFill>
                </w14:textFill>
              </w:rPr>
            </w:pPr>
            <w:r>
              <w:rPr>
                <w:rFonts w:hint="eastAsia" w:ascii="仿宋" w:hAnsi="仿宋" w:eastAsia="仿宋" w:cs="宋体"/>
                <w:color w:val="000000" w:themeColor="text1"/>
                <w:sz w:val="21"/>
                <w:szCs w:val="21"/>
                <w:lang w:val="en-US" w:eastAsia="zh-CN"/>
                <w14:textFill>
                  <w14:solidFill>
                    <w14:schemeClr w14:val="tx1"/>
                  </w14:solidFill>
                </w14:textFill>
              </w:rPr>
              <w:t>1年</w:t>
            </w:r>
          </w:p>
        </w:tc>
        <w:tc>
          <w:tcPr>
            <w:tcW w:w="911"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宋体"/>
                <w:color w:val="000000" w:themeColor="text1"/>
                <w:sz w:val="21"/>
                <w:szCs w:val="21"/>
                <w:lang w:val="en-US" w:eastAsia="zh-CN"/>
                <w14:textFill>
                  <w14:solidFill>
                    <w14:schemeClr w14:val="tx1"/>
                  </w14:solidFill>
                </w14:textFill>
              </w:rPr>
            </w:pPr>
            <w:r>
              <w:rPr>
                <w:rFonts w:hint="eastAsia" w:ascii="仿宋" w:hAnsi="仿宋" w:eastAsia="仿宋" w:cs="宋体"/>
                <w:color w:val="000000" w:themeColor="text1"/>
                <w:sz w:val="21"/>
                <w:szCs w:val="21"/>
                <w:lang w:val="en-US" w:eastAsia="zh-CN"/>
                <w14:textFill>
                  <w14:solidFill>
                    <w14:schemeClr w14:val="tx1"/>
                  </w14:solidFill>
                </w14:textFill>
              </w:rPr>
              <w:t>大竹辖内</w:t>
            </w:r>
          </w:p>
        </w:tc>
      </w:tr>
    </w:tbl>
    <w:p>
      <w:pPr>
        <w:pStyle w:val="15"/>
        <w:ind w:firstLine="640" w:firstLineChars="200"/>
        <w:rPr>
          <w:sz w:val="32"/>
          <w:szCs w:val="32"/>
        </w:rPr>
      </w:pPr>
      <w:r>
        <w:rPr>
          <w:rFonts w:hint="eastAsia"/>
          <w:sz w:val="32"/>
          <w:szCs w:val="32"/>
        </w:rPr>
        <w:t>（四）中选供应商数量：</w:t>
      </w:r>
    </w:p>
    <w:p>
      <w:pPr>
        <w:pStyle w:val="15"/>
        <w:ind w:firstLine="640" w:firstLineChars="200"/>
        <w:rPr>
          <w:rFonts w:hint="eastAsia"/>
          <w:b w:val="0"/>
          <w:bCs/>
          <w:sz w:val="32"/>
          <w:szCs w:val="32"/>
          <w:lang w:val="en-US" w:eastAsia="zh-CN"/>
        </w:rPr>
      </w:pPr>
      <w:r>
        <w:rPr>
          <w:rFonts w:hint="eastAsia"/>
          <w:b w:val="0"/>
          <w:bCs/>
          <w:sz w:val="32"/>
          <w:szCs w:val="32"/>
          <w:lang w:eastAsia="zh-CN"/>
        </w:rPr>
        <w:t>标包</w:t>
      </w:r>
      <w:r>
        <w:rPr>
          <w:rFonts w:hint="eastAsia"/>
          <w:b w:val="0"/>
          <w:bCs/>
          <w:sz w:val="32"/>
          <w:szCs w:val="32"/>
          <w:lang w:val="en-US" w:eastAsia="zh-CN"/>
        </w:rPr>
        <w:t>1：中标供应商数量1家</w:t>
      </w:r>
    </w:p>
    <w:p>
      <w:pPr>
        <w:pStyle w:val="15"/>
        <w:ind w:firstLine="640" w:firstLineChars="200"/>
        <w:rPr>
          <w:rFonts w:hint="default"/>
          <w:b w:val="0"/>
          <w:bCs/>
          <w:sz w:val="32"/>
          <w:szCs w:val="32"/>
          <w:lang w:val="en-US" w:eastAsia="zh-CN"/>
        </w:rPr>
      </w:pPr>
      <w:r>
        <w:rPr>
          <w:rFonts w:hint="eastAsia"/>
          <w:b w:val="0"/>
          <w:bCs/>
          <w:sz w:val="32"/>
          <w:szCs w:val="32"/>
          <w:lang w:val="en-US" w:eastAsia="zh-CN"/>
        </w:rPr>
        <w:t>标包2：中标供应商数量1家</w:t>
      </w:r>
    </w:p>
    <w:p>
      <w:pPr>
        <w:pStyle w:val="15"/>
        <w:ind w:firstLine="643" w:firstLineChars="200"/>
        <w:rPr>
          <w:i/>
          <w:color w:val="FF0000"/>
          <w:sz w:val="32"/>
          <w:szCs w:val="32"/>
        </w:rPr>
      </w:pPr>
      <w:r>
        <w:rPr>
          <w:rFonts w:hint="eastAsia"/>
          <w:b/>
          <w:sz w:val="32"/>
          <w:szCs w:val="32"/>
        </w:rPr>
        <w:t>三、供应商资质要求</w:t>
      </w:r>
    </w:p>
    <w:p>
      <w:pPr>
        <w:pStyle w:val="2"/>
        <w:ind w:firstLine="640" w:firstLineChars="200"/>
        <w:rPr>
          <w:rFonts w:ascii="仿宋_GB2312" w:hAnsi="宋体" w:eastAsia="仿宋_GB2312" w:cs="Times New Roman"/>
          <w:kern w:val="2"/>
          <w:sz w:val="32"/>
          <w:szCs w:val="32"/>
        </w:rPr>
      </w:pPr>
      <w:r>
        <w:rPr>
          <w:rFonts w:hint="eastAsia" w:ascii="仿宋_GB2312" w:hAnsi="宋体" w:eastAsia="仿宋_GB2312" w:cs="Times New Roman"/>
          <w:kern w:val="2"/>
          <w:sz w:val="32"/>
          <w:szCs w:val="32"/>
        </w:rPr>
        <w:t>（一）在中华人民共和国境内依法登记的法人或其他组织，具有独立承担民事责任的能力。</w:t>
      </w:r>
    </w:p>
    <w:p>
      <w:pPr>
        <w:pStyle w:val="2"/>
        <w:ind w:firstLine="640" w:firstLineChars="200"/>
        <w:rPr>
          <w:rFonts w:ascii="仿宋_GB2312" w:hAnsi="宋体" w:eastAsia="仿宋_GB2312" w:cs="Times New Roman"/>
          <w:color w:val="FF0000"/>
          <w:kern w:val="2"/>
          <w:sz w:val="32"/>
          <w:szCs w:val="32"/>
        </w:rPr>
      </w:pPr>
      <w:r>
        <w:rPr>
          <w:rFonts w:hint="eastAsia" w:ascii="仿宋_GB2312" w:hAnsi="宋体" w:eastAsia="仿宋_GB2312" w:cs="Times New Roman"/>
          <w:kern w:val="2"/>
          <w:sz w:val="32"/>
          <w:szCs w:val="32"/>
        </w:rPr>
        <w:t>（二）具有良好的商业信誉和健全的财务会计制度。</w:t>
      </w:r>
    </w:p>
    <w:p>
      <w:pPr>
        <w:pStyle w:val="2"/>
        <w:ind w:firstLine="640" w:firstLineChars="200"/>
        <w:rPr>
          <w:rFonts w:ascii="仿宋_GB2312" w:hAnsi="宋体" w:eastAsia="仿宋_GB2312" w:cs="Times New Roman"/>
          <w:color w:val="FF0000"/>
          <w:kern w:val="2"/>
          <w:sz w:val="32"/>
          <w:szCs w:val="32"/>
        </w:rPr>
      </w:pPr>
      <w:r>
        <w:rPr>
          <w:rFonts w:hint="eastAsia" w:ascii="仿宋_GB2312" w:hAnsi="宋体" w:eastAsia="仿宋_GB2312" w:cs="Times New Roman"/>
          <w:kern w:val="2"/>
          <w:sz w:val="32"/>
          <w:szCs w:val="32"/>
        </w:rPr>
        <w:t>（三）供应商应具有履行合同所必需的设备和专业技术能力。</w:t>
      </w:r>
    </w:p>
    <w:p>
      <w:pPr>
        <w:pStyle w:val="2"/>
        <w:ind w:firstLine="640" w:firstLineChars="200"/>
        <w:rPr>
          <w:rFonts w:ascii="仿宋_GB2312" w:hAnsi="宋体" w:eastAsia="仿宋_GB2312" w:cs="Times New Roman"/>
          <w:kern w:val="2"/>
          <w:sz w:val="32"/>
          <w:szCs w:val="32"/>
        </w:rPr>
      </w:pPr>
      <w:r>
        <w:rPr>
          <w:rFonts w:hint="eastAsia" w:ascii="仿宋_GB2312" w:hAnsi="宋体" w:eastAsia="仿宋_GB2312" w:cs="Times New Roman"/>
          <w:kern w:val="2"/>
          <w:sz w:val="32"/>
          <w:szCs w:val="32"/>
        </w:rPr>
        <w:t>（四）具有依法缴纳税收和社会保障资金的良好记录。</w:t>
      </w:r>
    </w:p>
    <w:p>
      <w:pPr>
        <w:pStyle w:val="2"/>
        <w:ind w:firstLine="640" w:firstLineChars="200"/>
        <w:rPr>
          <w:rFonts w:ascii="仿宋_GB2312" w:hAnsi="宋体" w:eastAsia="仿宋_GB2312" w:cs="Times New Roman"/>
          <w:kern w:val="2"/>
          <w:sz w:val="32"/>
          <w:szCs w:val="32"/>
        </w:rPr>
      </w:pPr>
      <w:r>
        <w:rPr>
          <w:rFonts w:hint="eastAsia" w:ascii="仿宋_GB2312" w:hAnsi="宋体" w:eastAsia="仿宋_GB2312" w:cs="Times New Roman"/>
          <w:kern w:val="2"/>
          <w:sz w:val="32"/>
          <w:szCs w:val="32"/>
        </w:rPr>
        <w:t>（五）供应商应经营状况良好，且近三年内（20</w:t>
      </w:r>
      <w:r>
        <w:rPr>
          <w:rFonts w:hint="eastAsia" w:ascii="仿宋_GB2312" w:hAnsi="宋体" w:eastAsia="仿宋_GB2312" w:cs="Times New Roman"/>
          <w:kern w:val="2"/>
          <w:sz w:val="32"/>
          <w:szCs w:val="32"/>
          <w:lang w:val="en-US" w:eastAsia="zh-CN"/>
        </w:rPr>
        <w:t>23</w:t>
      </w:r>
      <w:r>
        <w:rPr>
          <w:rFonts w:hint="eastAsia" w:ascii="仿宋_GB2312" w:hAnsi="宋体" w:eastAsia="仿宋_GB2312" w:cs="Times New Roman"/>
          <w:kern w:val="2"/>
          <w:sz w:val="32"/>
          <w:szCs w:val="32"/>
        </w:rPr>
        <w:t>年1月1日至今）无违法违规记录。</w:t>
      </w:r>
    </w:p>
    <w:p>
      <w:pPr>
        <w:pStyle w:val="2"/>
        <w:ind w:firstLine="640" w:firstLineChars="200"/>
        <w:rPr>
          <w:rFonts w:ascii="仿宋_GB2312" w:hAnsi="宋体" w:eastAsia="仿宋_GB2312" w:cs="Times New Roman"/>
          <w:kern w:val="2"/>
          <w:sz w:val="32"/>
          <w:szCs w:val="32"/>
        </w:rPr>
      </w:pPr>
      <w:r>
        <w:rPr>
          <w:rFonts w:hint="eastAsia" w:ascii="仿宋_GB2312" w:hAnsi="宋体" w:eastAsia="仿宋_GB2312" w:cs="Times New Roman"/>
          <w:kern w:val="2"/>
          <w:sz w:val="32"/>
          <w:szCs w:val="32"/>
        </w:rPr>
        <w:t>（六）严禁列入采购人及其所隶属的中国人民保险各级机构的供应商黑名单且在禁入期内的供应商参与采购活动。</w:t>
      </w:r>
    </w:p>
    <w:p>
      <w:pPr>
        <w:pStyle w:val="2"/>
        <w:ind w:firstLine="640" w:firstLineChars="200"/>
        <w:rPr>
          <w:rFonts w:ascii="仿宋_GB2312" w:hAnsi="宋体" w:eastAsia="仿宋_GB2312" w:cs="Times New Roman"/>
          <w:kern w:val="2"/>
          <w:sz w:val="32"/>
          <w:szCs w:val="32"/>
        </w:rPr>
      </w:pPr>
      <w:r>
        <w:rPr>
          <w:rFonts w:hint="eastAsia" w:ascii="仿宋_GB2312" w:hAnsi="宋体" w:eastAsia="仿宋_GB2312" w:cs="Times New Roman"/>
          <w:kern w:val="2"/>
          <w:sz w:val="32"/>
          <w:szCs w:val="32"/>
        </w:rPr>
        <w:t>（七）单位负责人为同一人或存在控股、管理关系的不同单位，不得参加同一标段/标包磋商响应或未划分标段/标包的同一采购项目的磋商响应。</w:t>
      </w:r>
    </w:p>
    <w:p>
      <w:pPr>
        <w:pStyle w:val="2"/>
        <w:ind w:firstLine="640" w:firstLineChars="200"/>
        <w:rPr>
          <w:rFonts w:ascii="仿宋_GB2312" w:hAnsi="宋体" w:eastAsia="仿宋_GB2312" w:cs="Times New Roman"/>
          <w:kern w:val="2"/>
          <w:sz w:val="32"/>
          <w:szCs w:val="32"/>
        </w:rPr>
      </w:pPr>
      <w:r>
        <w:rPr>
          <w:rFonts w:hint="eastAsia" w:ascii="仿宋_GB2312" w:hAnsi="宋体" w:eastAsia="仿宋_GB2312" w:cs="Times New Roman"/>
          <w:kern w:val="2"/>
          <w:sz w:val="32"/>
          <w:szCs w:val="32"/>
        </w:rPr>
        <w:t>（八）本项目不接受联合体磋商响应。</w:t>
      </w:r>
    </w:p>
    <w:p>
      <w:pPr>
        <w:pStyle w:val="15"/>
        <w:ind w:firstLine="643" w:firstLineChars="200"/>
        <w:rPr>
          <w:b/>
          <w:sz w:val="32"/>
          <w:szCs w:val="32"/>
        </w:rPr>
      </w:pPr>
      <w:r>
        <w:rPr>
          <w:rFonts w:hint="eastAsia"/>
          <w:b/>
          <w:sz w:val="32"/>
          <w:szCs w:val="32"/>
        </w:rPr>
        <w:t xml:space="preserve">四、供应商报名方式 </w:t>
      </w:r>
    </w:p>
    <w:p>
      <w:pPr>
        <w:pStyle w:val="15"/>
        <w:keepNext w:val="0"/>
        <w:keepLines w:val="0"/>
        <w:pageBreakBefore w:val="0"/>
        <w:widowControl w:val="0"/>
        <w:kinsoku/>
        <w:wordWrap w:val="0"/>
        <w:overflowPunct/>
        <w:topLinePunct w:val="0"/>
        <w:autoSpaceDE w:val="0"/>
        <w:autoSpaceDN w:val="0"/>
        <w:bidi w:val="0"/>
        <w:adjustRightInd w:val="0"/>
        <w:snapToGrid/>
        <w:ind w:firstLine="643" w:firstLineChars="200"/>
        <w:textAlignment w:val="auto"/>
        <w:rPr>
          <w:sz w:val="32"/>
          <w:szCs w:val="32"/>
        </w:rPr>
      </w:pPr>
      <w:r>
        <w:rPr>
          <w:rFonts w:hint="eastAsia"/>
          <w:b/>
          <w:sz w:val="32"/>
          <w:szCs w:val="32"/>
        </w:rPr>
        <w:t>本项目</w:t>
      </w:r>
      <w:r>
        <w:rPr>
          <w:b/>
          <w:sz w:val="32"/>
          <w:szCs w:val="32"/>
        </w:rPr>
        <w:t>仅接受线上报名</w:t>
      </w:r>
      <w:r>
        <w:rPr>
          <w:rFonts w:hint="eastAsia"/>
          <w:sz w:val="32"/>
          <w:szCs w:val="32"/>
        </w:rPr>
        <w:t>，符合资格要求拟报名参加本采购项目的潜在供应商，登录人保e采外网门户（https://ec.picc.com/）申请注册入库，审核通过后进行项目报名。</w:t>
      </w:r>
    </w:p>
    <w:p>
      <w:pPr>
        <w:pStyle w:val="15"/>
        <w:ind w:firstLine="640" w:firstLineChars="200"/>
        <w:rPr>
          <w:sz w:val="32"/>
          <w:szCs w:val="32"/>
        </w:rPr>
      </w:pPr>
      <w:r>
        <w:rPr>
          <w:rFonts w:hint="eastAsia"/>
          <w:sz w:val="32"/>
          <w:szCs w:val="32"/>
        </w:rPr>
        <w:t>人保e采管理系统供应商注册入库详情可在登录采购门户后查阅《人保e采管理系统供应商入库操作指南》。</w:t>
      </w:r>
    </w:p>
    <w:p>
      <w:pPr>
        <w:pStyle w:val="15"/>
        <w:ind w:firstLine="643" w:firstLineChars="200"/>
        <w:rPr>
          <w:b/>
          <w:sz w:val="32"/>
          <w:szCs w:val="32"/>
        </w:rPr>
      </w:pPr>
      <w:r>
        <w:rPr>
          <w:rFonts w:hint="eastAsia"/>
          <w:b/>
          <w:sz w:val="32"/>
          <w:szCs w:val="32"/>
        </w:rPr>
        <w:t>五、采购文件的获取</w:t>
      </w:r>
    </w:p>
    <w:p>
      <w:pPr>
        <w:pStyle w:val="15"/>
        <w:ind w:firstLine="640" w:firstLineChars="200"/>
        <w:rPr>
          <w:sz w:val="32"/>
          <w:szCs w:val="32"/>
        </w:rPr>
      </w:pPr>
      <w:r>
        <w:rPr>
          <w:rFonts w:hint="eastAsia" w:hAnsi="宋体" w:cs="Times New Roman"/>
          <w:kern w:val="2"/>
          <w:sz w:val="32"/>
          <w:szCs w:val="32"/>
        </w:rPr>
        <w:t>（一）</w:t>
      </w:r>
      <w:r>
        <w:rPr>
          <w:rFonts w:hint="eastAsia"/>
          <w:bCs/>
          <w:sz w:val="32"/>
          <w:szCs w:val="32"/>
        </w:rPr>
        <w:t>采购</w:t>
      </w:r>
      <w:r>
        <w:rPr>
          <w:rFonts w:hint="eastAsia"/>
          <w:sz w:val="32"/>
          <w:szCs w:val="32"/>
        </w:rPr>
        <w:t>文件获取时间：</w:t>
      </w:r>
      <w:r>
        <w:rPr>
          <w:rFonts w:hint="eastAsia"/>
          <w:sz w:val="32"/>
          <w:szCs w:val="32"/>
          <w:lang w:val="en-US" w:eastAsia="zh-CN"/>
        </w:rPr>
        <w:t>2026</w:t>
      </w:r>
      <w:r>
        <w:rPr>
          <w:rFonts w:hint="eastAsia"/>
          <w:sz w:val="32"/>
          <w:szCs w:val="32"/>
        </w:rPr>
        <w:t>年</w:t>
      </w:r>
      <w:r>
        <w:rPr>
          <w:rFonts w:hint="eastAsia"/>
          <w:sz w:val="32"/>
          <w:szCs w:val="32"/>
          <w:lang w:val="en-US" w:eastAsia="zh-CN"/>
        </w:rPr>
        <w:t>6</w:t>
      </w:r>
      <w:r>
        <w:rPr>
          <w:rFonts w:hint="eastAsia"/>
          <w:sz w:val="32"/>
          <w:szCs w:val="32"/>
        </w:rPr>
        <w:t>月</w:t>
      </w:r>
      <w:r>
        <w:rPr>
          <w:rFonts w:hint="eastAsia"/>
          <w:sz w:val="32"/>
          <w:szCs w:val="32"/>
          <w:lang w:val="en-US" w:eastAsia="zh-CN"/>
        </w:rPr>
        <w:t>3</w:t>
      </w:r>
      <w:r>
        <w:rPr>
          <w:rFonts w:hint="eastAsia"/>
          <w:sz w:val="32"/>
          <w:szCs w:val="32"/>
        </w:rPr>
        <w:t>日09:00截至</w:t>
      </w:r>
      <w:r>
        <w:rPr>
          <w:rFonts w:hint="eastAsia"/>
          <w:sz w:val="32"/>
          <w:szCs w:val="32"/>
          <w:lang w:val="en-US" w:eastAsia="zh-CN"/>
        </w:rPr>
        <w:t>2026</w:t>
      </w:r>
      <w:r>
        <w:rPr>
          <w:rFonts w:hint="eastAsia"/>
          <w:sz w:val="32"/>
          <w:szCs w:val="32"/>
        </w:rPr>
        <w:t>年</w:t>
      </w:r>
      <w:r>
        <w:rPr>
          <w:rFonts w:hint="eastAsia"/>
          <w:sz w:val="32"/>
          <w:szCs w:val="32"/>
          <w:lang w:val="en-US" w:eastAsia="zh-CN"/>
        </w:rPr>
        <w:t>6</w:t>
      </w:r>
      <w:r>
        <w:rPr>
          <w:rFonts w:hint="eastAsia"/>
          <w:sz w:val="32"/>
          <w:szCs w:val="32"/>
        </w:rPr>
        <w:t>月</w:t>
      </w:r>
      <w:r>
        <w:rPr>
          <w:rFonts w:hint="eastAsia"/>
          <w:sz w:val="32"/>
          <w:szCs w:val="32"/>
          <w:lang w:val="en-US" w:eastAsia="zh-CN"/>
        </w:rPr>
        <w:t>5</w:t>
      </w:r>
      <w:r>
        <w:rPr>
          <w:rFonts w:hint="eastAsia"/>
          <w:sz w:val="32"/>
          <w:szCs w:val="32"/>
        </w:rPr>
        <w:t>日17:00。</w:t>
      </w:r>
    </w:p>
    <w:p>
      <w:pPr>
        <w:pStyle w:val="15"/>
        <w:ind w:firstLine="640" w:firstLineChars="200"/>
        <w:rPr>
          <w:sz w:val="32"/>
          <w:szCs w:val="32"/>
        </w:rPr>
      </w:pPr>
      <w:r>
        <w:rPr>
          <w:rFonts w:hint="eastAsia" w:hAnsi="宋体" w:cs="Times New Roman"/>
          <w:kern w:val="2"/>
          <w:sz w:val="32"/>
          <w:szCs w:val="32"/>
        </w:rPr>
        <w:t>（二）</w:t>
      </w:r>
      <w:r>
        <w:rPr>
          <w:rFonts w:hint="eastAsia"/>
          <w:sz w:val="32"/>
          <w:szCs w:val="32"/>
        </w:rPr>
        <w:t>拟报名参加本项目的供应商，请通过</w:t>
      </w:r>
      <w:r>
        <w:rPr>
          <w:rFonts w:hint="eastAsia"/>
          <w:i w:val="0"/>
          <w:iCs w:val="0"/>
          <w:color w:val="000000" w:themeColor="text1"/>
          <w:sz w:val="32"/>
          <w:szCs w:val="32"/>
          <w14:textFill>
            <w14:solidFill>
              <w14:schemeClr w14:val="tx1"/>
            </w14:solidFill>
          </w14:textFill>
        </w:rPr>
        <w:t>“人保e采”外网门户获</w:t>
      </w:r>
      <w:r>
        <w:rPr>
          <w:rFonts w:hint="eastAsia"/>
          <w:sz w:val="32"/>
          <w:szCs w:val="32"/>
        </w:rPr>
        <w:t>取采购文件。</w:t>
      </w:r>
    </w:p>
    <w:p>
      <w:pPr>
        <w:pStyle w:val="15"/>
        <w:ind w:firstLine="643" w:firstLineChars="200"/>
        <w:rPr>
          <w:b/>
          <w:sz w:val="32"/>
          <w:szCs w:val="32"/>
        </w:rPr>
      </w:pPr>
      <w:r>
        <w:rPr>
          <w:rFonts w:hint="eastAsia"/>
          <w:b/>
          <w:sz w:val="32"/>
          <w:szCs w:val="32"/>
        </w:rPr>
        <w:t>六、响应文件的递交</w:t>
      </w:r>
    </w:p>
    <w:p>
      <w:pPr>
        <w:pStyle w:val="15"/>
        <w:ind w:firstLine="640" w:firstLineChars="200"/>
        <w:rPr>
          <w:sz w:val="32"/>
          <w:szCs w:val="32"/>
        </w:rPr>
      </w:pPr>
      <w:r>
        <w:rPr>
          <w:rFonts w:hint="eastAsia" w:hAnsi="宋体" w:cs="Times New Roman"/>
          <w:kern w:val="2"/>
          <w:sz w:val="32"/>
          <w:szCs w:val="32"/>
        </w:rPr>
        <w:t>（一）</w:t>
      </w:r>
      <w:r>
        <w:rPr>
          <w:rFonts w:hint="eastAsia"/>
          <w:sz w:val="32"/>
          <w:szCs w:val="32"/>
        </w:rPr>
        <w:t>响应文件递交截止时间：</w:t>
      </w:r>
      <w:r>
        <w:rPr>
          <w:rFonts w:hint="eastAsia"/>
          <w:sz w:val="32"/>
          <w:szCs w:val="32"/>
          <w:lang w:val="en-US" w:eastAsia="zh-CN"/>
        </w:rPr>
        <w:t>2026</w:t>
      </w:r>
      <w:r>
        <w:rPr>
          <w:rFonts w:hint="eastAsia"/>
          <w:sz w:val="32"/>
          <w:szCs w:val="32"/>
        </w:rPr>
        <w:t>年</w:t>
      </w:r>
      <w:r>
        <w:rPr>
          <w:rFonts w:hint="eastAsia"/>
          <w:sz w:val="32"/>
          <w:szCs w:val="32"/>
          <w:lang w:val="en-US" w:eastAsia="zh-CN"/>
        </w:rPr>
        <w:t>6</w:t>
      </w:r>
      <w:r>
        <w:rPr>
          <w:rFonts w:hint="eastAsia"/>
          <w:sz w:val="32"/>
          <w:szCs w:val="32"/>
        </w:rPr>
        <w:t>月</w:t>
      </w:r>
      <w:r>
        <w:rPr>
          <w:rFonts w:hint="eastAsia"/>
          <w:sz w:val="32"/>
          <w:szCs w:val="32"/>
          <w:lang w:val="en-US" w:eastAsia="zh-CN"/>
        </w:rPr>
        <w:t>11</w:t>
      </w:r>
      <w:r>
        <w:rPr>
          <w:rFonts w:hint="eastAsia"/>
          <w:sz w:val="32"/>
          <w:szCs w:val="32"/>
        </w:rPr>
        <w:t>日</w:t>
      </w:r>
      <w:r>
        <w:rPr>
          <w:rFonts w:hint="eastAsia"/>
          <w:sz w:val="32"/>
          <w:szCs w:val="32"/>
          <w:lang w:val="en-US" w:eastAsia="zh-CN"/>
        </w:rPr>
        <w:t>16</w:t>
      </w:r>
      <w:r>
        <w:rPr>
          <w:rFonts w:hint="eastAsia"/>
          <w:sz w:val="32"/>
          <w:szCs w:val="32"/>
        </w:rPr>
        <w:t>时</w:t>
      </w:r>
      <w:r>
        <w:rPr>
          <w:rFonts w:hint="eastAsia"/>
          <w:sz w:val="32"/>
          <w:szCs w:val="32"/>
          <w:lang w:val="en-US" w:eastAsia="zh-CN"/>
        </w:rPr>
        <w:t>0</w:t>
      </w:r>
      <w:r>
        <w:rPr>
          <w:rFonts w:hint="eastAsia"/>
          <w:sz w:val="32"/>
          <w:szCs w:val="32"/>
        </w:rPr>
        <w:t>分</w:t>
      </w:r>
      <w:r>
        <w:rPr>
          <w:rFonts w:hint="eastAsia"/>
          <w:sz w:val="32"/>
          <w:szCs w:val="32"/>
          <w:lang w:val="en-US" w:eastAsia="zh-CN"/>
        </w:rPr>
        <w:t>00</w:t>
      </w:r>
      <w:r>
        <w:rPr>
          <w:rFonts w:hint="eastAsia"/>
          <w:sz w:val="32"/>
          <w:szCs w:val="32"/>
        </w:rPr>
        <w:t>秒。</w:t>
      </w:r>
    </w:p>
    <w:p>
      <w:pPr>
        <w:pStyle w:val="15"/>
        <w:ind w:firstLine="640" w:firstLineChars="200"/>
        <w:rPr>
          <w:sz w:val="32"/>
          <w:szCs w:val="32"/>
        </w:rPr>
      </w:pPr>
      <w:r>
        <w:rPr>
          <w:rFonts w:hint="eastAsia" w:hAnsi="宋体" w:cs="Times New Roman"/>
          <w:kern w:val="2"/>
          <w:sz w:val="32"/>
          <w:szCs w:val="32"/>
        </w:rPr>
        <w:t>（二）</w:t>
      </w:r>
      <w:r>
        <w:rPr>
          <w:rFonts w:hint="eastAsia"/>
          <w:sz w:val="32"/>
          <w:szCs w:val="32"/>
        </w:rPr>
        <w:t>响应文件的递交方式：</w:t>
      </w:r>
      <w:r>
        <w:rPr>
          <w:rFonts w:hint="eastAsia"/>
          <w:color w:val="000000" w:themeColor="text1"/>
          <w:sz w:val="32"/>
          <w:szCs w:val="32"/>
          <w14:textFill>
            <w14:solidFill>
              <w14:schemeClr w14:val="tx1"/>
            </w14:solidFill>
          </w14:textFill>
        </w:rPr>
        <w:t>须现场递交</w:t>
      </w:r>
      <w:r>
        <w:rPr>
          <w:rFonts w:hint="eastAsia"/>
          <w:color w:val="000000" w:themeColor="text1"/>
          <w:sz w:val="32"/>
          <w:szCs w:val="32"/>
          <w:lang w:eastAsia="zh-CN"/>
          <w14:textFill>
            <w14:solidFill>
              <w14:schemeClr w14:val="tx1"/>
            </w14:solidFill>
          </w14:textFill>
        </w:rPr>
        <w:t>（地址同下）</w:t>
      </w:r>
      <w:r>
        <w:rPr>
          <w:rFonts w:hint="eastAsia"/>
          <w:sz w:val="32"/>
          <w:szCs w:val="32"/>
        </w:rPr>
        <w:t>，逾期送达或者未送达指定地点或者未按照磋商文件要求封装的纸质响应文件不予接收。</w:t>
      </w:r>
    </w:p>
    <w:p>
      <w:pPr>
        <w:pStyle w:val="15"/>
        <w:ind w:firstLine="643" w:firstLineChars="200"/>
        <w:rPr>
          <w:b/>
          <w:sz w:val="32"/>
          <w:szCs w:val="32"/>
        </w:rPr>
      </w:pPr>
      <w:bookmarkStart w:id="0" w:name="_Toc25008"/>
      <w:bookmarkStart w:id="1" w:name="_Toc874"/>
      <w:r>
        <w:rPr>
          <w:rFonts w:hint="eastAsia"/>
          <w:b/>
          <w:sz w:val="32"/>
          <w:szCs w:val="32"/>
        </w:rPr>
        <w:t>七、发布公告的媒介</w:t>
      </w:r>
      <w:bookmarkEnd w:id="0"/>
      <w:bookmarkEnd w:id="1"/>
    </w:p>
    <w:p>
      <w:pPr>
        <w:keepNext w:val="0"/>
        <w:keepLines w:val="0"/>
        <w:pageBreakBefore w:val="0"/>
        <w:widowControl w:val="0"/>
        <w:kinsoku/>
        <w:wordWrap w:val="0"/>
        <w:overflowPunct/>
        <w:topLinePunct w:val="0"/>
        <w:autoSpaceDE/>
        <w:autoSpaceDN/>
        <w:bidi w:val="0"/>
        <w:adjustRightInd/>
        <w:snapToGrid/>
        <w:spacing w:line="360" w:lineRule="auto"/>
        <w:ind w:firstLine="640" w:firstLineChars="200"/>
        <w:textAlignment w:val="auto"/>
        <w:rPr>
          <w:sz w:val="32"/>
          <w:szCs w:val="32"/>
        </w:rPr>
      </w:pPr>
      <w:r>
        <w:rPr>
          <w:rFonts w:hint="eastAsia" w:ascii="仿宋_GB2312" w:eastAsia="仿宋_GB2312" w:cs="仿宋_GB2312" w:hAnsiTheme="minorHAnsi"/>
          <w:color w:val="000000"/>
          <w:kern w:val="0"/>
          <w:sz w:val="32"/>
          <w:szCs w:val="32"/>
        </w:rPr>
        <w:t>本项目</w:t>
      </w:r>
      <w:r>
        <w:rPr>
          <w:rFonts w:hint="eastAsia" w:ascii="仿宋_GB2312" w:eastAsia="仿宋_GB2312" w:cs="仿宋_GB2312" w:hAnsiTheme="minorHAnsi"/>
          <w:color w:val="000000"/>
          <w:kern w:val="0"/>
          <w:sz w:val="32"/>
          <w:szCs w:val="32"/>
          <w:lang w:eastAsia="zh-CN"/>
        </w:rPr>
        <w:t>比价</w:t>
      </w:r>
      <w:r>
        <w:rPr>
          <w:rFonts w:hint="eastAsia" w:ascii="仿宋_GB2312" w:eastAsia="仿宋_GB2312" w:cs="仿宋_GB2312" w:hAnsiTheme="minorHAnsi"/>
          <w:color w:val="000000"/>
          <w:kern w:val="0"/>
          <w:sz w:val="32"/>
          <w:szCs w:val="32"/>
        </w:rPr>
        <w:t>公告同时在“人保e采”外网门户（https://ec.picc.com/）、金采网（http://www.cfcpn.com/）上发布，除上述外，采购人不在其他任何网站、论坛等媒介上发布任何采购信息，其他任何媒介上转载的、以采购人为采购主体的采购信息均为非法转载，均为无效。对于非法转载、篡改采购公告信息的组织或个人，采购人保留追究其法律责任的权利。</w:t>
      </w:r>
    </w:p>
    <w:p>
      <w:pPr>
        <w:pStyle w:val="15"/>
        <w:ind w:firstLine="643" w:firstLineChars="200"/>
        <w:rPr>
          <w:b/>
          <w:sz w:val="32"/>
          <w:szCs w:val="32"/>
        </w:rPr>
      </w:pPr>
      <w:r>
        <w:rPr>
          <w:rFonts w:hint="eastAsia"/>
          <w:b/>
          <w:sz w:val="32"/>
          <w:szCs w:val="32"/>
        </w:rPr>
        <w:t xml:space="preserve">八、采购人信息 </w:t>
      </w:r>
    </w:p>
    <w:p>
      <w:pPr>
        <w:pStyle w:val="15"/>
        <w:ind w:firstLine="640" w:firstLineChars="200"/>
        <w:rPr>
          <w:sz w:val="32"/>
          <w:szCs w:val="32"/>
        </w:rPr>
      </w:pPr>
      <w:r>
        <w:rPr>
          <w:rFonts w:hint="eastAsia"/>
          <w:sz w:val="32"/>
          <w:szCs w:val="32"/>
        </w:rPr>
        <w:t>采购人：中国人民财产保险股份有限公司</w:t>
      </w:r>
      <w:r>
        <w:rPr>
          <w:rFonts w:hint="eastAsia"/>
          <w:sz w:val="32"/>
          <w:szCs w:val="32"/>
          <w:lang w:eastAsia="zh-CN"/>
        </w:rPr>
        <w:t>达州市分</w:t>
      </w:r>
      <w:r>
        <w:rPr>
          <w:rFonts w:hint="eastAsia"/>
          <w:sz w:val="32"/>
          <w:szCs w:val="32"/>
        </w:rPr>
        <w:t xml:space="preserve">公司 </w:t>
      </w:r>
    </w:p>
    <w:p>
      <w:pPr>
        <w:pStyle w:val="15"/>
        <w:ind w:firstLine="640" w:firstLineChars="200"/>
        <w:rPr>
          <w:sz w:val="32"/>
          <w:szCs w:val="32"/>
        </w:rPr>
      </w:pPr>
      <w:r>
        <w:rPr>
          <w:rFonts w:hint="eastAsia"/>
          <w:sz w:val="32"/>
          <w:szCs w:val="32"/>
        </w:rPr>
        <w:t>地 址：</w:t>
      </w:r>
      <w:r>
        <w:rPr>
          <w:rFonts w:hint="eastAsia"/>
          <w:sz w:val="32"/>
          <w:szCs w:val="32"/>
          <w:lang w:eastAsia="zh-CN"/>
        </w:rPr>
        <w:t>达州市通川区滩头街</w:t>
      </w:r>
      <w:r>
        <w:rPr>
          <w:rFonts w:hint="eastAsia"/>
          <w:sz w:val="32"/>
          <w:szCs w:val="32"/>
          <w:lang w:val="en-US" w:eastAsia="zh-CN"/>
        </w:rPr>
        <w:t>2号</w:t>
      </w:r>
      <w:r>
        <w:rPr>
          <w:rFonts w:hint="eastAsia"/>
          <w:sz w:val="32"/>
          <w:szCs w:val="32"/>
        </w:rPr>
        <w:t xml:space="preserve"> </w:t>
      </w:r>
    </w:p>
    <w:p>
      <w:pPr>
        <w:pStyle w:val="15"/>
        <w:ind w:firstLine="640" w:firstLineChars="200"/>
        <w:rPr>
          <w:rFonts w:hint="eastAsia" w:eastAsia="仿宋_GB2312"/>
          <w:sz w:val="32"/>
          <w:szCs w:val="32"/>
          <w:lang w:eastAsia="zh-CN"/>
        </w:rPr>
      </w:pPr>
      <w:r>
        <w:rPr>
          <w:rFonts w:hint="eastAsia"/>
          <w:sz w:val="32"/>
          <w:szCs w:val="32"/>
        </w:rPr>
        <w:t>项目报名联系人：</w:t>
      </w:r>
      <w:r>
        <w:rPr>
          <w:rFonts w:hint="eastAsia"/>
          <w:sz w:val="32"/>
          <w:szCs w:val="32"/>
          <w:lang w:eastAsia="zh-CN"/>
        </w:rPr>
        <w:t>刘书宏</w:t>
      </w:r>
    </w:p>
    <w:p>
      <w:pPr>
        <w:pStyle w:val="15"/>
        <w:ind w:firstLine="640" w:firstLineChars="200"/>
        <w:rPr>
          <w:rFonts w:hint="default" w:eastAsia="仿宋_GB2312"/>
          <w:sz w:val="32"/>
          <w:szCs w:val="32"/>
          <w:lang w:val="en-US" w:eastAsia="zh-CN"/>
        </w:rPr>
      </w:pPr>
      <w:r>
        <w:rPr>
          <w:rFonts w:hint="eastAsia"/>
          <w:sz w:val="32"/>
          <w:szCs w:val="32"/>
        </w:rPr>
        <w:t>电 话：</w:t>
      </w:r>
      <w:r>
        <w:rPr>
          <w:rFonts w:hint="eastAsia"/>
          <w:sz w:val="32"/>
          <w:szCs w:val="32"/>
          <w:lang w:val="en-US" w:eastAsia="zh-CN"/>
        </w:rPr>
        <w:t>0818-2281518</w:t>
      </w:r>
      <w:bookmarkStart w:id="2" w:name="_GoBack"/>
      <w:bookmarkEnd w:id="2"/>
    </w:p>
    <w:p>
      <w:pPr>
        <w:pStyle w:val="15"/>
        <w:ind w:firstLine="640" w:firstLineChars="200"/>
        <w:rPr>
          <w:sz w:val="32"/>
          <w:szCs w:val="32"/>
        </w:rPr>
      </w:pPr>
      <w:r>
        <w:rPr>
          <w:rFonts w:hint="eastAsia"/>
          <w:sz w:val="32"/>
          <w:szCs w:val="32"/>
        </w:rPr>
        <w:t>邮箱：</w:t>
      </w:r>
      <w:r>
        <w:rPr>
          <w:rFonts w:ascii="宋体" w:hAnsi="宋体" w:eastAsia="宋体" w:cs="宋体"/>
          <w:sz w:val="24"/>
          <w:szCs w:val="24"/>
        </w:rPr>
        <w:t>liushuhong@sic.picc.com.cn</w:t>
      </w:r>
    </w:p>
    <w:p>
      <w:pPr>
        <w:pStyle w:val="15"/>
        <w:ind w:firstLine="320" w:firstLineChars="100"/>
        <w:rPr>
          <w:sz w:val="32"/>
          <w:szCs w:val="32"/>
        </w:rPr>
      </w:pPr>
    </w:p>
    <w:p>
      <w:pPr>
        <w:pStyle w:val="15"/>
        <w:rPr>
          <w:sz w:val="32"/>
          <w:szCs w:val="32"/>
        </w:rPr>
      </w:pPr>
    </w:p>
    <w:p>
      <w:pPr>
        <w:pStyle w:val="15"/>
        <w:ind w:firstLine="1600" w:firstLineChars="500"/>
        <w:rPr>
          <w:sz w:val="32"/>
          <w:szCs w:val="32"/>
        </w:rPr>
      </w:pPr>
      <w:r>
        <w:rPr>
          <w:rFonts w:hint="eastAsia"/>
          <w:sz w:val="32"/>
          <w:szCs w:val="32"/>
        </w:rPr>
        <w:t>中国人民财产保险股份有限公司</w:t>
      </w:r>
      <w:r>
        <w:rPr>
          <w:rFonts w:hint="eastAsia"/>
          <w:sz w:val="32"/>
          <w:szCs w:val="32"/>
          <w:lang w:eastAsia="zh-CN"/>
        </w:rPr>
        <w:t>达州市</w:t>
      </w:r>
      <w:r>
        <w:rPr>
          <w:rFonts w:hint="eastAsia"/>
          <w:sz w:val="32"/>
          <w:szCs w:val="32"/>
        </w:rPr>
        <w:t xml:space="preserve">分公司 </w:t>
      </w:r>
    </w:p>
    <w:p>
      <w:pPr>
        <w:pStyle w:val="15"/>
        <w:ind w:firstLine="4800" w:firstLineChars="1500"/>
        <w:rPr>
          <w:sz w:val="32"/>
          <w:szCs w:val="32"/>
        </w:rPr>
      </w:pPr>
      <w:r>
        <w:rPr>
          <w:rFonts w:hint="eastAsia"/>
          <w:sz w:val="32"/>
          <w:szCs w:val="32"/>
          <w:lang w:val="en-US" w:eastAsia="zh-CN"/>
        </w:rPr>
        <w:t>2026</w:t>
      </w:r>
      <w:r>
        <w:rPr>
          <w:rFonts w:hint="eastAsia"/>
          <w:sz w:val="32"/>
          <w:szCs w:val="32"/>
        </w:rPr>
        <w:t>年</w:t>
      </w:r>
      <w:r>
        <w:rPr>
          <w:rFonts w:hint="eastAsia"/>
          <w:sz w:val="32"/>
          <w:szCs w:val="32"/>
          <w:lang w:val="en-US" w:eastAsia="zh-CN"/>
        </w:rPr>
        <w:t>6</w:t>
      </w:r>
      <w:r>
        <w:rPr>
          <w:rFonts w:hint="eastAsia"/>
          <w:sz w:val="32"/>
          <w:szCs w:val="32"/>
        </w:rPr>
        <w:t>月</w:t>
      </w:r>
      <w:r>
        <w:rPr>
          <w:rFonts w:hint="eastAsia"/>
          <w:sz w:val="32"/>
          <w:szCs w:val="32"/>
          <w:lang w:val="en-US" w:eastAsia="zh-CN"/>
        </w:rPr>
        <w:t>2</w:t>
      </w:r>
      <w:r>
        <w:rPr>
          <w:rFonts w:hint="eastAsia"/>
          <w:sz w:val="32"/>
          <w:szCs w:val="32"/>
        </w:rPr>
        <w:t>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altName w:val="方正仿宋_GBK"/>
    <w:panose1 w:val="02010609030101010101"/>
    <w:charset w:val="86"/>
    <w:family w:val="modern"/>
    <w:pitch w:val="default"/>
    <w:sig w:usb0="00000000" w:usb1="00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黑体_GBK">
    <w:panose1 w:val="02000000000000000000"/>
    <w:charset w:val="86"/>
    <w:family w:val="auto"/>
    <w:pitch w:val="default"/>
    <w:sig w:usb0="00000001" w:usb1="08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2241688"/>
    <w:multiLevelType w:val="singleLevel"/>
    <w:tmpl w:val="D2241688"/>
    <w:lvl w:ilvl="0" w:tentative="0">
      <w:start w:val="3"/>
      <w:numFmt w:val="chineseCounting"/>
      <w:suff w:val="nothing"/>
      <w:lvlText w:val="（%1）"/>
      <w:lvlJc w:val="left"/>
      <w:rPr>
        <w:rFonts w:hint="eastAsia"/>
      </w:rPr>
    </w:lvl>
  </w:abstractNum>
  <w:abstractNum w:abstractNumId="1">
    <w:nsid w:val="54A5EE7B"/>
    <w:multiLevelType w:val="singleLevel"/>
    <w:tmpl w:val="54A5EE7B"/>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0CA"/>
    <w:rsid w:val="00021AFA"/>
    <w:rsid w:val="00045692"/>
    <w:rsid w:val="00053AAD"/>
    <w:rsid w:val="00072C81"/>
    <w:rsid w:val="0009785D"/>
    <w:rsid w:val="000D2BDC"/>
    <w:rsid w:val="000E02FF"/>
    <w:rsid w:val="000E13A2"/>
    <w:rsid w:val="000F66D3"/>
    <w:rsid w:val="00147EC3"/>
    <w:rsid w:val="001A0CA6"/>
    <w:rsid w:val="001A56AC"/>
    <w:rsid w:val="001E0673"/>
    <w:rsid w:val="001F18ED"/>
    <w:rsid w:val="00267E01"/>
    <w:rsid w:val="00276C29"/>
    <w:rsid w:val="002E7E2F"/>
    <w:rsid w:val="003048C8"/>
    <w:rsid w:val="00307ACC"/>
    <w:rsid w:val="00346CA2"/>
    <w:rsid w:val="003D06BC"/>
    <w:rsid w:val="0040792D"/>
    <w:rsid w:val="00417A33"/>
    <w:rsid w:val="00492C0F"/>
    <w:rsid w:val="004B1D8D"/>
    <w:rsid w:val="00555251"/>
    <w:rsid w:val="00563618"/>
    <w:rsid w:val="00577884"/>
    <w:rsid w:val="006668D0"/>
    <w:rsid w:val="006E745D"/>
    <w:rsid w:val="00704F8F"/>
    <w:rsid w:val="007674D6"/>
    <w:rsid w:val="007720B2"/>
    <w:rsid w:val="00786947"/>
    <w:rsid w:val="007C65D2"/>
    <w:rsid w:val="007D3442"/>
    <w:rsid w:val="007F2EEB"/>
    <w:rsid w:val="0085207F"/>
    <w:rsid w:val="008A5773"/>
    <w:rsid w:val="008C2E5A"/>
    <w:rsid w:val="009C0022"/>
    <w:rsid w:val="00A3718C"/>
    <w:rsid w:val="00A83298"/>
    <w:rsid w:val="00AB3274"/>
    <w:rsid w:val="00AE515A"/>
    <w:rsid w:val="00B822DE"/>
    <w:rsid w:val="00B82F84"/>
    <w:rsid w:val="00B851EA"/>
    <w:rsid w:val="00BB4824"/>
    <w:rsid w:val="00C11ACA"/>
    <w:rsid w:val="00C268AB"/>
    <w:rsid w:val="00C93968"/>
    <w:rsid w:val="00CA0495"/>
    <w:rsid w:val="00CB5CA5"/>
    <w:rsid w:val="00D2246B"/>
    <w:rsid w:val="00D64E1A"/>
    <w:rsid w:val="00E2459B"/>
    <w:rsid w:val="00ED354D"/>
    <w:rsid w:val="00EE6E32"/>
    <w:rsid w:val="00F44D57"/>
    <w:rsid w:val="00FA4B26"/>
    <w:rsid w:val="00FB5C11"/>
    <w:rsid w:val="00FB60CA"/>
    <w:rsid w:val="00FD12C5"/>
    <w:rsid w:val="00FF3FB6"/>
    <w:rsid w:val="150F283D"/>
    <w:rsid w:val="17742FD5"/>
    <w:rsid w:val="24836111"/>
    <w:rsid w:val="2953384E"/>
    <w:rsid w:val="39744216"/>
    <w:rsid w:val="4EE2452F"/>
    <w:rsid w:val="666757F0"/>
    <w:rsid w:val="F51F818F"/>
    <w:rsid w:val="F9DE5A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6"/>
    <w:qFormat/>
    <w:uiPriority w:val="99"/>
    <w:pPr>
      <w:widowControl/>
      <w:spacing w:after="120"/>
      <w:jc w:val="left"/>
    </w:pPr>
    <w:rPr>
      <w:rFonts w:asciiTheme="minorHAnsi" w:hAnsiTheme="minorHAnsi" w:eastAsiaTheme="minorEastAsia" w:cstheme="minorBidi"/>
      <w:kern w:val="0"/>
      <w:sz w:val="24"/>
    </w:rPr>
  </w:style>
  <w:style w:type="paragraph" w:styleId="3">
    <w:name w:val="annotation text"/>
    <w:basedOn w:val="1"/>
    <w:link w:val="18"/>
    <w:semiHidden/>
    <w:unhideWhenUsed/>
    <w:qFormat/>
    <w:uiPriority w:val="99"/>
    <w:pPr>
      <w:jc w:val="left"/>
    </w:pPr>
  </w:style>
  <w:style w:type="paragraph" w:styleId="4">
    <w:name w:val="toc 3"/>
    <w:basedOn w:val="1"/>
    <w:next w:val="1"/>
    <w:unhideWhenUsed/>
    <w:qFormat/>
    <w:uiPriority w:val="39"/>
    <w:pPr>
      <w:widowControl/>
      <w:ind w:left="840" w:leftChars="400"/>
      <w:jc w:val="left"/>
    </w:pPr>
    <w:rPr>
      <w:rFonts w:asciiTheme="minorHAnsi" w:hAnsiTheme="minorHAnsi" w:eastAsiaTheme="minorEastAsia" w:cstheme="minorBidi"/>
      <w:kern w:val="0"/>
      <w:sz w:val="24"/>
    </w:rPr>
  </w:style>
  <w:style w:type="paragraph" w:styleId="5">
    <w:name w:val="Balloon Text"/>
    <w:basedOn w:val="1"/>
    <w:link w:val="17"/>
    <w:semiHidden/>
    <w:unhideWhenUsed/>
    <w:qFormat/>
    <w:uiPriority w:val="99"/>
    <w:rPr>
      <w:sz w:val="18"/>
      <w:szCs w:val="18"/>
    </w:rPr>
  </w:style>
  <w:style w:type="paragraph" w:styleId="6">
    <w:name w:val="footer"/>
    <w:basedOn w:val="1"/>
    <w:link w:val="14"/>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3"/>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8">
    <w:name w:val="annotation subject"/>
    <w:basedOn w:val="3"/>
    <w:next w:val="3"/>
    <w:link w:val="19"/>
    <w:semiHidden/>
    <w:unhideWhenUsed/>
    <w:qFormat/>
    <w:uiPriority w:val="99"/>
    <w:rPr>
      <w:b/>
      <w:bCs/>
    </w:rPr>
  </w:style>
  <w:style w:type="character" w:styleId="11">
    <w:name w:val="Hyperlink"/>
    <w:basedOn w:val="10"/>
    <w:unhideWhenUsed/>
    <w:qFormat/>
    <w:uiPriority w:val="99"/>
    <w:rPr>
      <w:color w:val="0000FF" w:themeColor="hyperlink"/>
      <w:u w:val="single"/>
      <w14:textFill>
        <w14:solidFill>
          <w14:schemeClr w14:val="hlink"/>
        </w14:solidFill>
      </w14:textFill>
    </w:rPr>
  </w:style>
  <w:style w:type="character" w:styleId="12">
    <w:name w:val="annotation reference"/>
    <w:basedOn w:val="10"/>
    <w:semiHidden/>
    <w:unhideWhenUsed/>
    <w:qFormat/>
    <w:uiPriority w:val="99"/>
    <w:rPr>
      <w:sz w:val="21"/>
      <w:szCs w:val="21"/>
    </w:rPr>
  </w:style>
  <w:style w:type="character" w:customStyle="1" w:styleId="13">
    <w:name w:val="页眉 Char"/>
    <w:basedOn w:val="10"/>
    <w:link w:val="7"/>
    <w:qFormat/>
    <w:uiPriority w:val="99"/>
    <w:rPr>
      <w:sz w:val="18"/>
      <w:szCs w:val="18"/>
    </w:rPr>
  </w:style>
  <w:style w:type="character" w:customStyle="1" w:styleId="14">
    <w:name w:val="页脚 Char"/>
    <w:basedOn w:val="10"/>
    <w:link w:val="6"/>
    <w:qFormat/>
    <w:uiPriority w:val="99"/>
    <w:rPr>
      <w:sz w:val="18"/>
      <w:szCs w:val="18"/>
    </w:rPr>
  </w:style>
  <w:style w:type="paragraph" w:customStyle="1" w:styleId="15">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character" w:customStyle="1" w:styleId="16">
    <w:name w:val="正文文本 Char"/>
    <w:basedOn w:val="10"/>
    <w:link w:val="2"/>
    <w:qFormat/>
    <w:uiPriority w:val="99"/>
    <w:rPr>
      <w:kern w:val="0"/>
      <w:sz w:val="24"/>
      <w:szCs w:val="24"/>
    </w:rPr>
  </w:style>
  <w:style w:type="character" w:customStyle="1" w:styleId="17">
    <w:name w:val="批注框文本 Char"/>
    <w:basedOn w:val="10"/>
    <w:link w:val="5"/>
    <w:semiHidden/>
    <w:qFormat/>
    <w:uiPriority w:val="99"/>
    <w:rPr>
      <w:rFonts w:ascii="Calibri" w:hAnsi="Calibri" w:eastAsia="宋体" w:cs="Times New Roman"/>
      <w:kern w:val="2"/>
      <w:sz w:val="18"/>
      <w:szCs w:val="18"/>
    </w:rPr>
  </w:style>
  <w:style w:type="character" w:customStyle="1" w:styleId="18">
    <w:name w:val="批注文字 Char"/>
    <w:basedOn w:val="10"/>
    <w:link w:val="3"/>
    <w:semiHidden/>
    <w:qFormat/>
    <w:uiPriority w:val="99"/>
    <w:rPr>
      <w:rFonts w:ascii="Calibri" w:hAnsi="Calibri" w:eastAsia="宋体" w:cs="Times New Roman"/>
      <w:kern w:val="2"/>
      <w:sz w:val="21"/>
      <w:szCs w:val="24"/>
    </w:rPr>
  </w:style>
  <w:style w:type="character" w:customStyle="1" w:styleId="19">
    <w:name w:val="批注主题 Char"/>
    <w:basedOn w:val="18"/>
    <w:link w:val="8"/>
    <w:semiHidden/>
    <w:qFormat/>
    <w:uiPriority w:val="99"/>
    <w:rPr>
      <w:rFonts w:ascii="Calibri" w:hAnsi="Calibri" w:eastAsia="宋体" w:cs="Times New Roman"/>
      <w:b/>
      <w:bCs/>
      <w:kern w:val="2"/>
      <w:sz w:val="21"/>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4</Pages>
  <Words>197</Words>
  <Characters>1128</Characters>
  <Lines>9</Lines>
  <Paragraphs>2</Paragraphs>
  <TotalTime>0</TotalTime>
  <ScaleCrop>false</ScaleCrop>
  <LinksUpToDate>false</LinksUpToDate>
  <CharactersWithSpaces>1323</CharactersWithSpaces>
  <Application>WPS Office_11.8.2.10605_F1E327BC-269C-435d-A152-05C5408002CA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2025-01-10T22:45:00Z</dcterms:created>
  <dc:creator>易晓鸥</dc:creator>
  <cp:lastModifiedBy>picc</cp:lastModifiedBy>
  <dcterms:modified xsi:type="dcterms:W3CDTF">2026-06-02T14:12:34Z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2052-11.8.2.10605</vt:lpwstr>
  </property>
  <property fmtid="{D5CDD505-2E9C-101B-9397-08002B2CF9AE}" pid="3" name="ICV">
    <vt:lpwstr>2A14EFB470324D548EAEF58DD5ABBA1E</vt:lpwstr>
  </property>
</Properties>
</file>