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黑体" w:eastAsia="黑体" w:cs="黑体"/>
          <w:b/>
          <w:sz w:val="28"/>
          <w:szCs w:val="28"/>
        </w:rPr>
      </w:pPr>
      <w:bookmarkStart w:id="0" w:name="_GoBack"/>
      <w:r>
        <w:rPr>
          <w:rFonts w:hint="eastAsia" w:ascii="黑体" w:hAnsi="黑体" w:eastAsia="黑体" w:cs="黑体"/>
          <w:b/>
          <w:sz w:val="28"/>
          <w:szCs w:val="28"/>
        </w:rPr>
        <w:t>关于人保财险新疆</w:t>
      </w:r>
      <w:r>
        <w:rPr>
          <w:rFonts w:hint="eastAsia" w:ascii="黑体" w:hAnsi="黑体" w:eastAsia="黑体" w:cs="黑体"/>
          <w:b/>
          <w:sz w:val="28"/>
          <w:szCs w:val="28"/>
          <w:lang w:val="en-US" w:eastAsia="zh-CN"/>
        </w:rPr>
        <w:t>莎车支公司单元楼墙面框架广告、电梯框架广告采购项目</w:t>
      </w:r>
      <w:r>
        <w:rPr>
          <w:rFonts w:hint="eastAsia" w:ascii="黑体" w:hAnsi="黑体" w:eastAsia="黑体" w:cs="黑体"/>
          <w:b/>
          <w:sz w:val="28"/>
          <w:szCs w:val="28"/>
        </w:rPr>
        <w:t>拟采用单一</w:t>
      </w:r>
      <w:r>
        <w:rPr>
          <w:rFonts w:hint="eastAsia" w:ascii="黑体" w:hAnsi="黑体" w:eastAsia="黑体" w:cs="黑体"/>
          <w:b/>
          <w:sz w:val="28"/>
          <w:szCs w:val="28"/>
          <w:lang w:val="en-US" w:eastAsia="zh-CN"/>
        </w:rPr>
        <w:t>采购</w:t>
      </w:r>
      <w:r>
        <w:rPr>
          <w:rFonts w:hint="eastAsia" w:ascii="黑体" w:hAnsi="黑体" w:eastAsia="黑体" w:cs="黑体"/>
          <w:b/>
          <w:sz w:val="28"/>
          <w:szCs w:val="28"/>
        </w:rPr>
        <w:t>方式采购的公示</w:t>
      </w:r>
      <w:bookmarkEnd w:id="0"/>
    </w:p>
    <w:p>
      <w:pPr>
        <w:adjustRightInd w:val="0"/>
        <w:snapToGrid w:val="0"/>
        <w:spacing w:line="360" w:lineRule="auto"/>
        <w:ind w:firstLine="420" w:firstLineChars="200"/>
      </w:pPr>
    </w:p>
    <w:p>
      <w:pPr>
        <w:adjustRightInd w:val="0"/>
        <w:snapToGrid w:val="0"/>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根据中国人民保险集团和中国人民财产保险股份有限公司采购管理相关制度规定，现将相关单一采购内容公示如下：</w:t>
      </w:r>
    </w:p>
    <w:p>
      <w:pPr>
        <w:numPr>
          <w:ilvl w:val="0"/>
          <w:numId w:val="1"/>
        </w:numPr>
        <w:adjustRightInd w:val="0"/>
        <w:snapToGrid w:val="0"/>
        <w:spacing w:line="360" w:lineRule="auto"/>
        <w:ind w:firstLine="562" w:firstLineChars="200"/>
        <w:rPr>
          <w:rFonts w:hint="eastAsia" w:ascii="仿宋" w:hAnsi="仿宋" w:eastAsia="仿宋" w:cs="仿宋"/>
          <w:sz w:val="28"/>
          <w:szCs w:val="28"/>
          <w:highlight w:val="none"/>
        </w:rPr>
      </w:pPr>
      <w:r>
        <w:rPr>
          <w:rFonts w:hint="eastAsia" w:ascii="仿宋" w:hAnsi="仿宋" w:eastAsia="仿宋" w:cs="仿宋"/>
          <w:b/>
          <w:bCs/>
          <w:sz w:val="28"/>
          <w:szCs w:val="28"/>
        </w:rPr>
        <w:t>项目名称：</w:t>
      </w:r>
      <w:r>
        <w:rPr>
          <w:rFonts w:hint="eastAsia" w:ascii="仿宋" w:hAnsi="仿宋" w:eastAsia="仿宋" w:cs="仿宋"/>
          <w:sz w:val="28"/>
          <w:szCs w:val="28"/>
          <w:highlight w:val="none"/>
        </w:rPr>
        <w:t>人保财险新疆</w:t>
      </w:r>
      <w:r>
        <w:rPr>
          <w:rFonts w:hint="eastAsia" w:ascii="仿宋" w:hAnsi="仿宋" w:eastAsia="仿宋" w:cs="仿宋"/>
          <w:sz w:val="28"/>
          <w:szCs w:val="28"/>
          <w:highlight w:val="none"/>
          <w:lang w:val="en-US" w:eastAsia="zh-CN"/>
        </w:rPr>
        <w:t>人保财险新疆莎车支公司单元楼墙面框架广告、电梯框架广告采购项目</w:t>
      </w:r>
    </w:p>
    <w:p>
      <w:pPr>
        <w:adjustRightInd w:val="0"/>
        <w:snapToGrid w:val="0"/>
        <w:spacing w:line="360" w:lineRule="auto"/>
        <w:ind w:firstLine="562" w:firstLineChars="200"/>
        <w:rPr>
          <w:rFonts w:hint="eastAsia" w:ascii="仿宋" w:hAnsi="仿宋" w:eastAsia="仿宋" w:cs="仿宋"/>
          <w:b/>
          <w:bCs/>
          <w:sz w:val="28"/>
          <w:szCs w:val="28"/>
        </w:rPr>
      </w:pPr>
      <w:r>
        <w:rPr>
          <w:rFonts w:hint="eastAsia" w:ascii="仿宋" w:hAnsi="仿宋" w:eastAsia="仿宋" w:cs="仿宋"/>
          <w:b/>
          <w:bCs/>
          <w:sz w:val="28"/>
          <w:szCs w:val="28"/>
        </w:rPr>
        <w:t>二、单一</w:t>
      </w:r>
      <w:r>
        <w:rPr>
          <w:rFonts w:hint="eastAsia" w:ascii="仿宋" w:hAnsi="仿宋" w:eastAsia="仿宋" w:cs="仿宋"/>
          <w:b/>
          <w:bCs/>
          <w:sz w:val="28"/>
          <w:szCs w:val="28"/>
          <w:lang w:eastAsia="zh-CN"/>
        </w:rPr>
        <w:t>采购</w:t>
      </w:r>
      <w:r>
        <w:rPr>
          <w:rFonts w:hint="eastAsia" w:ascii="仿宋" w:hAnsi="仿宋" w:eastAsia="仿宋" w:cs="仿宋"/>
          <w:b/>
          <w:bCs/>
          <w:sz w:val="28"/>
          <w:szCs w:val="28"/>
        </w:rPr>
        <w:t>供应商：</w:t>
      </w:r>
    </w:p>
    <w:p>
      <w:pPr>
        <w:numPr>
          <w:ilvl w:val="0"/>
          <w:numId w:val="0"/>
        </w:numPr>
        <w:adjustRightInd w:val="0"/>
        <w:snapToGrid w:val="0"/>
        <w:spacing w:line="360" w:lineRule="auto"/>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1. 资源唯一性：</w:t>
      </w:r>
      <w:r>
        <w:rPr>
          <w:rFonts w:hint="eastAsia" w:ascii="仿宋" w:hAnsi="仿宋" w:eastAsia="仿宋" w:cs="仿宋"/>
          <w:sz w:val="28"/>
          <w:szCs w:val="28"/>
          <w:lang w:eastAsia="zh-CN"/>
        </w:rPr>
        <w:t>莎车县谱光广告服务中心</w:t>
      </w:r>
      <w:r>
        <w:rPr>
          <w:rFonts w:hint="eastAsia" w:ascii="仿宋" w:hAnsi="仿宋" w:eastAsia="仿宋" w:cs="仿宋"/>
          <w:sz w:val="28"/>
          <w:szCs w:val="28"/>
          <w:lang w:val="en-US" w:eastAsia="zh-CN"/>
        </w:rPr>
        <w:t>作为莎</w:t>
      </w:r>
      <w:r>
        <w:rPr>
          <w:rFonts w:hint="eastAsia" w:ascii="仿宋" w:hAnsi="仿宋" w:eastAsia="仿宋" w:cs="仿宋"/>
          <w:sz w:val="28"/>
          <w:szCs w:val="28"/>
          <w:lang w:val="en-US" w:eastAsia="zh-CN"/>
        </w:rPr>
        <w:t>车县普达尔物业管理有限公司</w:t>
      </w:r>
      <w:r>
        <w:rPr>
          <w:rFonts w:hint="eastAsia" w:ascii="仿宋" w:hAnsi="仿宋" w:eastAsia="仿宋" w:cs="仿宋"/>
          <w:sz w:val="28"/>
          <w:szCs w:val="28"/>
          <w:lang w:eastAsia="zh-CN"/>
        </w:rPr>
        <w:t>独家授权的</w:t>
      </w:r>
      <w:r>
        <w:rPr>
          <w:rFonts w:hint="eastAsia" w:ascii="仿宋" w:hAnsi="仿宋" w:eastAsia="仿宋" w:cs="仿宋"/>
          <w:sz w:val="28"/>
          <w:szCs w:val="28"/>
          <w:lang w:val="en-US" w:eastAsia="zh-CN"/>
        </w:rPr>
        <w:t>莎车县信诚小区</w:t>
      </w:r>
      <w:r>
        <w:rPr>
          <w:rFonts w:hint="eastAsia" w:ascii="仿宋" w:hAnsi="仿宋" w:eastAsia="仿宋" w:cs="仿宋"/>
          <w:sz w:val="28"/>
          <w:szCs w:val="28"/>
          <w:lang w:val="en-US" w:eastAsia="zh-CN"/>
        </w:rPr>
        <w:t>单元楼墙面框架广告、电梯框架</w:t>
      </w:r>
      <w:r>
        <w:rPr>
          <w:rFonts w:hint="eastAsia" w:ascii="仿宋" w:hAnsi="仿宋" w:eastAsia="仿宋" w:cs="仿宋"/>
          <w:sz w:val="28"/>
          <w:szCs w:val="28"/>
          <w:lang w:eastAsia="zh-CN"/>
        </w:rPr>
        <w:t>广告服务事项的供应商，无其他替代供应商，选择该供应商</w:t>
      </w:r>
      <w:r>
        <w:rPr>
          <w:rFonts w:hint="eastAsia" w:ascii="仿宋" w:hAnsi="仿宋" w:eastAsia="仿宋" w:cs="仿宋"/>
          <w:sz w:val="28"/>
          <w:szCs w:val="28"/>
        </w:rPr>
        <w:t>可确保广告投放渠道的稳定性与唯一性，符合项目采购法定情形，按照《中国人民保险集团分散采购管理办法》第三章第十四条规定，该项目属于普通分散采购，本项目拟参照公司分散采购管理规定实施项目采购，采用单一</w:t>
      </w:r>
      <w:r>
        <w:rPr>
          <w:rFonts w:hint="eastAsia" w:ascii="仿宋" w:hAnsi="仿宋" w:eastAsia="仿宋" w:cs="仿宋"/>
          <w:sz w:val="28"/>
          <w:szCs w:val="28"/>
          <w:lang w:eastAsia="zh-CN"/>
        </w:rPr>
        <w:t>采购</w:t>
      </w:r>
      <w:r>
        <w:rPr>
          <w:rFonts w:hint="eastAsia" w:ascii="仿宋" w:hAnsi="仿宋" w:eastAsia="仿宋" w:cs="仿宋"/>
          <w:sz w:val="28"/>
          <w:szCs w:val="28"/>
        </w:rPr>
        <w:t>方式实施采购</w:t>
      </w:r>
      <w:r>
        <w:rPr>
          <w:rFonts w:hint="eastAsia" w:ascii="仿宋" w:hAnsi="仿宋" w:eastAsia="仿宋" w:cs="仿宋"/>
          <w:sz w:val="28"/>
          <w:szCs w:val="28"/>
          <w:lang w:eastAsia="zh-CN"/>
        </w:rPr>
        <w:t>，</w:t>
      </w:r>
      <w:r>
        <w:rPr>
          <w:rFonts w:hint="eastAsia" w:ascii="仿宋" w:hAnsi="仿宋" w:eastAsia="仿宋" w:cs="仿宋"/>
          <w:sz w:val="28"/>
          <w:szCs w:val="28"/>
        </w:rPr>
        <w:t>综合考虑采</w:t>
      </w:r>
      <w:r>
        <w:rPr>
          <w:rFonts w:hint="eastAsia" w:ascii="仿宋" w:hAnsi="仿宋" w:eastAsia="仿宋" w:cs="仿宋"/>
          <w:sz w:val="28"/>
          <w:szCs w:val="28"/>
          <w:lang w:val="en-US" w:eastAsia="zh-CN"/>
        </w:rPr>
        <w:t>单元楼墙面框架广告长期、电梯框架广告长期固定展示，楼宇内人员每日多次进出单元楼、电梯，反复观看加深广告印象</w:t>
      </w:r>
      <w:r>
        <w:rPr>
          <w:rFonts w:hint="eastAsia" w:ascii="仿宋" w:hAnsi="仿宋" w:eastAsia="仿宋" w:cs="仿宋"/>
          <w:sz w:val="28"/>
          <w:szCs w:val="28"/>
        </w:rPr>
        <w:t>，能确保广告投放渠道的稳定性与合规性，保障项目顺利实施，符合可采用单一采购方式中“只能从唯一供应商处采购的，即因货物或服务使用不可替代的专利、专有技术，或者项目有特殊要求，导致只能从某一特定供应商处采购的”规定，符合可采用单一采购方式中只能从唯一供应商处采购”的法定情形</w:t>
      </w:r>
      <w:r>
        <w:rPr>
          <w:rFonts w:hint="eastAsia" w:ascii="仿宋" w:hAnsi="仿宋" w:eastAsia="仿宋" w:cs="仿宋"/>
          <w:sz w:val="28"/>
          <w:szCs w:val="28"/>
          <w:lang w:eastAsia="zh-CN"/>
        </w:rPr>
        <w:t>；</w:t>
      </w:r>
    </w:p>
    <w:p>
      <w:pPr>
        <w:numPr>
          <w:ilvl w:val="0"/>
          <w:numId w:val="0"/>
        </w:numPr>
        <w:adjustRightInd w:val="0"/>
        <w:snapToGrid w:val="0"/>
        <w:spacing w:line="360" w:lineRule="auto"/>
        <w:ind w:firstLine="560" w:firstLineChars="200"/>
        <w:rPr>
          <w:rFonts w:hint="eastAsia" w:ascii="仿宋" w:hAnsi="仿宋" w:eastAsia="仿宋" w:cs="仿宋"/>
          <w:sz w:val="28"/>
          <w:szCs w:val="28"/>
          <w:lang w:eastAsia="zh-CN"/>
        </w:rPr>
      </w:pPr>
      <w:r>
        <w:rPr>
          <w:rFonts w:hint="eastAsia" w:ascii="仿宋" w:hAnsi="仿宋" w:eastAsia="仿宋" w:cs="仿宋"/>
          <w:sz w:val="28"/>
          <w:szCs w:val="28"/>
          <w:lang w:val="en-US" w:eastAsia="zh-CN"/>
        </w:rPr>
        <w:t>2.</w:t>
      </w:r>
      <w:r>
        <w:rPr>
          <w:rFonts w:hint="eastAsia" w:ascii="仿宋" w:hAnsi="仿宋" w:eastAsia="仿宋" w:cs="仿宋"/>
          <w:sz w:val="28"/>
          <w:szCs w:val="28"/>
        </w:rPr>
        <w:t>服务必要性：</w:t>
      </w:r>
      <w:r>
        <w:rPr>
          <w:rFonts w:hint="eastAsia" w:ascii="仿宋" w:hAnsi="仿宋" w:eastAsia="仿宋" w:cs="仿宋"/>
          <w:sz w:val="28"/>
          <w:szCs w:val="28"/>
          <w:lang w:val="en-US" w:eastAsia="zh-CN"/>
        </w:rPr>
        <w:t>莎车县</w:t>
      </w:r>
      <w:r>
        <w:rPr>
          <w:rFonts w:hint="eastAsia" w:ascii="仿宋" w:hAnsi="仿宋" w:eastAsia="仿宋" w:cs="仿宋"/>
          <w:sz w:val="28"/>
          <w:szCs w:val="28"/>
        </w:rPr>
        <w:t>各大小区住户私家车保有量大，小区业主是车险续保、新车投保的核心精准人群。小区</w:t>
      </w:r>
      <w:r>
        <w:rPr>
          <w:rFonts w:hint="eastAsia" w:ascii="仿宋" w:hAnsi="仿宋" w:eastAsia="仿宋" w:cs="仿宋"/>
          <w:sz w:val="28"/>
          <w:szCs w:val="28"/>
          <w:lang w:eastAsia="zh-CN"/>
        </w:rPr>
        <w:t>单元楼墙面框架广告、</w:t>
      </w:r>
      <w:r>
        <w:rPr>
          <w:rFonts w:hint="eastAsia" w:ascii="仿宋" w:hAnsi="仿宋" w:eastAsia="仿宋" w:cs="仿宋"/>
          <w:sz w:val="28"/>
          <w:szCs w:val="28"/>
          <w:lang w:val="en-US" w:eastAsia="zh-CN"/>
        </w:rPr>
        <w:t>电梯框架广告场景覆盖面广、</w:t>
      </w:r>
      <w:r>
        <w:rPr>
          <w:rFonts w:hint="eastAsia" w:ascii="仿宋" w:hAnsi="仿宋" w:eastAsia="仿宋" w:cs="仿宋"/>
          <w:sz w:val="28"/>
          <w:szCs w:val="28"/>
        </w:rPr>
        <w:t>触达</w:t>
      </w:r>
      <w:r>
        <w:rPr>
          <w:rFonts w:hint="eastAsia" w:ascii="仿宋" w:hAnsi="仿宋" w:eastAsia="仿宋" w:cs="仿宋"/>
          <w:sz w:val="28"/>
          <w:szCs w:val="28"/>
          <w:lang w:val="en-US" w:eastAsia="zh-CN"/>
        </w:rPr>
        <w:t>稳定，</w:t>
      </w:r>
      <w:r>
        <w:rPr>
          <w:rFonts w:hint="eastAsia" w:ascii="仿宋" w:hAnsi="仿宋" w:eastAsia="仿宋" w:cs="仿宋"/>
          <w:sz w:val="28"/>
          <w:szCs w:val="28"/>
        </w:rPr>
        <w:t>电梯环境封闭、</w:t>
      </w:r>
      <w:r>
        <w:rPr>
          <w:rFonts w:hint="eastAsia" w:ascii="仿宋" w:hAnsi="仿宋" w:eastAsia="仿宋" w:cs="仿宋"/>
          <w:sz w:val="28"/>
          <w:szCs w:val="28"/>
          <w:lang w:val="en-US" w:eastAsia="zh-CN"/>
        </w:rPr>
        <w:t>人员</w:t>
      </w:r>
      <w:r>
        <w:rPr>
          <w:rFonts w:hint="eastAsia" w:ascii="仿宋" w:hAnsi="仿宋" w:eastAsia="仿宋" w:cs="仿宋"/>
          <w:sz w:val="28"/>
          <w:szCs w:val="28"/>
        </w:rPr>
        <w:t>每日进出</w:t>
      </w:r>
      <w:r>
        <w:rPr>
          <w:rFonts w:hint="eastAsia" w:ascii="仿宋" w:hAnsi="仿宋" w:eastAsia="仿宋" w:cs="仿宋"/>
          <w:sz w:val="28"/>
          <w:szCs w:val="28"/>
          <w:lang w:val="en-US" w:eastAsia="zh-CN"/>
        </w:rPr>
        <w:t>频次高、</w:t>
      </w:r>
      <w:r>
        <w:rPr>
          <w:rFonts w:hint="eastAsia" w:ascii="仿宋" w:hAnsi="仿宋" w:eastAsia="仿宋" w:cs="仿宋"/>
          <w:sz w:val="28"/>
          <w:szCs w:val="28"/>
        </w:rPr>
        <w:t>停留时间固定</w:t>
      </w:r>
      <w:r>
        <w:rPr>
          <w:rFonts w:hint="eastAsia" w:ascii="仿宋" w:hAnsi="仿宋" w:eastAsia="仿宋" w:cs="仿宋"/>
          <w:sz w:val="28"/>
          <w:szCs w:val="28"/>
          <w:lang w:eastAsia="zh-CN"/>
        </w:rPr>
        <w:t>，</w:t>
      </w:r>
      <w:r>
        <w:rPr>
          <w:rFonts w:hint="eastAsia" w:ascii="仿宋" w:hAnsi="仿宋" w:eastAsia="仿宋" w:cs="仿宋"/>
          <w:sz w:val="28"/>
          <w:szCs w:val="28"/>
        </w:rPr>
        <w:t>广告具备强制触达、记忆度强的特点，与车险业务推广高度适配，受众粘性强，</w:t>
      </w:r>
      <w:r>
        <w:rPr>
          <w:rFonts w:hint="eastAsia" w:ascii="仿宋" w:hAnsi="仿宋" w:eastAsia="仿宋" w:cs="仿宋"/>
          <w:sz w:val="28"/>
          <w:szCs w:val="28"/>
          <w:lang w:val="en-US" w:eastAsia="zh-CN"/>
        </w:rPr>
        <w:t>广告效果佳。</w:t>
      </w:r>
    </w:p>
    <w:p>
      <w:pPr>
        <w:adjustRightInd w:val="0"/>
        <w:snapToGrid w:val="0"/>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3.市场无竞争性：经充分调研，</w:t>
      </w:r>
      <w:r>
        <w:rPr>
          <w:rFonts w:hint="eastAsia" w:ascii="仿宋" w:hAnsi="仿宋" w:eastAsia="仿宋" w:cs="仿宋"/>
          <w:sz w:val="28"/>
          <w:szCs w:val="28"/>
          <w:lang w:eastAsia="zh-CN"/>
        </w:rPr>
        <w:t>莎车县谱光广告服务中心</w:t>
      </w:r>
      <w:r>
        <w:rPr>
          <w:rFonts w:hint="eastAsia" w:ascii="仿宋" w:hAnsi="仿宋" w:eastAsia="仿宋" w:cs="仿宋"/>
          <w:sz w:val="28"/>
          <w:szCs w:val="28"/>
          <w:lang w:val="en-US" w:eastAsia="zh-CN"/>
        </w:rPr>
        <w:t>作为莎车县普达尔物业管理有限公司</w:t>
      </w:r>
      <w:r>
        <w:rPr>
          <w:rFonts w:hint="eastAsia" w:ascii="仿宋" w:hAnsi="仿宋" w:eastAsia="仿宋" w:cs="仿宋"/>
          <w:sz w:val="28"/>
          <w:szCs w:val="28"/>
          <w:lang w:eastAsia="zh-CN"/>
        </w:rPr>
        <w:t>独家授权的</w:t>
      </w:r>
      <w:r>
        <w:rPr>
          <w:rFonts w:hint="eastAsia" w:ascii="仿宋" w:hAnsi="仿宋" w:eastAsia="仿宋" w:cs="仿宋"/>
          <w:sz w:val="28"/>
          <w:szCs w:val="28"/>
          <w:lang w:val="en-US" w:eastAsia="zh-CN"/>
        </w:rPr>
        <w:t>莎车县信诚小区唯一拥有单元楼墙面框架广告、电梯框架</w:t>
      </w:r>
      <w:r>
        <w:rPr>
          <w:rFonts w:hint="eastAsia" w:ascii="仿宋" w:hAnsi="仿宋" w:eastAsia="仿宋" w:cs="仿宋"/>
          <w:sz w:val="28"/>
          <w:szCs w:val="28"/>
          <w:lang w:eastAsia="zh-CN"/>
        </w:rPr>
        <w:t>广告服务事项的供应商，不存在市场化竞争格局，无法通过公开征集方式达成采购。</w:t>
      </w:r>
    </w:p>
    <w:p>
      <w:pPr>
        <w:adjustRightInd w:val="0"/>
        <w:snapToGrid w:val="0"/>
        <w:spacing w:line="360" w:lineRule="auto"/>
        <w:rPr>
          <w:rFonts w:hint="eastAsia" w:ascii="仿宋" w:hAnsi="仿宋" w:eastAsia="仿宋" w:cs="仿宋"/>
          <w:sz w:val="28"/>
          <w:szCs w:val="28"/>
        </w:rPr>
      </w:pPr>
      <w:r>
        <w:rPr>
          <w:rFonts w:hint="eastAsia" w:ascii="仿宋" w:hAnsi="仿宋" w:eastAsia="仿宋" w:cs="仿宋"/>
          <w:b/>
          <w:bCs/>
          <w:sz w:val="28"/>
          <w:szCs w:val="28"/>
          <w:lang w:eastAsia="zh-CN"/>
        </w:rPr>
        <w:t>本项目唯</w:t>
      </w:r>
      <w:r>
        <w:rPr>
          <w:rFonts w:hint="eastAsia" w:ascii="仿宋" w:hAnsi="仿宋" w:eastAsia="仿宋" w:cs="仿宋"/>
          <w:b/>
          <w:bCs/>
          <w:sz w:val="28"/>
          <w:szCs w:val="28"/>
          <w:lang w:val="en-US" w:eastAsia="zh-CN"/>
        </w:rPr>
        <w:t>一服务供应商：</w:t>
      </w:r>
      <w:r>
        <w:rPr>
          <w:rFonts w:hint="eastAsia" w:ascii="仿宋" w:hAnsi="仿宋" w:eastAsia="仿宋" w:cs="仿宋"/>
          <w:sz w:val="28"/>
          <w:szCs w:val="28"/>
          <w:lang w:eastAsia="zh-CN"/>
        </w:rPr>
        <w:t>莎车县谱光广告服务中心</w:t>
      </w:r>
      <w:r>
        <w:rPr>
          <w:rFonts w:hint="eastAsia" w:ascii="仿宋" w:hAnsi="仿宋" w:eastAsia="仿宋" w:cs="仿宋"/>
          <w:sz w:val="28"/>
          <w:szCs w:val="28"/>
          <w:lang w:val="en-US" w:eastAsia="zh-CN"/>
        </w:rPr>
        <w:t>。</w:t>
      </w:r>
    </w:p>
    <w:p>
      <w:pPr>
        <w:adjustRightInd w:val="0"/>
        <w:snapToGrid w:val="0"/>
        <w:spacing w:line="360" w:lineRule="auto"/>
        <w:rPr>
          <w:rFonts w:hint="eastAsia" w:ascii="仿宋" w:hAnsi="仿宋" w:eastAsia="仿宋" w:cs="仿宋"/>
          <w:sz w:val="28"/>
          <w:szCs w:val="28"/>
        </w:rPr>
      </w:pPr>
      <w:r>
        <w:rPr>
          <w:rFonts w:hint="eastAsia" w:ascii="仿宋" w:hAnsi="仿宋" w:eastAsia="仿宋" w:cs="仿宋"/>
          <w:b/>
          <w:bCs/>
          <w:sz w:val="28"/>
          <w:szCs w:val="28"/>
        </w:rPr>
        <w:t>公示日期：</w:t>
      </w:r>
      <w:r>
        <w:rPr>
          <w:rFonts w:hint="eastAsia" w:ascii="仿宋" w:hAnsi="仿宋" w:eastAsia="仿宋" w:cs="仿宋"/>
          <w:sz w:val="28"/>
          <w:szCs w:val="28"/>
        </w:rPr>
        <w:t>自公示发布之日起3</w:t>
      </w:r>
      <w:r>
        <w:rPr>
          <w:rFonts w:hint="eastAsia" w:ascii="仿宋" w:hAnsi="仿宋" w:eastAsia="仿宋" w:cs="仿宋"/>
          <w:sz w:val="28"/>
          <w:szCs w:val="28"/>
          <w:lang w:eastAsia="zh-CN"/>
        </w:rPr>
        <w:t>个工作</w:t>
      </w:r>
      <w:r>
        <w:rPr>
          <w:rFonts w:hint="eastAsia" w:ascii="仿宋" w:hAnsi="仿宋" w:eastAsia="仿宋" w:cs="仿宋"/>
          <w:sz w:val="28"/>
          <w:szCs w:val="28"/>
        </w:rPr>
        <w:t>日。</w:t>
      </w:r>
    </w:p>
    <w:p>
      <w:pPr>
        <w:adjustRightInd w:val="0"/>
        <w:snapToGrid w:val="0"/>
        <w:spacing w:line="360" w:lineRule="auto"/>
        <w:rPr>
          <w:rFonts w:hint="eastAsia" w:ascii="仿宋" w:hAnsi="仿宋" w:eastAsia="仿宋" w:cs="仿宋"/>
          <w:sz w:val="28"/>
          <w:szCs w:val="28"/>
        </w:rPr>
      </w:pPr>
      <w:r>
        <w:rPr>
          <w:rFonts w:hint="eastAsia" w:ascii="仿宋" w:hAnsi="仿宋" w:eastAsia="仿宋" w:cs="仿宋"/>
          <w:sz w:val="28"/>
          <w:szCs w:val="28"/>
        </w:rPr>
        <w:t>任何单位或个人如对以上项目采用单一采购方式有异议，请在公示期间以书面形式进行反馈。</w:t>
      </w:r>
    </w:p>
    <w:p>
      <w:pPr>
        <w:adjustRightInd w:val="0"/>
        <w:snapToGrid w:val="0"/>
        <w:spacing w:line="360" w:lineRule="auto"/>
        <w:rPr>
          <w:rFonts w:hint="default" w:ascii="仿宋" w:hAnsi="仿宋" w:eastAsia="仿宋" w:cs="仿宋"/>
          <w:sz w:val="28"/>
          <w:szCs w:val="28"/>
        </w:rPr>
      </w:pPr>
      <w:r>
        <w:rPr>
          <w:rFonts w:hint="eastAsia" w:ascii="仿宋" w:hAnsi="仿宋" w:eastAsia="仿宋" w:cs="仿宋"/>
          <w:sz w:val="28"/>
          <w:szCs w:val="28"/>
          <w:lang w:val="en-US" w:eastAsia="zh-CN"/>
        </w:rPr>
        <w:t>联系电话：包莎莎    17881096685</w:t>
      </w:r>
    </w:p>
    <w:p>
      <w:pPr>
        <w:adjustRightInd w:val="0"/>
        <w:snapToGrid w:val="0"/>
        <w:spacing w:line="360" w:lineRule="auto"/>
        <w:rPr>
          <w:rFonts w:hint="default" w:ascii="仿宋" w:hAnsi="仿宋" w:eastAsia="仿宋" w:cs="仿宋"/>
          <w:sz w:val="28"/>
          <w:szCs w:val="28"/>
        </w:rPr>
      </w:pPr>
      <w:r>
        <w:rPr>
          <w:rFonts w:hint="eastAsia" w:ascii="仿宋" w:hAnsi="仿宋" w:eastAsia="仿宋" w:cs="仿宋"/>
          <w:sz w:val="28"/>
          <w:szCs w:val="28"/>
          <w:lang w:val="en-US" w:eastAsia="zh-CN"/>
        </w:rPr>
        <w:t>联系邮箱：baoshasha@xinj.picc.com.cn</w:t>
      </w:r>
    </w:p>
    <w:p>
      <w:pPr>
        <w:adjustRightInd w:val="0"/>
        <w:snapToGrid w:val="0"/>
        <w:spacing w:line="360" w:lineRule="auto"/>
        <w:rPr>
          <w:rFonts w:hint="default" w:ascii="仿宋" w:hAnsi="仿宋" w:eastAsia="仿宋" w:cs="仿宋"/>
          <w:sz w:val="28"/>
          <w:szCs w:val="28"/>
        </w:rPr>
      </w:pPr>
      <w:r>
        <w:rPr>
          <w:rFonts w:hint="eastAsia" w:ascii="仿宋" w:hAnsi="仿宋" w:eastAsia="仿宋" w:cs="仿宋"/>
          <w:sz w:val="28"/>
          <w:szCs w:val="28"/>
          <w:lang w:val="en-US" w:eastAsia="zh-CN"/>
        </w:rPr>
        <w:t>                   中国人民财产保险股份有限公司喀什地区分公司</w:t>
      </w:r>
    </w:p>
    <w:p>
      <w:pPr>
        <w:adjustRightInd w:val="0"/>
        <w:snapToGrid w:val="0"/>
        <w:spacing w:line="360" w:lineRule="auto"/>
        <w:ind w:firstLine="4760" w:firstLineChars="1700"/>
        <w:rPr>
          <w:rFonts w:hint="default" w:ascii="仿宋" w:hAnsi="仿宋" w:eastAsia="仿宋" w:cs="仿宋"/>
          <w:sz w:val="28"/>
          <w:szCs w:val="28"/>
        </w:rPr>
      </w:pPr>
      <w:r>
        <w:rPr>
          <w:rFonts w:hint="eastAsia" w:ascii="仿宋" w:hAnsi="仿宋" w:eastAsia="仿宋" w:cs="仿宋"/>
          <w:sz w:val="28"/>
          <w:szCs w:val="28"/>
          <w:lang w:val="en-US" w:eastAsia="zh-CN"/>
        </w:rPr>
        <w:t>2026年6月3日</w:t>
      </w:r>
    </w:p>
    <w:p>
      <w:pPr>
        <w:adjustRightInd w:val="0"/>
        <w:snapToGrid w:val="0"/>
        <w:spacing w:line="360" w:lineRule="auto"/>
        <w:ind w:firstLine="560" w:firstLineChars="200"/>
        <w:rPr>
          <w:rFonts w:hint="eastAsia" w:ascii="仿宋" w:hAnsi="仿宋" w:eastAsia="仿宋" w:cs="仿宋"/>
          <w:sz w:val="28"/>
          <w:szCs w:val="28"/>
        </w:rPr>
      </w:pPr>
    </w:p>
    <w:p>
      <w:pPr>
        <w:adjustRightInd w:val="0"/>
        <w:snapToGrid w:val="0"/>
        <w:spacing w:line="360" w:lineRule="auto"/>
        <w:ind w:firstLine="3920" w:firstLineChars="1400"/>
        <w:rPr>
          <w:rFonts w:hint="eastAsia" w:ascii="仿宋" w:hAnsi="仿宋" w:eastAsia="仿宋" w:cs="仿宋"/>
          <w:sz w:val="28"/>
          <w:szCs w:val="28"/>
        </w:rPr>
      </w:pPr>
      <w:r>
        <w:rPr>
          <w:rFonts w:hint="eastAsia" w:ascii="仿宋" w:hAnsi="仿宋" w:eastAsia="仿宋" w:cs="仿宋"/>
          <w:sz w:val="28"/>
          <w:szCs w:val="28"/>
        </w:rPr>
        <w:t xml:space="preserve">                 </w:t>
      </w:r>
    </w:p>
    <w:p>
      <w:pPr>
        <w:rPr>
          <w:sz w:val="28"/>
          <w:szCs w:val="28"/>
          <w:lang w:val="en-GB"/>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Segoe UI">
    <w:panose1 w:val="020B0502040204020203"/>
    <w:charset w:val="00"/>
    <w:family w:val="auto"/>
    <w:pitch w:val="default"/>
    <w:sig w:usb0="E4002EFF" w:usb1="C000E47F"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55CB95"/>
    <w:multiLevelType w:val="singleLevel"/>
    <w:tmpl w:val="9955CB95"/>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7262"/>
    <w:rsid w:val="001F351B"/>
    <w:rsid w:val="002A2A73"/>
    <w:rsid w:val="002E6470"/>
    <w:rsid w:val="00307262"/>
    <w:rsid w:val="00356E24"/>
    <w:rsid w:val="00384B8C"/>
    <w:rsid w:val="003F4318"/>
    <w:rsid w:val="00435E94"/>
    <w:rsid w:val="004A19DD"/>
    <w:rsid w:val="005962E6"/>
    <w:rsid w:val="00677DA3"/>
    <w:rsid w:val="006A637F"/>
    <w:rsid w:val="00730D87"/>
    <w:rsid w:val="00774144"/>
    <w:rsid w:val="007E5BC6"/>
    <w:rsid w:val="008D4FBE"/>
    <w:rsid w:val="0098000F"/>
    <w:rsid w:val="009D254A"/>
    <w:rsid w:val="00B03077"/>
    <w:rsid w:val="00B266C0"/>
    <w:rsid w:val="00B71FE0"/>
    <w:rsid w:val="00BF7B09"/>
    <w:rsid w:val="00C9436C"/>
    <w:rsid w:val="00CC2DD7"/>
    <w:rsid w:val="00D522FC"/>
    <w:rsid w:val="00E308F5"/>
    <w:rsid w:val="00E64709"/>
    <w:rsid w:val="00F56490"/>
    <w:rsid w:val="060D6818"/>
    <w:rsid w:val="076D1763"/>
    <w:rsid w:val="0A431109"/>
    <w:rsid w:val="112E6273"/>
    <w:rsid w:val="13806E8A"/>
    <w:rsid w:val="153D3054"/>
    <w:rsid w:val="274B4669"/>
    <w:rsid w:val="27B80865"/>
    <w:rsid w:val="343F3D15"/>
    <w:rsid w:val="3D4C0A90"/>
    <w:rsid w:val="415F204A"/>
    <w:rsid w:val="565B3216"/>
    <w:rsid w:val="57914645"/>
    <w:rsid w:val="5BCD6841"/>
    <w:rsid w:val="5FE313EA"/>
    <w:rsid w:val="67EC798D"/>
    <w:rsid w:val="6C507285"/>
    <w:rsid w:val="70AB7372"/>
    <w:rsid w:val="7EBD29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Hyperlink"/>
    <w:basedOn w:val="5"/>
    <w:unhideWhenUsed/>
    <w:qFormat/>
    <w:uiPriority w:val="99"/>
    <w:rPr>
      <w:color w:val="0000FF" w:themeColor="hyperlink"/>
      <w:u w:val="single"/>
      <w14:textFill>
        <w14:solidFill>
          <w14:schemeClr w14:val="hlink"/>
        </w14:solidFill>
      </w14:textFill>
    </w:rPr>
  </w:style>
  <w:style w:type="character" w:customStyle="1" w:styleId="7">
    <w:name w:val="页眉 Char"/>
    <w:basedOn w:val="5"/>
    <w:link w:val="3"/>
    <w:qFormat/>
    <w:uiPriority w:val="99"/>
    <w:rPr>
      <w:sz w:val="18"/>
      <w:szCs w:val="18"/>
    </w:rPr>
  </w:style>
  <w:style w:type="character" w:customStyle="1" w:styleId="8">
    <w:name w:val="页脚 Char"/>
    <w:basedOn w:val="5"/>
    <w:link w:val="2"/>
    <w:qFormat/>
    <w:uiPriority w:val="99"/>
    <w:rPr>
      <w:sz w:val="18"/>
      <w:szCs w:val="18"/>
    </w:rPr>
  </w:style>
  <w:style w:type="paragraph" w:customStyle="1" w:styleId="9">
    <w:name w:val="Default"/>
    <w:qFormat/>
    <w:uiPriority w:val="0"/>
    <w:pPr>
      <w:widowControl w:val="0"/>
      <w:autoSpaceDE w:val="0"/>
      <w:autoSpaceDN w:val="0"/>
      <w:adjustRightInd w:val="0"/>
    </w:pPr>
    <w:rPr>
      <w:rFonts w:ascii="仿宋_GB2312" w:hAnsi="仿宋_GB2312" w:cs="仿宋_GB2312" w:eastAsiaTheme="minorEastAsia"/>
      <w:color w:val="000000"/>
      <w:kern w:val="0"/>
      <w:sz w:val="24"/>
      <w:szCs w:val="24"/>
      <w:lang w:val="en-US" w:eastAsia="zh-CN" w:bidi="ar-SA"/>
    </w:rPr>
  </w:style>
  <w:style w:type="paragraph" w:styleId="10">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1</Pages>
  <Words>42</Words>
  <Characters>244</Characters>
  <Lines>2</Lines>
  <Paragraphs>1</Paragraphs>
  <TotalTime>2</TotalTime>
  <ScaleCrop>false</ScaleCrop>
  <LinksUpToDate>false</LinksUpToDate>
  <CharactersWithSpaces>285</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2019-09-03T03:40:00Z</dcterms:created>
  <dc:creator>刘娇</dc:creator>
  <cp:lastModifiedBy>黄蓉</cp:lastModifiedBy>
  <dcterms:modified xsi:type="dcterms:W3CDTF">2026-06-03T08:20:21Z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5649031BD3D34CEF9A86AD8D25FEE50D</vt:lpwstr>
  </property>
</Properties>
</file>