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rFonts w:hint="eastAsia"/>
          <w:sz w:val="28"/>
          <w:szCs w:val="28"/>
        </w:rPr>
      </w:pPr>
      <w:r>
        <w:rPr>
          <w:rFonts w:hint="eastAsia" w:ascii="黑体" w:hAnsi="黑体" w:eastAsia="黑体"/>
          <w:sz w:val="32"/>
          <w:szCs w:val="32"/>
          <w:lang w:eastAsia="zh-CN"/>
        </w:rPr>
        <w:t>人保财险湖北省武汉市直属营销服务部车险家用车客户三者保额需求调查项</w:t>
      </w:r>
      <w:r>
        <w:rPr>
          <w:rFonts w:hint="eastAsia" w:ascii="黑体" w:hAnsi="黑体" w:eastAsia="黑体"/>
          <w:sz w:val="32"/>
          <w:szCs w:val="32"/>
        </w:rPr>
        <w:t>目</w:t>
      </w:r>
      <w:r>
        <w:rPr>
          <w:rFonts w:hint="eastAsia" w:ascii="黑体" w:hAnsi="黑体" w:eastAsia="黑体"/>
          <w:sz w:val="32"/>
          <w:szCs w:val="32"/>
          <w:lang w:eastAsia="zh-CN"/>
        </w:rPr>
        <w:t>比选</w:t>
      </w:r>
      <w:r>
        <w:rPr>
          <w:rFonts w:hint="eastAsia" w:ascii="黑体" w:hAnsi="黑体" w:eastAsia="黑体"/>
          <w:sz w:val="32"/>
          <w:szCs w:val="32"/>
        </w:rPr>
        <w:t>邀请文件</w:t>
      </w:r>
      <w:bookmarkStart w:id="17" w:name="_GoBack"/>
      <w:bookmarkEnd w:id="17"/>
    </w:p>
    <w:p>
      <w:pPr>
        <w:pStyle w:val="53"/>
        <w:adjustRightInd w:val="0"/>
        <w:snapToGrid w:val="0"/>
        <w:spacing w:line="360" w:lineRule="auto"/>
        <w:rPr>
          <w:rFonts w:hint="eastAsia"/>
          <w:sz w:val="28"/>
          <w:szCs w:val="28"/>
        </w:rPr>
      </w:pPr>
    </w:p>
    <w:p>
      <w:pPr>
        <w:pStyle w:val="53"/>
        <w:adjustRightInd w:val="0"/>
        <w:snapToGrid w:val="0"/>
        <w:spacing w:line="360" w:lineRule="auto"/>
        <w:rPr>
          <w:rFonts w:hint="eastAsia"/>
          <w:sz w:val="28"/>
          <w:szCs w:val="28"/>
        </w:rPr>
      </w:pPr>
      <w:r>
        <w:rPr>
          <w:rFonts w:hint="eastAsia"/>
          <w:sz w:val="28"/>
          <w:szCs w:val="28"/>
        </w:rPr>
        <w:t xml:space="preserve">    </w:t>
      </w:r>
      <w:r>
        <w:rPr>
          <w:rFonts w:hint="eastAsia"/>
          <w:sz w:val="28"/>
          <w:szCs w:val="28"/>
          <w:u w:val="single"/>
        </w:rPr>
        <w:t xml:space="preserve">                          </w:t>
      </w:r>
      <w:r>
        <w:rPr>
          <w:rFonts w:hint="eastAsia"/>
          <w:sz w:val="28"/>
          <w:szCs w:val="28"/>
        </w:rPr>
        <w:t>：</w:t>
      </w:r>
    </w:p>
    <w:p>
      <w:pPr>
        <w:pStyle w:val="53"/>
        <w:adjustRightInd w:val="0"/>
        <w:snapToGrid w:val="0"/>
        <w:spacing w:line="360" w:lineRule="auto"/>
        <w:ind w:firstLine="560"/>
        <w:rPr>
          <w:rFonts w:hint="eastAsia" w:ascii="黑体" w:hAnsi="黑体" w:eastAsia="黑体"/>
          <w:sz w:val="28"/>
          <w:szCs w:val="28"/>
        </w:rPr>
      </w:pPr>
      <w:r>
        <w:rPr>
          <w:rFonts w:hint="eastAsia"/>
          <w:sz w:val="28"/>
          <w:szCs w:val="28"/>
        </w:rPr>
        <w:t>我公司拟通过</w:t>
      </w:r>
      <w:r>
        <w:rPr>
          <w:rFonts w:hint="eastAsia"/>
          <w:sz w:val="28"/>
          <w:szCs w:val="28"/>
          <w:lang w:eastAsia="zh-CN"/>
        </w:rPr>
        <w:t>比选</w:t>
      </w:r>
      <w:r>
        <w:rPr>
          <w:rFonts w:hint="eastAsia"/>
          <w:sz w:val="28"/>
          <w:szCs w:val="28"/>
        </w:rPr>
        <w:t>方式选择</w:t>
      </w:r>
      <w:r>
        <w:rPr>
          <w:rFonts w:hint="eastAsia"/>
          <w:sz w:val="28"/>
          <w:szCs w:val="28"/>
          <w:lang w:eastAsia="zh-CN"/>
        </w:rPr>
        <w:t>人保财险湖北省武汉市直属营销服务部车险家用车客户三者保额需求调查</w:t>
      </w:r>
      <w:r>
        <w:rPr>
          <w:rFonts w:hint="eastAsia"/>
          <w:sz w:val="28"/>
          <w:szCs w:val="28"/>
        </w:rPr>
        <w:t>供应商，特邀请贵公司参加本次磋商。</w:t>
      </w:r>
    </w:p>
    <w:p>
      <w:pPr>
        <w:pStyle w:val="53"/>
        <w:adjustRightInd w:val="0"/>
        <w:snapToGrid w:val="0"/>
        <w:spacing w:line="360" w:lineRule="auto"/>
        <w:ind w:firstLine="560"/>
        <w:rPr>
          <w:rFonts w:hint="eastAsia"/>
          <w:sz w:val="28"/>
          <w:szCs w:val="28"/>
        </w:rPr>
      </w:pPr>
      <w:r>
        <w:rPr>
          <w:rFonts w:hint="eastAsia"/>
          <w:sz w:val="28"/>
          <w:szCs w:val="28"/>
        </w:rPr>
        <w:t>如贵公司有意参与，严格按本邀请文件之规定准备响应文件并参加磋商会议，磋商相关事宜见附件。</w:t>
      </w:r>
    </w:p>
    <w:p>
      <w:pPr>
        <w:pStyle w:val="53"/>
        <w:adjustRightInd w:val="0"/>
        <w:snapToGrid w:val="0"/>
        <w:spacing w:line="360" w:lineRule="auto"/>
        <w:ind w:firstLine="560"/>
        <w:rPr>
          <w:rFonts w:hint="eastAsia"/>
          <w:sz w:val="28"/>
          <w:szCs w:val="28"/>
        </w:rPr>
      </w:pPr>
      <w:r>
        <w:rPr>
          <w:rFonts w:hint="eastAsia"/>
          <w:sz w:val="28"/>
          <w:szCs w:val="28"/>
        </w:rPr>
        <w:t xml:space="preserve"> </w:t>
      </w:r>
    </w:p>
    <w:p>
      <w:pPr>
        <w:pStyle w:val="53"/>
        <w:adjustRightInd w:val="0"/>
        <w:snapToGrid w:val="0"/>
        <w:spacing w:line="360" w:lineRule="auto"/>
        <w:ind w:firstLine="420"/>
        <w:rPr>
          <w:rFonts w:hint="eastAsia"/>
          <w:sz w:val="28"/>
          <w:szCs w:val="28"/>
        </w:rPr>
      </w:pPr>
      <w:r>
        <w:rPr>
          <w:rFonts w:hint="eastAsia"/>
          <w:sz w:val="28"/>
          <w:szCs w:val="28"/>
        </w:rPr>
        <w:t>采购机构名称：中国人民财产保险股份有限公司武汉市分公司直属营销服务部</w:t>
      </w:r>
    </w:p>
    <w:p>
      <w:pPr>
        <w:pStyle w:val="53"/>
        <w:adjustRightInd w:val="0"/>
        <w:snapToGrid w:val="0"/>
        <w:spacing w:line="360" w:lineRule="auto"/>
        <w:ind w:firstLine="560" w:firstLineChars="200"/>
        <w:rPr>
          <w:rFonts w:hint="eastAsia"/>
          <w:sz w:val="28"/>
          <w:szCs w:val="28"/>
        </w:rPr>
      </w:pPr>
      <w:r>
        <w:rPr>
          <w:rFonts w:hint="eastAsia"/>
          <w:sz w:val="28"/>
          <w:szCs w:val="28"/>
        </w:rPr>
        <w:t>地址：湖北省武汉市江岸区黄浦大街260号丝宝国际大厦</w:t>
      </w:r>
    </w:p>
    <w:p>
      <w:pPr>
        <w:pStyle w:val="53"/>
        <w:adjustRightInd w:val="0"/>
        <w:snapToGrid w:val="0"/>
        <w:spacing w:line="360" w:lineRule="auto"/>
        <w:ind w:firstLine="560" w:firstLineChars="200"/>
        <w:rPr>
          <w:rFonts w:hint="eastAsia"/>
          <w:sz w:val="28"/>
          <w:szCs w:val="28"/>
        </w:rPr>
      </w:pPr>
      <w:r>
        <w:rPr>
          <w:rFonts w:hint="eastAsia"/>
          <w:sz w:val="28"/>
          <w:szCs w:val="28"/>
        </w:rPr>
        <w:t>电话：</w:t>
      </w:r>
      <w:r>
        <w:rPr>
          <w:rFonts w:hint="eastAsia" w:ascii="宋体" w:hAnsi="宋体" w:eastAsia="宋体" w:cs="宋体"/>
          <w:sz w:val="24"/>
          <w:szCs w:val="24"/>
        </w:rPr>
        <w:t>13517255830‬‬</w:t>
      </w:r>
      <w:r>
        <w:rPr>
          <w:rFonts w:hint="eastAsia"/>
          <w:sz w:val="28"/>
          <w:szCs w:val="28"/>
        </w:rPr>
        <w:t>‬‬</w:t>
      </w:r>
    </w:p>
    <w:p>
      <w:pPr>
        <w:pStyle w:val="53"/>
        <w:adjustRightInd w:val="0"/>
        <w:snapToGrid w:val="0"/>
        <w:spacing w:line="360" w:lineRule="auto"/>
        <w:ind w:firstLine="560" w:firstLineChars="200"/>
        <w:rPr>
          <w:rFonts w:hint="default" w:eastAsia="宋体"/>
          <w:sz w:val="28"/>
          <w:szCs w:val="28"/>
          <w:lang w:val="en-US" w:eastAsia="zh-CN"/>
        </w:rPr>
      </w:pPr>
      <w:r>
        <w:rPr>
          <w:rFonts w:hint="eastAsia"/>
          <w:sz w:val="28"/>
          <w:szCs w:val="28"/>
        </w:rPr>
        <w:t>联系人：</w:t>
      </w:r>
      <w:r>
        <w:rPr>
          <w:rFonts w:hint="eastAsia"/>
          <w:sz w:val="28"/>
          <w:szCs w:val="28"/>
          <w:lang w:val="en-US" w:eastAsia="zh-CN"/>
        </w:rPr>
        <w:t>蔡红芳</w:t>
      </w:r>
    </w:p>
    <w:p>
      <w:pPr>
        <w:pStyle w:val="53"/>
        <w:adjustRightInd w:val="0"/>
        <w:snapToGrid w:val="0"/>
        <w:spacing w:line="360" w:lineRule="auto"/>
        <w:ind w:firstLine="560" w:firstLineChars="200"/>
        <w:rPr>
          <w:rFonts w:hint="eastAsia" w:cs="宋体"/>
          <w:sz w:val="24"/>
          <w:szCs w:val="24"/>
          <w:lang w:val="en-US" w:eastAsia="zh-CN"/>
        </w:rPr>
      </w:pPr>
      <w:r>
        <w:rPr>
          <w:rFonts w:hint="eastAsia"/>
          <w:sz w:val="28"/>
          <w:szCs w:val="28"/>
        </w:rPr>
        <w:t>邮箱：</w:t>
      </w:r>
      <w:r>
        <w:rPr>
          <w:rFonts w:hint="eastAsia" w:cs="宋体"/>
          <w:sz w:val="24"/>
          <w:szCs w:val="24"/>
          <w:lang w:val="en-US" w:eastAsia="zh-CN"/>
        </w:rPr>
        <w:t>598201708@qq.com</w:t>
      </w:r>
    </w:p>
    <w:p>
      <w:pPr>
        <w:pStyle w:val="53"/>
        <w:adjustRightInd w:val="0"/>
        <w:snapToGrid w:val="0"/>
        <w:spacing w:line="360" w:lineRule="auto"/>
        <w:rPr>
          <w:rFonts w:hint="eastAsia"/>
          <w:sz w:val="28"/>
          <w:szCs w:val="28"/>
        </w:rPr>
      </w:pPr>
      <w:r>
        <w:rPr>
          <w:rFonts w:hint="eastAsia"/>
          <w:sz w:val="28"/>
          <w:szCs w:val="28"/>
        </w:rPr>
        <w:t xml:space="preserve">   附件：一、磋商事项说明</w:t>
      </w:r>
    </w:p>
    <w:p>
      <w:pPr>
        <w:pStyle w:val="53"/>
        <w:adjustRightInd w:val="0"/>
        <w:snapToGrid w:val="0"/>
        <w:spacing w:line="360" w:lineRule="auto"/>
        <w:ind w:firstLine="840"/>
        <w:rPr>
          <w:rFonts w:hint="eastAsia"/>
          <w:sz w:val="28"/>
          <w:szCs w:val="28"/>
        </w:rPr>
      </w:pPr>
      <w:r>
        <w:rPr>
          <w:rFonts w:hint="eastAsia"/>
          <w:sz w:val="28"/>
          <w:szCs w:val="28"/>
        </w:rPr>
        <w:t xml:space="preserve">   二、响应文件格式和表格</w:t>
      </w:r>
    </w:p>
    <w:p>
      <w:pPr>
        <w:pStyle w:val="53"/>
        <w:adjustRightInd w:val="0"/>
        <w:snapToGrid w:val="0"/>
        <w:spacing w:line="360" w:lineRule="auto"/>
        <w:ind w:firstLine="840"/>
        <w:rPr>
          <w:rFonts w:hint="eastAsia"/>
          <w:sz w:val="28"/>
          <w:szCs w:val="28"/>
        </w:rPr>
      </w:pPr>
      <w:r>
        <w:rPr>
          <w:rFonts w:hint="eastAsia"/>
          <w:sz w:val="28"/>
          <w:szCs w:val="28"/>
        </w:rPr>
        <w:t xml:space="preserve">   三、资格证明文件</w:t>
      </w:r>
    </w:p>
    <w:p>
      <w:pPr>
        <w:pStyle w:val="53"/>
        <w:adjustRightInd w:val="0"/>
        <w:snapToGrid w:val="0"/>
        <w:spacing w:line="360" w:lineRule="auto"/>
        <w:ind w:firstLine="840"/>
        <w:rPr>
          <w:rFonts w:hint="eastAsia"/>
          <w:sz w:val="28"/>
          <w:szCs w:val="28"/>
        </w:rPr>
      </w:pPr>
      <w:r>
        <w:rPr>
          <w:rFonts w:hint="eastAsia"/>
          <w:sz w:val="28"/>
          <w:szCs w:val="28"/>
        </w:rPr>
        <w:t xml:space="preserve">   四、项目采购需求及服务要求</w:t>
      </w:r>
    </w:p>
    <w:p>
      <w:pPr>
        <w:pStyle w:val="53"/>
        <w:adjustRightInd w:val="0"/>
        <w:snapToGrid w:val="0"/>
        <w:spacing w:line="360" w:lineRule="auto"/>
        <w:rPr>
          <w:rFonts w:hint="eastAsia"/>
          <w:sz w:val="28"/>
          <w:szCs w:val="28"/>
        </w:rPr>
      </w:pPr>
      <w:r>
        <w:rPr>
          <w:rFonts w:hint="eastAsia"/>
          <w:sz w:val="28"/>
          <w:szCs w:val="28"/>
        </w:rPr>
        <w:t xml:space="preserve"> </w:t>
      </w:r>
    </w:p>
    <w:p>
      <w:pPr>
        <w:pStyle w:val="53"/>
        <w:adjustRightInd w:val="0"/>
        <w:snapToGrid w:val="0"/>
        <w:spacing w:line="360" w:lineRule="auto"/>
        <w:rPr>
          <w:rFonts w:hint="eastAsia"/>
          <w:sz w:val="28"/>
          <w:szCs w:val="28"/>
        </w:rPr>
      </w:pPr>
      <w:r>
        <w:rPr>
          <w:rFonts w:hint="eastAsia"/>
          <w:sz w:val="28"/>
          <w:szCs w:val="28"/>
        </w:rPr>
        <w:t xml:space="preserve"> </w:t>
      </w:r>
    </w:p>
    <w:p>
      <w:pPr>
        <w:pStyle w:val="53"/>
        <w:adjustRightInd w:val="0"/>
        <w:snapToGrid w:val="0"/>
        <w:spacing w:line="360" w:lineRule="auto"/>
        <w:rPr>
          <w:rFonts w:hint="eastAsia"/>
          <w:sz w:val="28"/>
          <w:szCs w:val="28"/>
        </w:rPr>
      </w:pPr>
      <w:r>
        <w:rPr>
          <w:rFonts w:hint="eastAsia"/>
          <w:sz w:val="28"/>
          <w:szCs w:val="28"/>
        </w:rPr>
        <w:t>中国人民财产保险股份有限公司武汉市分公司武汉市直属营销服务部</w:t>
      </w:r>
    </w:p>
    <w:p>
      <w:pPr>
        <w:pStyle w:val="53"/>
        <w:adjustRightInd w:val="0"/>
        <w:snapToGrid w:val="0"/>
        <w:spacing w:line="360" w:lineRule="auto"/>
        <w:ind w:firstLine="570"/>
        <w:jc w:val="center"/>
        <w:rPr>
          <w:rFonts w:hint="eastAsia" w:eastAsia="宋体"/>
          <w:sz w:val="28"/>
          <w:szCs w:val="28"/>
          <w:lang w:val="en-US" w:eastAsia="zh-CN"/>
        </w:rPr>
      </w:pPr>
      <w:r>
        <w:rPr>
          <w:rFonts w:hint="eastAsia"/>
          <w:sz w:val="28"/>
          <w:szCs w:val="28"/>
        </w:rPr>
        <w:t xml:space="preserve">                       </w:t>
      </w:r>
      <w:r>
        <w:rPr>
          <w:rFonts w:hint="eastAsia"/>
          <w:sz w:val="28"/>
          <w:szCs w:val="28"/>
          <w:lang w:val="en-US" w:eastAsia="zh-CN"/>
        </w:rPr>
        <w:t xml:space="preserve">    2026</w:t>
      </w:r>
      <w:r>
        <w:rPr>
          <w:rFonts w:hint="eastAsia"/>
          <w:sz w:val="28"/>
          <w:szCs w:val="28"/>
        </w:rPr>
        <w:t xml:space="preserve">年 </w:t>
      </w:r>
      <w:r>
        <w:rPr>
          <w:rFonts w:hint="eastAsia"/>
          <w:sz w:val="28"/>
          <w:szCs w:val="28"/>
          <w:lang w:val="en-US" w:eastAsia="zh-CN"/>
        </w:rPr>
        <w:t>6</w:t>
      </w:r>
      <w:r>
        <w:rPr>
          <w:rFonts w:hint="eastAsia"/>
          <w:sz w:val="28"/>
          <w:szCs w:val="28"/>
        </w:rPr>
        <w:t>月</w:t>
      </w:r>
    </w:p>
    <w:p>
      <w:pPr>
        <w:pStyle w:val="53"/>
        <w:adjustRightInd w:val="0"/>
        <w:snapToGrid w:val="0"/>
        <w:spacing w:line="360" w:lineRule="auto"/>
        <w:ind w:left="3780" w:right="620" w:hanging="3780"/>
        <w:jc w:val="right"/>
        <w:rPr>
          <w:rFonts w:hint="eastAsia"/>
          <w:sz w:val="28"/>
          <w:szCs w:val="28"/>
        </w:rPr>
      </w:pPr>
    </w:p>
    <w:p>
      <w:pPr>
        <w:pStyle w:val="53"/>
        <w:adjustRightInd w:val="0"/>
        <w:snapToGrid w:val="0"/>
        <w:spacing w:line="360" w:lineRule="auto"/>
        <w:ind w:left="3780" w:right="620" w:hanging="3780"/>
        <w:jc w:val="right"/>
        <w:rPr>
          <w:rFonts w:hint="eastAsia"/>
          <w:sz w:val="28"/>
          <w:szCs w:val="28"/>
        </w:rPr>
      </w:pPr>
    </w:p>
    <w:p>
      <w:pPr>
        <w:pStyle w:val="53"/>
        <w:adjustRightInd w:val="0"/>
        <w:snapToGrid w:val="0"/>
        <w:spacing w:line="360" w:lineRule="auto"/>
        <w:jc w:val="center"/>
        <w:rPr>
          <w:rFonts w:hint="eastAsia"/>
          <w:b/>
          <w:bCs/>
          <w:sz w:val="36"/>
          <w:szCs w:val="36"/>
        </w:rPr>
      </w:pPr>
    </w:p>
    <w:p>
      <w:pPr>
        <w:pStyle w:val="53"/>
        <w:adjustRightInd w:val="0"/>
        <w:snapToGrid w:val="0"/>
        <w:spacing w:line="360" w:lineRule="auto"/>
        <w:rPr>
          <w:rFonts w:hint="eastAsia"/>
          <w:b/>
          <w:bCs/>
          <w:sz w:val="36"/>
          <w:szCs w:val="36"/>
        </w:rPr>
      </w:pPr>
    </w:p>
    <w:p>
      <w:pPr>
        <w:pStyle w:val="53"/>
        <w:adjustRightInd w:val="0"/>
        <w:snapToGrid w:val="0"/>
        <w:spacing w:line="360" w:lineRule="auto"/>
        <w:jc w:val="center"/>
        <w:rPr>
          <w:rFonts w:hint="eastAsia"/>
          <w:b/>
          <w:bCs/>
          <w:sz w:val="36"/>
          <w:szCs w:val="36"/>
        </w:rPr>
      </w:pPr>
      <w:r>
        <w:rPr>
          <w:rFonts w:hint="eastAsia"/>
          <w:b/>
          <w:bCs/>
          <w:sz w:val="36"/>
          <w:szCs w:val="36"/>
        </w:rPr>
        <w:t>目 录</w:t>
      </w:r>
    </w:p>
    <w:p>
      <w:pPr>
        <w:pStyle w:val="53"/>
        <w:adjustRightInd w:val="0"/>
        <w:snapToGrid w:val="0"/>
        <w:spacing w:line="360" w:lineRule="auto"/>
        <w:jc w:val="distribute"/>
        <w:rPr>
          <w:rFonts w:hint="eastAsia"/>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rFonts w:hint="eastAsia"/>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rFonts w:hint="eastAsia" w:eastAsia="宋体"/>
          <w:color w:val="000000"/>
          <w:lang w:eastAsia="zh-CN"/>
        </w:rPr>
      </w:pPr>
      <w:r>
        <w:rPr>
          <w:rFonts w:hint="eastAsia"/>
        </w:rPr>
        <w:t>二、评审标准………………………………………………………………………</w:t>
      </w:r>
      <w:r>
        <w:rPr>
          <w:rFonts w:hint="eastAsia"/>
          <w:lang w:val="en-US" w:eastAsia="zh-CN"/>
        </w:rPr>
        <w:t>4</w:t>
      </w:r>
    </w:p>
    <w:p>
      <w:pPr>
        <w:pStyle w:val="53"/>
        <w:adjustRightInd w:val="0"/>
        <w:snapToGrid w:val="0"/>
        <w:spacing w:line="360" w:lineRule="auto"/>
        <w:ind w:left="420"/>
        <w:jc w:val="distribute"/>
        <w:rPr>
          <w:rFonts w:hint="eastAsia"/>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rFonts w:hint="eastAsia"/>
          <w:color w:val="000000"/>
          <w:u w:val="none"/>
        </w:rPr>
        <w:t>5</w:t>
      </w:r>
    </w:p>
    <w:p>
      <w:pPr>
        <w:pStyle w:val="53"/>
        <w:adjustRightInd w:val="0"/>
        <w:snapToGrid w:val="0"/>
        <w:spacing w:line="360" w:lineRule="auto"/>
        <w:ind w:left="420"/>
        <w:jc w:val="distribute"/>
        <w:rPr>
          <w:rFonts w:hint="eastAsia"/>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rFonts w:hint="eastAsia"/>
          <w:color w:val="000000"/>
          <w:u w:val="none"/>
        </w:rPr>
        <w:t>6</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w:t>
      </w:r>
      <w:r>
        <w:rPr>
          <w:rStyle w:val="35"/>
          <w:rFonts w:hint="eastAsia"/>
          <w:color w:val="000000"/>
          <w:u w:val="none"/>
          <w:lang w:eastAsia="zh-CN"/>
        </w:rPr>
        <w:t>比</w:t>
      </w:r>
      <w:r>
        <w:rPr>
          <w:rStyle w:val="35"/>
          <w:rFonts w:hint="eastAsia"/>
          <w:color w:val="000000"/>
          <w:u w:val="none"/>
          <w:lang w:val="en-US" w:eastAsia="zh-CN"/>
        </w:rPr>
        <w:t>价</w:t>
      </w:r>
      <w:r>
        <w:rPr>
          <w:rStyle w:val="35"/>
          <w:rFonts w:hint="eastAsia"/>
          <w:color w:val="000000"/>
          <w:u w:val="none"/>
        </w:rPr>
        <w:t>流程……………………………………………………………………</w:t>
      </w:r>
      <w:r>
        <w:rPr>
          <w:rStyle w:val="35"/>
          <w:rFonts w:hint="eastAsia"/>
          <w:color w:val="000000"/>
          <w:u w:val="none"/>
        </w:rPr>
        <w:fldChar w:fldCharType="end"/>
      </w:r>
      <w:r>
        <w:rPr>
          <w:rStyle w:val="35"/>
          <w:rFonts w:hint="eastAsia"/>
          <w:color w:val="000000"/>
          <w:u w:val="none"/>
        </w:rPr>
        <w:t>6</w:t>
      </w:r>
    </w:p>
    <w:p>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六、关于商务和技术偏离………………………………………………………………7</w:t>
      </w:r>
    </w:p>
    <w:p>
      <w:pPr>
        <w:pStyle w:val="53"/>
        <w:adjustRightInd w:val="0"/>
        <w:snapToGrid w:val="0"/>
        <w:spacing w:line="360" w:lineRule="auto"/>
        <w:ind w:left="420"/>
        <w:jc w:val="distribute"/>
        <w:rPr>
          <w:rFonts w:hint="default" w:eastAsia="宋体"/>
          <w:color w:val="000000"/>
          <w:lang w:val="en-US" w:eastAsia="zh-CN"/>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rFonts w:hint="eastAsia"/>
          <w:color w:val="000000"/>
          <w:u w:val="none"/>
          <w:lang w:val="en-US" w:eastAsia="zh-CN"/>
        </w:rPr>
        <w:t>8</w:t>
      </w:r>
    </w:p>
    <w:p>
      <w:pPr>
        <w:pStyle w:val="53"/>
        <w:adjustRightInd w:val="0"/>
        <w:snapToGrid w:val="0"/>
        <w:spacing w:line="360" w:lineRule="auto"/>
        <w:jc w:val="distribute"/>
        <w:rPr>
          <w:rFonts w:hint="eastAsia"/>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rPr>
          <w:rStyle w:val="35"/>
          <w:rFonts w:hint="eastAsia"/>
          <w:b/>
          <w:bCs/>
          <w:color w:val="000000"/>
          <w:u w:val="none"/>
        </w:rPr>
        <w:t>9</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22</w:t>
      </w:r>
    </w:p>
    <w:p>
      <w:pPr>
        <w:pStyle w:val="53"/>
        <w:adjustRightInd w:val="0"/>
        <w:snapToGrid w:val="0"/>
        <w:spacing w:line="360" w:lineRule="auto"/>
        <w:ind w:left="420"/>
        <w:jc w:val="distribute"/>
        <w:rPr>
          <w:rFonts w:hint="default"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23</w:t>
      </w:r>
    </w:p>
    <w:p>
      <w:pPr>
        <w:pStyle w:val="53"/>
        <w:adjustRightInd w:val="0"/>
        <w:snapToGrid w:val="0"/>
        <w:spacing w:line="360" w:lineRule="auto"/>
        <w:ind w:left="420"/>
        <w:rPr>
          <w:rFonts w:hint="default" w:eastAsia="宋体"/>
          <w:color w:val="000000"/>
          <w:lang w:val="en-US" w:eastAsia="zh-CN"/>
        </w:rPr>
      </w:pPr>
      <w:r>
        <w:rPr>
          <w:rFonts w:hint="eastAsia"/>
          <w:color w:val="000000"/>
        </w:rPr>
        <w:t>3.2</w:t>
      </w:r>
      <w:r>
        <w:rPr>
          <w:rStyle w:val="35"/>
          <w:rFonts w:hint="eastAsia" w:ascii="Times New Roman" w:hAnsi="Times New Roman" w:cs="Times New Roman"/>
          <w:color w:val="000000"/>
          <w:u w:val="none"/>
        </w:rPr>
        <w:t>法人营业执照（复印件）</w:t>
      </w:r>
      <w:r>
        <w:rPr>
          <w:rFonts w:hint="eastAsia"/>
          <w:color w:val="000000"/>
        </w:rPr>
        <w:t>…………………………………………………………………</w:t>
      </w:r>
      <w:r>
        <w:rPr>
          <w:rFonts w:hint="eastAsia"/>
          <w:color w:val="000000"/>
          <w:lang w:val="en-US" w:eastAsia="zh-CN"/>
        </w:rPr>
        <w:t>24</w:t>
      </w:r>
    </w:p>
    <w:p>
      <w:pPr>
        <w:pStyle w:val="53"/>
        <w:adjustRightInd w:val="0"/>
        <w:snapToGrid w:val="0"/>
        <w:spacing w:line="360" w:lineRule="auto"/>
        <w:ind w:left="420"/>
        <w:rPr>
          <w:rFonts w:hint="default" w:eastAsia="宋体"/>
          <w:color w:val="000000"/>
          <w:lang w:val="en-US" w:eastAsia="zh-CN"/>
        </w:rPr>
      </w:pPr>
      <w:r>
        <w:rPr>
          <w:rFonts w:hint="eastAsia"/>
          <w:color w:val="000000"/>
        </w:rPr>
        <w:t>3.3</w:t>
      </w:r>
      <w:r>
        <w:rPr>
          <w:color w:val="000000"/>
        </w:rPr>
        <w:t xml:space="preserve"> </w:t>
      </w:r>
      <w:r>
        <w:rPr>
          <w:rFonts w:hint="eastAsia"/>
          <w:color w:val="000000"/>
        </w:rPr>
        <w:t>提供书面声明函……………………………………………………………………………</w:t>
      </w:r>
      <w:r>
        <w:rPr>
          <w:rFonts w:hint="eastAsia"/>
          <w:color w:val="000000"/>
          <w:lang w:val="en-US" w:eastAsia="zh-CN"/>
        </w:rPr>
        <w:t>24</w:t>
      </w:r>
    </w:p>
    <w:p>
      <w:pPr>
        <w:pStyle w:val="53"/>
        <w:adjustRightInd w:val="0"/>
        <w:snapToGrid w:val="0"/>
        <w:spacing w:line="360" w:lineRule="auto"/>
        <w:jc w:val="distribute"/>
        <w:rPr>
          <w:rFonts w:hint="default" w:eastAsia="宋体"/>
          <w:color w:val="000000"/>
          <w:lang w:val="en-US" w:eastAsia="zh-CN"/>
        </w:rPr>
      </w:pPr>
      <w:r>
        <w:rPr>
          <w:rFonts w:hint="eastAsia"/>
          <w:color w:val="000000"/>
        </w:rPr>
        <w:t xml:space="preserve">    3.4依法缴纳税收的相关材料…………………………………………………………………</w:t>
      </w:r>
      <w:r>
        <w:rPr>
          <w:rFonts w:hint="eastAsia"/>
          <w:color w:val="000000"/>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3.5公司年度或前一年度经营业绩证明（资产负债表，利润表等）………………………</w:t>
      </w:r>
      <w:r>
        <w:rPr>
          <w:rFonts w:hint="eastAsia"/>
          <w:color w:val="000000"/>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3.6供应商在“信用中国”“中国财政采购网”无不良记录截图等………………………</w:t>
      </w:r>
      <w:r>
        <w:rPr>
          <w:rFonts w:hint="eastAsia"/>
          <w:color w:val="000000"/>
          <w:lang w:val="en-US" w:eastAsia="zh-CN"/>
        </w:rPr>
        <w:t>25</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25</w:t>
      </w:r>
    </w:p>
    <w:p>
      <w:pPr>
        <w:pStyle w:val="53"/>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rFonts w:hint="eastAsia"/>
          <w:color w:val="000000"/>
          <w:u w:val="none"/>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47</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49</w:t>
      </w:r>
    </w:p>
    <w:p>
      <w:pPr>
        <w:pStyle w:val="53"/>
        <w:adjustRightInd w:val="0"/>
        <w:snapToGrid w:val="0"/>
        <w:spacing w:line="360" w:lineRule="auto"/>
        <w:ind w:left="3240" w:right="620" w:hanging="3240"/>
        <w:jc w:val="right"/>
        <w:rPr>
          <w:rFonts w:hint="eastAsia"/>
          <w:color w:val="000000"/>
        </w:rPr>
      </w:pPr>
    </w:p>
    <w:p>
      <w:pPr>
        <w:pStyle w:val="53"/>
        <w:adjustRightInd w:val="0"/>
        <w:snapToGrid w:val="0"/>
        <w:spacing w:line="360" w:lineRule="auto"/>
        <w:ind w:left="3240" w:right="620" w:hanging="3240"/>
        <w:jc w:val="right"/>
        <w:rPr>
          <w:rFonts w:hint="eastAsia"/>
          <w:color w:val="000000"/>
        </w:rPr>
      </w:pPr>
    </w:p>
    <w:p>
      <w:pPr>
        <w:pStyle w:val="53"/>
        <w:adjustRightInd w:val="0"/>
        <w:snapToGrid w:val="0"/>
        <w:spacing w:line="360" w:lineRule="auto"/>
        <w:ind w:left="3240" w:right="620" w:hanging="3240"/>
        <w:jc w:val="right"/>
        <w:rPr>
          <w:rFonts w:hint="eastAsia"/>
          <w:color w:val="000000"/>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widowControl/>
        <w:adjustRightInd w:val="0"/>
        <w:snapToGrid w:val="0"/>
        <w:spacing w:line="360" w:lineRule="auto"/>
        <w:ind w:left="3240" w:right="740" w:hanging="3240"/>
        <w:jc w:val="left"/>
        <w:rPr>
          <w:rFonts w:hint="eastAsia" w:ascii="宋体" w:hAnsi="宋体" w:cs="宋体"/>
          <w:b/>
          <w:bCs/>
          <w:kern w:val="0"/>
          <w:sz w:val="28"/>
          <w:szCs w:val="28"/>
        </w:rPr>
      </w:pPr>
    </w:p>
    <w:p>
      <w:pPr>
        <w:pStyle w:val="3"/>
        <w:numPr>
          <w:ilvl w:val="0"/>
          <w:numId w:val="0"/>
        </w:numPr>
        <w:adjustRightInd w:val="0"/>
        <w:snapToGrid w:val="0"/>
        <w:rPr>
          <w:rFonts w:hint="eastAsia"/>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cs="Arial" w:asciiTheme="minorEastAsia" w:hAnsiTheme="minorEastAsia" w:eastAsiaTheme="minorEastAsia"/>
          <w:sz w:val="24"/>
          <w:szCs w:val="24"/>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snapToGrid w:val="0"/>
        <w:spacing w:line="300" w:lineRule="auto"/>
        <w:ind w:right="420" w:firstLine="480" w:firstLineChars="200"/>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.参加此项采购活动最近三年没有出现违法违规或失信行为，没有骗取中标和严重违约的行为（如成立未满三年，则</w:t>
      </w:r>
      <w:r>
        <w:rPr>
          <w:rFonts w:hint="eastAsia" w:ascii="宋体" w:hAnsi="宋体" w:cs="宋体"/>
          <w:color w:val="000000" w:themeColor="text1"/>
          <w:kern w:val="0"/>
          <w:sz w:val="24"/>
          <w:szCs w:val="24"/>
          <w:lang w:val="en-US" w:eastAsia="zh-CN"/>
          <w14:textFill>
            <w14:solidFill>
              <w14:schemeClr w14:val="tx1"/>
            </w14:solidFill>
          </w14:textFill>
        </w:rPr>
        <w:t>需</w:t>
      </w:r>
      <w:r>
        <w:rPr>
          <w:rFonts w:hint="eastAsia" w:ascii="宋体" w:hAnsi="宋体" w:cs="宋体"/>
          <w:color w:val="000000" w:themeColor="text1"/>
          <w:kern w:val="0"/>
          <w:sz w:val="24"/>
          <w:szCs w:val="24"/>
          <w14:textFill>
            <w14:solidFill>
              <w14:schemeClr w14:val="tx1"/>
            </w14:solidFill>
          </w14:textFill>
        </w:rPr>
        <w:t>从成立之日起未出现违法违规或失信行为）；</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hint="eastAsia" w:ascii="Arial" w:hAnsi="Arial" w:cs="Arial"/>
          <w:sz w:val="24"/>
          <w:szCs w:val="24"/>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hint="eastAsia" w:ascii="Arial" w:hAnsi="Arial" w:cs="Arial"/>
          <w:sz w:val="24"/>
          <w:szCs w:val="24"/>
          <w:lang w:val="en-US" w:eastAsia="zh-CN"/>
        </w:rPr>
      </w:pP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lang w:val="en-US" w:eastAsia="zh-CN"/>
        </w:rPr>
        <w:t>该项目不得转包、分包。</w:t>
      </w:r>
    </w:p>
    <w:p>
      <w:pPr>
        <w:pStyle w:val="2"/>
        <w:rPr>
          <w:rFonts w:hint="eastAsia"/>
        </w:rPr>
      </w:pP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采购评审标准由项目报价、商务评审和服务评审三项标</w:t>
      </w:r>
      <w:r>
        <w:rPr>
          <w:rFonts w:hint="eastAsia" w:ascii="宋体" w:hAnsi="宋体" w:cs="宋体"/>
          <w:kern w:val="0"/>
          <w:sz w:val="28"/>
          <w:szCs w:val="28"/>
        </w:rPr>
        <w:t>准</w:t>
      </w:r>
      <w:r>
        <w:rPr>
          <w:rFonts w:hint="eastAsia" w:ascii="宋体" w:hAnsi="宋体" w:cs="宋体"/>
          <w:kern w:val="0"/>
          <w:sz w:val="24"/>
          <w:szCs w:val="24"/>
        </w:rPr>
        <w:t>构成，评审</w:t>
      </w:r>
      <w:r>
        <w:rPr>
          <w:rFonts w:ascii="宋体" w:hAnsi="宋体" w:cs="宋体"/>
          <w:kern w:val="0"/>
          <w:sz w:val="24"/>
          <w:szCs w:val="24"/>
        </w:rPr>
        <w:t>专家</w:t>
      </w:r>
      <w:r>
        <w:rPr>
          <w:rFonts w:hint="eastAsia" w:ascii="宋体" w:hAnsi="宋体" w:cs="宋体"/>
          <w:kern w:val="0"/>
          <w:sz w:val="24"/>
          <w:szCs w:val="24"/>
        </w:rPr>
        <w:t>将依据磋商</w:t>
      </w:r>
      <w:r>
        <w:rPr>
          <w:rFonts w:ascii="宋体" w:hAnsi="宋体" w:cs="宋体"/>
          <w:kern w:val="0"/>
          <w:sz w:val="24"/>
          <w:szCs w:val="24"/>
        </w:rPr>
        <w:t>邀请</w:t>
      </w:r>
      <w:r>
        <w:rPr>
          <w:rFonts w:hint="eastAsia" w:ascii="宋体" w:hAnsi="宋体" w:cs="宋体"/>
          <w:kern w:val="0"/>
          <w:sz w:val="24"/>
          <w:szCs w:val="24"/>
        </w:rPr>
        <w:t>文件要求，结合项目报价表、商务得分、服务评分等情况进行评分。各有效供应商的综合得分为各评审专家所评分值的算术平均值</w:t>
      </w:r>
      <w:r>
        <w:rPr>
          <w:rFonts w:hint="eastAsia" w:ascii="宋体" w:hAnsi="宋体" w:cs="宋体"/>
          <w:color w:val="000000" w:themeColor="text1"/>
          <w:kern w:val="0"/>
          <w:sz w:val="24"/>
          <w:szCs w:val="24"/>
          <w14:textFill>
            <w14:solidFill>
              <w14:schemeClr w14:val="tx1"/>
            </w14:solidFill>
          </w14:textFill>
        </w:rPr>
        <w:t>，若总得分相同，以价格得分高者排序在先。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widowControl/>
        <w:adjustRightInd w:val="0"/>
        <w:snapToGrid w:val="0"/>
        <w:spacing w:line="360" w:lineRule="auto"/>
        <w:jc w:val="center"/>
        <w:rPr>
          <w:rFonts w:ascii="黑体" w:eastAsia="黑体" w:cs="黑体"/>
          <w:color w:val="000000"/>
          <w:sz w:val="32"/>
          <w:szCs w:val="32"/>
          <w:lang w:bidi="ar"/>
        </w:rPr>
      </w:pPr>
    </w:p>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黑体" w:eastAsia="黑体" w:cs="黑体"/>
          <w:color w:val="000000"/>
          <w:sz w:val="32"/>
          <w:szCs w:val="32"/>
          <w:lang w:bidi="ar"/>
        </w:rPr>
        <w:t>“</w:t>
      </w:r>
      <w:r>
        <w:rPr>
          <w:rFonts w:hint="eastAsia" w:ascii="黑体" w:hAnsi="黑体" w:eastAsia="黑体"/>
          <w:sz w:val="32"/>
          <w:szCs w:val="32"/>
          <w:lang w:eastAsia="zh-CN"/>
        </w:rPr>
        <w:t>人保财险湖北省武汉市直属营销服务部车险家用车客户三者保额需求调查项</w:t>
      </w:r>
      <w:r>
        <w:rPr>
          <w:rFonts w:hint="eastAsia" w:ascii="黑体" w:eastAsia="黑体" w:cs="黑体"/>
          <w:color w:val="000000"/>
          <w:sz w:val="32"/>
          <w:szCs w:val="32"/>
          <w:lang w:bidi="ar"/>
        </w:rPr>
        <w:t>目供应商评分表</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项 目</w:t>
            </w:r>
          </w:p>
        </w:tc>
        <w:tc>
          <w:tcPr>
            <w:tcW w:w="6454"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u w:color="FF0000"/>
              </w:rPr>
              <w:t>评分内容</w:t>
            </w:r>
          </w:p>
        </w:tc>
        <w:tc>
          <w:tcPr>
            <w:tcW w:w="992"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0" w:hRule="atLeast"/>
          <w:jc w:val="center"/>
        </w:trPr>
        <w:tc>
          <w:tcPr>
            <w:tcW w:w="1323"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价格得分</w:t>
            </w:r>
            <w:r>
              <w:rPr>
                <w:rFonts w:hint="eastAsia" w:asciiTheme="minorEastAsia" w:hAnsiTheme="minorEastAsia" w:eastAsiaTheme="minorEastAsia"/>
                <w:kern w:val="0"/>
                <w:sz w:val="24"/>
              </w:rPr>
              <w:t>（50</w:t>
            </w:r>
            <w:r>
              <w:rPr>
                <w:rFonts w:asciiTheme="minorEastAsia" w:hAnsiTheme="minorEastAsia" w:eastAsiaTheme="minorEastAsia"/>
                <w:kern w:val="0"/>
                <w:sz w:val="24"/>
              </w:rPr>
              <w:t>）</w:t>
            </w:r>
          </w:p>
        </w:tc>
        <w:tc>
          <w:tcPr>
            <w:tcW w:w="6454" w:type="dxa"/>
            <w:vAlign w:val="center"/>
          </w:tcPr>
          <w:p>
            <w:pPr>
              <w:numPr>
                <w:ilvl w:val="0"/>
                <w:numId w:val="0"/>
              </w:numPr>
              <w:rPr>
                <w:rFonts w:hint="eastAsia" w:ascii="宋体" w:hAnsi="宋体" w:cs="宋体"/>
                <w:sz w:val="24"/>
                <w:szCs w:val="24"/>
              </w:rPr>
            </w:pPr>
            <w:r>
              <w:rPr>
                <w:rFonts w:hint="eastAsia" w:ascii="宋体" w:hAnsi="宋体" w:cs="宋体"/>
                <w:sz w:val="24"/>
                <w:szCs w:val="24"/>
              </w:rPr>
              <w:t>评分法中的价格分采用低价优先法计算</w:t>
            </w:r>
            <w:r>
              <w:rPr>
                <w:rFonts w:ascii="宋体" w:hAnsi="宋体" w:cs="宋体"/>
                <w:sz w:val="24"/>
                <w:szCs w:val="24"/>
              </w:rPr>
              <w:t>，即满足招标文件要求且最低的评审价格为评标基准价，等于评标基准价得50分。其他供应商的价格分统一按照下列公式计算，精确到小数点后两位：</w:t>
            </w:r>
            <w:r>
              <w:rPr>
                <w:rFonts w:ascii="宋体" w:hAnsi="宋体" w:cs="宋体"/>
                <w:sz w:val="24"/>
                <w:szCs w:val="24"/>
              </w:rPr>
              <w:br w:type="textWrapping"/>
            </w:r>
            <w:r>
              <w:rPr>
                <w:rFonts w:ascii="宋体" w:hAnsi="宋体" w:cs="宋体"/>
                <w:sz w:val="24"/>
                <w:szCs w:val="24"/>
              </w:rPr>
              <w:t>供应商报价得分＝（评标基准价/评审价格）×50；</w:t>
            </w:r>
            <w:r>
              <w:rPr>
                <w:rFonts w:ascii="宋体" w:hAnsi="宋体" w:cs="宋体"/>
                <w:sz w:val="24"/>
                <w:szCs w:val="24"/>
              </w:rPr>
              <w:br w:type="textWrapping"/>
            </w:r>
            <w:r>
              <w:rPr>
                <w:rFonts w:ascii="宋体" w:hAnsi="宋体" w:cs="宋体"/>
                <w:sz w:val="24"/>
                <w:szCs w:val="24"/>
              </w:rPr>
              <w:t>评审价格按照如下方式定义：</w:t>
            </w:r>
            <w:r>
              <w:rPr>
                <w:rFonts w:ascii="宋体" w:hAnsi="宋体" w:cs="宋体"/>
                <w:sz w:val="24"/>
                <w:szCs w:val="24"/>
              </w:rPr>
              <w:br w:type="textWrapping"/>
            </w:r>
            <w:r>
              <w:rPr>
                <w:rFonts w:ascii="宋体" w:hAnsi="宋体" w:cs="宋体"/>
                <w:sz w:val="24"/>
                <w:szCs w:val="24"/>
              </w:rPr>
              <w:t>对于承诺提供增值税专用发票的供应商，评审价格即不含税的投标总价净价；</w:t>
            </w:r>
            <w:r>
              <w:rPr>
                <w:rFonts w:ascii="宋体" w:hAnsi="宋体" w:cs="宋体"/>
                <w:sz w:val="24"/>
                <w:szCs w:val="24"/>
              </w:rPr>
              <w:br w:type="textWrapping"/>
            </w:r>
            <w:r>
              <w:rPr>
                <w:rFonts w:ascii="宋体" w:hAnsi="宋体" w:cs="宋体"/>
                <w:sz w:val="24"/>
                <w:szCs w:val="24"/>
              </w:rPr>
              <w:t>对于不能提供增值税专用发票的供应商，评审价格是含税的投标总价。</w:t>
            </w:r>
            <w:r>
              <w:rPr>
                <w:rFonts w:ascii="宋体" w:hAnsi="宋体" w:cs="宋体"/>
                <w:sz w:val="24"/>
                <w:szCs w:val="24"/>
              </w:rPr>
              <w:br w:type="textWrapping"/>
            </w:r>
          </w:p>
          <w:p>
            <w:pPr>
              <w:spacing w:line="320" w:lineRule="exact"/>
              <w:rPr>
                <w:rFonts w:hint="eastAsia" w:asciiTheme="minorEastAsia" w:hAnsiTheme="minorEastAsia" w:eastAsiaTheme="minorEastAsia"/>
                <w:snapToGrid w:val="0"/>
                <w:sz w:val="24"/>
              </w:rPr>
            </w:pPr>
          </w:p>
        </w:tc>
        <w:tc>
          <w:tcPr>
            <w:tcW w:w="992"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二、商务评审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kern w:val="0"/>
                <w:sz w:val="24"/>
              </w:rPr>
            </w:pPr>
            <w:r>
              <w:rPr>
                <w:rFonts w:hint="eastAsia" w:asciiTheme="minorEastAsia" w:hAnsiTheme="minorEastAsia" w:eastAsiaTheme="minorEastAsia"/>
                <w:kern w:val="0"/>
                <w:sz w:val="24"/>
              </w:rPr>
              <w:t>商务</w:t>
            </w:r>
            <w:r>
              <w:rPr>
                <w:rFonts w:asciiTheme="minorEastAsia" w:hAnsiTheme="minorEastAsia" w:eastAsiaTheme="minorEastAsia"/>
                <w:kern w:val="0"/>
                <w:sz w:val="24"/>
              </w:rPr>
              <w:t>得分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rPr>
              <w:t>（</w:t>
            </w:r>
            <w:r>
              <w:rPr>
                <w:rFonts w:hint="eastAsia" w:asciiTheme="minorEastAsia" w:hAnsiTheme="minorEastAsia" w:eastAsiaTheme="minorEastAsia"/>
                <w:kern w:val="0"/>
                <w:sz w:val="24"/>
                <w:lang w:val="en-US" w:eastAsia="zh-CN"/>
              </w:rPr>
              <w:t>5</w:t>
            </w:r>
            <w:r>
              <w:rPr>
                <w:rFonts w:asciiTheme="minorEastAsia" w:hAnsiTheme="minorEastAsia" w:eastAsiaTheme="minorEastAsia"/>
                <w:kern w:val="0"/>
                <w:sz w:val="24"/>
              </w:rPr>
              <w:t>）</w:t>
            </w:r>
          </w:p>
        </w:tc>
        <w:tc>
          <w:tcPr>
            <w:tcW w:w="6454" w:type="dxa"/>
            <w:vAlign w:val="center"/>
          </w:tcPr>
          <w:p>
            <w:pPr>
              <w:spacing w:line="320" w:lineRule="exact"/>
              <w:rPr>
                <w:rFonts w:hint="eastAsia" w:asciiTheme="minorEastAsia" w:hAnsiTheme="minorEastAsia" w:eastAsiaTheme="minorEastAsia"/>
                <w:kern w:val="0"/>
                <w:sz w:val="24"/>
                <w:lang w:eastAsia="zh-CN"/>
              </w:rPr>
            </w:pPr>
            <w:r>
              <w:rPr>
                <w:rFonts w:hint="eastAsia" w:cs="Arial" w:asciiTheme="minorEastAsia" w:hAnsiTheme="minorEastAsia" w:eastAsiaTheme="minorEastAsia"/>
                <w:sz w:val="24"/>
              </w:rPr>
              <w:t>公司实力：</w:t>
            </w:r>
            <w:r>
              <w:rPr>
                <w:rFonts w:hint="eastAsia" w:ascii="宋体" w:hAnsi="宋体" w:eastAsia="宋体" w:cs="宋体"/>
                <w:sz w:val="24"/>
                <w:szCs w:val="24"/>
              </w:rPr>
              <w:t xml:space="preserve"> 根据投标供应商的企业信誉状况、管理体系认证</w:t>
            </w:r>
            <w:r>
              <w:rPr>
                <w:rFonts w:hint="eastAsia" w:ascii="宋体" w:hAnsi="宋体" w:cs="宋体"/>
                <w:sz w:val="24"/>
                <w:szCs w:val="24"/>
                <w:lang w:val="en-US" w:eastAsia="zh-CN"/>
              </w:rPr>
              <w:t>(</w:t>
            </w:r>
            <w:r>
              <w:rPr>
                <w:rFonts w:hint="eastAsia" w:ascii="宋体" w:hAnsi="宋体" w:eastAsia="宋体" w:cs="宋体"/>
                <w:sz w:val="24"/>
                <w:szCs w:val="24"/>
              </w:rPr>
              <w:t>如有</w:t>
            </w:r>
            <w:r>
              <w:rPr>
                <w:rFonts w:hint="eastAsia" w:ascii="宋体" w:hAnsi="宋体" w:cs="宋体"/>
                <w:sz w:val="24"/>
                <w:szCs w:val="24"/>
                <w:lang w:val="en-US" w:eastAsia="zh-CN"/>
              </w:rPr>
              <w:t>)</w:t>
            </w:r>
            <w:r>
              <w:rPr>
                <w:rFonts w:hint="eastAsia" w:ascii="宋体" w:hAnsi="宋体" w:eastAsia="宋体" w:cs="宋体"/>
                <w:sz w:val="24"/>
                <w:szCs w:val="24"/>
              </w:rPr>
              <w:t>等情况进行横向比较评分，评价优得</w:t>
            </w:r>
            <w:r>
              <w:rPr>
                <w:rFonts w:hint="eastAsia" w:ascii="宋体" w:hAnsi="宋体" w:cs="宋体"/>
                <w:sz w:val="24"/>
                <w:szCs w:val="24"/>
                <w:lang w:val="en-US" w:eastAsia="zh-CN"/>
              </w:rPr>
              <w:t>5</w:t>
            </w:r>
            <w:r>
              <w:rPr>
                <w:rFonts w:hint="eastAsia" w:ascii="宋体" w:hAnsi="宋体" w:eastAsia="宋体" w:cs="宋体"/>
                <w:sz w:val="24"/>
                <w:szCs w:val="24"/>
              </w:rPr>
              <w:t xml:space="preserve"> 分，评价良得</w:t>
            </w:r>
            <w:r>
              <w:rPr>
                <w:rFonts w:hint="eastAsia" w:ascii="宋体" w:hAnsi="宋体" w:cs="宋体"/>
                <w:sz w:val="24"/>
                <w:szCs w:val="24"/>
                <w:lang w:val="en-US" w:eastAsia="zh-CN"/>
              </w:rPr>
              <w:t>3-4</w:t>
            </w:r>
            <w:r>
              <w:rPr>
                <w:rFonts w:hint="eastAsia" w:ascii="宋体" w:hAnsi="宋体" w:eastAsia="宋体" w:cs="宋体"/>
                <w:sz w:val="24"/>
                <w:szCs w:val="24"/>
              </w:rPr>
              <w:t>分;评价一般得 0-</w:t>
            </w:r>
            <w:r>
              <w:rPr>
                <w:rFonts w:hint="eastAsia" w:ascii="宋体" w:hAnsi="宋体" w:cs="宋体"/>
                <w:sz w:val="24"/>
                <w:szCs w:val="24"/>
                <w:lang w:val="en-US" w:eastAsia="zh-CN"/>
              </w:rPr>
              <w:t>2</w:t>
            </w:r>
            <w:r>
              <w:rPr>
                <w:rFonts w:hint="eastAsia" w:ascii="宋体" w:hAnsi="宋体" w:eastAsia="宋体" w:cs="宋体"/>
                <w:sz w:val="24"/>
                <w:szCs w:val="24"/>
              </w:rPr>
              <w:t xml:space="preserve"> 分。</w:t>
            </w: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lang w:eastAsia="zh-CN"/>
              </w:rPr>
            </w:pPr>
            <w:r>
              <w:rPr>
                <w:rFonts w:hint="eastAsia" w:cs="Arial" w:asciiTheme="minorEastAsia" w:hAnsiTheme="minorEastAsia" w:eastAsiaTheme="minor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shd w:val="clear" w:color="auto" w:fill="auto"/>
            <w:vAlign w:val="center"/>
          </w:tcPr>
          <w:p>
            <w:pPr>
              <w:widowControl/>
              <w:snapToGrid w:val="0"/>
              <w:spacing w:line="320" w:lineRule="exact"/>
              <w:jc w:val="left"/>
              <w:rPr>
                <w:rFonts w:hint="eastAsia" w:asciiTheme="minorEastAsia" w:hAnsiTheme="minorEastAsia" w:eastAsiaTheme="minorEastAsia"/>
                <w:kern w:val="0"/>
                <w:sz w:val="24"/>
                <w:u w:color="FF0000"/>
              </w:rPr>
            </w:pPr>
            <w:r>
              <w:rPr>
                <w:rFonts w:hint="eastAsia" w:asciiTheme="minorEastAsia" w:hAnsiTheme="minorEastAsia" w:eastAsiaTheme="minorEastAsia"/>
                <w:b/>
                <w:kern w:val="0"/>
                <w:sz w:val="24"/>
              </w:rPr>
              <w:t>三、服务评审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1323" w:type="dxa"/>
            <w:vMerge w:val="restart"/>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服务</w:t>
            </w:r>
            <w:r>
              <w:rPr>
                <w:rFonts w:asciiTheme="minorEastAsia" w:hAnsiTheme="minorEastAsia" w:eastAsiaTheme="minorEastAsia"/>
                <w:kern w:val="0"/>
                <w:sz w:val="24"/>
                <w:u w:color="FF0000"/>
              </w:rPr>
              <w:t>评分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（4</w:t>
            </w:r>
            <w:r>
              <w:rPr>
                <w:rFonts w:hint="eastAsia" w:asciiTheme="minorEastAsia" w:hAnsiTheme="minorEastAsia" w:eastAsiaTheme="minorEastAsia"/>
                <w:kern w:val="0"/>
                <w:sz w:val="24"/>
                <w:u w:color="FF0000"/>
                <w:lang w:val="en-US" w:eastAsia="zh-CN"/>
              </w:rPr>
              <w:t>5</w:t>
            </w:r>
            <w:r>
              <w:rPr>
                <w:rFonts w:asciiTheme="minorEastAsia" w:hAnsiTheme="minorEastAsia" w:eastAsiaTheme="minorEastAsia"/>
                <w:kern w:val="0"/>
                <w:sz w:val="24"/>
                <w:u w:color="FF0000"/>
              </w:rPr>
              <w:t>）</w:t>
            </w: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现场陈述：根据供应商现场方案陈述的</w:t>
            </w:r>
            <w:r>
              <w:rPr>
                <w:rFonts w:hint="eastAsia" w:cs="Arial" w:asciiTheme="minorEastAsia" w:hAnsiTheme="minorEastAsia" w:eastAsiaTheme="minorEastAsia"/>
                <w:sz w:val="24"/>
              </w:rPr>
              <w:t>人员配备情况，工作开展思路</w:t>
            </w:r>
            <w:r>
              <w:rPr>
                <w:rFonts w:hint="eastAsia" w:cs="Arial" w:asciiTheme="minorEastAsia" w:hAnsiTheme="minorEastAsia" w:eastAsiaTheme="minorEastAsia"/>
                <w:sz w:val="24"/>
                <w:lang w:val="en-US" w:eastAsia="zh-CN"/>
              </w:rPr>
              <w:t>的全面性</w:t>
            </w:r>
            <w:r>
              <w:rPr>
                <w:rFonts w:hint="eastAsia" w:cs="Arial" w:asciiTheme="minorEastAsia" w:hAnsiTheme="minorEastAsia" w:eastAsiaTheme="minorEastAsia"/>
                <w:sz w:val="24"/>
              </w:rPr>
              <w:t>、</w:t>
            </w:r>
            <w:r>
              <w:rPr>
                <w:rFonts w:hint="eastAsia" w:cs="Arial" w:asciiTheme="minorEastAsia" w:hAnsiTheme="minorEastAsia" w:eastAsiaTheme="minorEastAsia"/>
                <w:sz w:val="24"/>
                <w:lang w:val="en-US" w:eastAsia="zh-CN"/>
              </w:rPr>
              <w:t>方案的</w:t>
            </w:r>
            <w:r>
              <w:rPr>
                <w:rFonts w:hint="eastAsia" w:cs="Arial" w:asciiTheme="minorEastAsia" w:hAnsiTheme="minorEastAsia" w:eastAsiaTheme="minorEastAsia"/>
                <w:sz w:val="24"/>
              </w:rPr>
              <w:t>完整性、表达的清晰度等具体情况、方式等方面</w:t>
            </w:r>
            <w:r>
              <w:rPr>
                <w:rFonts w:hint="eastAsia" w:cs="Arial" w:asciiTheme="minorEastAsia" w:hAnsiTheme="minorEastAsia" w:eastAsiaTheme="minorEastAsia"/>
                <w:kern w:val="0"/>
                <w:sz w:val="24"/>
              </w:rPr>
              <w:t>打分。优11-15分，良6-10分，一般0-5分。</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服务方案：根据投标人针对本项目制定的服务方案完整性、全面性、对需求响应的契合度等方面的理解程度及解决办法、服务计划、应急方案等方面进行综合评审。优良11-15分，较好6-10分，一般0-5分    </w:t>
            </w:r>
          </w:p>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23" w:type="dxa"/>
            <w:vMerge w:val="continue"/>
            <w:shd w:val="clear" w:color="auto" w:fill="auto"/>
            <w:vAlign w:val="center"/>
          </w:tcPr>
          <w:p>
            <w:pPr>
              <w:widowControl/>
              <w:snapToGrid w:val="0"/>
              <w:spacing w:line="320" w:lineRule="exact"/>
              <w:jc w:val="center"/>
            </w:pPr>
          </w:p>
        </w:tc>
        <w:tc>
          <w:tcPr>
            <w:tcW w:w="6454" w:type="dxa"/>
            <w:vAlign w:val="center"/>
          </w:tcPr>
          <w:p>
            <w:pPr>
              <w:widowControl/>
              <w:snapToGrid w:val="0"/>
              <w:spacing w:line="320" w:lineRule="exact"/>
              <w:jc w:val="center"/>
              <w:rPr>
                <w:rFonts w:hint="eastAsia" w:cs="Arial" w:asciiTheme="minorEastAsia" w:hAnsiTheme="minorEastAsia" w:eastAsiaTheme="minorEastAsia"/>
                <w:kern w:val="0"/>
                <w:sz w:val="24"/>
              </w:rPr>
            </w:pPr>
            <w:r>
              <w:rPr>
                <w:rFonts w:hint="eastAsia" w:asciiTheme="minorEastAsia" w:hAnsiTheme="minorEastAsia" w:eastAsiaTheme="minorEastAsia"/>
                <w:snapToGrid w:val="0"/>
                <w:sz w:val="24"/>
              </w:rPr>
              <w:t>文件规范性：根据供应商提供文件的规范性、完整性等具体情况，进行综合考评。资料齐全完整规范得1</w:t>
            </w:r>
            <w:r>
              <w:rPr>
                <w:rFonts w:hint="eastAsia" w:asciiTheme="minorEastAsia" w:hAnsiTheme="minorEastAsia" w:eastAsiaTheme="minorEastAsia"/>
                <w:snapToGrid w:val="0"/>
                <w:sz w:val="24"/>
                <w:lang w:val="en-US" w:eastAsia="zh-CN"/>
              </w:rPr>
              <w:t>1-15</w:t>
            </w:r>
            <w:r>
              <w:rPr>
                <w:rFonts w:hint="eastAsia" w:asciiTheme="minorEastAsia" w:hAnsiTheme="minorEastAsia" w:eastAsiaTheme="minorEastAsia"/>
                <w:snapToGrid w:val="0"/>
                <w:sz w:val="24"/>
              </w:rPr>
              <w:t>分；合格得</w:t>
            </w:r>
            <w:r>
              <w:rPr>
                <w:rFonts w:hint="eastAsia" w:asciiTheme="minorEastAsia" w:hAnsiTheme="minorEastAsia" w:eastAsiaTheme="minorEastAsia"/>
                <w:snapToGrid w:val="0"/>
                <w:sz w:val="24"/>
                <w:lang w:val="en-US" w:eastAsia="zh-CN"/>
              </w:rPr>
              <w:t>6-10</w:t>
            </w:r>
            <w:r>
              <w:rPr>
                <w:rFonts w:hint="eastAsia" w:asciiTheme="minorEastAsia" w:hAnsiTheme="minorEastAsia" w:eastAsiaTheme="minorEastAsia"/>
                <w:snapToGrid w:val="0"/>
                <w:sz w:val="24"/>
              </w:rPr>
              <w:t>分；一般得</w:t>
            </w:r>
            <w:r>
              <w:rPr>
                <w:rFonts w:hint="eastAsia" w:asciiTheme="minorEastAsia" w:hAnsiTheme="minorEastAsia" w:eastAsiaTheme="minorEastAsia"/>
                <w:snapToGrid w:val="0"/>
                <w:sz w:val="24"/>
                <w:lang w:val="en-US" w:eastAsia="zh-CN"/>
              </w:rPr>
              <w:t>0-5</w:t>
            </w:r>
            <w:r>
              <w:rPr>
                <w:rFonts w:hint="eastAsia" w:asciiTheme="minorEastAsia" w:hAnsiTheme="minorEastAsia" w:eastAsiaTheme="minorEastAsia"/>
                <w:snapToGrid w:val="0"/>
                <w:sz w:val="24"/>
              </w:rPr>
              <w:t>分；不规范不得分。</w:t>
            </w:r>
          </w:p>
        </w:tc>
        <w:tc>
          <w:tcPr>
            <w:tcW w:w="992" w:type="dxa"/>
            <w:vAlign w:val="center"/>
          </w:tcPr>
          <w:p>
            <w:pPr>
              <w:widowControl/>
              <w:snapToGrid w:val="0"/>
              <w:spacing w:line="320" w:lineRule="exact"/>
              <w:jc w:val="center"/>
              <w:rPr>
                <w:rFonts w:hint="eastAsia" w:cs="Arial" w:asciiTheme="minorEastAsia" w:hAnsiTheme="minorEastAsia" w:eastAsiaTheme="minorEastAsia"/>
                <w:kern w:val="0"/>
                <w:sz w:val="24"/>
                <w:lang w:eastAsia="zh-CN"/>
              </w:rPr>
            </w:pPr>
            <w:r>
              <w:rPr>
                <w:rFonts w:hint="eastAsia" w:cs="Arial" w:asciiTheme="minorEastAsia" w:hAnsiTheme="minorEastAsia" w:eastAsiaTheme="minorEastAsia"/>
                <w:kern w:val="0"/>
                <w:sz w:val="24"/>
              </w:rPr>
              <w:t>1</w:t>
            </w:r>
            <w:r>
              <w:rPr>
                <w:rFonts w:hint="eastAsia" w:cs="Arial" w:asciiTheme="minorEastAsia" w:hAnsiTheme="minorEastAsia" w:eastAsiaTheme="minorEastAsia"/>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hint="eastAsia" w:asciiTheme="minorEastAsia" w:hAnsiTheme="minorEastAsia" w:eastAsiaTheme="minorEastAsia"/>
                <w:b/>
                <w:snapToGrid w:val="0"/>
                <w:sz w:val="24"/>
              </w:rPr>
            </w:pPr>
            <w:r>
              <w:rPr>
                <w:rFonts w:hint="eastAsia" w:asciiTheme="minorEastAsia" w:hAnsiTheme="minorEastAsia" w:eastAsiaTheme="minorEastAsia"/>
                <w:b/>
                <w:snapToGrid w:val="0"/>
                <w:sz w:val="24"/>
              </w:rPr>
              <w:t>合计</w:t>
            </w:r>
          </w:p>
        </w:tc>
        <w:tc>
          <w:tcPr>
            <w:tcW w:w="992" w:type="dxa"/>
            <w:vAlign w:val="center"/>
          </w:tcPr>
          <w:p>
            <w:pPr>
              <w:widowControl/>
              <w:snapToGrid w:val="0"/>
              <w:spacing w:line="320" w:lineRule="exact"/>
              <w:jc w:val="center"/>
              <w:rPr>
                <w:rFonts w:hint="eastAsia" w:asciiTheme="minorEastAsia" w:hAnsiTheme="minorEastAsia" w:eastAsiaTheme="minorEastAsia"/>
                <w:b/>
                <w:kern w:val="0"/>
                <w:sz w:val="24"/>
                <w:u w:color="FF0000"/>
              </w:rPr>
            </w:pPr>
            <w:r>
              <w:rPr>
                <w:rFonts w:hint="eastAsia" w:asciiTheme="minorEastAsia" w:hAnsiTheme="minorEastAsia" w:eastAsiaTheme="minorEastAsia"/>
                <w:b/>
                <w:kern w:val="0"/>
                <w:sz w:val="24"/>
                <w:u w:color="FF0000"/>
              </w:rPr>
              <w:t>100</w:t>
            </w:r>
          </w:p>
        </w:tc>
      </w:tr>
    </w:tbl>
    <w:p/>
    <w:p>
      <w:pPr>
        <w:pStyle w:val="4"/>
        <w:numPr>
          <w:ilvl w:val="0"/>
          <w:numId w:val="0"/>
        </w:numPr>
        <w:adjustRightInd w:val="0"/>
        <w:snapToGrid w:val="0"/>
        <w:spacing w:before="0" w:after="0" w:line="360" w:lineRule="auto"/>
        <w:rPr>
          <w:sz w:val="24"/>
          <w:szCs w:val="24"/>
        </w:rPr>
      </w:pPr>
      <w:r>
        <w:rPr>
          <w:rFonts w:hint="eastAsia"/>
          <w:sz w:val="24"/>
          <w:szCs w:val="24"/>
        </w:rPr>
        <w:t>三、响应文件要求</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参加谈判的公司应按一式5份（正本1份，副本4份）准备纸质谈判文件。谈判资料按以下顺序构成，包含但不限于以下内容：</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（一）</w:t>
      </w:r>
      <w:r>
        <w:rPr>
          <w:rFonts w:hint="eastAsia" w:asciiTheme="majorEastAsia" w:hAnsiTheme="majorEastAsia" w:eastAsiaTheme="majorEastAsia"/>
          <w:spacing w:val="-3"/>
          <w:sz w:val="24"/>
          <w:szCs w:val="24"/>
        </w:rPr>
        <w:t>供应商承诺与声明；</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（二）法定代表人授权委托书；</w:t>
      </w:r>
    </w:p>
    <w:p>
      <w:pPr>
        <w:spacing w:line="600" w:lineRule="exact"/>
        <w:ind w:left="105" w:leftChars="50" w:right="105" w:rightChars="50"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（三）公司营业执照复印件；</w:t>
      </w:r>
    </w:p>
    <w:p>
      <w:pPr>
        <w:spacing w:line="600" w:lineRule="exact"/>
        <w:ind w:left="105" w:leftChars="50" w:right="105" w:rightChars="50" w:firstLine="468" w:firstLineChars="200"/>
        <w:rPr>
          <w:rFonts w:hint="eastAsia" w:asciiTheme="majorEastAsia" w:hAnsiTheme="majorEastAsia" w:eastAsiaTheme="majorEastAsia"/>
          <w:sz w:val="24"/>
          <w:szCs w:val="24"/>
        </w:rPr>
      </w:pPr>
      <w:r>
        <w:rPr>
          <w:rFonts w:hint="eastAsia" w:asciiTheme="majorEastAsia" w:hAnsiTheme="majorEastAsia" w:eastAsiaTheme="majorEastAsia"/>
          <w:spacing w:val="-3"/>
          <w:sz w:val="24"/>
          <w:szCs w:val="24"/>
        </w:rPr>
        <w:t>（四）报价单；</w:t>
      </w:r>
    </w:p>
    <w:p>
      <w:pPr>
        <w:spacing w:line="600" w:lineRule="exact"/>
        <w:ind w:left="105" w:leftChars="50" w:right="105" w:rightChars="50" w:firstLine="468" w:firstLineChars="200"/>
        <w:rPr>
          <w:rFonts w:hint="eastAsia" w:asciiTheme="majorEastAsia" w:hAnsiTheme="majorEastAsia" w:eastAsiaTheme="majorEastAsia"/>
          <w:sz w:val="24"/>
          <w:szCs w:val="24"/>
        </w:rPr>
      </w:pPr>
      <w:r>
        <w:rPr>
          <w:rFonts w:hint="eastAsia" w:asciiTheme="majorEastAsia" w:hAnsiTheme="majorEastAsia" w:eastAsiaTheme="majorEastAsia"/>
          <w:spacing w:val="-3"/>
          <w:sz w:val="24"/>
          <w:szCs w:val="24"/>
        </w:rPr>
        <w:t>（五）其它所需提供材料详见评审标准的有关要求。</w:t>
      </w:r>
    </w:p>
    <w:p>
      <w:pPr>
        <w:widowControl/>
        <w:adjustRightInd w:val="0"/>
        <w:snapToGrid w:val="0"/>
        <w:spacing w:line="360" w:lineRule="auto"/>
        <w:ind w:firstLine="480"/>
        <w:rPr>
          <w:rFonts w:hint="eastAsia" w:cs="宋体" w:asciiTheme="majorEastAsia" w:hAnsiTheme="majorEastAsia" w:eastAsiaTheme="majorEastAsia"/>
          <w:color w:val="000000" w:themeColor="text1"/>
          <w:kern w:val="0"/>
          <w:sz w:val="24"/>
          <w:szCs w:val="24"/>
          <w14:textFill>
            <w14:solidFill>
              <w14:schemeClr w14:val="tx1"/>
            </w14:solidFill>
          </w14:textFill>
        </w:rPr>
      </w:pPr>
      <w:r>
        <w:rPr>
          <w:rFonts w:hint="eastAsia" w:asciiTheme="majorEastAsia" w:hAnsiTheme="majorEastAsia" w:eastAsiaTheme="majorEastAsia"/>
          <w:sz w:val="24"/>
          <w:szCs w:val="24"/>
        </w:rPr>
        <w:t>以上文件正本需加盖公司公章</w:t>
      </w:r>
    </w:p>
    <w:p>
      <w:pPr>
        <w:widowControl/>
        <w:adjustRightInd w:val="0"/>
        <w:snapToGrid w:val="0"/>
        <w:spacing w:line="360" w:lineRule="auto"/>
        <w:ind w:firstLine="480"/>
        <w:rPr>
          <w:rFonts w:hint="eastAsia" w:cs="宋体" w:asciiTheme="majorEastAsia" w:hAnsiTheme="majorEastAsia" w:eastAsiaTheme="majorEastAsia"/>
          <w:kern w:val="0"/>
          <w:sz w:val="24"/>
          <w:szCs w:val="24"/>
        </w:rPr>
      </w:pPr>
      <w:r>
        <w:rPr>
          <w:rFonts w:hint="eastAsia" w:cs="宋体" w:asciiTheme="majorEastAsia" w:hAnsiTheme="majorEastAsia" w:eastAsiaTheme="majorEastAsia"/>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hint="eastAsia"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hint="eastAsia"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hint="eastAsia"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hint="eastAsia"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spacing w:line="600" w:lineRule="exact"/>
        <w:ind w:left="105" w:leftChars="50" w:right="105" w:rightChars="50" w:firstLine="480" w:firstLineChars="200"/>
        <w:rPr>
          <w:rFonts w:hint="default" w:asciiTheme="minorEastAsia" w:hAnsiTheme="minorEastAsia" w:eastAsiaTheme="minorEastAsia"/>
          <w:sz w:val="24"/>
          <w:szCs w:val="24"/>
          <w:lang w:val="en-US" w:eastAsia="zh-CN"/>
        </w:rPr>
      </w:pPr>
      <w:bookmarkStart w:id="0" w:name="OLE_LINK3"/>
      <w:bookmarkEnd w:id="0"/>
      <w:bookmarkStart w:id="1" w:name="OLE_LINK4"/>
      <w:bookmarkEnd w:id="1"/>
      <w:r>
        <w:rPr>
          <w:rFonts w:hint="eastAsia" w:asciiTheme="minorEastAsia" w:hAnsiTheme="minorEastAsia" w:eastAsiaTheme="minorEastAsia"/>
          <w:sz w:val="24"/>
          <w:szCs w:val="24"/>
        </w:rPr>
        <w:t xml:space="preserve">谈判时间：    </w:t>
      </w:r>
      <w:r>
        <w:rPr>
          <w:rFonts w:hint="eastAsia" w:asciiTheme="minorEastAsia" w:hAnsiTheme="minorEastAsia" w:eastAsiaTheme="minorEastAsia"/>
          <w:sz w:val="24"/>
          <w:szCs w:val="24"/>
          <w:lang w:val="en-US" w:eastAsia="zh-CN"/>
        </w:rPr>
        <w:t>2026年 6月 10日  上午10：00</w:t>
      </w:r>
    </w:p>
    <w:p>
      <w:pPr>
        <w:spacing w:line="600" w:lineRule="exact"/>
        <w:ind w:left="105" w:leftChars="50" w:right="105" w:rightChars="50"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谈判地点：</w:t>
      </w:r>
      <w:r>
        <w:rPr>
          <w:rFonts w:hint="eastAsia"/>
          <w:sz w:val="28"/>
          <w:szCs w:val="28"/>
        </w:rPr>
        <w:t>湖北省武汉市江岸区黄浦大街260号丝宝国际大厦4楼会议室。</w:t>
      </w:r>
    </w:p>
    <w:p>
      <w:pPr>
        <w:spacing w:line="600" w:lineRule="exact"/>
        <w:ind w:left="105" w:leftChars="50" w:right="105" w:rightChars="50" w:firstLine="480" w:firstLineChars="200"/>
        <w:rPr>
          <w:rFonts w:hint="eastAsia" w:asciiTheme="minorEastAsia" w:hAnsiTheme="minorEastAsia" w:eastAsiaTheme="minorEastAsia"/>
          <w:color w:val="2F5597" w:themeColor="accent5" w:themeShade="BF"/>
          <w:sz w:val="24"/>
          <w:szCs w:val="24"/>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w:t>
      </w:r>
      <w:r>
        <w:rPr>
          <w:rFonts w:hint="eastAsia"/>
          <w:sz w:val="24"/>
          <w:szCs w:val="24"/>
          <w:lang w:val="en-US" w:eastAsia="zh-CN"/>
        </w:rPr>
        <w:t>价</w:t>
      </w:r>
      <w:r>
        <w:rPr>
          <w:rFonts w:hint="eastAsia"/>
          <w:sz w:val="24"/>
          <w:szCs w:val="24"/>
        </w:rPr>
        <w:t>流程说明</w:t>
      </w:r>
    </w:p>
    <w:p>
      <w:pPr>
        <w:widowControl/>
        <w:adjustRightInd w:val="0"/>
        <w:snapToGrid w:val="0"/>
        <w:spacing w:line="360" w:lineRule="auto"/>
        <w:ind w:firstLine="482"/>
        <w:rPr>
          <w:rFonts w:hint="eastAsia"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w:t>
      </w:r>
      <w:r>
        <w:rPr>
          <w:rFonts w:hint="eastAsia" w:ascii="宋体" w:hAnsi="宋体" w:cs="宋体"/>
          <w:kern w:val="0"/>
          <w:sz w:val="24"/>
          <w:szCs w:val="24"/>
          <w:lang w:val="en-US" w:eastAsia="zh-CN"/>
        </w:rPr>
        <w:t>项目</w:t>
      </w:r>
      <w:r>
        <w:rPr>
          <w:rFonts w:hint="eastAsia" w:ascii="宋体" w:hAnsi="宋体" w:cs="宋体"/>
          <w:kern w:val="0"/>
          <w:sz w:val="24"/>
          <w:szCs w:val="24"/>
        </w:rPr>
        <w:t>报价（为附件2</w:t>
      </w:r>
      <w:r>
        <w:rPr>
          <w:rFonts w:ascii="宋体" w:hAnsi="宋体" w:cs="宋体"/>
          <w:kern w:val="0"/>
          <w:sz w:val="24"/>
          <w:szCs w:val="24"/>
        </w:rPr>
        <w:t>.4</w:t>
      </w:r>
      <w:r>
        <w:rPr>
          <w:rFonts w:hint="eastAsia" w:ascii="宋体" w:hAnsi="宋体" w:cs="宋体"/>
          <w:kern w:val="0"/>
          <w:sz w:val="24"/>
          <w:szCs w:val="24"/>
        </w:rPr>
        <w:t>报价一览表中的报价），</w:t>
      </w:r>
      <w:r>
        <w:rPr>
          <w:rFonts w:hint="eastAsia" w:ascii="宋体" w:hAnsi="宋体" w:cs="宋体"/>
          <w:kern w:val="0"/>
          <w:sz w:val="24"/>
          <w:szCs w:val="24"/>
          <w:lang w:val="en-US" w:eastAsia="zh-CN"/>
        </w:rPr>
        <w:t>项目</w:t>
      </w:r>
      <w:r>
        <w:rPr>
          <w:rFonts w:hint="eastAsia" w:ascii="宋体" w:hAnsi="宋体" w:cs="宋体"/>
          <w:kern w:val="0"/>
          <w:sz w:val="24"/>
          <w:szCs w:val="24"/>
        </w:rPr>
        <w:t>报价公开唱标。</w:t>
      </w:r>
    </w:p>
    <w:p>
      <w:pPr>
        <w:widowControl/>
        <w:adjustRightInd w:val="0"/>
        <w:snapToGrid w:val="0"/>
        <w:spacing w:line="360" w:lineRule="auto"/>
        <w:ind w:firstLine="480"/>
        <w:rPr>
          <w:rFonts w:hint="eastAsia"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pPr>
        <w:widowControl/>
        <w:adjustRightInd w:val="0"/>
        <w:snapToGrid w:val="0"/>
        <w:spacing w:line="360" w:lineRule="auto"/>
        <w:ind w:firstLine="480"/>
        <w:rPr>
          <w:rFonts w:hint="eastAsia" w:ascii="宋体" w:hAnsi="宋体" w:cs="宋体"/>
          <w:kern w:val="0"/>
          <w:sz w:val="24"/>
          <w:szCs w:val="24"/>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hint="eastAsia"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hint="eastAsia"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hint="eastAsia"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hint="eastAsia"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rFonts w:hint="eastAsia"/>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.5</w:t>
      </w:r>
      <w:r>
        <w:rPr>
          <w:rFonts w:hint="eastAsia" w:ascii="宋体" w:hAnsi="宋体" w:cs="宋体"/>
          <w:kern w:val="0"/>
          <w:sz w:val="24"/>
          <w:szCs w:val="24"/>
        </w:rPr>
        <w:t>信息安全采购要求承诺函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附件2.6 供应商行为准则承诺书</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附件2.7 供应商廉洁诚信承诺书</w:t>
      </w:r>
    </w:p>
    <w:p>
      <w:pPr>
        <w:pStyle w:val="2"/>
        <w:rPr>
          <w:rFonts w:hint="eastAsia" w:ascii="宋体" w:hAnsi="宋体" w:cs="宋体"/>
          <w:kern w:val="0"/>
          <w:sz w:val="24"/>
          <w:szCs w:val="24"/>
        </w:rPr>
      </w:pPr>
    </w:p>
    <w:p>
      <w:pPr>
        <w:pStyle w:val="2"/>
      </w:pP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hint="eastAsia" w:ascii="宋体" w:hAnsi="宋体" w:cs="宋体"/>
          <w:b/>
          <w:bCs/>
          <w:kern w:val="0"/>
          <w:sz w:val="24"/>
          <w:szCs w:val="24"/>
        </w:rPr>
      </w:pPr>
    </w:p>
    <w:p>
      <w:pPr>
        <w:widowControl/>
        <w:adjustRightInd w:val="0"/>
        <w:snapToGrid w:val="0"/>
        <w:spacing w:line="360" w:lineRule="auto"/>
        <w:ind w:firstLine="300"/>
        <w:jc w:val="center"/>
        <w:rPr>
          <w:rFonts w:hint="eastAsia"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hint="eastAsia" w:ascii="宋体" w:hAnsi="宋体" w:cs="宋体"/>
          <w:b/>
          <w:bCs/>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致：中国人民财产保险股份有限公司武汉市分公司武汉市直属营销服务部</w:t>
      </w:r>
    </w:p>
    <w:p>
      <w:pPr>
        <w:pStyle w:val="2"/>
      </w:pP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公司名称（全称）：</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法定代表人姓名、职务：</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地址： </w:t>
      </w:r>
      <w:r>
        <w:rPr>
          <w:rFonts w:hint="eastAsia"/>
          <w:sz w:val="28"/>
          <w:szCs w:val="28"/>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邮编：</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电话：</w:t>
      </w:r>
      <w:r>
        <w:rPr>
          <w:rFonts w:hint="eastAsia" w:ascii="宋体" w:hAnsi="宋体" w:cs="宋体"/>
          <w:kern w:val="0"/>
          <w:sz w:val="24"/>
          <w:szCs w:val="24"/>
          <w:u w:val="single"/>
        </w:rPr>
        <w:t xml:space="preserve">                                                             </w:t>
      </w:r>
      <w:r>
        <w:rPr>
          <w:rFonts w:hint="eastAsia" w:ascii="宋体" w:hAnsi="宋体" w:cs="宋体"/>
          <w:kern w:val="0"/>
          <w:sz w:val="24"/>
          <w:szCs w:val="24"/>
        </w:rPr>
        <w:t>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hint="eastAsia"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ascii="宋体" w:hAnsi="宋体" w:cs="宋体"/>
          <w:kern w:val="0"/>
          <w:sz w:val="24"/>
          <w:szCs w:val="24"/>
          <w:lang w:val="en-US" w:eastAsia="zh-CN"/>
        </w:rPr>
        <w:t xml:space="preserve"> </w:t>
      </w:r>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ind w:left="480" w:hanging="480" w:hangingChars="200"/>
        <w:jc w:val="left"/>
        <w:rPr>
          <w:rFonts w:hint="eastAsia"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ind w:firstLine="480"/>
        <w:rPr>
          <w:rFonts w:hint="eastAsia"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 xml:space="preserve">年 </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rPr>
        <w:t xml:space="preserve">被授权人签字：  </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color w:val="FF0000"/>
          <w:kern w:val="0"/>
          <w:sz w:val="24"/>
          <w:szCs w:val="24"/>
        </w:rPr>
      </w:pPr>
    </w:p>
    <w:p>
      <w:pPr>
        <w:widowControl/>
        <w:adjustRightInd w:val="0"/>
        <w:snapToGrid w:val="0"/>
        <w:spacing w:line="360" w:lineRule="auto"/>
        <w:rPr>
          <w:rFonts w:hint="eastAsia"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hint="eastAsia"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hint="eastAsia" w:ascii="宋体" w:hAnsi="宋体" w:cs="宋体"/>
          <w:b/>
          <w:bCs/>
          <w:kern w:val="0"/>
          <w:sz w:val="24"/>
          <w:szCs w:val="24"/>
        </w:rPr>
      </w:pPr>
    </w:p>
    <w:p>
      <w:pPr>
        <w:widowControl/>
        <w:adjustRightInd w:val="0"/>
        <w:snapToGrid w:val="0"/>
        <w:spacing w:line="360" w:lineRule="auto"/>
        <w:ind w:firstLine="630"/>
        <w:jc w:val="center"/>
        <w:rPr>
          <w:rFonts w:hint="eastAsia"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hint="eastAsia" w:ascii="宋体" w:hAnsi="宋体" w:cs="宋体"/>
          <w:kern w:val="0"/>
          <w:sz w:val="24"/>
          <w:szCs w:val="24"/>
          <w:u w:val="single"/>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致：中国人民财产保险股份有限公司武汉市分公司武汉市直属营销服务部</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353"/>
        <w:jc w:val="left"/>
        <w:rPr>
          <w:rFonts w:hint="eastAsia"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hint="eastAsia" w:ascii="宋体" w:hAnsi="宋体" w:cs="宋体"/>
          <w:kern w:val="0"/>
          <w:sz w:val="24"/>
          <w:szCs w:val="24"/>
        </w:rPr>
      </w:pPr>
      <w:r>
        <w:rPr>
          <w:rFonts w:hint="eastAsia" w:ascii="宋体" w:hAnsi="宋体" w:cs="宋体"/>
          <w:kern w:val="0"/>
          <w:sz w:val="24"/>
          <w:szCs w:val="24"/>
        </w:rPr>
        <w:t>1.我公司按磋商文件的规定履行合同责任和义务。</w:t>
      </w:r>
    </w:p>
    <w:p>
      <w:pPr>
        <w:widowControl/>
        <w:adjustRightInd w:val="0"/>
        <w:snapToGrid w:val="0"/>
        <w:spacing w:line="360" w:lineRule="auto"/>
        <w:ind w:left="540" w:leftChars="257" w:firstLine="470"/>
        <w:jc w:val="left"/>
        <w:rPr>
          <w:rFonts w:hint="eastAsia" w:ascii="宋体" w:hAnsi="宋体" w:cs="宋体"/>
          <w:kern w:val="0"/>
          <w:sz w:val="24"/>
          <w:szCs w:val="24"/>
        </w:rPr>
      </w:pPr>
      <w:r>
        <w:rPr>
          <w:rFonts w:hint="eastAsia" w:ascii="宋体" w:hAnsi="宋体" w:cs="宋体"/>
          <w:kern w:val="0"/>
          <w:sz w:val="24"/>
          <w:szCs w:val="24"/>
        </w:rPr>
        <w:t>2.我公司已详细审查全部磋商文件，我们完全理解并同意放弃对这方面有不明及误解的权力。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hint="eastAsia" w:ascii="宋体" w:hAnsi="宋体" w:cs="宋体"/>
          <w:kern w:val="0"/>
          <w:sz w:val="24"/>
          <w:szCs w:val="24"/>
        </w:rPr>
      </w:pPr>
      <w:r>
        <w:rPr>
          <w:rFonts w:hint="eastAsia" w:ascii="宋体" w:hAnsi="宋体" w:cs="宋体"/>
          <w:kern w:val="0"/>
          <w:sz w:val="24"/>
          <w:szCs w:val="24"/>
        </w:rPr>
        <w:t>3.我公司同意提供按照贵方可能要求的与其磋商有关的一切数据或资料，完全理解贵方不一定接受最低价的投标或收到的任何投标。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hint="eastAsia" w:ascii="宋体" w:hAnsi="宋体" w:cs="宋体"/>
          <w:kern w:val="0"/>
          <w:sz w:val="24"/>
          <w:szCs w:val="24"/>
        </w:rPr>
      </w:pPr>
      <w:r>
        <w:rPr>
          <w:rFonts w:hint="eastAsia" w:ascii="宋体" w:hAnsi="宋体" w:cs="宋体"/>
          <w:kern w:val="0"/>
          <w:sz w:val="24"/>
          <w:szCs w:val="24"/>
        </w:rPr>
        <w:t>4.我公司是所供硬件和软件的知识产权的合法所有人，或已从其所有人那里得到了适当的授权。</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地址：</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邮编：</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电话：</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传真：</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授权代表签字：</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职务：</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电话：</w:t>
      </w:r>
      <w:r>
        <w:rPr>
          <w:rFonts w:hint="eastAsia" w:ascii="宋体" w:hAnsi="宋体" w:cs="宋体"/>
          <w:kern w:val="0"/>
          <w:sz w:val="24"/>
          <w:szCs w:val="24"/>
          <w:u w:val="single"/>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rPr>
        <w:t>公章：</w:t>
      </w:r>
      <w:r>
        <w:rPr>
          <w:rFonts w:hint="eastAsia" w:ascii="宋体" w:hAnsi="宋体" w:cs="宋体"/>
          <w:kern w:val="0"/>
          <w:sz w:val="24"/>
          <w:szCs w:val="24"/>
          <w:u w:val="single"/>
        </w:rPr>
        <w:t xml:space="preserve">                                            </w:t>
      </w:r>
    </w:p>
    <w:p>
      <w:pPr>
        <w:pStyle w:val="4"/>
        <w:numPr>
          <w:ilvl w:val="0"/>
          <w:numId w:val="0"/>
        </w:numPr>
        <w:rPr>
          <w:rFonts w:hint="eastAsia"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hint="eastAsia" w:ascii="宋体" w:hAnsi="宋体" w:cs="宋体"/>
          <w:b/>
          <w:bCs/>
          <w:kern w:val="0"/>
          <w:sz w:val="28"/>
          <w:szCs w:val="28"/>
        </w:rPr>
      </w:pPr>
      <w:r>
        <w:rPr>
          <w:rFonts w:hint="eastAsia" w:ascii="宋体" w:hAnsi="宋体" w:cs="宋体"/>
          <w:b/>
          <w:bCs/>
          <w:kern w:val="0"/>
          <w:sz w:val="28"/>
          <w:szCs w:val="28"/>
        </w:rPr>
        <w:t>报价一览表</w:t>
      </w:r>
    </w:p>
    <w:p>
      <w:pPr>
        <w:rPr>
          <w:rFonts w:ascii="仿宋_GB2312" w:eastAsia="仿宋_GB2312"/>
          <w:sz w:val="32"/>
          <w:szCs w:val="32"/>
        </w:rPr>
      </w:pPr>
      <w:r>
        <w:rPr>
          <w:rFonts w:ascii="仿宋_GB2312" w:eastAsia="仿宋_GB2312"/>
          <w:sz w:val="32"/>
          <w:szCs w:val="32"/>
        </w:rPr>
        <w:t>报价</w:t>
      </w:r>
      <w:r>
        <w:rPr>
          <w:rFonts w:hint="eastAsia" w:ascii="仿宋_GB2312" w:eastAsia="仿宋_GB2312"/>
          <w:sz w:val="32"/>
          <w:szCs w:val="32"/>
        </w:rPr>
        <w:t>单位：</w:t>
      </w:r>
    </w:p>
    <w:p>
      <w:pPr>
        <w:rPr>
          <w:rFonts w:hint="eastAsia" w:ascii="仿宋_GB2312" w:eastAsia="仿宋_GB2312"/>
          <w:sz w:val="32"/>
          <w:szCs w:val="32"/>
        </w:rPr>
      </w:pPr>
      <w:r>
        <w:rPr>
          <w:rFonts w:hint="eastAsia" w:ascii="仿宋_GB2312" w:eastAsia="仿宋_GB2312"/>
          <w:sz w:val="32"/>
          <w:szCs w:val="32"/>
        </w:rPr>
        <w:t>报价项目：</w:t>
      </w:r>
      <w:r>
        <w:rPr>
          <w:rFonts w:hint="eastAsia" w:ascii="仿宋_GB2312" w:eastAsia="仿宋_GB2312"/>
          <w:sz w:val="32"/>
          <w:szCs w:val="32"/>
          <w:lang w:eastAsia="zh-CN"/>
        </w:rPr>
        <w:t>湖北省武汉市直属营销服务部车险家用车客户三者保额需求调查</w:t>
      </w:r>
    </w:p>
    <w:tbl>
      <w:tblPr>
        <w:tblStyle w:val="30"/>
        <w:tblW w:w="9937" w:type="dxa"/>
        <w:tblInd w:w="0" w:type="dxa"/>
        <w:tblLayout w:type="fixed"/>
        <w:tblCellMar>
          <w:top w:w="15" w:type="dxa"/>
          <w:left w:w="15" w:type="dxa"/>
          <w:bottom w:w="15" w:type="dxa"/>
          <w:right w:w="15" w:type="dxa"/>
        </w:tblCellMar>
      </w:tblPr>
      <w:tblGrid>
        <w:gridCol w:w="1177"/>
        <w:gridCol w:w="2735"/>
        <w:gridCol w:w="1894"/>
        <w:gridCol w:w="2063"/>
        <w:gridCol w:w="2068"/>
      </w:tblGrid>
      <w:tr>
        <w:tblPrEx>
          <w:tblCellMar>
            <w:top w:w="15" w:type="dxa"/>
            <w:left w:w="15" w:type="dxa"/>
            <w:bottom w:w="15" w:type="dxa"/>
            <w:right w:w="15" w:type="dxa"/>
          </w:tblCellMar>
        </w:tblPrEx>
        <w:trPr>
          <w:trHeight w:val="465" w:hRule="atLeast"/>
        </w:trPr>
        <w:tc>
          <w:tcPr>
            <w:tcW w:w="1177"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273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sz w:val="28"/>
                <w:szCs w:val="28"/>
              </w:rPr>
            </w:pPr>
            <w:r>
              <w:rPr>
                <w:rFonts w:hint="eastAsia" w:ascii="仿宋" w:hAnsi="仿宋" w:eastAsia="仿宋" w:cs="仿宋"/>
                <w:kern w:val="0"/>
                <w:sz w:val="28"/>
                <w:szCs w:val="28"/>
                <w:lang w:bidi="ar"/>
              </w:rPr>
              <w:t>含税</w:t>
            </w:r>
            <w:r>
              <w:rPr>
                <w:rFonts w:hint="eastAsia" w:ascii="仿宋" w:hAnsi="仿宋" w:eastAsia="仿宋" w:cs="仿宋"/>
                <w:kern w:val="0"/>
                <w:sz w:val="28"/>
                <w:szCs w:val="28"/>
                <w:lang w:val="en-US" w:eastAsia="zh-CN" w:bidi="ar"/>
              </w:rPr>
              <w:t>单价</w:t>
            </w:r>
            <w:r>
              <w:rPr>
                <w:rFonts w:hint="eastAsia" w:ascii="仿宋" w:hAnsi="仿宋" w:eastAsia="仿宋" w:cs="仿宋"/>
                <w:kern w:val="0"/>
                <w:sz w:val="28"/>
                <w:szCs w:val="28"/>
                <w:lang w:bidi="ar"/>
              </w:rPr>
              <w:t>（小写）</w:t>
            </w:r>
          </w:p>
        </w:tc>
        <w:tc>
          <w:tcPr>
            <w:tcW w:w="189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default"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发票类型</w:t>
            </w:r>
          </w:p>
        </w:tc>
        <w:tc>
          <w:tcPr>
            <w:tcW w:w="2063"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sz w:val="28"/>
                <w:szCs w:val="28"/>
              </w:rPr>
            </w:pPr>
            <w:r>
              <w:rPr>
                <w:rFonts w:hint="eastAsia" w:ascii="仿宋" w:hAnsi="仿宋" w:eastAsia="仿宋" w:cs="仿宋"/>
                <w:kern w:val="0"/>
                <w:sz w:val="28"/>
                <w:szCs w:val="28"/>
                <w:lang w:bidi="ar"/>
              </w:rPr>
              <w:t>增值税税率</w:t>
            </w:r>
          </w:p>
        </w:tc>
        <w:tc>
          <w:tcPr>
            <w:tcW w:w="2068"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备注</w:t>
            </w:r>
          </w:p>
        </w:tc>
      </w:tr>
      <w:tr>
        <w:tblPrEx>
          <w:tblCellMar>
            <w:top w:w="15" w:type="dxa"/>
            <w:left w:w="15" w:type="dxa"/>
            <w:bottom w:w="15" w:type="dxa"/>
            <w:right w:w="15" w:type="dxa"/>
          </w:tblCellMar>
        </w:tblPrEx>
        <w:trPr>
          <w:trHeight w:val="510" w:hRule="atLeast"/>
        </w:trPr>
        <w:tc>
          <w:tcPr>
            <w:tcW w:w="1177"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仿宋" w:hAnsi="仿宋" w:eastAsia="仿宋" w:cs="仿宋"/>
                <w:sz w:val="28"/>
                <w:szCs w:val="28"/>
              </w:rPr>
            </w:pPr>
            <w:r>
              <w:rPr>
                <w:rFonts w:hint="eastAsia" w:ascii="仿宋" w:hAnsi="仿宋" w:eastAsia="仿宋" w:cs="仿宋"/>
                <w:kern w:val="0"/>
                <w:sz w:val="28"/>
                <w:szCs w:val="28"/>
                <w:lang w:val="en-US" w:eastAsia="zh-CN" w:bidi="ar"/>
              </w:rPr>
              <w:t>项目</w:t>
            </w:r>
            <w:r>
              <w:rPr>
                <w:rFonts w:hint="eastAsia" w:ascii="仿宋" w:hAnsi="仿宋" w:eastAsia="仿宋" w:cs="仿宋"/>
                <w:kern w:val="0"/>
                <w:sz w:val="28"/>
                <w:szCs w:val="28"/>
                <w:lang w:bidi="ar"/>
              </w:rPr>
              <w:t>报价</w:t>
            </w:r>
          </w:p>
        </w:tc>
        <w:tc>
          <w:tcPr>
            <w:tcW w:w="2735"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1894"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2063"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c>
          <w:tcPr>
            <w:tcW w:w="2068" w:type="dxa"/>
            <w:tcBorders>
              <w:top w:val="single" w:color="000000" w:sz="4" w:space="0"/>
              <w:left w:val="single" w:color="000000" w:sz="4" w:space="0"/>
              <w:bottom w:val="single" w:color="000000" w:sz="4" w:space="0"/>
              <w:right w:val="single" w:color="000000" w:sz="4" w:space="0"/>
            </w:tcBorders>
            <w:vAlign w:val="bottom"/>
          </w:tcPr>
          <w:p>
            <w:pPr>
              <w:jc w:val="center"/>
              <w:rPr>
                <w:rFonts w:hint="eastAsia" w:ascii="仿宋" w:hAnsi="仿宋" w:eastAsia="仿宋" w:cs="仿宋"/>
                <w:sz w:val="28"/>
                <w:szCs w:val="28"/>
              </w:rPr>
            </w:pPr>
          </w:p>
        </w:tc>
      </w:tr>
    </w:tbl>
    <w:p>
      <w:pPr>
        <w:pStyle w:val="2"/>
      </w:pPr>
    </w:p>
    <w:p>
      <w:pPr>
        <w:widowControl/>
        <w:adjustRightInd w:val="0"/>
        <w:snapToGrid w:val="0"/>
        <w:spacing w:line="360" w:lineRule="auto"/>
        <w:rPr>
          <w:rFonts w:hint="eastAsia"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hint="eastAsia" w:ascii="宋体" w:hAnsi="宋体" w:cs="宋体"/>
          <w:color w:val="FF0000"/>
          <w:sz w:val="24"/>
          <w:szCs w:val="24"/>
        </w:rPr>
      </w:pPr>
      <w:r>
        <w:rPr>
          <w:rFonts w:hint="eastAsia" w:cs="Arial" w:asciiTheme="minorEastAsia" w:hAnsiTheme="minorEastAsia" w:eastAsiaTheme="minorEastAsia"/>
          <w:color w:val="FF0000"/>
          <w:sz w:val="24"/>
        </w:rPr>
        <w:t>1、报价一览表单独密封提交。</w:t>
      </w:r>
    </w:p>
    <w:p>
      <w:pPr>
        <w:adjustRightInd w:val="0"/>
        <w:snapToGrid w:val="0"/>
        <w:spacing w:line="360" w:lineRule="auto"/>
        <w:jc w:val="left"/>
        <w:textAlignment w:val="baseline"/>
        <w:rPr>
          <w:rFonts w:hint="eastAsia" w:ascii="宋体" w:hAnsi="宋体" w:cs="宋体"/>
          <w:color w:val="FF0000"/>
          <w:sz w:val="24"/>
          <w:szCs w:val="24"/>
        </w:rPr>
      </w:pPr>
      <w:r>
        <w:rPr>
          <w:rFonts w:hint="eastAsia" w:ascii="宋体" w:hAnsi="宋体" w:cs="宋体"/>
          <w:color w:val="FF0000"/>
          <w:sz w:val="24"/>
          <w:szCs w:val="24"/>
          <w:lang w:bidi="ar"/>
        </w:rPr>
        <w:t>2、“发票类型”为 “增值税</w:t>
      </w:r>
      <w:r>
        <w:rPr>
          <w:rFonts w:hint="eastAsia" w:ascii="宋体" w:hAnsi="宋体" w:cs="宋体"/>
          <w:color w:val="FF0000"/>
          <w:sz w:val="24"/>
          <w:szCs w:val="24"/>
          <w:lang w:val="en-US" w:eastAsia="zh-CN" w:bidi="ar"/>
        </w:rPr>
        <w:t>普通</w:t>
      </w:r>
      <w:r>
        <w:rPr>
          <w:rFonts w:hint="eastAsia" w:ascii="宋体" w:hAnsi="宋体" w:cs="宋体"/>
          <w:color w:val="FF0000"/>
          <w:sz w:val="24"/>
          <w:szCs w:val="24"/>
          <w:lang w:bidi="ar"/>
        </w:rPr>
        <w:t>发票”。</w:t>
      </w:r>
    </w:p>
    <w:p>
      <w:pPr>
        <w:widowControl/>
        <w:adjustRightInd w:val="0"/>
        <w:snapToGrid w:val="0"/>
        <w:spacing w:line="360" w:lineRule="auto"/>
        <w:rPr>
          <w:rFonts w:hint="eastAsia" w:ascii="宋体" w:hAnsi="宋体" w:cs="宋体"/>
          <w:color w:val="FF0000"/>
          <w:sz w:val="24"/>
          <w:szCs w:val="24"/>
          <w:lang w:bidi="ar"/>
        </w:rPr>
      </w:pPr>
      <w:r>
        <w:rPr>
          <w:rFonts w:hint="eastAsia" w:ascii="宋体" w:hAnsi="宋体" w:cs="宋体"/>
          <w:color w:val="FF0000"/>
          <w:sz w:val="24"/>
          <w:szCs w:val="24"/>
          <w:lang w:bidi="ar"/>
        </w:rPr>
        <w:t>3、有关价格及服务声明可填入备注栏内。</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hint="eastAsia" w:ascii="宋体" w:hAnsi="宋体" w:cs="宋体"/>
          <w:color w:val="FF0000"/>
          <w:kern w:val="0"/>
          <w:sz w:val="24"/>
          <w:szCs w:val="24"/>
        </w:rPr>
      </w:pPr>
    </w:p>
    <w:p>
      <w:pPr>
        <w:pStyle w:val="4"/>
        <w:numPr>
          <w:ilvl w:val="0"/>
          <w:numId w:val="0"/>
        </w:numPr>
        <w:rPr>
          <w:rFonts w:hint="eastAsia" w:ascii="宋体" w:hAnsi="宋体" w:cs="宋体"/>
          <w:b w:val="0"/>
          <w:bCs w:val="0"/>
          <w:color w:val="000000" w:themeColor="text1"/>
          <w:kern w:val="0"/>
          <w:sz w:val="24"/>
          <w:szCs w:val="24"/>
          <w14:textFill>
            <w14:solidFill>
              <w14:schemeClr w14:val="tx1"/>
            </w14:solidFill>
          </w14:textFill>
        </w:rPr>
      </w:pPr>
      <w:r>
        <w:rPr>
          <w:rFonts w:hint="eastAsia" w:ascii="宋体" w:hAnsi="宋体" w:cs="宋体"/>
          <w:kern w:val="0"/>
          <w:sz w:val="24"/>
          <w:szCs w:val="24"/>
          <w:u w:val="single"/>
        </w:rPr>
        <w:br w:type="page"/>
      </w:r>
      <w:bookmarkStart w:id="8" w:name="_Toc127761806"/>
      <w:bookmarkEnd w:id="8"/>
      <w:bookmarkStart w:id="9" w:name="_Toc125183170"/>
      <w:bookmarkEnd w:id="9"/>
      <w:bookmarkStart w:id="10" w:name="_Toc104714659"/>
      <w:bookmarkEnd w:id="10"/>
    </w:p>
    <w:p>
      <w:pPr>
        <w:widowControl/>
        <w:adjustRightInd w:val="0"/>
        <w:snapToGrid w:val="0"/>
        <w:spacing w:line="360" w:lineRule="auto"/>
        <w:rPr>
          <w:b/>
          <w:bCs/>
          <w:sz w:val="24"/>
          <w:szCs w:val="24"/>
        </w:rPr>
      </w:pPr>
      <w:r>
        <w:rPr>
          <w:rFonts w:hint="eastAsia"/>
          <w:b/>
          <w:bCs/>
          <w:sz w:val="24"/>
          <w:szCs w:val="24"/>
        </w:rPr>
        <w:t>附件</w:t>
      </w:r>
      <w:r>
        <w:rPr>
          <w:b/>
          <w:bCs/>
          <w:sz w:val="24"/>
          <w:szCs w:val="24"/>
        </w:rPr>
        <w:t>2.5</w:t>
      </w:r>
      <w:r>
        <w:rPr>
          <w:rFonts w:hint="eastAsia"/>
          <w:b/>
          <w:bCs/>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hint="eastAsia" w:ascii="宋体" w:hAnsi="宋体"/>
          <w:sz w:val="24"/>
          <w:szCs w:val="24"/>
        </w:rPr>
      </w:pPr>
    </w:p>
    <w:p>
      <w:pPr>
        <w:widowControl/>
        <w:adjustRightInd w:val="0"/>
        <w:snapToGrid w:val="0"/>
        <w:spacing w:line="360" w:lineRule="auto"/>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pStyle w:val="2"/>
        <w:rPr>
          <w:b/>
          <w:bCs/>
          <w:kern w:val="0"/>
          <w:sz w:val="24"/>
          <w:szCs w:val="24"/>
        </w:rPr>
      </w:pPr>
    </w:p>
    <w:p>
      <w:pPr>
        <w:jc w:val="left"/>
        <w:rPr>
          <w:b/>
          <w:bCs/>
          <w:sz w:val="24"/>
          <w:szCs w:val="24"/>
        </w:rPr>
      </w:pPr>
    </w:p>
    <w:p>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6</w:t>
      </w:r>
      <w:r>
        <w:rPr>
          <w:sz w:val="24"/>
          <w:szCs w:val="24"/>
        </w:rPr>
        <w:t xml:space="preserve"> </w:t>
      </w:r>
      <w:r>
        <w:rPr>
          <w:rFonts w:hint="eastAsia"/>
          <w:sz w:val="24"/>
          <w:szCs w:val="24"/>
        </w:rPr>
        <w:t>供应商行为准则承诺书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八、供应商承诺遵守中国人民保险有关采购管理和供应商管理的相关规定、履行相应义务。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九、供应商参与中国人民保险采购过程中，将认真阅读并理解邀请文件的内容，并保证严格保密文件内容，不泄露中国人民保险任何信息。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十、供应商保证所递交的投标文件、资格证明、产品资料、合同等文件内容的真实性、有效性；愿意承担虚构信息及伪造资格证明、合同等违背诚实信用原则导致的一切不利后果。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十三、采购过程中涉及函件往来的，使用供应商以下地址及联系方式：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法定代表人（负责人）姓名、职务：__________________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邮编：__________地址：__________________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电话：__________传真：__________________</w:t>
      </w:r>
    </w:p>
    <w:p>
      <w:pPr>
        <w:ind w:firstLine="3120" w:firstLineChars="1300"/>
        <w:rPr>
          <w:rFonts w:ascii="宋体" w:hAnsi="宋体" w:cs="宋体"/>
          <w:kern w:val="0"/>
          <w:sz w:val="24"/>
          <w:szCs w:val="24"/>
          <w:u w:val="single"/>
        </w:rPr>
      </w:pPr>
      <w:r>
        <w:rPr>
          <w:rFonts w:hint="eastAsia" w:eastAsia="宋体" w:cs="Times New Roman"/>
          <w:sz w:val="24"/>
          <w:szCs w:val="24"/>
        </w:rPr>
        <w:t>法定代表人（负责人）或授权代表签字：_____________</w:t>
      </w:r>
    </w:p>
    <w:p>
      <w:pPr>
        <w:spacing w:line="600" w:lineRule="exact"/>
        <w:jc w:val="left"/>
        <w:rPr>
          <w:rFonts w:hint="eastAsia" w:ascii="仿宋" w:hAnsi="仿宋" w:eastAsia="仿宋" w:cs="宋体"/>
          <w:b/>
          <w:bCs/>
          <w:color w:val="000000"/>
          <w:sz w:val="28"/>
          <w:szCs w:val="28"/>
        </w:rPr>
      </w:pPr>
      <w:r>
        <w:rPr>
          <w:rFonts w:hint="eastAsia"/>
          <w:b/>
          <w:bCs/>
          <w:sz w:val="24"/>
          <w:szCs w:val="24"/>
        </w:rPr>
        <w:t>附件</w:t>
      </w:r>
      <w:r>
        <w:rPr>
          <w:b/>
          <w:bCs/>
          <w:sz w:val="24"/>
          <w:szCs w:val="24"/>
        </w:rPr>
        <w:t>2.</w:t>
      </w:r>
      <w:r>
        <w:rPr>
          <w:rFonts w:hint="eastAsia"/>
          <w:b/>
          <w:bCs/>
          <w:sz w:val="24"/>
          <w:szCs w:val="24"/>
          <w:lang w:val="en-US" w:eastAsia="zh-CN"/>
        </w:rPr>
        <w:t>7</w:t>
      </w:r>
      <w:r>
        <w:rPr>
          <w:rFonts w:hint="eastAsia" w:ascii="仿宋" w:hAnsi="仿宋" w:eastAsia="仿宋" w:cs="宋体"/>
          <w:b/>
          <w:bCs/>
          <w:color w:val="000000"/>
          <w:sz w:val="28"/>
          <w:szCs w:val="28"/>
        </w:rPr>
        <w:t>供应商廉洁诚信承诺书</w:t>
      </w:r>
    </w:p>
    <w:p>
      <w:pPr>
        <w:pStyle w:val="13"/>
        <w:rPr>
          <w:rFonts w:hint="eastAsia" w:ascii="仿宋" w:hAnsi="仿宋" w:eastAsia="仿宋" w:cs="宋体"/>
          <w:b/>
          <w:bCs/>
          <w:color w:val="00000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三、廉洁自律承诺。我们坚决不以任何形式为获取或意图获取交易机会、竞争优势或谋取不正当利益而向中国人民保险或相关主体实施商业贿赂或营私舞弊行为，包括但不限于：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（1）以任何方式实施商业贿赂或违规提供金钱、实物、回扣、折扣、宴请与游玩活动或其他不正当利益；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（2）为其安排有可能影响公平、公正交易的宴请、健身、娱乐等活动；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（3）为其投资入股、个人借款或买卖股票、债券等提供方便；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（4）为其购买或装修住房、婚丧嫁娶、配偶子女上学或工作安排以及出国出境、旅游等提供方便；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（5）违反规定为其在我方相关企业工作、挂名兼职、合伙经营、介绍承揽业务等提供方便；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（6）向其提供借款、融资、担保等；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我们也不会以任何方式向中国人民保险或相关主体索要金钱、实物等不正当利益，或收受中国人保或相关主体给予的金钱、实物等不正当利益。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四、诚实信用承诺。我们坚决不进行任何违背诚实信用原则的行为，包括但不限于：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出借、转让资质证书；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伙同他人串标、围标或非法排挤竞争对手；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在采购活动中提供虚假资料，以他人名义参与或者以其他方式弄虚作假，夸大自身技术和提供服务的能力，损害贵方合法权益；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（4）隐瞒任何可能对贵方利益造成影响的信息，不配合贵方的审计。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六、加强内部管理承诺。为了实现以上承诺要求，我们将积极配合采取以下措施，不断加强自身内部管理：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（1）廉洁教育培训：加强对员工的廉洁教育和培训，提高员工的道德素质和法律意识，建立健全内部管理制度，确保员工行为的合规性和廉洁性；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（2）设立监督机制：通过专门的监督机构或人员，对我方的业务活动进行实时监督，确保员工行为的合规性；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八、如违反上述承诺，我方自愿承担以下法律责任：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（1）如我方及我方工作人员违反本承诺书承诺，中国人民保险有权依据其采购管理、供应商管理和采购文件相关要求，对我方进行严肃处理，相关处罚结果记入供应商诚信档案；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（2）如我方及我方工作人员违反本承诺书承诺，中国人民保险及其子公司等所有关联主体有权限制或取消我方在中国人民保险参与</w:t>
      </w:r>
      <w:r>
        <w:rPr>
          <w:rFonts w:hint="eastAsia" w:eastAsia="宋体" w:cs="Times New Roman"/>
          <w:sz w:val="24"/>
          <w:szCs w:val="24"/>
          <w:lang w:val="en-US" w:eastAsia="zh-CN"/>
        </w:rPr>
        <w:t>采购</w:t>
      </w:r>
      <w:r>
        <w:rPr>
          <w:rFonts w:hint="eastAsia" w:eastAsia="宋体" w:cs="Times New Roman"/>
          <w:sz w:val="24"/>
          <w:szCs w:val="24"/>
        </w:rPr>
        <w:t>项目的资格；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（3）如我方及我方工作人员违反本承诺书承诺，中国人民保险及其子公司等所有关联主体有权选择单方全面终止与我方的合同及合作而无需承担任何责任；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本承诺书自承诺方签字和盖章之日起生效。如我方成功中选中国人民保险采购项目，将按中国人民保险管理要求签署廉洁诚信协议作为采购合同附件，并严格遵守协议相关条款。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法定代表人或授权代表签字：______________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日期：__________________________________</w:t>
      </w:r>
    </w:p>
    <w:p/>
    <w:p>
      <w:pPr>
        <w:pStyle w:val="13"/>
        <w:rPr>
          <w:rFonts w:hint="eastAsia" w:ascii="仿宋" w:hAnsi="仿宋" w:eastAsia="仿宋" w:cs="宋体"/>
          <w:b/>
          <w:bCs/>
          <w:color w:val="000000"/>
          <w:sz w:val="28"/>
          <w:szCs w:val="28"/>
        </w:rPr>
      </w:pPr>
    </w:p>
    <w:p>
      <w:pPr>
        <w:pStyle w:val="3"/>
        <w:numPr>
          <w:ilvl w:val="0"/>
          <w:numId w:val="0"/>
        </w:numPr>
        <w:jc w:val="left"/>
        <w:rPr>
          <w:rFonts w:hint="eastAsia" w:ascii="仿宋" w:hAnsi="仿宋" w:eastAsia="仿宋"/>
          <w:color w:val="000000"/>
          <w:sz w:val="28"/>
          <w:szCs w:val="28"/>
        </w:rPr>
      </w:pPr>
    </w:p>
    <w:p>
      <w:pPr>
        <w:pStyle w:val="3"/>
        <w:numPr>
          <w:ilvl w:val="0"/>
          <w:numId w:val="0"/>
        </w:numPr>
        <w:jc w:val="left"/>
        <w:rPr>
          <w:rFonts w:hint="eastAsia"/>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hint="eastAsia" w:ascii="宋体" w:hAnsi="宋体" w:cs="宋体"/>
          <w:kern w:val="0"/>
          <w:sz w:val="24"/>
          <w:szCs w:val="24"/>
        </w:rPr>
      </w:pP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ind w:right="-827" w:rightChars="-394"/>
        <w:rPr>
          <w:rFonts w:hint="eastAsia" w:ascii="宋体" w:hAnsi="宋体" w:cs="宋体"/>
          <w:kern w:val="0"/>
          <w:sz w:val="24"/>
          <w:szCs w:val="24"/>
        </w:rPr>
      </w:pPr>
      <w:r>
        <w:rPr>
          <w:rFonts w:hint="eastAsia" w:ascii="宋体" w:hAnsi="宋体" w:cs="宋体"/>
          <w:kern w:val="0"/>
          <w:sz w:val="24"/>
          <w:szCs w:val="24"/>
        </w:rPr>
        <w:t>附件3.2 法人营业执照（复印件）</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附件3.3 </w:t>
      </w:r>
      <w:r>
        <w:rPr>
          <w:rFonts w:hint="eastAsia" w:ascii="Calibri Light" w:hAnsi="Calibri Light"/>
          <w:sz w:val="24"/>
          <w:szCs w:val="24"/>
        </w:rPr>
        <w:t>提供书面声明函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rPr>
        <w:t>5</w:t>
      </w:r>
      <w:r>
        <w:rPr>
          <w:rFonts w:ascii="宋体" w:hAnsi="宋体" w:cs="宋体"/>
          <w:kern w:val="0"/>
          <w:sz w:val="24"/>
          <w:szCs w:val="24"/>
        </w:rPr>
        <w:t xml:space="preserve"> </w:t>
      </w:r>
      <w:r>
        <w:rPr>
          <w:rFonts w:ascii="宋体" w:hAnsi="宋体" w:cs="宋体"/>
          <w:sz w:val="24"/>
          <w:szCs w:val="24"/>
        </w:rPr>
        <w:t>公司年度或前一年度经营业绩证明（资产负债表，利润表等）</w:t>
      </w:r>
    </w:p>
    <w:p>
      <w:pPr>
        <w:widowControl/>
        <w:adjustRightInd w:val="0"/>
        <w:snapToGrid w:val="0"/>
        <w:spacing w:line="360" w:lineRule="auto"/>
        <w:rPr>
          <w:rFonts w:ascii="Calibri Light" w:hAnsi="Calibri Light"/>
          <w:sz w:val="24"/>
          <w:szCs w:val="24"/>
        </w:rPr>
      </w:pPr>
      <w:r>
        <w:rPr>
          <w:rFonts w:hint="eastAsia" w:ascii="宋体" w:hAnsi="宋体" w:cs="宋体"/>
          <w:kern w:val="0"/>
          <w:sz w:val="24"/>
          <w:szCs w:val="24"/>
        </w:rPr>
        <w:t>附件3.6</w:t>
      </w:r>
      <w:r>
        <w:rPr>
          <w:rFonts w:ascii="宋体" w:hAnsi="宋体" w:cs="宋体"/>
          <w:kern w:val="0"/>
          <w:sz w:val="24"/>
          <w:szCs w:val="24"/>
        </w:rPr>
        <w:t xml:space="preserve"> </w:t>
      </w:r>
      <w:r>
        <w:rPr>
          <w:rFonts w:ascii="宋体" w:hAnsi="宋体" w:cs="宋体"/>
          <w:sz w:val="24"/>
          <w:szCs w:val="24"/>
        </w:rPr>
        <w:t>供应商在“信用中国”“中国财政采购网”无不良记录截图等</w:t>
      </w:r>
    </w:p>
    <w:p>
      <w:pPr>
        <w:widowControl/>
        <w:adjustRightInd w:val="0"/>
        <w:snapToGrid w:val="0"/>
        <w:spacing w:line="360" w:lineRule="auto"/>
        <w:rPr>
          <w:rFonts w:ascii="Calibri Light" w:hAnsi="Calibri Light"/>
          <w:sz w:val="24"/>
          <w:szCs w:val="24"/>
        </w:rPr>
      </w:pPr>
    </w:p>
    <w:p>
      <w:pPr>
        <w:pStyle w:val="4"/>
        <w:numPr>
          <w:ilvl w:val="0"/>
          <w:numId w:val="0"/>
        </w:numPr>
        <w:rPr>
          <w:rFonts w:hint="eastAsia"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hint="eastAsia"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hint="eastAsia" w:ascii="宋体" w:hAnsi="宋体"/>
                <w:kern w:val="0"/>
                <w:sz w:val="24"/>
                <w:szCs w:val="24"/>
              </w:rPr>
            </w:pPr>
          </w:p>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ascii="宋体" w:hAnsi="宋体" w:cs="宋体"/>
          <w:kern w:val="0"/>
          <w:sz w:val="24"/>
          <w:szCs w:val="24"/>
        </w:rPr>
        <w:t>法人营业执照（复印件）</w:t>
      </w:r>
    </w:p>
    <w:p>
      <w:pPr>
        <w:widowControl/>
        <w:jc w:val="left"/>
        <w:rPr>
          <w:sz w:val="24"/>
          <w:szCs w:val="24"/>
        </w:rPr>
      </w:pPr>
    </w:p>
    <w:p>
      <w:pPr>
        <w:widowControl/>
        <w:jc w:val="left"/>
        <w:rPr>
          <w:sz w:val="24"/>
          <w:szCs w:val="24"/>
        </w:rPr>
      </w:pPr>
    </w:p>
    <w:p>
      <w:pPr>
        <w:widowControl/>
        <w:jc w:val="left"/>
        <w:rPr>
          <w:sz w:val="24"/>
          <w:szCs w:val="24"/>
        </w:rPr>
      </w:pPr>
      <w:r>
        <w:rPr>
          <w:rFonts w:hint="eastAsia"/>
          <w:sz w:val="24"/>
          <w:szCs w:val="24"/>
        </w:rPr>
        <w:t>附件3.3</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rPr>
        <w:t>中国人民财产保险股份有限公司武汉市分公司武汉市直属营销服务部</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如成立未满三年，则从成立之日起），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.4 </w:t>
      </w:r>
      <w:r>
        <w:rPr>
          <w:rFonts w:hint="eastAsia"/>
          <w:sz w:val="24"/>
          <w:szCs w:val="24"/>
        </w:rPr>
        <w:t>依法缴纳税收的相关材料：</w:t>
      </w:r>
    </w:p>
    <w:p>
      <w:pPr>
        <w:pStyle w:val="4"/>
        <w:numPr>
          <w:ilvl w:val="0"/>
          <w:numId w:val="0"/>
        </w:numPr>
        <w:adjustRightInd w:val="0"/>
        <w:snapToGrid w:val="0"/>
        <w:spacing w:before="0" w:after="0" w:line="360" w:lineRule="auto"/>
        <w:rPr>
          <w:b w:val="0"/>
          <w:sz w:val="24"/>
          <w:szCs w:val="24"/>
        </w:rPr>
      </w:pPr>
      <w:r>
        <w:rPr>
          <w:rFonts w:hint="eastAsia"/>
          <w:b w:val="0"/>
          <w:sz w:val="24"/>
          <w:szCs w:val="24"/>
        </w:rPr>
        <w:t>磋商当日前6个月内任意一月缴纳税收的凭证复印件；</w:t>
      </w:r>
    </w:p>
    <w:p>
      <w:pPr>
        <w:pStyle w:val="4"/>
        <w:numPr>
          <w:ilvl w:val="0"/>
          <w:numId w:val="0"/>
        </w:numPr>
        <w:adjustRightInd w:val="0"/>
        <w:snapToGrid w:val="0"/>
        <w:spacing w:before="0" w:after="0" w:line="360" w:lineRule="auto"/>
        <w:rPr>
          <w:b w:val="0"/>
          <w:sz w:val="24"/>
          <w:szCs w:val="24"/>
        </w:rPr>
      </w:pPr>
      <w:r>
        <w:rPr>
          <w:rFonts w:hint="eastAsia"/>
          <w:b w:val="0"/>
          <w:sz w:val="24"/>
          <w:szCs w:val="24"/>
        </w:rPr>
        <w:t>缴纳凭证复印件须清晰可辨，并能显示出税种种类，单位代扣代缴的个人所得税不能作为单位纳税的凭证；</w:t>
      </w:r>
    </w:p>
    <w:p>
      <w:pPr>
        <w:pStyle w:val="4"/>
        <w:numPr>
          <w:ilvl w:val="0"/>
          <w:numId w:val="0"/>
        </w:numPr>
        <w:adjustRightInd w:val="0"/>
        <w:snapToGrid w:val="0"/>
        <w:spacing w:before="0" w:after="0" w:line="360" w:lineRule="auto"/>
        <w:rPr>
          <w:b w:val="0"/>
          <w:sz w:val="24"/>
          <w:szCs w:val="24"/>
        </w:rPr>
      </w:pPr>
      <w:r>
        <w:rPr>
          <w:rFonts w:hint="eastAsia"/>
          <w:b w:val="0"/>
          <w:sz w:val="24"/>
          <w:szCs w:val="24"/>
        </w:rPr>
        <w:t>依法免税的供应商，应提供相应文件证明其依法免税；</w:t>
      </w:r>
    </w:p>
    <w:p>
      <w:pPr>
        <w:widowControl/>
        <w:adjustRightInd w:val="0"/>
        <w:snapToGrid w:val="0"/>
        <w:spacing w:line="360" w:lineRule="auto"/>
        <w:rPr>
          <w:rFonts w:ascii="Calibri Light" w:hAnsi="Calibri Light"/>
          <w:b/>
          <w:bCs/>
          <w:sz w:val="24"/>
          <w:szCs w:val="24"/>
        </w:rPr>
      </w:pPr>
      <w:r>
        <w:rPr>
          <w:rFonts w:hint="eastAsia" w:ascii="Calibri Light" w:hAnsi="Calibri Light"/>
          <w:b/>
          <w:bCs/>
          <w:sz w:val="24"/>
          <w:szCs w:val="24"/>
        </w:rPr>
        <w:t>附件3</w:t>
      </w:r>
      <w:r>
        <w:rPr>
          <w:rFonts w:ascii="Calibri Light" w:hAnsi="Calibri Light"/>
          <w:b/>
          <w:bCs/>
          <w:sz w:val="24"/>
          <w:szCs w:val="24"/>
        </w:rPr>
        <w:t>.</w:t>
      </w:r>
      <w:r>
        <w:rPr>
          <w:rFonts w:hint="eastAsia" w:ascii="Calibri Light" w:hAnsi="Calibri Light"/>
          <w:b/>
          <w:bCs/>
          <w:sz w:val="24"/>
          <w:szCs w:val="24"/>
        </w:rPr>
        <w:t>5</w:t>
      </w:r>
      <w:r>
        <w:rPr>
          <w:rFonts w:ascii="Calibri Light" w:hAnsi="Calibri Light"/>
          <w:b/>
          <w:bCs/>
          <w:sz w:val="24"/>
          <w:szCs w:val="24"/>
        </w:rPr>
        <w:t xml:space="preserve"> 公司年度或前一年度经营业绩证明（资产负债表，利润表等）</w:t>
      </w:r>
    </w:p>
    <w:p>
      <w:pPr>
        <w:widowControl/>
        <w:adjustRightInd w:val="0"/>
        <w:snapToGrid w:val="0"/>
        <w:spacing w:line="360" w:lineRule="auto"/>
        <w:rPr>
          <w:rFonts w:ascii="Calibri Light" w:hAnsi="Calibri Light"/>
          <w:b/>
          <w:bCs/>
          <w:sz w:val="24"/>
          <w:szCs w:val="24"/>
        </w:rPr>
      </w:pPr>
      <w:r>
        <w:rPr>
          <w:rFonts w:hint="eastAsia" w:ascii="Calibri Light" w:hAnsi="Calibri Light"/>
          <w:b/>
          <w:bCs/>
          <w:sz w:val="24"/>
          <w:szCs w:val="24"/>
        </w:rPr>
        <w:t>附件3.6</w:t>
      </w:r>
      <w:r>
        <w:rPr>
          <w:rFonts w:ascii="Calibri Light" w:hAnsi="Calibri Light"/>
          <w:b/>
          <w:bCs/>
          <w:sz w:val="24"/>
          <w:szCs w:val="24"/>
        </w:rPr>
        <w:t xml:space="preserve"> 供应商在“信用中国”“中国财政采购网”无不良记录截图等</w:t>
      </w:r>
    </w:p>
    <w:p>
      <w:pPr>
        <w:pStyle w:val="3"/>
        <w:numPr>
          <w:ilvl w:val="0"/>
          <w:numId w:val="0"/>
        </w:numPr>
        <w:adjustRightInd w:val="0"/>
        <w:snapToGrid w:val="0"/>
        <w:rPr>
          <w:rFonts w:hint="eastAsia"/>
          <w:sz w:val="30"/>
          <w:szCs w:val="30"/>
        </w:rPr>
      </w:pPr>
      <w:bookmarkStart w:id="11" w:name="_Toc68615221"/>
      <w:bookmarkStart w:id="12" w:name="_Toc104714603"/>
      <w:bookmarkStart w:id="13" w:name="_Toc169079576"/>
      <w:r>
        <w:rPr>
          <w:rFonts w:hint="eastAsia"/>
          <w:sz w:val="30"/>
          <w:szCs w:val="30"/>
        </w:rPr>
        <w:t>附件四：项目采购需求</w:t>
      </w:r>
      <w:bookmarkStart w:id="14" w:name="_Toc137965307"/>
      <w:bookmarkEnd w:id="14"/>
      <w:bookmarkStart w:id="15" w:name="_Toc190852156"/>
      <w:bookmarkEnd w:id="15"/>
      <w:bookmarkStart w:id="16" w:name="_Toc125183171"/>
      <w:bookmarkEnd w:id="16"/>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附件4.1</w:t>
      </w:r>
      <w:r>
        <w:rPr>
          <w:sz w:val="24"/>
          <w:szCs w:val="24"/>
        </w:rPr>
        <w:t xml:space="preserve"> </w:t>
      </w:r>
      <w:r>
        <w:rPr>
          <w:rFonts w:hint="eastAsia"/>
          <w:sz w:val="24"/>
          <w:szCs w:val="24"/>
        </w:rPr>
        <w:t>合同条款</w:t>
      </w:r>
    </w:p>
    <w:p>
      <w:pPr>
        <w:widowControl/>
        <w:jc w:val="left"/>
        <w:rPr>
          <w:rFonts w:ascii="Arial" w:hAnsi="Arial" w:cs="Arial"/>
          <w:sz w:val="24"/>
        </w:rPr>
      </w:pPr>
    </w:p>
    <w:p>
      <w:pPr>
        <w:widowControl/>
        <w:spacing w:beforeAutospacing="1" w:afterAutospacing="1" w:line="600" w:lineRule="exact"/>
        <w:ind w:left="1084" w:hanging="1084" w:hangingChars="300"/>
        <w:jc w:val="center"/>
        <w:rPr>
          <w:rFonts w:ascii="仿宋_GB2312" w:hAnsi="宋体" w:eastAsia="仿宋_GB2312" w:cs="仿宋_GB2312"/>
          <w:b/>
          <w:bCs/>
          <w:kern w:val="0"/>
          <w:sz w:val="36"/>
          <w:szCs w:val="36"/>
        </w:rPr>
      </w:pPr>
      <w:r>
        <w:rPr>
          <w:rFonts w:ascii="仿宋_GB2312" w:hAnsi="宋体" w:eastAsia="仿宋_GB2312" w:cs="仿宋_GB2312"/>
          <w:b/>
          <w:bCs/>
          <w:kern w:val="0"/>
          <w:sz w:val="36"/>
          <w:szCs w:val="36"/>
        </w:rPr>
        <w:t>中国人民财产保险股份有限公司武汉市分公司</w:t>
      </w:r>
    </w:p>
    <w:p>
      <w:pPr>
        <w:widowControl/>
        <w:spacing w:beforeAutospacing="1" w:afterAutospacing="1" w:line="600" w:lineRule="exact"/>
        <w:ind w:left="1084" w:hanging="1084" w:hangingChars="300"/>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与</w:t>
      </w:r>
    </w:p>
    <w:p>
      <w:pPr>
        <w:widowControl/>
        <w:spacing w:beforeAutospacing="1" w:afterAutospacing="1" w:line="600" w:lineRule="exact"/>
        <w:jc w:val="center"/>
        <w:rPr>
          <w:rFonts w:ascii="仿宋_GB2312" w:eastAsia="仿宋_GB2312" w:cs="仿宋_GB2312"/>
          <w:b/>
          <w:bCs/>
          <w:kern w:val="0"/>
          <w:sz w:val="36"/>
          <w:szCs w:val="36"/>
        </w:rPr>
      </w:pPr>
      <w:r>
        <w:rPr>
          <w:rFonts w:hint="eastAsia" w:ascii="仿宋_GB2312" w:eastAsia="仿宋_GB2312" w:cs="仿宋_GB2312"/>
          <w:b/>
          <w:bCs/>
          <w:kern w:val="0"/>
          <w:sz w:val="36"/>
          <w:szCs w:val="36"/>
        </w:rPr>
        <w:t>XX公司</w:t>
      </w:r>
    </w:p>
    <w:p>
      <w:pPr>
        <w:widowControl/>
        <w:spacing w:beforeAutospacing="1" w:afterAutospacing="1" w:line="600" w:lineRule="exact"/>
        <w:jc w:val="center"/>
        <w:rPr>
          <w:rFonts w:hint="eastAsia" w:ascii="仿宋_GB2312" w:hAnsi="宋体" w:eastAsia="仿宋_GB2312" w:cs="仿宋_GB2312"/>
          <w:kern w:val="0"/>
          <w:sz w:val="28"/>
          <w:szCs w:val="28"/>
          <w:highlight w:val="yellow"/>
        </w:rPr>
        <w:sectPr>
          <w:footerReference r:id="rId3" w:type="default"/>
          <w:pgSz w:w="11906" w:h="16839"/>
          <w:pgMar w:top="1440" w:right="1633" w:bottom="1440" w:left="1633" w:header="851" w:footer="992" w:gutter="0"/>
          <w:pgNumType w:start="1"/>
          <w:cols w:space="0" w:num="1"/>
        </w:sectPr>
      </w:pPr>
      <w:r>
        <w:rPr>
          <w:rFonts w:hint="eastAsia" w:ascii="仿宋_GB2312" w:hAnsi="宋体" w:eastAsia="仿宋_GB2312" w:cs="仿宋_GB2312"/>
          <w:b/>
          <w:bCs/>
          <w:kern w:val="0"/>
          <w:sz w:val="36"/>
          <w:szCs w:val="36"/>
        </w:rPr>
        <w:t xml:space="preserve"> </w:t>
      </w:r>
      <w:r>
        <w:rPr>
          <w:rFonts w:ascii="仿宋_GB2312" w:hAnsi="宋体" w:eastAsia="仿宋_GB2312" w:cs="仿宋_GB2312"/>
          <w:b/>
          <w:bCs/>
          <w:kern w:val="0"/>
          <w:sz w:val="36"/>
          <w:szCs w:val="36"/>
        </w:rPr>
        <w:t>服务合同</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甲方: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地址:</w:t>
      </w:r>
      <w:r>
        <w:rPr>
          <w:rFonts w:hint="eastAsia" w:ascii="仿宋_GB2312" w:hAnsi="宋体" w:eastAsia="仿宋_GB2312" w:cs="仿宋_GB2312"/>
          <w:kern w:val="0"/>
          <w:sz w:val="28"/>
          <w:szCs w:val="28"/>
        </w:rPr>
        <w:t xml:space="preserve">湖北省武汉市汉阳区汉阳大道408号万科未来中心T2写字楼第34层、38-41层、42层01-07室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 </w:t>
      </w:r>
    </w:p>
    <w:p>
      <w:pPr>
        <w:widowControl/>
        <w:spacing w:beforeAutospacing="1" w:afterAutospacing="1" w:line="600" w:lineRule="exact"/>
        <w:rPr>
          <w:rFonts w:ascii="仿宋_GB2312" w:eastAsia="仿宋_GB2312" w:cs="仿宋_GB2312"/>
          <w:kern w:val="0"/>
          <w:sz w:val="28"/>
          <w:szCs w:val="28"/>
        </w:rPr>
      </w:pPr>
      <w:r>
        <w:rPr>
          <w:rFonts w:ascii="仿宋_GB2312" w:hAnsi="宋体" w:eastAsia="仿宋_GB2312" w:cs="仿宋_GB2312"/>
          <w:kern w:val="0"/>
          <w:sz w:val="28"/>
          <w:szCs w:val="28"/>
        </w:rPr>
        <w:t xml:space="preserve">乙方: </w:t>
      </w:r>
    </w:p>
    <w:p>
      <w:pPr>
        <w:widowControl/>
        <w:spacing w:beforeAutospacing="1" w:afterAutospacing="1" w:line="600" w:lineRule="exact"/>
        <w:rPr>
          <w:rFonts w:ascii="仿宋_GB2312" w:hAnsi="宋体" w:eastAsia="仿宋_GB2312" w:cs="仿宋_GB2312"/>
          <w:kern w:val="0"/>
          <w:sz w:val="28"/>
          <w:szCs w:val="28"/>
        </w:rPr>
      </w:pPr>
      <w:r>
        <w:rPr>
          <w:rFonts w:ascii="仿宋_GB2312" w:hAnsi="宋体" w:eastAsia="仿宋_GB2312" w:cs="仿宋_GB2312"/>
          <w:kern w:val="0"/>
          <w:sz w:val="28"/>
          <w:szCs w:val="28"/>
        </w:rPr>
        <w:t>地址:</w:t>
      </w:r>
    </w:p>
    <w:p>
      <w:pPr>
        <w:pStyle w:val="2"/>
        <w:rPr>
          <w:rFonts w:ascii="仿宋_GB2312" w:hAnsi="宋体" w:eastAsia="仿宋_GB2312" w:cs="仿宋_GB2312"/>
          <w:kern w:val="0"/>
          <w:sz w:val="28"/>
          <w:szCs w:val="28"/>
        </w:rPr>
      </w:pPr>
    </w:p>
    <w:p>
      <w:pPr>
        <w:pStyle w:val="2"/>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鉴于:</w:t>
      </w:r>
    </w:p>
    <w:p>
      <w:pPr>
        <w:pStyle w:val="2"/>
        <w:ind w:firstLine="560" w:firstLineChars="200"/>
        <w:rPr>
          <w:rFonts w:ascii="仿宋_GB2312" w:hAnsi="宋体" w:eastAsia="仿宋_GB2312" w:cs="仿宋_GB2312"/>
          <w:kern w:val="0"/>
          <w:sz w:val="28"/>
          <w:szCs w:val="28"/>
        </w:rPr>
      </w:pPr>
      <w:r>
        <w:rPr>
          <w:rFonts w:hint="eastAsia" w:ascii="仿宋_GB2312" w:hAnsi="宋体" w:eastAsia="仿宋_GB2312" w:cs="仿宋_GB2312"/>
          <w:kern w:val="0"/>
          <w:sz w:val="28"/>
          <w:szCs w:val="28"/>
        </w:rPr>
        <w:t>鉴于中国人民财产保险股份有限公司武汉市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是甲方下级分支机构，为本协议的实际承接方，本协议项下甲方的权利义务由中国人民财产保险股份有限公司武汉市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概括承受。</w:t>
      </w:r>
    </w:p>
    <w:p>
      <w:pPr>
        <w:widowControl/>
        <w:spacing w:beforeAutospacing="1" w:afterAutospacing="1" w:line="600" w:lineRule="exact"/>
        <w:jc w:val="center"/>
        <w:rPr>
          <w:rFonts w:hint="eastAsia" w:ascii="仿宋_GB2312" w:hAnsi="宋体" w:eastAsia="仿宋_GB2312" w:cs="仿宋_GB2312"/>
          <w:b/>
          <w:bCs/>
          <w:kern w:val="0"/>
          <w:sz w:val="36"/>
          <w:szCs w:val="36"/>
        </w:rPr>
      </w:pPr>
    </w:p>
    <w:p>
      <w:pPr>
        <w:widowControl/>
        <w:spacing w:beforeAutospacing="1" w:afterAutospacing="1" w:line="600" w:lineRule="exact"/>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 xml:space="preserve"> </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商务部分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第一条</w:t>
      </w:r>
      <w:r>
        <w:rPr>
          <w:rFonts w:ascii="仿宋_GB2312" w:hAnsi="宋体" w:eastAsia="仿宋_GB2312" w:cs="仿宋_GB2312"/>
          <w:kern w:val="0"/>
          <w:sz w:val="32"/>
          <w:szCs w:val="32"/>
        </w:rPr>
        <w:t xml:space="preserve"> 项目内容及要求</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项目内容及要求</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本合同项下甲乙双方约定的项目内容及要求见本合同【附件】。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合同价格</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本次项目为非标准化的服务项目</w:t>
      </w:r>
      <w:r>
        <w:rPr>
          <w:rFonts w:hint="eastAsia" w:cs="宋体"/>
          <w:sz w:val="24"/>
          <w:szCs w:val="24"/>
        </w:rPr>
        <w:t>，</w:t>
      </w:r>
      <w:r>
        <w:rPr>
          <w:rFonts w:ascii="仿宋_GB2312" w:hAnsi="宋体" w:eastAsia="仿宋_GB2312" w:cs="仿宋_GB2312"/>
          <w:kern w:val="0"/>
          <w:sz w:val="32"/>
          <w:szCs w:val="32"/>
        </w:rPr>
        <w:t>本合同服务费单价为</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，本合同服务费用</w:t>
      </w:r>
      <w:r>
        <w:rPr>
          <w:rFonts w:hint="eastAsia" w:ascii="仿宋_GB2312" w:eastAsia="仿宋_GB2312" w:cs="仿宋_GB2312"/>
          <w:kern w:val="0"/>
          <w:sz w:val="32"/>
          <w:szCs w:val="32"/>
        </w:rPr>
        <w:t>预算</w:t>
      </w:r>
      <w:r>
        <w:rPr>
          <w:rFonts w:ascii="仿宋_GB2312" w:hAnsi="宋体" w:eastAsia="仿宋_GB2312" w:cs="仿宋_GB2312"/>
          <w:kern w:val="0"/>
          <w:sz w:val="32"/>
          <w:szCs w:val="32"/>
        </w:rPr>
        <w:t>总额</w:t>
      </w:r>
      <w:r>
        <w:rPr>
          <w:rFonts w:hint="eastAsia" w:ascii="仿宋_GB2312" w:eastAsia="仿宋_GB2312" w:cs="仿宋_GB2312"/>
          <w:kern w:val="0"/>
          <w:sz w:val="32"/>
          <w:szCs w:val="32"/>
        </w:rPr>
        <w:t xml:space="preserve"> </w:t>
      </w:r>
      <w:r>
        <w:rPr>
          <w:rFonts w:hint="eastAsia" w:ascii="仿宋_GB2312" w:eastAsia="仿宋_GB2312" w:cs="仿宋_GB2312"/>
          <w:kern w:val="0"/>
          <w:sz w:val="32"/>
          <w:szCs w:val="32"/>
          <w:u w:val="single"/>
        </w:rPr>
        <w:t xml:space="preserve">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，具体以实际结算金额为准</w:t>
      </w:r>
      <w:r>
        <w:rPr>
          <w:rFonts w:hint="eastAsia" w:ascii="仿宋_GB2312" w:hAnsi="宋体" w:eastAsia="仿宋_GB2312" w:cs="仿宋_GB2312"/>
          <w:kern w:val="0"/>
          <w:sz w:val="32"/>
          <w:szCs w:val="32"/>
        </w:rPr>
        <w:t>，</w:t>
      </w:r>
      <w:r>
        <w:rPr>
          <w:rFonts w:ascii="仿宋_GB2312" w:hAnsi="宋体" w:eastAsia="仿宋_GB2312" w:cs="仿宋_GB2312"/>
          <w:kern w:val="0"/>
          <w:sz w:val="32"/>
          <w:szCs w:val="32"/>
        </w:rPr>
        <w:t>结算周期按照实际业务发生量经双方协商后进行周期结算</w:t>
      </w:r>
      <w:r>
        <w:rPr>
          <w:rFonts w:hint="eastAsia" w:ascii="仿宋_GB2312" w:hAnsi="宋体" w:eastAsia="仿宋_GB2312" w:cs="仿宋_GB2312"/>
          <w:kern w:val="0"/>
          <w:sz w:val="32"/>
          <w:szCs w:val="32"/>
        </w:rPr>
        <w:t>。</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本合同付款安排见【附件】。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第三条</w:t>
      </w:r>
      <w:r>
        <w:rPr>
          <w:rFonts w:ascii="仿宋_GB2312" w:hAnsi="宋体" w:eastAsia="仿宋_GB2312" w:cs="仿宋_GB2312"/>
          <w:kern w:val="0"/>
          <w:sz w:val="32"/>
          <w:szCs w:val="32"/>
        </w:rPr>
        <w:t xml:space="preserve"> 违约责任</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违约责任</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甲、乙任一方或双方违约的，违约一方应当向相对方承担相应的违约责任。</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通用部分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第四条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双方的权利和义务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（1）甲方有权获得本合同项下乙方应提供的全部合格的服务；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（2）甲方有权在合同期内对乙方的产品及服务进行监督；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（3）乙方未按照合同约定履行义务的，甲方有权采取相应的措施；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（4）甲方应按照合同约定向乙方支付合同价款；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（5）甲方享有其它双方约定的权利、承担其它双方约定的义务。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（1）乙方有权获得甲方支付的合同价款；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（2）乙方应按照合同约定向甲方提供全部合格的服务；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（3）乙方应当按照合同约定的期限及要求完成项目内容；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（5）乙方享有其它双方约定的权利、承担其它双方约定的义务。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第五条</w:t>
      </w:r>
      <w:r>
        <w:rPr>
          <w:rFonts w:ascii="仿宋_GB2312" w:hAnsi="宋体" w:eastAsia="仿宋_GB2312" w:cs="仿宋_GB2312"/>
          <w:kern w:val="0"/>
          <w:sz w:val="32"/>
          <w:szCs w:val="32"/>
        </w:rPr>
        <w:t xml:space="preserve"> 禁止转让</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禁止转让</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未经甲方事先书面同意，乙方不得将其本合同项下之全部义务或其中一部分义务转让给第三方执行。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第六条</w:t>
      </w:r>
      <w:r>
        <w:rPr>
          <w:rFonts w:ascii="仿宋_GB2312" w:hAnsi="宋体" w:eastAsia="仿宋_GB2312" w:cs="仿宋_GB2312"/>
          <w:kern w:val="0"/>
          <w:sz w:val="32"/>
          <w:szCs w:val="32"/>
        </w:rPr>
        <w:t xml:space="preserve"> 权利保证</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权利保证</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第七条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违约责任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由于甲方原因不能按合同约定时间付款的，每延迟</w:t>
      </w:r>
      <w:r>
        <w:rPr>
          <w:rFonts w:hint="eastAsia" w:ascii="仿宋_GB2312" w:eastAsia="仿宋_GB2312" w:cs="仿宋_GB2312"/>
          <w:kern w:val="0"/>
          <w:sz w:val="32"/>
          <w:szCs w:val="32"/>
        </w:rPr>
        <w:t>10</w:t>
      </w:r>
      <w:r>
        <w:rPr>
          <w:rFonts w:ascii="仿宋_GB2312" w:hAnsi="宋体" w:eastAsia="仿宋_GB2312" w:cs="仿宋_GB2312"/>
          <w:kern w:val="0"/>
          <w:sz w:val="32"/>
          <w:szCs w:val="32"/>
        </w:rPr>
        <w:t>个工作日，甲方按合同应付金额的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向乙方支付违约金。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乙方延迟交付的违约责任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（1）由于乙方原因造成项目延迟的，每延迟</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个工作日，乙方向甲方支付违约金为合同应付金额的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（2）由于乙方原因造成项目迟延，经甲方催促后乙方继续延误的，甲方有权单方面解除合同，乙方应按照合同应付金额的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向甲方支付违约金，并赔偿由此引起的甲方全部损失。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验收不合格并且乙方在甲方指定期限内无法完成整改、提交合格的工作成果的，乙方应向甲方支付合同应付金额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如果乙方违反本合同约定的保密义务，乙方应向甲方支付相当于合同应付金额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的违约金，甲方受到的损失超出违约金的部分，由乙方继续承担赔偿责任。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除本合同的约定外，因乙方的违约行为给甲方造成损失的，乙方应向甲方支付相当于合同应付金额</w:t>
      </w:r>
      <w:r>
        <w:rPr>
          <w:rFonts w:hint="eastAsia" w:ascii="仿宋_GB2312" w:eastAsia="仿宋_GB2312" w:cs="仿宋_GB2312"/>
          <w:kern w:val="0"/>
          <w:sz w:val="32"/>
          <w:szCs w:val="32"/>
          <w:u w:val="single"/>
        </w:rPr>
        <w:t xml:space="preserve"> （     ）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的违约金，如甲方受到的损失超过违约金的，超出部分由乙方继续承担赔偿责任。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第八条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无论本合同因何种原因终止，本保密条款依然有效。</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第九条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不可抗力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日内以书面形式向对方提供详细情况报告及不可抗力对履行本合同影响程度的说明。甲、乙双方应根据不可抗力对合同履行的影响程度，协商确定是否终止合同，或继续履行本合同。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合同一方迟延履行后发生不可抗力的，不能免除其责任。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w:t>
      </w:r>
      <w:r>
        <w:rPr>
          <w:rFonts w:ascii="仿宋_GB2312" w:eastAsia="仿宋_GB2312" w:cs="仿宋_GB2312"/>
          <w:sz w:val="32"/>
          <w:szCs w:val="32"/>
        </w:rPr>
        <w:t>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ascii="仿宋_GB2312" w:hAnsi="宋体" w:eastAsia="仿宋_GB2312" w:cs="仿宋_GB2312"/>
          <w:kern w:val="0"/>
          <w:sz w:val="32"/>
          <w:szCs w:val="32"/>
        </w:rPr>
        <w:t>。</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第十条</w:t>
      </w:r>
      <w:r>
        <w:rPr>
          <w:rFonts w:ascii="仿宋_GB2312" w:hAnsi="宋体" w:eastAsia="仿宋_GB2312" w:cs="仿宋_GB2312"/>
          <w:kern w:val="0"/>
          <w:sz w:val="32"/>
          <w:szCs w:val="32"/>
        </w:rPr>
        <w:t xml:space="preserve"> 合同变更</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合同变更</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对本合同的任何变更或补充，须经甲乙双方协商一致，并另行签订书面补充协议。</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第十一条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合同特别终止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（1）乙方破产、解散（包括但不限于乙方股东会决议解散、乙方被吊销营业执照、被责令关闭、被撤销、被司法机关裁决解散等情形）；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法律适用与争议解决</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本合同的订立、效力、解释、履行和争议的解决均适用中华人民共和国法律（不包括港澳台地区法律）。</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第十三条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合同生效及其他</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本合同经甲乙双方法定代表人或授权代表签字或加盖公章后生效。</w:t>
      </w:r>
    </w:p>
    <w:p>
      <w:pPr>
        <w:widowControl/>
        <w:spacing w:beforeAutospacing="1" w:afterAutospacing="1" w:line="600" w:lineRule="exact"/>
        <w:ind w:left="640" w:hanging="640" w:hangingChars="200"/>
        <w:jc w:val="left"/>
        <w:rPr>
          <w:rFonts w:hint="eastAsia" w:ascii="宋体" w:hAnsi="宋体" w:cs="宋体"/>
          <w:kern w:val="0"/>
          <w:sz w:val="24"/>
          <w:szCs w:val="24"/>
        </w:rPr>
      </w:pPr>
      <w:r>
        <w:rPr>
          <w:rFonts w:ascii="仿宋_GB2312" w:hAnsi="宋体" w:eastAsia="仿宋_GB2312" w:cs="仿宋_GB2312"/>
          <w:kern w:val="0"/>
          <w:sz w:val="32"/>
          <w:szCs w:val="32"/>
        </w:rPr>
        <w:t xml:space="preserve">   （二） 合同期限自</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日始，至</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本合同一式</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份，其中正本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份。甲方执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份副本；乙方执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pPr>
        <w:widowControl/>
        <w:spacing w:beforeAutospacing="1" w:afterAutospacing="1" w:line="600" w:lineRule="exact"/>
        <w:ind w:firstLine="642"/>
        <w:jc w:val="left"/>
        <w:rPr>
          <w:rFonts w:ascii="仿宋_GB2312" w:eastAsia="仿宋_GB2312" w:cs="仿宋_GB2312"/>
          <w:sz w:val="32"/>
          <w:szCs w:val="32"/>
        </w:rPr>
      </w:pPr>
      <w:r>
        <w:rPr>
          <w:rFonts w:ascii="仿宋_GB2312" w:hAnsi="宋体" w:eastAsia="仿宋_GB2312" w:cs="仿宋_GB2312"/>
          <w:b/>
          <w:kern w:val="0"/>
          <w:sz w:val="32"/>
          <w:szCs w:val="32"/>
        </w:rPr>
        <w:t>第十四条</w:t>
      </w:r>
      <w:r>
        <w:rPr>
          <w:rFonts w:ascii="仿宋_GB2312" w:hAnsi="宋体" w:eastAsia="仿宋_GB2312" w:cs="仿宋_GB2312"/>
          <w:kern w:val="0"/>
          <w:sz w:val="32"/>
          <w:szCs w:val="32"/>
        </w:rPr>
        <w:t xml:space="preserve"> </w:t>
      </w:r>
      <w:r>
        <w:rPr>
          <w:rFonts w:ascii="仿宋_GB2312" w:eastAsia="仿宋_GB2312" w:cs="仿宋_GB2312"/>
          <w:sz w:val="32"/>
          <w:szCs w:val="32"/>
        </w:rPr>
        <w:t>附件的组成</w:t>
      </w:r>
    </w:p>
    <w:p>
      <w:pPr>
        <w:pStyle w:val="2"/>
      </w:pPr>
      <w:r>
        <w:rPr>
          <w:rFonts w:ascii="仿宋_GB2312" w:eastAsia="仿宋_GB2312" w:cs="仿宋_GB2312"/>
          <w:b/>
          <w:bCs/>
          <w:sz w:val="32"/>
          <w:szCs w:val="32"/>
        </w:rPr>
        <w:t>附件的组成</w:t>
      </w:r>
    </w:p>
    <w:p>
      <w:pPr>
        <w:pStyle w:val="2"/>
      </w:pPr>
    </w:p>
    <w:p>
      <w:pPr>
        <w:widowControl/>
        <w:spacing w:beforeAutospacing="1" w:afterAutospacing="1" w:line="600" w:lineRule="exact"/>
        <w:jc w:val="lef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附件一、服务内容及要求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附件二、付款 </w:t>
      </w:r>
    </w:p>
    <w:p>
      <w:pPr>
        <w:rPr>
          <w:rFonts w:hint="eastAsia" w:ascii="仿宋_GB2312" w:hAnsi="宋体" w:eastAsia="仿宋_GB2312" w:cs="仿宋_GB2312"/>
          <w:kern w:val="0"/>
          <w:sz w:val="32"/>
          <w:szCs w:val="32"/>
        </w:rPr>
      </w:pPr>
      <w:r>
        <w:rPr>
          <w:rFonts w:hint="eastAsia" w:ascii="仿宋_GB2312" w:eastAsia="仿宋_GB2312" w:cs="仿宋_GB2312"/>
          <w:kern w:val="0"/>
          <w:sz w:val="32"/>
          <w:szCs w:val="32"/>
        </w:rPr>
        <w:t>附件三、</w:t>
      </w:r>
      <w:r>
        <w:rPr>
          <w:rFonts w:hint="eastAsia" w:ascii="仿宋_GB2312" w:hAnsi="宋体" w:eastAsia="仿宋_GB2312" w:cs="仿宋_GB2312"/>
          <w:kern w:val="0"/>
          <w:sz w:val="32"/>
          <w:szCs w:val="32"/>
        </w:rPr>
        <w:t>客户信息保护条款</w:t>
      </w:r>
    </w:p>
    <w:p>
      <w:pPr>
        <w:pStyle w:val="2"/>
      </w:pPr>
    </w:p>
    <w:p>
      <w:pPr>
        <w:rPr>
          <w:rFonts w:ascii="仿宋_GB2312" w:eastAsia="仿宋_GB2312" w:cs="仿宋_GB2312"/>
          <w:kern w:val="0"/>
          <w:sz w:val="32"/>
          <w:szCs w:val="32"/>
        </w:rPr>
      </w:pPr>
      <w:r>
        <w:rPr>
          <w:rFonts w:hint="eastAsia" w:ascii="仿宋_GB2312" w:eastAsia="仿宋_GB2312" w:cs="仿宋_GB2312"/>
          <w:kern w:val="0"/>
          <w:sz w:val="32"/>
          <w:szCs w:val="32"/>
        </w:rPr>
        <w:t>附件四、廉洁诚信协议</w:t>
      </w:r>
    </w:p>
    <w:p>
      <w:pPr>
        <w:widowControl/>
        <w:spacing w:beforeAutospacing="1" w:afterAutospacing="1" w:line="600" w:lineRule="exact"/>
        <w:jc w:val="left"/>
        <w:rPr>
          <w:rFonts w:hint="eastAsia" w:ascii="仿宋_GB2312" w:hAnsi="宋体" w:eastAsia="仿宋_GB2312" w:cs="仿宋_GB2312"/>
          <w:kern w:val="0"/>
          <w:sz w:val="32"/>
          <w:szCs w:val="32"/>
        </w:rPr>
      </w:pPr>
    </w:p>
    <w:p>
      <w:pPr>
        <w:widowControl/>
        <w:rPr>
          <w:rFonts w:hint="eastAsia" w:ascii="仿宋_GB2312" w:hAnsi="宋体" w:eastAsia="仿宋_GB2312" w:cs="仿宋_GB2312"/>
          <w:kern w:val="0"/>
          <w:sz w:val="32"/>
          <w:szCs w:val="32"/>
        </w:rPr>
      </w:pPr>
      <w:r>
        <w:rPr>
          <w:rFonts w:ascii="仿宋_GB2312" w:hAnsi="宋体" w:eastAsia="仿宋_GB2312" w:cs="仿宋_GB2312"/>
          <w:kern w:val="0"/>
          <w:sz w:val="32"/>
          <w:szCs w:val="32"/>
        </w:rPr>
        <w:br w:type="page"/>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（本页为盖章页，无正文）</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兹证明，各方于</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年</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月</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日签订本合同。</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 xml:space="preserve">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32"/>
          <w:szCs w:val="32"/>
        </w:rPr>
        <w:t xml:space="preserve">甲方（盖章）: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法定代表人/授权代表（签字）： </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widowControl/>
        <w:spacing w:beforeAutospacing="1" w:afterAutospacing="1" w:line="600" w:lineRule="exact"/>
        <w:rPr>
          <w:rFonts w:ascii="仿宋_GB2312" w:eastAsia="仿宋_GB2312" w:cs="仿宋_GB2312"/>
          <w:kern w:val="0"/>
          <w:sz w:val="32"/>
          <w:szCs w:val="32"/>
        </w:rPr>
      </w:pPr>
      <w:r>
        <w:rPr>
          <w:rFonts w:ascii="仿宋_GB2312" w:hAnsi="宋体" w:eastAsia="仿宋_GB2312" w:cs="仿宋_GB2312"/>
          <w:kern w:val="0"/>
          <w:sz w:val="32"/>
          <w:szCs w:val="32"/>
        </w:rPr>
        <w:t xml:space="preserve">乙方（盖章）: </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法定代表人/授权代表（签字）：</w:t>
      </w:r>
    </w:p>
    <w:p>
      <w:pPr>
        <w:widowControl/>
        <w:rPr>
          <w:rFonts w:hint="eastAsia" w:ascii="仿宋_GB2312" w:hAnsi="宋体" w:eastAsia="仿宋_GB2312" w:cs="仿宋_GB2312"/>
          <w:kern w:val="0"/>
          <w:sz w:val="32"/>
          <w:szCs w:val="32"/>
        </w:rPr>
      </w:pPr>
      <w:r>
        <w:rPr>
          <w:rFonts w:ascii="仿宋_GB2312" w:hAnsi="宋体" w:eastAsia="仿宋_GB2312" w:cs="仿宋_GB2312"/>
          <w:kern w:val="0"/>
          <w:sz w:val="32"/>
          <w:szCs w:val="32"/>
        </w:rPr>
        <w:br w:type="page"/>
      </w:r>
    </w:p>
    <w:p>
      <w:pPr>
        <w:pStyle w:val="3"/>
        <w:keepNext w:val="0"/>
        <w:numPr>
          <w:ilvl w:val="0"/>
          <w:numId w:val="0"/>
        </w:numPr>
        <w:ind w:left="482"/>
        <w:rPr>
          <w:rFonts w:hint="eastAsia"/>
          <w:color w:val="E24800"/>
          <w:kern w:val="44"/>
          <w:sz w:val="24"/>
          <w:szCs w:val="24"/>
        </w:rPr>
      </w:pPr>
      <w:r>
        <w:rPr>
          <w:rFonts w:hint="eastAsia" w:ascii="楷体" w:hAnsi="楷体" w:eastAsia="楷体" w:cs="楷体"/>
          <w:color w:val="000000"/>
          <w:kern w:val="44"/>
          <w:sz w:val="24"/>
          <w:szCs w:val="24"/>
        </w:rPr>
        <w:t>附件一</w:t>
      </w:r>
      <w:r>
        <w:rPr>
          <w:rFonts w:hint="eastAsia"/>
          <w:color w:val="E24800"/>
          <w:kern w:val="44"/>
          <w:sz w:val="24"/>
          <w:szCs w:val="24"/>
        </w:rPr>
        <w:tab/>
      </w:r>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服务内容及要求</w:t>
      </w:r>
    </w:p>
    <w:p>
      <w:pPr>
        <w:widowControl/>
        <w:autoSpaceDE w:val="0"/>
        <w:autoSpaceDN w:val="0"/>
        <w:spacing w:line="360" w:lineRule="auto"/>
        <w:ind w:firstLine="470"/>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widowControl/>
        <w:spacing w:line="360" w:lineRule="auto"/>
        <w:ind w:firstLine="360" w:firstLineChars="150"/>
        <w:rPr>
          <w:rFonts w:hint="eastAsia" w:ascii="楷体" w:hAnsi="楷体" w:eastAsia="楷体" w:cs="楷体"/>
          <w:kern w:val="0"/>
          <w:sz w:val="24"/>
          <w:szCs w:val="24"/>
        </w:rPr>
      </w:pPr>
      <w:r>
        <w:rPr>
          <w:rFonts w:hint="eastAsia" w:ascii="楷体" w:hAnsi="楷体" w:eastAsia="楷体" w:cs="楷体"/>
          <w:kern w:val="0"/>
          <w:sz w:val="24"/>
          <w:szCs w:val="24"/>
        </w:rPr>
        <w:t>1.项目名称</w:t>
      </w:r>
    </w:p>
    <w:p>
      <w:pPr>
        <w:widowControl/>
        <w:spacing w:line="360" w:lineRule="auto"/>
        <w:ind w:firstLine="360" w:firstLineChars="150"/>
        <w:rPr>
          <w:rFonts w:hint="default" w:ascii="楷体" w:hAnsi="楷体" w:eastAsia="楷体" w:cs="楷体"/>
          <w:kern w:val="0"/>
          <w:sz w:val="24"/>
          <w:szCs w:val="24"/>
          <w:highlight w:val="none"/>
          <w:lang w:val="en-US" w:eastAsia="zh-CN"/>
        </w:rPr>
      </w:pPr>
      <w:r>
        <w:rPr>
          <w:rFonts w:hint="eastAsia" w:ascii="楷体" w:hAnsi="楷体" w:eastAsia="楷体" w:cs="楷体"/>
          <w:kern w:val="0"/>
          <w:sz w:val="24"/>
          <w:szCs w:val="24"/>
        </w:rPr>
        <w:t>项目名称：</w:t>
      </w:r>
      <w:r>
        <w:rPr>
          <w:rFonts w:hint="eastAsia" w:ascii="楷体" w:hAnsi="楷体" w:eastAsia="楷体" w:cs="楷体"/>
          <w:kern w:val="0"/>
          <w:sz w:val="24"/>
          <w:szCs w:val="24"/>
          <w:lang w:eastAsia="zh-CN"/>
        </w:rPr>
        <w:t>人保财险湖北省武汉市直属营销服务部</w:t>
      </w:r>
      <w:r>
        <w:rPr>
          <w:rFonts w:hint="eastAsia" w:ascii="楷体" w:hAnsi="楷体" w:eastAsia="楷体" w:cs="楷体"/>
          <w:kern w:val="0"/>
          <w:sz w:val="24"/>
          <w:szCs w:val="24"/>
          <w:highlight w:val="none"/>
          <w:lang w:eastAsia="zh-CN"/>
        </w:rPr>
        <w:t>车险家用车客户三者保额需求调查</w:t>
      </w:r>
    </w:p>
    <w:p>
      <w:pPr>
        <w:widowControl/>
        <w:spacing w:line="360" w:lineRule="auto"/>
        <w:ind w:firstLine="360" w:firstLineChars="150"/>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2. 项目内容</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（1）乙方向甲方提供的服务内容：</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1. 客户三者保额认知与误解分析</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 xml:space="preserve">    分析家用车客户对三者险保额（如50万、100万、200万、300万以上）的实际理解程度，识别常见认知偏差（如认为低保额足够、高保额浪费等）。</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2. 影响保额选择的关键因素研究</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 xml:space="preserve">    通过统计与回归分析，识别影响家用车客户保额决策的主要因素（如车辆用途、驾驶频次、收入水平、过往出险经历、销售人员推荐等）。</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3. 不同客户群体的保额偏好画像</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 xml:space="preserve">    按年龄、车龄、车型、地区（武汉市区及周边）等维度进行细分，形成典型家用车客户的保额需求画像，为精准营销提供依据。</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4. 客户续保意向与三者保额联动分析</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 xml:space="preserve">    分析三者保额高低与家用车客户续保率、忠诚度之间的关系，探索通过合理提高保额来增强家用车客户黏性的可行性。  </w:t>
      </w:r>
    </w:p>
    <w:p>
      <w:pPr>
        <w:widowControl/>
        <w:spacing w:line="360" w:lineRule="auto"/>
        <w:rPr>
          <w:rFonts w:hint="eastAsia" w:ascii="楷体" w:hAnsi="楷体" w:eastAsia="楷体" w:cs="楷体"/>
          <w:kern w:val="0"/>
          <w:sz w:val="24"/>
          <w:szCs w:val="24"/>
        </w:rPr>
      </w:pPr>
      <w:r>
        <w:rPr>
          <w:rFonts w:hint="eastAsia" w:ascii="楷体" w:hAnsi="楷体" w:eastAsia="楷体" w:cs="楷体"/>
          <w:kern w:val="0"/>
          <w:sz w:val="24"/>
          <w:szCs w:val="24"/>
        </w:rPr>
        <w:t>（2）服务期限：</w:t>
      </w:r>
    </w:p>
    <w:p>
      <w:pPr>
        <w:widowControl/>
        <w:spacing w:line="360" w:lineRule="auto"/>
        <w:ind w:firstLine="432" w:firstLineChars="150"/>
        <w:rPr>
          <w:rFonts w:hint="eastAsia" w:ascii="楷体" w:hAnsi="楷体" w:eastAsia="楷体" w:cs="楷体"/>
          <w:spacing w:val="24"/>
          <w:kern w:val="0"/>
          <w:sz w:val="24"/>
          <w:szCs w:val="24"/>
        </w:rPr>
      </w:pPr>
      <w:r>
        <w:rPr>
          <w:rFonts w:hint="eastAsia" w:ascii="楷体" w:hAnsi="楷体" w:eastAsia="楷体" w:cs="楷体"/>
          <w:spacing w:val="24"/>
          <w:kern w:val="0"/>
          <w:sz w:val="24"/>
          <w:szCs w:val="24"/>
        </w:rPr>
        <w:t>合同期限自</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日始，至</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日止。</w:t>
      </w:r>
    </w:p>
    <w:p>
      <w:pPr>
        <w:widowControl/>
        <w:numPr>
          <w:ilvl w:val="0"/>
          <w:numId w:val="0"/>
        </w:numPr>
        <w:spacing w:line="360" w:lineRule="auto"/>
        <w:rPr>
          <w:rFonts w:hint="eastAsia" w:ascii="楷体" w:hAnsi="楷体" w:eastAsia="楷体" w:cs="楷体"/>
          <w:spacing w:val="24"/>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lang w:eastAsia="zh-CN"/>
        </w:rPr>
        <w:t>）</w:t>
      </w:r>
      <w:r>
        <w:rPr>
          <w:rFonts w:hint="eastAsia" w:ascii="楷体" w:hAnsi="楷体" w:eastAsia="楷体" w:cs="楷体"/>
          <w:spacing w:val="24"/>
          <w:kern w:val="0"/>
          <w:sz w:val="24"/>
          <w:szCs w:val="24"/>
        </w:rPr>
        <w:t>其他要求：</w:t>
      </w:r>
    </w:p>
    <w:p>
      <w:pPr>
        <w:widowControl/>
        <w:spacing w:line="360" w:lineRule="auto"/>
        <w:ind w:firstLine="600" w:firstLineChars="250"/>
        <w:rPr>
          <w:rFonts w:hint="eastAsia" w:ascii="楷体" w:hAnsi="楷体" w:eastAsia="楷体" w:cs="楷体"/>
          <w:spacing w:val="24"/>
          <w:kern w:val="0"/>
          <w:sz w:val="24"/>
          <w:szCs w:val="24"/>
        </w:rPr>
      </w:pPr>
      <w:r>
        <w:rPr>
          <w:rFonts w:hint="eastAsia" w:ascii="楷体" w:hAnsi="楷体" w:eastAsia="楷体" w:cs="楷体"/>
          <w:kern w:val="0"/>
          <w:sz w:val="24"/>
          <w:szCs w:val="24"/>
        </w:rPr>
        <w:t>甲方向乙方采购</w:t>
      </w:r>
      <w:r>
        <w:rPr>
          <w:rFonts w:hint="eastAsia" w:ascii="楷体" w:hAnsi="楷体" w:eastAsia="楷体" w:cs="楷体"/>
          <w:kern w:val="0"/>
          <w:sz w:val="24"/>
          <w:szCs w:val="24"/>
          <w:lang w:eastAsia="zh-CN"/>
        </w:rPr>
        <w:t>人保财险湖北省武汉市直属营销服务部车险家用车客户三者保额需求调查</w:t>
      </w:r>
      <w:r>
        <w:rPr>
          <w:rFonts w:hint="eastAsia" w:ascii="楷体" w:hAnsi="楷体" w:eastAsia="楷体" w:cs="楷体"/>
          <w:kern w:val="0"/>
          <w:sz w:val="24"/>
          <w:szCs w:val="24"/>
        </w:rPr>
        <w:t>，本项目单次服务报价为：直属营销服务部</w:t>
      </w:r>
      <w:r>
        <w:rPr>
          <w:rFonts w:hint="eastAsia" w:ascii="楷体" w:hAnsi="楷体" w:eastAsia="楷体" w:cs="楷体"/>
          <w:kern w:val="0"/>
          <w:sz w:val="24"/>
          <w:szCs w:val="24"/>
          <w:lang w:eastAsia="zh-CN"/>
        </w:rPr>
        <w:t>车险家用车客户三者保额需求调查</w:t>
      </w:r>
      <w:r>
        <w:rPr>
          <w:rFonts w:hint="eastAsia" w:ascii="楷体" w:hAnsi="楷体" w:eastAsia="楷体" w:cs="楷体"/>
          <w:kern w:val="0"/>
          <w:sz w:val="24"/>
          <w:szCs w:val="24"/>
        </w:rPr>
        <w:t>数量*单价，按照双方约定结算周期，可根据实际业务量经甲乙双方沟通协商后按需结算，甲方根据乙方实际所提供的服务数量支付服务费用。</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widowControl/>
        <w:autoSpaceDE w:val="0"/>
        <w:autoSpaceDN w:val="0"/>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widowControl/>
        <w:spacing w:line="360" w:lineRule="auto"/>
        <w:ind w:firstLine="480" w:firstLineChars="200"/>
        <w:rPr>
          <w:rFonts w:hint="eastAsia" w:ascii="楷体" w:hAnsi="楷体" w:eastAsia="楷体" w:cs="宋体"/>
          <w:b/>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widowControl/>
        <w:rPr>
          <w:rFonts w:hint="eastAsia" w:ascii="宋体" w:hAnsi="宋体" w:cs="宋体"/>
          <w:kern w:val="0"/>
          <w:sz w:val="24"/>
          <w:szCs w:val="24"/>
        </w:rPr>
      </w:pPr>
      <w:r>
        <w:rPr>
          <w:rFonts w:hint="eastAsia" w:ascii="宋体" w:hAnsi="宋体" w:cs="宋体"/>
          <w:kern w:val="0"/>
          <w:sz w:val="24"/>
          <w:szCs w:val="24"/>
        </w:rPr>
        <w:t xml:space="preserve"> </w:t>
      </w:r>
    </w:p>
    <w:p>
      <w:pPr>
        <w:pStyle w:val="3"/>
        <w:keepNext w:val="0"/>
        <w:numPr>
          <w:ilvl w:val="0"/>
          <w:numId w:val="0"/>
        </w:numPr>
        <w:rPr>
          <w:rFonts w:ascii="Times New Roman" w:hAnsi="Times New Roman" w:eastAsia="楷体" w:cs="Times New Roman"/>
          <w:color w:val="000000"/>
          <w:kern w:val="44"/>
          <w:sz w:val="24"/>
          <w:szCs w:val="24"/>
        </w:rPr>
      </w:pPr>
      <w:r>
        <w:rPr>
          <w:rFonts w:hint="eastAsia" w:ascii="楷体" w:hAnsi="楷体" w:eastAsia="楷体" w:cs="楷体"/>
          <w:color w:val="000000"/>
          <w:kern w:val="44"/>
          <w:sz w:val="24"/>
          <w:szCs w:val="24"/>
        </w:rPr>
        <w:t>附件二</w:t>
      </w:r>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付款</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pPr>
        <w:widowControl/>
        <w:spacing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楷体"/>
          <w:kern w:val="0"/>
          <w:sz w:val="24"/>
          <w:szCs w:val="24"/>
        </w:rPr>
        <w:t>[现金/支票]双方采用转账方式付款的，甲方应向乙方以下账户进行支付：</w:t>
      </w:r>
    </w:p>
    <w:p>
      <w:pPr>
        <w:widowControl/>
        <w:spacing w:after="120" w:afterLines="50"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w:t>
      </w:r>
      <w:r>
        <w:rPr>
          <w:rFonts w:hint="eastAsia" w:ascii="楷体" w:hAnsi="楷体" w:eastAsia="楷体" w:cs="宋体"/>
          <w:kern w:val="0"/>
          <w:sz w:val="24"/>
          <w:szCs w:val="24"/>
        </w:rPr>
        <w:tab/>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开户行：</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账户名称：</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账号：</w:t>
      </w:r>
    </w:p>
    <w:p>
      <w:pPr>
        <w:widowControl/>
        <w:spacing w:after="120" w:afterLines="50"/>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乙方如需改变上述账户，应提前10日以书面通知甲方。</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3.付款安排</w:t>
      </w:r>
    </w:p>
    <w:p>
      <w:pPr>
        <w:widowControl/>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甲方验收完成后向乙方付款，每次付款前乙方须向甲方出具付款通知书，并根据甲方要求出具足额有效的增值税发票:</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 xml:space="preserve"> 本合同生效后，甲方对乙方提供的咨询服务验收完成后，收到</w:t>
      </w:r>
      <w:r>
        <w:rPr>
          <w:rFonts w:hint="eastAsia" w:ascii="楷体" w:hAnsi="楷体" w:eastAsia="楷体" w:cs="楷体"/>
          <w:kern w:val="0"/>
          <w:sz w:val="24"/>
          <w:szCs w:val="24"/>
          <w:lang w:val="en-US" w:eastAsia="zh-CN"/>
        </w:rPr>
        <w:t>乙</w:t>
      </w:r>
      <w:r>
        <w:rPr>
          <w:rFonts w:hint="eastAsia" w:ascii="楷体" w:hAnsi="楷体" w:eastAsia="楷体" w:cs="楷体"/>
          <w:kern w:val="0"/>
          <w:sz w:val="24"/>
          <w:szCs w:val="24"/>
        </w:rPr>
        <w:t>方书面付款通知书后15个工作日内，按甲乙双方书面确认的实际服务内容结算。</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4.增值税发票的相关约定</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（1）本合同发票开具和收款单位授权给我公司下属分支机构</w:t>
      </w:r>
      <w:r>
        <w:rPr>
          <w:rFonts w:hint="eastAsia" w:ascii="楷体" w:hAnsi="楷体" w:eastAsia="楷体" w:cs="楷体"/>
          <w:kern w:val="0"/>
          <w:sz w:val="24"/>
          <w:szCs w:val="24"/>
          <w:lang w:eastAsia="zh-CN"/>
        </w:rPr>
        <w:t>直属营销服务部，</w:t>
      </w:r>
      <w:r>
        <w:rPr>
          <w:rFonts w:hint="eastAsia" w:ascii="楷体" w:hAnsi="楷体" w:eastAsia="楷体" w:cs="楷体"/>
          <w:kern w:val="0"/>
          <w:sz w:val="24"/>
          <w:szCs w:val="24"/>
        </w:rPr>
        <w:t xml:space="preserve">乙方应向甲方开具增值税发票，甲方开票信息如下： </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中国人民财产保险股份有限公司武汉市分公司直属营</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销服务部</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纳税识别号： 91420100774550276B</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银行账号： 569062130485</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中国银行武汉市直支行</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湖北省武汉市江岸区黄浦大街 260 号丝宝国际</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大厦4、5、7 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w:t>
      </w:r>
      <w:r>
        <w:rPr>
          <w:rFonts w:hint="eastAsia" w:ascii="楷体" w:hAnsi="楷体" w:eastAsia="楷体" w:cs="楷体"/>
          <w:kern w:val="0"/>
          <w:sz w:val="24"/>
          <w:szCs w:val="24"/>
        </w:rPr>
        <w:t>027-82416458</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（2）乙方应在每次增值税发票开具后的30个自然日内向甲方提交相应增值税发票，否则甲方有权拒收发票。经多次分批的增值税发票的开具、提交以及双方收付款，</w:t>
      </w:r>
      <w:r>
        <w:rPr>
          <w:rFonts w:ascii="楷体_GB2312" w:hAnsi="宋体" w:eastAsia="楷体_GB2312" w:cs="楷体_GB2312"/>
          <w:kern w:val="0"/>
          <w:sz w:val="24"/>
          <w:szCs w:val="24"/>
        </w:rPr>
        <w:t>乙方开具并提交甲方的</w:t>
      </w:r>
      <w:r>
        <w:rPr>
          <w:rFonts w:hint="eastAsia" w:ascii="楷体_GB2312" w:eastAsia="楷体_GB2312" w:cs="楷体_GB2312"/>
          <w:kern w:val="0"/>
          <w:sz w:val="24"/>
          <w:szCs w:val="24"/>
        </w:rPr>
        <w:t>增值税发票</w:t>
      </w:r>
      <w:r>
        <w:rPr>
          <w:rFonts w:ascii="楷体_GB2312" w:hAnsi="宋体" w:eastAsia="楷体_GB2312" w:cs="楷体_GB2312"/>
          <w:kern w:val="0"/>
          <w:sz w:val="24"/>
          <w:szCs w:val="24"/>
        </w:rPr>
        <w:t>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3）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（5）为保证取得的发票可以及时并成功获得抵扣，乙方开具的增值税发票送达并经甲方签收后，若发生丢失，乙方应积极协助甲方，按照相关税收法规和文件的规定提供相应资料，并确保甲方顺利获得抵扣；</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autoSpaceDE w:val="0"/>
        <w:autoSpaceDN w:val="0"/>
        <w:spacing w:line="360" w:lineRule="auto"/>
        <w:ind w:firstLine="470" w:firstLineChars="196"/>
        <w:rPr>
          <w:rFonts w:hint="eastAsia" w:ascii="楷体" w:hAnsi="楷体" w:eastAsia="楷体" w:cs="楷体"/>
          <w:kern w:val="0"/>
          <w:sz w:val="24"/>
          <w:szCs w:val="24"/>
        </w:rPr>
      </w:pPr>
    </w:p>
    <w:p>
      <w:pPr>
        <w:widowControl/>
        <w:autoSpaceDE w:val="0"/>
        <w:autoSpaceDN w:val="0"/>
        <w:spacing w:line="360" w:lineRule="auto"/>
        <w:ind w:firstLine="470" w:firstLineChars="196"/>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keepNext w:val="0"/>
        <w:numPr>
          <w:ilvl w:val="0"/>
          <w:numId w:val="0"/>
        </w:numPr>
        <w:rPr>
          <w:rFonts w:hint="eastAsia" w:ascii="楷体" w:hAnsi="楷体" w:eastAsia="楷体" w:cs="楷体"/>
          <w:color w:val="000000"/>
          <w:kern w:val="44"/>
          <w:sz w:val="24"/>
          <w:szCs w:val="24"/>
        </w:rPr>
      </w:pPr>
      <w:r>
        <w:rPr>
          <w:rFonts w:hint="eastAsia" w:ascii="楷体" w:hAnsi="楷体" w:eastAsia="楷体" w:cs="楷体"/>
          <w:color w:val="000000"/>
          <w:kern w:val="44"/>
          <w:sz w:val="24"/>
          <w:szCs w:val="24"/>
        </w:rPr>
        <w:t>附件三</w:t>
      </w:r>
    </w:p>
    <w:p>
      <w:pPr>
        <w:jc w:val="center"/>
        <w:rPr>
          <w:rFonts w:hint="eastAsia" w:ascii="楷体" w:hAnsi="楷体" w:eastAsia="楷体" w:cs="楷体"/>
          <w:b/>
          <w:bCs/>
          <w:color w:val="000000"/>
          <w:kern w:val="44"/>
          <w:sz w:val="24"/>
          <w:szCs w:val="24"/>
          <w:lang w:bidi="ar"/>
        </w:rPr>
      </w:pPr>
      <w:r>
        <w:rPr>
          <w:rFonts w:hint="eastAsia" w:ascii="楷体" w:hAnsi="楷体" w:eastAsia="楷体" w:cs="楷体"/>
          <w:b/>
          <w:bCs/>
          <w:color w:val="000000"/>
          <w:kern w:val="44"/>
          <w:sz w:val="24"/>
          <w:szCs w:val="24"/>
          <w:lang w:bidi="ar"/>
        </w:rPr>
        <w:t>客户信息保护条款</w:t>
      </w:r>
    </w:p>
    <w:p>
      <w:pPr>
        <w:jc w:val="center"/>
        <w:rPr>
          <w:rFonts w:hint="eastAsia" w:ascii="楷体" w:hAnsi="楷体" w:eastAsia="楷体" w:cs="楷体"/>
          <w:b/>
          <w:bCs/>
          <w:color w:val="000000"/>
          <w:kern w:val="44"/>
          <w:sz w:val="24"/>
          <w:szCs w:val="24"/>
          <w:lang w:bidi="ar"/>
        </w:rPr>
      </w:pP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甲方：中国人民财产保险股份有限公司武汉市分公司</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乙方：</w:t>
      </w:r>
    </w:p>
    <w:p>
      <w:pPr>
        <w:widowControl/>
        <w:autoSpaceDE w:val="0"/>
        <w:autoSpaceDN w:val="0"/>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1.收集、使用及处理客户个人信息必须是依据法定义务或履行本协议所必要的行为，并在履行本协议必要范围内收集客户信息。未经客户授权同意，不得将客户个人信息公开披露，不得转移、出售给第三方。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3.涉及客户敏感信息处理的，应具有特定的目的和充分的必要性，取得客户的单独同意，符合个人信息保护相关法律法规规定和管理要求。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widowControl/>
        <w:jc w:val="left"/>
        <w:rPr>
          <w:rFonts w:hint="eastAsia" w:ascii="仿宋_GB2312" w:hAnsi="宋体" w:eastAsia="仿宋_GB2312" w:cs="仿宋_GB2312"/>
          <w:kern w:val="0"/>
          <w:sz w:val="32"/>
          <w:szCs w:val="32"/>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bookmarkEnd w:id="11"/>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Pr>
        <w:pStyle w:val="3"/>
        <w:numPr>
          <w:ilvl w:val="0"/>
          <w:numId w:val="0"/>
        </w:numPr>
        <w:tabs>
          <w:tab w:val="left" w:pos="2190"/>
        </w:tabs>
        <w:rPr>
          <w:rFonts w:hint="eastAsia"/>
        </w:rPr>
      </w:pPr>
    </w:p>
    <w:p/>
    <w:p/>
    <w:p>
      <w:pPr>
        <w:pStyle w:val="2"/>
      </w:pPr>
    </w:p>
    <w:p>
      <w:pPr>
        <w:pStyle w:val="2"/>
      </w:pPr>
    </w:p>
    <w:p>
      <w:pPr>
        <w:pStyle w:val="2"/>
      </w:pPr>
    </w:p>
    <w:p>
      <w:pPr>
        <w:pStyle w:val="2"/>
      </w:pPr>
    </w:p>
    <w:p>
      <w:pPr>
        <w:pStyle w:val="2"/>
      </w:pPr>
    </w:p>
    <w:p>
      <w:pPr>
        <w:pStyle w:val="2"/>
      </w:pPr>
    </w:p>
    <w:p>
      <w:pPr>
        <w:pStyle w:val="3"/>
        <w:numPr>
          <w:ilvl w:val="0"/>
          <w:numId w:val="0"/>
        </w:numPr>
        <w:tabs>
          <w:tab w:val="left" w:pos="2190"/>
        </w:tabs>
        <w:jc w:val="left"/>
        <w:rPr>
          <w:rFonts w:hint="eastAsia"/>
        </w:rPr>
      </w:pPr>
    </w:p>
    <w:p>
      <w:pPr>
        <w:rPr>
          <w:rFonts w:hint="eastAsia"/>
        </w:rPr>
      </w:pPr>
    </w:p>
    <w:p>
      <w:pPr>
        <w:pStyle w:val="13"/>
        <w:rPr>
          <w:rFonts w:hint="eastAsia"/>
        </w:rPr>
      </w:pPr>
    </w:p>
    <w:p>
      <w:pPr>
        <w:pStyle w:val="3"/>
        <w:numPr>
          <w:ilvl w:val="0"/>
          <w:numId w:val="0"/>
        </w:numPr>
        <w:tabs>
          <w:tab w:val="left" w:pos="2190"/>
        </w:tabs>
        <w:jc w:val="left"/>
        <w:rPr>
          <w:rFonts w:hint="eastAsia"/>
        </w:rPr>
      </w:pPr>
    </w:p>
    <w:p>
      <w:pPr>
        <w:rPr>
          <w:rFonts w:hint="eastAsia"/>
        </w:rPr>
      </w:pPr>
    </w:p>
    <w:p>
      <w:pPr>
        <w:pStyle w:val="13"/>
        <w:rPr>
          <w:rFonts w:hint="eastAsia"/>
        </w:rPr>
      </w:pPr>
    </w:p>
    <w:p>
      <w:pPr>
        <w:pStyle w:val="3"/>
        <w:numPr>
          <w:ilvl w:val="0"/>
          <w:numId w:val="0"/>
        </w:numPr>
        <w:tabs>
          <w:tab w:val="left" w:pos="2190"/>
        </w:tabs>
        <w:jc w:val="left"/>
        <w:rPr>
          <w:rFonts w:hint="eastAsia"/>
        </w:rPr>
      </w:pPr>
    </w:p>
    <w:p>
      <w:pPr>
        <w:pStyle w:val="3"/>
        <w:numPr>
          <w:ilvl w:val="0"/>
          <w:numId w:val="0"/>
        </w:numPr>
        <w:tabs>
          <w:tab w:val="left" w:pos="2190"/>
        </w:tabs>
        <w:jc w:val="left"/>
        <w:rPr>
          <w:rFonts w:hint="eastAsia"/>
        </w:rPr>
      </w:pPr>
      <w:r>
        <w:rPr>
          <w:rFonts w:hint="eastAsia"/>
        </w:rPr>
        <w:t>附件四</w:t>
      </w:r>
      <w:r>
        <w:tab/>
      </w:r>
    </w:p>
    <w:p>
      <w:pPr>
        <w:spacing w:before="240" w:beforeLines="100" w:after="240" w:afterLines="100" w:line="300" w:lineRule="auto"/>
        <w:jc w:val="center"/>
        <w:rPr>
          <w:rFonts w:hint="eastAsia" w:ascii="楷体" w:hAnsi="楷体" w:eastAsia="楷体" w:cs="楷体"/>
          <w:b/>
          <w:bCs/>
          <w:spacing w:val="20"/>
          <w:sz w:val="28"/>
          <w:szCs w:val="28"/>
        </w:rPr>
      </w:pPr>
      <w:r>
        <w:rPr>
          <w:rFonts w:hint="eastAsia" w:ascii="楷体" w:hAnsi="楷体" w:eastAsia="楷体" w:cs="楷体"/>
          <w:b/>
          <w:bCs/>
          <w:spacing w:val="20"/>
          <w:sz w:val="28"/>
          <w:szCs w:val="28"/>
          <w:lang w:bidi="ar"/>
        </w:rPr>
        <w:t>廉洁诚信协议</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第一条  总则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1.3本协议所称相关主体，对任何一方而言，包括但不限于以下单位或者个人：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（1）一方或其关联方之工作人员；</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（2）受一方委托办理相关事务的单位或者个人；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（3）利用职权或者影响力影响交易的单位或者个人；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（4）前述相关人员的亲属；</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（5）与前述相关主体存在利害关系的其他单位或者人员。</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乙方相关主体实施违反本协议约定之行为的，均应视为乙方实施行为。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第二条  商业贿赂</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2.1本协议所称商业贿赂，是指乙方或乙方相关主体为获取或意图获取交易机会或者竞争优势，采用财物或者其他形式贿赂甲方或甲方相关主体的行为。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2.3本条第1款所称其他形式，包括但不限于：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（1）以任何方式实施商业贿赂或违规提供回扣、折扣、宴请与游玩活动或其他不正当利益；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（2）为甲方或甲方相关主体安排有可能影响公平、公正交易的宴请、健身、娱乐等活动；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（3）为甲方或甲方相关主体投资入股、个人借款或买卖股票、债券等提供方便；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（4）为甲方或甲方相关主体购买或装修住房、婚丧嫁娶、配偶子女上学或工作安排以及出国出境、旅游等提供方便；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（5）违反规定为甲方或甲方相关主体在乙方相关企业工作、挂名兼职、合伙经营、介绍承揽业务等提供方便；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（6）向甲方或甲方相关主体提供借款、融资、担保等；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（7）给予或承诺给予其不正当利益的其他行为；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第三条  回扣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3.1本协议所称回扣，是指乙方促成合作时在账外暗中以现金、实物或者其他方式退给甲方或甲方相关主体一定比例的商品或服务价款。</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3.2本条第1款所称账外，是指未在依法设立的反映其生产经营活动或者行政事业经费收支的财务账上按照财务会计制度规定明确如实记载，包括不记入财务账、转入其他财务账或者做假账等。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3.3乙方在账外暗中给予甲方相关主体回扣的，视为实施商业贿赂行为。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第四条  折扣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4.2乙方提供的商品或服务，可以以明示方式给予甲方折扣。乙方给予甲方折扣的，必须在采购协议中予以明确并如实入账。</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4.3本条第1款所称如实入账，是指根据采购或合作协议约定的金额和支付方式，在依法设立的反映甲方生产经营活动收支的财务账上按照财务会计制度规定明确如实记载。</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4.4乙方违反本条约定的，视为实施商业贿赂行为。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第五条  宴请与游玩活动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5.2乙方不得为甲方相关主体提供各种形式的旅游、健身、KTV、酒吧、按摩、赌博、色情等娱乐休闲活动。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5.3乙方违反本条约定的，视为实施商业贿赂行为。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第六条  禁止行为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双方一致同意双方或双方相关主体的如下行为是应当禁止的营私舞弊或腐败行为：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6.1甲方及甲方相关主体向乙方索要或收受财物或其他形式的财产性利益、非财产性利益。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6.2乙方及乙方相关主体向甲方或甲方相关主体提供财物或其他形式的财产性利益、非财产性利益，包括但不限于：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（1）报销甲方相关主体的私人费用；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（2）提供超过宴请标准的宴请或娱乐活动；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（3）介绍甲方相关主体亲友到乙方处工作；</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（4）提出、邀请或事实上接受甲方相关主体在乙方参股或参与乙方经营活动；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（5）组织或向甲方相关主体提供旅游等代偿活动利益；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（7）给予或承诺给予甲方相关主体不正当利益的其他行为；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（8）其他违反本协议约定、国家法律法规或商业道德准则的影响公正交易的行为。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第七条  乙方承诺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乙方承诺在双方的商务接洽、合同关系、交易过程中遵守如下要求：</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7.1 避免利害关系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7.2 恪守廉洁自律原则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7.2.2支持甲方的廉洁诚信建设，承诺承担实名举报的义务，若乙方或乙方相关主体对甲方或甲方相关主体的索贿行为不拒绝、不申报，并满足其要求的，则该行为视同乙方实施商业贿赂行为。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7.3 恪守诚实信用原则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7.3.2严格遵守向甲方做出的承诺、双方签署的合同、协议和备忘录等，确保产品质量和服务质量，不隐瞒任何可能对甲方利益造成影响的信息，积极配合甲方的审计。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7.3.3严格遵守甲方的供应商行为准则、合作协议、保密承诺书等政策文件中的相关规定。</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7.3.4严格遵守甲方的品牌管理的相关规定，未经甲方授权不擅自使用甲方字样、授权合作伙伴等类似容易对外产生混淆的字样。</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7.3.5严格遵守国家相关法律法规及甲方的管理规定，不参与任何违法活动。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7.3.6承诺实事求是，不对内部或社会传递任何虚假信息，严格遵守保密协议，不透露任何甲方的商业机密。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7.3.7未经甲方同意，不向任何新闻媒体、第三方述及有关甲方工作人员恪守商业道德方面的评价、信息。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7.4 确保信息公开透明</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7.4.1主动向甲方披露与采购项目相关的信息，包括乙方真实情况、产品价格、技术参数、服务团队信息、履约情况等。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7.4.2不利用非法手段向甲方及甲方相关主体打探有关涉及甲方及甲方相关主体的商业秘密、人员信息、采购信息等。</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7.5 积极配合监督举报</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7.5.2如乙方有知悉或怀疑甲方相关主体有违反上述约定的，应及时采取措施并有权向甲方纪检部门举报。甲方会对所有信息提供者及所提供的全部资料严格保密。</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7.6 加强内部廉洁管理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7.6.1加强内部管理：加强对员工的廉洁教育和培训，提高员工的道德素质和法律意识，建立健全内部管理制度，确保员工行为的合规性和廉洁性。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7.6.2设立监督机制：通过专门的监督机构或人员，对乙方的业务活动进行实时监督，确保员工行为的合规性。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7.6.3建立举报制度：鼓励员工积极举报违规行为，对举报人予以保护并给予奖励。</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第八条  违约责任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8.1若甲方人员违反本协议第六条规定的，按照甲方内部管理权限，依据有关法律和规定给予处分或组织处理，涉嫌犯罪的，移交司法机关追究刑事责任。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8.2如乙方违反本协议任何约定或承诺，甲方有权依据甲方采购管理、供应商管理和采购文件相关要求，对乙方进行严肃处理，相关处罚结果记入供应商诚信档案。</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8.3 如乙方违反本协议任何约定或承诺，</w:t>
      </w:r>
      <w:r>
        <w:rPr>
          <w:rFonts w:hint="eastAsia" w:ascii="楷体" w:hAnsi="楷体" w:eastAsia="楷体" w:cs="楷体"/>
          <w:b/>
          <w:bCs/>
          <w:sz w:val="24"/>
          <w:szCs w:val="24"/>
          <w:lang w:bidi="ar"/>
        </w:rPr>
        <w:t>甲方及甲方子公司有权根据情节严重程度选择单方全面终止与乙方的合同及合作，且无需承担任何责任。乙方给甲方造成损失的，甲方有权要求乙方承担全部赔偿责任。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8.4</w:t>
      </w:r>
      <w:r>
        <w:rPr>
          <w:rFonts w:hint="eastAsia" w:ascii="楷体" w:hAnsi="楷体" w:eastAsia="楷体" w:cs="楷体"/>
          <w:b/>
          <w:bCs/>
          <w:sz w:val="24"/>
          <w:szCs w:val="24"/>
          <w:lang w:bidi="ar"/>
        </w:rPr>
        <w:t>甲方及甲方子公司按照前述条款要求乙方承担赔偿责任的，</w:t>
      </w:r>
      <w:r>
        <w:rPr>
          <w:rFonts w:hint="eastAsia" w:ascii="楷体" w:hAnsi="楷体" w:eastAsia="楷体" w:cs="楷体"/>
          <w:sz w:val="24"/>
          <w:szCs w:val="24"/>
          <w:lang w:bidi="ar"/>
        </w:rPr>
        <w:t>乙方应于甲方发出赔偿通知之日起【10】个工作日内支付，如未及时支付，甲方及甲方子公司有权从主合同款项中直接扣除。</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8.5乙方知悉并同意，对于上述情形的处理甲方有完全的判断权和自主权。</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第九条  附则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9.1本协议的标题及各条款的标题仅为检索方便而设置，具体内容应当以各条款的具体规定为准，而不应参考该标题进行解释。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240" w:beforeLines="100" w:after="240" w:afterLines="100" w:line="300" w:lineRule="auto"/>
        <w:ind w:firstLine="480" w:firstLineChars="200"/>
        <w:rPr>
          <w:rFonts w:hint="eastAsia" w:ascii="楷体" w:hAnsi="楷体" w:eastAsia="楷体" w:cs="楷体"/>
          <w:sz w:val="24"/>
          <w:szCs w:val="24"/>
          <w:lang w:bidi="ar"/>
        </w:rPr>
      </w:pPr>
      <w:r>
        <w:rPr>
          <w:rFonts w:hint="eastAsia" w:ascii="楷体" w:hAnsi="楷体" w:eastAsia="楷体" w:cs="楷体"/>
          <w:sz w:val="24"/>
          <w:szCs w:val="24"/>
          <w:lang w:bidi="ar"/>
        </w:rPr>
        <w:t>9.5本协议长期有效。</w:t>
      </w: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13"/>
        <w:rPr>
          <w:rFonts w:hint="eastAsia" w:ascii="楷体" w:hAnsi="楷体" w:eastAsia="楷体" w:cs="楷体"/>
          <w:sz w:val="24"/>
          <w:szCs w:val="24"/>
          <w:lang w:bidi="ar"/>
        </w:rPr>
      </w:pPr>
    </w:p>
    <w:p>
      <w:pPr>
        <w:pStyle w:val="2"/>
      </w:pPr>
    </w:p>
    <w:bookmarkEnd w:id="12"/>
    <w:bookmarkEnd w:id="13"/>
    <w:p>
      <w:pPr>
        <w:pStyle w:val="4"/>
        <w:numPr>
          <w:ilvl w:val="0"/>
          <w:numId w:val="0"/>
        </w:numPr>
        <w:spacing w:line="240" w:lineRule="auto"/>
        <w:rPr>
          <w:rFonts w:hint="eastAsia" w:ascii="仿宋" w:hAnsi="仿宋" w:eastAsia="仿宋" w:cs="仿宋"/>
          <w:sz w:val="24"/>
          <w:szCs w:val="24"/>
        </w:rPr>
      </w:pPr>
    </w:p>
    <w:p>
      <w:pPr>
        <w:rPr>
          <w:rFonts w:hint="eastAsia"/>
        </w:rPr>
      </w:pPr>
    </w:p>
    <w:p>
      <w:pPr>
        <w:pStyle w:val="4"/>
        <w:numPr>
          <w:ilvl w:val="0"/>
          <w:numId w:val="0"/>
        </w:numPr>
        <w:spacing w:line="240" w:lineRule="auto"/>
        <w:rPr>
          <w:rFonts w:hint="eastAsia" w:ascii="仿宋" w:hAnsi="仿宋" w:eastAsia="仿宋" w:cs="仿宋"/>
          <w:sz w:val="24"/>
          <w:szCs w:val="24"/>
        </w:rPr>
      </w:pPr>
      <w:r>
        <w:rPr>
          <w:rFonts w:hint="eastAsia" w:ascii="仿宋" w:hAnsi="仿宋" w:eastAsia="仿宋" w:cs="仿宋"/>
          <w:sz w:val="24"/>
          <w:szCs w:val="24"/>
        </w:rPr>
        <w:t>附件4.2 采购需求及技术服务要求</w:t>
      </w:r>
    </w:p>
    <w:p>
      <w:pPr>
        <w:numPr>
          <w:ilvl w:val="0"/>
          <w:numId w:val="0"/>
        </w:numPr>
        <w:spacing w:line="50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    一</w:t>
      </w:r>
      <w:r>
        <w:rPr>
          <w:rFonts w:hint="eastAsia" w:ascii="仿宋" w:hAnsi="仿宋" w:eastAsia="仿宋" w:cs="仿宋"/>
          <w:b/>
          <w:bCs/>
          <w:sz w:val="24"/>
          <w:szCs w:val="24"/>
          <w:shd w:val="clear" w:color="auto" w:fill="FFFFFF"/>
        </w:rPr>
        <w:t>、</w:t>
      </w:r>
      <w:r>
        <w:rPr>
          <w:rFonts w:hint="eastAsia" w:ascii="仿宋" w:hAnsi="仿宋" w:eastAsia="仿宋" w:cs="仿宋"/>
          <w:b/>
          <w:bCs/>
          <w:sz w:val="24"/>
          <w:szCs w:val="24"/>
        </w:rPr>
        <w:t>服务需求</w:t>
      </w:r>
    </w:p>
    <w:p>
      <w:pPr>
        <w:pStyle w:val="2"/>
        <w:rPr>
          <w:rFonts w:hint="eastAsia" w:ascii="楷体" w:hAnsi="楷体" w:eastAsia="楷体" w:cs="楷体"/>
          <w:kern w:val="0"/>
          <w:sz w:val="24"/>
          <w:szCs w:val="24"/>
          <w:highlight w:val="yellow"/>
          <w:lang w:val="en-US" w:eastAsia="zh-CN" w:bidi="ar-SA"/>
        </w:rPr>
      </w:pPr>
    </w:p>
    <w:p>
      <w:pPr>
        <w:spacing w:line="500" w:lineRule="exact"/>
        <w:ind w:firstLine="480"/>
        <w:jc w:val="left"/>
        <w:rPr>
          <w:rFonts w:hint="eastAsia" w:ascii="仿宋_GB2312" w:hAnsi="宋体" w:eastAsia="仿宋_GB2312" w:cs="Times New Roman"/>
          <w:sz w:val="24"/>
          <w:highlight w:val="none"/>
          <w:lang w:eastAsia="zh-CN"/>
        </w:rPr>
      </w:pPr>
      <w:r>
        <w:rPr>
          <w:rFonts w:hint="eastAsia" w:ascii="仿宋_GB2312" w:hAnsi="宋体" w:eastAsia="仿宋_GB2312" w:cs="Times New Roman"/>
          <w:sz w:val="24"/>
          <w:highlight w:val="none"/>
          <w:lang w:eastAsia="zh-CN"/>
        </w:rPr>
        <w:t>为精准把握车险家用车客户在第三者责任险保额选择上的真实考量与实际需求，现计划采购“车险家用车客户三者保额需求调查”服务。</w:t>
      </w:r>
      <w:r>
        <w:rPr>
          <w:rFonts w:hint="eastAsia" w:ascii="仿宋_GB2312" w:hAnsi="宋体" w:eastAsia="仿宋_GB2312" w:cs="Times New Roman"/>
          <w:sz w:val="24"/>
          <w:highlight w:val="none"/>
          <w:lang w:val="en-US" w:eastAsia="zh-CN"/>
        </w:rPr>
        <w:t>该</w:t>
      </w:r>
      <w:r>
        <w:rPr>
          <w:rFonts w:hint="eastAsia" w:ascii="仿宋_GB2312" w:hAnsi="宋体" w:eastAsia="仿宋_GB2312" w:cs="Times New Roman"/>
          <w:sz w:val="24"/>
          <w:highlight w:val="none"/>
          <w:lang w:eastAsia="zh-CN"/>
        </w:rPr>
        <w:t>项目需收集家用车客户对</w:t>
      </w:r>
      <w:r>
        <w:rPr>
          <w:rFonts w:hint="eastAsia" w:ascii="仿宋_GB2312" w:hAnsi="宋体" w:eastAsia="仿宋_GB2312" w:cs="Times New Roman"/>
          <w:sz w:val="24"/>
          <w:highlight w:val="none"/>
          <w:lang w:val="en-US" w:eastAsia="zh-CN"/>
        </w:rPr>
        <w:t>三者险</w:t>
      </w:r>
      <w:r>
        <w:rPr>
          <w:rFonts w:hint="eastAsia" w:ascii="仿宋_GB2312" w:hAnsi="宋体" w:eastAsia="仿宋_GB2312" w:cs="Times New Roman"/>
          <w:sz w:val="24"/>
          <w:highlight w:val="none"/>
          <w:lang w:eastAsia="zh-CN"/>
        </w:rPr>
        <w:t>50万、100万、200万、300万及以上保额档位的接受意愿、支付敏感度及保障期望，深入分析客户驾驶风险感知、经济承受能力及赔付预期等核心影响因素。同时，需梳理家用车客户在保额推荐、</w:t>
      </w:r>
      <w:r>
        <w:rPr>
          <w:rFonts w:hint="eastAsia" w:ascii="仿宋_GB2312" w:hAnsi="宋体" w:eastAsia="仿宋_GB2312" w:cs="Times New Roman"/>
          <w:sz w:val="24"/>
          <w:highlight w:val="none"/>
          <w:lang w:val="en-US" w:eastAsia="zh-CN"/>
        </w:rPr>
        <w:t>保险责任</w:t>
      </w:r>
      <w:r>
        <w:rPr>
          <w:rFonts w:hint="eastAsia" w:ascii="仿宋_GB2312" w:hAnsi="宋体" w:eastAsia="仿宋_GB2312" w:cs="Times New Roman"/>
          <w:sz w:val="24"/>
          <w:highlight w:val="none"/>
          <w:lang w:eastAsia="zh-CN"/>
        </w:rPr>
        <w:t>条款、理赔限额认知等服务环节的疑虑与改进建议，并了解其续保时的保额调整意向、险种组合偏好及对增值服务的期待。最终提交包含数据分析和策略建议的调查报告，为我部优化保额推荐策略、完善沟通话术及开展精准续保营销提供科学依据，助力提升家用车客户保障充足率与车险业务保费规模。</w:t>
      </w:r>
      <w:r>
        <w:rPr>
          <w:rFonts w:hint="eastAsia" w:ascii="仿宋" w:hAnsi="仿宋" w:eastAsia="仿宋" w:cs="仿宋"/>
          <w:kern w:val="2"/>
          <w:sz w:val="24"/>
          <w:szCs w:val="24"/>
          <w:highlight w:val="none"/>
          <w:shd w:val="clear" w:color="auto" w:fill="FFFFFF"/>
          <w:lang w:val="en-US" w:eastAsia="zh-CN" w:bidi="zh-TW"/>
        </w:rPr>
        <w:t>本次项目服务期限6个月，本次项目预算总金额：49万元。</w:t>
      </w:r>
      <w:r>
        <w:rPr>
          <w:rFonts w:hint="eastAsia" w:ascii="仿宋_GB2312" w:hAnsi="宋体" w:eastAsia="仿宋_GB2312" w:cs="Times New Roman"/>
          <w:sz w:val="24"/>
          <w:highlight w:val="none"/>
          <w:lang w:eastAsia="zh-CN"/>
        </w:rPr>
        <w:t>具体需求详见采购文件。</w:t>
      </w:r>
    </w:p>
    <w:p>
      <w:pPr>
        <w:keepNext w:val="0"/>
        <w:keepLines w:val="0"/>
        <w:pageBreakBefore w:val="0"/>
        <w:widowControl w:val="0"/>
        <w:kinsoku/>
        <w:wordWrap/>
        <w:overflowPunct/>
        <w:topLinePunct w:val="0"/>
        <w:autoSpaceDE/>
        <w:autoSpaceDN/>
        <w:bidi w:val="0"/>
        <w:adjustRightInd/>
        <w:snapToGrid/>
        <w:spacing w:line="300" w:lineRule="exact"/>
        <w:ind w:firstLine="482"/>
        <w:jc w:val="both"/>
        <w:textAlignment w:val="auto"/>
        <w:rPr>
          <w:rFonts w:hint="eastAsia" w:ascii="仿宋" w:hAnsi="仿宋" w:eastAsia="仿宋" w:cs="仿宋"/>
          <w:kern w:val="2"/>
          <w:sz w:val="24"/>
          <w:szCs w:val="24"/>
          <w:highlight w:val="none"/>
          <w:shd w:val="clear" w:color="auto" w:fill="FFFFFF"/>
          <w:lang w:val="en-US" w:eastAsia="zh-CN" w:bidi="zh-TW"/>
        </w:rPr>
      </w:pPr>
    </w:p>
    <w:p>
      <w:pPr>
        <w:keepNext w:val="0"/>
        <w:keepLines w:val="0"/>
        <w:pageBreakBefore w:val="0"/>
        <w:widowControl w:val="0"/>
        <w:kinsoku/>
        <w:wordWrap/>
        <w:overflowPunct/>
        <w:topLinePunct w:val="0"/>
        <w:autoSpaceDE/>
        <w:autoSpaceDN/>
        <w:bidi w:val="0"/>
        <w:adjustRightInd/>
        <w:snapToGrid/>
        <w:spacing w:line="300" w:lineRule="exact"/>
        <w:ind w:firstLine="482"/>
        <w:jc w:val="both"/>
        <w:textAlignment w:val="auto"/>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二、服务内容</w:t>
      </w:r>
    </w:p>
    <w:p>
      <w:pPr>
        <w:spacing w:line="500" w:lineRule="exact"/>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1. 项目名称</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 xml:space="preserve">   </w:t>
      </w:r>
      <w:r>
        <w:rPr>
          <w:rFonts w:hint="eastAsia" w:ascii="楷体" w:hAnsi="楷体" w:eastAsia="楷体" w:cs="楷体"/>
          <w:kern w:val="0"/>
          <w:sz w:val="24"/>
          <w:szCs w:val="24"/>
          <w:highlight w:val="none"/>
          <w:lang w:val="en-US" w:eastAsia="zh-CN"/>
        </w:rPr>
        <w:t xml:space="preserve">  </w:t>
      </w:r>
      <w:r>
        <w:rPr>
          <w:rFonts w:hint="eastAsia" w:ascii="楷体" w:hAnsi="楷体" w:eastAsia="楷体" w:cs="楷体"/>
          <w:kern w:val="0"/>
          <w:sz w:val="24"/>
          <w:szCs w:val="24"/>
          <w:highlight w:val="none"/>
        </w:rPr>
        <w:t>项目名称：人保财险湖北省武汉市直属营销服务部车险家用车客户三者保额需求调查</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2. 项目内容</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乙方向甲方提供的服务内容：</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1. 客户三者保额认知与误解分析</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 xml:space="preserve">    分析家用车客户对三者险保额（如50万、100万、200万、300万以上）的实际理解程度，识别常见认知偏差（如认为低保额足够、高保额浪费等）。</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2. 影响保额选择的关键因素研究</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 xml:space="preserve">    通过统计与回归分析，识别影响家用车客户保额决策的主要因素（如车辆用途、驾驶频次、收入水平、过往出险经历、销售人员推荐等）。</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3. 不同客户群体的保额偏好画像</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 xml:space="preserve">    按年龄、车龄、车型、地区（武汉市区及周边）等维度进行细分，形成典型家用车客户的保额需求画像，为精准营销提供依据。</w:t>
      </w:r>
    </w:p>
    <w:p>
      <w:pPr>
        <w:widowControl/>
        <w:spacing w:line="360" w:lineRule="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4. 客户续保意向与三者保额联动分析</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highlight w:val="none"/>
        </w:rPr>
        <w:t xml:space="preserve">    分析三者保额高低与家用车客户续保率、忠诚度之间的关系，探索通过合理提高保额来增强家用车客户黏性的可行性。 </w:t>
      </w:r>
    </w:p>
    <w:p>
      <w:pPr>
        <w:spacing w:line="500" w:lineRule="exact"/>
        <w:ind w:firstLine="240" w:firstLineChars="100"/>
        <w:rPr>
          <w:rFonts w:hint="eastAsia" w:ascii="仿宋" w:hAnsi="仿宋" w:eastAsia="仿宋" w:cs="仿宋"/>
          <w:b/>
          <w:bCs/>
          <w:sz w:val="24"/>
          <w:szCs w:val="24"/>
          <w:highlight w:val="none"/>
          <w:shd w:val="clear" w:color="auto" w:fill="FFFFFF"/>
        </w:rPr>
      </w:pPr>
      <w:r>
        <w:rPr>
          <w:rFonts w:hint="eastAsia" w:ascii="楷体" w:hAnsi="楷体" w:eastAsia="楷体" w:cs="楷体"/>
          <w:kern w:val="0"/>
          <w:sz w:val="24"/>
          <w:szCs w:val="24"/>
          <w:highlight w:val="none"/>
          <w:lang w:val="en-US" w:eastAsia="zh-CN" w:bidi="ar-SA"/>
        </w:rPr>
        <w:t xml:space="preserve">  </w:t>
      </w:r>
      <w:r>
        <w:rPr>
          <w:rFonts w:hint="eastAsia" w:ascii="仿宋" w:hAnsi="仿宋" w:eastAsia="仿宋" w:cs="仿宋"/>
          <w:b/>
          <w:bCs/>
          <w:sz w:val="24"/>
          <w:szCs w:val="24"/>
          <w:highlight w:val="none"/>
          <w:shd w:val="clear" w:color="auto" w:fill="FFFFFF"/>
        </w:rPr>
        <w:t>三、调研分析：</w:t>
      </w:r>
    </w:p>
    <w:p>
      <w:pPr>
        <w:pStyle w:val="135"/>
        <w:spacing w:line="500" w:lineRule="exact"/>
        <w:ind w:firstLine="480" w:firstLineChars="200"/>
        <w:rPr>
          <w:rFonts w:hint="eastAsia" w:ascii="仿宋_GB2312" w:eastAsia="仿宋_GB2312" w:cs="Times New Roman"/>
          <w:sz w:val="24"/>
          <w:szCs w:val="20"/>
          <w:highlight w:val="none"/>
          <w:lang w:val="en-US" w:eastAsia="zh-CN" w:bidi="ar-SA"/>
        </w:rPr>
      </w:pPr>
      <w:r>
        <w:rPr>
          <w:rFonts w:hint="eastAsia" w:ascii="仿宋_GB2312" w:eastAsia="仿宋_GB2312" w:cs="Times New Roman"/>
          <w:sz w:val="24"/>
          <w:szCs w:val="20"/>
          <w:highlight w:val="none"/>
          <w:lang w:val="en-US" w:eastAsia="zh-CN" w:bidi="ar-SA"/>
        </w:rPr>
        <w:t>为精准优化三者保额推荐策略与续保营销工作，拟采购车险家用车客户三者保额需求调查服务。项目需重点调研家用车客户对三者险保额的真实认知水平及是否存在“低保额够用”的认知偏差，了解其对当地人伤赔偿标准与医疗费用的知晓程度；厘清价格敏感度、出险经历、销售推荐等因素对保额选择的影响权重；分客群（如年轻家用、商用车、高收入等）摸清50万至300万及以上各档位的接受意愿与支付敏感度；并关联分析不同保额家用车客户的续保意向、调整倾向及对增值服务的期待，为优化话术与引导策略提供数据支撑。</w:t>
      </w:r>
    </w:p>
    <w:p>
      <w:pPr>
        <w:pStyle w:val="135"/>
        <w:spacing w:line="500" w:lineRule="exact"/>
        <w:ind w:firstLine="482" w:firstLineChars="200"/>
        <w:rPr>
          <w:rFonts w:hint="eastAsia" w:ascii="仿宋" w:hAnsi="仿宋" w:eastAsia="仿宋" w:cs="仿宋"/>
          <w:kern w:val="0"/>
          <w:sz w:val="24"/>
          <w:szCs w:val="24"/>
          <w:highlight w:val="none"/>
          <w:lang w:val="en-US" w:eastAsia="zh-CN"/>
        </w:rPr>
      </w:pPr>
      <w:r>
        <w:rPr>
          <w:rFonts w:hint="eastAsia" w:ascii="仿宋" w:hAnsi="仿宋" w:eastAsia="仿宋" w:cs="仿宋"/>
          <w:b/>
          <w:bCs/>
          <w:kern w:val="0"/>
          <w:sz w:val="24"/>
          <w:szCs w:val="24"/>
          <w:highlight w:val="none"/>
          <w:lang w:val="en-US" w:eastAsia="zh-CN"/>
        </w:rPr>
        <w:t>四、后续服务支持：</w:t>
      </w:r>
    </w:p>
    <w:p>
      <w:pPr>
        <w:pStyle w:val="135"/>
        <w:spacing w:line="500" w:lineRule="exact"/>
        <w:ind w:firstLine="480" w:firstLineChars="200"/>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中标单位针对人保财险湖北省武汉市直属营销服务部</w:t>
      </w:r>
      <w:r>
        <w:rPr>
          <w:rFonts w:hint="eastAsia" w:ascii="仿宋_GB2312" w:eastAsia="仿宋_GB2312" w:cs="Times New Roman"/>
          <w:sz w:val="24"/>
          <w:szCs w:val="20"/>
          <w:highlight w:val="none"/>
          <w:lang w:val="en-US" w:eastAsia="zh-CN" w:bidi="ar-SA"/>
        </w:rPr>
        <w:t>车险家用车客户三者保额需求调查</w:t>
      </w:r>
      <w:r>
        <w:rPr>
          <w:rFonts w:hint="eastAsia" w:ascii="仿宋" w:hAnsi="仿宋" w:eastAsia="仿宋" w:cs="仿宋"/>
          <w:sz w:val="24"/>
          <w:szCs w:val="24"/>
          <w:highlight w:val="none"/>
          <w:shd w:val="clear" w:color="auto" w:fill="FFFFFF"/>
          <w:lang w:val="en-US" w:eastAsia="zh-CN"/>
        </w:rPr>
        <w:t>项目在有效期限内按质按量的开展服务。</w:t>
      </w:r>
    </w:p>
    <w:p>
      <w:pPr>
        <w:spacing w:line="500" w:lineRule="exact"/>
        <w:ind w:firstLine="720" w:firstLineChars="3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1.该项目承诺将完成前述相关服务，以提升客户满意度。</w:t>
      </w:r>
    </w:p>
    <w:p>
      <w:pPr>
        <w:spacing w:line="500" w:lineRule="exact"/>
        <w:ind w:firstLine="720" w:firstLineChars="3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2.该项目承诺配备不低于5人的专业团队来承接此项目。</w:t>
      </w:r>
    </w:p>
    <w:p>
      <w:pPr>
        <w:spacing w:line="500" w:lineRule="exact"/>
        <w:ind w:left="239" w:leftChars="114"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3.该项目承诺将完成前述的各项分析报告，并按时交付于人保财险湖北省武汉市直属营销服务部，供人保财险湖北省武汉市直属营销服务部参考制定后续的服务，以提升人保财险湖北省武汉市直属营销服务部的服务质量和客户满意度。</w:t>
      </w:r>
    </w:p>
    <w:p>
      <w:pPr>
        <w:spacing w:line="500" w:lineRule="exact"/>
        <w:ind w:left="239" w:leftChars="114" w:firstLine="480" w:firstLineChars="2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4.服务期满后，对于服务期内交付的成果，如我司仍有疑问或不解，中标单位需全力配合我司进行完善与答疑，直至双方满意或达成共识为止。</w:t>
      </w:r>
    </w:p>
    <w:p>
      <w:pPr>
        <w:pStyle w:val="134"/>
        <w:widowControl/>
        <w:spacing w:line="500" w:lineRule="exact"/>
        <w:ind w:left="240" w:hanging="240" w:hangingChars="10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      5.服务期满后，我司承诺人保财险湖北省武汉市直属营销服务部公司相对于其他保险公司具有本服务项目或其他相关服务项目和我司进行后续合作的优先签约权，并愿成为我司长期战略合作伙伴。</w:t>
      </w:r>
    </w:p>
    <w:p>
      <w:pPr>
        <w:spacing w:line="500" w:lineRule="exact"/>
        <w:rPr>
          <w:rFonts w:hint="eastAsia" w:ascii="仿宋" w:hAnsi="仿宋" w:eastAsia="仿宋" w:cs="仿宋"/>
          <w:b/>
          <w:bCs/>
          <w:sz w:val="24"/>
          <w:szCs w:val="24"/>
        </w:rPr>
      </w:pPr>
    </w:p>
    <w:p>
      <w:pPr>
        <w:numPr>
          <w:ilvl w:val="0"/>
          <w:numId w:val="4"/>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项目期限</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我司选定1家供应商作为本项目的成交供应商，为我司提供</w:t>
      </w:r>
      <w:r>
        <w:rPr>
          <w:rFonts w:hint="eastAsia" w:ascii="仿宋" w:hAnsi="仿宋" w:eastAsia="仿宋" w:cs="仿宋"/>
          <w:sz w:val="24"/>
          <w:szCs w:val="24"/>
          <w:lang w:eastAsia="zh-CN"/>
        </w:rPr>
        <w:t>人保财险湖北省武汉市直属营销服务部</w:t>
      </w:r>
      <w:r>
        <w:rPr>
          <w:rFonts w:hint="eastAsia" w:ascii="仿宋_GB2312" w:eastAsia="仿宋_GB2312" w:cs="Times New Roman"/>
          <w:sz w:val="24"/>
          <w:szCs w:val="20"/>
          <w:highlight w:val="none"/>
          <w:lang w:val="en-US" w:eastAsia="zh-CN" w:bidi="ar-SA"/>
        </w:rPr>
        <w:t>车险家用车客户三者保额需求调查</w:t>
      </w:r>
      <w:r>
        <w:rPr>
          <w:rFonts w:hint="eastAsia" w:ascii="仿宋" w:hAnsi="仿宋" w:eastAsia="仿宋" w:cs="仿宋"/>
          <w:sz w:val="24"/>
          <w:szCs w:val="24"/>
        </w:rPr>
        <w:t>。本次项目服务期限</w:t>
      </w:r>
      <w:r>
        <w:rPr>
          <w:rFonts w:hint="eastAsia" w:ascii="仿宋" w:hAnsi="仿宋" w:eastAsia="仿宋" w:cs="仿宋"/>
          <w:sz w:val="24"/>
          <w:szCs w:val="24"/>
          <w:lang w:val="en-US" w:eastAsia="zh-CN"/>
        </w:rPr>
        <w:t>为</w:t>
      </w:r>
      <w:r>
        <w:rPr>
          <w:rFonts w:hint="eastAsia" w:ascii="仿宋" w:hAnsi="仿宋" w:eastAsia="仿宋" w:cs="仿宋"/>
          <w:sz w:val="24"/>
          <w:szCs w:val="24"/>
        </w:rPr>
        <w:t>6个月。</w:t>
      </w:r>
    </w:p>
    <w:p>
      <w:pPr>
        <w:numPr>
          <w:ilvl w:val="0"/>
          <w:numId w:val="5"/>
        </w:numPr>
        <w:spacing w:line="500" w:lineRule="exact"/>
        <w:rPr>
          <w:rFonts w:hint="eastAsia" w:ascii="仿宋" w:hAnsi="仿宋" w:eastAsia="仿宋" w:cs="仿宋"/>
          <w:b/>
          <w:bCs/>
          <w:sz w:val="24"/>
          <w:szCs w:val="24"/>
        </w:rPr>
      </w:pPr>
      <w:r>
        <w:rPr>
          <w:rFonts w:hint="eastAsia" w:ascii="仿宋" w:hAnsi="仿宋" w:eastAsia="仿宋" w:cs="仿宋"/>
          <w:b/>
          <w:bCs/>
          <w:sz w:val="24"/>
          <w:szCs w:val="24"/>
        </w:rPr>
        <w:t>项目预算</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本项目单次服务报价为：</w:t>
      </w:r>
      <w:r>
        <w:rPr>
          <w:rFonts w:hint="eastAsia" w:ascii="仿宋_GB2312" w:hAnsi="宋体" w:eastAsia="仿宋_GB2312"/>
          <w:sz w:val="24"/>
        </w:rPr>
        <w:t>直属营销服务部</w:t>
      </w:r>
      <w:r>
        <w:rPr>
          <w:rFonts w:hint="eastAsia" w:ascii="仿宋_GB2312" w:eastAsia="仿宋_GB2312" w:cs="Times New Roman"/>
          <w:sz w:val="24"/>
          <w:szCs w:val="20"/>
          <w:highlight w:val="none"/>
          <w:lang w:val="en-US" w:eastAsia="zh-CN" w:bidi="ar-SA"/>
        </w:rPr>
        <w:t>车险家用车客户三者保额需求调查</w:t>
      </w:r>
      <w:r>
        <w:rPr>
          <w:rFonts w:hint="eastAsia" w:ascii="仿宋" w:hAnsi="仿宋" w:eastAsia="仿宋" w:cs="仿宋"/>
          <w:sz w:val="24"/>
          <w:szCs w:val="24"/>
        </w:rPr>
        <w:t>数量*单价，采购预算总金额</w:t>
      </w:r>
      <w:r>
        <w:rPr>
          <w:rFonts w:hint="eastAsia" w:ascii="仿宋" w:hAnsi="仿宋" w:eastAsia="仿宋" w:cs="仿宋"/>
          <w:sz w:val="24"/>
          <w:szCs w:val="24"/>
          <w:lang w:val="en-US" w:eastAsia="zh-CN"/>
        </w:rPr>
        <w:t>49</w:t>
      </w:r>
      <w:r>
        <w:rPr>
          <w:rFonts w:hint="eastAsia" w:ascii="仿宋" w:hAnsi="仿宋" w:eastAsia="仿宋" w:cs="仿宋"/>
          <w:sz w:val="24"/>
          <w:szCs w:val="24"/>
        </w:rPr>
        <w:t>万元。</w:t>
      </w:r>
      <w:r>
        <w:rPr>
          <w:rFonts w:hint="eastAsia" w:ascii="仿宋" w:hAnsi="仿宋" w:eastAsia="仿宋" w:cs="仿宋"/>
          <w:sz w:val="24"/>
          <w:szCs w:val="24"/>
          <w:lang w:val="en-US" w:eastAsia="zh-CN"/>
        </w:rPr>
        <w:t>服务</w:t>
      </w:r>
      <w:r>
        <w:rPr>
          <w:rFonts w:hint="eastAsia" w:ascii="仿宋" w:hAnsi="仿宋" w:eastAsia="仿宋" w:cs="仿宋"/>
          <w:sz w:val="24"/>
          <w:szCs w:val="24"/>
        </w:rPr>
        <w:t>数量根据服务期限内客户保有量为依据，总价最终根据实际服务量据实结算，但不得超过项目预算总额。</w:t>
      </w:r>
    </w:p>
    <w:p>
      <w:pPr>
        <w:ind w:firstLine="648"/>
        <w:rPr>
          <w:rFonts w:hint="eastAsia" w:ascii="仿宋" w:hAnsi="仿宋" w:eastAsia="仿宋" w:cs="仿宋"/>
          <w:sz w:val="24"/>
          <w:szCs w:val="24"/>
        </w:rPr>
      </w:pPr>
    </w:p>
    <w:p>
      <w:pPr>
        <w:pStyle w:val="4"/>
        <w:numPr>
          <w:ilvl w:val="0"/>
          <w:numId w:val="0"/>
        </w:numPr>
        <w:spacing w:line="240" w:lineRule="auto"/>
        <w:rPr>
          <w:rFonts w:hint="eastAsia" w:ascii="仿宋" w:hAnsi="仿宋" w:eastAsia="仿宋" w:cs="仿宋"/>
          <w:sz w:val="24"/>
          <w:szCs w:val="24"/>
        </w:rPr>
      </w:pPr>
      <w:r>
        <w:rPr>
          <w:rFonts w:hint="eastAsia" w:ascii="仿宋" w:hAnsi="仿宋" w:eastAsia="仿宋" w:cs="仿宋"/>
          <w:sz w:val="24"/>
          <w:szCs w:val="24"/>
        </w:rPr>
        <w:t>附件4.3 供应商技术响应文件</w:t>
      </w:r>
    </w:p>
    <w:p>
      <w:pPr>
        <w:adjustRightInd w:val="0"/>
        <w:snapToGrid w:val="0"/>
        <w:spacing w:line="360" w:lineRule="auto"/>
        <w:jc w:val="center"/>
        <w:rPr>
          <w:rFonts w:hint="eastAsia" w:ascii="仿宋" w:hAnsi="仿宋" w:eastAsia="仿宋" w:cs="仿宋"/>
          <w:sz w:val="24"/>
          <w:szCs w:val="24"/>
        </w:rPr>
      </w:pPr>
    </w:p>
    <w:p>
      <w:pPr>
        <w:adjustRightInd w:val="0"/>
        <w:snapToGrid w:val="0"/>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供应商技术响应文件</w:t>
      </w:r>
    </w:p>
    <w:p>
      <w:pPr>
        <w:adjustRightInd w:val="0"/>
        <w:snapToGrid w:val="0"/>
        <w:spacing w:line="360" w:lineRule="auto"/>
        <w:ind w:firstLine="564"/>
        <w:rPr>
          <w:rFonts w:hint="eastAsia" w:ascii="仿宋" w:hAnsi="仿宋" w:eastAsia="仿宋" w:cs="仿宋"/>
          <w:sz w:val="24"/>
          <w:szCs w:val="24"/>
        </w:rPr>
      </w:pPr>
      <w:r>
        <w:rPr>
          <w:rFonts w:hint="eastAsia" w:ascii="仿宋" w:hAnsi="仿宋" w:eastAsia="仿宋" w:cs="仿宋"/>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Calibri Light" w:hAnsi="Calibri Light"/>
          <w:b/>
          <w:bCs/>
          <w:sz w:val="24"/>
          <w:szCs w:val="24"/>
        </w:rPr>
      </w:pPr>
    </w:p>
    <w:p>
      <w:pPr>
        <w:pStyle w:val="2"/>
        <w:rPr>
          <w:rFonts w:ascii="Calibri Light" w:hAnsi="Calibri Light"/>
          <w:b/>
          <w:bCs/>
          <w:sz w:val="24"/>
          <w:szCs w:val="24"/>
        </w:rPr>
      </w:pPr>
    </w:p>
    <w:p>
      <w:pPr>
        <w:pStyle w:val="2"/>
        <w:rPr>
          <w:rFonts w:ascii="Calibri Light" w:hAnsi="Calibri Light"/>
          <w:b/>
          <w:bCs/>
          <w:sz w:val="24"/>
          <w:szCs w:val="24"/>
        </w:rPr>
      </w:pPr>
    </w:p>
    <w:p>
      <w:pPr>
        <w:pStyle w:val="2"/>
        <w:rPr>
          <w:rFonts w:ascii="Calibri Light" w:hAnsi="Calibri Light"/>
          <w:b/>
          <w:bCs/>
          <w:sz w:val="24"/>
          <w:szCs w:val="24"/>
        </w:rPr>
      </w:pPr>
    </w:p>
    <w:p>
      <w:pPr>
        <w:pStyle w:val="2"/>
        <w:rPr>
          <w:rFonts w:ascii="Calibri Light" w:hAnsi="Calibri Light"/>
          <w:b/>
          <w:bCs/>
          <w:sz w:val="24"/>
          <w:szCs w:val="24"/>
        </w:rPr>
      </w:pPr>
    </w:p>
    <w:p>
      <w:pPr>
        <w:pStyle w:val="2"/>
        <w:rPr>
          <w:rFonts w:ascii="Calibri Light" w:hAnsi="Calibri Light"/>
          <w:b/>
          <w:bCs/>
          <w:sz w:val="24"/>
          <w:szCs w:val="24"/>
        </w:rPr>
      </w:pPr>
    </w:p>
    <w:sectPr>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pingfang sc">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Style w:val="33"/>
                            </w:rPr>
                          </w:pPr>
                          <w:r>
                            <w:fldChar w:fldCharType="begin"/>
                          </w:r>
                          <w:r>
                            <w:rPr>
                              <w:rStyle w:val="33"/>
                            </w:rPr>
                            <w:instrText xml:space="preserve">PAGE  </w:instrText>
                          </w:r>
                          <w:r>
                            <w:fldChar w:fldCharType="separate"/>
                          </w:r>
                          <w:r>
                            <w:rPr>
                              <w:rStyle w:val="33"/>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
                      <w:rPr>
                        <w:rStyle w:val="33"/>
                      </w:rPr>
                    </w:pPr>
                    <w:r>
                      <w:fldChar w:fldCharType="begin"/>
                    </w:r>
                    <w:r>
                      <w:rPr>
                        <w:rStyle w:val="33"/>
                      </w:rPr>
                      <w:instrText xml:space="preserve">PAGE  </w:instrText>
                    </w:r>
                    <w:r>
                      <w:fldChar w:fldCharType="separate"/>
                    </w:r>
                    <w:r>
                      <w:rPr>
                        <w:rStyle w:val="33"/>
                      </w:rPr>
                      <w:t>36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3"/>
      </w:rPr>
    </w:pPr>
    <w:r>
      <w:fldChar w:fldCharType="begin"/>
    </w:r>
    <w:r>
      <w:rPr>
        <w:rStyle w:val="33"/>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BCE1C5"/>
    <w:multiLevelType w:val="singleLevel"/>
    <w:tmpl w:val="C0BCE1C5"/>
    <w:lvl w:ilvl="0" w:tentative="0">
      <w:start w:val="5"/>
      <w:numFmt w:val="chineseCounting"/>
      <w:suff w:val="nothing"/>
      <w:lvlText w:val="%1、"/>
      <w:lvlJc w:val="left"/>
      <w:rPr>
        <w:rFonts w:hint="eastAsia"/>
      </w:rPr>
    </w:lvl>
  </w:abstractNum>
  <w:abstractNum w:abstractNumId="1">
    <w:nsid w:val="F616A06E"/>
    <w:multiLevelType w:val="singleLevel"/>
    <w:tmpl w:val="F616A06E"/>
    <w:lvl w:ilvl="0" w:tentative="0">
      <w:start w:val="6"/>
      <w:numFmt w:val="chineseCounting"/>
      <w:suff w:val="nothing"/>
      <w:lvlText w:val="%1、"/>
      <w:lvlJc w:val="left"/>
      <w:rPr>
        <w:rFonts w:hint="eastAsia"/>
      </w:r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3"/>
  </w:num>
  <w:num w:numId="2">
    <w:abstractNumId w:val="4"/>
  </w:num>
  <w:num w:numId="3">
    <w:abstractNumId w:val="2"/>
    <w:lvlOverride w:ilvl="0">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xM2ZiZjFmMWQzOTAyY2U0MDEwNmNhMjdhMmY4ZWUifQ=="/>
  </w:docVars>
  <w:rsids>
    <w:rsidRoot w:val="0010194E"/>
    <w:rsid w:val="00045561"/>
    <w:rsid w:val="000564F8"/>
    <w:rsid w:val="00057717"/>
    <w:rsid w:val="00074965"/>
    <w:rsid w:val="00076764"/>
    <w:rsid w:val="00084483"/>
    <w:rsid w:val="00093DAF"/>
    <w:rsid w:val="000A0712"/>
    <w:rsid w:val="000B162E"/>
    <w:rsid w:val="000B43B5"/>
    <w:rsid w:val="000C48AD"/>
    <w:rsid w:val="000D279A"/>
    <w:rsid w:val="000D7EF0"/>
    <w:rsid w:val="000F4AEA"/>
    <w:rsid w:val="0010194E"/>
    <w:rsid w:val="00131537"/>
    <w:rsid w:val="00136C9A"/>
    <w:rsid w:val="00143E3E"/>
    <w:rsid w:val="001477E9"/>
    <w:rsid w:val="0015151B"/>
    <w:rsid w:val="001625D8"/>
    <w:rsid w:val="00186E9E"/>
    <w:rsid w:val="001D6D81"/>
    <w:rsid w:val="001F7558"/>
    <w:rsid w:val="00210606"/>
    <w:rsid w:val="00214709"/>
    <w:rsid w:val="0021720C"/>
    <w:rsid w:val="00222914"/>
    <w:rsid w:val="00233734"/>
    <w:rsid w:val="00241EC7"/>
    <w:rsid w:val="0025712A"/>
    <w:rsid w:val="00272802"/>
    <w:rsid w:val="00280EAE"/>
    <w:rsid w:val="00293D8A"/>
    <w:rsid w:val="002A4B48"/>
    <w:rsid w:val="002A7874"/>
    <w:rsid w:val="002D1A6B"/>
    <w:rsid w:val="002D5CCE"/>
    <w:rsid w:val="002F10DB"/>
    <w:rsid w:val="00322746"/>
    <w:rsid w:val="0032359A"/>
    <w:rsid w:val="003728A6"/>
    <w:rsid w:val="003A2366"/>
    <w:rsid w:val="003A7506"/>
    <w:rsid w:val="003C1136"/>
    <w:rsid w:val="003C71BE"/>
    <w:rsid w:val="003C755E"/>
    <w:rsid w:val="00411BF8"/>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D4FA4"/>
    <w:rsid w:val="004E5B1F"/>
    <w:rsid w:val="004E7FC4"/>
    <w:rsid w:val="0051242C"/>
    <w:rsid w:val="0052385C"/>
    <w:rsid w:val="005245BC"/>
    <w:rsid w:val="00525130"/>
    <w:rsid w:val="005326F8"/>
    <w:rsid w:val="005334B4"/>
    <w:rsid w:val="00542A58"/>
    <w:rsid w:val="00547AEF"/>
    <w:rsid w:val="005517F5"/>
    <w:rsid w:val="005526E8"/>
    <w:rsid w:val="005529E8"/>
    <w:rsid w:val="00575DFB"/>
    <w:rsid w:val="005F4B5F"/>
    <w:rsid w:val="006110D9"/>
    <w:rsid w:val="0062276F"/>
    <w:rsid w:val="00622CAC"/>
    <w:rsid w:val="00623C4C"/>
    <w:rsid w:val="00632995"/>
    <w:rsid w:val="006526B3"/>
    <w:rsid w:val="00652D2D"/>
    <w:rsid w:val="00653099"/>
    <w:rsid w:val="006635E7"/>
    <w:rsid w:val="00682F7E"/>
    <w:rsid w:val="006A0372"/>
    <w:rsid w:val="006B4A68"/>
    <w:rsid w:val="006B5F94"/>
    <w:rsid w:val="006B682B"/>
    <w:rsid w:val="006C1522"/>
    <w:rsid w:val="006D104A"/>
    <w:rsid w:val="006F0B75"/>
    <w:rsid w:val="007239AE"/>
    <w:rsid w:val="007329B0"/>
    <w:rsid w:val="0074384A"/>
    <w:rsid w:val="00751183"/>
    <w:rsid w:val="00756C81"/>
    <w:rsid w:val="00770549"/>
    <w:rsid w:val="00775E29"/>
    <w:rsid w:val="00782A30"/>
    <w:rsid w:val="00791F9A"/>
    <w:rsid w:val="0079533D"/>
    <w:rsid w:val="007B1080"/>
    <w:rsid w:val="007C2948"/>
    <w:rsid w:val="007C6DCD"/>
    <w:rsid w:val="007E0A6F"/>
    <w:rsid w:val="007F6A6F"/>
    <w:rsid w:val="008061A3"/>
    <w:rsid w:val="008341AC"/>
    <w:rsid w:val="00836D31"/>
    <w:rsid w:val="008425CC"/>
    <w:rsid w:val="008461F6"/>
    <w:rsid w:val="00864F7E"/>
    <w:rsid w:val="00867372"/>
    <w:rsid w:val="00874FB3"/>
    <w:rsid w:val="00876F15"/>
    <w:rsid w:val="00890954"/>
    <w:rsid w:val="008A271B"/>
    <w:rsid w:val="008A7C67"/>
    <w:rsid w:val="008B4F25"/>
    <w:rsid w:val="008B560E"/>
    <w:rsid w:val="008C12A6"/>
    <w:rsid w:val="008D509E"/>
    <w:rsid w:val="008E2C73"/>
    <w:rsid w:val="008F0FD4"/>
    <w:rsid w:val="00902A82"/>
    <w:rsid w:val="00902E83"/>
    <w:rsid w:val="00904432"/>
    <w:rsid w:val="00925E7E"/>
    <w:rsid w:val="009524F8"/>
    <w:rsid w:val="00997DAB"/>
    <w:rsid w:val="009A216D"/>
    <w:rsid w:val="009B667D"/>
    <w:rsid w:val="009B71C3"/>
    <w:rsid w:val="009C1818"/>
    <w:rsid w:val="009C5DB5"/>
    <w:rsid w:val="009D729F"/>
    <w:rsid w:val="009F45CB"/>
    <w:rsid w:val="009F5367"/>
    <w:rsid w:val="00A01822"/>
    <w:rsid w:val="00A17F44"/>
    <w:rsid w:val="00A32CC5"/>
    <w:rsid w:val="00A50132"/>
    <w:rsid w:val="00A62F01"/>
    <w:rsid w:val="00A75554"/>
    <w:rsid w:val="00A75800"/>
    <w:rsid w:val="00AB58D9"/>
    <w:rsid w:val="00AD5E5A"/>
    <w:rsid w:val="00AD620A"/>
    <w:rsid w:val="00AF6C1F"/>
    <w:rsid w:val="00AF70AF"/>
    <w:rsid w:val="00B010F5"/>
    <w:rsid w:val="00B17014"/>
    <w:rsid w:val="00B357A0"/>
    <w:rsid w:val="00B56DB5"/>
    <w:rsid w:val="00B60E52"/>
    <w:rsid w:val="00B732E3"/>
    <w:rsid w:val="00B8795A"/>
    <w:rsid w:val="00BA2C31"/>
    <w:rsid w:val="00BA42EB"/>
    <w:rsid w:val="00BB5FEA"/>
    <w:rsid w:val="00BB755D"/>
    <w:rsid w:val="00BC4F01"/>
    <w:rsid w:val="00BD21FA"/>
    <w:rsid w:val="00BD3E5E"/>
    <w:rsid w:val="00BD426B"/>
    <w:rsid w:val="00BF67EF"/>
    <w:rsid w:val="00BF76A9"/>
    <w:rsid w:val="00C025C7"/>
    <w:rsid w:val="00C05BC1"/>
    <w:rsid w:val="00C47653"/>
    <w:rsid w:val="00C528F3"/>
    <w:rsid w:val="00C54E9B"/>
    <w:rsid w:val="00C85E16"/>
    <w:rsid w:val="00C909FB"/>
    <w:rsid w:val="00CA299C"/>
    <w:rsid w:val="00CD62C1"/>
    <w:rsid w:val="00CF43AC"/>
    <w:rsid w:val="00CF5BA9"/>
    <w:rsid w:val="00D01829"/>
    <w:rsid w:val="00D23B0E"/>
    <w:rsid w:val="00D32F50"/>
    <w:rsid w:val="00D34DD2"/>
    <w:rsid w:val="00D533B9"/>
    <w:rsid w:val="00D56FFA"/>
    <w:rsid w:val="00D62AE5"/>
    <w:rsid w:val="00D731CB"/>
    <w:rsid w:val="00D91B0B"/>
    <w:rsid w:val="00D93E74"/>
    <w:rsid w:val="00D944F6"/>
    <w:rsid w:val="00DA7A02"/>
    <w:rsid w:val="00DB359C"/>
    <w:rsid w:val="00DB5AB5"/>
    <w:rsid w:val="00DD0D63"/>
    <w:rsid w:val="00DD2DD3"/>
    <w:rsid w:val="00DE7F4D"/>
    <w:rsid w:val="00DF2113"/>
    <w:rsid w:val="00E0229C"/>
    <w:rsid w:val="00E15396"/>
    <w:rsid w:val="00E51E2C"/>
    <w:rsid w:val="00E5610A"/>
    <w:rsid w:val="00E57C38"/>
    <w:rsid w:val="00E73E83"/>
    <w:rsid w:val="00E84698"/>
    <w:rsid w:val="00E84FBF"/>
    <w:rsid w:val="00E90134"/>
    <w:rsid w:val="00EA2E20"/>
    <w:rsid w:val="00EA46BC"/>
    <w:rsid w:val="00EA5817"/>
    <w:rsid w:val="00EC2B70"/>
    <w:rsid w:val="00ED0907"/>
    <w:rsid w:val="00ED2A5D"/>
    <w:rsid w:val="00ED4DB9"/>
    <w:rsid w:val="00EF0383"/>
    <w:rsid w:val="00EF3CCD"/>
    <w:rsid w:val="00EF4D9D"/>
    <w:rsid w:val="00EF66F3"/>
    <w:rsid w:val="00F04D21"/>
    <w:rsid w:val="00F420AF"/>
    <w:rsid w:val="00F7569E"/>
    <w:rsid w:val="00F92C64"/>
    <w:rsid w:val="00F930E1"/>
    <w:rsid w:val="00FA1F33"/>
    <w:rsid w:val="00FA3E3C"/>
    <w:rsid w:val="00FC669B"/>
    <w:rsid w:val="00FF2B4D"/>
    <w:rsid w:val="00FF3D5B"/>
    <w:rsid w:val="01011FFF"/>
    <w:rsid w:val="014A21FD"/>
    <w:rsid w:val="015130A5"/>
    <w:rsid w:val="015B50AA"/>
    <w:rsid w:val="01741AAE"/>
    <w:rsid w:val="01B96184"/>
    <w:rsid w:val="0286324B"/>
    <w:rsid w:val="02995112"/>
    <w:rsid w:val="02D04262"/>
    <w:rsid w:val="031D535B"/>
    <w:rsid w:val="03532361"/>
    <w:rsid w:val="03A73694"/>
    <w:rsid w:val="03B126D1"/>
    <w:rsid w:val="03BD69DC"/>
    <w:rsid w:val="03E57DD2"/>
    <w:rsid w:val="042350B2"/>
    <w:rsid w:val="044A4D2C"/>
    <w:rsid w:val="045D7417"/>
    <w:rsid w:val="04840E01"/>
    <w:rsid w:val="04861837"/>
    <w:rsid w:val="048B5EE3"/>
    <w:rsid w:val="04E235AD"/>
    <w:rsid w:val="04F4121A"/>
    <w:rsid w:val="05066A13"/>
    <w:rsid w:val="05280385"/>
    <w:rsid w:val="05513FE0"/>
    <w:rsid w:val="05555B99"/>
    <w:rsid w:val="058C67BD"/>
    <w:rsid w:val="05F77359"/>
    <w:rsid w:val="05F92C5C"/>
    <w:rsid w:val="06485E66"/>
    <w:rsid w:val="06C527FC"/>
    <w:rsid w:val="0714772A"/>
    <w:rsid w:val="071D136E"/>
    <w:rsid w:val="07765F1F"/>
    <w:rsid w:val="07934C0C"/>
    <w:rsid w:val="081A0B12"/>
    <w:rsid w:val="087C7F59"/>
    <w:rsid w:val="0898487A"/>
    <w:rsid w:val="08B81714"/>
    <w:rsid w:val="08B955EF"/>
    <w:rsid w:val="08CF12AE"/>
    <w:rsid w:val="09382BBB"/>
    <w:rsid w:val="09AE389E"/>
    <w:rsid w:val="09C63C9B"/>
    <w:rsid w:val="09F0706D"/>
    <w:rsid w:val="09F145CE"/>
    <w:rsid w:val="0A120212"/>
    <w:rsid w:val="0A8668E7"/>
    <w:rsid w:val="0ADC6E98"/>
    <w:rsid w:val="0BAE24F3"/>
    <w:rsid w:val="0BE33E02"/>
    <w:rsid w:val="0C311179"/>
    <w:rsid w:val="0C3A6887"/>
    <w:rsid w:val="0C715522"/>
    <w:rsid w:val="0D0276D0"/>
    <w:rsid w:val="0D143EE4"/>
    <w:rsid w:val="0D334241"/>
    <w:rsid w:val="0D5E0952"/>
    <w:rsid w:val="0D9F5DB9"/>
    <w:rsid w:val="0DB935E7"/>
    <w:rsid w:val="0DC72D11"/>
    <w:rsid w:val="0DDE6784"/>
    <w:rsid w:val="0DFC094C"/>
    <w:rsid w:val="0E3A73A8"/>
    <w:rsid w:val="0EA56DAE"/>
    <w:rsid w:val="0EBC7671"/>
    <w:rsid w:val="0F0B558C"/>
    <w:rsid w:val="0F3D2B86"/>
    <w:rsid w:val="0FB97F18"/>
    <w:rsid w:val="0FDC3811"/>
    <w:rsid w:val="0FE72CD1"/>
    <w:rsid w:val="105946A0"/>
    <w:rsid w:val="105F3432"/>
    <w:rsid w:val="108121E7"/>
    <w:rsid w:val="11087C0F"/>
    <w:rsid w:val="11634F8C"/>
    <w:rsid w:val="11D26345"/>
    <w:rsid w:val="1215321E"/>
    <w:rsid w:val="1235350B"/>
    <w:rsid w:val="123616DA"/>
    <w:rsid w:val="12B56D99"/>
    <w:rsid w:val="12D96078"/>
    <w:rsid w:val="12F55BFF"/>
    <w:rsid w:val="1312007D"/>
    <w:rsid w:val="13292546"/>
    <w:rsid w:val="13693A7A"/>
    <w:rsid w:val="13CB4756"/>
    <w:rsid w:val="13D27C94"/>
    <w:rsid w:val="13D76378"/>
    <w:rsid w:val="13DF380B"/>
    <w:rsid w:val="13F63341"/>
    <w:rsid w:val="13FF7358"/>
    <w:rsid w:val="140365C9"/>
    <w:rsid w:val="143200B7"/>
    <w:rsid w:val="143E6AFE"/>
    <w:rsid w:val="14930A98"/>
    <w:rsid w:val="14B85386"/>
    <w:rsid w:val="14DC381C"/>
    <w:rsid w:val="14E160CA"/>
    <w:rsid w:val="151B57B1"/>
    <w:rsid w:val="16035407"/>
    <w:rsid w:val="16176EC8"/>
    <w:rsid w:val="16210A5E"/>
    <w:rsid w:val="16E83175"/>
    <w:rsid w:val="173A0B30"/>
    <w:rsid w:val="17533BD6"/>
    <w:rsid w:val="175E3B47"/>
    <w:rsid w:val="17A86DF7"/>
    <w:rsid w:val="17DE3DF5"/>
    <w:rsid w:val="185337AB"/>
    <w:rsid w:val="188905EA"/>
    <w:rsid w:val="18D76DC8"/>
    <w:rsid w:val="18F21ADE"/>
    <w:rsid w:val="196D3A39"/>
    <w:rsid w:val="199161CD"/>
    <w:rsid w:val="19934E12"/>
    <w:rsid w:val="1A0F4551"/>
    <w:rsid w:val="1A754578"/>
    <w:rsid w:val="1A7C3AA6"/>
    <w:rsid w:val="1AA94172"/>
    <w:rsid w:val="1AB71B05"/>
    <w:rsid w:val="1B1809DB"/>
    <w:rsid w:val="1B4D5BAB"/>
    <w:rsid w:val="1B562007"/>
    <w:rsid w:val="1BCF5B51"/>
    <w:rsid w:val="1BF533C2"/>
    <w:rsid w:val="1CAA4F0D"/>
    <w:rsid w:val="1D25407A"/>
    <w:rsid w:val="1D2C70DD"/>
    <w:rsid w:val="1D34206D"/>
    <w:rsid w:val="1D7D2370"/>
    <w:rsid w:val="1DF0524B"/>
    <w:rsid w:val="1E116847"/>
    <w:rsid w:val="1E61277D"/>
    <w:rsid w:val="1E62415C"/>
    <w:rsid w:val="1E7427D0"/>
    <w:rsid w:val="1E9151E6"/>
    <w:rsid w:val="1F052606"/>
    <w:rsid w:val="1F342AE7"/>
    <w:rsid w:val="1F801E4F"/>
    <w:rsid w:val="1F93138A"/>
    <w:rsid w:val="205B5DC9"/>
    <w:rsid w:val="20A25DB0"/>
    <w:rsid w:val="21286C18"/>
    <w:rsid w:val="21703D3E"/>
    <w:rsid w:val="21736BA9"/>
    <w:rsid w:val="21AB57BE"/>
    <w:rsid w:val="21BF53F4"/>
    <w:rsid w:val="21E35D2B"/>
    <w:rsid w:val="22A30CD3"/>
    <w:rsid w:val="22D71B14"/>
    <w:rsid w:val="2378602E"/>
    <w:rsid w:val="240615A1"/>
    <w:rsid w:val="24166E3F"/>
    <w:rsid w:val="2417722E"/>
    <w:rsid w:val="243B5B53"/>
    <w:rsid w:val="24684952"/>
    <w:rsid w:val="24BD5033"/>
    <w:rsid w:val="24FA6359"/>
    <w:rsid w:val="2589425F"/>
    <w:rsid w:val="25E548A5"/>
    <w:rsid w:val="26A75452"/>
    <w:rsid w:val="26E61C61"/>
    <w:rsid w:val="273B3F01"/>
    <w:rsid w:val="27955837"/>
    <w:rsid w:val="27D5334F"/>
    <w:rsid w:val="27F153BF"/>
    <w:rsid w:val="28101D89"/>
    <w:rsid w:val="286701C9"/>
    <w:rsid w:val="286952C7"/>
    <w:rsid w:val="28784A36"/>
    <w:rsid w:val="28DC1618"/>
    <w:rsid w:val="292C3945"/>
    <w:rsid w:val="292D4BFB"/>
    <w:rsid w:val="29682A39"/>
    <w:rsid w:val="29A045B3"/>
    <w:rsid w:val="29F31663"/>
    <w:rsid w:val="2A211460"/>
    <w:rsid w:val="2A5854CD"/>
    <w:rsid w:val="2A6374C3"/>
    <w:rsid w:val="2A8504F1"/>
    <w:rsid w:val="2AA17B78"/>
    <w:rsid w:val="2B114786"/>
    <w:rsid w:val="2B7240BE"/>
    <w:rsid w:val="2BBB1549"/>
    <w:rsid w:val="2C277AB5"/>
    <w:rsid w:val="2C372209"/>
    <w:rsid w:val="2C64672E"/>
    <w:rsid w:val="2C971B37"/>
    <w:rsid w:val="2D88018B"/>
    <w:rsid w:val="2DEE2748"/>
    <w:rsid w:val="2E120624"/>
    <w:rsid w:val="2E13304A"/>
    <w:rsid w:val="2E1626B8"/>
    <w:rsid w:val="2E1B3772"/>
    <w:rsid w:val="2E6C7682"/>
    <w:rsid w:val="2E815EE6"/>
    <w:rsid w:val="2E8946F2"/>
    <w:rsid w:val="2EBD34E9"/>
    <w:rsid w:val="2F0D5F49"/>
    <w:rsid w:val="2F1E302B"/>
    <w:rsid w:val="2F2C54DF"/>
    <w:rsid w:val="2FC94B7E"/>
    <w:rsid w:val="30006C9C"/>
    <w:rsid w:val="301C312A"/>
    <w:rsid w:val="304042F6"/>
    <w:rsid w:val="304731D4"/>
    <w:rsid w:val="30575101"/>
    <w:rsid w:val="30BB531D"/>
    <w:rsid w:val="30F2062D"/>
    <w:rsid w:val="31605FF8"/>
    <w:rsid w:val="319F3710"/>
    <w:rsid w:val="325029E4"/>
    <w:rsid w:val="32871392"/>
    <w:rsid w:val="32D51346"/>
    <w:rsid w:val="32D813DC"/>
    <w:rsid w:val="32DF7C15"/>
    <w:rsid w:val="336011CC"/>
    <w:rsid w:val="33945356"/>
    <w:rsid w:val="33EE5796"/>
    <w:rsid w:val="3426571B"/>
    <w:rsid w:val="342B2D25"/>
    <w:rsid w:val="348B6B8F"/>
    <w:rsid w:val="34941519"/>
    <w:rsid w:val="349D3E59"/>
    <w:rsid w:val="350B2F2E"/>
    <w:rsid w:val="350D57B3"/>
    <w:rsid w:val="3582226B"/>
    <w:rsid w:val="35C10488"/>
    <w:rsid w:val="35D56E61"/>
    <w:rsid w:val="35EB381D"/>
    <w:rsid w:val="363A2C0B"/>
    <w:rsid w:val="36740AEA"/>
    <w:rsid w:val="369233AE"/>
    <w:rsid w:val="36C94101"/>
    <w:rsid w:val="37145DDD"/>
    <w:rsid w:val="373862CB"/>
    <w:rsid w:val="37505273"/>
    <w:rsid w:val="375B7805"/>
    <w:rsid w:val="37A30ED5"/>
    <w:rsid w:val="382078A0"/>
    <w:rsid w:val="38504FF3"/>
    <w:rsid w:val="39343DC9"/>
    <w:rsid w:val="39593377"/>
    <w:rsid w:val="39655067"/>
    <w:rsid w:val="39A27418"/>
    <w:rsid w:val="39CB75E0"/>
    <w:rsid w:val="3A063D1F"/>
    <w:rsid w:val="3B602681"/>
    <w:rsid w:val="3C045002"/>
    <w:rsid w:val="3C3D5AC0"/>
    <w:rsid w:val="3C4C6D0B"/>
    <w:rsid w:val="3C574828"/>
    <w:rsid w:val="3C7744C7"/>
    <w:rsid w:val="3D3F3302"/>
    <w:rsid w:val="3D52475B"/>
    <w:rsid w:val="3D7F43A8"/>
    <w:rsid w:val="3D877915"/>
    <w:rsid w:val="3DE51B3D"/>
    <w:rsid w:val="3E1D7BC5"/>
    <w:rsid w:val="3E32443D"/>
    <w:rsid w:val="3E6A0105"/>
    <w:rsid w:val="3E6F6F95"/>
    <w:rsid w:val="3E7828A2"/>
    <w:rsid w:val="3EB645F8"/>
    <w:rsid w:val="3EC33B64"/>
    <w:rsid w:val="3F431AEE"/>
    <w:rsid w:val="3FBE67A5"/>
    <w:rsid w:val="3FC82E08"/>
    <w:rsid w:val="40B12B66"/>
    <w:rsid w:val="40B951D8"/>
    <w:rsid w:val="41246C31"/>
    <w:rsid w:val="41265447"/>
    <w:rsid w:val="413C4512"/>
    <w:rsid w:val="41A546C6"/>
    <w:rsid w:val="41FD7105"/>
    <w:rsid w:val="42271EC9"/>
    <w:rsid w:val="4239766B"/>
    <w:rsid w:val="423C2BF1"/>
    <w:rsid w:val="42D2511E"/>
    <w:rsid w:val="431840BE"/>
    <w:rsid w:val="439A2D6F"/>
    <w:rsid w:val="43B13227"/>
    <w:rsid w:val="43F30D98"/>
    <w:rsid w:val="43F4744E"/>
    <w:rsid w:val="43FF6A1A"/>
    <w:rsid w:val="449B62ED"/>
    <w:rsid w:val="44BD61AD"/>
    <w:rsid w:val="44F11030"/>
    <w:rsid w:val="44FD0547"/>
    <w:rsid w:val="451026D4"/>
    <w:rsid w:val="456404A8"/>
    <w:rsid w:val="456D3269"/>
    <w:rsid w:val="45C41B5E"/>
    <w:rsid w:val="45CE46F8"/>
    <w:rsid w:val="464369CB"/>
    <w:rsid w:val="46CD7D3C"/>
    <w:rsid w:val="47116DC9"/>
    <w:rsid w:val="4757393A"/>
    <w:rsid w:val="479F50C9"/>
    <w:rsid w:val="47AC54B5"/>
    <w:rsid w:val="47F81750"/>
    <w:rsid w:val="488164FC"/>
    <w:rsid w:val="48986E1F"/>
    <w:rsid w:val="489C2989"/>
    <w:rsid w:val="48A10F94"/>
    <w:rsid w:val="48B92B04"/>
    <w:rsid w:val="48FE535E"/>
    <w:rsid w:val="49344388"/>
    <w:rsid w:val="4A341EBD"/>
    <w:rsid w:val="4AEC1F41"/>
    <w:rsid w:val="4AF70535"/>
    <w:rsid w:val="4B072170"/>
    <w:rsid w:val="4B0E34C4"/>
    <w:rsid w:val="4B27243E"/>
    <w:rsid w:val="4B30662A"/>
    <w:rsid w:val="4B330C1D"/>
    <w:rsid w:val="4B4E5FB2"/>
    <w:rsid w:val="4B9A1E8D"/>
    <w:rsid w:val="4BFB6EF0"/>
    <w:rsid w:val="4C5D7C71"/>
    <w:rsid w:val="4CAB041F"/>
    <w:rsid w:val="4CC64BE4"/>
    <w:rsid w:val="4CED19DF"/>
    <w:rsid w:val="4D1C7BCA"/>
    <w:rsid w:val="4D383F44"/>
    <w:rsid w:val="4D9962E5"/>
    <w:rsid w:val="4DC31A9D"/>
    <w:rsid w:val="4DC90F3A"/>
    <w:rsid w:val="4E074CCC"/>
    <w:rsid w:val="4E4006F0"/>
    <w:rsid w:val="4E487E7C"/>
    <w:rsid w:val="4EAD0149"/>
    <w:rsid w:val="4EC74B7C"/>
    <w:rsid w:val="50212117"/>
    <w:rsid w:val="5037078F"/>
    <w:rsid w:val="503A558A"/>
    <w:rsid w:val="50971903"/>
    <w:rsid w:val="50D00CA9"/>
    <w:rsid w:val="50D90845"/>
    <w:rsid w:val="510229C9"/>
    <w:rsid w:val="51292FB5"/>
    <w:rsid w:val="516521CA"/>
    <w:rsid w:val="516A3A11"/>
    <w:rsid w:val="51CE300F"/>
    <w:rsid w:val="52317A2A"/>
    <w:rsid w:val="524C014C"/>
    <w:rsid w:val="5259517F"/>
    <w:rsid w:val="525D21E5"/>
    <w:rsid w:val="525F7266"/>
    <w:rsid w:val="52AA7033"/>
    <w:rsid w:val="52B5520E"/>
    <w:rsid w:val="52C708D6"/>
    <w:rsid w:val="52C938E1"/>
    <w:rsid w:val="5334621C"/>
    <w:rsid w:val="53900DB0"/>
    <w:rsid w:val="53946FC3"/>
    <w:rsid w:val="53DE070E"/>
    <w:rsid w:val="5440090C"/>
    <w:rsid w:val="545D1CA0"/>
    <w:rsid w:val="548B0D30"/>
    <w:rsid w:val="55013219"/>
    <w:rsid w:val="554F0D02"/>
    <w:rsid w:val="55537BC8"/>
    <w:rsid w:val="55CF7528"/>
    <w:rsid w:val="563F2B13"/>
    <w:rsid w:val="56555BA1"/>
    <w:rsid w:val="56CD4A1B"/>
    <w:rsid w:val="5726726A"/>
    <w:rsid w:val="574014B2"/>
    <w:rsid w:val="57717213"/>
    <w:rsid w:val="57986E4E"/>
    <w:rsid w:val="57E275A8"/>
    <w:rsid w:val="57EE203F"/>
    <w:rsid w:val="57F11889"/>
    <w:rsid w:val="5908206A"/>
    <w:rsid w:val="595D7C47"/>
    <w:rsid w:val="59B408F6"/>
    <w:rsid w:val="59F43D09"/>
    <w:rsid w:val="5A7C2C34"/>
    <w:rsid w:val="5ABD2A6D"/>
    <w:rsid w:val="5AE87437"/>
    <w:rsid w:val="5AF13F16"/>
    <w:rsid w:val="5AF7677A"/>
    <w:rsid w:val="5B034E26"/>
    <w:rsid w:val="5B2F2A64"/>
    <w:rsid w:val="5BD93773"/>
    <w:rsid w:val="5C56083A"/>
    <w:rsid w:val="5C9501B2"/>
    <w:rsid w:val="5CE92F75"/>
    <w:rsid w:val="5D0B5E08"/>
    <w:rsid w:val="5D2A6B1B"/>
    <w:rsid w:val="5D383059"/>
    <w:rsid w:val="5D631BB0"/>
    <w:rsid w:val="5DB67B17"/>
    <w:rsid w:val="5E51166B"/>
    <w:rsid w:val="5E997A43"/>
    <w:rsid w:val="5EED5F2A"/>
    <w:rsid w:val="5F4D6932"/>
    <w:rsid w:val="5F4E23BE"/>
    <w:rsid w:val="5F6C0397"/>
    <w:rsid w:val="5F812A21"/>
    <w:rsid w:val="5F922FEE"/>
    <w:rsid w:val="5FB146B6"/>
    <w:rsid w:val="607109A5"/>
    <w:rsid w:val="60755481"/>
    <w:rsid w:val="618B070A"/>
    <w:rsid w:val="6230588C"/>
    <w:rsid w:val="623D3055"/>
    <w:rsid w:val="625E6BE3"/>
    <w:rsid w:val="62902B22"/>
    <w:rsid w:val="62E35B03"/>
    <w:rsid w:val="63A97B27"/>
    <w:rsid w:val="640F5F9A"/>
    <w:rsid w:val="64126A86"/>
    <w:rsid w:val="646B1AD8"/>
    <w:rsid w:val="64F7748B"/>
    <w:rsid w:val="652128F7"/>
    <w:rsid w:val="65315A4B"/>
    <w:rsid w:val="655452CD"/>
    <w:rsid w:val="658A7011"/>
    <w:rsid w:val="65C644D1"/>
    <w:rsid w:val="661D33E7"/>
    <w:rsid w:val="664F4D11"/>
    <w:rsid w:val="66B37873"/>
    <w:rsid w:val="66EB2E66"/>
    <w:rsid w:val="66FF71C8"/>
    <w:rsid w:val="67706CC4"/>
    <w:rsid w:val="6799526D"/>
    <w:rsid w:val="67BF3977"/>
    <w:rsid w:val="67E1092C"/>
    <w:rsid w:val="68261C17"/>
    <w:rsid w:val="68C3402B"/>
    <w:rsid w:val="693A7147"/>
    <w:rsid w:val="69613CE3"/>
    <w:rsid w:val="697B1838"/>
    <w:rsid w:val="6A456B6C"/>
    <w:rsid w:val="6A4C65F3"/>
    <w:rsid w:val="6A7A038B"/>
    <w:rsid w:val="6AA93D74"/>
    <w:rsid w:val="6AA94A17"/>
    <w:rsid w:val="6AAB7693"/>
    <w:rsid w:val="6ACB4AFB"/>
    <w:rsid w:val="6AF10C29"/>
    <w:rsid w:val="6B2B55B6"/>
    <w:rsid w:val="6B372E6E"/>
    <w:rsid w:val="6B514E69"/>
    <w:rsid w:val="6C127C78"/>
    <w:rsid w:val="6C2D251A"/>
    <w:rsid w:val="6C3029B3"/>
    <w:rsid w:val="6C5E201E"/>
    <w:rsid w:val="6C783FE5"/>
    <w:rsid w:val="6C80147C"/>
    <w:rsid w:val="6C801892"/>
    <w:rsid w:val="6D4B0D1A"/>
    <w:rsid w:val="6DAE3EAD"/>
    <w:rsid w:val="6DC236CD"/>
    <w:rsid w:val="6DD03685"/>
    <w:rsid w:val="6DD96B4F"/>
    <w:rsid w:val="6E5A7416"/>
    <w:rsid w:val="6E616042"/>
    <w:rsid w:val="6ED24E0D"/>
    <w:rsid w:val="6F53335F"/>
    <w:rsid w:val="6F583245"/>
    <w:rsid w:val="6FE249E7"/>
    <w:rsid w:val="70403F0A"/>
    <w:rsid w:val="705B3D20"/>
    <w:rsid w:val="71363CBD"/>
    <w:rsid w:val="71426352"/>
    <w:rsid w:val="7178153E"/>
    <w:rsid w:val="71B24DE1"/>
    <w:rsid w:val="727538E8"/>
    <w:rsid w:val="728D38F1"/>
    <w:rsid w:val="72AF31B0"/>
    <w:rsid w:val="72C15E7B"/>
    <w:rsid w:val="73155182"/>
    <w:rsid w:val="737B3271"/>
    <w:rsid w:val="7391439B"/>
    <w:rsid w:val="73AF4F4C"/>
    <w:rsid w:val="73B971E5"/>
    <w:rsid w:val="73E62987"/>
    <w:rsid w:val="73E7209B"/>
    <w:rsid w:val="74053B57"/>
    <w:rsid w:val="74240F8D"/>
    <w:rsid w:val="74561E81"/>
    <w:rsid w:val="74C61F3C"/>
    <w:rsid w:val="76395A6C"/>
    <w:rsid w:val="765A071A"/>
    <w:rsid w:val="767B5AAE"/>
    <w:rsid w:val="76900DB4"/>
    <w:rsid w:val="76942046"/>
    <w:rsid w:val="76FA36F9"/>
    <w:rsid w:val="770B3C2B"/>
    <w:rsid w:val="771A239A"/>
    <w:rsid w:val="77357604"/>
    <w:rsid w:val="773D5A05"/>
    <w:rsid w:val="777E22C7"/>
    <w:rsid w:val="77B23997"/>
    <w:rsid w:val="77B5068E"/>
    <w:rsid w:val="77CB1368"/>
    <w:rsid w:val="77E72D5C"/>
    <w:rsid w:val="78197C79"/>
    <w:rsid w:val="79117AC7"/>
    <w:rsid w:val="7922253A"/>
    <w:rsid w:val="794D076D"/>
    <w:rsid w:val="79893CCB"/>
    <w:rsid w:val="798B0F58"/>
    <w:rsid w:val="79B02677"/>
    <w:rsid w:val="79B12D9D"/>
    <w:rsid w:val="79E24DF9"/>
    <w:rsid w:val="7A0274EC"/>
    <w:rsid w:val="7A0D5955"/>
    <w:rsid w:val="7A282DB5"/>
    <w:rsid w:val="7AA6364F"/>
    <w:rsid w:val="7AC830AB"/>
    <w:rsid w:val="7AE362F2"/>
    <w:rsid w:val="7B03408E"/>
    <w:rsid w:val="7B1917B2"/>
    <w:rsid w:val="7B294232"/>
    <w:rsid w:val="7B5733DE"/>
    <w:rsid w:val="7B9F6E62"/>
    <w:rsid w:val="7BBC5102"/>
    <w:rsid w:val="7BFF6C7B"/>
    <w:rsid w:val="7C210ACA"/>
    <w:rsid w:val="7D092F4F"/>
    <w:rsid w:val="7D6963A4"/>
    <w:rsid w:val="7D73001E"/>
    <w:rsid w:val="7D863E7D"/>
    <w:rsid w:val="7DC84BFA"/>
    <w:rsid w:val="7E2A5C35"/>
    <w:rsid w:val="7E40341B"/>
    <w:rsid w:val="7E421C0B"/>
    <w:rsid w:val="7E422A35"/>
    <w:rsid w:val="7E4E6FDA"/>
    <w:rsid w:val="7E841692"/>
    <w:rsid w:val="7ECA6107"/>
    <w:rsid w:val="7F42398C"/>
    <w:rsid w:val="7F590A49"/>
    <w:rsid w:val="7FB82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8"/>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unhideWhenUsed/>
    <w:qFormat/>
    <w:uiPriority w:val="99"/>
    <w:pPr>
      <w:spacing w:after="120"/>
    </w:p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2"/>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1"/>
    <w:qFormat/>
    <w:uiPriority w:val="0"/>
    <w:pPr>
      <w:widowControl/>
      <w:spacing w:line="360" w:lineRule="atLeast"/>
      <w:ind w:left="100" w:leftChars="2500"/>
      <w:jc w:val="left"/>
    </w:pPr>
    <w:rPr>
      <w:kern w:val="0"/>
      <w:sz w:val="24"/>
      <w:szCs w:val="24"/>
    </w:rPr>
  </w:style>
  <w:style w:type="paragraph" w:styleId="19">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0">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0"/>
    <w:unhideWhenUsed/>
    <w:qFormat/>
    <w:uiPriority w:val="0"/>
    <w:rPr>
      <w:rFonts w:asciiTheme="minorHAnsi" w:hAnsiTheme="minorHAnsi" w:cstheme="minorBidi"/>
      <w:b/>
      <w:bCs/>
      <w:lang w:val="zh-CN"/>
    </w:rPr>
  </w:style>
  <w:style w:type="table" w:styleId="31">
    <w:name w:val="Table Grid"/>
    <w:basedOn w:val="3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字符"/>
    <w:basedOn w:val="32"/>
    <w:link w:val="21"/>
    <w:qFormat/>
    <w:uiPriority w:val="99"/>
    <w:rPr>
      <w:sz w:val="18"/>
      <w:szCs w:val="18"/>
    </w:rPr>
  </w:style>
  <w:style w:type="character" w:customStyle="1" w:styleId="38">
    <w:name w:val="页脚 字符"/>
    <w:basedOn w:val="32"/>
    <w:link w:val="2"/>
    <w:qFormat/>
    <w:uiPriority w:val="99"/>
    <w:rPr>
      <w:sz w:val="18"/>
      <w:szCs w:val="18"/>
    </w:rPr>
  </w:style>
  <w:style w:type="character" w:customStyle="1" w:styleId="39">
    <w:name w:val="标题 1 字符"/>
    <w:basedOn w:val="32"/>
    <w:link w:val="3"/>
    <w:qFormat/>
    <w:uiPriority w:val="9"/>
    <w:rPr>
      <w:rFonts w:ascii="宋体" w:hAnsi="宋体" w:eastAsia="宋体" w:cs="宋体"/>
      <w:b/>
      <w:bCs/>
      <w:kern w:val="36"/>
      <w:szCs w:val="21"/>
    </w:rPr>
  </w:style>
  <w:style w:type="character" w:customStyle="1" w:styleId="40">
    <w:name w:val="标题 2 字符"/>
    <w:basedOn w:val="32"/>
    <w:link w:val="4"/>
    <w:qFormat/>
    <w:uiPriority w:val="9"/>
    <w:rPr>
      <w:rFonts w:ascii="Calibri Light" w:hAnsi="Calibri Light" w:eastAsia="宋体" w:cs="Times New Roman"/>
      <w:b/>
      <w:bCs/>
      <w:sz w:val="32"/>
      <w:szCs w:val="32"/>
    </w:rPr>
  </w:style>
  <w:style w:type="character" w:customStyle="1" w:styleId="41">
    <w:name w:val="标题 3 字符"/>
    <w:basedOn w:val="32"/>
    <w:link w:val="5"/>
    <w:qFormat/>
    <w:uiPriority w:val="9"/>
    <w:rPr>
      <w:rFonts w:ascii="Times New Roman" w:hAnsi="Times New Roman" w:eastAsia="宋体" w:cs="Times New Roman"/>
      <w:b/>
      <w:bCs/>
      <w:kern w:val="0"/>
      <w:sz w:val="32"/>
      <w:szCs w:val="32"/>
    </w:rPr>
  </w:style>
  <w:style w:type="character" w:customStyle="1" w:styleId="42">
    <w:name w:val="标题 4 字符"/>
    <w:basedOn w:val="32"/>
    <w:link w:val="6"/>
    <w:qFormat/>
    <w:uiPriority w:val="9"/>
    <w:rPr>
      <w:rFonts w:ascii="Calibri Light" w:hAnsi="Calibri Light" w:eastAsia="宋体" w:cs="Times New Roman"/>
      <w:b/>
      <w:bCs/>
      <w:sz w:val="28"/>
      <w:szCs w:val="28"/>
    </w:rPr>
  </w:style>
  <w:style w:type="character" w:customStyle="1" w:styleId="43">
    <w:name w:val="标题 5 字符"/>
    <w:basedOn w:val="32"/>
    <w:link w:val="7"/>
    <w:qFormat/>
    <w:uiPriority w:val="9"/>
    <w:rPr>
      <w:rFonts w:ascii="Times New Roman" w:hAnsi="Times New Roman" w:eastAsia="宋体" w:cs="Times New Roman"/>
      <w:b/>
      <w:bCs/>
      <w:sz w:val="28"/>
      <w:szCs w:val="28"/>
    </w:rPr>
  </w:style>
  <w:style w:type="character" w:customStyle="1" w:styleId="44">
    <w:name w:val="标题 6 字符"/>
    <w:basedOn w:val="32"/>
    <w:link w:val="8"/>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字符"/>
    <w:basedOn w:val="32"/>
    <w:link w:val="18"/>
    <w:qFormat/>
    <w:uiPriority w:val="0"/>
    <w:rPr>
      <w:rFonts w:ascii="Times New Roman" w:hAnsi="Times New Roman" w:eastAsia="宋体" w:cs="Times New Roman"/>
      <w:kern w:val="0"/>
      <w:sz w:val="24"/>
      <w:szCs w:val="24"/>
    </w:rPr>
  </w:style>
  <w:style w:type="character" w:customStyle="1" w:styleId="52">
    <w:name w:val="纯文本 字符"/>
    <w:basedOn w:val="32"/>
    <w:link w:val="16"/>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1"/>
    <w:link w:val="55"/>
    <w:qFormat/>
    <w:uiPriority w:val="0"/>
    <w:pPr>
      <w:spacing w:line="360" w:lineRule="auto"/>
      <w:ind w:firstLine="200" w:firstLineChars="200"/>
    </w:pPr>
    <w:rPr>
      <w:rFonts w:ascii="宋体" w:hAnsi="Calibri" w:eastAsia="楷体"/>
      <w:sz w:val="18"/>
      <w:szCs w:val="18"/>
      <w:lang w:val="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2"/>
    <w:link w:val="58"/>
    <w:qFormat/>
    <w:uiPriority w:val="0"/>
    <w:pPr>
      <w:spacing w:line="360" w:lineRule="auto"/>
      <w:ind w:firstLine="200" w:firstLineChars="200"/>
      <w:jc w:val="left"/>
    </w:pPr>
    <w:rPr>
      <w:rFonts w:ascii="Calibri" w:hAnsi="Calibri" w:eastAsia="楷体"/>
      <w:sz w:val="24"/>
      <w:szCs w:val="22"/>
      <w:lang w:val="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2"/>
    <w:next w:val="12"/>
    <w:qFormat/>
    <w:uiPriority w:val="0"/>
    <w:rPr>
      <w:b/>
      <w:bCs/>
      <w:lang w:val="zh-CN"/>
    </w:rPr>
  </w:style>
  <w:style w:type="character" w:customStyle="1" w:styleId="60">
    <w:name w:val="批注主题 字符"/>
    <w:link w:val="29"/>
    <w:qFormat/>
    <w:uiPriority w:val="0"/>
    <w:rPr>
      <w:rFonts w:eastAsia="楷体"/>
      <w:b/>
      <w:bCs/>
      <w:sz w:val="24"/>
      <w:lang w:val="zh-CN" w:eastAsia="zh-CN"/>
    </w:rPr>
  </w:style>
  <w:style w:type="paragraph" w:customStyle="1" w:styleId="61">
    <w:name w:val="批注框文本1"/>
    <w:basedOn w:val="1"/>
    <w:next w:val="20"/>
    <w:link w:val="62"/>
    <w:qFormat/>
    <w:uiPriority w:val="0"/>
    <w:pPr>
      <w:spacing w:line="360" w:lineRule="auto"/>
      <w:ind w:firstLine="200" w:firstLineChars="200"/>
    </w:pPr>
    <w:rPr>
      <w:rFonts w:ascii="Calibri" w:hAnsi="Calibri" w:eastAsia="楷体"/>
      <w:sz w:val="18"/>
      <w:szCs w:val="18"/>
      <w:lang w:val="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0"/>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字符"/>
    <w:link w:val="28"/>
    <w:qFormat/>
    <w:uiPriority w:val="10"/>
    <w:rPr>
      <w:rFonts w:ascii="Calibri Light" w:hAnsi="Calibri Light"/>
      <w:b/>
      <w:bCs/>
      <w:sz w:val="32"/>
      <w:szCs w:val="32"/>
    </w:rPr>
  </w:style>
  <w:style w:type="character" w:customStyle="1" w:styleId="118">
    <w:name w:val="文档结构图 字符"/>
    <w:basedOn w:val="32"/>
    <w:link w:val="11"/>
    <w:qFormat/>
    <w:uiPriority w:val="99"/>
    <w:rPr>
      <w:rFonts w:ascii="Microsoft YaHei UI" w:hAnsi="Calibri" w:eastAsia="Microsoft YaHei UI" w:cs="Times New Roman"/>
      <w:sz w:val="18"/>
      <w:szCs w:val="18"/>
    </w:rPr>
  </w:style>
  <w:style w:type="character" w:customStyle="1" w:styleId="119">
    <w:name w:val="批注文字 字符"/>
    <w:basedOn w:val="32"/>
    <w:link w:val="12"/>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字符"/>
    <w:basedOn w:val="32"/>
    <w:link w:val="20"/>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p2"/>
    <w:basedOn w:val="1"/>
    <w:qFormat/>
    <w:uiPriority w:val="0"/>
    <w:pPr>
      <w:jc w:val="left"/>
    </w:pPr>
    <w:rPr>
      <w:rFonts w:ascii=".pingfang sc" w:hAnsi=".pingfang sc" w:eastAsia=".pingfang sc"/>
      <w:kern w:val="0"/>
      <w:sz w:val="34"/>
      <w:szCs w:val="34"/>
    </w:rPr>
  </w:style>
  <w:style w:type="paragraph" w:customStyle="1" w:styleId="135">
    <w:name w:val="Body text|1"/>
    <w:basedOn w:val="1"/>
    <w:qFormat/>
    <w:uiPriority w:val="0"/>
    <w:pPr>
      <w:spacing w:line="458" w:lineRule="auto"/>
      <w:ind w:firstLine="140"/>
    </w:pPr>
    <w:rPr>
      <w:rFonts w:ascii="宋体" w:hAnsi="宋体" w:cs="宋体"/>
      <w:sz w:val="28"/>
      <w:szCs w:val="28"/>
      <w:lang w:val="zh-TW" w:eastAsia="zh-TW" w:bidi="zh-TW"/>
    </w:rPr>
  </w:style>
  <w:style w:type="paragraph" w:customStyle="1" w:styleId="136">
    <w:name w:val="1"/>
    <w:basedOn w:val="1"/>
    <w:next w:val="19"/>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PICC</Company>
  <Pages>1</Pages>
  <Words>3925</Words>
  <Characters>22378</Characters>
  <Lines>186</Lines>
  <Paragraphs>52</Paragraphs>
  <TotalTime>14</TotalTime>
  <ScaleCrop>false</ScaleCrop>
  <LinksUpToDate>false</LinksUpToDate>
  <CharactersWithSpaces>26251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2024-03-15T03:03:00Z</dcterms:created>
  <dc:creator>侯霁洋</dc:creator>
  <cp:lastModifiedBy>Administrator</cp:lastModifiedBy>
  <cp:lastPrinted>2024-08-19T07:58:00Z</cp:lastPrinted>
  <dcterms:modified xsi:type="dcterms:W3CDTF">2026-06-03T09:26:21Z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5C9219F9462540918B5EB76642457128</vt:lpwstr>
  </property>
</Properties>
</file>