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cs="宋体"/>
          <w:b/>
          <w:bCs/>
          <w:sz w:val="24"/>
          <w:szCs w:val="22"/>
          <w:highlight w:val="none"/>
        </w:rPr>
      </w:pPr>
      <w:r>
        <w:rPr>
          <w:rFonts w:hint="eastAsia" w:ascii="仿宋" w:hAnsi="仿宋" w:cs="宋体"/>
          <w:b/>
          <w:bCs/>
          <w:sz w:val="24"/>
          <w:szCs w:val="22"/>
          <w:highlight w:val="none"/>
        </w:rPr>
        <w:t>招标公告</w:t>
      </w:r>
    </w:p>
    <w:p>
      <w:pPr>
        <w:pStyle w:val="2"/>
        <w:rPr>
          <w:rFonts w:hint="eastAsia" w:ascii="仿宋" w:hAnsi="仿宋" w:cs="宋体"/>
          <w:szCs w:val="24"/>
          <w:highlight w:val="none"/>
        </w:rPr>
      </w:pPr>
      <w:bookmarkStart w:id="0" w:name="_Toc25200"/>
      <w:bookmarkStart w:id="1" w:name="_Toc24950"/>
      <w:bookmarkStart w:id="2" w:name="_Toc10131"/>
      <w:bookmarkStart w:id="3" w:name="_Toc65682913"/>
      <w:bookmarkStart w:id="4" w:name="_Toc190109386"/>
      <w:bookmarkStart w:id="5" w:name="_Toc109124223"/>
      <w:bookmarkStart w:id="6" w:name="_Toc23271"/>
      <w:r>
        <w:rPr>
          <w:rFonts w:hint="eastAsia" w:ascii="仿宋" w:hAnsi="仿宋" w:cs="宋体"/>
          <w:szCs w:val="24"/>
          <w:highlight w:val="none"/>
        </w:rPr>
        <w:t>一、</w:t>
      </w:r>
      <w:bookmarkEnd w:id="0"/>
      <w:bookmarkEnd w:id="1"/>
      <w:bookmarkEnd w:id="2"/>
      <w:r>
        <w:rPr>
          <w:rFonts w:hint="eastAsia" w:ascii="仿宋" w:hAnsi="仿宋" w:cs="宋体"/>
          <w:szCs w:val="24"/>
          <w:highlight w:val="none"/>
        </w:rPr>
        <w:t>招标条件</w:t>
      </w:r>
      <w:bookmarkEnd w:id="3"/>
      <w:bookmarkEnd w:id="4"/>
      <w:bookmarkEnd w:id="5"/>
      <w:bookmarkEnd w:id="6"/>
    </w:p>
    <w:p>
      <w:pPr>
        <w:wordWrap w:val="0"/>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本招标项目</w:t>
      </w:r>
      <w:r>
        <w:rPr>
          <w:rFonts w:hint="eastAsia" w:ascii="仿宋" w:hAnsi="仿宋" w:eastAsia="仿宋" w:cs="宋体"/>
          <w:sz w:val="24"/>
          <w:szCs w:val="24"/>
          <w:highlight w:val="none"/>
          <w:u w:val="single"/>
          <w:lang w:eastAsia="zh-CN"/>
        </w:rPr>
        <w:t>人保财险广东揭阳分公司2026年揭阳市农业无人机飞防服务采购项目</w:t>
      </w:r>
      <w:bookmarkStart w:id="7" w:name="_Hlk69906010"/>
      <w:r>
        <w:rPr>
          <w:rFonts w:hint="eastAsia" w:ascii="仿宋" w:hAnsi="仿宋" w:eastAsia="仿宋" w:cs="宋体"/>
          <w:sz w:val="24"/>
          <w:szCs w:val="24"/>
          <w:highlight w:val="none"/>
        </w:rPr>
        <w:t>由</w:t>
      </w:r>
      <w:r>
        <w:rPr>
          <w:rFonts w:hint="eastAsia" w:ascii="仿宋" w:hAnsi="仿宋" w:eastAsia="仿宋" w:cs="宋体"/>
          <w:sz w:val="24"/>
          <w:szCs w:val="24"/>
          <w:highlight w:val="none"/>
          <w:u w:val="single"/>
        </w:rPr>
        <w:t>中国人民财产保险股份有限公司揭阳市分公司</w:t>
      </w:r>
      <w:r>
        <w:rPr>
          <w:rFonts w:hint="eastAsia" w:ascii="仿宋" w:hAnsi="仿宋" w:eastAsia="仿宋" w:cs="宋体"/>
          <w:sz w:val="24"/>
          <w:szCs w:val="24"/>
          <w:highlight w:val="none"/>
        </w:rPr>
        <w:t>（以下简称“招标人”）</w:t>
      </w:r>
      <w:r>
        <w:rPr>
          <w:rFonts w:hint="eastAsia" w:ascii="仿宋" w:hAnsi="仿宋" w:eastAsia="仿宋" w:cs="仿宋"/>
          <w:sz w:val="24"/>
          <w:szCs w:val="24"/>
          <w:highlight w:val="none"/>
        </w:rPr>
        <w:t>批准并落实资金，</w:t>
      </w:r>
      <w:r>
        <w:rPr>
          <w:rFonts w:hint="eastAsia" w:ascii="仿宋" w:hAnsi="仿宋" w:eastAsia="仿宋" w:cs="宋体"/>
          <w:sz w:val="24"/>
          <w:szCs w:val="24"/>
          <w:highlight w:val="none"/>
        </w:rPr>
        <w:t>组织本项目的相关招标工作，采购合同由</w:t>
      </w:r>
      <w:r>
        <w:rPr>
          <w:rFonts w:hint="eastAsia" w:ascii="仿宋" w:hAnsi="仿宋" w:eastAsia="仿宋" w:cs="宋体"/>
          <w:sz w:val="24"/>
          <w:szCs w:val="24"/>
          <w:highlight w:val="none"/>
          <w:u w:val="single"/>
        </w:rPr>
        <w:t>中国人民财产保险股份有限公司揭阳市分公司</w:t>
      </w:r>
      <w:r>
        <w:rPr>
          <w:rFonts w:hint="eastAsia" w:ascii="仿宋" w:hAnsi="仿宋" w:eastAsia="仿宋" w:cs="宋体"/>
          <w:sz w:val="24"/>
          <w:szCs w:val="24"/>
          <w:highlight w:val="none"/>
        </w:rPr>
        <w:t>（以下简称“人保揭阳分公司”）根据中标结果与中标人签署。</w:t>
      </w:r>
      <w:bookmarkEnd w:id="7"/>
      <w:r>
        <w:rPr>
          <w:rFonts w:hint="eastAsia" w:ascii="仿宋" w:hAnsi="仿宋" w:eastAsia="仿宋" w:cs="宋体"/>
          <w:sz w:val="24"/>
          <w:szCs w:val="24"/>
          <w:highlight w:val="none"/>
        </w:rPr>
        <w:t>现委托</w:t>
      </w:r>
      <w:r>
        <w:rPr>
          <w:rFonts w:hint="eastAsia" w:ascii="仿宋" w:hAnsi="仿宋" w:eastAsia="仿宋" w:cs="宋体"/>
          <w:sz w:val="24"/>
          <w:szCs w:val="24"/>
          <w:highlight w:val="none"/>
          <w:u w:val="single"/>
        </w:rPr>
        <w:t xml:space="preserve"> 公诚管理咨询有限公司 </w:t>
      </w:r>
      <w:r>
        <w:rPr>
          <w:rFonts w:hint="eastAsia" w:ascii="仿宋" w:hAnsi="仿宋" w:eastAsia="仿宋" w:cs="宋体"/>
          <w:sz w:val="24"/>
          <w:szCs w:val="24"/>
          <w:highlight w:val="none"/>
        </w:rPr>
        <w:t>（以下简称“招标代理机构”）进行公开招标，有意向且具有提供标的物能力的潜在投标人（以下简称“投标人”）可前来投标。</w:t>
      </w:r>
    </w:p>
    <w:p>
      <w:pPr>
        <w:pStyle w:val="2"/>
        <w:rPr>
          <w:rFonts w:hint="eastAsia" w:ascii="仿宋" w:hAnsi="仿宋" w:cs="宋体"/>
          <w:szCs w:val="24"/>
          <w:highlight w:val="none"/>
        </w:rPr>
      </w:pPr>
      <w:bookmarkStart w:id="8" w:name="_Toc65682914"/>
      <w:bookmarkStart w:id="9" w:name="_Toc190109387"/>
      <w:bookmarkStart w:id="10" w:name="_Toc109124224"/>
      <w:bookmarkStart w:id="11" w:name="_Toc18478"/>
      <w:r>
        <w:rPr>
          <w:rFonts w:hint="eastAsia" w:ascii="仿宋" w:hAnsi="仿宋" w:cs="宋体"/>
          <w:szCs w:val="24"/>
          <w:highlight w:val="none"/>
        </w:rPr>
        <w:t>二、项目概况与招标范围</w:t>
      </w:r>
      <w:bookmarkEnd w:id="8"/>
      <w:bookmarkEnd w:id="9"/>
      <w:bookmarkEnd w:id="10"/>
      <w:bookmarkEnd w:id="11"/>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2.1项目名称：</w:t>
      </w:r>
      <w:r>
        <w:rPr>
          <w:rFonts w:hint="eastAsia" w:ascii="仿宋" w:hAnsi="仿宋" w:eastAsia="仿宋" w:cs="宋体"/>
          <w:sz w:val="24"/>
          <w:szCs w:val="24"/>
          <w:highlight w:val="none"/>
          <w:lang w:eastAsia="zh-CN"/>
        </w:rPr>
        <w:t>人保财险广东揭阳分公司2026年揭阳市农业无人机飞防服务采购项目</w:t>
      </w:r>
      <w:r>
        <w:rPr>
          <w:rFonts w:hint="eastAsia" w:ascii="仿宋" w:hAnsi="仿宋" w:eastAsia="仿宋" w:cs="宋体"/>
          <w:sz w:val="24"/>
          <w:szCs w:val="24"/>
          <w:highlight w:val="none"/>
        </w:rPr>
        <w:t>。</w:t>
      </w:r>
    </w:p>
    <w:p>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eastAsia" w:ascii="仿宋" w:hAnsi="仿宋" w:eastAsia="仿宋" w:cs="宋体"/>
          <w:sz w:val="24"/>
          <w:szCs w:val="24"/>
          <w:highlight w:val="none"/>
        </w:rPr>
        <w:t>2.2招标范围：委托中选供应商对指定区域的水稻农田进行无人机施药防治、播撒作业工作，由中选供应商组织无人机，并负责在合同签订时间内完成无人机施药、播撒作业等相关工作。</w:t>
      </w:r>
    </w:p>
    <w:p>
      <w:pPr>
        <w:spacing w:line="360" w:lineRule="auto"/>
        <w:ind w:firstLine="480" w:firstLineChars="200"/>
        <w:textAlignment w:val="baseline"/>
        <w:rPr>
          <w:rFonts w:hint="eastAsia" w:ascii="仿宋" w:hAnsi="仿宋" w:eastAsia="仿宋" w:cs="宋体"/>
          <w:sz w:val="24"/>
          <w:szCs w:val="24"/>
          <w:highlight w:val="none"/>
        </w:rPr>
      </w:pPr>
      <w:bookmarkStart w:id="12" w:name="_Hlk69456893"/>
      <w:r>
        <w:rPr>
          <w:rFonts w:hint="eastAsia" w:ascii="仿宋" w:hAnsi="仿宋" w:eastAsia="仿宋" w:cs="宋体"/>
          <w:sz w:val="24"/>
          <w:szCs w:val="24"/>
          <w:highlight w:val="none"/>
        </w:rPr>
        <w:t>2.3项目性质：服务。</w:t>
      </w:r>
    </w:p>
    <w:p>
      <w:pPr>
        <w:spacing w:line="360" w:lineRule="auto"/>
        <w:ind w:firstLine="480" w:firstLineChars="200"/>
        <w:textAlignment w:val="baseline"/>
        <w:rPr>
          <w:rFonts w:hint="eastAsia" w:ascii="仿宋" w:hAnsi="仿宋" w:eastAsia="仿宋" w:cs="宋体"/>
          <w:sz w:val="24"/>
          <w:szCs w:val="24"/>
          <w:highlight w:val="none"/>
        </w:rPr>
      </w:pPr>
      <w:bookmarkStart w:id="13" w:name="_Toc17299"/>
      <w:bookmarkStart w:id="14" w:name="_Toc65682915"/>
      <w:r>
        <w:rPr>
          <w:rFonts w:hint="eastAsia" w:ascii="仿宋" w:hAnsi="仿宋" w:eastAsia="仿宋" w:cs="宋体"/>
          <w:sz w:val="24"/>
          <w:szCs w:val="24"/>
          <w:highlight w:val="none"/>
        </w:rPr>
        <w:t>2.</w:t>
      </w:r>
      <w:r>
        <w:rPr>
          <w:rFonts w:hint="eastAsia" w:ascii="仿宋" w:hAnsi="仿宋" w:eastAsia="仿宋" w:cs="宋体"/>
          <w:sz w:val="24"/>
          <w:szCs w:val="24"/>
          <w:highlight w:val="none"/>
          <w:lang w:val="en-US" w:eastAsia="zh-CN"/>
        </w:rPr>
        <w:t>4</w:t>
      </w:r>
      <w:r>
        <w:rPr>
          <w:rFonts w:hint="eastAsia" w:ascii="仿宋" w:hAnsi="仿宋" w:eastAsia="仿宋" w:cs="宋体"/>
          <w:sz w:val="24"/>
          <w:szCs w:val="24"/>
          <w:highlight w:val="none"/>
        </w:rPr>
        <w:t>服务期限：服务周期为 1个月。</w:t>
      </w:r>
    </w:p>
    <w:p>
      <w:pPr>
        <w:pStyle w:val="7"/>
        <w:spacing w:before="62" w:beforeLines="20" w:after="62" w:afterLines="20"/>
        <w:ind w:firstLine="480" w:firstLineChars="200"/>
        <w:rPr>
          <w:rFonts w:hint="eastAsia" w:ascii="仿宋" w:hAnsi="仿宋" w:eastAsia="仿宋" w:cs="宋体"/>
          <w:sz w:val="24"/>
          <w:szCs w:val="24"/>
          <w:highlight w:val="none"/>
        </w:rPr>
      </w:pPr>
      <w:r>
        <w:rPr>
          <w:rFonts w:hint="eastAsia" w:ascii="仿宋" w:hAnsi="仿宋" w:eastAsia="仿宋" w:cs="宋体"/>
          <w:sz w:val="24"/>
          <w:szCs w:val="24"/>
          <w:highlight w:val="none"/>
        </w:rPr>
        <w:t>2.</w:t>
      </w:r>
      <w:r>
        <w:rPr>
          <w:rFonts w:hint="eastAsia" w:ascii="仿宋" w:hAnsi="仿宋" w:eastAsia="仿宋" w:cs="宋体"/>
          <w:sz w:val="24"/>
          <w:szCs w:val="24"/>
          <w:highlight w:val="none"/>
          <w:lang w:val="en-US" w:eastAsia="zh-CN"/>
        </w:rPr>
        <w:t>5</w:t>
      </w:r>
      <w:r>
        <w:rPr>
          <w:rFonts w:hint="eastAsia" w:ascii="仿宋" w:hAnsi="仿宋" w:eastAsia="仿宋" w:cs="宋体"/>
          <w:sz w:val="24"/>
          <w:szCs w:val="24"/>
          <w:highlight w:val="none"/>
        </w:rPr>
        <w:t>服务地点：广东省揭阳市。</w:t>
      </w:r>
      <w:bookmarkEnd w:id="12"/>
    </w:p>
    <w:p>
      <w:pPr>
        <w:pStyle w:val="7"/>
        <w:spacing w:before="62" w:beforeLines="20" w:after="62" w:afterLines="20"/>
        <w:ind w:firstLine="480" w:firstLineChars="200"/>
        <w:rPr>
          <w:rFonts w:hint="eastAsia" w:ascii="仿宋" w:hAnsi="仿宋" w:eastAsia="宋体" w:cs="宋体"/>
          <w:sz w:val="24"/>
          <w:szCs w:val="24"/>
          <w:highlight w:val="none"/>
          <w:lang w:val="en-US" w:eastAsia="zh-CN"/>
        </w:rPr>
      </w:pPr>
      <w:r>
        <w:rPr>
          <w:rFonts w:hint="eastAsia" w:ascii="仿宋" w:hAnsi="仿宋" w:eastAsia="仿宋" w:cs="宋体"/>
          <w:sz w:val="24"/>
          <w:szCs w:val="24"/>
          <w:highlight w:val="none"/>
          <w:lang w:val="en-US" w:eastAsia="zh-CN"/>
        </w:rPr>
        <w:t>2.6 最高限价：预算单价15元/亩，项目总价不超过40万元，其中揭东区总预算不超过20万元，惠来县总预算不超过20万元</w:t>
      </w:r>
      <w:r>
        <w:rPr>
          <w:rFonts w:hint="eastAsia"/>
          <w:highlight w:val="none"/>
          <w:lang w:eastAsia="zh-CN"/>
        </w:rPr>
        <w:t>。</w:t>
      </w:r>
    </w:p>
    <w:p>
      <w:pPr>
        <w:spacing w:line="360" w:lineRule="auto"/>
        <w:ind w:firstLine="480" w:firstLineChars="200"/>
        <w:textAlignment w:val="baseline"/>
        <w:rPr>
          <w:rFonts w:hint="eastAsia" w:ascii="仿宋" w:hAnsi="仿宋" w:eastAsia="仿宋" w:cs="宋体"/>
          <w:sz w:val="24"/>
          <w:szCs w:val="24"/>
          <w:highlight w:val="none"/>
        </w:rPr>
      </w:pPr>
    </w:p>
    <w:p>
      <w:pPr>
        <w:pStyle w:val="2"/>
        <w:rPr>
          <w:rFonts w:hint="eastAsia" w:ascii="仿宋" w:hAnsi="仿宋" w:cs="宋体"/>
          <w:szCs w:val="24"/>
          <w:highlight w:val="none"/>
        </w:rPr>
      </w:pPr>
      <w:bookmarkStart w:id="15" w:name="_Toc190109388"/>
      <w:bookmarkStart w:id="16" w:name="_Toc109124225"/>
      <w:r>
        <w:rPr>
          <w:rFonts w:hint="eastAsia" w:ascii="仿宋" w:hAnsi="仿宋" w:cs="宋体"/>
          <w:szCs w:val="24"/>
          <w:highlight w:val="none"/>
        </w:rPr>
        <w:t>三、投标人资格要求</w:t>
      </w:r>
      <w:bookmarkEnd w:id="13"/>
      <w:bookmarkEnd w:id="14"/>
      <w:bookmarkEnd w:id="15"/>
      <w:bookmarkEnd w:id="16"/>
    </w:p>
    <w:p>
      <w:pPr>
        <w:pStyle w:val="3"/>
        <w:ind w:firstLine="480" w:firstLineChars="200"/>
        <w:rPr>
          <w:rFonts w:hint="eastAsia" w:ascii="仿宋" w:hAnsi="仿宋" w:eastAsia="仿宋" w:cs="仿宋"/>
          <w:sz w:val="24"/>
          <w:szCs w:val="24"/>
          <w:highlight w:val="none"/>
        </w:rPr>
      </w:pPr>
      <w:r>
        <w:rPr>
          <w:rFonts w:hint="eastAsia" w:ascii="仿宋" w:hAnsi="仿宋" w:eastAsia="仿宋" w:cs="宋体"/>
          <w:sz w:val="24"/>
          <w:szCs w:val="24"/>
          <w:highlight w:val="none"/>
        </w:rPr>
        <w:t>3.1</w:t>
      </w:r>
      <w:r>
        <w:rPr>
          <w:rFonts w:hint="eastAsia" w:ascii="仿宋" w:hAnsi="仿宋" w:eastAsia="仿宋" w:cs="仿宋"/>
          <w:b/>
          <w:sz w:val="24"/>
          <w:szCs w:val="24"/>
          <w:highlight w:val="none"/>
        </w:rPr>
        <w:t>在中华人民共和国境内依法登记的法人或其他组织，具有独立承担民事责任的能力</w:t>
      </w:r>
      <w:r>
        <w:rPr>
          <w:rFonts w:hint="eastAsia" w:ascii="仿宋" w:hAnsi="仿宋" w:eastAsia="仿宋" w:cs="仿宋"/>
          <w:sz w:val="24"/>
          <w:szCs w:val="24"/>
          <w:highlight w:val="none"/>
        </w:rPr>
        <w:t>，投标人如为企业法人，须提供企业法人营业执照（复印件）；投标人如为事业单位或其他组织，须提供事业单位法人证书或登记证或组织机构代码证或其他有效证明文件（复印件）。分支机构投标的，须提供总公司和分公司营业执照副本复印件，总公司出具给分支机构的授权书。</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宋体"/>
          <w:sz w:val="24"/>
          <w:szCs w:val="24"/>
          <w:highlight w:val="none"/>
        </w:rPr>
        <w:t>3.</w:t>
      </w:r>
      <w:r>
        <w:rPr>
          <w:rFonts w:ascii="仿宋" w:hAnsi="仿宋" w:eastAsia="仿宋" w:cs="宋体"/>
          <w:sz w:val="24"/>
          <w:szCs w:val="24"/>
          <w:highlight w:val="none"/>
        </w:rPr>
        <w:t>2</w:t>
      </w:r>
      <w:r>
        <w:rPr>
          <w:rFonts w:hint="eastAsia" w:ascii="仿宋" w:hAnsi="仿宋" w:eastAsia="仿宋" w:cs="仿宋"/>
          <w:sz w:val="24"/>
          <w:szCs w:val="24"/>
          <w:highlight w:val="none"/>
        </w:rPr>
        <w:t xml:space="preserve"> </w:t>
      </w:r>
      <w:r>
        <w:rPr>
          <w:rFonts w:hint="eastAsia" w:ascii="仿宋" w:hAnsi="仿宋" w:eastAsia="仿宋" w:cs="仿宋"/>
          <w:b/>
          <w:sz w:val="24"/>
          <w:szCs w:val="24"/>
          <w:highlight w:val="none"/>
        </w:rPr>
        <w:t>具有良好的商业信誉和健全的财务会计制度</w:t>
      </w:r>
      <w:r>
        <w:rPr>
          <w:rFonts w:hint="eastAsia" w:ascii="仿宋" w:hAnsi="仿宋" w:eastAsia="仿宋" w:cs="仿宋"/>
          <w:sz w:val="24"/>
          <w:szCs w:val="24"/>
          <w:highlight w:val="none"/>
        </w:rPr>
        <w:t>：需提供202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年度经会计师事务所或审计机构审计的财务审计报告及财务报表（至少包含会计师事务所或审计机构签章页、资产负债表、现金流量表、损益表/利润表）或开标日前6个月内开具的银行资信证明。</w:t>
      </w:r>
      <w:r>
        <w:rPr>
          <w:rFonts w:hint="eastAsia" w:ascii="仿宋" w:hAnsi="仿宋" w:eastAsia="仿宋" w:cs="仿宋"/>
          <w:sz w:val="24"/>
          <w:szCs w:val="24"/>
          <w:highlight w:val="none"/>
          <w:lang w:val="en-US" w:eastAsia="zh-CN"/>
        </w:rPr>
        <w:t>分公司参与投标的，可以提供</w:t>
      </w:r>
      <w:r>
        <w:rPr>
          <w:rFonts w:hint="eastAsia" w:ascii="仿宋" w:hAnsi="仿宋" w:eastAsia="仿宋" w:cs="仿宋"/>
          <w:sz w:val="24"/>
          <w:szCs w:val="24"/>
          <w:highlight w:val="none"/>
        </w:rPr>
        <w:t>总公司</w:t>
      </w:r>
      <w:r>
        <w:rPr>
          <w:rFonts w:hint="eastAsia" w:ascii="仿宋" w:hAnsi="仿宋" w:eastAsia="仿宋" w:cs="仿宋"/>
          <w:sz w:val="24"/>
          <w:szCs w:val="24"/>
          <w:highlight w:val="none"/>
          <w:lang w:val="en-US" w:eastAsia="zh-CN"/>
        </w:rPr>
        <w:t>财务报告</w:t>
      </w:r>
      <w:r>
        <w:rPr>
          <w:rFonts w:hint="eastAsia" w:ascii="仿宋" w:hAnsi="仿宋" w:eastAsia="仿宋" w:cs="仿宋"/>
          <w:sz w:val="24"/>
          <w:szCs w:val="24"/>
          <w:highlight w:val="none"/>
        </w:rPr>
        <w:t>。</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ascii="仿宋" w:hAnsi="仿宋" w:eastAsia="仿宋" w:cs="仿宋"/>
          <w:sz w:val="24"/>
          <w:szCs w:val="24"/>
          <w:highlight w:val="none"/>
        </w:rPr>
        <w:t>3</w:t>
      </w:r>
      <w:r>
        <w:rPr>
          <w:rFonts w:hint="eastAsia" w:ascii="仿宋" w:hAnsi="仿宋" w:eastAsia="仿宋" w:cs="仿宋"/>
          <w:b/>
          <w:sz w:val="24"/>
          <w:szCs w:val="24"/>
          <w:highlight w:val="none"/>
        </w:rPr>
        <w:t>履行合同所必需的设备和专业技术能力</w:t>
      </w:r>
      <w:r>
        <w:rPr>
          <w:rFonts w:hint="eastAsia" w:ascii="仿宋" w:hAnsi="仿宋" w:eastAsia="仿宋" w:cs="仿宋"/>
          <w:sz w:val="24"/>
          <w:szCs w:val="24"/>
          <w:highlight w:val="none"/>
        </w:rPr>
        <w:t>：提供承诺函（格式自拟）。</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3.4</w:t>
      </w:r>
      <w:r>
        <w:rPr>
          <w:rFonts w:hint="eastAsia" w:ascii="仿宋" w:hAnsi="仿宋" w:eastAsia="仿宋" w:cs="仿宋"/>
          <w:b/>
          <w:bCs/>
          <w:sz w:val="24"/>
          <w:szCs w:val="24"/>
          <w:highlight w:val="none"/>
        </w:rPr>
        <w:t>有依法缴纳税收和社会保障资金的良好记录</w:t>
      </w:r>
      <w:r>
        <w:rPr>
          <w:rFonts w:hint="eastAsia" w:ascii="仿宋" w:hAnsi="仿宋" w:eastAsia="仿宋" w:cs="仿宋"/>
          <w:sz w:val="24"/>
          <w:szCs w:val="24"/>
          <w:highlight w:val="none"/>
        </w:rPr>
        <w:t>：提供近6个月任意一个月的税收和社会保障资金缴纳凭证。</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3.5</w:t>
      </w:r>
      <w:r>
        <w:rPr>
          <w:rFonts w:hint="eastAsia" w:ascii="仿宋" w:hAnsi="仿宋" w:eastAsia="仿宋" w:cs="仿宋"/>
          <w:b/>
          <w:sz w:val="24"/>
          <w:szCs w:val="24"/>
          <w:highlight w:val="none"/>
        </w:rPr>
        <w:t>投标人应经营状况良好，且近三年内（202</w:t>
      </w:r>
      <w:r>
        <w:rPr>
          <w:rFonts w:hint="eastAsia" w:ascii="仿宋" w:hAnsi="仿宋" w:eastAsia="仿宋" w:cs="仿宋"/>
          <w:b/>
          <w:sz w:val="24"/>
          <w:szCs w:val="24"/>
          <w:highlight w:val="none"/>
          <w:lang w:val="en-US" w:eastAsia="zh-CN"/>
        </w:rPr>
        <w:t>3</w:t>
      </w:r>
      <w:r>
        <w:rPr>
          <w:rFonts w:hint="eastAsia" w:ascii="仿宋" w:hAnsi="仿宋" w:eastAsia="仿宋" w:cs="仿宋"/>
          <w:b/>
          <w:sz w:val="24"/>
          <w:szCs w:val="24"/>
          <w:highlight w:val="none"/>
        </w:rPr>
        <w:t>年1月1日至今）无违法违规记录</w:t>
      </w:r>
      <w:r>
        <w:rPr>
          <w:rFonts w:hint="eastAsia" w:ascii="仿宋" w:hAnsi="仿宋" w:eastAsia="仿宋" w:cs="仿宋"/>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信用中国查询网址：</w:t>
      </w:r>
    </w:p>
    <w:p>
      <w:pPr>
        <w:spacing w:line="360" w:lineRule="auto"/>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https://www.creditchina.gov.cn/xinyongfuwu/?navPage=5</w:t>
      </w:r>
    </w:p>
    <w:p>
      <w:pPr>
        <w:spacing w:line="360" w:lineRule="auto"/>
        <w:ind w:firstLine="480" w:firstLineChars="200"/>
        <w:textAlignment w:val="baseline"/>
        <w:rPr>
          <w:rFonts w:hint="default" w:ascii="仿宋" w:hAnsi="仿宋" w:eastAsia="仿宋" w:cs="仿宋"/>
          <w:b w:val="0"/>
          <w:bCs/>
          <w:sz w:val="24"/>
          <w:szCs w:val="24"/>
          <w:highlight w:val="none"/>
          <w:lang w:val="en-US" w:eastAsia="zh-CN"/>
        </w:rPr>
      </w:pPr>
      <w:r>
        <w:rPr>
          <w:rFonts w:hint="eastAsia" w:ascii="仿宋" w:hAnsi="仿宋" w:eastAsia="仿宋" w:cs="仿宋"/>
          <w:sz w:val="24"/>
          <w:szCs w:val="24"/>
          <w:highlight w:val="none"/>
        </w:rPr>
        <w:t>3</w:t>
      </w:r>
      <w:r>
        <w:rPr>
          <w:rFonts w:ascii="仿宋" w:hAnsi="仿宋" w:eastAsia="仿宋" w:cs="仿宋"/>
          <w:sz w:val="24"/>
          <w:szCs w:val="24"/>
          <w:highlight w:val="none"/>
        </w:rPr>
        <w:t>.6</w:t>
      </w:r>
      <w:r>
        <w:rPr>
          <w:rFonts w:hint="eastAsia" w:ascii="仿宋" w:hAnsi="仿宋" w:eastAsia="仿宋" w:cs="仿宋"/>
          <w:b/>
          <w:sz w:val="24"/>
          <w:szCs w:val="24"/>
          <w:highlight w:val="none"/>
        </w:rPr>
        <w:t>严禁列入招标人及其所隶属的中国人民保险各级机构的供应商黑名单且在禁入期内的供应商参与采购活动。</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rPr>
        <w:t>禁入</w:t>
      </w:r>
      <w:r>
        <w:rPr>
          <w:rFonts w:hint="eastAsia" w:ascii="仿宋" w:hAnsi="仿宋" w:eastAsia="仿宋" w:cs="仿宋"/>
          <w:b w:val="0"/>
          <w:bCs/>
          <w:sz w:val="24"/>
          <w:szCs w:val="24"/>
          <w:highlight w:val="none"/>
          <w:lang w:val="en-US" w:eastAsia="zh-CN"/>
        </w:rPr>
        <w:t>单位如下：北京和安工程技术有限公司、普元信息技术股份有限公司、深圳微众信用科技股份有限公司、兰州新钙邦汽车救援有限公司、青岛一顺东本汽车服务有限公司、青岛齐通路顺汽车服务有限公司、青岛杰运嘉通汽车服务有限公司、中衡保险公估股份有限公司、安徽熠启科技有限公司、创瑞技术有限公司、北京耀然互动科技有限公司、河北路阳汽车服务有限公司、成都天问互联科技有限公司、北京龙江波影视文化有限公司、远盟康健科技有限公司、深圳市德泰保险公估有限公司)</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ascii="仿宋" w:hAnsi="仿宋" w:eastAsia="仿宋" w:cs="仿宋"/>
          <w:sz w:val="24"/>
          <w:szCs w:val="24"/>
          <w:highlight w:val="none"/>
        </w:rPr>
        <w:t>7</w:t>
      </w:r>
      <w:r>
        <w:rPr>
          <w:rFonts w:hint="eastAsia" w:ascii="仿宋" w:hAnsi="仿宋" w:eastAsia="仿宋" w:cs="仿宋"/>
          <w:b/>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仿宋"/>
          <w:sz w:val="24"/>
          <w:szCs w:val="24"/>
          <w:highlight w:val="none"/>
        </w:rPr>
        <w:t>，需填写《投标人控股及管理关系情况申报表》。</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3.8</w:t>
      </w:r>
      <w:r>
        <w:rPr>
          <w:rFonts w:hint="eastAsia" w:ascii="仿宋" w:hAnsi="仿宋" w:eastAsia="仿宋" w:cs="仿宋"/>
          <w:b/>
          <w:sz w:val="24"/>
          <w:szCs w:val="24"/>
          <w:highlight w:val="none"/>
        </w:rPr>
        <w:t>本项目不接受联合体投标。</w:t>
      </w:r>
    </w:p>
    <w:p>
      <w:pPr>
        <w:pStyle w:val="2"/>
        <w:rPr>
          <w:rFonts w:hint="eastAsia" w:ascii="仿宋" w:hAnsi="仿宋" w:cs="宋体"/>
          <w:highlight w:val="none"/>
        </w:rPr>
      </w:pPr>
      <w:bookmarkStart w:id="17" w:name="_Toc109124226"/>
      <w:bookmarkStart w:id="18" w:name="_Toc65682916"/>
      <w:bookmarkStart w:id="19" w:name="_Toc21224"/>
      <w:bookmarkStart w:id="20" w:name="_Toc190109389"/>
      <w:r>
        <w:rPr>
          <w:rFonts w:hint="eastAsia" w:ascii="仿宋" w:hAnsi="仿宋" w:cs="宋体"/>
          <w:highlight w:val="none"/>
        </w:rPr>
        <w:t>四、资格审查方法</w:t>
      </w:r>
      <w:bookmarkEnd w:id="17"/>
      <w:bookmarkEnd w:id="18"/>
      <w:bookmarkEnd w:id="19"/>
      <w:bookmarkEnd w:id="20"/>
    </w:p>
    <w:p>
      <w:pPr>
        <w:spacing w:line="360" w:lineRule="auto"/>
        <w:ind w:firstLine="480" w:firstLineChars="200"/>
        <w:textAlignment w:val="baseline"/>
        <w:rPr>
          <w:rFonts w:hint="eastAsia" w:ascii="仿宋" w:hAnsi="仿宋" w:eastAsia="仿宋" w:cs="宋体"/>
          <w:sz w:val="24"/>
          <w:szCs w:val="24"/>
          <w:highlight w:val="none"/>
        </w:rPr>
      </w:pPr>
      <w:bookmarkStart w:id="21" w:name="_Toc65682917"/>
      <w:bookmarkStart w:id="22" w:name="_Toc32460"/>
      <w:r>
        <w:rPr>
          <w:rFonts w:hint="eastAsia" w:ascii="仿宋" w:hAnsi="仿宋" w:eastAsia="仿宋" w:cs="宋体"/>
          <w:sz w:val="24"/>
          <w:szCs w:val="24"/>
          <w:highlight w:val="none"/>
        </w:rPr>
        <w:t>本项目将进行资格后审，资格审查方法为合格制，资格审查标准和内容见招标文件第三章“评标办法”。未通过资格后审的投标人，投标将被否决。</w:t>
      </w:r>
    </w:p>
    <w:p>
      <w:pPr>
        <w:pStyle w:val="2"/>
        <w:rPr>
          <w:rFonts w:hint="eastAsia" w:ascii="仿宋" w:hAnsi="仿宋" w:cs="宋体"/>
          <w:szCs w:val="24"/>
          <w:highlight w:val="none"/>
        </w:rPr>
      </w:pPr>
      <w:bookmarkStart w:id="23" w:name="_Toc109124227"/>
      <w:bookmarkStart w:id="24" w:name="_Toc190109390"/>
      <w:r>
        <w:rPr>
          <w:rFonts w:hint="eastAsia" w:ascii="仿宋" w:hAnsi="仿宋" w:cs="宋体"/>
          <w:szCs w:val="24"/>
          <w:highlight w:val="none"/>
        </w:rPr>
        <w:t>五、招标文件的获取</w:t>
      </w:r>
      <w:bookmarkEnd w:id="21"/>
      <w:bookmarkEnd w:id="22"/>
      <w:bookmarkEnd w:id="23"/>
      <w:bookmarkEnd w:id="24"/>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5.1招标文件获取时间：</w:t>
      </w:r>
      <w:r>
        <w:rPr>
          <w:rFonts w:hint="eastAsia" w:ascii="仿宋" w:hAnsi="仿宋" w:eastAsia="仿宋" w:cs="宋体"/>
          <w:b/>
          <w:sz w:val="24"/>
          <w:szCs w:val="24"/>
          <w:highlight w:val="none"/>
          <w:u w:val="single"/>
        </w:rPr>
        <w:t>202</w:t>
      </w:r>
      <w:r>
        <w:rPr>
          <w:rFonts w:hint="eastAsia" w:ascii="仿宋" w:hAnsi="仿宋" w:eastAsia="仿宋" w:cs="宋体"/>
          <w:b/>
          <w:sz w:val="24"/>
          <w:szCs w:val="24"/>
          <w:highlight w:val="none"/>
          <w:u w:val="single"/>
          <w:lang w:val="en-US" w:eastAsia="zh-CN"/>
        </w:rPr>
        <w:t>6</w:t>
      </w:r>
      <w:r>
        <w:rPr>
          <w:rFonts w:hint="eastAsia" w:ascii="仿宋" w:hAnsi="仿宋" w:eastAsia="仿宋" w:cs="宋体"/>
          <w:b/>
          <w:sz w:val="24"/>
          <w:szCs w:val="24"/>
          <w:highlight w:val="none"/>
          <w:u w:val="single"/>
        </w:rPr>
        <w:t>年</w:t>
      </w:r>
      <w:r>
        <w:rPr>
          <w:rFonts w:hint="eastAsia" w:ascii="仿宋" w:hAnsi="仿宋" w:eastAsia="仿宋" w:cs="宋体"/>
          <w:b/>
          <w:sz w:val="24"/>
          <w:szCs w:val="24"/>
          <w:highlight w:val="none"/>
          <w:u w:val="single"/>
          <w:lang w:val="en-US" w:eastAsia="zh-CN"/>
        </w:rPr>
        <w:t>6</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5</w:t>
      </w:r>
      <w:r>
        <w:rPr>
          <w:rFonts w:hint="eastAsia" w:ascii="仿宋" w:hAnsi="仿宋" w:eastAsia="仿宋" w:cs="宋体"/>
          <w:b/>
          <w:sz w:val="24"/>
          <w:szCs w:val="24"/>
          <w:highlight w:val="none"/>
          <w:u w:val="single"/>
        </w:rPr>
        <w:t>日</w:t>
      </w:r>
      <w:r>
        <w:rPr>
          <w:rFonts w:hint="eastAsia" w:ascii="仿宋" w:hAnsi="仿宋" w:eastAsia="仿宋" w:cs="宋体"/>
          <w:b/>
          <w:sz w:val="24"/>
          <w:szCs w:val="24"/>
          <w:highlight w:val="none"/>
        </w:rPr>
        <w:t>至</w:t>
      </w:r>
      <w:r>
        <w:rPr>
          <w:rFonts w:hint="eastAsia" w:ascii="仿宋" w:hAnsi="仿宋" w:eastAsia="仿宋" w:cs="宋体"/>
          <w:b/>
          <w:sz w:val="24"/>
          <w:szCs w:val="24"/>
          <w:highlight w:val="none"/>
          <w:u w:val="single"/>
        </w:rPr>
        <w:t>202</w:t>
      </w:r>
      <w:r>
        <w:rPr>
          <w:rFonts w:hint="eastAsia" w:ascii="仿宋" w:hAnsi="仿宋" w:eastAsia="仿宋" w:cs="宋体"/>
          <w:b/>
          <w:sz w:val="24"/>
          <w:szCs w:val="24"/>
          <w:highlight w:val="none"/>
          <w:u w:val="single"/>
          <w:lang w:val="en-US" w:eastAsia="zh-CN"/>
        </w:rPr>
        <w:t>6</w:t>
      </w:r>
      <w:r>
        <w:rPr>
          <w:rFonts w:hint="eastAsia" w:ascii="仿宋" w:hAnsi="仿宋" w:eastAsia="仿宋" w:cs="宋体"/>
          <w:b/>
          <w:sz w:val="24"/>
          <w:szCs w:val="24"/>
          <w:highlight w:val="none"/>
          <w:u w:val="single"/>
        </w:rPr>
        <w:t>年</w:t>
      </w:r>
      <w:r>
        <w:rPr>
          <w:rFonts w:hint="eastAsia" w:ascii="仿宋" w:hAnsi="仿宋" w:eastAsia="仿宋" w:cs="宋体"/>
          <w:b/>
          <w:sz w:val="24"/>
          <w:szCs w:val="24"/>
          <w:highlight w:val="none"/>
          <w:u w:val="single"/>
          <w:lang w:val="en-US" w:eastAsia="zh-CN"/>
        </w:rPr>
        <w:t>6</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10</w:t>
      </w:r>
      <w:r>
        <w:rPr>
          <w:rFonts w:hint="eastAsia" w:ascii="仿宋" w:hAnsi="仿宋" w:eastAsia="仿宋" w:cs="宋体"/>
          <w:b/>
          <w:sz w:val="24"/>
          <w:szCs w:val="24"/>
          <w:highlight w:val="none"/>
          <w:u w:val="single"/>
        </w:rPr>
        <w:t>日，</w:t>
      </w:r>
      <w:r>
        <w:rPr>
          <w:rFonts w:hint="eastAsia" w:ascii="仿宋" w:hAnsi="仿宋" w:eastAsia="仿宋" w:cs="宋体"/>
          <w:sz w:val="24"/>
          <w:szCs w:val="24"/>
          <w:highlight w:val="none"/>
        </w:rPr>
        <w:t>上午08时至12时，下午12时至18时（北京时间，下同）。</w:t>
      </w:r>
    </w:p>
    <w:p>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eastAsia" w:ascii="仿宋" w:hAnsi="仿宋" w:eastAsia="仿宋" w:cs="宋体"/>
          <w:sz w:val="24"/>
          <w:szCs w:val="24"/>
          <w:highlight w:val="none"/>
        </w:rPr>
        <w:t>5.2 招标文件获取方式：</w:t>
      </w:r>
      <w:r>
        <w:rPr>
          <w:rFonts w:hint="eastAsia" w:ascii="仿宋" w:hAnsi="仿宋" w:eastAsia="仿宋" w:cs="宋体"/>
          <w:sz w:val="24"/>
          <w:szCs w:val="24"/>
          <w:highlight w:val="none"/>
          <w:u w:val="single"/>
          <w:lang w:val="en-US" w:eastAsia="zh-CN"/>
        </w:rPr>
        <w:t>线上获取</w:t>
      </w:r>
      <w:r>
        <w:rPr>
          <w:rFonts w:hint="eastAsia" w:ascii="仿宋" w:hAnsi="仿宋" w:eastAsia="仿宋" w:cs="宋体"/>
          <w:sz w:val="24"/>
          <w:szCs w:val="24"/>
          <w:highlight w:val="none"/>
          <w:lang w:val="en-US" w:eastAsia="zh-CN"/>
        </w:rPr>
        <w:t>。</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lang w:val="en-US" w:eastAsia="zh-CN"/>
        </w:rPr>
        <w:t>5.2.1</w:t>
      </w:r>
      <w:r>
        <w:rPr>
          <w:rFonts w:hint="eastAsia" w:ascii="仿宋" w:hAnsi="仿宋" w:eastAsia="仿宋" w:cs="宋体"/>
          <w:sz w:val="24"/>
          <w:szCs w:val="24"/>
          <w:highlight w:val="none"/>
        </w:rPr>
        <w:t>获取招标文件地点：</w:t>
      </w:r>
      <w:r>
        <w:rPr>
          <w:rFonts w:hint="eastAsia" w:ascii="仿宋" w:hAnsi="仿宋" w:eastAsia="仿宋" w:cs="宋体"/>
          <w:sz w:val="24"/>
          <w:szCs w:val="24"/>
          <w:highlight w:val="none"/>
          <w:u w:val="single"/>
          <w:lang w:val="en-US" w:eastAsia="zh-CN"/>
        </w:rPr>
        <w:t>www.chengezhao.com</w:t>
      </w:r>
      <w:r>
        <w:rPr>
          <w:rFonts w:hint="eastAsia" w:ascii="仿宋" w:hAnsi="仿宋" w:eastAsia="仿宋" w:cs="宋体"/>
          <w:sz w:val="24"/>
          <w:szCs w:val="24"/>
          <w:highlight w:val="none"/>
        </w:rPr>
        <w:t>。</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lang w:val="en-US" w:eastAsia="zh-CN"/>
        </w:rPr>
        <w:t>5.2.2</w:t>
      </w:r>
      <w:r>
        <w:rPr>
          <w:rFonts w:hint="eastAsia" w:ascii="仿宋" w:hAnsi="仿宋" w:eastAsia="仿宋" w:cs="宋体"/>
          <w:sz w:val="24"/>
          <w:szCs w:val="24"/>
          <w:highlight w:val="none"/>
        </w:rPr>
        <w:t>招标文件每份售价为300元人民币。</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lang w:val="en-US" w:eastAsia="zh-CN"/>
        </w:rPr>
        <w:t>5.2.3</w:t>
      </w:r>
      <w:r>
        <w:rPr>
          <w:rFonts w:hint="eastAsia" w:ascii="仿宋" w:hAnsi="仿宋" w:eastAsia="仿宋" w:cs="宋体"/>
          <w:sz w:val="24"/>
          <w:szCs w:val="24"/>
          <w:highlight w:val="none"/>
        </w:rPr>
        <w:t>获取招标文件时，</w:t>
      </w:r>
      <w:r>
        <w:rPr>
          <w:rFonts w:hint="eastAsia" w:ascii="仿宋" w:hAnsi="仿宋" w:eastAsia="仿宋" w:cs="宋体"/>
          <w:sz w:val="24"/>
          <w:szCs w:val="24"/>
          <w:highlight w:val="none"/>
          <w:lang w:val="en-US" w:eastAsia="zh-CN"/>
        </w:rPr>
        <w:t>上传</w:t>
      </w:r>
      <w:r>
        <w:rPr>
          <w:rFonts w:hint="eastAsia" w:ascii="仿宋" w:hAnsi="仿宋" w:eastAsia="仿宋" w:cs="宋体"/>
          <w:sz w:val="24"/>
          <w:szCs w:val="24"/>
          <w:highlight w:val="none"/>
        </w:rPr>
        <w:t>如下资料复印件一式两份（加盖单</w:t>
      </w:r>
      <w:bookmarkStart w:id="38" w:name="_GoBack"/>
      <w:bookmarkEnd w:id="38"/>
      <w:r>
        <w:rPr>
          <w:rFonts w:hint="eastAsia" w:ascii="仿宋" w:hAnsi="仿宋" w:eastAsia="仿宋" w:cs="宋体"/>
          <w:sz w:val="24"/>
          <w:szCs w:val="24"/>
          <w:highlight w:val="none"/>
        </w:rPr>
        <w:t>位公章）：</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（1）法人或者其他组织的营业执照（或事业单位法人）副本复印件；</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w:t>
      </w:r>
      <w:r>
        <w:rPr>
          <w:rFonts w:hint="eastAsia" w:ascii="仿宋" w:hAnsi="仿宋" w:eastAsia="仿宋" w:cs="宋体"/>
          <w:sz w:val="24"/>
          <w:szCs w:val="24"/>
          <w:highlight w:val="none"/>
          <w:lang w:val="en-US" w:eastAsia="zh-CN"/>
        </w:rPr>
        <w:t>2</w:t>
      </w:r>
      <w:r>
        <w:rPr>
          <w:rFonts w:hint="eastAsia" w:ascii="仿宋" w:hAnsi="仿宋" w:eastAsia="仿宋" w:cs="宋体"/>
          <w:sz w:val="24"/>
          <w:szCs w:val="24"/>
          <w:highlight w:val="none"/>
        </w:rPr>
        <w:t>）购买招标文件经办人，需提供：经办人如是法定代表人，需提供法定代表人证明书及法定代表人身份证复印件；如是投标人授权代表，需提供法定代表人授权委托书及授权代表身份证、法定代表人证明书及法定代表人身份证复印件。</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lang w:eastAsia="zh-CN"/>
        </w:rPr>
        <w:t>（</w:t>
      </w:r>
      <w:r>
        <w:rPr>
          <w:rFonts w:hint="eastAsia" w:ascii="仿宋" w:hAnsi="仿宋" w:eastAsia="仿宋" w:cs="宋体"/>
          <w:sz w:val="24"/>
          <w:szCs w:val="24"/>
          <w:highlight w:val="none"/>
          <w:lang w:val="en-US" w:eastAsia="zh-CN"/>
        </w:rPr>
        <w:t>3</w:t>
      </w:r>
      <w:r>
        <w:rPr>
          <w:rFonts w:hint="eastAsia" w:ascii="仿宋" w:hAnsi="仿宋" w:eastAsia="仿宋" w:cs="宋体"/>
          <w:sz w:val="24"/>
          <w:szCs w:val="24"/>
          <w:highlight w:val="none"/>
          <w:lang w:eastAsia="zh-CN"/>
        </w:rPr>
        <w:t>）</w:t>
      </w:r>
      <w:r>
        <w:rPr>
          <w:rFonts w:hint="eastAsia" w:ascii="仿宋" w:hAnsi="仿宋" w:eastAsia="仿宋" w:cs="宋体"/>
          <w:sz w:val="24"/>
          <w:szCs w:val="24"/>
          <w:highlight w:val="none"/>
        </w:rPr>
        <w:t>提供“人保e采”外网门户（https://ec.picc.com/）报名截图，供应商需进行注册，具体操作登录网站首页-帮助中心-注册指南，查阅《人保e采管理系统供应商入库操作指南》</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lang w:val="en-US" w:eastAsia="zh-CN"/>
        </w:rPr>
        <w:t>操作指引：</w:t>
      </w:r>
      <w:r>
        <w:rPr>
          <w:rFonts w:hint="eastAsia" w:ascii="仿宋" w:hAnsi="仿宋" w:eastAsia="仿宋" w:cs="宋体"/>
          <w:sz w:val="24"/>
          <w:szCs w:val="24"/>
          <w:highlight w:val="none"/>
        </w:rPr>
        <w:t>请注册并登录诚E招电子采购交易平台（https://www.chengezhao.com/）进行线上项目获取电子招标文件。</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（1）注册：输入网址，点击【新用户注册】（注册步骤详见门户网站：【投标人操作指南】-【注册指引】）。登录账号后点击【常用文件】，下载《投标人&amp;供应商操作手册》。</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（2）领取文件：注册成功后登录平台，点击【商机发现】，检索本项目并直接支付。</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（3）疑问反馈：具体操作若有疑问，可致电客服热线：020-89524219。服务时间8:30-17:30（工作日）。</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招标文件费用可选择下列任一种方式支付费用：</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网上支付：选择【网上支付】方式后，点击【提交】，使用微信或支付宝支付文件费用；</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钱包支付：注册时自动创建“钱包账号”，充值后则可选择【钱包支付】方式支付费用。</w:t>
      </w:r>
    </w:p>
    <w:p>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eastAsia" w:ascii="仿宋" w:hAnsi="仿宋" w:eastAsia="仿宋" w:cs="宋体"/>
          <w:sz w:val="24"/>
          <w:szCs w:val="24"/>
          <w:highlight w:val="none"/>
          <w:lang w:val="en-US" w:eastAsia="zh-CN"/>
        </w:rPr>
        <w:t>银行转账：单位名称：公诚管理咨询有限公司；账号：3110910037672509831；开户银行：中信银行广州花园支行。</w:t>
      </w:r>
    </w:p>
    <w:p>
      <w:pPr>
        <w:pStyle w:val="2"/>
        <w:rPr>
          <w:rFonts w:hint="eastAsia" w:ascii="仿宋" w:hAnsi="仿宋" w:cs="宋体"/>
          <w:highlight w:val="none"/>
        </w:rPr>
      </w:pPr>
      <w:bookmarkStart w:id="25" w:name="_Toc190109391"/>
      <w:bookmarkStart w:id="26" w:name="_Toc7435"/>
      <w:bookmarkStart w:id="27" w:name="_Toc109124228"/>
      <w:r>
        <w:rPr>
          <w:rFonts w:hint="eastAsia" w:ascii="仿宋" w:hAnsi="仿宋" w:cs="宋体"/>
          <w:highlight w:val="none"/>
        </w:rPr>
        <w:t>六、投标文件的递交</w:t>
      </w:r>
      <w:bookmarkEnd w:id="25"/>
      <w:bookmarkEnd w:id="26"/>
      <w:bookmarkEnd w:id="27"/>
    </w:p>
    <w:p>
      <w:pPr>
        <w:spacing w:line="360" w:lineRule="auto"/>
        <w:ind w:firstLine="482" w:firstLineChars="200"/>
        <w:textAlignment w:val="baseline"/>
        <w:rPr>
          <w:rFonts w:hint="eastAsia" w:ascii="仿宋" w:hAnsi="仿宋" w:eastAsia="仿宋" w:cs="宋体"/>
          <w:b/>
          <w:sz w:val="24"/>
          <w:szCs w:val="24"/>
          <w:highlight w:val="none"/>
        </w:rPr>
      </w:pPr>
      <w:r>
        <w:rPr>
          <w:rFonts w:hint="eastAsia" w:ascii="仿宋" w:hAnsi="仿宋" w:eastAsia="仿宋" w:cs="宋体"/>
          <w:b/>
          <w:sz w:val="24"/>
          <w:szCs w:val="24"/>
          <w:highlight w:val="none"/>
        </w:rPr>
        <w:t>6.1投标文件递交截止时间：</w:t>
      </w:r>
      <w:r>
        <w:rPr>
          <w:rFonts w:hint="eastAsia" w:ascii="仿宋" w:hAnsi="仿宋" w:eastAsia="仿宋" w:cs="宋体"/>
          <w:b/>
          <w:sz w:val="24"/>
          <w:szCs w:val="24"/>
          <w:highlight w:val="none"/>
          <w:u w:val="single"/>
        </w:rPr>
        <w:t>20</w:t>
      </w:r>
      <w:r>
        <w:rPr>
          <w:rFonts w:hint="eastAsia" w:ascii="仿宋" w:hAnsi="仿宋" w:eastAsia="仿宋" w:cs="宋体"/>
          <w:b/>
          <w:sz w:val="24"/>
          <w:szCs w:val="24"/>
          <w:highlight w:val="none"/>
          <w:u w:val="single"/>
          <w:lang w:val="en-US" w:eastAsia="zh-CN"/>
        </w:rPr>
        <w:t>26</w:t>
      </w:r>
      <w:r>
        <w:rPr>
          <w:rFonts w:hint="eastAsia" w:ascii="仿宋" w:hAnsi="仿宋" w:eastAsia="仿宋" w:cs="宋体"/>
          <w:b/>
          <w:sz w:val="24"/>
          <w:szCs w:val="24"/>
          <w:highlight w:val="none"/>
          <w:u w:val="single"/>
        </w:rPr>
        <w:t>年</w:t>
      </w:r>
      <w:r>
        <w:rPr>
          <w:rFonts w:hint="eastAsia" w:ascii="仿宋" w:hAnsi="仿宋" w:eastAsia="仿宋" w:cs="宋体"/>
          <w:b/>
          <w:sz w:val="24"/>
          <w:szCs w:val="24"/>
          <w:highlight w:val="none"/>
          <w:u w:val="single"/>
          <w:lang w:val="en-US" w:eastAsia="zh-CN"/>
        </w:rPr>
        <w:t>6</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26</w:t>
      </w:r>
      <w:r>
        <w:rPr>
          <w:rFonts w:hint="eastAsia" w:ascii="仿宋" w:hAnsi="仿宋" w:eastAsia="仿宋" w:cs="宋体"/>
          <w:b/>
          <w:sz w:val="24"/>
          <w:szCs w:val="24"/>
          <w:highlight w:val="none"/>
          <w:u w:val="single"/>
        </w:rPr>
        <w:t>日09时30分00秒</w:t>
      </w:r>
      <w:r>
        <w:rPr>
          <w:rFonts w:hint="eastAsia" w:ascii="仿宋" w:hAnsi="仿宋" w:eastAsia="仿宋" w:cs="宋体"/>
          <w:b/>
          <w:sz w:val="24"/>
          <w:szCs w:val="24"/>
          <w:highlight w:val="none"/>
        </w:rPr>
        <w:t>。</w:t>
      </w:r>
    </w:p>
    <w:p>
      <w:pPr>
        <w:spacing w:line="360" w:lineRule="auto"/>
        <w:ind w:firstLine="480" w:firstLineChars="200"/>
        <w:textAlignment w:val="baseline"/>
        <w:rPr>
          <w:rFonts w:hint="eastAsia" w:ascii="仿宋" w:hAnsi="仿宋" w:eastAsia="仿宋" w:cs="宋体"/>
          <w:b/>
          <w:bCs/>
          <w:sz w:val="24"/>
          <w:szCs w:val="24"/>
          <w:highlight w:val="none"/>
        </w:rPr>
      </w:pPr>
      <w:r>
        <w:rPr>
          <w:rFonts w:hint="eastAsia" w:ascii="仿宋" w:hAnsi="仿宋" w:eastAsia="仿宋" w:cs="宋体"/>
          <w:sz w:val="24"/>
          <w:szCs w:val="24"/>
          <w:highlight w:val="none"/>
        </w:rPr>
        <w:t>6.2投标文件递交地点：</w:t>
      </w:r>
      <w:bookmarkStart w:id="28" w:name="_Toc109124229"/>
      <w:bookmarkStart w:id="29" w:name="_Toc3941"/>
      <w:r>
        <w:rPr>
          <w:rFonts w:hint="eastAsia" w:ascii="仿宋" w:hAnsi="仿宋" w:eastAsia="仿宋" w:cs="宋体"/>
          <w:sz w:val="24"/>
          <w:szCs w:val="24"/>
          <w:highlight w:val="none"/>
        </w:rPr>
        <w:t>广东省揭阳市榕城区黄岐山大道财润大厦4楼406，</w:t>
      </w:r>
      <w:r>
        <w:rPr>
          <w:rFonts w:hint="eastAsia" w:ascii="仿宋" w:hAnsi="仿宋" w:eastAsia="仿宋" w:cs="宋体"/>
          <w:b/>
          <w:bCs/>
          <w:sz w:val="24"/>
          <w:szCs w:val="24"/>
          <w:highlight w:val="none"/>
        </w:rPr>
        <w:t>逾期送达或者未送达指定地点或者未按照招标文件要求封装的纸质投标文件不予接收</w:t>
      </w:r>
      <w:r>
        <w:rPr>
          <w:rFonts w:hint="eastAsia" w:ascii="仿宋" w:hAnsi="仿宋" w:eastAsia="仿宋" w:cs="宋体"/>
          <w:sz w:val="24"/>
          <w:szCs w:val="24"/>
          <w:highlight w:val="none"/>
        </w:rPr>
        <w:t>。</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6.3</w:t>
      </w:r>
      <w:r>
        <w:rPr>
          <w:rFonts w:hint="eastAsia" w:ascii="仿宋" w:hAnsi="仿宋" w:eastAsia="仿宋" w:cs="宋体"/>
          <w:b/>
          <w:bCs/>
          <w:sz w:val="24"/>
          <w:szCs w:val="24"/>
          <w:highlight w:val="none"/>
        </w:rPr>
        <w:t>本项目将于上述同一时间、地点进行开标</w:t>
      </w:r>
      <w:r>
        <w:rPr>
          <w:rFonts w:hint="eastAsia" w:ascii="仿宋" w:hAnsi="仿宋" w:eastAsia="仿宋" w:cs="宋体"/>
          <w:sz w:val="24"/>
          <w:szCs w:val="24"/>
          <w:highlight w:val="none"/>
        </w:rPr>
        <w:t>，招标人/招标代理机构邀请投标人代表准时参加。</w:t>
      </w:r>
    </w:p>
    <w:p>
      <w:pPr>
        <w:spacing w:line="360" w:lineRule="auto"/>
        <w:ind w:firstLine="480" w:firstLineChars="200"/>
        <w:textAlignment w:val="baseline"/>
        <w:rPr>
          <w:rFonts w:hint="eastAsia" w:ascii="仿宋" w:hAnsi="仿宋" w:eastAsia="仿宋" w:cs="宋体"/>
          <w:b/>
          <w:bCs/>
          <w:sz w:val="24"/>
          <w:szCs w:val="24"/>
          <w:highlight w:val="none"/>
        </w:rPr>
      </w:pPr>
      <w:r>
        <w:rPr>
          <w:rFonts w:hint="eastAsia" w:ascii="仿宋" w:hAnsi="仿宋" w:eastAsia="仿宋" w:cs="宋体"/>
          <w:sz w:val="24"/>
          <w:szCs w:val="24"/>
          <w:highlight w:val="none"/>
        </w:rPr>
        <w:t>6.4</w:t>
      </w:r>
      <w:r>
        <w:rPr>
          <w:rFonts w:hint="eastAsia" w:ascii="仿宋" w:hAnsi="仿宋" w:eastAsia="仿宋" w:cs="宋体"/>
          <w:b/>
          <w:bCs/>
          <w:sz w:val="24"/>
          <w:szCs w:val="24"/>
          <w:highlight w:val="none"/>
        </w:rPr>
        <w:t>出现以下情形之一时，招标人/招标代理机构不予接收投标文件：</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6.4.1  逾期送达或者未送达指定地点的；</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6.4.2  未按照招标文件要求密封的；</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6.4.3  未按照招标公告要求获取招标文件的。</w:t>
      </w:r>
    </w:p>
    <w:p>
      <w:pPr>
        <w:pStyle w:val="2"/>
        <w:rPr>
          <w:rFonts w:hint="eastAsia" w:ascii="仿宋" w:hAnsi="仿宋" w:cs="宋体"/>
          <w:highlight w:val="none"/>
        </w:rPr>
      </w:pPr>
      <w:bookmarkStart w:id="30" w:name="_Toc190109392"/>
      <w:r>
        <w:rPr>
          <w:rFonts w:hint="eastAsia" w:ascii="仿宋" w:hAnsi="仿宋" w:cs="宋体"/>
          <w:highlight w:val="none"/>
        </w:rPr>
        <w:t>七、发布公告的媒介</w:t>
      </w:r>
      <w:bookmarkEnd w:id="28"/>
      <w:bookmarkEnd w:id="29"/>
      <w:bookmarkEnd w:id="30"/>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本项目招标公告同时在</w:t>
      </w:r>
      <w:r>
        <w:rPr>
          <w:rFonts w:hint="eastAsia" w:ascii="仿宋" w:hAnsi="仿宋" w:eastAsia="仿宋" w:cs="宋体"/>
          <w:sz w:val="24"/>
          <w:szCs w:val="24"/>
          <w:highlight w:val="none"/>
          <w:u w:val="single"/>
        </w:rPr>
        <w:t>“人保e采”外网门户（https://ec.picc.com/）、</w:t>
      </w:r>
      <w:r>
        <w:rPr>
          <w:rFonts w:hint="eastAsia" w:ascii="仿宋" w:hAnsi="仿宋" w:eastAsia="仿宋" w:cs="宋体"/>
          <w:sz w:val="24"/>
          <w:highlight w:val="none"/>
          <w:u w:val="single"/>
        </w:rPr>
        <w:t>中国招标投标公共服务平台（www.cebpubservice.com）、招标代理机构网站（https://www.chengezhao.com/）</w:t>
      </w:r>
      <w:r>
        <w:rPr>
          <w:rFonts w:hint="eastAsia" w:ascii="仿宋" w:hAnsi="仿宋" w:eastAsia="仿宋" w:cs="宋体"/>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2"/>
        <w:rPr>
          <w:rFonts w:hint="eastAsia" w:ascii="仿宋" w:hAnsi="仿宋" w:cs="宋体"/>
          <w:highlight w:val="none"/>
        </w:rPr>
      </w:pPr>
      <w:bookmarkStart w:id="31" w:name="_Toc109124230"/>
      <w:bookmarkStart w:id="32" w:name="_Toc7046"/>
      <w:bookmarkStart w:id="33" w:name="_Toc26408"/>
      <w:bookmarkStart w:id="34" w:name="_Toc20415"/>
      <w:bookmarkStart w:id="35" w:name="_Toc190109393"/>
      <w:bookmarkStart w:id="36" w:name="_Toc24589"/>
      <w:r>
        <w:rPr>
          <w:rFonts w:hint="eastAsia" w:ascii="仿宋" w:hAnsi="仿宋" w:cs="宋体"/>
          <w:highlight w:val="none"/>
        </w:rPr>
        <w:t>八、联系方式</w:t>
      </w:r>
      <w:bookmarkEnd w:id="31"/>
      <w:bookmarkEnd w:id="32"/>
      <w:bookmarkEnd w:id="33"/>
      <w:bookmarkEnd w:id="34"/>
      <w:bookmarkEnd w:id="35"/>
      <w:bookmarkEnd w:id="36"/>
    </w:p>
    <w:p>
      <w:pPr>
        <w:spacing w:line="360" w:lineRule="auto"/>
        <w:ind w:firstLine="482" w:firstLineChars="200"/>
        <w:textAlignment w:val="baseline"/>
        <w:rPr>
          <w:rFonts w:hint="eastAsia" w:ascii="仿宋" w:hAnsi="仿宋" w:eastAsia="仿宋" w:cs="宋体"/>
          <w:b/>
          <w:bCs w:val="0"/>
          <w:sz w:val="24"/>
          <w:szCs w:val="24"/>
          <w:highlight w:val="none"/>
        </w:rPr>
      </w:pPr>
      <w:r>
        <w:rPr>
          <w:rFonts w:hint="eastAsia" w:ascii="仿宋" w:hAnsi="仿宋" w:eastAsia="仿宋" w:cs="宋体"/>
          <w:b/>
          <w:bCs w:val="0"/>
          <w:sz w:val="24"/>
          <w:szCs w:val="24"/>
          <w:highlight w:val="none"/>
        </w:rPr>
        <w:t>招标人：中国人民财产保险股份有限公司揭阳市分公司</w:t>
      </w:r>
    </w:p>
    <w:p>
      <w:pPr>
        <w:spacing w:line="360" w:lineRule="auto"/>
        <w:ind w:firstLine="480" w:firstLineChars="200"/>
        <w:textAlignment w:val="baseline"/>
        <w:rPr>
          <w:rFonts w:hint="eastAsia" w:ascii="仿宋" w:hAnsi="仿宋" w:eastAsia="仿宋" w:cs="宋体"/>
          <w:b w:val="0"/>
          <w:bCs/>
          <w:sz w:val="24"/>
          <w:szCs w:val="24"/>
          <w:highlight w:val="none"/>
        </w:rPr>
      </w:pPr>
      <w:r>
        <w:rPr>
          <w:rFonts w:hint="eastAsia" w:ascii="仿宋" w:hAnsi="仿宋" w:eastAsia="仿宋" w:cs="宋体"/>
          <w:b w:val="0"/>
          <w:bCs/>
          <w:sz w:val="24"/>
          <w:szCs w:val="24"/>
          <w:highlight w:val="none"/>
        </w:rPr>
        <w:t>地址：广东省揭阳市榕城区临江北路29号</w:t>
      </w:r>
    </w:p>
    <w:p>
      <w:pPr>
        <w:spacing w:line="360" w:lineRule="auto"/>
        <w:ind w:firstLine="480" w:firstLineChars="200"/>
        <w:textAlignment w:val="baseline"/>
        <w:rPr>
          <w:rFonts w:hint="eastAsia" w:ascii="仿宋" w:hAnsi="仿宋" w:eastAsia="仿宋" w:cs="宋体"/>
          <w:b w:val="0"/>
          <w:bCs/>
          <w:sz w:val="24"/>
          <w:szCs w:val="24"/>
          <w:highlight w:val="none"/>
        </w:rPr>
      </w:pPr>
      <w:r>
        <w:rPr>
          <w:rFonts w:hint="eastAsia" w:ascii="仿宋" w:hAnsi="仿宋" w:eastAsia="仿宋" w:cs="宋体"/>
          <w:b w:val="0"/>
          <w:bCs/>
          <w:sz w:val="24"/>
          <w:szCs w:val="24"/>
          <w:highlight w:val="none"/>
        </w:rPr>
        <w:t>联系人：许康妮</w:t>
      </w:r>
    </w:p>
    <w:p>
      <w:pPr>
        <w:spacing w:line="360" w:lineRule="auto"/>
        <w:ind w:firstLine="480" w:firstLineChars="200"/>
        <w:textAlignment w:val="baseline"/>
        <w:rPr>
          <w:rFonts w:hint="eastAsia" w:ascii="仿宋" w:hAnsi="仿宋" w:eastAsia="仿宋" w:cs="宋体"/>
          <w:b w:val="0"/>
          <w:bCs/>
          <w:sz w:val="24"/>
          <w:szCs w:val="24"/>
          <w:highlight w:val="none"/>
        </w:rPr>
      </w:pPr>
      <w:r>
        <w:rPr>
          <w:rFonts w:hint="eastAsia" w:ascii="仿宋" w:hAnsi="仿宋" w:eastAsia="仿宋" w:cs="宋体"/>
          <w:b w:val="0"/>
          <w:bCs/>
          <w:sz w:val="24"/>
          <w:szCs w:val="24"/>
          <w:highlight w:val="none"/>
        </w:rPr>
        <w:t>电话：13414823874</w:t>
      </w:r>
    </w:p>
    <w:p>
      <w:pPr>
        <w:spacing w:line="360" w:lineRule="auto"/>
        <w:ind w:firstLine="482" w:firstLineChars="200"/>
        <w:textAlignment w:val="baseline"/>
        <w:rPr>
          <w:rFonts w:hint="eastAsia" w:ascii="仿宋" w:hAnsi="仿宋" w:eastAsia="仿宋" w:cs="宋体"/>
          <w:b/>
          <w:sz w:val="24"/>
          <w:szCs w:val="24"/>
          <w:highlight w:val="none"/>
        </w:rPr>
      </w:pPr>
      <w:r>
        <w:rPr>
          <w:rFonts w:hint="eastAsia" w:ascii="仿宋" w:hAnsi="仿宋" w:eastAsia="仿宋" w:cs="宋体"/>
          <w:b/>
          <w:sz w:val="24"/>
          <w:szCs w:val="24"/>
          <w:highlight w:val="none"/>
        </w:rPr>
        <w:t>招标代理机构：公诚管理咨询有限公司</w:t>
      </w:r>
    </w:p>
    <w:p>
      <w:pPr>
        <w:spacing w:line="360" w:lineRule="auto"/>
        <w:ind w:firstLine="480" w:firstLineChars="200"/>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地址：广东省揭阳市榕城区黄岐山大道财润大厦4楼</w:t>
      </w:r>
    </w:p>
    <w:p>
      <w:pPr>
        <w:spacing w:line="360" w:lineRule="auto"/>
        <w:ind w:firstLine="480" w:firstLineChars="200"/>
        <w:textAlignment w:val="baseline"/>
        <w:rPr>
          <w:rFonts w:hint="eastAsia" w:ascii="仿宋" w:hAnsi="仿宋" w:eastAsia="仿宋" w:cs="宋体"/>
          <w:sz w:val="24"/>
          <w:szCs w:val="24"/>
          <w:highlight w:val="none"/>
          <w:lang w:val="en-US" w:eastAsia="zh-CN"/>
        </w:rPr>
      </w:pPr>
      <w:bookmarkStart w:id="37" w:name="_Hlk69457004"/>
      <w:r>
        <w:rPr>
          <w:rFonts w:hint="eastAsia" w:ascii="仿宋" w:hAnsi="仿宋" w:eastAsia="仿宋" w:cs="宋体"/>
          <w:sz w:val="24"/>
          <w:szCs w:val="24"/>
          <w:highlight w:val="none"/>
        </w:rPr>
        <w:t>联系人：陈业锐、钟育强、郭锦波</w:t>
      </w:r>
    </w:p>
    <w:p>
      <w:pPr>
        <w:spacing w:line="360" w:lineRule="auto"/>
        <w:ind w:firstLine="480" w:firstLineChars="200"/>
        <w:textAlignment w:val="baseline"/>
        <w:rPr>
          <w:rFonts w:hint="default" w:ascii="仿宋" w:hAnsi="仿宋" w:eastAsia="仿宋" w:cs="宋体"/>
          <w:sz w:val="24"/>
          <w:szCs w:val="24"/>
          <w:highlight w:val="none"/>
          <w:lang w:val="en-US" w:eastAsia="zh-CN"/>
        </w:rPr>
      </w:pPr>
      <w:r>
        <w:rPr>
          <w:rFonts w:hint="eastAsia" w:ascii="仿宋" w:hAnsi="仿宋" w:eastAsia="仿宋" w:cs="宋体"/>
          <w:sz w:val="24"/>
          <w:szCs w:val="24"/>
          <w:highlight w:val="none"/>
        </w:rPr>
        <w:t>电话：</w:t>
      </w:r>
      <w:r>
        <w:rPr>
          <w:rFonts w:hint="eastAsia" w:ascii="仿宋" w:hAnsi="仿宋" w:eastAsia="仿宋" w:cs="宋体"/>
          <w:sz w:val="24"/>
          <w:szCs w:val="24"/>
          <w:highlight w:val="none"/>
          <w:lang w:val="en-US" w:eastAsia="zh-CN"/>
        </w:rPr>
        <w:t>13924445633</w:t>
      </w:r>
    </w:p>
    <w:p>
      <w:pPr>
        <w:spacing w:line="360" w:lineRule="auto"/>
        <w:ind w:firstLine="480" w:firstLineChars="200"/>
        <w:textAlignment w:val="baseline"/>
        <w:rPr>
          <w:rFonts w:hint="eastAsia" w:ascii="仿宋" w:hAnsi="仿宋" w:eastAsia="仿宋" w:cs="宋体"/>
          <w:bCs/>
          <w:sz w:val="24"/>
          <w:szCs w:val="24"/>
          <w:highlight w:val="none"/>
        </w:rPr>
      </w:pPr>
      <w:r>
        <w:rPr>
          <w:rFonts w:hint="eastAsia" w:ascii="仿宋" w:hAnsi="仿宋" w:eastAsia="仿宋" w:cs="宋体"/>
          <w:sz w:val="24"/>
          <w:szCs w:val="24"/>
          <w:highlight w:val="none"/>
        </w:rPr>
        <w:t>电子邮件：</w:t>
      </w:r>
      <w:bookmarkEnd w:id="37"/>
      <w:r>
        <w:rPr>
          <w:rFonts w:hint="eastAsia" w:ascii="仿宋" w:hAnsi="仿宋" w:eastAsia="仿宋" w:cs="宋体"/>
          <w:sz w:val="24"/>
          <w:szCs w:val="24"/>
          <w:highlight w:val="none"/>
        </w:rPr>
        <w:fldChar w:fldCharType="begin"/>
      </w:r>
      <w:r>
        <w:rPr>
          <w:rFonts w:hint="eastAsia" w:ascii="仿宋" w:hAnsi="仿宋" w:eastAsia="仿宋" w:cs="宋体"/>
          <w:sz w:val="24"/>
          <w:szCs w:val="24"/>
          <w:highlight w:val="none"/>
        </w:rPr>
        <w:instrText xml:space="preserve">HYPERLINK "mailto:13927091666</w:instrText>
      </w:r>
      <w:r>
        <w:rPr>
          <w:rFonts w:ascii="仿宋" w:hAnsi="仿宋" w:eastAsia="仿宋" w:cs="宋体"/>
          <w:sz w:val="24"/>
          <w:szCs w:val="24"/>
          <w:highlight w:val="none"/>
        </w:rPr>
        <w:instrText xml:space="preserve">@</w:instrText>
      </w:r>
      <w:r>
        <w:rPr>
          <w:rFonts w:hint="eastAsia" w:ascii="仿宋" w:hAnsi="仿宋" w:eastAsia="仿宋" w:cs="宋体"/>
          <w:sz w:val="24"/>
          <w:szCs w:val="24"/>
          <w:highlight w:val="none"/>
        </w:rPr>
        <w:instrText xml:space="preserve">139.</w:instrText>
      </w:r>
      <w:r>
        <w:rPr>
          <w:rFonts w:ascii="仿宋" w:hAnsi="仿宋" w:eastAsia="仿宋" w:cs="宋体"/>
          <w:sz w:val="24"/>
          <w:szCs w:val="24"/>
          <w:highlight w:val="none"/>
        </w:rPr>
        <w:instrText xml:space="preserve">com</w:instrText>
      </w:r>
      <w:r>
        <w:rPr>
          <w:rFonts w:hint="eastAsia" w:ascii="仿宋" w:hAnsi="仿宋" w:eastAsia="仿宋" w:cs="宋体"/>
          <w:sz w:val="24"/>
          <w:szCs w:val="24"/>
          <w:highlight w:val="none"/>
        </w:rPr>
        <w:instrText xml:space="preserve">"</w:instrText>
      </w:r>
      <w:r>
        <w:rPr>
          <w:rFonts w:hint="eastAsia" w:ascii="仿宋" w:hAnsi="仿宋" w:eastAsia="仿宋" w:cs="宋体"/>
          <w:sz w:val="24"/>
          <w:szCs w:val="24"/>
          <w:highlight w:val="none"/>
        </w:rPr>
        <w:fldChar w:fldCharType="separate"/>
      </w:r>
      <w:r>
        <w:rPr>
          <w:rFonts w:hint="eastAsia" w:ascii="仿宋" w:hAnsi="仿宋" w:eastAsia="仿宋" w:cs="宋体"/>
          <w:sz w:val="24"/>
          <w:szCs w:val="24"/>
          <w:highlight w:val="none"/>
        </w:rPr>
        <w:t>13924445633</w:t>
      </w:r>
      <w:r>
        <w:rPr>
          <w:rStyle w:val="6"/>
          <w:rFonts w:ascii="仿宋" w:hAnsi="仿宋" w:eastAsia="仿宋" w:cs="宋体"/>
          <w:color w:val="auto"/>
          <w:sz w:val="24"/>
          <w:szCs w:val="24"/>
          <w:highlight w:val="none"/>
          <w:u w:val="none"/>
        </w:rPr>
        <w:t>@</w:t>
      </w:r>
      <w:r>
        <w:rPr>
          <w:rStyle w:val="6"/>
          <w:rFonts w:hint="eastAsia" w:ascii="仿宋" w:hAnsi="仿宋" w:eastAsia="仿宋" w:cs="宋体"/>
          <w:color w:val="auto"/>
          <w:sz w:val="24"/>
          <w:szCs w:val="24"/>
          <w:highlight w:val="none"/>
          <w:u w:val="none"/>
        </w:rPr>
        <w:t>139.</w:t>
      </w:r>
      <w:r>
        <w:rPr>
          <w:rStyle w:val="6"/>
          <w:rFonts w:ascii="仿宋" w:hAnsi="仿宋" w:eastAsia="仿宋" w:cs="宋体"/>
          <w:color w:val="auto"/>
          <w:sz w:val="24"/>
          <w:szCs w:val="24"/>
          <w:highlight w:val="none"/>
          <w:u w:val="none"/>
        </w:rPr>
        <w:t>com</w:t>
      </w:r>
      <w:r>
        <w:rPr>
          <w:rFonts w:hint="eastAsia" w:ascii="仿宋" w:hAnsi="仿宋" w:eastAsia="仿宋" w:cs="宋体"/>
          <w:sz w:val="24"/>
          <w:szCs w:val="24"/>
          <w:highlight w:val="none"/>
        </w:rPr>
        <w:fldChar w:fldCharType="end"/>
      </w:r>
    </w:p>
    <w:p>
      <w:pPr>
        <w:spacing w:line="360" w:lineRule="auto"/>
        <w:rPr>
          <w:rFonts w:hint="eastAsia" w:ascii="仿宋" w:hAnsi="仿宋" w:eastAsia="仿宋" w:cs="宋体"/>
          <w:sz w:val="24"/>
          <w:szCs w:val="24"/>
          <w:highlight w:val="none"/>
        </w:rPr>
      </w:pPr>
    </w:p>
    <w:p>
      <w:pPr>
        <w:rPr>
          <w:highlight w:val="none"/>
        </w:rPr>
      </w:pPr>
    </w:p>
    <w:p>
      <w:pPr>
        <w:spacing w:line="360" w:lineRule="auto"/>
        <w:ind w:firstLine="480" w:firstLineChars="200"/>
        <w:jc w:val="right"/>
        <w:textAlignment w:val="baseline"/>
        <w:rPr>
          <w:rFonts w:hint="eastAsia" w:ascii="仿宋" w:hAnsi="仿宋" w:eastAsia="仿宋" w:cs="宋体"/>
          <w:sz w:val="24"/>
          <w:szCs w:val="24"/>
          <w:highlight w:val="none"/>
        </w:rPr>
      </w:pPr>
    </w:p>
    <w:p>
      <w:pPr>
        <w:spacing w:line="360" w:lineRule="auto"/>
        <w:ind w:firstLine="480" w:firstLineChars="200"/>
        <w:jc w:val="right"/>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招标人：中国人民财产保险股份有限公司揭阳市分公司</w:t>
      </w:r>
    </w:p>
    <w:p>
      <w:pPr>
        <w:spacing w:line="360" w:lineRule="auto"/>
        <w:ind w:firstLine="480" w:firstLineChars="200"/>
        <w:jc w:val="right"/>
        <w:textAlignment w:val="baseline"/>
        <w:rPr>
          <w:rFonts w:hint="eastAsia" w:ascii="仿宋" w:hAnsi="仿宋" w:eastAsia="仿宋" w:cs="宋体"/>
          <w:sz w:val="24"/>
          <w:szCs w:val="24"/>
          <w:highlight w:val="none"/>
        </w:rPr>
      </w:pPr>
      <w:r>
        <w:rPr>
          <w:rFonts w:hint="eastAsia" w:ascii="仿宋" w:hAnsi="仿宋" w:eastAsia="仿宋" w:cs="宋体"/>
          <w:sz w:val="24"/>
          <w:szCs w:val="24"/>
          <w:highlight w:val="none"/>
        </w:rPr>
        <w:t>招标代理机构：公诚管理咨询有限公司</w:t>
      </w:r>
    </w:p>
    <w:p>
      <w:pPr>
        <w:jc w:val="right"/>
        <w:rPr>
          <w:rFonts w:hint="eastAsia" w:eastAsiaTheme="minorEastAsia"/>
          <w:lang w:eastAsia="zh-CN"/>
        </w:rPr>
      </w:pPr>
      <w:r>
        <w:rPr>
          <w:rFonts w:hint="eastAsia" w:ascii="仿宋" w:hAnsi="仿宋" w:eastAsia="仿宋" w:cs="宋体"/>
          <w:sz w:val="24"/>
          <w:szCs w:val="24"/>
          <w:highlight w:val="none"/>
        </w:rPr>
        <w:t>202</w:t>
      </w:r>
      <w:r>
        <w:rPr>
          <w:rFonts w:hint="eastAsia" w:ascii="仿宋" w:hAnsi="仿宋" w:eastAsia="仿宋" w:cs="宋体"/>
          <w:sz w:val="24"/>
          <w:szCs w:val="24"/>
          <w:highlight w:val="none"/>
          <w:lang w:val="en-US" w:eastAsia="zh-CN"/>
        </w:rPr>
        <w:t>6</w:t>
      </w:r>
      <w:r>
        <w:rPr>
          <w:rFonts w:hint="eastAsia" w:ascii="仿宋" w:hAnsi="仿宋" w:eastAsia="仿宋" w:cs="宋体"/>
          <w:sz w:val="24"/>
          <w:szCs w:val="24"/>
          <w:highlight w:val="none"/>
        </w:rPr>
        <w:t>年</w:t>
      </w:r>
      <w:r>
        <w:rPr>
          <w:rFonts w:hint="eastAsia" w:ascii="仿宋" w:hAnsi="仿宋" w:eastAsia="仿宋" w:cs="宋体"/>
          <w:sz w:val="24"/>
          <w:szCs w:val="24"/>
          <w:highlight w:val="none"/>
          <w:lang w:val="en-US" w:eastAsia="zh-CN"/>
        </w:rPr>
        <w:t>6</w:t>
      </w:r>
      <w:r>
        <w:rPr>
          <w:rFonts w:hint="eastAsia" w:ascii="仿宋" w:hAnsi="仿宋" w:eastAsia="仿宋" w:cs="宋体"/>
          <w:sz w:val="24"/>
          <w:szCs w:val="24"/>
          <w:highlight w:val="none"/>
        </w:rPr>
        <w:t>月</w:t>
      </w:r>
      <w:r>
        <w:rPr>
          <w:rFonts w:hint="eastAsia" w:ascii="仿宋" w:hAnsi="仿宋" w:eastAsia="仿宋" w:cs="宋体"/>
          <w:sz w:val="24"/>
          <w:szCs w:val="24"/>
          <w:highlight w:val="none"/>
          <w:lang w:val="en-US" w:eastAsia="zh-CN"/>
        </w:rPr>
        <w:t>5</w:t>
      </w:r>
      <w:r>
        <w:rPr>
          <w:rFonts w:hint="eastAsia" w:ascii="仿宋" w:hAnsi="仿宋" w:eastAsia="仿宋" w:cs="宋体"/>
          <w:sz w:val="24"/>
          <w:szCs w:val="24"/>
          <w:highlight w:val="none"/>
        </w:rPr>
        <w:t>日</w:t>
      </w: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D5868"/>
    <w:rsid w:val="10EA6B31"/>
    <w:rsid w:val="1CC25DDB"/>
    <w:rsid w:val="73703B4C"/>
    <w:rsid w:val="79DD0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pPr>
      <w:spacing w:after="120"/>
    </w:pPr>
  </w:style>
  <w:style w:type="character" w:styleId="6">
    <w:name w:val="Hyperlink"/>
    <w:qFormat/>
    <w:uiPriority w:val="99"/>
    <w:rPr>
      <w:color w:val="0563C1"/>
      <w:u w:val="single"/>
    </w:rPr>
  </w:style>
  <w:style w:type="paragraph" w:customStyle="1" w:styleId="7">
    <w:name w:val="p0"/>
    <w:basedOn w:val="1"/>
    <w:qFormat/>
    <w:uiPriority w:val="0"/>
    <w:pPr>
      <w:widowControl/>
    </w:pPr>
    <w:rPr>
      <w:kern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2645</Words>
  <Characters>2996</Characters>
  <Lines>0</Lines>
  <Paragraphs>0</Paragraphs>
  <TotalTime>3</TotalTime>
  <ScaleCrop>false</ScaleCrop>
  <LinksUpToDate>false</LinksUpToDate>
  <CharactersWithSpaces>3008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2026-06-04T10:01:00Z</dcterms:created>
  <dc:creator>Administrator</dc:creator>
  <cp:lastModifiedBy>Administrator</cp:lastModifiedBy>
  <dcterms:modified xsi:type="dcterms:W3CDTF">2026-06-04T10:11:28Z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eyJoZGlkIjoiZDJhMWE4NTRjZTFiNGYwOGNjODQ5NGRkNzgyZWM0ZGIiLCJ1c2VySWQiOiI2NDAxMDg2NDcifQ==</vt:lpwstr>
  </property>
  <property fmtid="{D5CDD505-2E9C-101B-9397-08002B2CF9AE}" pid="4" name="ICV">
    <vt:lpwstr>2E0FFEFD06CA4850AD9081CEF52D3F7D_12</vt:lpwstr>
  </property>
</Properties>
</file>