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center"/>
        <w:rPr>
          <w:rFonts w:hint="eastAsia"/>
          <w:b/>
          <w:sz w:val="32"/>
          <w:szCs w:val="32"/>
        </w:rPr>
      </w:pPr>
      <w:r>
        <w:rPr>
          <w:rFonts w:hint="eastAsia" w:ascii="黑体" w:hAnsi="黑体" w:eastAsia="黑体" w:cs="黑体"/>
          <w:b/>
          <w:sz w:val="28"/>
          <w:szCs w:val="28"/>
        </w:rPr>
        <w:t>关于人保财险新疆</w:t>
      </w:r>
      <w:r>
        <w:rPr>
          <w:rFonts w:hint="eastAsia" w:ascii="黑体" w:hAnsi="黑体" w:eastAsia="黑体" w:cs="黑体"/>
          <w:b/>
          <w:sz w:val="28"/>
          <w:szCs w:val="28"/>
          <w:lang w:eastAsia="zh-CN"/>
        </w:rPr>
        <w:t>叶城支</w:t>
      </w:r>
      <w:r>
        <w:rPr>
          <w:rFonts w:hint="eastAsia" w:ascii="黑体" w:hAnsi="黑体" w:eastAsia="黑体" w:cs="黑体"/>
          <w:b/>
          <w:sz w:val="28"/>
          <w:szCs w:val="28"/>
        </w:rPr>
        <w:t>公司职工食堂食材供应商采购项目供应商征集公告</w:t>
      </w:r>
      <w:r>
        <w:rPr>
          <w:rFonts w:hint="eastAsia"/>
          <w:b/>
          <w:sz w:val="32"/>
          <w:szCs w:val="32"/>
        </w:rPr>
        <w:t xml:space="preserve"> </w:t>
      </w:r>
    </w:p>
    <w:p>
      <w:pPr>
        <w:pStyle w:val="6"/>
        <w:keepNext w:val="0"/>
        <w:keepLines w:val="0"/>
        <w:pageBreakBefore w:val="0"/>
        <w:kinsoku/>
        <w:wordWrap/>
        <w:overflowPunct/>
        <w:topLinePunct w:val="0"/>
        <w:bidi w:val="0"/>
        <w:snapToGrid/>
        <w:spacing w:line="400" w:lineRule="atLeast"/>
        <w:ind w:left="0" w:leftChars="0" w:right="0" w:rightChars="0" w:firstLine="560" w:firstLineChars="200"/>
        <w:jc w:val="left"/>
        <w:textAlignment w:val="auto"/>
        <w:outlineLvl w:val="9"/>
        <w:rPr>
          <w:rFonts w:hint="eastAsia" w:ascii="仿宋" w:hAnsi="仿宋" w:eastAsia="仿宋" w:cs="仿宋"/>
          <w:sz w:val="28"/>
          <w:szCs w:val="28"/>
        </w:rPr>
      </w:pPr>
      <w:r>
        <w:rPr>
          <w:rFonts w:hint="eastAsia" w:ascii="仿宋" w:hAnsi="仿宋" w:eastAsia="仿宋" w:cs="仿宋"/>
          <w:sz w:val="28"/>
          <w:szCs w:val="28"/>
        </w:rPr>
        <w:t>我公司</w:t>
      </w:r>
      <w:r>
        <w:rPr>
          <w:rFonts w:hint="eastAsia" w:ascii="仿宋" w:hAnsi="仿宋" w:eastAsia="仿宋" w:cs="仿宋"/>
          <w:color w:val="auto"/>
          <w:sz w:val="28"/>
          <w:szCs w:val="28"/>
          <w:highlight w:val="none"/>
        </w:rPr>
        <w:t>人保财险新疆</w:t>
      </w:r>
      <w:r>
        <w:rPr>
          <w:rFonts w:hint="eastAsia" w:ascii="仿宋" w:hAnsi="仿宋" w:eastAsia="仿宋" w:cs="仿宋"/>
          <w:color w:val="auto"/>
          <w:sz w:val="28"/>
          <w:szCs w:val="28"/>
          <w:highlight w:val="none"/>
          <w:lang w:eastAsia="zh-CN"/>
        </w:rPr>
        <w:t>叶城支</w:t>
      </w:r>
      <w:r>
        <w:rPr>
          <w:rFonts w:hint="eastAsia" w:ascii="仿宋" w:hAnsi="仿宋" w:eastAsia="仿宋" w:cs="仿宋"/>
          <w:color w:val="auto"/>
          <w:sz w:val="28"/>
          <w:szCs w:val="28"/>
          <w:highlight w:val="none"/>
        </w:rPr>
        <w:t>公司职工食堂食材供应商</w:t>
      </w:r>
      <w:r>
        <w:rPr>
          <w:rFonts w:hint="eastAsia" w:ascii="仿宋" w:hAnsi="仿宋" w:eastAsia="仿宋" w:cs="仿宋"/>
          <w:sz w:val="28"/>
          <w:szCs w:val="28"/>
        </w:rPr>
        <w:t>采购项目已启动，现征集优秀供应商，征集时间自</w:t>
      </w: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06</w:t>
      </w:r>
      <w:r>
        <w:rPr>
          <w:rFonts w:hint="eastAsia" w:ascii="仿宋" w:hAnsi="仿宋" w:eastAsia="仿宋" w:cs="仿宋"/>
          <w:sz w:val="28"/>
          <w:szCs w:val="28"/>
        </w:rPr>
        <w:t>月</w:t>
      </w:r>
      <w:r>
        <w:rPr>
          <w:rFonts w:hint="eastAsia" w:ascii="仿宋" w:hAnsi="仿宋" w:eastAsia="仿宋" w:cs="仿宋"/>
          <w:sz w:val="28"/>
          <w:szCs w:val="28"/>
          <w:lang w:val="en-US" w:eastAsia="zh-CN"/>
        </w:rPr>
        <w:t>08</w:t>
      </w:r>
      <w:r>
        <w:rPr>
          <w:rFonts w:hint="eastAsia" w:ascii="仿宋" w:hAnsi="仿宋" w:eastAsia="仿宋" w:cs="仿宋"/>
          <w:sz w:val="28"/>
          <w:szCs w:val="28"/>
        </w:rPr>
        <w:t>日</w:t>
      </w:r>
      <w:r>
        <w:rPr>
          <w:rFonts w:hint="eastAsia" w:ascii="仿宋" w:hAnsi="仿宋" w:eastAsia="仿宋" w:cs="仿宋"/>
          <w:sz w:val="28"/>
          <w:szCs w:val="28"/>
          <w:lang w:val="en-US" w:eastAsia="zh-CN"/>
        </w:rPr>
        <w:t>00</w:t>
      </w:r>
      <w:r>
        <w:rPr>
          <w:rFonts w:hint="eastAsia" w:ascii="仿宋" w:hAnsi="仿宋" w:eastAsia="仿宋" w:cs="仿宋"/>
          <w:sz w:val="28"/>
          <w:szCs w:val="28"/>
        </w:rPr>
        <w:t>:00截至</w:t>
      </w: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06</w:t>
      </w:r>
      <w:r>
        <w:rPr>
          <w:rFonts w:hint="eastAsia" w:ascii="仿宋" w:hAnsi="仿宋" w:eastAsia="仿宋" w:cs="仿宋"/>
          <w:sz w:val="28"/>
          <w:szCs w:val="28"/>
        </w:rPr>
        <w:t>月</w:t>
      </w:r>
      <w:r>
        <w:rPr>
          <w:rFonts w:hint="eastAsia" w:ascii="仿宋" w:hAnsi="仿宋" w:eastAsia="仿宋" w:cs="仿宋"/>
          <w:sz w:val="28"/>
          <w:szCs w:val="28"/>
          <w:lang w:val="en-US" w:eastAsia="zh-CN"/>
        </w:rPr>
        <w:t>13</w:t>
      </w:r>
      <w:r>
        <w:rPr>
          <w:rFonts w:hint="eastAsia" w:ascii="仿宋" w:hAnsi="仿宋" w:eastAsia="仿宋" w:cs="仿宋"/>
          <w:sz w:val="28"/>
          <w:szCs w:val="28"/>
        </w:rPr>
        <w:t>日</w:t>
      </w:r>
      <w:r>
        <w:rPr>
          <w:rFonts w:hint="eastAsia" w:ascii="仿宋" w:hAnsi="仿宋" w:eastAsia="仿宋" w:cs="仿宋"/>
          <w:sz w:val="28"/>
          <w:szCs w:val="28"/>
          <w:lang w:val="en-US" w:eastAsia="zh-CN"/>
        </w:rPr>
        <w:t>00</w:t>
      </w:r>
      <w:r>
        <w:rPr>
          <w:rFonts w:hint="eastAsia" w:ascii="仿宋" w:hAnsi="仿宋" w:eastAsia="仿宋" w:cs="仿宋"/>
          <w:sz w:val="28"/>
          <w:szCs w:val="28"/>
        </w:rPr>
        <w:t xml:space="preserve">:00，欢迎参与。 </w:t>
      </w:r>
    </w:p>
    <w:p>
      <w:pPr>
        <w:pStyle w:val="6"/>
        <w:keepNext w:val="0"/>
        <w:keepLines w:val="0"/>
        <w:pageBreakBefore w:val="0"/>
        <w:kinsoku/>
        <w:wordWrap/>
        <w:overflowPunct/>
        <w:topLinePunct w:val="0"/>
        <w:bidi w:val="0"/>
        <w:snapToGrid/>
        <w:spacing w:line="400" w:lineRule="atLeast"/>
        <w:ind w:left="0" w:leftChars="0" w:right="0" w:rightChars="0" w:firstLine="562" w:firstLineChars="200"/>
        <w:jc w:val="left"/>
        <w:textAlignment w:val="auto"/>
        <w:outlineLvl w:val="9"/>
        <w:rPr>
          <w:rFonts w:hint="eastAsia" w:ascii="仿宋" w:hAnsi="仿宋" w:eastAsia="仿宋" w:cs="仿宋"/>
          <w:sz w:val="28"/>
          <w:szCs w:val="28"/>
        </w:rPr>
      </w:pPr>
      <w:r>
        <w:rPr>
          <w:rFonts w:hint="eastAsia" w:ascii="仿宋" w:hAnsi="仿宋" w:eastAsia="仿宋" w:cs="仿宋"/>
          <w:b/>
          <w:sz w:val="28"/>
          <w:szCs w:val="28"/>
        </w:rPr>
        <w:t>一、采购人：</w:t>
      </w:r>
      <w:r>
        <w:rPr>
          <w:rFonts w:hint="eastAsia" w:ascii="仿宋" w:hAnsi="仿宋" w:eastAsia="仿宋" w:cs="仿宋"/>
          <w:sz w:val="28"/>
          <w:szCs w:val="28"/>
        </w:rPr>
        <w:t>中国人民财产保险股份有限公司</w:t>
      </w:r>
      <w:r>
        <w:rPr>
          <w:rFonts w:hint="eastAsia" w:ascii="仿宋" w:hAnsi="仿宋" w:eastAsia="仿宋" w:cs="仿宋"/>
          <w:sz w:val="28"/>
          <w:szCs w:val="28"/>
          <w:lang w:eastAsia="zh-CN"/>
        </w:rPr>
        <w:t>喀什地区</w:t>
      </w:r>
      <w:r>
        <w:rPr>
          <w:rFonts w:hint="eastAsia" w:ascii="仿宋" w:hAnsi="仿宋" w:eastAsia="仿宋" w:cs="仿宋"/>
          <w:sz w:val="28"/>
          <w:szCs w:val="28"/>
        </w:rPr>
        <w:t xml:space="preserve">分公司 </w:t>
      </w:r>
    </w:p>
    <w:p>
      <w:pPr>
        <w:pStyle w:val="6"/>
        <w:keepNext w:val="0"/>
        <w:keepLines w:val="0"/>
        <w:pageBreakBefore w:val="0"/>
        <w:kinsoku/>
        <w:wordWrap/>
        <w:overflowPunct/>
        <w:topLinePunct w:val="0"/>
        <w:bidi w:val="0"/>
        <w:snapToGrid/>
        <w:spacing w:line="400" w:lineRule="atLeast"/>
        <w:ind w:left="0" w:leftChars="0" w:right="0" w:rightChars="0" w:firstLine="562" w:firstLineChars="200"/>
        <w:jc w:val="left"/>
        <w:textAlignment w:val="auto"/>
        <w:outlineLvl w:val="9"/>
        <w:rPr>
          <w:rFonts w:hint="eastAsia" w:ascii="仿宋" w:hAnsi="仿宋" w:eastAsia="仿宋" w:cs="仿宋"/>
          <w:b/>
          <w:sz w:val="28"/>
          <w:szCs w:val="28"/>
        </w:rPr>
      </w:pPr>
      <w:r>
        <w:rPr>
          <w:rFonts w:hint="eastAsia" w:ascii="仿宋" w:hAnsi="仿宋" w:eastAsia="仿宋" w:cs="仿宋"/>
          <w:b/>
          <w:sz w:val="28"/>
          <w:szCs w:val="28"/>
        </w:rPr>
        <w:t xml:space="preserve">二、采购需求 </w:t>
      </w:r>
    </w:p>
    <w:p>
      <w:pPr>
        <w:keepNext w:val="0"/>
        <w:keepLines w:val="0"/>
        <w:pageBreakBefore w:val="0"/>
        <w:widowControl/>
        <w:kinsoku/>
        <w:wordWrap/>
        <w:overflowPunct/>
        <w:topLinePunct w:val="0"/>
        <w:autoSpaceDE/>
        <w:autoSpaceDN/>
        <w:bidi w:val="0"/>
        <w:adjustRightInd/>
        <w:snapToGrid/>
        <w:spacing w:line="400" w:lineRule="atLeast"/>
        <w:ind w:left="0" w:leftChars="0" w:right="0" w:rightChars="0" w:firstLine="560" w:firstLineChars="200"/>
        <w:jc w:val="left"/>
        <w:textAlignment w:val="auto"/>
        <w:outlineLvl w:val="9"/>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（一）项目情况</w:t>
      </w:r>
      <w:r>
        <w:rPr>
          <w:rFonts w:hint="eastAsia" w:ascii="仿宋" w:hAnsi="仿宋" w:eastAsia="仿宋" w:cs="仿宋"/>
          <w:sz w:val="28"/>
          <w:szCs w:val="28"/>
        </w:rPr>
        <w:t>：</w:t>
      </w:r>
      <w:r>
        <w:rPr>
          <w:rFonts w:hint="eastAsia" w:ascii="仿宋" w:hAnsi="仿宋" w:eastAsia="仿宋" w:cs="仿宋"/>
          <w:color w:val="000000"/>
          <w:kern w:val="0"/>
          <w:sz w:val="28"/>
          <w:szCs w:val="28"/>
          <w:lang w:val="en-US" w:eastAsia="zh-CN" w:bidi="ar-SA"/>
        </w:rPr>
        <w:t>本采购项目拟选择1家供应商，为我公司提供为期一年的职工食堂食材配送服务，具体提供蔬菜水果类、米面油、副食品、肉类、乳制品、冷冻食品（含水产品）等的采购配送工作。</w:t>
      </w:r>
    </w:p>
    <w:p>
      <w:pPr>
        <w:pStyle w:val="6"/>
        <w:keepNext w:val="0"/>
        <w:keepLines w:val="0"/>
        <w:pageBreakBefore w:val="0"/>
        <w:kinsoku/>
        <w:wordWrap/>
        <w:overflowPunct/>
        <w:topLinePunct w:val="0"/>
        <w:bidi w:val="0"/>
        <w:snapToGrid/>
        <w:spacing w:line="400" w:lineRule="atLeast"/>
        <w:ind w:left="0" w:leftChars="0" w:right="0" w:rightChars="0"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rPr>
        <w:t>（二）采购内容：</w:t>
      </w:r>
      <w:r>
        <w:rPr>
          <w:rFonts w:hint="eastAsia" w:ascii="仿宋" w:hAnsi="仿宋" w:eastAsia="仿宋" w:cs="仿宋"/>
          <w:kern w:val="0"/>
          <w:sz w:val="28"/>
          <w:szCs w:val="28"/>
          <w:lang w:eastAsia="zh-CN"/>
        </w:rPr>
        <w:t>职工食堂食材</w:t>
      </w:r>
      <w:r>
        <w:rPr>
          <w:rFonts w:hint="eastAsia" w:ascii="仿宋" w:hAnsi="仿宋" w:eastAsia="仿宋" w:cs="仿宋"/>
          <w:kern w:val="0"/>
          <w:sz w:val="28"/>
          <w:szCs w:val="28"/>
        </w:rPr>
        <w:t>采购</w:t>
      </w:r>
      <w:r>
        <w:rPr>
          <w:rFonts w:hint="eastAsia" w:ascii="仿宋" w:hAnsi="仿宋" w:eastAsia="仿宋" w:cs="仿宋"/>
          <w:kern w:val="0"/>
          <w:sz w:val="28"/>
          <w:szCs w:val="28"/>
          <w:lang w:val="en-US" w:eastAsia="zh-CN"/>
        </w:rPr>
        <w:t>内容分米面油类、乳制品类和其他食材类，其中：其他食材包含但不限于牛羊肉、新鲜禽类、鲜鱼类、冷冻食品类；新鲜蔬菜水果类；调味品；豆制品；粉条、木耳等</w:t>
      </w:r>
      <w:r>
        <w:rPr>
          <w:rFonts w:hint="eastAsia" w:ascii="仿宋" w:hAnsi="仿宋" w:eastAsia="仿宋" w:cs="仿宋"/>
          <w:sz w:val="28"/>
          <w:szCs w:val="28"/>
          <w:lang w:val="en-US" w:eastAsia="zh-CN"/>
        </w:rPr>
        <w:t>副食品。具体内容及要求如下：</w:t>
      </w:r>
    </w:p>
    <w:tbl>
      <w:tblPr>
        <w:tblStyle w:val="5"/>
        <w:tblW w:w="879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0"/>
        <w:gridCol w:w="2052"/>
        <w:gridCol w:w="2603"/>
        <w:gridCol w:w="25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1" w:hRule="atLeast"/>
        </w:trPr>
        <w:tc>
          <w:tcPr>
            <w:tcW w:w="1620" w:type="dxa"/>
            <w:tcBorders>
              <w:top w:val="single" w:color="auto" w:sz="4" w:space="0"/>
              <w:left w:val="single" w:color="auto" w:sz="4" w:space="0"/>
              <w:bottom w:val="single" w:color="auto" w:sz="4" w:space="0"/>
              <w:right w:val="single" w:color="auto" w:sz="4" w:space="0"/>
            </w:tcBorders>
            <w:shd w:val="clear" w:color="auto" w:fill="E7E6E6"/>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类别</w:t>
            </w:r>
          </w:p>
        </w:tc>
        <w:tc>
          <w:tcPr>
            <w:tcW w:w="2052" w:type="dxa"/>
            <w:tcBorders>
              <w:top w:val="single" w:color="auto" w:sz="4" w:space="0"/>
              <w:left w:val="single" w:color="auto" w:sz="4" w:space="0"/>
              <w:bottom w:val="single" w:color="auto" w:sz="4" w:space="0"/>
              <w:right w:val="single" w:color="auto" w:sz="4" w:space="0"/>
            </w:tcBorders>
            <w:shd w:val="clear" w:color="auto" w:fill="E7E6E6"/>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规格</w:t>
            </w:r>
          </w:p>
        </w:tc>
        <w:tc>
          <w:tcPr>
            <w:tcW w:w="2603" w:type="dxa"/>
            <w:tcBorders>
              <w:top w:val="single" w:color="auto" w:sz="4" w:space="0"/>
              <w:left w:val="single" w:color="auto" w:sz="4" w:space="0"/>
              <w:bottom w:val="single" w:color="auto" w:sz="4" w:space="0"/>
              <w:right w:val="single" w:color="auto" w:sz="4" w:space="0"/>
            </w:tcBorders>
            <w:shd w:val="clear" w:color="auto" w:fill="E7E6E6"/>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品牌</w:t>
            </w:r>
          </w:p>
        </w:tc>
        <w:tc>
          <w:tcPr>
            <w:tcW w:w="2520" w:type="dxa"/>
            <w:tcBorders>
              <w:top w:val="single" w:color="auto" w:sz="4" w:space="0"/>
              <w:left w:val="single" w:color="auto" w:sz="4" w:space="0"/>
              <w:bottom w:val="single" w:color="auto" w:sz="4" w:space="0"/>
              <w:right w:val="single" w:color="auto" w:sz="4" w:space="0"/>
            </w:tcBorders>
            <w:shd w:val="clear" w:color="auto" w:fill="E7E6E6"/>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产品要求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8" w:hRule="atLeast"/>
        </w:trPr>
        <w:tc>
          <w:tcPr>
            <w:tcW w:w="162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米面油类</w:t>
            </w:r>
          </w:p>
        </w:tc>
        <w:tc>
          <w:tcPr>
            <w:tcW w:w="2052"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25公斤</w:t>
            </w:r>
          </w:p>
        </w:tc>
        <w:tc>
          <w:tcPr>
            <w:tcW w:w="26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天山</w:t>
            </w:r>
          </w:p>
        </w:tc>
        <w:tc>
          <w:tcPr>
            <w:tcW w:w="252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商品外包装完好，标明品名、厂名、重量、生产日期、保质期或保存期、执行标准，剩余保质期不少于 80%。以叶城县农贸市场的对应产品中间价格的信息价作为依据，在此基础上进行折扣率。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3" w:hRule="atLeast"/>
        </w:trPr>
        <w:tc>
          <w:tcPr>
            <w:tcW w:w="1620" w:type="dxa"/>
            <w:vMerge w:val="continue"/>
            <w:tcBorders>
              <w:top w:val="single" w:color="auto" w:sz="4" w:space="0"/>
              <w:left w:val="single" w:color="auto" w:sz="4" w:space="0"/>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052" w:type="dxa"/>
            <w:vMerge w:val="continue"/>
            <w:tcBorders>
              <w:top w:val="single" w:color="auto" w:sz="4" w:space="0"/>
              <w:left w:val="nil"/>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603" w:type="dxa"/>
            <w:tcBorders>
              <w:top w:val="single" w:color="auto" w:sz="4" w:space="0"/>
              <w:left w:val="nil"/>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塔克拉玛干</w:t>
            </w:r>
          </w:p>
        </w:tc>
        <w:tc>
          <w:tcPr>
            <w:tcW w:w="2520" w:type="dxa"/>
            <w:vMerge w:val="continue"/>
            <w:tcBorders>
              <w:top w:val="single" w:color="auto" w:sz="4" w:space="0"/>
              <w:left w:val="nil"/>
              <w:bottom w:val="nil"/>
              <w:right w:val="single" w:color="auto" w:sz="4" w:space="0"/>
            </w:tcBorders>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3" w:hRule="atLeast"/>
        </w:trPr>
        <w:tc>
          <w:tcPr>
            <w:tcW w:w="1620" w:type="dxa"/>
            <w:vMerge w:val="continue"/>
            <w:tcBorders>
              <w:top w:val="single" w:color="000000" w:sz="8" w:space="0"/>
              <w:left w:val="single" w:color="auto" w:sz="4" w:space="0"/>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052" w:type="dxa"/>
            <w:vMerge w:val="restart"/>
            <w:tcBorders>
              <w:top w:val="nil"/>
              <w:left w:val="nil"/>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25公斤</w:t>
            </w:r>
          </w:p>
        </w:tc>
        <w:tc>
          <w:tcPr>
            <w:tcW w:w="2603" w:type="dxa"/>
            <w:tcBorders>
              <w:top w:val="nil"/>
              <w:left w:val="nil"/>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福临门</w:t>
            </w:r>
          </w:p>
        </w:tc>
        <w:tc>
          <w:tcPr>
            <w:tcW w:w="2520" w:type="dxa"/>
            <w:vMerge w:val="continue"/>
            <w:tcBorders>
              <w:top w:val="single" w:color="000000" w:sz="8" w:space="0"/>
              <w:left w:val="nil"/>
              <w:bottom w:val="nil"/>
              <w:right w:val="single" w:color="auto" w:sz="4" w:space="0"/>
            </w:tcBorders>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8" w:hRule="atLeast"/>
        </w:trPr>
        <w:tc>
          <w:tcPr>
            <w:tcW w:w="1620" w:type="dxa"/>
            <w:vMerge w:val="continue"/>
            <w:tcBorders>
              <w:top w:val="single" w:color="000000" w:sz="8" w:space="0"/>
              <w:left w:val="single" w:color="auto" w:sz="4" w:space="0"/>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052" w:type="dxa"/>
            <w:vMerge w:val="continue"/>
            <w:tcBorders>
              <w:left w:val="nil"/>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603" w:type="dxa"/>
            <w:tcBorders>
              <w:top w:val="nil"/>
              <w:left w:val="nil"/>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元宝</w:t>
            </w:r>
          </w:p>
        </w:tc>
        <w:tc>
          <w:tcPr>
            <w:tcW w:w="2520" w:type="dxa"/>
            <w:vMerge w:val="continue"/>
            <w:tcBorders>
              <w:top w:val="single" w:color="000000" w:sz="8" w:space="0"/>
              <w:left w:val="nil"/>
              <w:bottom w:val="nil"/>
              <w:right w:val="single" w:color="auto" w:sz="4" w:space="0"/>
            </w:tcBorders>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8" w:hRule="atLeast"/>
        </w:trPr>
        <w:tc>
          <w:tcPr>
            <w:tcW w:w="1620" w:type="dxa"/>
            <w:vMerge w:val="continue"/>
            <w:tcBorders>
              <w:top w:val="single" w:color="000000" w:sz="8" w:space="0"/>
              <w:left w:val="single" w:color="auto" w:sz="4" w:space="0"/>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052" w:type="dxa"/>
            <w:vMerge w:val="continue"/>
            <w:tcBorders>
              <w:left w:val="nil"/>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603" w:type="dxa"/>
            <w:tcBorders>
              <w:top w:val="nil"/>
              <w:left w:val="nil"/>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金龙鱼</w:t>
            </w:r>
          </w:p>
        </w:tc>
        <w:tc>
          <w:tcPr>
            <w:tcW w:w="2520" w:type="dxa"/>
            <w:vMerge w:val="continue"/>
            <w:tcBorders>
              <w:top w:val="single" w:color="000000" w:sz="8" w:space="0"/>
              <w:left w:val="nil"/>
              <w:bottom w:val="nil"/>
              <w:right w:val="single" w:color="auto" w:sz="4" w:space="0"/>
            </w:tcBorders>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8" w:hRule="atLeast"/>
        </w:trPr>
        <w:tc>
          <w:tcPr>
            <w:tcW w:w="1620" w:type="dxa"/>
            <w:vMerge w:val="continue"/>
            <w:tcBorders>
              <w:top w:val="single" w:color="000000" w:sz="8" w:space="0"/>
              <w:left w:val="single" w:color="auto" w:sz="4" w:space="0"/>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052" w:type="dxa"/>
            <w:vMerge w:val="restart"/>
            <w:tcBorders>
              <w:top w:val="nil"/>
              <w:left w:val="nil"/>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5升</w:t>
            </w:r>
          </w:p>
        </w:tc>
        <w:tc>
          <w:tcPr>
            <w:tcW w:w="2603" w:type="dxa"/>
            <w:tcBorders>
              <w:top w:val="nil"/>
              <w:left w:val="nil"/>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鲁花</w:t>
            </w:r>
          </w:p>
        </w:tc>
        <w:tc>
          <w:tcPr>
            <w:tcW w:w="2520" w:type="dxa"/>
            <w:vMerge w:val="continue"/>
            <w:tcBorders>
              <w:top w:val="single" w:color="000000" w:sz="8" w:space="0"/>
              <w:left w:val="nil"/>
              <w:bottom w:val="nil"/>
              <w:right w:val="single" w:color="auto" w:sz="4" w:space="0"/>
            </w:tcBorders>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97" w:hRule="atLeast"/>
        </w:trPr>
        <w:tc>
          <w:tcPr>
            <w:tcW w:w="1620" w:type="dxa"/>
            <w:vMerge w:val="continue"/>
            <w:tcBorders>
              <w:top w:val="single" w:color="000000" w:sz="8" w:space="0"/>
              <w:left w:val="single" w:color="auto" w:sz="4" w:space="0"/>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052" w:type="dxa"/>
            <w:vMerge w:val="continue"/>
            <w:tcBorders>
              <w:top w:val="nil"/>
              <w:left w:val="nil"/>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603" w:type="dxa"/>
            <w:tcBorders>
              <w:top w:val="nil"/>
              <w:left w:val="nil"/>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福临门</w:t>
            </w:r>
          </w:p>
        </w:tc>
        <w:tc>
          <w:tcPr>
            <w:tcW w:w="2520" w:type="dxa"/>
            <w:vMerge w:val="continue"/>
            <w:tcBorders>
              <w:top w:val="single" w:color="000000" w:sz="8" w:space="0"/>
              <w:left w:val="nil"/>
              <w:bottom w:val="nil"/>
              <w:right w:val="single" w:color="auto" w:sz="4" w:space="0"/>
            </w:tcBorders>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9" w:hRule="atLeast"/>
        </w:trPr>
        <w:tc>
          <w:tcPr>
            <w:tcW w:w="1620" w:type="dxa"/>
            <w:vMerge w:val="continue"/>
            <w:tcBorders>
              <w:top w:val="single" w:color="000000" w:sz="8" w:space="0"/>
              <w:left w:val="single" w:color="auto" w:sz="4" w:space="0"/>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052" w:type="dxa"/>
            <w:vMerge w:val="continue"/>
            <w:tcBorders>
              <w:top w:val="nil"/>
              <w:left w:val="nil"/>
              <w:bottom w:val="single" w:color="auto" w:sz="4"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603" w:type="dxa"/>
            <w:tcBorders>
              <w:top w:val="nil"/>
              <w:left w:val="nil"/>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金龙鱼</w:t>
            </w:r>
          </w:p>
        </w:tc>
        <w:tc>
          <w:tcPr>
            <w:tcW w:w="2520" w:type="dxa"/>
            <w:vMerge w:val="continue"/>
            <w:tcBorders>
              <w:top w:val="single" w:color="000000" w:sz="8" w:space="0"/>
              <w:left w:val="nil"/>
              <w:bottom w:val="nil"/>
              <w:right w:val="single" w:color="auto" w:sz="4" w:space="0"/>
            </w:tcBorders>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9" w:hRule="atLeast"/>
        </w:trPr>
        <w:tc>
          <w:tcPr>
            <w:tcW w:w="1620" w:type="dxa"/>
            <w:vMerge w:val="restart"/>
            <w:tcBorders>
              <w:top w:val="single" w:color="000000" w:sz="8" w:space="0"/>
              <w:left w:val="single" w:color="000000" w:sz="8"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乳制品</w:t>
            </w:r>
          </w:p>
        </w:tc>
        <w:tc>
          <w:tcPr>
            <w:tcW w:w="20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200g*20袋/箱　</w:t>
            </w:r>
          </w:p>
        </w:tc>
        <w:tc>
          <w:tcPr>
            <w:tcW w:w="2603" w:type="dxa"/>
            <w:tcBorders>
              <w:top w:val="nil"/>
              <w:left w:val="single" w:color="auto" w:sz="4" w:space="0"/>
              <w:bottom w:val="single" w:color="000000" w:sz="8" w:space="0"/>
              <w:right w:val="nil"/>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伊利纯牛奶</w:t>
            </w:r>
          </w:p>
        </w:tc>
        <w:tc>
          <w:tcPr>
            <w:tcW w:w="2520" w:type="dxa"/>
            <w:vMerge w:val="restart"/>
            <w:tcBorders>
              <w:top w:val="single" w:color="000000" w:sz="8" w:space="0"/>
              <w:left w:val="single" w:color="000000" w:sz="8" w:space="0"/>
              <w:right w:val="single" w:color="000000" w:sz="8" w:space="0"/>
            </w:tcBorders>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乳制品商品外包装需保持完好无损，包装上须清晰标明品名、生产厂家、净含量、生产日期、保质期（或保存期） 等关键信息。送货日期须控制在产品出厂5—7天内，确保所供乳制品新鲜达标。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1620" w:type="dxa"/>
            <w:vMerge w:val="continue"/>
            <w:tcBorders>
              <w:left w:val="single" w:color="000000" w:sz="8" w:space="0"/>
              <w:right w:val="single" w:color="auto" w:sz="4" w:space="0"/>
            </w:tcBorders>
            <w:vAlign w:val="center"/>
          </w:tcPr>
          <w:p>
            <w:pPr>
              <w:jc w:val="center"/>
              <w:rPr>
                <w:rFonts w:hint="eastAsia" w:ascii="仿宋" w:hAnsi="仿宋" w:eastAsia="仿宋" w:cs="仿宋"/>
                <w:i w:val="0"/>
                <w:iCs w:val="0"/>
                <w:color w:val="000000"/>
                <w:sz w:val="24"/>
                <w:szCs w:val="24"/>
                <w:u w:val="none"/>
              </w:rPr>
            </w:pPr>
          </w:p>
        </w:tc>
        <w:tc>
          <w:tcPr>
            <w:tcW w:w="20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250g*24盒/箱　</w:t>
            </w:r>
          </w:p>
        </w:tc>
        <w:tc>
          <w:tcPr>
            <w:tcW w:w="2603" w:type="dxa"/>
            <w:tcBorders>
              <w:top w:val="nil"/>
              <w:left w:val="single" w:color="auto" w:sz="4" w:space="0"/>
              <w:bottom w:val="single" w:color="000000" w:sz="8" w:space="0"/>
              <w:right w:val="nil"/>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kern w:val="0"/>
                <w:sz w:val="24"/>
                <w:szCs w:val="24"/>
                <w:u w:val="none"/>
                <w:lang w:val="en-US" w:eastAsia="zh-CN" w:bidi="ar"/>
              </w:rPr>
              <w:t>伊利纯牛奶</w:t>
            </w:r>
          </w:p>
        </w:tc>
        <w:tc>
          <w:tcPr>
            <w:tcW w:w="2520" w:type="dxa"/>
            <w:vMerge w:val="continue"/>
            <w:tcBorders>
              <w:left w:val="single" w:color="000000" w:sz="8" w:space="0"/>
              <w:right w:val="single" w:color="000000" w:sz="8" w:space="0"/>
            </w:tcBorders>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0" w:hRule="atLeast"/>
        </w:trPr>
        <w:tc>
          <w:tcPr>
            <w:tcW w:w="1620" w:type="dxa"/>
            <w:vMerge w:val="continue"/>
            <w:tcBorders>
              <w:left w:val="single" w:color="000000" w:sz="8" w:space="0"/>
              <w:right w:val="single" w:color="auto" w:sz="4" w:space="0"/>
            </w:tcBorders>
            <w:vAlign w:val="center"/>
          </w:tcPr>
          <w:p>
            <w:pPr>
              <w:jc w:val="center"/>
              <w:rPr>
                <w:rFonts w:hint="eastAsia" w:ascii="仿宋" w:hAnsi="仿宋" w:eastAsia="仿宋" w:cs="仿宋"/>
                <w:i w:val="0"/>
                <w:iCs w:val="0"/>
                <w:color w:val="000000"/>
                <w:sz w:val="24"/>
                <w:szCs w:val="24"/>
                <w:u w:val="none"/>
              </w:rPr>
            </w:pPr>
          </w:p>
        </w:tc>
        <w:tc>
          <w:tcPr>
            <w:tcW w:w="20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100g/杯</w:t>
            </w:r>
          </w:p>
        </w:tc>
        <w:tc>
          <w:tcPr>
            <w:tcW w:w="2603" w:type="dxa"/>
            <w:tcBorders>
              <w:top w:val="nil"/>
              <w:left w:val="single" w:color="auto" w:sz="4" w:space="0"/>
              <w:bottom w:val="single" w:color="000000" w:sz="8" w:space="0"/>
              <w:right w:val="nil"/>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伊利原味酸奶</w:t>
            </w:r>
          </w:p>
        </w:tc>
        <w:tc>
          <w:tcPr>
            <w:tcW w:w="2520" w:type="dxa"/>
            <w:vMerge w:val="continue"/>
            <w:tcBorders>
              <w:left w:val="single" w:color="000000" w:sz="8" w:space="0"/>
              <w:right w:val="single" w:color="000000" w:sz="8" w:space="0"/>
            </w:tcBorders>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1620" w:type="dxa"/>
            <w:vMerge w:val="continue"/>
            <w:tcBorders>
              <w:left w:val="single" w:color="000000" w:sz="8" w:space="0"/>
              <w:right w:val="single" w:color="auto" w:sz="4" w:space="0"/>
            </w:tcBorders>
            <w:vAlign w:val="center"/>
          </w:tcPr>
          <w:p>
            <w:pPr>
              <w:jc w:val="center"/>
              <w:rPr>
                <w:rFonts w:hint="eastAsia" w:ascii="仿宋" w:hAnsi="仿宋" w:eastAsia="仿宋" w:cs="仿宋"/>
                <w:i w:val="0"/>
                <w:iCs w:val="0"/>
                <w:color w:val="000000"/>
                <w:sz w:val="24"/>
                <w:szCs w:val="24"/>
                <w:u w:val="none"/>
              </w:rPr>
            </w:pPr>
          </w:p>
        </w:tc>
        <w:tc>
          <w:tcPr>
            <w:tcW w:w="20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200ml*20袋/箱</w:t>
            </w:r>
          </w:p>
        </w:tc>
        <w:tc>
          <w:tcPr>
            <w:tcW w:w="2603" w:type="dxa"/>
            <w:tcBorders>
              <w:top w:val="nil"/>
              <w:left w:val="single" w:color="auto" w:sz="4" w:space="0"/>
              <w:bottom w:val="single" w:color="000000" w:sz="8" w:space="0"/>
              <w:right w:val="nil"/>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蒙牛</w:t>
            </w:r>
            <w:r>
              <w:rPr>
                <w:rFonts w:hint="eastAsia" w:ascii="仿宋" w:hAnsi="仿宋" w:eastAsia="仿宋" w:cs="仿宋"/>
                <w:i w:val="0"/>
                <w:iCs w:val="0"/>
                <w:color w:val="000000"/>
                <w:kern w:val="0"/>
                <w:sz w:val="24"/>
                <w:szCs w:val="24"/>
                <w:u w:val="none"/>
                <w:lang w:val="en-US" w:eastAsia="zh-CN" w:bidi="ar"/>
              </w:rPr>
              <w:t>纯牛奶</w:t>
            </w:r>
          </w:p>
        </w:tc>
        <w:tc>
          <w:tcPr>
            <w:tcW w:w="2520" w:type="dxa"/>
            <w:vMerge w:val="continue"/>
            <w:tcBorders>
              <w:left w:val="single" w:color="000000" w:sz="8" w:space="0"/>
              <w:right w:val="single" w:color="000000" w:sz="8" w:space="0"/>
            </w:tcBorders>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1620" w:type="dxa"/>
            <w:vMerge w:val="continue"/>
            <w:tcBorders>
              <w:left w:val="single" w:color="000000" w:sz="8" w:space="0"/>
              <w:right w:val="single" w:color="auto" w:sz="4" w:space="0"/>
            </w:tcBorders>
            <w:vAlign w:val="center"/>
          </w:tcPr>
          <w:p>
            <w:pPr>
              <w:jc w:val="center"/>
              <w:rPr>
                <w:rFonts w:hint="eastAsia" w:ascii="仿宋" w:hAnsi="仿宋" w:eastAsia="仿宋" w:cs="仿宋"/>
                <w:i w:val="0"/>
                <w:iCs w:val="0"/>
                <w:color w:val="000000"/>
                <w:sz w:val="24"/>
                <w:szCs w:val="24"/>
                <w:u w:val="none"/>
              </w:rPr>
            </w:pPr>
          </w:p>
        </w:tc>
        <w:tc>
          <w:tcPr>
            <w:tcW w:w="20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250ml*24盒/箱</w:t>
            </w:r>
          </w:p>
        </w:tc>
        <w:tc>
          <w:tcPr>
            <w:tcW w:w="2603" w:type="dxa"/>
            <w:tcBorders>
              <w:top w:val="nil"/>
              <w:left w:val="single" w:color="auto" w:sz="4" w:space="0"/>
              <w:bottom w:val="single" w:color="000000" w:sz="8" w:space="0"/>
              <w:right w:val="nil"/>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蒙牛</w:t>
            </w:r>
            <w:r>
              <w:rPr>
                <w:rFonts w:hint="eastAsia" w:ascii="仿宋" w:hAnsi="仿宋" w:eastAsia="仿宋" w:cs="仿宋"/>
                <w:i w:val="0"/>
                <w:iCs w:val="0"/>
                <w:color w:val="000000"/>
                <w:kern w:val="0"/>
                <w:sz w:val="24"/>
                <w:szCs w:val="24"/>
                <w:u w:val="none"/>
                <w:lang w:val="en-US" w:eastAsia="zh-CN" w:bidi="ar"/>
              </w:rPr>
              <w:t>纯牛奶</w:t>
            </w:r>
          </w:p>
        </w:tc>
        <w:tc>
          <w:tcPr>
            <w:tcW w:w="2520" w:type="dxa"/>
            <w:vMerge w:val="continue"/>
            <w:tcBorders>
              <w:left w:val="single" w:color="000000" w:sz="8" w:space="0"/>
              <w:right w:val="single" w:color="000000" w:sz="8" w:space="0"/>
            </w:tcBorders>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1" w:hRule="atLeast"/>
        </w:trPr>
        <w:tc>
          <w:tcPr>
            <w:tcW w:w="1620" w:type="dxa"/>
            <w:vMerge w:val="continue"/>
            <w:tcBorders>
              <w:left w:val="single" w:color="000000" w:sz="8" w:space="0"/>
              <w:right w:val="single" w:color="auto" w:sz="4" w:space="0"/>
            </w:tcBorders>
            <w:vAlign w:val="center"/>
          </w:tcPr>
          <w:p>
            <w:pPr>
              <w:jc w:val="center"/>
              <w:rPr>
                <w:rFonts w:hint="eastAsia" w:ascii="仿宋" w:hAnsi="仿宋" w:eastAsia="仿宋" w:cs="仿宋"/>
                <w:i w:val="0"/>
                <w:iCs w:val="0"/>
                <w:color w:val="000000"/>
                <w:sz w:val="24"/>
                <w:szCs w:val="24"/>
                <w:u w:val="none"/>
              </w:rPr>
            </w:pPr>
          </w:p>
        </w:tc>
        <w:tc>
          <w:tcPr>
            <w:tcW w:w="20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100g/杯</w:t>
            </w:r>
          </w:p>
        </w:tc>
        <w:tc>
          <w:tcPr>
            <w:tcW w:w="2603" w:type="dxa"/>
            <w:tcBorders>
              <w:top w:val="nil"/>
              <w:left w:val="single" w:color="auto" w:sz="4" w:space="0"/>
              <w:bottom w:val="single" w:color="000000" w:sz="8" w:space="0"/>
              <w:right w:val="nil"/>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蒙牛</w:t>
            </w:r>
            <w:r>
              <w:rPr>
                <w:rFonts w:hint="eastAsia" w:ascii="仿宋" w:hAnsi="仿宋" w:eastAsia="仿宋" w:cs="仿宋"/>
                <w:i w:val="0"/>
                <w:iCs w:val="0"/>
                <w:color w:val="000000"/>
                <w:kern w:val="0"/>
                <w:sz w:val="24"/>
                <w:szCs w:val="24"/>
                <w:u w:val="none"/>
                <w:lang w:val="en-US" w:eastAsia="zh-CN" w:bidi="ar"/>
              </w:rPr>
              <w:t>原味酸奶</w:t>
            </w:r>
          </w:p>
        </w:tc>
        <w:tc>
          <w:tcPr>
            <w:tcW w:w="2520" w:type="dxa"/>
            <w:vMerge w:val="continue"/>
            <w:tcBorders>
              <w:left w:val="single" w:color="000000" w:sz="8" w:space="0"/>
              <w:right w:val="single" w:color="000000" w:sz="8" w:space="0"/>
            </w:tcBorders>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76" w:hRule="atLeast"/>
        </w:trPr>
        <w:tc>
          <w:tcPr>
            <w:tcW w:w="1620" w:type="dxa"/>
            <w:vMerge w:val="continue"/>
            <w:tcBorders>
              <w:left w:val="single" w:color="000000" w:sz="8" w:space="0"/>
              <w:right w:val="single" w:color="auto" w:sz="4" w:space="0"/>
            </w:tcBorders>
            <w:vAlign w:val="center"/>
          </w:tcPr>
          <w:p>
            <w:pPr>
              <w:jc w:val="center"/>
              <w:rPr>
                <w:rFonts w:hint="eastAsia" w:ascii="仿宋" w:hAnsi="仿宋" w:eastAsia="仿宋" w:cs="仿宋"/>
                <w:i w:val="0"/>
                <w:iCs w:val="0"/>
                <w:color w:val="000000"/>
                <w:sz w:val="24"/>
                <w:szCs w:val="24"/>
                <w:u w:val="none"/>
              </w:rPr>
            </w:pPr>
          </w:p>
        </w:tc>
        <w:tc>
          <w:tcPr>
            <w:tcW w:w="20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200g*20袋/箱</w:t>
            </w:r>
          </w:p>
        </w:tc>
        <w:tc>
          <w:tcPr>
            <w:tcW w:w="2603" w:type="dxa"/>
            <w:tcBorders>
              <w:top w:val="nil"/>
              <w:left w:val="single" w:color="auto" w:sz="4" w:space="0"/>
              <w:bottom w:val="single" w:color="000000" w:sz="8" w:space="0"/>
              <w:right w:val="nil"/>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天润纯牛奶</w:t>
            </w:r>
          </w:p>
        </w:tc>
        <w:tc>
          <w:tcPr>
            <w:tcW w:w="2520" w:type="dxa"/>
            <w:vMerge w:val="continue"/>
            <w:tcBorders>
              <w:left w:val="single" w:color="000000" w:sz="8" w:space="0"/>
              <w:right w:val="single" w:color="000000" w:sz="8" w:space="0"/>
            </w:tcBorders>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36" w:hRule="atLeast"/>
        </w:trPr>
        <w:tc>
          <w:tcPr>
            <w:tcW w:w="1620" w:type="dxa"/>
            <w:vMerge w:val="continue"/>
            <w:tcBorders>
              <w:left w:val="single" w:color="000000" w:sz="8" w:space="0"/>
              <w:bottom w:val="single" w:color="000000" w:sz="8" w:space="0"/>
              <w:right w:val="single" w:color="auto" w:sz="4" w:space="0"/>
            </w:tcBorders>
            <w:vAlign w:val="center"/>
          </w:tcPr>
          <w:p>
            <w:pPr>
              <w:jc w:val="center"/>
              <w:rPr>
                <w:rFonts w:hint="eastAsia" w:ascii="仿宋" w:hAnsi="仿宋" w:eastAsia="仿宋" w:cs="仿宋"/>
                <w:i w:val="0"/>
                <w:iCs w:val="0"/>
                <w:color w:val="000000"/>
                <w:sz w:val="24"/>
                <w:szCs w:val="24"/>
                <w:u w:val="none"/>
              </w:rPr>
            </w:pPr>
          </w:p>
        </w:tc>
        <w:tc>
          <w:tcPr>
            <w:tcW w:w="20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180g*12袋/箱</w:t>
            </w:r>
          </w:p>
        </w:tc>
        <w:tc>
          <w:tcPr>
            <w:tcW w:w="2603" w:type="dxa"/>
            <w:tcBorders>
              <w:top w:val="nil"/>
              <w:left w:val="single" w:color="auto" w:sz="4" w:space="0"/>
              <w:bottom w:val="single" w:color="000000" w:sz="8" w:space="0"/>
              <w:right w:val="nil"/>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天润原味浓缩酸奶</w:t>
            </w:r>
          </w:p>
        </w:tc>
        <w:tc>
          <w:tcPr>
            <w:tcW w:w="2520" w:type="dxa"/>
            <w:vMerge w:val="continue"/>
            <w:tcBorders>
              <w:left w:val="single" w:color="000000" w:sz="8" w:space="0"/>
              <w:bottom w:val="single" w:color="000000" w:sz="4" w:space="0"/>
              <w:right w:val="single" w:color="000000" w:sz="8" w:space="0"/>
            </w:tcBorders>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1620" w:type="dxa"/>
            <w:tcBorders>
              <w:top w:val="nil"/>
              <w:left w:val="single" w:color="000000" w:sz="8" w:space="0"/>
              <w:bottom w:val="single" w:color="000000" w:sz="8"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牛羊肉、新鲜禽类、鲜鱼类、冷冻食品类；新鲜蔬菜水果类；调味品；豆制品；粉条等副食</w:t>
            </w:r>
          </w:p>
        </w:tc>
        <w:tc>
          <w:tcPr>
            <w:tcW w:w="2052" w:type="dxa"/>
            <w:tcBorders>
              <w:top w:val="single" w:color="auto" w:sz="4" w:space="0"/>
              <w:left w:val="nil"/>
              <w:bottom w:val="single" w:color="auto" w:sz="4" w:space="0"/>
              <w:right w:val="single" w:color="000000" w:sz="8"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2603" w:type="dxa"/>
            <w:tcBorders>
              <w:top w:val="nil"/>
              <w:left w:val="nil"/>
              <w:bottom w:val="single" w:color="000000" w:sz="8" w:space="0"/>
              <w:right w:val="single" w:color="000000" w:sz="8" w:space="0"/>
            </w:tcBorders>
            <w:vAlign w:val="center"/>
          </w:tcPr>
          <w:p>
            <w:pPr>
              <w:jc w:val="center"/>
              <w:rPr>
                <w:rFonts w:hint="eastAsia" w:ascii="仿宋" w:hAnsi="仿宋" w:eastAsia="仿宋" w:cs="仿宋"/>
                <w:i w:val="0"/>
                <w:iCs w:val="0"/>
                <w:color w:val="000000"/>
                <w:sz w:val="24"/>
                <w:szCs w:val="24"/>
                <w:u w:val="none"/>
              </w:rPr>
            </w:pPr>
          </w:p>
        </w:tc>
        <w:tc>
          <w:tcPr>
            <w:tcW w:w="2520" w:type="dxa"/>
            <w:tcBorders>
              <w:top w:val="nil"/>
              <w:left w:val="nil"/>
              <w:bottom w:val="single" w:color="000000" w:sz="8" w:space="0"/>
              <w:right w:val="single" w:color="000000" w:sz="8" w:space="0"/>
            </w:tcBorders>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所有肉类必须符合国家有关标准，保证无异味、无霉烂变质，肉类供货时需提供当批次有效的动物产品检疫合格证。确保蛋类产品符合食品安全标准，确保新鲜度，符合食品安全标准，商品外包装完好，标明品名、厂名、重量、生产日期、保质期或保存期、剩余保质期不少于 80%，无腐烂及变质现象。</w:t>
            </w:r>
            <w:r>
              <w:rPr>
                <w:rFonts w:hint="eastAsia" w:ascii="仿宋" w:hAnsi="仿宋" w:eastAsia="仿宋" w:cs="仿宋"/>
                <w:i w:val="0"/>
                <w:iCs w:val="0"/>
                <w:color w:val="000000"/>
                <w:kern w:val="0"/>
                <w:sz w:val="24"/>
                <w:szCs w:val="24"/>
                <w:highlight w:val="none"/>
                <w:u w:val="none"/>
                <w:lang w:val="en-US" w:eastAsia="zh-CN" w:bidi="ar"/>
              </w:rPr>
              <w:t>以叶城县农贸市场的对应产品中间价格的信息价作为依据，在此基础上进行折扣率。</w:t>
            </w:r>
          </w:p>
        </w:tc>
      </w:tr>
    </w:tbl>
    <w:p>
      <w:pPr>
        <w:pStyle w:val="6"/>
        <w:keepNext w:val="0"/>
        <w:keepLines w:val="0"/>
        <w:pageBreakBefore w:val="0"/>
        <w:widowControl w:val="0"/>
        <w:kinsoku/>
        <w:wordWrap/>
        <w:overflowPunct/>
        <w:topLinePunct w:val="0"/>
        <w:bidi w:val="0"/>
        <w:snapToGrid/>
        <w:spacing w:line="400" w:lineRule="atLeast"/>
        <w:ind w:right="0" w:rightChars="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三、供应商资质要求</w:t>
      </w:r>
    </w:p>
    <w:p>
      <w:pPr>
        <w:keepNext w:val="0"/>
        <w:keepLines w:val="0"/>
        <w:pageBreakBefore w:val="0"/>
        <w:widowControl w:val="0"/>
        <w:kinsoku/>
        <w:wordWrap/>
        <w:overflowPunct/>
        <w:topLinePunct w:val="0"/>
        <w:autoSpaceDE/>
        <w:autoSpaceDN/>
        <w:bidi w:val="0"/>
        <w:adjustRightInd/>
        <w:snapToGrid/>
        <w:spacing w:line="400" w:lineRule="atLeast"/>
        <w:ind w:left="638" w:leftChars="304" w:right="0" w:rightChars="0" w:firstLine="0" w:firstLineChars="0"/>
        <w:jc w:val="both"/>
        <w:textAlignment w:val="auto"/>
        <w:outlineLvl w:val="9"/>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1.在中华人民共和国境内依照《中华人民共和国公司</w:t>
      </w:r>
    </w:p>
    <w:p>
      <w:pPr>
        <w:pStyle w:val="2"/>
        <w:keepNext w:val="0"/>
        <w:keepLines w:val="0"/>
        <w:pageBreakBefore w:val="0"/>
        <w:widowControl w:val="0"/>
        <w:kinsoku/>
        <w:wordWrap/>
        <w:overflowPunct/>
        <w:topLinePunct w:val="0"/>
        <w:autoSpaceDE/>
        <w:autoSpaceDN/>
        <w:bidi w:val="0"/>
        <w:adjustRightInd/>
        <w:snapToGrid/>
        <w:spacing w:after="0" w:line="400" w:lineRule="atLeast"/>
        <w:ind w:right="0" w:rightChars="0"/>
        <w:jc w:val="both"/>
        <w:textAlignment w:val="auto"/>
        <w:outlineLvl w:val="9"/>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法》注册的、具有法人资格、符合本文件的要求并承诺提供本次服务的企业，需提供营业执照复印件；</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2.具有良好的商业信誉和健全的财务会计制度； </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3.具有履行合同所必需的设备和专业技术能力；</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4.有依法缴纳税收和社会保障资金的良好记录；</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5.参加此项采购活动最近三年没有出现违法违规或失</w:t>
      </w:r>
    </w:p>
    <w:p>
      <w:pPr>
        <w:pStyle w:val="2"/>
        <w:keepNext w:val="0"/>
        <w:keepLines w:val="0"/>
        <w:pageBreakBefore w:val="0"/>
        <w:widowControl w:val="0"/>
        <w:kinsoku/>
        <w:wordWrap/>
        <w:overflowPunct/>
        <w:topLinePunct w:val="0"/>
        <w:autoSpaceDE/>
        <w:autoSpaceDN/>
        <w:bidi w:val="0"/>
        <w:adjustRightInd/>
        <w:snapToGrid/>
        <w:spacing w:after="0" w:line="400" w:lineRule="atLeast"/>
        <w:ind w:left="640" w:right="0" w:rightChars="0" w:hanging="560" w:hangingChars="200"/>
        <w:jc w:val="both"/>
        <w:textAlignment w:val="auto"/>
        <w:outlineLvl w:val="9"/>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信行为，没有骗取中标和严重违约的行为；</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6.单位负责人为同一人或存在控股、管理关系的不同单</w:t>
      </w:r>
    </w:p>
    <w:p>
      <w:pPr>
        <w:pStyle w:val="2"/>
        <w:keepNext w:val="0"/>
        <w:keepLines w:val="0"/>
        <w:pageBreakBefore w:val="0"/>
        <w:widowControl w:val="0"/>
        <w:kinsoku/>
        <w:wordWrap/>
        <w:overflowPunct/>
        <w:topLinePunct w:val="0"/>
        <w:autoSpaceDE/>
        <w:autoSpaceDN/>
        <w:bidi w:val="0"/>
        <w:adjustRightInd/>
        <w:snapToGrid/>
        <w:spacing w:after="0" w:line="400" w:lineRule="atLeast"/>
        <w:ind w:left="640" w:right="0" w:rightChars="0" w:hanging="560" w:hangingChars="200"/>
        <w:jc w:val="both"/>
        <w:textAlignment w:val="auto"/>
        <w:outlineLvl w:val="9"/>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位，不得参加同一采购项目；</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7.未被列入公司供应商黑名单或已不在禁入期内。</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8.本项目不接受联合投标体，不允许分包。</w:t>
      </w:r>
    </w:p>
    <w:p>
      <w:pPr>
        <w:pStyle w:val="6"/>
        <w:keepNext w:val="0"/>
        <w:keepLines w:val="0"/>
        <w:pageBreakBefore w:val="0"/>
        <w:widowControl w:val="0"/>
        <w:kinsoku/>
        <w:wordWrap/>
        <w:overflowPunct/>
        <w:topLinePunct w:val="0"/>
        <w:bidi w:val="0"/>
        <w:snapToGrid/>
        <w:spacing w:line="400" w:lineRule="atLeast"/>
        <w:ind w:right="0" w:rightChars="0" w:firstLine="422" w:firstLineChars="150"/>
        <w:textAlignment w:val="auto"/>
        <w:rPr>
          <w:rFonts w:hint="eastAsia" w:ascii="仿宋" w:hAnsi="仿宋" w:eastAsia="仿宋" w:cs="仿宋"/>
          <w:b/>
          <w:sz w:val="28"/>
          <w:szCs w:val="28"/>
        </w:rPr>
      </w:pPr>
      <w:r>
        <w:rPr>
          <w:rFonts w:hint="eastAsia" w:ascii="仿宋" w:hAnsi="仿宋" w:eastAsia="仿宋" w:cs="仿宋"/>
          <w:b/>
          <w:sz w:val="28"/>
          <w:szCs w:val="28"/>
        </w:rPr>
        <w:t xml:space="preserve">四、供应商报名方式 </w:t>
      </w:r>
    </w:p>
    <w:p>
      <w:pPr>
        <w:pStyle w:val="6"/>
        <w:keepNext w:val="0"/>
        <w:keepLines w:val="0"/>
        <w:pageBreakBefore w:val="0"/>
        <w:widowControl w:val="0"/>
        <w:kinsoku/>
        <w:wordWrap/>
        <w:overflowPunct/>
        <w:topLinePunct w:val="0"/>
        <w:bidi w:val="0"/>
        <w:snapToGrid/>
        <w:spacing w:line="400" w:lineRule="atLeast"/>
        <w:ind w:right="0" w:rightChars="0" w:firstLine="420" w:firstLineChars="150"/>
        <w:textAlignment w:val="auto"/>
        <w:rPr>
          <w:rFonts w:hint="eastAsia" w:ascii="仿宋" w:hAnsi="仿宋" w:eastAsia="仿宋" w:cs="仿宋"/>
          <w:sz w:val="28"/>
          <w:szCs w:val="28"/>
        </w:rPr>
      </w:pPr>
      <w:r>
        <w:rPr>
          <w:rFonts w:hint="eastAsia" w:ascii="仿宋" w:hAnsi="仿宋" w:eastAsia="仿宋" w:cs="仿宋"/>
          <w:sz w:val="28"/>
          <w:szCs w:val="28"/>
        </w:rPr>
        <w:t>（一）报名资料：凡有意向参加该采购项目的供应商，需提供满足资质要求的相应证明资料，包括但不限于营业执照等。</w:t>
      </w:r>
    </w:p>
    <w:p>
      <w:pPr>
        <w:pStyle w:val="6"/>
        <w:keepNext w:val="0"/>
        <w:keepLines w:val="0"/>
        <w:pageBreakBefore w:val="0"/>
        <w:widowControl w:val="0"/>
        <w:kinsoku/>
        <w:wordWrap/>
        <w:overflowPunct/>
        <w:topLinePunct w:val="0"/>
        <w:bidi w:val="0"/>
        <w:snapToGrid/>
        <w:spacing w:line="400" w:lineRule="atLeast"/>
        <w:ind w:right="0" w:rightChars="0" w:firstLine="420" w:firstLineChars="150"/>
        <w:textAlignment w:val="auto"/>
        <w:rPr>
          <w:rFonts w:hint="eastAsia" w:ascii="仿宋" w:hAnsi="仿宋" w:eastAsia="仿宋" w:cs="仿宋"/>
          <w:sz w:val="28"/>
          <w:szCs w:val="28"/>
        </w:rPr>
      </w:pPr>
      <w:r>
        <w:rPr>
          <w:rFonts w:hint="eastAsia" w:ascii="仿宋" w:hAnsi="仿宋" w:eastAsia="仿宋" w:cs="仿宋"/>
          <w:sz w:val="28"/>
          <w:szCs w:val="28"/>
        </w:rPr>
        <w:t>（二）报名方式：根据《中国人民财产保险股份有限公司新疆分公司分散采购管理办法实施细则》以及新疆分公司财会部相关规定，通过</w:t>
      </w:r>
      <w:r>
        <w:rPr>
          <w:rFonts w:hint="eastAsia" w:ascii="仿宋" w:hAnsi="仿宋" w:eastAsia="仿宋" w:cs="仿宋"/>
          <w:sz w:val="28"/>
          <w:szCs w:val="28"/>
          <w:lang w:eastAsia="zh-CN"/>
        </w:rPr>
        <w:t>“</w:t>
      </w:r>
      <w:r>
        <w:rPr>
          <w:rFonts w:hint="eastAsia" w:ascii="仿宋" w:hAnsi="仿宋" w:eastAsia="仿宋" w:cs="仿宋"/>
          <w:sz w:val="28"/>
          <w:szCs w:val="28"/>
        </w:rPr>
        <w:t>人保e采”外网门户（https://ec.picc.com/）公开征集项目供应商，如有疑问，请与项目报名联系人联系。。</w:t>
      </w:r>
    </w:p>
    <w:p>
      <w:pPr>
        <w:pStyle w:val="6"/>
        <w:keepNext w:val="0"/>
        <w:keepLines w:val="0"/>
        <w:pageBreakBefore w:val="0"/>
        <w:widowControl w:val="0"/>
        <w:kinsoku/>
        <w:wordWrap/>
        <w:overflowPunct/>
        <w:topLinePunct w:val="0"/>
        <w:bidi w:val="0"/>
        <w:snapToGrid/>
        <w:spacing w:line="400" w:lineRule="atLeast"/>
        <w:ind w:right="0" w:rightChars="0" w:firstLine="422" w:firstLineChars="150"/>
        <w:textAlignment w:val="auto"/>
        <w:rPr>
          <w:rFonts w:hint="eastAsia" w:ascii="仿宋" w:hAnsi="仿宋" w:eastAsia="仿宋" w:cs="仿宋"/>
          <w:b/>
          <w:sz w:val="28"/>
          <w:szCs w:val="28"/>
        </w:rPr>
      </w:pPr>
      <w:r>
        <w:rPr>
          <w:rFonts w:hint="eastAsia" w:ascii="仿宋" w:hAnsi="仿宋" w:eastAsia="仿宋" w:cs="仿宋"/>
          <w:b/>
          <w:sz w:val="28"/>
          <w:szCs w:val="28"/>
        </w:rPr>
        <w:t xml:space="preserve">五、采购人信息 </w:t>
      </w:r>
    </w:p>
    <w:p>
      <w:pPr>
        <w:pStyle w:val="6"/>
        <w:keepNext w:val="0"/>
        <w:keepLines w:val="0"/>
        <w:pageBreakBefore w:val="0"/>
        <w:widowControl w:val="0"/>
        <w:kinsoku/>
        <w:wordWrap/>
        <w:overflowPunct/>
        <w:topLinePunct w:val="0"/>
        <w:bidi w:val="0"/>
        <w:snapToGrid/>
        <w:spacing w:line="400" w:lineRule="atLeast"/>
        <w:ind w:right="0" w:rightChars="0" w:firstLine="280" w:firstLineChars="100"/>
        <w:textAlignment w:val="auto"/>
        <w:rPr>
          <w:rFonts w:hint="eastAsia" w:ascii="仿宋" w:hAnsi="仿宋" w:eastAsia="仿宋" w:cs="仿宋"/>
          <w:sz w:val="28"/>
          <w:szCs w:val="28"/>
        </w:rPr>
      </w:pPr>
      <w:r>
        <w:rPr>
          <w:rFonts w:hint="eastAsia" w:ascii="仿宋" w:hAnsi="仿宋" w:eastAsia="仿宋" w:cs="仿宋"/>
          <w:sz w:val="28"/>
          <w:szCs w:val="28"/>
        </w:rPr>
        <w:t>采购人：中国人民财产保险股份有限公司</w:t>
      </w:r>
      <w:r>
        <w:rPr>
          <w:rFonts w:hint="eastAsia" w:ascii="仿宋" w:hAnsi="仿宋" w:eastAsia="仿宋" w:cs="仿宋"/>
          <w:sz w:val="28"/>
          <w:szCs w:val="28"/>
          <w:lang w:eastAsia="zh-CN"/>
        </w:rPr>
        <w:t>喀什地区</w:t>
      </w:r>
      <w:r>
        <w:rPr>
          <w:rFonts w:hint="eastAsia" w:ascii="仿宋" w:hAnsi="仿宋" w:eastAsia="仿宋" w:cs="仿宋"/>
          <w:sz w:val="28"/>
          <w:szCs w:val="28"/>
        </w:rPr>
        <w:t xml:space="preserve">分公司 </w:t>
      </w:r>
    </w:p>
    <w:p>
      <w:pPr>
        <w:pStyle w:val="6"/>
        <w:keepNext w:val="0"/>
        <w:keepLines w:val="0"/>
        <w:pageBreakBefore w:val="0"/>
        <w:widowControl w:val="0"/>
        <w:kinsoku/>
        <w:wordWrap/>
        <w:overflowPunct/>
        <w:topLinePunct w:val="0"/>
        <w:bidi w:val="0"/>
        <w:snapToGrid/>
        <w:spacing w:line="400" w:lineRule="atLeast"/>
        <w:ind w:right="0" w:rightChars="0" w:firstLine="280" w:firstLineChars="100"/>
        <w:textAlignment w:val="auto"/>
        <w:rPr>
          <w:rFonts w:hint="eastAsia" w:ascii="仿宋" w:hAnsi="仿宋" w:eastAsia="仿宋" w:cs="仿宋"/>
          <w:sz w:val="28"/>
          <w:szCs w:val="28"/>
        </w:rPr>
      </w:pPr>
      <w:r>
        <w:rPr>
          <w:rFonts w:hint="eastAsia" w:ascii="仿宋" w:hAnsi="仿宋" w:eastAsia="仿宋" w:cs="仿宋"/>
          <w:sz w:val="28"/>
          <w:szCs w:val="28"/>
        </w:rPr>
        <w:t>地 址： 新疆喀什市尤木拉克协海尔路021号</w:t>
      </w:r>
      <w:bookmarkStart w:id="0" w:name="_GoBack"/>
      <w:bookmarkEnd w:id="0"/>
    </w:p>
    <w:p>
      <w:pPr>
        <w:pStyle w:val="6"/>
        <w:keepNext w:val="0"/>
        <w:keepLines w:val="0"/>
        <w:pageBreakBefore w:val="0"/>
        <w:widowControl w:val="0"/>
        <w:kinsoku/>
        <w:wordWrap/>
        <w:overflowPunct/>
        <w:topLinePunct w:val="0"/>
        <w:bidi w:val="0"/>
        <w:snapToGrid/>
        <w:spacing w:line="400" w:lineRule="atLeast"/>
        <w:ind w:right="0" w:rightChars="0"/>
        <w:textAlignment w:val="auto"/>
        <w:rPr>
          <w:rFonts w:hint="eastAsia" w:ascii="仿宋" w:hAnsi="仿宋" w:eastAsia="仿宋" w:cs="仿宋"/>
          <w:sz w:val="28"/>
          <w:szCs w:val="28"/>
        </w:rPr>
      </w:pPr>
      <w:r>
        <w:rPr>
          <w:rFonts w:hint="eastAsia" w:ascii="仿宋" w:hAnsi="仿宋" w:eastAsia="仿宋" w:cs="仿宋"/>
          <w:sz w:val="28"/>
          <w:szCs w:val="28"/>
        </w:rPr>
        <w:t xml:space="preserve">  项目报名联系人：</w:t>
      </w:r>
      <w:r>
        <w:rPr>
          <w:rFonts w:hint="eastAsia" w:ascii="仿宋" w:hAnsi="仿宋" w:eastAsia="仿宋" w:cs="仿宋"/>
          <w:sz w:val="28"/>
          <w:szCs w:val="28"/>
          <w:lang w:eastAsia="zh-CN"/>
        </w:rPr>
        <w:t>张玲玲</w:t>
      </w:r>
    </w:p>
    <w:p>
      <w:pPr>
        <w:pStyle w:val="6"/>
        <w:keepNext w:val="0"/>
        <w:keepLines w:val="0"/>
        <w:pageBreakBefore w:val="0"/>
        <w:widowControl w:val="0"/>
        <w:kinsoku/>
        <w:wordWrap/>
        <w:overflowPunct/>
        <w:topLinePunct w:val="0"/>
        <w:bidi w:val="0"/>
        <w:snapToGrid/>
        <w:spacing w:line="400" w:lineRule="atLeast"/>
        <w:ind w:right="0" w:rightChars="0" w:firstLine="280" w:firstLineChars="100"/>
        <w:textAlignment w:val="auto"/>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lang w:val="en-US" w:eastAsia="zh-CN"/>
        </w:rPr>
        <w:t>18699867260</w:t>
      </w:r>
    </w:p>
    <w:p>
      <w:pPr>
        <w:pStyle w:val="6"/>
        <w:keepNext w:val="0"/>
        <w:keepLines w:val="0"/>
        <w:pageBreakBefore w:val="0"/>
        <w:widowControl w:val="0"/>
        <w:kinsoku/>
        <w:wordWrap/>
        <w:overflowPunct/>
        <w:topLinePunct w:val="0"/>
        <w:bidi w:val="0"/>
        <w:snapToGrid/>
        <w:spacing w:line="400" w:lineRule="atLeast"/>
        <w:ind w:right="0" w:rightChars="0" w:firstLine="280" w:firstLineChars="100"/>
        <w:textAlignment w:val="auto"/>
        <w:rPr>
          <w:rFonts w:hint="eastAsia" w:ascii="仿宋" w:hAnsi="仿宋" w:eastAsia="仿宋" w:cs="仿宋"/>
          <w:sz w:val="28"/>
          <w:szCs w:val="28"/>
        </w:rPr>
      </w:pPr>
      <w:r>
        <w:rPr>
          <w:rFonts w:hint="eastAsia" w:ascii="仿宋" w:hAnsi="仿宋" w:eastAsia="仿宋" w:cs="仿宋"/>
          <w:sz w:val="28"/>
          <w:szCs w:val="28"/>
        </w:rPr>
        <w:t xml:space="preserve">特此公告 </w:t>
      </w:r>
    </w:p>
    <w:p>
      <w:pPr>
        <w:pStyle w:val="6"/>
        <w:rPr>
          <w:rFonts w:hint="eastAsia" w:ascii="仿宋" w:hAnsi="仿宋" w:eastAsia="仿宋" w:cs="仿宋"/>
          <w:sz w:val="28"/>
          <w:szCs w:val="28"/>
        </w:rPr>
      </w:pPr>
    </w:p>
    <w:p>
      <w:pPr>
        <w:pStyle w:val="6"/>
        <w:ind w:firstLine="3220" w:firstLineChars="1150"/>
        <w:rPr>
          <w:rFonts w:hint="eastAsia" w:ascii="仿宋" w:hAnsi="仿宋" w:eastAsia="仿宋" w:cs="仿宋"/>
          <w:sz w:val="28"/>
          <w:szCs w:val="28"/>
        </w:rPr>
      </w:pPr>
      <w:r>
        <w:rPr>
          <w:rFonts w:hint="eastAsia" w:ascii="仿宋" w:hAnsi="仿宋" w:eastAsia="仿宋" w:cs="仿宋"/>
          <w:sz w:val="28"/>
          <w:szCs w:val="28"/>
        </w:rPr>
        <w:t>中国人民财产保险股份有限公司</w:t>
      </w:r>
    </w:p>
    <w:p>
      <w:pPr>
        <w:pStyle w:val="6"/>
        <w:ind w:firstLine="4340" w:firstLineChars="1550"/>
        <w:rPr>
          <w:rFonts w:hint="eastAsia" w:ascii="仿宋" w:hAnsi="仿宋" w:eastAsia="仿宋" w:cs="仿宋"/>
          <w:sz w:val="28"/>
          <w:szCs w:val="28"/>
        </w:rPr>
      </w:pPr>
      <w:r>
        <w:rPr>
          <w:rFonts w:hint="eastAsia" w:ascii="仿宋" w:hAnsi="仿宋" w:eastAsia="仿宋" w:cs="仿宋"/>
          <w:sz w:val="28"/>
          <w:szCs w:val="28"/>
          <w:lang w:eastAsia="zh-CN"/>
        </w:rPr>
        <w:t>喀什地区</w:t>
      </w:r>
      <w:r>
        <w:rPr>
          <w:rFonts w:hint="eastAsia" w:ascii="仿宋" w:hAnsi="仿宋" w:eastAsia="仿宋" w:cs="仿宋"/>
          <w:sz w:val="28"/>
          <w:szCs w:val="28"/>
        </w:rPr>
        <w:t xml:space="preserve">分公司 </w:t>
      </w:r>
    </w:p>
    <w:p>
      <w:pPr>
        <w:pStyle w:val="6"/>
        <w:ind w:firstLine="4480" w:firstLineChars="160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06</w:t>
      </w:r>
      <w:r>
        <w:rPr>
          <w:rFonts w:hint="eastAsia" w:ascii="仿宋" w:hAnsi="仿宋" w:eastAsia="仿宋" w:cs="仿宋"/>
          <w:sz w:val="28"/>
          <w:szCs w:val="28"/>
        </w:rPr>
        <w:t>月</w:t>
      </w:r>
      <w:r>
        <w:rPr>
          <w:rFonts w:hint="eastAsia" w:ascii="仿宋" w:hAnsi="仿宋" w:eastAsia="仿宋" w:cs="仿宋"/>
          <w:sz w:val="28"/>
          <w:szCs w:val="28"/>
          <w:lang w:val="en-US" w:eastAsia="zh-CN"/>
        </w:rPr>
        <w:t>08</w:t>
      </w:r>
      <w:r>
        <w:rPr>
          <w:rFonts w:hint="eastAsia" w:ascii="仿宋" w:hAnsi="仿宋" w:eastAsia="仿宋" w:cs="仿宋"/>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Consolas">
    <w:panose1 w:val="020B0609020204030204"/>
    <w:charset w:val="00"/>
    <w:family w:val="modern"/>
    <w:pitch w:val="default"/>
    <w:sig w:usb0="E00006FF" w:usb1="0000FCFF" w:usb2="00000001" w:usb3="00000000" w:csb0="6000019F" w:csb1="DFD70000"/>
  </w:font>
  <w:font w:name="Cambria Math">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方正小标宋简体">
    <w:altName w:val="微软雅黑"/>
    <w:panose1 w:val="02010601030101010101"/>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微软雅黑 Light">
    <w:panose1 w:val="020B0502040204020203"/>
    <w:charset w:val="86"/>
    <w:family w:val="auto"/>
    <w:pitch w:val="default"/>
    <w:sig w:usb0="80000287" w:usb1="2ACF001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71E4"/>
    <w:rsid w:val="0B551CA7"/>
    <w:rsid w:val="108B3486"/>
    <w:rsid w:val="14A83B8A"/>
    <w:rsid w:val="14F80CF1"/>
    <w:rsid w:val="18470695"/>
    <w:rsid w:val="191F4636"/>
    <w:rsid w:val="210C25E5"/>
    <w:rsid w:val="22A347FC"/>
    <w:rsid w:val="236F1617"/>
    <w:rsid w:val="26635777"/>
    <w:rsid w:val="36772A61"/>
    <w:rsid w:val="386E482B"/>
    <w:rsid w:val="39092243"/>
    <w:rsid w:val="393F0CF7"/>
    <w:rsid w:val="42D74FCD"/>
    <w:rsid w:val="438E5E05"/>
    <w:rsid w:val="46F91A74"/>
    <w:rsid w:val="47C24DC4"/>
    <w:rsid w:val="47E45165"/>
    <w:rsid w:val="4F310596"/>
    <w:rsid w:val="4F753D17"/>
    <w:rsid w:val="4F981204"/>
    <w:rsid w:val="513E5318"/>
    <w:rsid w:val="57EF2D60"/>
    <w:rsid w:val="590F6BFD"/>
    <w:rsid w:val="5A742101"/>
    <w:rsid w:val="5B3207B3"/>
    <w:rsid w:val="5CB90147"/>
    <w:rsid w:val="62FD6F88"/>
    <w:rsid w:val="650F4EBC"/>
    <w:rsid w:val="6A292BB2"/>
    <w:rsid w:val="6EF62BF5"/>
    <w:rsid w:val="6F196F81"/>
    <w:rsid w:val="743C4152"/>
    <w:rsid w:val="752F0A54"/>
    <w:rsid w:val="7599600F"/>
    <w:rsid w:val="7A102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1"/>
    <w:qFormat/>
    <w:uiPriority w:val="0"/>
    <w:pPr>
      <w:spacing w:after="120"/>
    </w:pPr>
    <w:rPr>
      <w:kern w:val="0"/>
      <w:sz w:val="20"/>
    </w:rPr>
  </w:style>
  <w:style w:type="paragraph" w:styleId="3">
    <w:name w:val="annotation text"/>
    <w:basedOn w:val="1"/>
    <w:qFormat/>
    <w:uiPriority w:val="0"/>
    <w:pPr>
      <w:jc w:val="left"/>
    </w:pPr>
  </w:style>
  <w:style w:type="paragraph" w:customStyle="1" w:styleId="6">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2023-05-29T10:31:00Z</dcterms:created>
  <dc:creator>xjpicc</dc:creator>
  <cp:lastModifiedBy>张玲玲</cp:lastModifiedBy>
  <dcterms:modified xsi:type="dcterms:W3CDTF">2026-06-08T12:14:38Z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y fmtid="{D5CDD505-2E9C-101B-9397-08002B2CF9AE}" pid="3" name="ICV">
    <vt:lpwstr>D331642BB33647B8B51F0B4675FD4745</vt:lpwstr>
  </property>
</Properties>
</file>