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宋体" w:hAnsi="宋体" w:eastAsia="宋体" w:cs="宋体"/>
          <w:sz w:val="44"/>
          <w:szCs w:val="44"/>
        </w:rPr>
      </w:pPr>
      <w:r>
        <w:rPr>
          <w:rFonts w:ascii="宋体" w:hAnsi="宋体" w:eastAsia="宋体" w:cs="宋体"/>
          <w:sz w:val="44"/>
          <w:szCs w:val="44"/>
        </w:rPr>
        <w:t>人保财险四川省宜宾市分公司高县支公司</w:t>
      </w:r>
    </w:p>
    <w:p>
      <w:pPr>
        <w:jc w:val="center"/>
        <w:rPr>
          <w:rFonts w:ascii="宋体" w:hAnsi="宋体" w:eastAsia="宋体" w:cs="宋体"/>
          <w:sz w:val="44"/>
          <w:szCs w:val="44"/>
        </w:rPr>
      </w:pPr>
      <w:r>
        <w:rPr>
          <w:rFonts w:ascii="宋体" w:hAnsi="宋体" w:eastAsia="宋体" w:cs="宋体"/>
          <w:sz w:val="44"/>
          <w:szCs w:val="44"/>
        </w:rPr>
        <w:t>宣传类服务2026年度供应商采购项目</w:t>
      </w:r>
    </w:p>
    <w:p>
      <w:pPr>
        <w:pStyle w:val="2"/>
        <w:rPr>
          <w:rFonts w:hint="eastAsia"/>
          <w:lang w:eastAsia="zh-CN"/>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6</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5"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比选邀请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三、比选文件的获取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（二）比选文件</w:t>
      </w:r>
      <w:r>
        <w:tab/>
      </w:r>
      <w:r>
        <w:fldChar w:fldCharType="begin"/>
      </w:r>
      <w:r>
        <w:instrText xml:space="preserve"> PAGEREF _Toc186737801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（五）比选和评审</w:t>
      </w:r>
      <w:r>
        <w:tab/>
      </w:r>
      <w:r>
        <w:fldChar w:fldCharType="begin"/>
      </w:r>
      <w:r>
        <w:instrText xml:space="preserve"> PAGEREF _Toc186737804 \h </w:instrText>
      </w:r>
      <w:r>
        <w:fldChar w:fldCharType="separate"/>
      </w:r>
      <w:r>
        <w:t>14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fldChar w:fldCharType="begin"/>
      </w:r>
      <w:r>
        <w:instrText xml:space="preserve"> PAGEREF _Toc186737827 \h </w:instrText>
      </w:r>
      <w:r>
        <w:fldChar w:fldCharType="separate"/>
      </w:r>
      <w:r>
        <w:t>2</w:t>
      </w:r>
      <w:r>
        <w:fldChar w:fldCharType="end"/>
      </w:r>
      <w:r>
        <w:fldChar w:fldCharType="end"/>
      </w:r>
    </w:p>
    <w:p>
      <w:pPr>
        <w:pStyle w:val="14"/>
        <w:tabs>
          <w:tab w:val="right" w:leader="dot" w:pos="9628"/>
        </w:tabs>
        <w:rPr>
          <w:kern w:val="2"/>
          <w:sz w:val="21"/>
          <w:szCs w:val="22"/>
        </w:rPr>
      </w:pPr>
    </w:p>
    <w:p>
      <w:pPr>
        <w:pStyle w:val="3"/>
        <w:ind w:left="0" w:firstLine="0"/>
        <w:rPr>
          <w:rFonts w:ascii="仿宋_GB2312" w:hAnsi="宋体" w:eastAsia="仿宋_GB2312"/>
          <w:color w:val="auto"/>
          <w:sz w:val="28"/>
          <w:szCs w:val="28"/>
        </w:rPr>
      </w:pPr>
      <w:r>
        <w:rPr>
          <w:rFonts w:hint="eastAsia" w:ascii="仿宋_GB2312" w:hAnsi="宋体" w:eastAsia="仿宋_GB2312"/>
          <w:b w:val="0"/>
          <w:bCs w:val="0"/>
          <w:color w:val="auto"/>
        </w:rPr>
        <w:fldChar w:fldCharType="end"/>
      </w:r>
      <w:bookmarkStart w:id="0" w:name="_Toc186737790"/>
      <w:bookmarkStart w:id="1" w:name="_Toc21360"/>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hint="eastAsia" w:ascii="仿宋_GB2312" w:hAnsi="仿宋_GB2312" w:eastAsia="仿宋_GB2312" w:cs="仿宋_GB2312"/>
          <w:b w:val="0"/>
          <w:bCs w:val="0"/>
          <w:color w:val="auto"/>
          <w:sz w:val="24"/>
          <w:szCs w:val="24"/>
        </w:rPr>
      </w:pPr>
      <w:r>
        <w:rPr>
          <w:rFonts w:hint="eastAsia" w:ascii="仿宋" w:hAnsi="仿宋" w:eastAsia="仿宋" w:cs="仿宋"/>
          <w:color w:val="000000"/>
          <w:sz w:val="24"/>
          <w:szCs w:val="24"/>
        </w:rPr>
        <w:t>本项目</w:t>
      </w:r>
      <w:r>
        <w:rPr>
          <w:rFonts w:hint="eastAsia" w:ascii="仿宋" w:hAnsi="仿宋" w:eastAsia="仿宋" w:cs="仿宋"/>
          <w:sz w:val="24"/>
          <w:szCs w:val="24"/>
        </w:rPr>
        <w:t>2026年高县支公司宣传服务专项采购立项项目及方案</w:t>
      </w:r>
      <w:r>
        <w:rPr>
          <w:rFonts w:hint="eastAsia" w:ascii="仿宋_GB2312" w:hAnsi="仿宋_GB2312" w:eastAsia="仿宋_GB2312" w:cs="仿宋_GB2312"/>
          <w:b w:val="0"/>
          <w:bCs w:val="0"/>
          <w:color w:val="auto"/>
          <w:sz w:val="24"/>
          <w:szCs w:val="24"/>
        </w:rPr>
        <w:t>（采购项目编号：</w:t>
      </w:r>
      <w:r>
        <w:rPr>
          <w:rFonts w:hint="eastAsia" w:ascii="仿宋_GB2312" w:hAnsi="仿宋_GB2312" w:eastAsia="仿宋_GB2312" w:cs="仿宋_GB2312"/>
          <w:b w:val="0"/>
          <w:bCs w:val="0"/>
          <w:i w:val="0"/>
          <w:iCs w:val="0"/>
          <w:caps w:val="0"/>
          <w:color w:val="auto"/>
          <w:spacing w:val="0"/>
          <w:sz w:val="24"/>
          <w:szCs w:val="24"/>
          <w:shd w:val="clear" w:fill="FFFFFF"/>
        </w:rPr>
        <w:t>XM26FSPC001830</w:t>
      </w:r>
      <w:r>
        <w:rPr>
          <w:rFonts w:hint="eastAsia" w:ascii="仿宋_GB2312" w:hAnsi="仿宋_GB2312" w:eastAsia="仿宋_GB2312" w:cs="仿宋_GB2312"/>
          <w:b w:val="0"/>
          <w:bCs w:val="0"/>
          <w:color w:val="auto"/>
          <w:sz w:val="24"/>
          <w:szCs w:val="24"/>
        </w:rPr>
        <w:t>）由</w:t>
      </w:r>
      <w:r>
        <w:rPr>
          <w:rFonts w:hint="eastAsia" w:ascii="仿宋_GB2312" w:hAnsi="仿宋_GB2312" w:eastAsia="仿宋_GB2312" w:cs="仿宋_GB2312"/>
          <w:b w:val="0"/>
          <w:bCs w:val="0"/>
          <w:color w:val="auto"/>
          <w:sz w:val="24"/>
          <w:szCs w:val="24"/>
          <w:u w:val="single"/>
        </w:rPr>
        <w:t>中国人民财产保险股份有限公司宜宾</w:t>
      </w:r>
      <w:r>
        <w:rPr>
          <w:rFonts w:hint="eastAsia" w:ascii="仿宋_GB2312" w:hAnsi="仿宋_GB2312" w:eastAsia="仿宋_GB2312" w:cs="仿宋_GB2312"/>
          <w:b w:val="0"/>
          <w:bCs w:val="0"/>
          <w:color w:val="auto"/>
          <w:sz w:val="24"/>
          <w:szCs w:val="24"/>
          <w:u w:val="single"/>
          <w:lang w:eastAsia="zh-CN"/>
        </w:rPr>
        <w:t>市</w:t>
      </w:r>
      <w:r>
        <w:rPr>
          <w:rFonts w:hint="eastAsia" w:ascii="仿宋_GB2312" w:hAnsi="仿宋_GB2312" w:eastAsia="仿宋_GB2312" w:cs="仿宋_GB2312"/>
          <w:b w:val="0"/>
          <w:bCs w:val="0"/>
          <w:color w:val="auto"/>
          <w:sz w:val="24"/>
          <w:szCs w:val="24"/>
          <w:u w:val="single"/>
        </w:rPr>
        <w:t>分公司</w:t>
      </w:r>
      <w:r>
        <w:rPr>
          <w:rFonts w:hint="eastAsia" w:ascii="仿宋_GB2312" w:hAnsi="仿宋_GB2312" w:eastAsia="仿宋_GB2312" w:cs="仿宋_GB2312"/>
          <w:b w:val="0"/>
          <w:bCs w:val="0"/>
          <w:color w:val="auto"/>
          <w:sz w:val="24"/>
          <w:szCs w:val="24"/>
        </w:rPr>
        <w:t>（以下简称“采购人”）批准并落实资金，组织本项目的比选工作，采购合同由</w:t>
      </w:r>
      <w:r>
        <w:rPr>
          <w:rFonts w:hint="eastAsia" w:ascii="仿宋_GB2312" w:hAnsi="仿宋_GB2312" w:eastAsia="仿宋_GB2312" w:cs="仿宋_GB2312"/>
          <w:b w:val="0"/>
          <w:bCs w:val="0"/>
          <w:color w:val="auto"/>
          <w:sz w:val="24"/>
          <w:szCs w:val="24"/>
          <w:u w:val="single"/>
        </w:rPr>
        <w:t>中国人民财产保险股份有限公司宜宾市分公司</w:t>
      </w:r>
      <w:r>
        <w:rPr>
          <w:rFonts w:hint="eastAsia" w:ascii="仿宋_GB2312" w:hAnsi="仿宋_GB2312" w:eastAsia="仿宋_GB2312" w:cs="仿宋_GB2312"/>
          <w:b w:val="0"/>
          <w:bCs w:val="0"/>
          <w:color w:val="auto"/>
          <w:sz w:val="24"/>
          <w:szCs w:val="24"/>
        </w:rPr>
        <w:t>（以下简称“人保财险</w:t>
      </w:r>
      <w:r>
        <w:rPr>
          <w:rFonts w:hint="eastAsia" w:ascii="仿宋_GB2312" w:hAnsi="仿宋_GB2312" w:eastAsia="仿宋_GB2312" w:cs="仿宋_GB2312"/>
          <w:b w:val="0"/>
          <w:bCs w:val="0"/>
          <w:color w:val="auto"/>
          <w:sz w:val="24"/>
          <w:szCs w:val="24"/>
          <w:lang w:eastAsia="zh-CN"/>
        </w:rPr>
        <w:t>宜宾市</w:t>
      </w:r>
      <w:r>
        <w:rPr>
          <w:rFonts w:hint="eastAsia" w:ascii="仿宋_GB2312" w:hAnsi="仿宋_GB2312" w:eastAsia="仿宋_GB2312" w:cs="仿宋_GB2312"/>
          <w:b w:val="0"/>
          <w:bCs w:val="0"/>
          <w:color w:val="auto"/>
          <w:sz w:val="24"/>
          <w:szCs w:val="24"/>
        </w:rPr>
        <w:t xml:space="preserve">分公司”）根据成交结果与成交人签署。现通过比选方式实施，有意向且具有提供标的物能力的潜在供应商（以下简称“供应商”）可前来参与比选响应。 </w:t>
      </w:r>
    </w:p>
    <w:p>
      <w:pPr>
        <w:pStyle w:val="4"/>
        <w:jc w:val="left"/>
        <w:rPr>
          <w:rFonts w:ascii="仿宋" w:hAnsi="仿宋" w:eastAsia="仿宋" w:cs="仿宋"/>
          <w:color w:val="000000"/>
          <w:sz w:val="24"/>
          <w:szCs w:val="24"/>
        </w:rPr>
      </w:pPr>
      <w:bookmarkStart w:id="2" w:name="_Toc21237"/>
      <w:bookmarkStart w:id="3" w:name="_Toc186737791"/>
      <w:r>
        <w:rPr>
          <w:rFonts w:hint="eastAsia" w:ascii="仿宋" w:hAnsi="仿宋" w:eastAsia="仿宋" w:cs="仿宋"/>
          <w:color w:val="000000"/>
          <w:sz w:val="24"/>
          <w:szCs w:val="24"/>
        </w:rPr>
        <w:t>一、项目概况与采购范围</w:t>
      </w:r>
      <w:bookmarkEnd w:id="2"/>
      <w:bookmarkEnd w:id="3"/>
    </w:p>
    <w:p>
      <w:pPr>
        <w:adjustRightInd w:val="0"/>
        <w:snapToGrid w:val="0"/>
        <w:spacing w:line="360" w:lineRule="auto"/>
        <w:ind w:left="2160" w:leftChars="200" w:hanging="1680" w:hangingChars="700"/>
        <w:rPr>
          <w:rFonts w:hint="eastAsia" w:ascii="仿宋_GB2312" w:hAnsi="仿宋_GB2312" w:eastAsia="仿宋_GB2312" w:cs="仿宋_GB2312"/>
          <w:color w:val="auto"/>
          <w:sz w:val="24"/>
          <w:szCs w:val="24"/>
        </w:rPr>
      </w:pPr>
      <w:r>
        <w:rPr>
          <w:rFonts w:hint="eastAsia" w:ascii="仿宋" w:hAnsi="仿宋" w:eastAsia="仿宋" w:cs="仿宋"/>
          <w:color w:val="000000"/>
        </w:rPr>
        <w:t xml:space="preserve">1.1 </w:t>
      </w:r>
      <w:r>
        <w:rPr>
          <w:rFonts w:hint="eastAsia" w:ascii="仿宋_GB2312" w:hAnsi="仿宋_GB2312" w:eastAsia="仿宋_GB2312" w:cs="仿宋_GB2312"/>
          <w:color w:val="auto"/>
          <w:sz w:val="24"/>
          <w:szCs w:val="24"/>
        </w:rPr>
        <w:t>项目名称：人保财险四川省宜宾市分公司高县支公司宣传类服务2026年度供应商采购项目。</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 采购范围：本此采购为宣传广告类服务供应商入围，具体技术要求详见第五章采购需求。</w:t>
      </w:r>
    </w:p>
    <w:p>
      <w:pPr>
        <w:adjustRightInd w:val="0"/>
        <w:snapToGrid w:val="0"/>
        <w:spacing w:line="360" w:lineRule="auto"/>
        <w:ind w:firstLine="480" w:firstLineChars="200"/>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rPr>
        <w:t>1.3 标包划分：本项目不划分标包</w:t>
      </w:r>
      <w:r>
        <w:rPr>
          <w:rFonts w:hint="eastAsia" w:ascii="仿宋_GB2312" w:hAnsi="仿宋_GB2312" w:eastAsia="仿宋_GB2312" w:cs="仿宋_GB2312"/>
          <w:color w:val="auto"/>
          <w:sz w:val="24"/>
          <w:szCs w:val="24"/>
          <w:lang w:eastAsia="zh-CN"/>
        </w:rPr>
        <w:t>。</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1.4 项目性质：服务。</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1.5服务期限：自合同签订之日起1年。</w:t>
      </w:r>
    </w:p>
    <w:p>
      <w:pPr>
        <w:adjustRightInd w:val="0"/>
        <w:snapToGrid w:val="0"/>
        <w:spacing w:line="36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1.6服务地点：</w:t>
      </w:r>
      <w:r>
        <w:rPr>
          <w:rFonts w:hint="eastAsia" w:ascii="仿宋_GB2312" w:hAnsi="仿宋_GB2312" w:eastAsia="仿宋_GB2312" w:cs="仿宋_GB2312"/>
          <w:color w:val="auto"/>
          <w:sz w:val="24"/>
          <w:szCs w:val="24"/>
          <w:lang w:val="en-US" w:eastAsia="zh-CN"/>
        </w:rPr>
        <w:t>高</w:t>
      </w:r>
      <w:r>
        <w:rPr>
          <w:rFonts w:hint="eastAsia" w:ascii="仿宋_GB2312" w:hAnsi="仿宋_GB2312" w:eastAsia="仿宋_GB2312" w:cs="仿宋_GB2312"/>
          <w:color w:val="auto"/>
          <w:sz w:val="24"/>
          <w:szCs w:val="24"/>
        </w:rPr>
        <w:t>县</w:t>
      </w:r>
      <w:r>
        <w:rPr>
          <w:rFonts w:hint="eastAsia" w:ascii="仿宋_GB2312" w:hAnsi="仿宋_GB2312" w:eastAsia="仿宋_GB2312" w:cs="仿宋_GB2312"/>
          <w:color w:val="auto"/>
          <w:sz w:val="24"/>
          <w:szCs w:val="24"/>
          <w:lang w:val="en-US" w:eastAsia="zh-CN"/>
        </w:rPr>
        <w:t>县</w:t>
      </w:r>
      <w:r>
        <w:rPr>
          <w:rFonts w:hint="eastAsia" w:ascii="仿宋_GB2312" w:hAnsi="仿宋_GB2312" w:eastAsia="仿宋_GB2312" w:cs="仿宋_GB2312"/>
          <w:color w:val="auto"/>
          <w:sz w:val="24"/>
          <w:szCs w:val="24"/>
        </w:rPr>
        <w:t>域范围。</w:t>
      </w:r>
    </w:p>
    <w:p>
      <w:pPr>
        <w:pStyle w:val="2"/>
      </w:pPr>
      <w:r>
        <w:rPr>
          <w:rFonts w:hint="eastAsia"/>
        </w:rPr>
        <w:t xml:space="preserve"> </w:t>
      </w:r>
      <w:r>
        <w:t xml:space="preserve">   </w:t>
      </w:r>
    </w:p>
    <w:p>
      <w:pPr>
        <w:pStyle w:val="4"/>
        <w:jc w:val="left"/>
        <w:rPr>
          <w:rFonts w:ascii="仿宋" w:hAnsi="仿宋" w:eastAsia="仿宋" w:cs="仿宋"/>
          <w:color w:val="000000"/>
          <w:sz w:val="24"/>
          <w:szCs w:val="24"/>
        </w:rPr>
      </w:pPr>
      <w:bookmarkStart w:id="4" w:name="_Toc17569"/>
      <w:bookmarkStart w:id="5" w:name="_Toc186737792"/>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2</w:t>
      </w:r>
      <w:r>
        <w:rPr>
          <w:rFonts w:hint="eastAsia" w:ascii="仿宋" w:hAnsi="仿宋" w:eastAsia="仿宋" w:cs="宋体"/>
          <w:b/>
          <w:bCs/>
          <w:color w:val="000000"/>
        </w:rPr>
        <w:t>供应商应经营状况良好，且近三年内（</w:t>
      </w:r>
      <w:r>
        <w:rPr>
          <w:rFonts w:hint="eastAsia" w:ascii="仿宋" w:hAnsi="仿宋" w:eastAsia="仿宋" w:cs="宋体"/>
          <w:b/>
          <w:bCs/>
          <w:color w:val="auto"/>
          <w:lang w:val="en-US" w:eastAsia="zh-CN"/>
        </w:rPr>
        <w:t>2023</w:t>
      </w:r>
      <w:r>
        <w:rPr>
          <w:rFonts w:hint="eastAsia" w:ascii="仿宋" w:hAnsi="仿宋" w:eastAsia="仿宋" w:cs="宋体"/>
          <w:b/>
          <w:bCs/>
          <w:color w:val="000000"/>
        </w:rPr>
        <w:t>年1月1日至今）无违法违规记录。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3</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auto"/>
        </w:rPr>
        <w:t>2</w:t>
      </w:r>
      <w:r>
        <w:rPr>
          <w:rFonts w:hint="eastAsia" w:ascii="仿宋" w:hAnsi="仿宋" w:eastAsia="仿宋" w:cs="宋体"/>
          <w:color w:val="auto"/>
          <w:lang w:eastAsia="zh-CN"/>
        </w:rPr>
        <w:t>.</w:t>
      </w:r>
      <w:r>
        <w:rPr>
          <w:rFonts w:hint="eastAsia" w:ascii="仿宋" w:hAnsi="仿宋" w:eastAsia="仿宋" w:cs="宋体"/>
          <w:color w:val="auto"/>
          <w:lang w:val="en-US" w:eastAsia="zh-CN"/>
        </w:rPr>
        <w:t>5</w:t>
      </w:r>
      <w:r>
        <w:rPr>
          <w:rFonts w:hint="eastAsia" w:ascii="仿宋" w:hAnsi="仿宋" w:eastAsia="仿宋" w:cs="宋体"/>
          <w:color w:val="auto"/>
        </w:rPr>
        <w:t>本项目不接受联合体比选响应。提供承诺函，格式详见第六章响应文件格式。</w:t>
      </w:r>
    </w:p>
    <w:p>
      <w:pPr>
        <w:pStyle w:val="4"/>
        <w:spacing w:after="240"/>
        <w:jc w:val="left"/>
        <w:rPr>
          <w:rFonts w:ascii="仿宋" w:hAnsi="仿宋" w:eastAsia="仿宋" w:cs="仿宋"/>
          <w:color w:val="000000"/>
          <w:sz w:val="24"/>
          <w:szCs w:val="24"/>
        </w:rPr>
      </w:pPr>
      <w:bookmarkStart w:id="6" w:name="_Toc2019"/>
      <w:bookmarkStart w:id="7" w:name="_Toc186737793"/>
      <w:r>
        <w:rPr>
          <w:rFonts w:hint="eastAsia" w:ascii="仿宋" w:hAnsi="仿宋" w:eastAsia="仿宋" w:cs="仿宋"/>
          <w:color w:val="000000"/>
          <w:sz w:val="24"/>
          <w:szCs w:val="24"/>
        </w:rPr>
        <w:t>三、比选文件的获取</w:t>
      </w:r>
      <w:bookmarkEnd w:id="6"/>
      <w:bookmarkEnd w:id="7"/>
    </w:p>
    <w:p>
      <w:pPr>
        <w:pStyle w:val="65"/>
        <w:adjustRightInd w:val="0"/>
        <w:snapToGrid w:val="0"/>
        <w:ind w:firstLineChars="175"/>
        <w:jc w:val="left"/>
        <w:rPr>
          <w:rFonts w:ascii="仿宋" w:hAnsi="仿宋" w:eastAsia="仿宋" w:cs="仿宋"/>
          <w:b w:val="0"/>
          <w:bCs w:val="0"/>
          <w:color w:val="auto"/>
          <w:sz w:val="24"/>
          <w:szCs w:val="24"/>
        </w:rPr>
      </w:pPr>
      <w:r>
        <w:rPr>
          <w:rFonts w:ascii="仿宋" w:hAnsi="仿宋" w:eastAsia="仿宋" w:cs="仿宋"/>
          <w:b w:val="0"/>
          <w:bCs w:val="0"/>
          <w:color w:val="auto"/>
          <w:sz w:val="24"/>
          <w:szCs w:val="24"/>
        </w:rPr>
        <w:t>3</w:t>
      </w:r>
      <w:r>
        <w:rPr>
          <w:rFonts w:hint="eastAsia" w:ascii="仿宋" w:hAnsi="仿宋" w:eastAsia="仿宋" w:cs="仿宋"/>
          <w:b w:val="0"/>
          <w:bCs w:val="0"/>
          <w:color w:val="auto"/>
          <w:sz w:val="24"/>
          <w:szCs w:val="24"/>
        </w:rPr>
        <w:t>.1比选文件</w:t>
      </w:r>
      <w:r>
        <w:rPr>
          <w:rFonts w:hint="eastAsia" w:ascii="仿宋" w:hAnsi="仿宋" w:eastAsia="仿宋" w:cs="宋体"/>
          <w:b w:val="0"/>
          <w:bCs w:val="0"/>
          <w:color w:val="auto"/>
          <w:sz w:val="24"/>
          <w:szCs w:val="24"/>
        </w:rPr>
        <w:t>获取</w:t>
      </w:r>
      <w:r>
        <w:rPr>
          <w:rFonts w:hint="eastAsia" w:ascii="仿宋" w:hAnsi="仿宋" w:eastAsia="仿宋" w:cs="仿宋"/>
          <w:b w:val="0"/>
          <w:bCs w:val="0"/>
          <w:color w:val="auto"/>
          <w:sz w:val="24"/>
          <w:szCs w:val="24"/>
        </w:rPr>
        <w:t>时间：</w:t>
      </w:r>
      <w:r>
        <w:rPr>
          <w:rFonts w:hint="eastAsia" w:ascii="仿宋" w:hAnsi="仿宋" w:eastAsia="仿宋" w:cs="宋体"/>
          <w:b w:val="0"/>
          <w:bCs w:val="0"/>
          <w:color w:val="auto"/>
          <w:sz w:val="24"/>
          <w:szCs w:val="24"/>
          <w:u w:val="single"/>
        </w:rPr>
        <w:t>202</w:t>
      </w:r>
      <w:r>
        <w:rPr>
          <w:rFonts w:hint="eastAsia" w:ascii="仿宋" w:hAnsi="仿宋" w:eastAsia="仿宋" w:cs="宋体"/>
          <w:b w:val="0"/>
          <w:bCs w:val="0"/>
          <w:color w:val="auto"/>
          <w:sz w:val="24"/>
          <w:szCs w:val="24"/>
          <w:u w:val="single"/>
          <w:lang w:val="en-US" w:eastAsia="zh-CN"/>
        </w:rPr>
        <w:t>6</w:t>
      </w:r>
      <w:r>
        <w:rPr>
          <w:rFonts w:hint="eastAsia" w:ascii="仿宋" w:hAnsi="仿宋" w:eastAsia="仿宋" w:cs="宋体"/>
          <w:b w:val="0"/>
          <w:bCs w:val="0"/>
          <w:color w:val="auto"/>
          <w:sz w:val="24"/>
          <w:szCs w:val="24"/>
          <w:u w:val="single"/>
        </w:rPr>
        <w:t>年</w:t>
      </w:r>
      <w:r>
        <w:rPr>
          <w:rFonts w:hint="eastAsia" w:ascii="仿宋" w:hAnsi="仿宋" w:eastAsia="仿宋" w:cs="宋体"/>
          <w:b w:val="0"/>
          <w:bCs w:val="0"/>
          <w:color w:val="auto"/>
          <w:sz w:val="24"/>
          <w:szCs w:val="24"/>
          <w:u w:val="single"/>
          <w:lang w:val="en-US" w:eastAsia="zh-CN"/>
        </w:rPr>
        <w:t>6</w:t>
      </w:r>
      <w:r>
        <w:rPr>
          <w:rFonts w:hint="eastAsia" w:ascii="仿宋" w:hAnsi="仿宋" w:eastAsia="仿宋" w:cs="宋体"/>
          <w:b w:val="0"/>
          <w:bCs w:val="0"/>
          <w:color w:val="auto"/>
          <w:sz w:val="24"/>
          <w:szCs w:val="24"/>
          <w:u w:val="single"/>
        </w:rPr>
        <w:t>月</w:t>
      </w:r>
      <w:r>
        <w:rPr>
          <w:rFonts w:hint="eastAsia" w:ascii="仿宋" w:hAnsi="仿宋" w:eastAsia="仿宋" w:cs="宋体"/>
          <w:b w:val="0"/>
          <w:bCs w:val="0"/>
          <w:color w:val="auto"/>
          <w:sz w:val="24"/>
          <w:szCs w:val="24"/>
          <w:u w:val="single"/>
          <w:lang w:val="en-US" w:eastAsia="zh-CN"/>
        </w:rPr>
        <w:t>16</w:t>
      </w:r>
      <w:r>
        <w:rPr>
          <w:rFonts w:hint="eastAsia" w:ascii="仿宋" w:hAnsi="仿宋" w:eastAsia="仿宋" w:cs="宋体"/>
          <w:b w:val="0"/>
          <w:bCs w:val="0"/>
          <w:color w:val="auto"/>
          <w:sz w:val="24"/>
          <w:szCs w:val="24"/>
          <w:u w:val="single"/>
        </w:rPr>
        <w:t>日</w:t>
      </w:r>
      <w:r>
        <w:rPr>
          <w:rFonts w:hint="eastAsia" w:ascii="仿宋" w:hAnsi="仿宋" w:eastAsia="仿宋" w:cs="宋体"/>
          <w:b w:val="0"/>
          <w:bCs w:val="0"/>
          <w:color w:val="auto"/>
          <w:sz w:val="24"/>
          <w:szCs w:val="24"/>
        </w:rPr>
        <w:t>至</w:t>
      </w:r>
      <w:r>
        <w:rPr>
          <w:rFonts w:hint="eastAsia" w:ascii="仿宋" w:hAnsi="仿宋" w:eastAsia="仿宋" w:cs="宋体"/>
          <w:b w:val="0"/>
          <w:bCs w:val="0"/>
          <w:color w:val="auto"/>
          <w:sz w:val="24"/>
          <w:szCs w:val="24"/>
          <w:u w:val="single"/>
        </w:rPr>
        <w:t>202</w:t>
      </w:r>
      <w:r>
        <w:rPr>
          <w:rFonts w:hint="eastAsia" w:ascii="仿宋" w:hAnsi="仿宋" w:eastAsia="仿宋" w:cs="宋体"/>
          <w:b w:val="0"/>
          <w:bCs w:val="0"/>
          <w:color w:val="auto"/>
          <w:sz w:val="24"/>
          <w:szCs w:val="24"/>
          <w:u w:val="single"/>
          <w:lang w:val="en-US" w:eastAsia="zh-CN"/>
        </w:rPr>
        <w:t>6</w:t>
      </w:r>
      <w:r>
        <w:rPr>
          <w:rFonts w:hint="eastAsia" w:ascii="仿宋" w:hAnsi="仿宋" w:eastAsia="仿宋" w:cs="宋体"/>
          <w:b w:val="0"/>
          <w:bCs w:val="0"/>
          <w:color w:val="auto"/>
          <w:sz w:val="24"/>
          <w:szCs w:val="24"/>
          <w:u w:val="single"/>
        </w:rPr>
        <w:t>年</w:t>
      </w:r>
      <w:r>
        <w:rPr>
          <w:rFonts w:hint="eastAsia" w:ascii="仿宋" w:hAnsi="仿宋" w:eastAsia="仿宋" w:cs="宋体"/>
          <w:b w:val="0"/>
          <w:bCs w:val="0"/>
          <w:color w:val="auto"/>
          <w:sz w:val="24"/>
          <w:szCs w:val="24"/>
          <w:u w:val="single"/>
          <w:lang w:val="en-US" w:eastAsia="zh-CN"/>
        </w:rPr>
        <w:t>6</w:t>
      </w:r>
      <w:r>
        <w:rPr>
          <w:rFonts w:hint="eastAsia" w:ascii="仿宋" w:hAnsi="仿宋" w:eastAsia="仿宋" w:cs="宋体"/>
          <w:b w:val="0"/>
          <w:bCs w:val="0"/>
          <w:color w:val="auto"/>
          <w:sz w:val="24"/>
          <w:szCs w:val="24"/>
          <w:u w:val="single"/>
        </w:rPr>
        <w:t>月</w:t>
      </w:r>
      <w:r>
        <w:rPr>
          <w:rFonts w:hint="eastAsia" w:ascii="仿宋" w:hAnsi="仿宋" w:eastAsia="仿宋" w:cs="宋体"/>
          <w:b w:val="0"/>
          <w:bCs w:val="0"/>
          <w:color w:val="auto"/>
          <w:sz w:val="24"/>
          <w:szCs w:val="24"/>
          <w:u w:val="single"/>
          <w:lang w:val="en-US" w:eastAsia="zh-CN"/>
        </w:rPr>
        <w:t>18</w:t>
      </w:r>
      <w:r>
        <w:rPr>
          <w:rFonts w:hint="eastAsia" w:ascii="仿宋" w:hAnsi="仿宋" w:eastAsia="仿宋" w:cs="宋体"/>
          <w:b w:val="0"/>
          <w:bCs w:val="0"/>
          <w:color w:val="auto"/>
          <w:sz w:val="24"/>
          <w:szCs w:val="24"/>
          <w:u w:val="single"/>
        </w:rPr>
        <w:t>日，</w:t>
      </w:r>
      <w:r>
        <w:rPr>
          <w:rFonts w:hint="eastAsia" w:ascii="仿宋" w:hAnsi="仿宋" w:eastAsia="仿宋" w:cs="宋体"/>
          <w:b w:val="0"/>
          <w:bCs w:val="0"/>
          <w:color w:val="auto"/>
          <w:sz w:val="24"/>
          <w:szCs w:val="24"/>
        </w:rPr>
        <w:t>上午</w:t>
      </w:r>
      <w:r>
        <w:rPr>
          <w:rFonts w:hint="eastAsia" w:ascii="仿宋" w:hAnsi="仿宋" w:eastAsia="仿宋" w:cs="宋体"/>
          <w:b w:val="0"/>
          <w:bCs w:val="0"/>
          <w:color w:val="auto"/>
          <w:sz w:val="24"/>
          <w:szCs w:val="24"/>
          <w:lang w:val="en-US" w:eastAsia="zh-CN"/>
        </w:rPr>
        <w:t>9</w:t>
      </w:r>
      <w:r>
        <w:rPr>
          <w:rFonts w:hint="eastAsia" w:ascii="仿宋" w:hAnsi="仿宋" w:eastAsia="仿宋" w:cs="宋体"/>
          <w:b w:val="0"/>
          <w:bCs w:val="0"/>
          <w:color w:val="auto"/>
          <w:sz w:val="24"/>
          <w:szCs w:val="24"/>
        </w:rPr>
        <w:t>时至</w:t>
      </w:r>
      <w:r>
        <w:rPr>
          <w:rFonts w:hint="eastAsia" w:ascii="仿宋" w:hAnsi="仿宋" w:eastAsia="仿宋" w:cs="宋体"/>
          <w:b w:val="0"/>
          <w:bCs w:val="0"/>
          <w:color w:val="auto"/>
          <w:sz w:val="24"/>
          <w:szCs w:val="24"/>
          <w:lang w:val="en-US" w:eastAsia="zh-CN"/>
        </w:rPr>
        <w:t>12</w:t>
      </w:r>
      <w:r>
        <w:rPr>
          <w:rFonts w:hint="eastAsia" w:ascii="仿宋" w:hAnsi="仿宋" w:eastAsia="仿宋" w:cs="宋体"/>
          <w:b w:val="0"/>
          <w:bCs w:val="0"/>
          <w:color w:val="auto"/>
          <w:sz w:val="24"/>
          <w:szCs w:val="24"/>
        </w:rPr>
        <w:t>时，下午</w:t>
      </w:r>
      <w:r>
        <w:rPr>
          <w:rFonts w:hint="eastAsia" w:ascii="仿宋" w:hAnsi="仿宋" w:eastAsia="仿宋" w:cs="宋体"/>
          <w:b w:val="0"/>
          <w:bCs w:val="0"/>
          <w:color w:val="auto"/>
          <w:sz w:val="24"/>
          <w:szCs w:val="24"/>
          <w:lang w:val="en-US" w:eastAsia="zh-CN"/>
        </w:rPr>
        <w:t>14</w:t>
      </w:r>
      <w:r>
        <w:rPr>
          <w:rFonts w:hint="eastAsia" w:ascii="仿宋" w:hAnsi="仿宋" w:eastAsia="仿宋" w:cs="宋体"/>
          <w:b w:val="0"/>
          <w:bCs w:val="0"/>
          <w:color w:val="auto"/>
          <w:sz w:val="24"/>
          <w:szCs w:val="24"/>
        </w:rPr>
        <w:t>时至</w:t>
      </w:r>
      <w:r>
        <w:rPr>
          <w:rFonts w:hint="eastAsia" w:ascii="仿宋" w:hAnsi="仿宋" w:eastAsia="仿宋" w:cs="宋体"/>
          <w:b w:val="0"/>
          <w:bCs w:val="0"/>
          <w:color w:val="auto"/>
          <w:sz w:val="24"/>
          <w:szCs w:val="24"/>
          <w:lang w:val="en-US" w:eastAsia="zh-CN"/>
        </w:rPr>
        <w:t>17</w:t>
      </w:r>
      <w:r>
        <w:rPr>
          <w:rFonts w:hint="eastAsia" w:ascii="仿宋" w:hAnsi="仿宋" w:eastAsia="仿宋" w:cs="宋体"/>
          <w:b w:val="0"/>
          <w:bCs w:val="0"/>
          <w:color w:val="auto"/>
          <w:sz w:val="24"/>
          <w:szCs w:val="24"/>
        </w:rPr>
        <w:t>时（北京时间，下同）。</w:t>
      </w:r>
    </w:p>
    <w:p>
      <w:pPr>
        <w:pStyle w:val="11"/>
        <w:spacing w:line="360" w:lineRule="auto"/>
        <w:ind w:firstLine="480" w:firstLineChars="200"/>
        <w:rPr>
          <w:rFonts w:ascii="仿宋" w:hAnsi="仿宋" w:eastAsia="仿宋" w:cs="仿宋_GB2312"/>
          <w:b w:val="0"/>
          <w:bCs w:val="0"/>
          <w:color w:val="auto"/>
          <w:sz w:val="24"/>
          <w:szCs w:val="24"/>
        </w:rPr>
      </w:pPr>
      <w:r>
        <w:rPr>
          <w:rFonts w:ascii="仿宋" w:hAnsi="仿宋" w:eastAsia="仿宋" w:cs="宋体"/>
          <w:b w:val="0"/>
          <w:bCs w:val="0"/>
          <w:color w:val="auto"/>
          <w:sz w:val="24"/>
        </w:rPr>
        <w:t>3</w:t>
      </w:r>
      <w:r>
        <w:rPr>
          <w:rFonts w:hint="eastAsia" w:ascii="仿宋" w:hAnsi="仿宋" w:eastAsia="仿宋" w:cs="宋体"/>
          <w:b w:val="0"/>
          <w:bCs w:val="0"/>
          <w:color w:val="auto"/>
          <w:sz w:val="24"/>
        </w:rPr>
        <w:t>.2拟报名参加本项目的供应商，请通过“人保e采”外网门户获取比选文件</w:t>
      </w:r>
      <w:r>
        <w:rPr>
          <w:rFonts w:hint="eastAsia" w:ascii="仿宋" w:hAnsi="仿宋" w:eastAsia="仿宋" w:cs="仿宋_GB2312"/>
          <w:b w:val="0"/>
          <w:bCs w:val="0"/>
          <w:color w:val="auto"/>
          <w:sz w:val="24"/>
          <w:szCs w:val="24"/>
        </w:rPr>
        <w:t>。</w:t>
      </w:r>
    </w:p>
    <w:p>
      <w:pPr>
        <w:pStyle w:val="4"/>
        <w:jc w:val="left"/>
        <w:rPr>
          <w:rFonts w:ascii="仿宋" w:hAnsi="仿宋" w:eastAsia="仿宋" w:cs="仿宋"/>
          <w:b w:val="0"/>
          <w:bCs w:val="0"/>
          <w:color w:val="auto"/>
          <w:sz w:val="24"/>
          <w:szCs w:val="24"/>
        </w:rPr>
      </w:pPr>
      <w:bookmarkStart w:id="8" w:name="_Toc186737794"/>
      <w:bookmarkStart w:id="9" w:name="_Toc32115"/>
      <w:r>
        <w:rPr>
          <w:rFonts w:hint="eastAsia" w:ascii="仿宋" w:hAnsi="仿宋" w:eastAsia="仿宋" w:cs="仿宋"/>
          <w:b w:val="0"/>
          <w:bCs w:val="0"/>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b w:val="0"/>
          <w:bCs w:val="0"/>
          <w:color w:val="auto"/>
        </w:rPr>
      </w:pPr>
      <w:r>
        <w:rPr>
          <w:rFonts w:ascii="仿宋" w:hAnsi="仿宋" w:eastAsia="仿宋" w:cs="宋体"/>
          <w:b w:val="0"/>
          <w:bCs w:val="0"/>
          <w:color w:val="auto"/>
        </w:rPr>
        <w:t>4</w:t>
      </w:r>
      <w:r>
        <w:rPr>
          <w:rFonts w:hint="eastAsia" w:ascii="仿宋" w:hAnsi="仿宋" w:eastAsia="仿宋" w:cs="宋体"/>
          <w:b w:val="0"/>
          <w:bCs w:val="0"/>
          <w:color w:val="auto"/>
        </w:rPr>
        <w:t>.1响应文件递交截止时间：</w:t>
      </w:r>
      <w:r>
        <w:rPr>
          <w:rFonts w:hint="eastAsia" w:ascii="仿宋" w:hAnsi="仿宋" w:eastAsia="仿宋" w:cs="宋体"/>
          <w:b w:val="0"/>
          <w:bCs w:val="0"/>
          <w:color w:val="auto"/>
          <w:u w:val="single"/>
        </w:rPr>
        <w:t>20</w:t>
      </w:r>
      <w:r>
        <w:rPr>
          <w:rFonts w:hint="eastAsia" w:ascii="仿宋" w:hAnsi="仿宋" w:eastAsia="仿宋" w:cs="宋体"/>
          <w:b w:val="0"/>
          <w:bCs w:val="0"/>
          <w:color w:val="auto"/>
          <w:u w:val="single"/>
          <w:lang w:val="en-US" w:eastAsia="zh-CN"/>
        </w:rPr>
        <w:t>26</w:t>
      </w:r>
      <w:r>
        <w:rPr>
          <w:rFonts w:hint="eastAsia" w:ascii="仿宋" w:hAnsi="仿宋" w:eastAsia="仿宋" w:cs="宋体"/>
          <w:b w:val="0"/>
          <w:bCs w:val="0"/>
          <w:color w:val="auto"/>
          <w:u w:val="single"/>
        </w:rPr>
        <w:t>年</w:t>
      </w:r>
      <w:r>
        <w:rPr>
          <w:rFonts w:hint="eastAsia" w:ascii="仿宋" w:hAnsi="仿宋" w:eastAsia="仿宋" w:cs="宋体"/>
          <w:b w:val="0"/>
          <w:bCs w:val="0"/>
          <w:color w:val="auto"/>
          <w:u w:val="single"/>
          <w:lang w:val="en-US" w:eastAsia="zh-CN"/>
        </w:rPr>
        <w:t>6</w:t>
      </w:r>
      <w:r>
        <w:rPr>
          <w:rFonts w:hint="eastAsia" w:ascii="仿宋" w:hAnsi="仿宋" w:eastAsia="仿宋" w:cs="宋体"/>
          <w:b w:val="0"/>
          <w:bCs w:val="0"/>
          <w:color w:val="auto"/>
          <w:u w:val="single"/>
        </w:rPr>
        <w:t>月</w:t>
      </w:r>
      <w:r>
        <w:rPr>
          <w:rFonts w:hint="eastAsia" w:ascii="仿宋" w:hAnsi="仿宋" w:eastAsia="仿宋" w:cs="宋体"/>
          <w:b w:val="0"/>
          <w:bCs w:val="0"/>
          <w:color w:val="auto"/>
          <w:u w:val="single"/>
          <w:lang w:val="en-US" w:eastAsia="zh-CN"/>
        </w:rPr>
        <w:t>26</w:t>
      </w:r>
      <w:r>
        <w:rPr>
          <w:rFonts w:hint="eastAsia" w:ascii="仿宋" w:hAnsi="仿宋" w:eastAsia="仿宋" w:cs="宋体"/>
          <w:b w:val="0"/>
          <w:bCs w:val="0"/>
          <w:color w:val="auto"/>
          <w:u w:val="single"/>
        </w:rPr>
        <w:t>日</w:t>
      </w:r>
      <w:r>
        <w:rPr>
          <w:rFonts w:hint="eastAsia" w:ascii="仿宋" w:hAnsi="仿宋" w:eastAsia="仿宋" w:cs="宋体"/>
          <w:b w:val="0"/>
          <w:bCs w:val="0"/>
          <w:color w:val="auto"/>
          <w:u w:val="single"/>
          <w:lang w:val="en-US" w:eastAsia="zh-CN"/>
        </w:rPr>
        <w:t>10</w:t>
      </w:r>
      <w:r>
        <w:rPr>
          <w:rFonts w:hint="eastAsia" w:ascii="仿宋" w:hAnsi="仿宋" w:eastAsia="仿宋" w:cs="宋体"/>
          <w:b w:val="0"/>
          <w:bCs w:val="0"/>
          <w:color w:val="auto"/>
          <w:u w:val="single"/>
        </w:rPr>
        <w:t>时</w:t>
      </w:r>
      <w:r>
        <w:rPr>
          <w:rFonts w:hint="eastAsia" w:ascii="仿宋" w:hAnsi="仿宋" w:eastAsia="仿宋" w:cs="宋体"/>
          <w:b w:val="0"/>
          <w:bCs w:val="0"/>
          <w:color w:val="auto"/>
          <w:u w:val="single"/>
          <w:lang w:val="en-US" w:eastAsia="zh-CN"/>
        </w:rPr>
        <w:t>0</w:t>
      </w:r>
      <w:r>
        <w:rPr>
          <w:rFonts w:hint="eastAsia" w:ascii="仿宋" w:hAnsi="仿宋" w:eastAsia="仿宋" w:cs="宋体"/>
          <w:b w:val="0"/>
          <w:bCs w:val="0"/>
          <w:color w:val="auto"/>
          <w:u w:val="single"/>
        </w:rPr>
        <w:t>分00秒</w:t>
      </w:r>
      <w:r>
        <w:rPr>
          <w:rFonts w:hint="eastAsia" w:ascii="仿宋" w:hAnsi="仿宋" w:eastAsia="仿宋" w:cs="宋体"/>
          <w:b w:val="0"/>
          <w:bCs w:val="0"/>
          <w:color w:val="auto"/>
        </w:rPr>
        <w:t>。</w:t>
      </w:r>
    </w:p>
    <w:p>
      <w:pPr>
        <w:spacing w:line="360" w:lineRule="auto"/>
        <w:ind w:firstLine="480" w:firstLineChars="200"/>
        <w:textAlignment w:val="baseline"/>
      </w:pPr>
      <w:r>
        <w:rPr>
          <w:rFonts w:ascii="仿宋" w:hAnsi="仿宋" w:eastAsia="仿宋" w:cs="宋体"/>
          <w:b w:val="0"/>
          <w:bCs w:val="0"/>
          <w:color w:val="auto"/>
        </w:rPr>
        <w:t>4</w:t>
      </w:r>
      <w:r>
        <w:rPr>
          <w:rFonts w:hint="eastAsia" w:ascii="仿宋" w:hAnsi="仿宋" w:eastAsia="仿宋" w:cs="宋体"/>
          <w:b w:val="0"/>
          <w:bCs w:val="0"/>
          <w:color w:val="auto"/>
        </w:rPr>
        <w:t>.2响应文件的递交：须现场递交（</w:t>
      </w:r>
      <w:r>
        <w:rPr>
          <w:rFonts w:hint="eastAsia" w:ascii="仿宋" w:hAnsi="仿宋" w:eastAsia="仿宋" w:cs="宋体"/>
          <w:b w:val="0"/>
          <w:bCs w:val="0"/>
          <w:color w:val="auto"/>
          <w:u w:val="single"/>
          <w:lang w:eastAsia="zh-CN"/>
        </w:rPr>
        <w:t>宜宾</w:t>
      </w:r>
      <w:r>
        <w:rPr>
          <w:rFonts w:hint="eastAsia" w:ascii="仿宋" w:hAnsi="仿宋" w:eastAsia="仿宋" w:cs="宋体"/>
          <w:b w:val="0"/>
          <w:bCs w:val="0"/>
          <w:color w:val="auto"/>
          <w:u w:val="single"/>
        </w:rPr>
        <w:t>市</w:t>
      </w:r>
      <w:r>
        <w:rPr>
          <w:rFonts w:hint="eastAsia" w:ascii="仿宋" w:hAnsi="仿宋" w:eastAsia="仿宋" w:cs="宋体"/>
          <w:b w:val="0"/>
          <w:bCs w:val="0"/>
          <w:color w:val="auto"/>
          <w:u w:val="single"/>
          <w:lang w:eastAsia="zh-CN"/>
        </w:rPr>
        <w:t>叙州</w:t>
      </w:r>
      <w:r>
        <w:rPr>
          <w:rFonts w:hint="eastAsia" w:ascii="仿宋" w:hAnsi="仿宋" w:eastAsia="仿宋" w:cs="宋体"/>
          <w:b w:val="0"/>
          <w:bCs w:val="0"/>
          <w:color w:val="auto"/>
          <w:u w:val="single"/>
        </w:rPr>
        <w:t>区</w:t>
      </w:r>
      <w:r>
        <w:rPr>
          <w:rFonts w:hint="eastAsia" w:ascii="仿宋" w:hAnsi="仿宋" w:eastAsia="仿宋" w:cs="宋体"/>
          <w:b w:val="0"/>
          <w:bCs w:val="0"/>
          <w:color w:val="auto"/>
          <w:u w:val="single"/>
          <w:lang w:eastAsia="zh-CN"/>
        </w:rPr>
        <w:t>长江大道中段</w:t>
      </w:r>
      <w:r>
        <w:rPr>
          <w:rFonts w:hint="eastAsia" w:ascii="仿宋" w:hAnsi="仿宋" w:eastAsia="仿宋" w:cs="宋体"/>
          <w:b w:val="0"/>
          <w:bCs w:val="0"/>
          <w:color w:val="auto"/>
          <w:u w:val="single"/>
          <w:lang w:val="en-US" w:eastAsia="zh-CN"/>
        </w:rPr>
        <w:t>11号</w:t>
      </w:r>
      <w:r>
        <w:rPr>
          <w:rFonts w:hint="eastAsia" w:ascii="仿宋" w:hAnsi="仿宋" w:eastAsia="仿宋" w:cs="宋体"/>
          <w:b w:val="0"/>
          <w:bCs w:val="0"/>
          <w:color w:val="auto"/>
          <w:u w:val="single"/>
          <w:lang w:eastAsia="zh-CN"/>
        </w:rPr>
        <w:t>中国人民保险</w:t>
      </w:r>
      <w:r>
        <w:rPr>
          <w:rFonts w:hint="eastAsia" w:ascii="仿宋" w:hAnsi="仿宋" w:eastAsia="仿宋" w:cs="宋体"/>
          <w:b w:val="0"/>
          <w:bCs w:val="0"/>
          <w:color w:val="auto"/>
          <w:u w:val="single"/>
        </w:rPr>
        <w:t>会议</w:t>
      </w:r>
      <w:r>
        <w:rPr>
          <w:rFonts w:hint="eastAsia" w:ascii="仿宋" w:hAnsi="仿宋" w:eastAsia="仿宋" w:cs="宋体"/>
          <w:color w:val="auto"/>
          <w:u w:val="single"/>
        </w:rPr>
        <w:t>室）</w:t>
      </w:r>
      <w:r>
        <w:rPr>
          <w:rFonts w:hint="eastAsia" w:ascii="仿宋" w:hAnsi="仿宋" w:eastAsia="仿宋" w:cs="宋体"/>
          <w:color w:val="000000"/>
        </w:rPr>
        <w:t>，</w:t>
      </w:r>
      <w:r>
        <w:rPr>
          <w:rFonts w:hint="eastAsia" w:ascii="仿宋" w:hAnsi="仿宋" w:eastAsia="仿宋" w:cs="宋体"/>
          <w:b/>
          <w:bCs/>
          <w:color w:val="000000"/>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jc w:val="left"/>
        <w:rPr>
          <w:rFonts w:ascii="仿宋" w:hAnsi="仿宋" w:eastAsia="仿宋" w:cs="仿宋"/>
          <w:color w:val="000000"/>
          <w:sz w:val="24"/>
          <w:szCs w:val="24"/>
        </w:rPr>
      </w:pPr>
      <w:bookmarkStart w:id="10" w:name="_Toc186737795"/>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auto"/>
        </w:rPr>
        <w:t>本项目比选公告在</w:t>
      </w:r>
      <w:r>
        <w:rPr>
          <w:rFonts w:hint="eastAsia" w:ascii="仿宋" w:hAnsi="仿宋" w:eastAsia="仿宋" w:cs="宋体"/>
          <w:color w:val="auto"/>
          <w:u w:val="single"/>
        </w:rPr>
        <w:t>“人保e采”外网门户（https://ec.picc.com/）</w:t>
      </w:r>
      <w:r>
        <w:rPr>
          <w:rFonts w:hint="eastAsia" w:ascii="仿宋" w:hAnsi="仿宋" w:eastAsia="仿宋" w:cs="仿宋"/>
          <w:color w:val="auto"/>
        </w:rPr>
        <w:t>上</w:t>
      </w:r>
      <w:r>
        <w:rPr>
          <w:rFonts w:hint="eastAsia" w:ascii="仿宋" w:hAnsi="仿宋" w:eastAsia="仿宋" w:cs="仿宋"/>
          <w:color w:val="000000"/>
        </w:rPr>
        <w:t>发布，</w:t>
      </w:r>
      <w:r>
        <w:rPr>
          <w:rFonts w:hint="eastAsia" w:ascii="仿宋" w:hAnsi="仿宋" w:eastAsia="仿宋" w:cs="宋体"/>
          <w:color w:val="000000"/>
        </w:rPr>
        <w:t>除上述外，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186737796"/>
      <w:bookmarkStart w:id="13" w:name="_Toc30596"/>
      <w:r>
        <w:rPr>
          <w:rFonts w:hint="eastAsia" w:ascii="仿宋" w:hAnsi="仿宋" w:eastAsia="仿宋" w:cs="仿宋"/>
          <w:color w:val="000000"/>
          <w:sz w:val="24"/>
          <w:szCs w:val="24"/>
        </w:rPr>
        <w:t>六、联系方式</w:t>
      </w:r>
      <w:bookmarkEnd w:id="12"/>
      <w:bookmarkEnd w:id="13"/>
    </w:p>
    <w:p>
      <w:pPr>
        <w:pStyle w:val="26"/>
        <w:keepNext w:val="0"/>
        <w:keepLines w:val="0"/>
        <w:widowControl/>
        <w:suppressLineNumbers w:val="0"/>
        <w:spacing w:before="0" w:beforeAutospacing="1" w:after="0" w:afterAutospacing="1"/>
        <w:ind w:left="0" w:right="0" w:firstLine="280"/>
        <w:rPr>
          <w:rFonts w:hint="eastAsia" w:ascii="仿宋_GB2312" w:hAnsi="仿宋_GB2312" w:eastAsia="仿宋_GB2312" w:cs="仿宋_GB2312"/>
          <w:i w:val="0"/>
          <w:iCs w:val="0"/>
          <w:caps w:val="0"/>
          <w:color w:val="000000"/>
          <w:spacing w:val="0"/>
          <w:sz w:val="24"/>
          <w:szCs w:val="24"/>
        </w:rPr>
      </w:pPr>
      <w:r>
        <w:rPr>
          <w:rFonts w:hint="eastAsia" w:ascii="仿宋_GB2312" w:hAnsi="仿宋_GB2312" w:eastAsia="仿宋_GB2312" w:cs="仿宋_GB2312"/>
          <w:i w:val="0"/>
          <w:iCs w:val="0"/>
          <w:caps w:val="0"/>
          <w:color w:val="000000"/>
          <w:spacing w:val="0"/>
          <w:sz w:val="24"/>
          <w:szCs w:val="24"/>
        </w:rPr>
        <w:t>采购人：中国人民财产保险股份有限公司宜宾市分公司</w:t>
      </w:r>
    </w:p>
    <w:p>
      <w:pPr>
        <w:pStyle w:val="26"/>
        <w:keepNext w:val="0"/>
        <w:keepLines w:val="0"/>
        <w:widowControl/>
        <w:suppressLineNumbers w:val="0"/>
        <w:spacing w:before="0" w:beforeAutospacing="1" w:after="0" w:afterAutospacing="1"/>
        <w:ind w:left="0" w:right="0" w:firstLine="280"/>
        <w:rPr>
          <w:rFonts w:hint="eastAsia" w:ascii="仿宋_GB2312" w:hAnsi="仿宋_GB2312" w:eastAsia="仿宋_GB2312" w:cs="仿宋_GB2312"/>
          <w:i w:val="0"/>
          <w:iCs w:val="0"/>
          <w:caps w:val="0"/>
          <w:color w:val="000000"/>
          <w:spacing w:val="0"/>
          <w:sz w:val="24"/>
          <w:szCs w:val="24"/>
        </w:rPr>
      </w:pPr>
      <w:r>
        <w:rPr>
          <w:rFonts w:hint="eastAsia" w:ascii="仿宋_GB2312" w:hAnsi="仿宋_GB2312" w:eastAsia="仿宋_GB2312" w:cs="仿宋_GB2312"/>
          <w:i w:val="0"/>
          <w:iCs w:val="0"/>
          <w:caps w:val="0"/>
          <w:color w:val="000000"/>
          <w:spacing w:val="0"/>
          <w:sz w:val="24"/>
          <w:szCs w:val="24"/>
        </w:rPr>
        <w:t>地址：四川省宜宾市叙州区南岸</w:t>
      </w:r>
      <w:r>
        <w:rPr>
          <w:rFonts w:hint="eastAsia" w:ascii="仿宋_GB2312" w:hAnsi="仿宋_GB2312" w:eastAsia="仿宋_GB2312" w:cs="仿宋_GB2312"/>
          <w:i w:val="0"/>
          <w:iCs w:val="0"/>
          <w:caps w:val="0"/>
          <w:color w:val="000000"/>
          <w:spacing w:val="0"/>
          <w:sz w:val="24"/>
          <w:szCs w:val="24"/>
          <w:lang w:val="en-US" w:eastAsia="zh-CN"/>
        </w:rPr>
        <w:t>长江</w:t>
      </w:r>
      <w:r>
        <w:rPr>
          <w:rFonts w:hint="eastAsia" w:ascii="仿宋_GB2312" w:hAnsi="仿宋_GB2312" w:eastAsia="仿宋_GB2312" w:cs="仿宋_GB2312"/>
          <w:i w:val="0"/>
          <w:iCs w:val="0"/>
          <w:caps w:val="0"/>
          <w:color w:val="000000"/>
          <w:spacing w:val="0"/>
          <w:sz w:val="24"/>
          <w:szCs w:val="24"/>
        </w:rPr>
        <w:t>大道中段11号</w:t>
      </w:r>
    </w:p>
    <w:p>
      <w:pPr>
        <w:pStyle w:val="26"/>
        <w:keepNext w:val="0"/>
        <w:keepLines w:val="0"/>
        <w:widowControl/>
        <w:suppressLineNumbers w:val="0"/>
        <w:spacing w:before="0" w:beforeAutospacing="1" w:after="0" w:afterAutospacing="1"/>
        <w:ind w:left="0" w:right="0" w:firstLine="280"/>
        <w:rPr>
          <w:rFonts w:hint="eastAsia" w:ascii="仿宋_GB2312" w:hAnsi="仿宋_GB2312" w:eastAsia="仿宋_GB2312" w:cs="仿宋_GB2312"/>
          <w:i w:val="0"/>
          <w:iCs w:val="0"/>
          <w:caps w:val="0"/>
          <w:color w:val="000000"/>
          <w:spacing w:val="0"/>
          <w:sz w:val="24"/>
          <w:szCs w:val="24"/>
          <w:lang w:val="en-US" w:eastAsia="zh-CN"/>
        </w:rPr>
      </w:pPr>
      <w:r>
        <w:rPr>
          <w:rFonts w:hint="eastAsia" w:ascii="仿宋_GB2312" w:hAnsi="仿宋_GB2312" w:eastAsia="仿宋_GB2312" w:cs="仿宋_GB2312"/>
          <w:i w:val="0"/>
          <w:iCs w:val="0"/>
          <w:caps w:val="0"/>
          <w:color w:val="000000"/>
          <w:spacing w:val="0"/>
          <w:sz w:val="24"/>
          <w:szCs w:val="24"/>
        </w:rPr>
        <w:t>联系人：</w:t>
      </w:r>
      <w:r>
        <w:rPr>
          <w:rFonts w:hint="eastAsia" w:ascii="仿宋_GB2312" w:hAnsi="仿宋_GB2312" w:eastAsia="仿宋_GB2312" w:cs="仿宋_GB2312"/>
          <w:i w:val="0"/>
          <w:iCs w:val="0"/>
          <w:caps w:val="0"/>
          <w:color w:val="000000"/>
          <w:spacing w:val="0"/>
          <w:sz w:val="24"/>
          <w:szCs w:val="24"/>
          <w:lang w:val="en-US" w:eastAsia="zh-CN"/>
        </w:rPr>
        <w:t>周雨</w:t>
      </w:r>
    </w:p>
    <w:p>
      <w:pPr>
        <w:pStyle w:val="26"/>
        <w:keepNext w:val="0"/>
        <w:keepLines w:val="0"/>
        <w:widowControl/>
        <w:suppressLineNumbers w:val="0"/>
        <w:spacing w:before="0" w:beforeAutospacing="1" w:after="0" w:afterAutospacing="1"/>
        <w:ind w:left="0" w:right="0" w:firstLine="280"/>
        <w:rPr>
          <w:rFonts w:hint="eastAsia" w:ascii="仿宋_GB2312" w:hAnsi="仿宋_GB2312" w:eastAsia="仿宋_GB2312" w:cs="仿宋_GB2312"/>
          <w:i w:val="0"/>
          <w:iCs w:val="0"/>
          <w:caps w:val="0"/>
          <w:color w:val="000000"/>
          <w:spacing w:val="0"/>
          <w:sz w:val="24"/>
          <w:szCs w:val="24"/>
        </w:rPr>
      </w:pPr>
      <w:r>
        <w:rPr>
          <w:rFonts w:hint="eastAsia" w:ascii="仿宋_GB2312" w:hAnsi="仿宋_GB2312" w:eastAsia="仿宋_GB2312" w:cs="仿宋_GB2312"/>
          <w:i w:val="0"/>
          <w:iCs w:val="0"/>
          <w:caps w:val="0"/>
          <w:color w:val="000000"/>
          <w:spacing w:val="0"/>
          <w:sz w:val="24"/>
          <w:szCs w:val="24"/>
        </w:rPr>
        <w:t>电话：0831-2337259</w:t>
      </w:r>
    </w:p>
    <w:p>
      <w:pPr>
        <w:pStyle w:val="26"/>
        <w:keepNext w:val="0"/>
        <w:keepLines w:val="0"/>
        <w:widowControl/>
        <w:suppressLineNumbers w:val="0"/>
        <w:spacing w:before="0" w:beforeAutospacing="1" w:after="0" w:afterAutospacing="1"/>
        <w:ind w:left="0" w:right="0" w:firstLine="280"/>
        <w:rPr>
          <w:rFonts w:hint="eastAsia" w:ascii="仿宋_GB2312" w:hAnsi="仿宋_GB2312" w:eastAsia="仿宋_GB2312" w:cs="仿宋_GB2312"/>
          <w:i w:val="0"/>
          <w:iCs w:val="0"/>
          <w:caps w:val="0"/>
          <w:color w:val="000000"/>
          <w:spacing w:val="0"/>
          <w:sz w:val="24"/>
          <w:szCs w:val="24"/>
        </w:rPr>
      </w:pPr>
      <w:r>
        <w:rPr>
          <w:rFonts w:hint="eastAsia" w:ascii="仿宋_GB2312" w:hAnsi="仿宋_GB2312" w:eastAsia="仿宋_GB2312" w:cs="仿宋_GB2312"/>
          <w:i w:val="0"/>
          <w:iCs w:val="0"/>
          <w:caps w:val="0"/>
          <w:color w:val="000000"/>
          <w:spacing w:val="0"/>
          <w:sz w:val="24"/>
          <w:szCs w:val="24"/>
        </w:rPr>
        <w:t>电子邮件：</w:t>
      </w:r>
      <w:r>
        <w:rPr>
          <w:rFonts w:hint="eastAsia" w:ascii="仿宋_GB2312" w:hAnsi="仿宋_GB2312" w:eastAsia="仿宋_GB2312" w:cs="仿宋_GB2312"/>
          <w:sz w:val="24"/>
          <w:szCs w:val="24"/>
        </w:rPr>
        <w:t>zhouyu75@sic.picc.com.cn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采购人：中国人民财产保险股份有限公司宜宾市分公司</w:t>
      </w:r>
    </w:p>
    <w:p>
      <w:pPr>
        <w:spacing w:line="360" w:lineRule="auto"/>
        <w:jc w:val="center"/>
        <w:rPr>
          <w:rFonts w:ascii="楷体" w:hAnsi="楷体" w:eastAsia="楷体" w:cs="仿宋_GB2312"/>
          <w:i/>
          <w:color w:val="auto"/>
          <w:szCs w:val="32"/>
        </w:rPr>
      </w:pPr>
      <w:r>
        <w:rPr>
          <w:rFonts w:hint="eastAsia" w:ascii="仿宋" w:hAnsi="仿宋" w:eastAsia="仿宋" w:cs="宋体"/>
          <w:color w:val="auto"/>
          <w:lang w:val="en-US" w:eastAsia="zh-CN"/>
        </w:rPr>
        <w:t xml:space="preserve">                       </w:t>
      </w: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6</w:t>
      </w:r>
      <w:r>
        <w:rPr>
          <w:rFonts w:hint="eastAsia" w:ascii="仿宋" w:hAnsi="仿宋" w:eastAsia="仿宋" w:cs="宋体"/>
          <w:color w:val="auto"/>
        </w:rPr>
        <w:t>月</w:t>
      </w:r>
      <w:r>
        <w:rPr>
          <w:rFonts w:hint="eastAsia" w:ascii="仿宋" w:hAnsi="仿宋" w:eastAsia="仿宋" w:cs="宋体"/>
          <w:color w:val="auto"/>
          <w:lang w:val="en-US" w:eastAsia="zh-CN"/>
        </w:rPr>
        <w:t>15</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ascii="仿宋" w:hAnsi="仿宋" w:eastAsia="仿宋" w:cs="仿宋"/>
                <w:color w:val="000000"/>
              </w:rPr>
            </w:pPr>
            <w:r>
              <w:rPr>
                <w:rFonts w:hint="eastAsia" w:ascii="仿宋" w:hAnsi="仿宋" w:eastAsia="仿宋"/>
                <w:color w:val="000000"/>
              </w:rPr>
              <w:t>（八）供应商廉洁诚信承诺书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pStyle w:val="61"/>
              <w:spacing w:before="62" w:beforeLines="20" w:after="62" w:afterLines="20"/>
              <w:rPr>
                <w:rFonts w:ascii="仿宋" w:hAnsi="仿宋" w:eastAsia="仿宋" w:cs="Cambria Math"/>
                <w:color w:val="000000"/>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color w:val="FF0000"/>
                <w:u w:val="single"/>
                <w:lang w:val="en-US" w:eastAsia="zh-CN"/>
              </w:rPr>
              <w:t>180</w:t>
            </w:r>
            <w:r>
              <w:rPr>
                <w:rFonts w:hint="eastAsia" w:ascii="仿宋" w:hAnsi="仿宋" w:eastAsia="仿宋" w:cs="仿宋"/>
                <w:color w:val="FF0000"/>
                <w:u w:val="single"/>
                <w:lang w:eastAsia="zh-CN"/>
              </w:rPr>
              <w:t>天</w:t>
            </w:r>
            <w:r>
              <w:rPr>
                <w:rFonts w:hint="eastAsia" w:ascii="仿宋" w:hAnsi="仿宋" w:eastAsia="仿宋" w:cs="仿宋"/>
                <w:u w:val="singl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000000"/>
                <w:sz w:val="21"/>
                <w:szCs w:val="21"/>
                <w:u w:val="single"/>
                <w:lang w:eastAsia="zh-CN"/>
              </w:rPr>
              <w:t xml:space="preserve"> </w:t>
            </w:r>
            <w:r>
              <w:rPr>
                <w:rFonts w:hint="eastAsia" w:ascii="仿宋" w:hAnsi="仿宋" w:eastAsia="仿宋"/>
                <w:color w:val="FF0000"/>
                <w:sz w:val="21"/>
                <w:szCs w:val="21"/>
                <w:u w:val="single"/>
                <w:lang w:val="en-US" w:eastAsia="zh-CN"/>
              </w:rPr>
              <w:t>2</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w:t>
            </w:r>
            <w:r>
              <w:rPr>
                <w:rFonts w:hint="eastAsia" w:ascii="仿宋_GB2312" w:eastAsia="仿宋_GB2312"/>
                <w:sz w:val="24"/>
                <w:szCs w:val="24"/>
                <w:lang w:val="en-US" w:eastAsia="zh-CN"/>
              </w:rPr>
              <w:t>9</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ascii="仿宋_GB2312" w:eastAsia="仿宋_GB2312"/>
                <w:sz w:val="24"/>
                <w:szCs w:val="24"/>
                <w:lang w:eastAsia="zh-CN"/>
              </w:rPr>
              <w:t>2.1.1</w:t>
            </w:r>
            <w:r>
              <w:rPr>
                <w:rFonts w:hint="eastAsia" w:ascii="仿宋_GB2312" w:eastAsia="仿宋_GB2312"/>
                <w:sz w:val="24"/>
                <w:szCs w:val="24"/>
                <w:lang w:val="en-US" w:eastAsia="zh-CN"/>
              </w:rPr>
              <w:t>0</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color w:val="FF0000"/>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5"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1</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000000"/>
                <w:sz w:val="22"/>
                <w:szCs w:val="22"/>
                <w:u w:val="single"/>
              </w:rPr>
              <w:t>响应文件递交顺序/供应商随机抽取顺序/供应商名称首字A</w:t>
            </w:r>
            <w:r>
              <w:rPr>
                <w:rFonts w:ascii="仿宋" w:hAnsi="仿宋" w:eastAsia="仿宋" w:cs="仿宋"/>
                <w:color w:val="000000"/>
                <w:sz w:val="22"/>
                <w:szCs w:val="22"/>
                <w:u w:val="single"/>
              </w:rPr>
              <w:t>-Z</w:t>
            </w:r>
            <w:r>
              <w:rPr>
                <w:rFonts w:hint="eastAsia" w:ascii="仿宋" w:hAnsi="仿宋" w:eastAsia="仿宋" w:cs="仿宋"/>
                <w:color w:val="000000"/>
                <w:sz w:val="22"/>
                <w:szCs w:val="22"/>
                <w:u w:val="single"/>
              </w:rPr>
              <w:t>顺序/其他方式</w:t>
            </w:r>
            <w:r>
              <w:rPr>
                <w:rFonts w:hint="eastAsia" w:ascii="仿宋" w:hAnsi="仿宋" w:eastAsia="仿宋" w:cs="仿宋"/>
                <w:color w:val="000000"/>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错误的内容等进行澄清、说明或更正。第一轮比选结束后，供应商提交比选小组要求提供的其他文件，比选小组将视具体情况决定是否进行多轮比选。最后一轮比选结束后，供应商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对采购需求的理解、</w:t>
            </w:r>
            <w:r>
              <w:rPr>
                <w:rFonts w:hint="eastAsia" w:ascii="仿宋" w:hAnsi="仿宋" w:eastAsia="仿宋" w:cs="仿宋"/>
                <w:color w:val="000000"/>
                <w:sz w:val="22"/>
                <w:u w:val="single"/>
                <w:lang w:eastAsia="zh-CN"/>
              </w:rPr>
              <w:t>资源覆盖、</w:t>
            </w:r>
            <w:r>
              <w:rPr>
                <w:rFonts w:hint="eastAsia" w:ascii="仿宋" w:hAnsi="仿宋" w:eastAsia="仿宋" w:cs="仿宋"/>
                <w:color w:val="FF0000"/>
                <w:sz w:val="22"/>
                <w:u w:val="single"/>
              </w:rPr>
              <w:t>技术方案</w:t>
            </w:r>
            <w:r>
              <w:rPr>
                <w:rFonts w:hint="eastAsia" w:ascii="仿宋" w:hAnsi="仿宋" w:eastAsia="仿宋" w:cs="仿宋"/>
                <w:color w:val="000000"/>
                <w:sz w:val="22"/>
                <w:u w:val="single"/>
              </w:rPr>
              <w:t>、实施方案、人员配置、服务承诺、商务条款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综合得分前</w:t>
            </w:r>
            <w:r>
              <w:rPr>
                <w:rFonts w:hint="eastAsia" w:ascii="仿宋" w:hAnsi="仿宋" w:eastAsia="仿宋" w:cs="仿宋"/>
                <w:color w:val="FF0000"/>
                <w:sz w:val="22"/>
                <w:szCs w:val="22"/>
                <w:u w:val="single"/>
                <w:lang w:val="en-US" w:eastAsia="zh-CN"/>
              </w:rPr>
              <w:t>4</w:t>
            </w:r>
            <w:r>
              <w:rPr>
                <w:rFonts w:hint="eastAsia" w:ascii="仿宋" w:hAnsi="仿宋" w:eastAsia="仿宋" w:cs="宋体"/>
                <w:color w:val="000000"/>
                <w:sz w:val="22"/>
                <w:u w:val="single"/>
              </w:rPr>
              <w:t>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w:t>
            </w:r>
            <w:r>
              <w:rPr>
                <w:rFonts w:hint="eastAsia" w:ascii="仿宋" w:hAnsi="仿宋" w:eastAsia="仿宋" w:cs="仿宋"/>
                <w:color w:val="FF0000"/>
                <w:sz w:val="22"/>
                <w:lang w:eastAsia="zh-CN"/>
              </w:rPr>
              <w:t>资源覆盖</w:t>
            </w:r>
            <w:r>
              <w:rPr>
                <w:rFonts w:hint="eastAsia" w:ascii="仿宋" w:hAnsi="仿宋" w:eastAsia="仿宋" w:cs="仿宋"/>
                <w:color w:val="000000"/>
                <w:sz w:val="22"/>
              </w:rPr>
              <w:t>得分高者排名</w:t>
            </w:r>
            <w:r>
              <w:rPr>
                <w:rFonts w:hint="eastAsia" w:ascii="仿宋" w:hAnsi="仿宋" w:eastAsia="仿宋" w:cs="仿宋"/>
                <w:color w:val="000000"/>
              </w:rPr>
              <w:t>优先；</w:t>
            </w:r>
            <w:r>
              <w:rPr>
                <w:rFonts w:hint="eastAsia" w:ascii="仿宋" w:hAnsi="仿宋" w:eastAsia="仿宋" w:cs="仿宋"/>
                <w:color w:val="000000"/>
                <w:sz w:val="22"/>
                <w:lang w:eastAsia="zh-CN"/>
              </w:rPr>
              <w:t>资源覆盖</w:t>
            </w:r>
            <w:r>
              <w:rPr>
                <w:rFonts w:hint="eastAsia" w:ascii="仿宋" w:hAnsi="仿宋" w:eastAsia="仿宋" w:cs="仿宋"/>
                <w:color w:val="000000"/>
              </w:rPr>
              <w:t>得分也相同时，</w:t>
            </w:r>
            <w:r>
              <w:rPr>
                <w:rFonts w:hint="eastAsia" w:ascii="仿宋" w:hAnsi="仿宋" w:eastAsia="仿宋" w:cs="仿宋"/>
                <w:color w:val="auto"/>
                <w:highlight w:val="magenta"/>
                <w:u w:val="single"/>
                <w:lang w:eastAsia="zh-CN"/>
              </w:rPr>
              <w:t>服务</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000000"/>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FF0000"/>
                <w:sz w:val="22"/>
                <w:szCs w:val="22"/>
                <w:u w:val="single"/>
                <w:lang w:val="en-US" w:eastAsia="zh-CN"/>
              </w:rPr>
              <w:t>2</w:t>
            </w:r>
            <w:r>
              <w:rPr>
                <w:rFonts w:hint="eastAsia" w:ascii="仿宋" w:hAnsi="仿宋" w:eastAsia="仿宋" w:cs="仿宋"/>
                <w:color w:val="FF0000"/>
                <w:sz w:val="22"/>
                <w:szCs w:val="22"/>
                <w:u w:val="single"/>
              </w:rPr>
              <w:t>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FF0000"/>
                <w:sz w:val="22"/>
                <w:szCs w:val="22"/>
                <w:u w:val="single"/>
              </w:rPr>
              <w:t>综合排名前</w:t>
            </w:r>
            <w:r>
              <w:rPr>
                <w:rFonts w:hint="eastAsia" w:ascii="仿宋" w:hAnsi="仿宋" w:eastAsia="仿宋" w:cs="宋体"/>
                <w:color w:val="FF0000"/>
                <w:sz w:val="22"/>
                <w:szCs w:val="22"/>
                <w:u w:val="single"/>
                <w:lang w:val="en-US" w:eastAsia="zh-CN"/>
              </w:rPr>
              <w:t>2</w:t>
            </w:r>
            <w:r>
              <w:rPr>
                <w:rFonts w:hint="eastAsia" w:ascii="仿宋" w:hAnsi="仿宋" w:eastAsia="仿宋" w:cs="宋体"/>
                <w:color w:val="FF0000"/>
                <w:sz w:val="22"/>
                <w:szCs w:val="22"/>
                <w:u w:val="single"/>
              </w:rPr>
              <w:t>位中的某一个</w:t>
            </w:r>
            <w:r>
              <w:rPr>
                <w:rFonts w:hint="eastAsia" w:ascii="仿宋" w:hAnsi="仿宋" w:eastAsia="仿宋" w:cs="仿宋"/>
                <w:sz w:val="22"/>
                <w:szCs w:val="22"/>
              </w:rPr>
              <w:t>成交候选人放弃成交、因不可抗力不能履行合同、</w:t>
            </w:r>
            <w:r>
              <w:rPr>
                <w:rFonts w:hint="eastAsia" w:ascii="仿宋" w:hAnsi="仿宋" w:eastAsia="仿宋" w:cs="宋体"/>
                <w:color w:val="000000"/>
                <w:sz w:val="22"/>
                <w:szCs w:val="22"/>
              </w:rPr>
              <w:t>不按照比选文件要求提交履约保证金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hint="eastAsia" w:ascii="仿宋_GB2312" w:eastAsia="仿宋_GB2312"/>
                <w:sz w:val="24"/>
                <w:szCs w:val="24"/>
                <w:lang w:eastAsia="zh-CN"/>
              </w:rPr>
              <w:t>2</w:t>
            </w:r>
            <w:r>
              <w:rPr>
                <w:rFonts w:ascii="仿宋_GB2312" w:eastAsia="仿宋_GB2312"/>
                <w:sz w:val="24"/>
                <w:szCs w:val="24"/>
                <w:lang w:eastAsia="zh-CN"/>
              </w:rPr>
              <w:t>.1.1</w:t>
            </w:r>
            <w:r>
              <w:rPr>
                <w:rFonts w:hint="eastAsia" w:ascii="仿宋_GB2312" w:eastAsia="仿宋_GB2312"/>
                <w:sz w:val="24"/>
                <w:szCs w:val="24"/>
                <w:lang w:val="en-US" w:eastAsia="zh-CN"/>
              </w:rPr>
              <w:t>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rPr>
            </w:pPr>
            <w:r>
              <w:rPr>
                <w:rFonts w:hint="eastAsia" w:ascii="仿宋" w:hAnsi="仿宋" w:eastAsia="仿宋" w:cs="仿宋"/>
                <w:color w:val="000000"/>
                <w:szCs w:val="21"/>
              </w:rPr>
              <w:t>履约保证金</w:t>
            </w:r>
          </w:p>
        </w:tc>
        <w:tc>
          <w:tcPr>
            <w:tcW w:w="7199" w:type="dxa"/>
            <w:vAlign w:val="center"/>
          </w:tcPr>
          <w:p>
            <w:pPr>
              <w:pStyle w:val="61"/>
              <w:spacing w:before="62" w:beforeLines="20" w:after="62" w:afterLines="20"/>
              <w:rPr>
                <w:rFonts w:ascii="仿宋" w:hAnsi="仿宋" w:eastAsia="仿宋"/>
                <w:color w:val="FF0000"/>
              </w:rPr>
            </w:pPr>
            <w:r>
              <w:rPr>
                <w:rFonts w:hint="eastAsia" w:ascii="仿宋" w:hAnsi="仿宋" w:eastAsia="仿宋"/>
                <w:color w:val="FF0000"/>
              </w:rPr>
              <w:t>□收取，形式及比例：</w:t>
            </w:r>
          </w:p>
          <w:p>
            <w:pPr>
              <w:pStyle w:val="61"/>
              <w:spacing w:before="62" w:beforeLines="20" w:after="62" w:afterLines="20"/>
              <w:rPr>
                <w:rFonts w:ascii="仿宋" w:hAnsi="仿宋" w:eastAsia="仿宋" w:cs="仿宋"/>
                <w:color w:val="000000"/>
              </w:rPr>
            </w:pPr>
            <w:r>
              <w:rPr>
                <w:rFonts w:hint="eastAsia" w:ascii="仿宋" w:hAnsi="仿宋" w:eastAsia="仿宋"/>
                <w:color w:val="FF0000"/>
                <w:lang w:eastAsia="zh-CN"/>
              </w:rPr>
              <w:t>☑</w:t>
            </w:r>
            <w:r>
              <w:rPr>
                <w:rFonts w:hint="eastAsia" w:ascii="仿宋" w:hAnsi="仿宋" w:eastAsia="仿宋"/>
                <w:color w:val="FF0000"/>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hint="default" w:ascii="仿宋_GB2312" w:eastAsia="仿宋_GB2312"/>
                <w:sz w:val="24"/>
                <w:szCs w:val="24"/>
                <w:lang w:val="en-US" w:eastAsia="zh-CN"/>
              </w:rPr>
            </w:pPr>
            <w:r>
              <w:rPr>
                <w:rFonts w:ascii="仿宋_GB2312" w:eastAsia="仿宋_GB2312"/>
                <w:sz w:val="24"/>
                <w:szCs w:val="24"/>
                <w:lang w:eastAsia="zh-CN"/>
              </w:rPr>
              <w:t>2.1.1</w:t>
            </w:r>
            <w:r>
              <w:rPr>
                <w:rFonts w:hint="eastAsia" w:ascii="仿宋_GB2312" w:eastAsia="仿宋_GB2312"/>
                <w:sz w:val="24"/>
                <w:szCs w:val="24"/>
                <w:lang w:val="en-US" w:eastAsia="zh-CN"/>
              </w:rPr>
              <w:t>6</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项目采购人为人保财险</w:t>
            </w:r>
            <w:r>
              <w:rPr>
                <w:rFonts w:hint="eastAsia" w:ascii="仿宋" w:hAnsi="仿宋" w:eastAsia="仿宋" w:cs="宋体"/>
                <w:color w:val="FF0000"/>
                <w:sz w:val="22"/>
                <w:lang w:eastAsia="zh-CN"/>
              </w:rPr>
              <w:t>宜宾市</w:t>
            </w:r>
            <w:r>
              <w:rPr>
                <w:rFonts w:ascii="仿宋" w:hAnsi="仿宋" w:eastAsia="仿宋" w:cs="仿宋"/>
                <w:sz w:val="22"/>
              </w:rPr>
              <w:t>分公司</w:t>
            </w:r>
            <w:r>
              <w:rPr>
                <w:rFonts w:hint="eastAsia" w:ascii="仿宋" w:hAnsi="仿宋" w:eastAsia="仿宋" w:cs="仿宋"/>
                <w:sz w:val="22"/>
              </w:rPr>
              <w:t>，</w:t>
            </w:r>
            <w:r>
              <w:rPr>
                <w:rFonts w:ascii="仿宋" w:hAnsi="仿宋" w:eastAsia="仿宋" w:cs="仿宋"/>
                <w:sz w:val="22"/>
              </w:rPr>
              <w:t>实际合同签署人为</w:t>
            </w:r>
            <w:r>
              <w:rPr>
                <w:rFonts w:hint="eastAsia" w:ascii="仿宋" w:hAnsi="仿宋" w:eastAsia="仿宋" w:cs="仿宋"/>
                <w:sz w:val="22"/>
              </w:rPr>
              <w:t>人保财险</w:t>
            </w:r>
            <w:r>
              <w:rPr>
                <w:rFonts w:hint="eastAsia" w:ascii="仿宋" w:hAnsi="仿宋" w:eastAsia="仿宋" w:cs="宋体"/>
                <w:color w:val="FF0000"/>
                <w:sz w:val="22"/>
                <w:lang w:eastAsia="zh-CN"/>
              </w:rPr>
              <w:t>宜宾市</w:t>
            </w:r>
            <w:r>
              <w:rPr>
                <w:rFonts w:ascii="仿宋" w:hAnsi="仿宋" w:eastAsia="仿宋" w:cs="仿宋"/>
                <w:sz w:val="22"/>
              </w:rPr>
              <w:t>分公司</w:t>
            </w:r>
            <w:r>
              <w:rPr>
                <w:rFonts w:hint="eastAsia" w:ascii="仿宋" w:hAnsi="仿宋" w:eastAsia="仿宋" w:cs="仿宋"/>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center"/>
        <w:rPr>
          <w:rFonts w:ascii="仿宋" w:hAnsi="仿宋" w:eastAsia="仿宋" w:cs="仿宋"/>
          <w:color w:val="000000"/>
          <w:sz w:val="24"/>
          <w:szCs w:val="24"/>
        </w:rPr>
      </w:pPr>
      <w:bookmarkStart w:id="17" w:name="_Toc27232"/>
      <w:bookmarkStart w:id="18" w:name="_Toc444891336"/>
      <w:bookmarkStart w:id="19" w:name="_Toc19783313"/>
      <w:bookmarkStart w:id="20" w:name="_Toc517281816"/>
      <w:bookmarkStart w:id="21" w:name="_Toc20514"/>
      <w:bookmarkStart w:id="22" w:name="_Toc287600118"/>
      <w:bookmarkStart w:id="23" w:name="_Toc11071"/>
      <w:bookmarkStart w:id="24" w:name="_Toc6047"/>
      <w:bookmarkStart w:id="25" w:name="_Toc186737799"/>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3678"/>
      <w:bookmarkStart w:id="28" w:name="_Toc11851"/>
      <w:bookmarkStart w:id="29" w:name="_Toc517281817"/>
      <w:bookmarkStart w:id="30" w:name="_Toc186737800"/>
      <w:bookmarkStart w:id="31" w:name="_Toc22969"/>
      <w:bookmarkStart w:id="32" w:name="_Toc287600119"/>
      <w:bookmarkStart w:id="33" w:name="_Toc19783314"/>
      <w:bookmarkStart w:id="34" w:name="_Toc16441"/>
      <w:bookmarkStart w:id="35" w:name="_Toc444891337"/>
      <w:bookmarkStart w:id="36" w:name="_Toc6681"/>
      <w:bookmarkStart w:id="37" w:name="_Toc43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287600120"/>
      <w:bookmarkStart w:id="39" w:name="_Toc19783315"/>
      <w:bookmarkStart w:id="40" w:name="_Toc25513"/>
      <w:bookmarkStart w:id="41" w:name="_Toc5255"/>
      <w:bookmarkStart w:id="42" w:name="_Toc10975"/>
      <w:bookmarkStart w:id="43" w:name="_Toc3016"/>
      <w:bookmarkStart w:id="44" w:name="_Toc444891338"/>
      <w:bookmarkStart w:id="45" w:name="_Toc186737801"/>
      <w:bookmarkStart w:id="46" w:name="_Toc517281818"/>
      <w:bookmarkStart w:id="47" w:name="_Toc14164"/>
      <w:bookmarkStart w:id="48" w:name="_Toc24246"/>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left"/>
        <w:rPr>
          <w:rFonts w:ascii="仿宋" w:hAnsi="仿宋" w:eastAsia="仿宋" w:cs="仿宋"/>
          <w:color w:val="000000"/>
          <w:sz w:val="24"/>
          <w:szCs w:val="24"/>
        </w:rPr>
      </w:pPr>
      <w:bookmarkStart w:id="49" w:name="_Toc186737802"/>
      <w:bookmarkStart w:id="50" w:name="_Toc31141"/>
      <w:bookmarkStart w:id="51" w:name="_Toc13691"/>
      <w:bookmarkStart w:id="52" w:name="_Toc444891339"/>
      <w:bookmarkStart w:id="53" w:name="_Toc517281819"/>
      <w:bookmarkStart w:id="54" w:name="_Toc16985"/>
      <w:bookmarkStart w:id="55" w:name="_Toc287600121"/>
      <w:bookmarkStart w:id="56" w:name="_Toc14308"/>
      <w:bookmarkStart w:id="57" w:name="_Toc27642"/>
      <w:bookmarkStart w:id="58" w:name="_Toc27563"/>
      <w:bookmarkStart w:id="59" w:name="_Toc19783316"/>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w:t>
      </w:r>
      <w:bookmarkStart w:id="60" w:name="_Hlk173250545"/>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w:t>
      </w:r>
      <w:r>
        <w:rPr>
          <w:rFonts w:hint="eastAsia" w:ascii="仿宋" w:hAnsi="仿宋" w:eastAsia="仿宋" w:cs="宋体"/>
          <w:color w:val="000000"/>
          <w:lang w:val="en-US" w:eastAsia="zh-CN"/>
        </w:rPr>
        <w:t>1</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w:t>
      </w:r>
      <w:r>
        <w:rPr>
          <w:rFonts w:hint="eastAsia" w:ascii="仿宋" w:hAnsi="仿宋" w:eastAsia="仿宋" w:cs="宋体"/>
          <w:color w:val="000000"/>
          <w:lang w:val="en-US" w:eastAsia="zh-CN"/>
        </w:rPr>
        <w:t>1</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w:t>
      </w:r>
      <w:r>
        <w:rPr>
          <w:rFonts w:hint="eastAsia" w:ascii="仿宋" w:hAnsi="仿宋" w:eastAsia="仿宋" w:cs="宋体"/>
          <w:color w:val="000000"/>
          <w:lang w:val="en-US" w:eastAsia="zh-CN"/>
        </w:rPr>
        <w:t>2</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 xml:space="preserve">所述份数的“副本”，副本为正本复印件。响应文件正本与副本不一致时，以正本为准。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w:t>
      </w:r>
      <w:r>
        <w:rPr>
          <w:rFonts w:hint="eastAsia" w:ascii="仿宋" w:hAnsi="仿宋" w:eastAsia="仿宋" w:cs="宋体"/>
          <w:color w:val="000000"/>
          <w:lang w:val="en-US" w:eastAsia="zh-CN"/>
        </w:rPr>
        <w:t>2</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w:t>
      </w:r>
      <w:r>
        <w:rPr>
          <w:rFonts w:hint="eastAsia" w:ascii="仿宋" w:hAnsi="仿宋" w:eastAsia="仿宋" w:cs="宋体"/>
          <w:color w:val="000000"/>
          <w:lang w:val="en-US" w:eastAsia="zh-CN"/>
        </w:rPr>
        <w:t>2</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jc w:val="both"/>
        <w:rPr>
          <w:rFonts w:ascii="仿宋" w:hAnsi="仿宋" w:eastAsia="仿宋" w:cs="仿宋"/>
          <w:color w:val="000000"/>
          <w:sz w:val="24"/>
          <w:szCs w:val="24"/>
        </w:rPr>
      </w:pPr>
      <w:bookmarkStart w:id="61" w:name="_Toc444891340"/>
      <w:bookmarkStart w:id="62" w:name="_Toc19783317"/>
      <w:bookmarkStart w:id="63" w:name="_Toc287600122"/>
      <w:bookmarkStart w:id="64" w:name="_Toc517281820"/>
      <w:bookmarkStart w:id="65" w:name="_Toc21600"/>
      <w:bookmarkStart w:id="66" w:name="_Toc18673"/>
      <w:bookmarkStart w:id="67" w:name="_Toc14726"/>
      <w:bookmarkStart w:id="68" w:name="_Toc4155"/>
      <w:bookmarkStart w:id="69" w:name="_Toc7129"/>
      <w:bookmarkStart w:id="70" w:name="_Toc186737803"/>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3</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color w:val="000000"/>
        </w:rPr>
      </w:pPr>
      <w:r>
        <w:rPr>
          <w:rFonts w:hint="eastAsia" w:ascii="仿宋" w:hAnsi="仿宋" w:eastAsia="仿宋" w:cs="宋体"/>
          <w:color w:val="000000"/>
        </w:rPr>
        <w:t>1</w:t>
      </w:r>
      <w:r>
        <w:rPr>
          <w:rFonts w:hint="eastAsia" w:ascii="仿宋" w:hAnsi="仿宋" w:eastAsia="仿宋" w:cs="宋体"/>
          <w:color w:val="000000"/>
          <w:lang w:val="en-US" w:eastAsia="zh-CN"/>
        </w:rPr>
        <w:t>3</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w:t>
      </w:r>
      <w:r>
        <w:rPr>
          <w:rFonts w:hint="eastAsia" w:ascii="仿宋" w:hAnsi="仿宋" w:eastAsia="仿宋" w:cs="宋体"/>
          <w:color w:val="000000"/>
          <w:lang w:val="en-US" w:eastAsia="zh-CN"/>
        </w:rPr>
        <w:t>1</w:t>
      </w:r>
      <w:r>
        <w:rPr>
          <w:rFonts w:hint="eastAsia" w:ascii="仿宋" w:hAnsi="仿宋" w:eastAsia="仿宋" w:cs="宋体"/>
          <w:color w:val="000000"/>
        </w:rPr>
        <w:t>）纸质响应文件逾期递交或者未送达指定地点或者未按照比选文件要求封装的；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hint="eastAsia" w:ascii="仿宋" w:hAnsi="仿宋" w:eastAsia="仿宋" w:cs="宋体"/>
          <w:color w:val="000000"/>
          <w:lang w:val="en-US" w:eastAsia="zh-CN"/>
        </w:rPr>
        <w:t>2</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w:t>
      </w:r>
      <w:r>
        <w:rPr>
          <w:rFonts w:hint="eastAsia" w:ascii="仿宋" w:hAnsi="仿宋" w:eastAsia="仿宋" w:cs="仿宋"/>
          <w:color w:val="000000"/>
          <w:lang w:val="en-US" w:eastAsia="zh-CN"/>
        </w:rPr>
        <w:t>4</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246996202"/>
      <w:bookmarkStart w:id="73" w:name="_Toc152042334"/>
      <w:bookmarkStart w:id="74" w:name="_Toc179632576"/>
      <w:bookmarkStart w:id="75" w:name="_Toc152045558"/>
      <w:bookmarkStart w:id="76" w:name="_Toc326223561"/>
      <w:bookmarkStart w:id="77" w:name="_Toc144974526"/>
      <w:bookmarkStart w:id="78" w:name="_Toc246996945"/>
      <w:bookmarkStart w:id="79" w:name="_Toc247085716"/>
      <w:bookmarkStart w:id="80" w:name="_Toc334766948"/>
      <w:bookmarkStart w:id="81" w:name="_Toc332188194"/>
      <w:r>
        <w:rPr>
          <w:rFonts w:ascii="仿宋" w:hAnsi="仿宋" w:eastAsia="仿宋" w:cs="仿宋"/>
          <w:color w:val="000000"/>
        </w:rPr>
        <w:t>1</w:t>
      </w:r>
      <w:r>
        <w:rPr>
          <w:rFonts w:hint="eastAsia" w:ascii="仿宋" w:hAnsi="仿宋" w:eastAsia="仿宋" w:cs="仿宋"/>
          <w:color w:val="000000"/>
          <w:lang w:val="en-US" w:eastAsia="zh-CN"/>
        </w:rPr>
        <w:t>4</w:t>
      </w:r>
      <w:r>
        <w:rPr>
          <w:rFonts w:ascii="仿宋" w:hAnsi="仿宋" w:eastAsia="仿宋" w:cs="仿宋"/>
          <w:color w:val="000000"/>
        </w:rPr>
        <w:t>.2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2636"/>
      <w:bookmarkStart w:id="83" w:name="_Toc11361"/>
      <w:bookmarkStart w:id="84" w:name="_Toc12797"/>
      <w:bookmarkStart w:id="85" w:name="_Toc444891341"/>
      <w:bookmarkStart w:id="86" w:name="_Toc186737804"/>
      <w:bookmarkStart w:id="87" w:name="_Toc20741"/>
      <w:bookmarkStart w:id="88" w:name="_Toc2055"/>
      <w:bookmarkStart w:id="89" w:name="_Toc287600123"/>
      <w:bookmarkStart w:id="90" w:name="_Toc30466"/>
      <w:bookmarkStart w:id="91" w:name="_Toc517281821"/>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hint="eastAsia" w:ascii="仿宋" w:hAnsi="仿宋" w:eastAsia="仿宋" w:cs="宋体"/>
          <w:color w:val="000000"/>
          <w:lang w:val="en-US" w:eastAsia="zh-CN"/>
        </w:rPr>
        <w:t>5</w:t>
      </w:r>
      <w:r>
        <w:rPr>
          <w:rFonts w:ascii="仿宋" w:hAnsi="仿宋" w:eastAsia="仿宋" w:cs="宋体"/>
          <w:color w:val="000000"/>
        </w:rPr>
        <w:t>.1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hint="eastAsia" w:ascii="仿宋" w:hAnsi="仿宋" w:eastAsia="仿宋" w:cs="宋体"/>
          <w:color w:val="000000"/>
          <w:lang w:val="en-US" w:eastAsia="zh-CN"/>
        </w:rPr>
        <w:t>5</w:t>
      </w:r>
      <w:r>
        <w:rPr>
          <w:rFonts w:ascii="仿宋" w:hAnsi="仿宋" w:eastAsia="仿宋" w:cs="宋体"/>
          <w:color w:val="000000"/>
        </w:rPr>
        <w:t>.2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hint="eastAsia" w:ascii="仿宋" w:hAnsi="仿宋" w:eastAsia="仿宋" w:cs="宋体"/>
          <w:color w:val="000000"/>
          <w:lang w:val="en-US" w:eastAsia="zh-CN"/>
        </w:rPr>
        <w:t>6</w:t>
      </w:r>
      <w:r>
        <w:rPr>
          <w:rFonts w:ascii="仿宋" w:hAnsi="仿宋" w:eastAsia="仿宋" w:cs="宋体"/>
          <w:color w:val="000000"/>
        </w:rPr>
        <w:t>.1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hint="eastAsia" w:ascii="仿宋" w:hAnsi="仿宋" w:eastAsia="仿宋" w:cs="宋体"/>
          <w:color w:val="000000"/>
          <w:lang w:val="en-US" w:eastAsia="zh-CN"/>
        </w:rPr>
        <w:t>6</w:t>
      </w:r>
      <w:r>
        <w:rPr>
          <w:rFonts w:ascii="仿宋" w:hAnsi="仿宋" w:eastAsia="仿宋" w:cs="宋体"/>
          <w:color w:val="000000"/>
        </w:rPr>
        <w:t>.2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hint="eastAsia" w:ascii="仿宋" w:hAnsi="仿宋" w:eastAsia="仿宋" w:cs="宋体"/>
          <w:color w:val="000000"/>
          <w:lang w:val="en-US" w:eastAsia="zh-CN"/>
        </w:rPr>
        <w:t>6</w:t>
      </w:r>
      <w:r>
        <w:rPr>
          <w:rFonts w:ascii="仿宋" w:hAnsi="仿宋" w:eastAsia="仿宋" w:cs="宋体"/>
          <w:color w:val="000000"/>
        </w:rPr>
        <w:t>.3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hint="eastAsia" w:ascii="仿宋" w:hAnsi="仿宋" w:eastAsia="仿宋" w:cs="宋体"/>
          <w:color w:val="000000"/>
          <w:lang w:val="en-US" w:eastAsia="zh-CN"/>
        </w:rPr>
        <w:t>6</w:t>
      </w:r>
      <w:r>
        <w:rPr>
          <w:rFonts w:ascii="仿宋" w:hAnsi="仿宋" w:eastAsia="仿宋" w:cs="宋体"/>
          <w:color w:val="000000"/>
        </w:rPr>
        <w:t>.4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7</w:t>
      </w:r>
      <w:r>
        <w:rPr>
          <w:rFonts w:ascii="仿宋" w:hAnsi="仿宋" w:eastAsia="仿宋" w:cs="仿宋"/>
          <w:color w:val="000000"/>
          <w:sz w:val="24"/>
          <w:szCs w:val="24"/>
        </w:rPr>
        <w:t>.</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w:t>
      </w:r>
      <w:r>
        <w:rPr>
          <w:rFonts w:hint="eastAsia" w:ascii="仿宋" w:hAnsi="仿宋" w:eastAsia="仿宋" w:cs="仿宋"/>
          <w:color w:val="000000"/>
          <w:lang w:val="en-US" w:eastAsia="zh-CN"/>
        </w:rPr>
        <w:t>7</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w:t>
      </w:r>
      <w:r>
        <w:rPr>
          <w:rFonts w:hint="eastAsia" w:ascii="仿宋" w:hAnsi="仿宋" w:eastAsia="仿宋" w:cs="仿宋"/>
          <w:color w:val="000000"/>
          <w:lang w:val="en-US" w:eastAsia="zh-CN"/>
        </w:rPr>
        <w:t>7</w:t>
      </w:r>
      <w:r>
        <w:rPr>
          <w:rFonts w:ascii="仿宋" w:hAnsi="仿宋" w:eastAsia="仿宋" w:cs="仿宋"/>
          <w:color w:val="000000"/>
        </w:rPr>
        <w:t>.2</w:t>
      </w:r>
      <w:r>
        <w:rPr>
          <w:rFonts w:hint="eastAsia" w:ascii="仿宋" w:hAnsi="仿宋" w:eastAsia="仿宋" w:cs="仿宋"/>
          <w:color w:val="000000"/>
        </w:rPr>
        <w:t>比选小组与供应商就比选文件中的</w:t>
      </w:r>
      <w:r>
        <w:rPr>
          <w:rFonts w:hint="eastAsia" w:ascii="仿宋" w:hAnsi="仿宋" w:eastAsia="仿宋" w:cs="仿宋"/>
          <w:color w:val="000000"/>
          <w:lang w:eastAsia="zh-CN"/>
        </w:rPr>
        <w:t>资源覆盖</w:t>
      </w:r>
      <w:r>
        <w:rPr>
          <w:rFonts w:hint="eastAsia" w:ascii="仿宋" w:hAnsi="仿宋" w:eastAsia="仿宋" w:cs="仿宋"/>
          <w:color w:val="000000"/>
        </w:rPr>
        <w:t>、</w:t>
      </w:r>
      <w:r>
        <w:rPr>
          <w:rFonts w:hint="eastAsia" w:ascii="仿宋" w:hAnsi="仿宋" w:eastAsia="仿宋" w:cs="仿宋"/>
          <w:color w:val="000000"/>
          <w:lang w:eastAsia="zh-CN"/>
        </w:rPr>
        <w:t>服务</w:t>
      </w:r>
      <w:r>
        <w:rPr>
          <w:rFonts w:hint="eastAsia" w:ascii="仿宋" w:hAnsi="仿宋" w:eastAsia="仿宋" w:cs="仿宋"/>
          <w:color w:val="000000"/>
        </w:rPr>
        <w:t>内容、技术内容或有待供应商进一步明确的内容等进行一对一比选。具体比选内容详见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7</w:t>
      </w:r>
      <w:r>
        <w:rPr>
          <w:rFonts w:ascii="仿宋" w:hAnsi="仿宋" w:eastAsia="仿宋" w:cs="仿宋"/>
          <w:color w:val="000000"/>
        </w:rPr>
        <w:t>.3</w:t>
      </w:r>
      <w:r>
        <w:rPr>
          <w:rFonts w:hint="eastAsia" w:ascii="仿宋_GB2312" w:hAnsi="宋体" w:eastAsia="仿宋_GB2312"/>
        </w:rPr>
        <w:t>比选过程中可能实质性变动的内容：供应商</w:t>
      </w:r>
      <w:r>
        <w:rPr>
          <w:rFonts w:hint="eastAsia" w:ascii="仿宋_GB2312" w:hAnsi="宋体" w:eastAsia="仿宋_GB2312"/>
          <w:lang w:eastAsia="zh-CN"/>
        </w:rPr>
        <w:t>资源覆盖、</w:t>
      </w:r>
      <w:r>
        <w:rPr>
          <w:rFonts w:hint="eastAsia" w:ascii="仿宋_GB2312" w:hAnsi="宋体" w:eastAsia="仿宋_GB2312"/>
        </w:rPr>
        <w:t>服务方案、承诺。采购需求中的商务</w:t>
      </w:r>
      <w:r>
        <w:rPr>
          <w:rFonts w:hint="eastAsia" w:ascii="仿宋_GB2312" w:hAnsi="宋体" w:eastAsia="仿宋_GB2312"/>
          <w:lang w:eastAsia="zh-CN"/>
        </w:rPr>
        <w:t>、技术、</w:t>
      </w:r>
      <w:r>
        <w:rPr>
          <w:rFonts w:hint="eastAsia" w:ascii="仿宋_GB2312" w:hAnsi="宋体" w:eastAsia="仿宋_GB2312"/>
        </w:rPr>
        <w:t>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w:t>
      </w:r>
      <w:r>
        <w:rPr>
          <w:rFonts w:hint="eastAsia" w:ascii="仿宋" w:hAnsi="仿宋" w:eastAsia="仿宋" w:cs="仿宋"/>
          <w:color w:val="000000"/>
          <w:lang w:val="en-US" w:eastAsia="zh-CN"/>
        </w:rPr>
        <w:t>7</w:t>
      </w:r>
      <w:r>
        <w:rPr>
          <w:rFonts w:ascii="仿宋" w:hAnsi="仿宋" w:eastAsia="仿宋" w:cs="仿宋"/>
          <w:color w:val="000000"/>
        </w:rPr>
        <w:t>.</w:t>
      </w:r>
      <w:r>
        <w:rPr>
          <w:rFonts w:hint="eastAsia" w:ascii="仿宋" w:hAnsi="仿宋" w:eastAsia="仿宋" w:cs="仿宋"/>
          <w:color w:val="000000"/>
          <w:lang w:val="en-US" w:eastAsia="zh-CN"/>
        </w:rPr>
        <w:t>4</w:t>
      </w:r>
      <w:r>
        <w:rPr>
          <w:rFonts w:hint="eastAsia" w:ascii="仿宋" w:hAnsi="仿宋" w:eastAsia="仿宋" w:cs="仿宋"/>
          <w:color w:val="000000"/>
        </w:rPr>
        <w:t>比选小组可视情况要求供应商进行多轮比选。比选中，任何一方不得向第三方透露与比选有关的任何信息。</w:t>
      </w:r>
    </w:p>
    <w:bookmarkEnd w:id="93"/>
    <w:bookmarkEnd w:id="94"/>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w:t>
      </w: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w:t>
      </w:r>
      <w:r>
        <w:rPr>
          <w:rFonts w:hint="eastAsia" w:ascii="仿宋" w:hAnsi="仿宋" w:eastAsia="仿宋" w:cs="仿宋"/>
          <w:color w:val="000000"/>
          <w:lang w:val="en-US" w:eastAsia="zh-CN"/>
        </w:rPr>
        <w:t>8</w:t>
      </w:r>
      <w:r>
        <w:rPr>
          <w:rFonts w:hint="eastAsia" w:ascii="仿宋" w:hAnsi="仿宋" w:eastAsia="仿宋" w:cs="仿宋"/>
          <w:color w:val="000000"/>
        </w:rPr>
        <w:t>.1比选小组采用综合评分法对提交最终</w:t>
      </w:r>
      <w:r>
        <w:rPr>
          <w:rFonts w:hint="eastAsia" w:ascii="仿宋" w:hAnsi="仿宋" w:eastAsia="仿宋" w:cs="仿宋"/>
          <w:color w:val="000000"/>
          <w:lang w:eastAsia="zh-CN"/>
        </w:rPr>
        <w:t>比选响应</w:t>
      </w:r>
      <w:r>
        <w:rPr>
          <w:rFonts w:hint="eastAsia" w:ascii="仿宋" w:hAnsi="仿宋" w:eastAsia="仿宋" w:cs="仿宋"/>
          <w:color w:val="000000"/>
        </w:rPr>
        <w:t>的供应商的响应文件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w:t>
      </w:r>
      <w:r>
        <w:rPr>
          <w:rFonts w:hint="eastAsia" w:ascii="仿宋" w:hAnsi="仿宋" w:eastAsia="仿宋" w:cs="仿宋"/>
          <w:color w:val="000000"/>
          <w:lang w:val="en-US" w:eastAsia="zh-CN"/>
        </w:rPr>
        <w:t>8</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2</w:t>
      </w:r>
      <w:r>
        <w:rPr>
          <w:rFonts w:hint="eastAsia" w:ascii="仿宋" w:hAnsi="仿宋" w:eastAsia="仿宋" w:cs="仿宋"/>
          <w:color w:val="000000"/>
        </w:rPr>
        <w:t>）成交人为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w:t>
      </w:r>
      <w:r>
        <w:rPr>
          <w:rFonts w:hint="eastAsia" w:ascii="仿宋" w:hAnsi="仿宋" w:eastAsia="仿宋" w:cs="仿宋"/>
          <w:color w:val="000000"/>
          <w:highlight w:val="none"/>
        </w:rPr>
        <w:t>于N+</w:t>
      </w:r>
      <w:r>
        <w:rPr>
          <w:rFonts w:ascii="仿宋" w:hAnsi="仿宋" w:eastAsia="仿宋" w:cs="仿宋"/>
          <w:color w:val="000000"/>
          <w:highlight w:val="none"/>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3</w:t>
      </w:r>
      <w:r>
        <w:rPr>
          <w:rFonts w:hint="eastAsia" w:ascii="仿宋" w:hAnsi="仿宋" w:eastAsia="仿宋" w:cs="仿宋"/>
          <w:color w:val="000000"/>
        </w:rPr>
        <w:t>）因重大变故，采购任务取消。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w:t>
      </w:r>
      <w:r>
        <w:rPr>
          <w:rFonts w:hint="eastAsia" w:ascii="仿宋" w:hAnsi="仿宋" w:eastAsia="仿宋" w:cs="仿宋"/>
          <w:color w:val="000000"/>
          <w:lang w:val="en-US" w:eastAsia="zh-CN"/>
        </w:rPr>
        <w:t>8</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19</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hint="eastAsia" w:ascii="仿宋_GB2312" w:hAnsi="宋体" w:eastAsia="仿宋_GB2312"/>
          <w:lang w:val="en-US" w:eastAsia="zh-CN"/>
        </w:rPr>
        <w:t>19</w:t>
      </w:r>
      <w:r>
        <w:rPr>
          <w:rFonts w:ascii="仿宋_GB2312" w:hAnsi="宋体" w:eastAsia="仿宋_GB2312"/>
        </w:rPr>
        <w:t>.1供应商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hint="eastAsia" w:ascii="仿宋_GB2312" w:hAnsi="宋体" w:eastAsia="仿宋_GB2312"/>
          <w:lang w:val="en-US" w:eastAsia="zh-CN"/>
        </w:rPr>
        <w:t>19</w:t>
      </w:r>
      <w:r>
        <w:rPr>
          <w:rFonts w:ascii="仿宋_GB2312" w:hAnsi="宋体" w:eastAsia="仿宋_GB2312"/>
        </w:rPr>
        <w:t>.2供应商</w:t>
      </w:r>
      <w:r>
        <w:rPr>
          <w:rFonts w:hint="eastAsia" w:ascii="仿宋_GB2312" w:hAnsi="宋体" w:eastAsia="仿宋_GB2312"/>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rPr>
      </w:pPr>
      <w:r>
        <w:rPr>
          <w:rFonts w:hint="eastAsia" w:ascii="仿宋_GB2312" w:hAnsi="宋体" w:eastAsia="仿宋_GB2312"/>
          <w:lang w:val="en-US" w:eastAsia="zh-CN"/>
        </w:rPr>
        <w:t>19</w:t>
      </w:r>
      <w:r>
        <w:rPr>
          <w:rFonts w:ascii="仿宋_GB2312" w:hAnsi="宋体" w:eastAsia="仿宋_GB2312"/>
        </w:rPr>
        <w:t>.3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hint="eastAsia" w:ascii="仿宋_GB2312" w:hAnsi="宋体" w:eastAsia="仿宋_GB2312"/>
          <w:lang w:val="en-US" w:eastAsia="zh-CN"/>
        </w:rPr>
        <w:t>19</w:t>
      </w:r>
      <w:r>
        <w:rPr>
          <w:rFonts w:ascii="仿宋_GB2312" w:hAnsi="宋体" w:eastAsia="仿宋_GB2312"/>
        </w:rPr>
        <w:t>.4供应商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hint="eastAsia" w:ascii="仿宋_GB2312" w:hAnsi="宋体" w:eastAsia="仿宋_GB2312"/>
          <w:lang w:val="en-US" w:eastAsia="zh-CN"/>
        </w:rPr>
        <w:t>19</w:t>
      </w:r>
      <w:r>
        <w:rPr>
          <w:rFonts w:ascii="仿宋_GB2312" w:hAnsi="宋体" w:eastAsia="仿宋_GB2312"/>
        </w:rPr>
        <w:t>.5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20</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jc w:val="left"/>
        <w:rPr>
          <w:rFonts w:ascii="仿宋" w:hAnsi="仿宋" w:eastAsia="仿宋" w:cs="仿宋"/>
          <w:color w:val="000000"/>
          <w:sz w:val="24"/>
          <w:szCs w:val="24"/>
        </w:rPr>
      </w:pPr>
      <w:bookmarkStart w:id="95" w:name="_Toc16781"/>
      <w:bookmarkStart w:id="96" w:name="_Toc186737805"/>
      <w:bookmarkStart w:id="97" w:name="_Toc444891342"/>
      <w:bookmarkStart w:id="98" w:name="_Toc9911"/>
      <w:bookmarkStart w:id="99" w:name="_Toc287600124"/>
      <w:bookmarkStart w:id="100" w:name="_Toc13936"/>
      <w:bookmarkStart w:id="101" w:name="_Toc517281822"/>
      <w:bookmarkStart w:id="102" w:name="_Toc234223231"/>
      <w:bookmarkStart w:id="103" w:name="_Toc2322"/>
      <w:bookmarkStart w:id="104" w:name="_Toc19451"/>
      <w:bookmarkStart w:id="105" w:name="_Toc28031"/>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1</w:t>
      </w:r>
      <w:r>
        <w:rPr>
          <w:rFonts w:ascii="仿宋" w:hAnsi="仿宋" w:eastAsia="仿宋" w:cs="仿宋"/>
          <w:color w:val="000000"/>
          <w:sz w:val="24"/>
          <w:szCs w:val="24"/>
        </w:rPr>
        <w:t>.</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w:t>
      </w:r>
      <w:r>
        <w:rPr>
          <w:rFonts w:hint="eastAsia" w:ascii="仿宋" w:hAnsi="仿宋" w:eastAsia="仿宋" w:cs="仿宋"/>
          <w:color w:val="000000"/>
          <w:lang w:val="en-US" w:eastAsia="zh-CN"/>
        </w:rPr>
        <w:t>1</w:t>
      </w:r>
      <w:r>
        <w:rPr>
          <w:rFonts w:ascii="仿宋" w:hAnsi="仿宋" w:eastAsia="仿宋" w:cs="仿宋"/>
          <w:color w:val="000000"/>
        </w:rPr>
        <w:t>.1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1</w:t>
      </w:r>
      <w:r>
        <w:rPr>
          <w:rFonts w:ascii="仿宋" w:hAnsi="仿宋" w:eastAsia="仿宋" w:cs="宋体"/>
          <w:color w:val="000000"/>
        </w:rPr>
        <w:t>.</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ascii="仿宋" w:hAnsi="仿宋" w:eastAsia="仿宋" w:cs="仿宋"/>
          <w:color w:val="auto"/>
          <w:sz w:val="24"/>
          <w:szCs w:val="24"/>
          <w:highlight w:val="none"/>
        </w:rPr>
        <w:t>.</w:t>
      </w:r>
      <w:r>
        <w:rPr>
          <w:rFonts w:hint="eastAsia" w:ascii="仿宋" w:hAnsi="仿宋" w:eastAsia="仿宋" w:cs="仿宋"/>
          <w:color w:val="auto"/>
          <w:sz w:val="24"/>
          <w:szCs w:val="24"/>
          <w:highlight w:val="none"/>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w:t>
      </w:r>
      <w:r>
        <w:rPr>
          <w:rFonts w:hint="eastAsia" w:ascii="仿宋" w:hAnsi="仿宋" w:eastAsia="仿宋" w:cs="宋体"/>
          <w:color w:val="000000"/>
          <w:lang w:eastAsia="zh-CN"/>
        </w:rPr>
        <w:t>服务、</w:t>
      </w:r>
      <w:r>
        <w:rPr>
          <w:rFonts w:hint="eastAsia" w:ascii="仿宋" w:hAnsi="仿宋" w:eastAsia="仿宋" w:cs="宋体"/>
          <w:color w:val="000000"/>
        </w:rPr>
        <w:t>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hint="eastAsia" w:ascii="仿宋" w:hAnsi="仿宋" w:eastAsia="仿宋" w:cs="仿宋"/>
          <w:color w:val="000000"/>
          <w:lang w:val="en-US" w:eastAsia="zh-CN"/>
        </w:rPr>
        <w:t>2</w:t>
      </w:r>
      <w:r>
        <w:rPr>
          <w:rFonts w:ascii="仿宋" w:hAnsi="仿宋" w:eastAsia="仿宋" w:cs="仿宋"/>
          <w:color w:val="000000"/>
        </w:rPr>
        <w:t>.2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w:t>
      </w:r>
      <w:r>
        <w:rPr>
          <w:rFonts w:hint="eastAsia" w:ascii="仿宋" w:hAnsi="仿宋" w:eastAsia="仿宋" w:cs="宋体"/>
          <w:color w:val="000000"/>
          <w:lang w:val="en-US" w:eastAsia="zh-CN"/>
        </w:rPr>
        <w:t>2</w:t>
      </w:r>
      <w:r>
        <w:rPr>
          <w:rFonts w:ascii="仿宋" w:hAnsi="仿宋" w:eastAsia="仿宋" w:cs="宋体"/>
          <w:color w:val="000000"/>
        </w:rPr>
        <w:t>.3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2</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10670"/>
      <w:bookmarkStart w:id="108" w:name="_Toc186737806"/>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517281825"/>
      <w:bookmarkStart w:id="111" w:name="_Toc7201"/>
      <w:bookmarkStart w:id="112" w:name="_Toc186737807"/>
      <w:bookmarkStart w:id="113" w:name="_Toc444891344"/>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（1）未按比选公告要求递交纸质响应文件；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w:t>
      </w:r>
      <w:r>
        <w:rPr>
          <w:rFonts w:hint="eastAsia" w:ascii="仿宋" w:hAnsi="仿宋" w:eastAsia="仿宋" w:cs="宋体"/>
          <w:color w:val="000000"/>
          <w:lang w:val="en-US" w:eastAsia="zh-CN"/>
        </w:rPr>
        <w:t>6</w:t>
      </w:r>
      <w:r>
        <w:rPr>
          <w:rFonts w:hint="eastAsia" w:ascii="仿宋" w:hAnsi="仿宋" w:eastAsia="仿宋" w:cs="宋体"/>
          <w:color w:val="000000"/>
        </w:rPr>
        <w:t xml:space="preserve">）响应文件未对比选文件的实质性要求和条件作出响应；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w:t>
      </w:r>
      <w:r>
        <w:rPr>
          <w:rFonts w:hint="eastAsia" w:ascii="仿宋" w:hAnsi="仿宋" w:eastAsia="仿宋" w:cs="宋体"/>
          <w:color w:val="000000"/>
          <w:lang w:val="en-US" w:eastAsia="zh-CN"/>
        </w:rPr>
        <w:t>7</w:t>
      </w:r>
      <w:r>
        <w:rPr>
          <w:rFonts w:hint="eastAsia" w:ascii="仿宋" w:hAnsi="仿宋" w:eastAsia="仿宋" w:cs="宋体"/>
          <w:color w:val="000000"/>
        </w:rPr>
        <w:t>）供应商有串通投标、弄虚作假、行贿等违法行为；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w:t>
      </w:r>
      <w:r>
        <w:rPr>
          <w:rFonts w:hint="eastAsia" w:ascii="仿宋" w:hAnsi="仿宋" w:eastAsia="仿宋" w:cs="宋体"/>
          <w:color w:val="000000"/>
          <w:lang w:val="en-US" w:eastAsia="zh-CN"/>
        </w:rPr>
        <w:t>8</w:t>
      </w:r>
      <w:r>
        <w:rPr>
          <w:rFonts w:hint="eastAsia" w:ascii="仿宋" w:hAnsi="仿宋" w:eastAsia="仿宋" w:cs="宋体"/>
          <w:color w:val="000000"/>
        </w:rPr>
        <w:t>）响应文件附有采购人不能接受的条件；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w:t>
      </w:r>
      <w:r>
        <w:rPr>
          <w:rFonts w:hint="eastAsia" w:ascii="仿宋" w:hAnsi="仿宋" w:eastAsia="仿宋" w:cs="宋体"/>
          <w:color w:val="000000"/>
          <w:lang w:val="en-US" w:eastAsia="zh-CN"/>
        </w:rPr>
        <w:t>9</w:t>
      </w:r>
      <w:r>
        <w:rPr>
          <w:rFonts w:hint="eastAsia" w:ascii="仿宋" w:hAnsi="仿宋" w:eastAsia="仿宋" w:cs="宋体"/>
          <w:color w:val="000000"/>
        </w:rPr>
        <w:t>）不符合比选文件中规定的其他实质性要求。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lang w:val="en-US" w:eastAsia="zh-CN"/>
        </w:rPr>
        <w:t>6</w:t>
      </w:r>
      <w:r>
        <w:rPr>
          <w:rFonts w:hint="eastAsia" w:ascii="仿宋" w:hAnsi="仿宋" w:eastAsia="仿宋" w:cs="仿宋"/>
        </w:rPr>
        <w:t>.通过初步评审的响应文件进行详细评审及打分；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lang w:val="en-US" w:eastAsia="zh-CN"/>
        </w:rPr>
        <w:t>7</w:t>
      </w:r>
      <w:r>
        <w:rPr>
          <w:rFonts w:hint="eastAsia" w:ascii="仿宋" w:hAnsi="仿宋" w:eastAsia="仿宋" w:cs="仿宋"/>
        </w:rPr>
        <w:t>.按照综合评分由高到低的次序推荐成交候选人，提交评审结果，评审结果应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16" w:name="_Toc517281826"/>
      <w:bookmarkStart w:id="117" w:name="_Toc444891345"/>
      <w:r>
        <w:rPr>
          <w:rFonts w:hint="eastAsia" w:ascii="仿宋" w:hAnsi="仿宋" w:eastAsia="仿宋" w:cs="仿宋"/>
          <w:color w:val="000000"/>
          <w:sz w:val="24"/>
          <w:szCs w:val="24"/>
        </w:rPr>
        <w:br w:type="page"/>
      </w:r>
      <w:bookmarkStart w:id="118" w:name="_Toc32019"/>
      <w:bookmarkStart w:id="119" w:name="_Toc186737808"/>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pPr>
              <w:spacing w:before="24" w:after="24" w:line="276" w:lineRule="auto"/>
              <w:jc w:val="center"/>
              <w:rPr>
                <w:rFonts w:ascii="仿宋" w:hAnsi="仿宋" w:eastAsia="仿宋" w:cs="仿宋"/>
                <w:color w:val="000000"/>
                <w:sz w:val="22"/>
                <w:szCs w:val="21"/>
              </w:rPr>
            </w:pPr>
            <w:r>
              <w:rPr>
                <w:rFonts w:hint="eastAsia" w:ascii="仿宋" w:hAnsi="仿宋" w:eastAsia="仿宋" w:cs="仿宋"/>
                <w:color w:val="000000"/>
                <w:sz w:val="22"/>
                <w:szCs w:val="21"/>
              </w:rPr>
              <w:t>具有独立承担民事责任的能力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Monaco"/>
                <w:color w:val="000000"/>
                <w:sz w:val="22"/>
                <w:szCs w:val="21"/>
              </w:rPr>
              <w:t>供应商应具有履行合同所必需的设备和专业技术能力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非联合体投标</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20" w:name="_Toc25550"/>
      <w:bookmarkStart w:id="121" w:name="_Toc186737809"/>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w:t>
      </w:r>
      <w:commentRangeStart w:id="0"/>
      <w:r>
        <w:rPr>
          <w:rFonts w:hint="eastAsia" w:ascii="仿宋_GB2312" w:eastAsia="仿宋_GB2312"/>
        </w:rPr>
        <w:t>评分明细：</w:t>
      </w:r>
      <w:commentRangeEnd w:id="0"/>
      <w:r>
        <w:rPr>
          <w:rStyle w:val="34"/>
        </w:rPr>
        <w:commentReference w:id="0"/>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楷体" w:hAnsi="楷体" w:eastAsia="楷体" w:cs="仿宋_GB2312"/>
          <w:i/>
          <w:color w:val="auto"/>
          <w:szCs w:val="32"/>
        </w:rPr>
        <w:t>资源覆盖、服务经验、技术质量、服务水平和增值服务</w:t>
      </w:r>
      <w:r>
        <w:rPr>
          <w:rFonts w:hint="eastAsia" w:ascii="仿宋_GB2312" w:eastAsia="仿宋_GB2312"/>
          <w:color w:val="auto"/>
          <w:lang w:eastAsia="zh-CN"/>
        </w:rPr>
        <w:t>五</w:t>
      </w:r>
      <w:r>
        <w:rPr>
          <w:rFonts w:hint="eastAsia" w:ascii="仿宋_GB2312" w:eastAsia="仿宋_GB2312"/>
        </w:rPr>
        <w:t>项标准构成，评审专家将依据比选邀请文件要求，结合项目</w:t>
      </w:r>
      <w:r>
        <w:rPr>
          <w:rFonts w:hint="eastAsia" w:ascii="仿宋_GB2312" w:eastAsia="仿宋_GB2312"/>
          <w:lang w:eastAsia="zh-CN"/>
        </w:rPr>
        <w:t>资源覆盖</w:t>
      </w:r>
      <w:r>
        <w:rPr>
          <w:rFonts w:hint="eastAsia" w:ascii="仿宋_GB2312" w:eastAsia="仿宋_GB2312"/>
        </w:rPr>
        <w:t>、技术方案、服务方案等情况进行评分。各有效供应商的综合得分为各评审专家所评分值的算术平均值，若总得分相同，以</w:t>
      </w:r>
      <w:r>
        <w:rPr>
          <w:rFonts w:hint="eastAsia" w:ascii="仿宋_GB2312" w:eastAsia="仿宋_GB2312"/>
          <w:lang w:eastAsia="zh-CN"/>
        </w:rPr>
        <w:t>资源覆盖得分</w:t>
      </w:r>
      <w:r>
        <w:rPr>
          <w:rFonts w:hint="eastAsia" w:ascii="仿宋_GB2312" w:eastAsia="仿宋_GB2312"/>
        </w:rPr>
        <w:t>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项 目</w:t>
            </w:r>
          </w:p>
        </w:tc>
        <w:tc>
          <w:tcPr>
            <w:tcW w:w="6537" w:type="dxa"/>
            <w:noWrap w:val="0"/>
            <w:vAlign w:val="center"/>
          </w:tcPr>
          <w:p>
            <w:pPr>
              <w:spacing w:line="320" w:lineRule="exact"/>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评分内容</w:t>
            </w: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资源覆盖能力（35）</w:t>
            </w:r>
          </w:p>
        </w:tc>
        <w:tc>
          <w:tcPr>
            <w:tcW w:w="6537" w:type="dxa"/>
            <w:noWrap w:val="0"/>
            <w:vAlign w:val="center"/>
          </w:tcPr>
          <w:p>
            <w:pPr>
              <w:spacing w:line="320" w:lineRule="exact"/>
              <w:jc w:val="left"/>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u w:val="none"/>
                <w:lang w:val="en-US" w:eastAsia="zh-CN" w:bidi="ar"/>
              </w:rPr>
              <w:t>在选定区域内的资源覆盖能力，供应商需提供可用资源的充分依据。1.基础得分：</w:t>
            </w:r>
            <w:r>
              <w:rPr>
                <w:rFonts w:hint="eastAsia" w:ascii="仿宋" w:hAnsi="仿宋" w:eastAsia="仿宋" w:cs="仿宋"/>
                <w:i w:val="0"/>
                <w:iCs w:val="0"/>
                <w:color w:val="auto"/>
                <w:kern w:val="0"/>
                <w:sz w:val="21"/>
                <w:szCs w:val="21"/>
                <w:highlight w:val="none"/>
                <w:u w:val="none"/>
                <w:lang w:val="en-US" w:eastAsia="zh-CN" w:bidi="ar"/>
              </w:rPr>
              <w:t>按照第五章采购需求第二条服务项目（除第6条</w:t>
            </w:r>
            <w:bookmarkStart w:id="195" w:name="_GoBack"/>
            <w:bookmarkEnd w:id="195"/>
            <w:r>
              <w:rPr>
                <w:rFonts w:hint="eastAsia" w:ascii="仿宋" w:hAnsi="仿宋" w:eastAsia="仿宋" w:cs="仿宋"/>
                <w:i w:val="0"/>
                <w:iCs w:val="0"/>
                <w:color w:val="auto"/>
                <w:kern w:val="0"/>
                <w:sz w:val="21"/>
                <w:szCs w:val="21"/>
                <w:highlight w:val="none"/>
                <w:u w:val="none"/>
                <w:lang w:val="en-US" w:eastAsia="zh-CN" w:bidi="ar"/>
              </w:rPr>
              <w:t>），每个服务项目需提供资源依据</w:t>
            </w:r>
            <w:r>
              <w:rPr>
                <w:rFonts w:hint="eastAsia" w:ascii="Arial" w:hAnsi="Arial" w:eastAsia="仿宋" w:cs="Arial"/>
                <w:i w:val="0"/>
                <w:iCs w:val="0"/>
                <w:color w:val="auto"/>
                <w:kern w:val="0"/>
                <w:sz w:val="21"/>
                <w:szCs w:val="21"/>
                <w:highlight w:val="none"/>
                <w:u w:val="none"/>
                <w:lang w:val="en-US" w:eastAsia="zh-CN" w:bidi="ar"/>
              </w:rPr>
              <w:t>1个，提供一个</w:t>
            </w:r>
            <w:r>
              <w:rPr>
                <w:rFonts w:hint="eastAsia" w:ascii="仿宋" w:hAnsi="仿宋" w:eastAsia="仿宋" w:cs="仿宋"/>
                <w:i w:val="0"/>
                <w:iCs w:val="0"/>
                <w:color w:val="auto"/>
                <w:kern w:val="0"/>
                <w:sz w:val="21"/>
                <w:szCs w:val="21"/>
                <w:highlight w:val="none"/>
                <w:u w:val="none"/>
                <w:lang w:val="en-US" w:eastAsia="zh-CN" w:bidi="ar"/>
              </w:rPr>
              <w:t xml:space="preserve">得5分，全部提供得25分未满足得0分。                                       </w:t>
            </w:r>
          </w:p>
          <w:p>
            <w:pPr>
              <w:spacing w:line="320" w:lineRule="exact"/>
              <w:jc w:val="left"/>
              <w:rPr>
                <w:rFonts w:hint="default" w:ascii="仿宋" w:hAnsi="仿宋" w:eastAsia="仿宋" w:cs="仿宋"/>
                <w:i/>
                <w:color w:val="auto"/>
                <w:szCs w:val="32"/>
                <w:lang w:val="en-US"/>
              </w:rPr>
            </w:pPr>
            <w:r>
              <w:rPr>
                <w:rFonts w:hint="eastAsia" w:ascii="仿宋" w:hAnsi="仿宋" w:eastAsia="仿宋" w:cs="仿宋"/>
                <w:i w:val="0"/>
                <w:iCs w:val="0"/>
                <w:color w:val="auto"/>
                <w:kern w:val="0"/>
                <w:sz w:val="21"/>
                <w:szCs w:val="21"/>
                <w:highlight w:val="none"/>
                <w:u w:val="none"/>
                <w:lang w:val="en-US" w:eastAsia="zh-CN" w:bidi="ar"/>
              </w:rPr>
              <w:t xml:space="preserve">2.增量得分：按照第五章采购需求第二条服务项目，每另增加提供一个资源依据，得1分，最高10分。                                资源依据：授权书等能充分证明投标人有在此点位开展宣传广告服务的依据。                                </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服务经验（20）</w:t>
            </w:r>
          </w:p>
        </w:tc>
        <w:tc>
          <w:tcPr>
            <w:tcW w:w="6537" w:type="dxa"/>
            <w:noWrap w:val="0"/>
            <w:vAlign w:val="center"/>
          </w:tcPr>
          <w:p>
            <w:pPr>
              <w:spacing w:line="320" w:lineRule="exact"/>
              <w:jc w:val="left"/>
              <w:rPr>
                <w:rFonts w:hint="eastAsia" w:ascii="仿宋" w:hAnsi="仿宋" w:eastAsia="仿宋" w:cs="仿宋"/>
                <w:i/>
                <w:color w:val="auto"/>
                <w:szCs w:val="32"/>
              </w:rPr>
            </w:pPr>
            <w:r>
              <w:rPr>
                <w:rFonts w:hint="eastAsia" w:ascii="仿宋" w:hAnsi="仿宋" w:eastAsia="仿宋" w:cs="仿宋"/>
                <w:i w:val="0"/>
                <w:iCs w:val="0"/>
                <w:color w:val="auto"/>
                <w:kern w:val="0"/>
                <w:sz w:val="21"/>
                <w:szCs w:val="21"/>
                <w:u w:val="none"/>
                <w:lang w:val="en-US" w:eastAsia="zh-CN" w:bidi="ar"/>
              </w:rPr>
              <w:t>投标人近三年（2023年1月1日至开标日）</w:t>
            </w:r>
            <w:r>
              <w:rPr>
                <w:rFonts w:hint="eastAsia" w:ascii="仿宋" w:hAnsi="仿宋" w:eastAsia="仿宋" w:cs="仿宋"/>
                <w:i w:val="0"/>
                <w:iCs w:val="0"/>
                <w:color w:val="auto"/>
                <w:kern w:val="0"/>
                <w:sz w:val="21"/>
                <w:szCs w:val="21"/>
                <w:highlight w:val="none"/>
                <w:u w:val="none"/>
                <w:lang w:val="en-US" w:eastAsia="zh-CN" w:bidi="ar"/>
              </w:rPr>
              <w:t>，每提供1个非本项目宣传服务类的其他类型项目案例得2分；按照第五章采购需求第二条所需求服务项目，每增加1个同项目案例（不限区域）得3分，最多得20分。</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noWrap w:val="0"/>
            <w:vAlign w:val="center"/>
          </w:tcPr>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技术质量</w:t>
            </w:r>
          </w:p>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得分</w:t>
            </w:r>
          </w:p>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（20）</w:t>
            </w:r>
          </w:p>
        </w:tc>
        <w:tc>
          <w:tcPr>
            <w:tcW w:w="6537" w:type="dxa"/>
            <w:noWrap w:val="0"/>
            <w:vAlign w:val="center"/>
          </w:tcPr>
          <w:p>
            <w:pPr>
              <w:pBdr>
                <w:top w:val="none" w:color="auto" w:sz="0" w:space="0"/>
                <w:left w:val="none" w:color="auto" w:sz="0" w:space="0"/>
                <w:bottom w:val="none" w:color="auto" w:sz="0" w:space="0"/>
                <w:right w:val="none" w:color="auto" w:sz="0" w:space="0"/>
              </w:pBdr>
              <w:spacing w:line="360" w:lineRule="atLeast"/>
              <w:rPr>
                <w:rFonts w:hint="eastAsia" w:ascii="仿宋" w:hAnsi="仿宋" w:eastAsia="仿宋" w:cs="仿宋"/>
                <w:sz w:val="21"/>
                <w:szCs w:val="21"/>
                <w:lang w:bidi="ar"/>
              </w:rPr>
            </w:pPr>
            <w:r>
              <w:rPr>
                <w:rFonts w:hint="eastAsia" w:ascii="仿宋" w:hAnsi="仿宋" w:eastAsia="仿宋" w:cs="仿宋"/>
                <w:sz w:val="21"/>
                <w:szCs w:val="21"/>
                <w:lang w:bidi="ar"/>
              </w:rPr>
              <w:t>根据投标人针对本项目制定的服务方案完整性、全面性、对需求响应的契合度等方面的理解程度及解决办法、服务计划、应急方案等方面进行综合评审。</w:t>
            </w:r>
          </w:p>
          <w:p>
            <w:pPr>
              <w:pBdr>
                <w:top w:val="none" w:color="auto" w:sz="0" w:space="0"/>
                <w:left w:val="none" w:color="auto" w:sz="0" w:space="0"/>
                <w:bottom w:val="none" w:color="auto" w:sz="0" w:space="0"/>
                <w:right w:val="none" w:color="auto" w:sz="0" w:space="0"/>
              </w:pBdr>
              <w:spacing w:line="360" w:lineRule="atLeast"/>
              <w:rPr>
                <w:rFonts w:hint="eastAsia" w:ascii="仿宋" w:hAnsi="仿宋" w:eastAsia="仿宋" w:cs="仿宋"/>
                <w:sz w:val="21"/>
                <w:szCs w:val="21"/>
                <w:lang w:bidi="ar"/>
              </w:rPr>
            </w:pPr>
            <w:r>
              <w:rPr>
                <w:rFonts w:hint="eastAsia" w:ascii="仿宋" w:hAnsi="仿宋" w:eastAsia="仿宋" w:cs="仿宋"/>
                <w:sz w:val="21"/>
                <w:szCs w:val="21"/>
                <w:lang w:bidi="ar"/>
              </w:rPr>
              <w:t>优良（11-15分）：方案完整覆盖采购全部需求，投放策略、执行计划、应急方案齐全，贴合宣传场景；</w:t>
            </w:r>
          </w:p>
          <w:p>
            <w:pPr>
              <w:pBdr>
                <w:top w:val="none" w:color="auto" w:sz="0" w:space="0"/>
                <w:left w:val="none" w:color="auto" w:sz="0" w:space="0"/>
                <w:bottom w:val="none" w:color="auto" w:sz="0" w:space="0"/>
                <w:right w:val="none" w:color="auto" w:sz="0" w:space="0"/>
              </w:pBdr>
              <w:spacing w:line="360" w:lineRule="atLeast"/>
              <w:rPr>
                <w:rFonts w:hint="eastAsia" w:ascii="仿宋" w:hAnsi="仿宋" w:eastAsia="仿宋" w:cs="仿宋"/>
                <w:sz w:val="21"/>
                <w:szCs w:val="21"/>
                <w:lang w:bidi="ar"/>
              </w:rPr>
            </w:pPr>
            <w:r>
              <w:rPr>
                <w:rFonts w:hint="eastAsia" w:ascii="仿宋" w:hAnsi="仿宋" w:eastAsia="仿宋" w:cs="仿宋"/>
                <w:sz w:val="21"/>
                <w:szCs w:val="21"/>
                <w:lang w:bidi="ar"/>
              </w:rPr>
              <w:t>较好（6-10分）：方案基本覆盖需求，核心服务内容完整，无重大缺失；</w:t>
            </w:r>
          </w:p>
          <w:p>
            <w:pPr>
              <w:pBdr>
                <w:top w:val="none" w:color="auto" w:sz="0" w:space="0"/>
                <w:left w:val="none" w:color="auto" w:sz="0" w:space="0"/>
                <w:bottom w:val="none" w:color="auto" w:sz="0" w:space="0"/>
                <w:right w:val="none" w:color="auto" w:sz="0" w:space="0"/>
              </w:pBdr>
              <w:spacing w:line="360" w:lineRule="atLeast"/>
              <w:rPr>
                <w:rFonts w:hint="eastAsia" w:ascii="仿宋" w:hAnsi="仿宋" w:eastAsia="仿宋" w:cs="仿宋"/>
                <w:sz w:val="21"/>
                <w:szCs w:val="21"/>
                <w:lang w:bidi="ar"/>
              </w:rPr>
            </w:pPr>
            <w:r>
              <w:rPr>
                <w:rFonts w:hint="eastAsia" w:ascii="仿宋" w:hAnsi="仿宋" w:eastAsia="仿宋" w:cs="仿宋"/>
                <w:sz w:val="21"/>
                <w:szCs w:val="21"/>
                <w:lang w:bidi="ar"/>
              </w:rPr>
              <w:t>一般（0-5分）：方案残缺，未响应核心采购需求，无落地性。</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noWrap w:val="0"/>
            <w:vAlign w:val="center"/>
          </w:tcPr>
          <w:p>
            <w:pPr>
              <w:spacing w:line="320" w:lineRule="exact"/>
              <w:jc w:val="center"/>
              <w:rPr>
                <w:rFonts w:hint="eastAsia" w:ascii="仿宋" w:hAnsi="仿宋" w:eastAsia="仿宋" w:cs="仿宋"/>
                <w:i w:val="0"/>
                <w:iCs w:val="0"/>
                <w:color w:val="auto"/>
                <w:kern w:val="0"/>
                <w:sz w:val="24"/>
                <w:szCs w:val="24"/>
                <w:u w:val="none"/>
                <w:lang w:val="en-US" w:eastAsia="zh-CN" w:bidi="ar"/>
              </w:rPr>
            </w:pPr>
          </w:p>
        </w:tc>
        <w:tc>
          <w:tcPr>
            <w:tcW w:w="6537" w:type="dxa"/>
            <w:noWrap w:val="0"/>
            <w:vAlign w:val="center"/>
          </w:tcPr>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6537" w:type="dxa"/>
                  <w:vAlign w:val="center"/>
                </w:tcPr>
                <w:p>
                  <w:pPr>
                    <w:spacing w:line="320" w:lineRule="exact"/>
                    <w:rPr>
                      <w:rFonts w:hint="eastAsia" w:ascii="仿宋" w:hAnsi="仿宋" w:eastAsia="仿宋" w:cs="仿宋"/>
                      <w:sz w:val="21"/>
                      <w:szCs w:val="21"/>
                      <w:lang w:eastAsia="zh-CN" w:bidi="ar"/>
                    </w:rPr>
                  </w:pPr>
                  <w:r>
                    <w:rPr>
                      <w:rFonts w:hint="eastAsia" w:ascii="仿宋" w:hAnsi="仿宋" w:eastAsia="仿宋" w:cs="仿宋"/>
                      <w:sz w:val="21"/>
                      <w:szCs w:val="21"/>
                      <w:lang w:bidi="ar"/>
                    </w:rPr>
                    <w:t>投标人项目团队对需求的响应程度高，项目团队人员配备合理，职责分工明确，团队人员技术能力、综合素质等方面进行评价</w:t>
                  </w:r>
                  <w:r>
                    <w:rPr>
                      <w:rFonts w:hint="eastAsia" w:ascii="仿宋" w:hAnsi="仿宋" w:eastAsia="仿宋" w:cs="仿宋"/>
                      <w:sz w:val="21"/>
                      <w:szCs w:val="21"/>
                      <w:lang w:eastAsia="zh-CN" w:bidi="ar"/>
                    </w:rPr>
                    <w:t>。</w:t>
                  </w:r>
                </w:p>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优良（4-5分）：团队固定专人负责，人员配置合理、分工明确，核心人员具备宣传广告服务经验；</w:t>
                  </w:r>
                </w:p>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较好（2-3分）：团队配置基本满足需求，分工清晰；</w:t>
                  </w:r>
                </w:p>
                <w:p>
                  <w:pPr>
                    <w:spacing w:line="320" w:lineRule="exact"/>
                    <w:rPr>
                      <w:rFonts w:ascii="仿宋" w:hAnsi="仿宋" w:eastAsia="仿宋" w:cs="仿宋"/>
                      <w:sz w:val="21"/>
                      <w:szCs w:val="21"/>
                      <w:lang w:bidi="ar"/>
                    </w:rPr>
                  </w:pPr>
                  <w:r>
                    <w:rPr>
                      <w:rFonts w:hint="eastAsia" w:ascii="仿宋" w:hAnsi="仿宋" w:eastAsia="仿宋" w:cs="仿宋"/>
                      <w:sz w:val="21"/>
                      <w:szCs w:val="21"/>
                      <w:lang w:bidi="ar"/>
                    </w:rPr>
                    <w:t>一般（0-1分）：团队配置薄弱，无固定负责人及分工。</w:t>
                  </w:r>
                </w:p>
              </w:tc>
            </w:tr>
          </w:tbl>
          <w:p>
            <w:pPr>
              <w:spacing w:line="320" w:lineRule="exact"/>
              <w:jc w:val="left"/>
              <w:rPr>
                <w:rFonts w:hint="eastAsia" w:ascii="仿宋" w:hAnsi="仿宋" w:eastAsia="仿宋" w:cs="仿宋"/>
                <w:i w:val="0"/>
                <w:iCs w:val="0"/>
                <w:color w:val="auto"/>
                <w:kern w:val="0"/>
                <w:sz w:val="21"/>
                <w:szCs w:val="21"/>
                <w:u w:val="none"/>
                <w:lang w:val="en-US" w:eastAsia="zh-CN" w:bidi="ar"/>
              </w:rPr>
            </w:pPr>
          </w:p>
        </w:tc>
        <w:tc>
          <w:tcPr>
            <w:tcW w:w="1005" w:type="dxa"/>
            <w:noWrap w:val="0"/>
            <w:vAlign w:val="center"/>
          </w:tcPr>
          <w:p>
            <w:pPr>
              <w:spacing w:line="320" w:lineRule="exact"/>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jc w:val="center"/>
        </w:trPr>
        <w:tc>
          <w:tcPr>
            <w:tcW w:w="1340" w:type="dxa"/>
            <w:vMerge w:val="restart"/>
            <w:noWrap w:val="0"/>
            <w:vAlign w:val="center"/>
          </w:tcPr>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服务水平</w:t>
            </w:r>
          </w:p>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评分</w:t>
            </w:r>
          </w:p>
          <w:p>
            <w:pPr>
              <w:spacing w:line="320" w:lineRule="exact"/>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（20）</w:t>
            </w:r>
          </w:p>
        </w:tc>
        <w:tc>
          <w:tcPr>
            <w:tcW w:w="6537" w:type="dxa"/>
            <w:noWrap w:val="0"/>
            <w:vAlign w:val="center"/>
          </w:tcPr>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服务质量保证：投标人所提供的服务质量保证，包括服务标准、服务质量监测等方面。</w:t>
            </w:r>
          </w:p>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优良（7-10分）：承诺宣传投放全流程质控、效果监测、售后整改机制完善，</w:t>
            </w:r>
            <w:r>
              <w:rPr>
                <w:rFonts w:hint="eastAsia" w:ascii="仿宋" w:hAnsi="仿宋" w:eastAsia="仿宋" w:cs="仿宋"/>
                <w:sz w:val="21"/>
                <w:szCs w:val="21"/>
                <w:lang w:eastAsia="zh-CN" w:bidi="ar"/>
              </w:rPr>
              <w:t>并</w:t>
            </w:r>
            <w:r>
              <w:rPr>
                <w:rFonts w:hint="eastAsia" w:ascii="仿宋" w:hAnsi="仿宋" w:eastAsia="仿宋" w:cs="仿宋"/>
                <w:sz w:val="21"/>
                <w:szCs w:val="21"/>
                <w:lang w:bidi="ar"/>
              </w:rPr>
              <w:t>可</w:t>
            </w:r>
            <w:r>
              <w:rPr>
                <w:rFonts w:hint="eastAsia" w:ascii="仿宋" w:hAnsi="仿宋" w:eastAsia="仿宋" w:cs="仿宋"/>
                <w:sz w:val="21"/>
                <w:szCs w:val="21"/>
                <w:lang w:eastAsia="zh-CN" w:bidi="ar"/>
              </w:rPr>
              <w:t>随时根据需要</w:t>
            </w:r>
            <w:r>
              <w:rPr>
                <w:rFonts w:hint="eastAsia" w:ascii="仿宋" w:hAnsi="仿宋" w:eastAsia="仿宋" w:cs="仿宋"/>
                <w:sz w:val="21"/>
                <w:szCs w:val="21"/>
                <w:lang w:bidi="ar"/>
              </w:rPr>
              <w:t>提供</w:t>
            </w:r>
            <w:r>
              <w:rPr>
                <w:rFonts w:hint="eastAsia" w:ascii="仿宋" w:hAnsi="仿宋" w:eastAsia="仿宋" w:cs="仿宋"/>
                <w:sz w:val="21"/>
                <w:szCs w:val="21"/>
                <w:lang w:eastAsia="zh-CN" w:bidi="ar"/>
              </w:rPr>
              <w:t>佐证依据</w:t>
            </w:r>
            <w:r>
              <w:rPr>
                <w:rFonts w:hint="eastAsia" w:ascii="仿宋" w:hAnsi="仿宋" w:eastAsia="仿宋" w:cs="仿宋"/>
                <w:sz w:val="21"/>
                <w:szCs w:val="21"/>
                <w:lang w:bidi="ar"/>
              </w:rPr>
              <w:t>；</w:t>
            </w:r>
          </w:p>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较好（4-6分）：具备基础服务质控与售后保障措施；</w:t>
            </w:r>
          </w:p>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一般（0-3分）：无明确服务质量保障措施。</w:t>
            </w:r>
          </w:p>
          <w:p>
            <w:pPr>
              <w:spacing w:line="320" w:lineRule="exact"/>
              <w:jc w:val="left"/>
              <w:rPr>
                <w:rFonts w:hint="eastAsia" w:ascii="仿宋" w:hAnsi="仿宋" w:eastAsia="仿宋" w:cs="仿宋"/>
                <w:i/>
                <w:color w:val="auto"/>
                <w:szCs w:val="32"/>
              </w:rPr>
            </w:pP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340" w:type="dxa"/>
            <w:vMerge w:val="continue"/>
            <w:noWrap w:val="0"/>
            <w:vAlign w:val="center"/>
          </w:tcPr>
          <w:p>
            <w:pPr>
              <w:spacing w:line="320" w:lineRule="exact"/>
              <w:jc w:val="center"/>
              <w:rPr>
                <w:rFonts w:hint="eastAsia" w:ascii="仿宋" w:hAnsi="仿宋" w:eastAsia="仿宋" w:cs="仿宋"/>
                <w:i w:val="0"/>
                <w:iCs w:val="0"/>
                <w:color w:val="auto"/>
                <w:kern w:val="0"/>
                <w:sz w:val="21"/>
                <w:szCs w:val="21"/>
                <w:u w:val="none"/>
                <w:lang w:val="en-US" w:eastAsia="zh-CN" w:bidi="ar"/>
              </w:rPr>
            </w:pPr>
          </w:p>
        </w:tc>
        <w:tc>
          <w:tcPr>
            <w:tcW w:w="6537" w:type="dxa"/>
            <w:noWrap w:val="0"/>
            <w:vAlign w:val="center"/>
          </w:tcPr>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服务效率：投标人在服务提供过程中的高效率，包括服务响应时间、响应速度等方面。</w:t>
            </w:r>
          </w:p>
          <w:p>
            <w:pPr>
              <w:pStyle w:val="2"/>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优良（7-10分）：明确需求响应时限、投放执行时效，紧急需求可快速落地；</w:t>
            </w:r>
          </w:p>
          <w:p>
            <w:pPr>
              <w:pStyle w:val="2"/>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较好（4-6分）：有基本服务响应与执行时限承诺；</w:t>
            </w:r>
          </w:p>
          <w:p>
            <w:pPr>
              <w:spacing w:line="320" w:lineRule="exact"/>
              <w:jc w:val="left"/>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sz w:val="21"/>
                <w:szCs w:val="21"/>
                <w:lang w:val="en-US" w:eastAsia="zh-CN" w:bidi="ar"/>
              </w:rPr>
              <w:t>一般（0-3分）：无明确服务时效承诺。</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340" w:type="dxa"/>
            <w:noWrap w:val="0"/>
            <w:vAlign w:val="center"/>
          </w:tcPr>
          <w:p>
            <w:pPr>
              <w:spacing w:line="320" w:lineRule="exact"/>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4"/>
                <w:szCs w:val="24"/>
                <w:u w:val="none"/>
                <w:lang w:val="en-US" w:eastAsia="zh-CN" w:bidi="ar"/>
              </w:rPr>
              <w:t>增值服务（5）</w:t>
            </w:r>
          </w:p>
        </w:tc>
        <w:tc>
          <w:tcPr>
            <w:tcW w:w="6537" w:type="dxa"/>
            <w:noWrap w:val="0"/>
            <w:vAlign w:val="center"/>
          </w:tcPr>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根据供应商提供的增值服务赋分。</w:t>
            </w:r>
          </w:p>
          <w:p>
            <w:pPr>
              <w:spacing w:line="320" w:lineRule="exact"/>
              <w:rPr>
                <w:rFonts w:hint="eastAsia" w:ascii="仿宋" w:hAnsi="仿宋" w:eastAsia="仿宋" w:cs="仿宋"/>
                <w:sz w:val="21"/>
                <w:szCs w:val="21"/>
                <w:lang w:eastAsia="zh-CN" w:bidi="ar"/>
              </w:rPr>
            </w:pPr>
            <w:r>
              <w:rPr>
                <w:rFonts w:hint="eastAsia" w:ascii="仿宋" w:hAnsi="仿宋" w:eastAsia="仿宋" w:cs="仿宋"/>
                <w:sz w:val="21"/>
                <w:szCs w:val="21"/>
                <w:lang w:bidi="ar"/>
              </w:rPr>
              <w:t>优良（4-5分）：</w:t>
            </w:r>
            <w:r>
              <w:rPr>
                <w:rFonts w:hint="eastAsia" w:ascii="仿宋" w:hAnsi="仿宋" w:eastAsia="仿宋" w:cs="仿宋"/>
                <w:sz w:val="21"/>
                <w:szCs w:val="21"/>
                <w:lang w:eastAsia="zh-CN" w:bidi="ar"/>
              </w:rPr>
              <w:t>提供</w:t>
            </w:r>
            <w:r>
              <w:rPr>
                <w:rFonts w:hint="eastAsia" w:ascii="仿宋" w:hAnsi="仿宋" w:eastAsia="仿宋" w:cs="仿宋"/>
                <w:i w:val="0"/>
                <w:iCs w:val="0"/>
                <w:color w:val="auto"/>
                <w:kern w:val="0"/>
                <w:sz w:val="21"/>
                <w:szCs w:val="21"/>
                <w:highlight w:val="none"/>
                <w:u w:val="none"/>
                <w:lang w:val="en-US" w:eastAsia="zh-CN" w:bidi="ar"/>
              </w:rPr>
              <w:t>第五章采购需求第二条服务项目外的宣传广告场景，有完整的实施方案，且贴合项目需求；</w:t>
            </w:r>
          </w:p>
          <w:p>
            <w:pPr>
              <w:spacing w:line="320" w:lineRule="exact"/>
              <w:rPr>
                <w:rFonts w:hint="eastAsia" w:ascii="仿宋" w:hAnsi="仿宋" w:eastAsia="仿宋" w:cs="仿宋"/>
                <w:sz w:val="21"/>
                <w:szCs w:val="21"/>
                <w:lang w:bidi="ar"/>
              </w:rPr>
            </w:pPr>
            <w:r>
              <w:rPr>
                <w:rFonts w:hint="eastAsia" w:ascii="仿宋" w:hAnsi="仿宋" w:eastAsia="仿宋" w:cs="仿宋"/>
                <w:sz w:val="21"/>
                <w:szCs w:val="21"/>
                <w:lang w:bidi="ar"/>
              </w:rPr>
              <w:t>较好（2-3分）：提供贴合本项目的宣传增值服务（如免费设计、点位优化、效果复盘等）；</w:t>
            </w:r>
          </w:p>
          <w:p>
            <w:pPr>
              <w:spacing w:line="320" w:lineRule="exact"/>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sz w:val="21"/>
                <w:szCs w:val="21"/>
                <w:lang w:bidi="ar"/>
              </w:rPr>
              <w:t>一般（0-1分）：未提供增值服务或服务与项目无关。</w:t>
            </w:r>
          </w:p>
        </w:tc>
        <w:tc>
          <w:tcPr>
            <w:tcW w:w="1005" w:type="dxa"/>
            <w:noWrap w:val="0"/>
            <w:vAlign w:val="center"/>
          </w:tcPr>
          <w:p>
            <w:pPr>
              <w:spacing w:line="320" w:lineRule="exact"/>
              <w:jc w:val="center"/>
              <w:rPr>
                <w:rFonts w:hint="default"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5</w:t>
            </w:r>
          </w:p>
        </w:tc>
      </w:tr>
    </w:tbl>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bookmarkEnd w:id="109"/>
    <w:p>
      <w:pPr>
        <w:pStyle w:val="3"/>
        <w:spacing w:before="0" w:after="0"/>
        <w:jc w:val="left"/>
        <w:rPr>
          <w:rFonts w:hint="eastAsia" w:ascii="仿宋" w:hAnsi="仿宋" w:eastAsia="仿宋" w:cs="仿宋"/>
          <w:color w:val="FF0000"/>
          <w:sz w:val="28"/>
          <w:szCs w:val="28"/>
        </w:rPr>
      </w:pPr>
      <w:bookmarkStart w:id="122" w:name="_Toc15254"/>
      <w:bookmarkStart w:id="123" w:name="_Toc186737810"/>
    </w:p>
    <w:p>
      <w:pPr>
        <w:pStyle w:val="3"/>
        <w:spacing w:before="0" w:after="0"/>
        <w:ind w:left="0" w:leftChars="0" w:firstLine="0" w:firstLineChars="0"/>
        <w:jc w:val="left"/>
        <w:rPr>
          <w:rFonts w:hint="eastAsia" w:ascii="仿宋" w:hAnsi="仿宋" w:eastAsia="仿宋" w:cs="仿宋"/>
          <w:color w:val="FF0000"/>
          <w:sz w:val="28"/>
          <w:szCs w:val="28"/>
        </w:rPr>
      </w:pPr>
    </w:p>
    <w:p>
      <w:pPr>
        <w:pStyle w:val="3"/>
        <w:spacing w:before="0" w:after="0"/>
        <w:ind w:left="0" w:leftChars="0" w:firstLine="0" w:firstLineChars="0"/>
        <w:jc w:val="center"/>
        <w:rPr>
          <w:rStyle w:val="34"/>
          <w:rFonts w:asciiTheme="minorHAnsi" w:hAnsiTheme="minorHAnsi" w:eastAsiaTheme="minorEastAsia"/>
          <w:b w:val="0"/>
          <w:bCs w:val="0"/>
          <w:color w:val="auto"/>
          <w:kern w:val="0"/>
          <w:szCs w:val="24"/>
        </w:rPr>
      </w:pPr>
      <w:commentRangeStart w:id="1"/>
      <w:r>
        <w:rPr>
          <w:rFonts w:hint="eastAsia" w:ascii="仿宋" w:hAnsi="仿宋" w:eastAsia="仿宋" w:cs="仿宋"/>
          <w:color w:val="FF0000"/>
          <w:sz w:val="28"/>
          <w:szCs w:val="28"/>
        </w:rPr>
        <w:t>第四章 合同条</w:t>
      </w:r>
      <w:bookmarkEnd w:id="122"/>
      <w:r>
        <w:rPr>
          <w:rFonts w:hint="eastAsia" w:ascii="仿宋" w:hAnsi="仿宋" w:eastAsia="仿宋" w:cs="仿宋"/>
          <w:color w:val="FF0000"/>
          <w:sz w:val="28"/>
          <w:szCs w:val="28"/>
        </w:rPr>
        <w:t>款</w:t>
      </w:r>
      <w:commentRangeEnd w:id="1"/>
      <w:r>
        <w:rPr>
          <w:rStyle w:val="34"/>
          <w:rFonts w:asciiTheme="minorHAnsi" w:hAnsiTheme="minorHAnsi" w:eastAsiaTheme="minorEastAsia"/>
          <w:b w:val="0"/>
          <w:bCs w:val="0"/>
          <w:color w:val="auto"/>
          <w:kern w:val="0"/>
          <w:szCs w:val="24"/>
        </w:rPr>
        <w:commentReference w:id="1"/>
      </w:r>
      <w:bookmarkEnd w:id="123"/>
    </w:p>
    <w:p/>
    <w:p>
      <w:pPr>
        <w:pStyle w:val="2"/>
        <w:snapToGrid w:val="0"/>
        <w:spacing w:after="0" w:line="360" w:lineRule="auto"/>
        <w:ind w:left="138" w:right="228" w:firstLine="480"/>
        <w:jc w:val="center"/>
        <w:rPr>
          <w:rFonts w:hint="eastAsia" w:ascii="仿宋_GB2312" w:eastAsia="仿宋_GB2312"/>
        </w:rPr>
      </w:pPr>
      <w:r>
        <w:rPr>
          <w:rFonts w:hint="eastAsia" w:ascii="仿宋_GB2312" w:eastAsia="仿宋_GB2312"/>
        </w:rPr>
        <w:t>商务部分</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第一条 项目内容及要求</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本协议下项目内容及要求详见【附件】。</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 ......</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第二条 双方的权利和义务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                                通用部分</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第三条 合作原则</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平等自愿原则。甲乙双方自愿选择对方作为合作伙伴，互相支持、共同发展。</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 依法合规原则。甲乙双方的合作应遵守并执行国家法律法规、监管机构的监管规定，同时符合国家宏观经济政策、产业政策和保险监管政策。</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（三） 合作共赢原则。甲乙双方充分发挥各自优势，以相应资源和优质服务积极支持对方的业务发展。</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（四） ......</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第四条 合作模式</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合作模式</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（一）为积极落实本协议，保持双方间的业务信息畅通，甲乙双方应指定责任部门和人员负责日常联络，及时沟通业务合作进展情况。</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（二）甲、乙双方根据工作需要，就合作内容、方式等进行不定期会议，讨论双方合作规划，分析双方合作背景及市场变化，并实施相应的调整策略，不断对本协议的其它方面进行补充、完善和修改。</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（三）甲乙双方将采用项目合作推进模式，各自授权有关部门或下属公司商洽双方具体的合作事项。合作协议需要扩展到下属公司的，需由下属公司组织实施。</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（四）本协议不能取代、替换甲乙双方或其下属公司另行签订的具体业务协议，具体合作事项均以具体业务协议为准。</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第五条 双方的权利和义务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双方的权利和义务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（一）甲乙双方的合作应以符合法律法规及监管规定为前提。</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（二）甲乙双方应以长期合作为出发点，就上述合作进行及时、友好沟通与交流，并应对方的合理要求提供协助，包括但不限于提供与交易有关的真实、完整的文件、资料和信息。</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三）甲乙双方开展任何模式项下的具体业务时，将根据业务需求进行协商，确认交易结构，并另行签署相关具体业务协议等法律文件，就各项具体合作业务的合作方式以及双方的权利义务作出详细规定。该具体业务协议中对甲乙双方权利义务的规定与本协议规定不一致的，应以具体业务协议为准。</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（四）双方合作期间，未经甲方书面同意，乙方不得使用甲方的品牌标识、名称及商标开展任何宣传活动。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（五）本协议之签署不影响任何一方在本协议有效期内与本协议以外的第三方进行合作。</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第六条 违约责任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违约责任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在本协议有效期间内，如果因任何一方发生违约行为，给对方造成经济损失的，违约方应对守约方因此而遭受的全部经济损失承担赔偿责任。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第七条 商标使用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商标使用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未经甲方书面许可，乙方不得将甲方的商标、公司名称、标识等用于宣传和/或展示。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第八条 不可抗力</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本协议任何一方因不可抗力不能履行本协议约定的全部或部分义务，应尽快通知另一方，并应在不可抗力发生后3日内以书面形式向对方提供详细情况报告及不可抗力对履行本协议影响程度的说明。甲、乙双方应根据不可抗力对协议履行的影响程度，协商确定是否终止协议，或继续履行本协议。</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 本协议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（三） 协议一方迟延履行后发生不可抗力的，不能免除其责任。</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第九条 保密条款</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乙方应保证对本协议的所有相关内容及其因履行本协议所获知的各种甲方的具有保密性质的信息（包括但不限于经营、管理、商务、技术、营销、发展规划等）负有保密义务，未经甲方事前书面许可，不得将上述信息用于本协议目的之外；除为履行其职责而确有必要知悉保密资料的乙方工作人员或其他第三方外，乙方不向其他任何人披露上述信息，且乙方应确保上述人员承担与本协议约定同等严格的保密义务。</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 乙方在本协议中所受领的保密信息应及时返还甲方或在甲方监督下予以销毁。乙方擅自留存备份信息，视为违反保密约定。</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（三） 无论本协议因何种原因终止，本保密条款依然有效。</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第十条 协议的变更和解除</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协议的变更和解除</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协议变更</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对本协议的任何变更或补充，须经甲乙双方协商一致，并另行签订书面补充协议。</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 协议解除</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在本协议的履行过程中，任何一方如果拒绝按照本协议原则和精神开展合作，或严重违反本协议内容损害另一方在合作中的利益，或违法违规经营，或有其他严重损害客户利益的行为时，守约方可以书面通知违约方解除本协议，本协议在守约方解除协议书面通知到达违约方之日起解除。</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第十一条 法律适用与争议解决</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本协议的订立、效力、解释、履行和争议的解决均适用中华人民共和国法律（不包括港澳台地区法律）。</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 凡因本合同引起的或与本合同有关的任何争议，双方首先应友好协商解决。协商不成的，任何一方均可向甲方所在地有管辖权的法院提起诉讼。 </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第十二条 协议生效及其他</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（一） 本协议有效期_______年，自协议生效之日起计算。</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（二） 本协议为甲、乙双方加强合作而订立的框架性文件，是对双方权利义务的原则性约定，不构成双方具体合作业务项下法律上的权利义务。双方另行签订的具体业务协议，应在符合国家政策和法律、法规且符合双方业务审批条件和办理程序的前提下进行。如有与本协议冲突之条款，以具体业务协议为准。本协议自甲、乙双方授权代表签字并盖章之日起生效。</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（三） 本协议一式_______份，其中正本_______份，副本_______份。甲方执_______份正本，_______份副本；乙方执_______份正本，_______份副本。</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第十三条 附件的组成</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附件一</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 </w:t>
      </w:r>
    </w:p>
    <w:p>
      <w:pPr>
        <w:pStyle w:val="2"/>
        <w:snapToGrid w:val="0"/>
        <w:spacing w:after="0" w:line="360" w:lineRule="auto"/>
        <w:ind w:left="138" w:right="228" w:firstLine="480"/>
        <w:jc w:val="center"/>
        <w:rPr>
          <w:rFonts w:hint="eastAsia" w:ascii="仿宋_GB2312" w:eastAsia="仿宋_GB2312"/>
        </w:rPr>
      </w:pPr>
      <w:r>
        <w:rPr>
          <w:rFonts w:hint="eastAsia" w:ascii="仿宋_GB2312" w:eastAsia="仿宋_GB2312"/>
        </w:rPr>
        <w:t>服务内容及要求</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lang w:val="en-US" w:eastAsia="zh-CN"/>
        </w:rPr>
        <w:t>一、服务项目及范围</w:t>
      </w:r>
      <w:r>
        <w:rPr>
          <w:rFonts w:hint="eastAsia" w:ascii="仿宋_GB2312" w:eastAsia="仿宋_GB2312"/>
        </w:rPr>
        <w:t xml:space="preserve">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本合同项下甲乙双方约定的项目内容及要求：</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按照采购人需求，在高县县域范围内开展宣传服务，宣传服务内容涉及：</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1.街道路牌宣传服务：选取县域城区内人流量集中的街道路牌，定点位制作宣传物料开展宣传；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2.客运车辆内外宣传服务：选取县域客运车辆开展车内拉手、靠背等宣传位，LED顶灯或车身制作宣传物料开展宣传；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3.墙体宣传服务：选取县域乡镇、场镇路口点位制作宣传物料开展宣传；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4.小区、商业体宣传服务：选取县域城区内优质小区、商业体的电梯、道闸、灯箱、停车场出入口墙体、LED屏等点位制作宣传物料开展宣传；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5.小区、超市、社区地推宣传服务：选取县域城区内优质小区、超市，摆放宣传物料，配置具有保险知识的宣传人员开展宣传；</w:t>
      </w:r>
    </w:p>
    <w:p>
      <w:pPr>
        <w:pStyle w:val="2"/>
        <w:snapToGrid w:val="0"/>
        <w:spacing w:after="0" w:line="360" w:lineRule="auto"/>
        <w:ind w:left="138" w:right="228" w:firstLine="480"/>
        <w:jc w:val="both"/>
        <w:rPr>
          <w:rFonts w:hint="default"/>
          <w:lang w:val="en-US" w:eastAsia="zh-CN"/>
        </w:rPr>
      </w:pPr>
      <w:r>
        <w:rPr>
          <w:rFonts w:hint="eastAsia" w:ascii="仿宋_GB2312" w:eastAsia="仿宋_GB2312"/>
          <w:lang w:val="en-US" w:eastAsia="zh-CN"/>
        </w:rPr>
        <w:t>6.单独制作宣传广告物料。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_GB2312" w:eastAsia="仿宋_GB2312"/>
        </w:rPr>
        <w:t xml:space="preserve"> </w:t>
      </w:r>
      <w:r>
        <w:rPr>
          <w:rFonts w:hint="eastAsia" w:ascii="仿宋" w:hAnsi="仿宋" w:eastAsia="仿宋" w:cs="仿宋"/>
          <w:color w:val="000000" w:themeColor="text1"/>
          <w:lang w:eastAsia="zh-CN"/>
          <w14:textFill>
            <w14:solidFill>
              <w14:schemeClr w14:val="tx1"/>
            </w14:solidFill>
          </w14:textFill>
        </w:rPr>
        <w:t>二、服务期限</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自合同签订之日起1年。</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三、服务总体要求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1.乙方须具备合法广告经营资质，配备专业设计、制作、执行、维护团队，满足甲方全流程宣传需求。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2.乙方承诺宣传内容与形式符合《中华人民共和国广告法》及</w:t>
      </w:r>
      <w:r>
        <w:rPr>
          <w:rFonts w:hint="eastAsia" w:ascii="仿宋" w:hAnsi="仿宋" w:eastAsia="仿宋" w:cs="仿宋"/>
          <w:color w:val="000000" w:themeColor="text1"/>
          <w:lang w:val="en-US" w:eastAsia="zh-CN"/>
          <w14:textFill>
            <w14:solidFill>
              <w14:schemeClr w14:val="tx1"/>
            </w14:solidFill>
          </w14:textFill>
        </w:rPr>
        <w:t>珙</w:t>
      </w:r>
      <w:r>
        <w:rPr>
          <w:rFonts w:hint="eastAsia" w:ascii="仿宋" w:hAnsi="仿宋" w:eastAsia="仿宋" w:cs="仿宋"/>
          <w:color w:val="000000" w:themeColor="text1"/>
          <w:lang w:eastAsia="zh-CN"/>
          <w14:textFill>
            <w14:solidFill>
              <w14:schemeClr w14:val="tx1"/>
            </w14:solidFill>
          </w14:textFill>
        </w:rPr>
        <w:t>县当地管理规定，因违规产生的法律责任与经济损失由乙方全额承担。</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3.甲方不对服务总量作出承诺，实际服务范围、规模、频次以合同执行期间甲方下达的正式订单为准。</w:t>
      </w:r>
    </w:p>
    <w:p>
      <w:pPr>
        <w:pStyle w:val="2"/>
        <w:spacing w:after="0" w:line="360" w:lineRule="auto"/>
        <w:ind w:left="138" w:right="228" w:firstLine="480"/>
        <w:jc w:val="both"/>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4.单次宣传广告服务实施前，甲方向成交供应商发送明确的执行需求，包括但不限于：宣传形式、点位要求、服务周期、物料规格、明细报价、付款方式、报价截止时间及密封报价递交方式等。供应商按要求递交密封报价文件后，甲方组织现场拆封，按“价低者得”原则确定当次服务的执行供应商，并签订项目补充协议，确保采购过程高效、透明、合规。</w:t>
      </w:r>
    </w:p>
    <w:p>
      <w:pPr>
        <w:pStyle w:val="2"/>
        <w:snapToGrid w:val="0"/>
        <w:spacing w:after="0" w:line="360" w:lineRule="auto"/>
        <w:ind w:left="138" w:right="228" w:firstLine="480"/>
        <w:jc w:val="both"/>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5.若在合同期内甲方因制度调整（包括但不限于公司经营目标体系改变，甲方上级公司统一集中采购）等因素，需重新实施宣传广告类的集中采购时，可终止本项目合同执行。</w:t>
      </w:r>
    </w:p>
    <w:p>
      <w:pPr>
        <w:pStyle w:val="2"/>
        <w:snapToGrid w:val="0"/>
        <w:spacing w:after="0" w:line="360" w:lineRule="auto"/>
        <w:ind w:right="228"/>
        <w:jc w:val="both"/>
        <w:rPr>
          <w:rFonts w:hint="eastAsia" w:ascii="仿宋_GB2312" w:eastAsia="仿宋_GB2312"/>
        </w:rPr>
      </w:pPr>
      <w:r>
        <w:rPr>
          <w:rFonts w:hint="eastAsia" w:ascii="仿宋_GB2312" w:eastAsia="仿宋_GB2312"/>
        </w:rPr>
        <w:t xml:space="preserve">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附件二 </w:t>
      </w:r>
    </w:p>
    <w:p>
      <w:pPr>
        <w:pStyle w:val="2"/>
        <w:spacing w:after="0" w:line="360" w:lineRule="auto"/>
        <w:ind w:left="138" w:right="228" w:firstLine="480"/>
        <w:jc w:val="center"/>
        <w:rPr>
          <w:rFonts w:hint="eastAsia" w:ascii="仿宋" w:hAnsi="仿宋" w:eastAsia="仿宋" w:cs="仿宋"/>
          <w:color w:val="000000" w:themeColor="text1"/>
          <w14:textFill>
            <w14:solidFill>
              <w14:schemeClr w14:val="tx1"/>
            </w14:solidFill>
          </w14:textFill>
        </w:rPr>
      </w:pPr>
      <w:r>
        <w:rPr>
          <w:rFonts w:hint="eastAsia" w:ascii="仿宋_GB2312" w:eastAsia="仿宋_GB2312"/>
        </w:rPr>
        <w:t xml:space="preserve"> </w:t>
      </w:r>
      <w:r>
        <w:rPr>
          <w:rFonts w:hint="eastAsia" w:ascii="仿宋" w:hAnsi="仿宋" w:eastAsia="仿宋" w:cs="仿宋"/>
          <w:color w:val="000000" w:themeColor="text1"/>
          <w14:textFill>
            <w14:solidFill>
              <w14:schemeClr w14:val="tx1"/>
            </w14:solidFill>
          </w14:textFill>
        </w:rPr>
        <w:t>服务方案及验收</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一、设计要求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1.乙方配备专属专业设计团队，根据甲方宣传需求设计宣传物料。</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2.设计修改次数不限，直至甲方书面确认满意；设计稿经甲方审核通过后方可制作投放。</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3.设计成果知识产权归甲方所有，乙方不得擅自使用或泄露。</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二、制作与物料要求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1.所有宣传物料符合国家质量标准及户外使用要求，具备防水、防晒、耐用、不褪色、不脱胶、无破损特性。</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.LED宣传画面色彩准确、清晰，尺寸适配；展架牢固稳定，印刷清晰无误、无错别字。</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3.物料材质、规格须提前报甲方确认，未经同意不得擅自变更。</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三、执行要求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1.乙方按甲方指定时间、地点、频次完成上刊/落地执行，提前做好场地协调、物料准备、人员安排。</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2.安排专人负责现场执行，确保宣传活动安全、有序、合规开展。</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3.因特殊情况需调整执行方案，须提前24小时书面告知甲方并征得书面同意。</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四、售后与维护要求</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1.LED故障：播放期内出现卡顿、黑屏、模糊等问题，乙方须在承诺时限内到场维修并恢复正常。</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2.物料维护：借地、墙体、</w:t>
      </w:r>
      <w:r>
        <w:rPr>
          <w:rFonts w:hint="eastAsia" w:ascii="仿宋" w:hAnsi="仿宋" w:eastAsia="仿宋" w:cs="仿宋"/>
          <w:color w:val="000000" w:themeColor="text1"/>
          <w:lang w:val="en-US" w:eastAsia="zh-CN"/>
          <w14:textFill>
            <w14:solidFill>
              <w14:schemeClr w14:val="tx1"/>
            </w14:solidFill>
          </w14:textFill>
        </w:rPr>
        <w:t>户外宣传、</w:t>
      </w:r>
      <w:r>
        <w:rPr>
          <w:rFonts w:hint="eastAsia" w:ascii="仿宋" w:hAnsi="仿宋" w:eastAsia="仿宋" w:cs="仿宋"/>
          <w:color w:val="000000" w:themeColor="text1"/>
          <w14:textFill>
            <w14:solidFill>
              <w14:schemeClr w14:val="tx1"/>
            </w14:solidFill>
          </w14:textFill>
        </w:rPr>
        <w:t>电梯道闸等宣传物料出现破损、脱落、丢失，乙方须在24小时内免费更换、修复。</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3.安全隐患：展位、展架、安装点位出现松动、损坏等安全风险，乙方须立即处置，消除隐患并承担全部责任。</w:t>
      </w:r>
    </w:p>
    <w:p>
      <w:pPr>
        <w:pStyle w:val="2"/>
        <w:spacing w:after="0" w:line="360" w:lineRule="auto"/>
        <w:ind w:left="138" w:right="228" w:firstLine="480"/>
        <w:jc w:val="both"/>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4、乡村座椅、公交车等客运车辆宣传定期检查宣传物料的完整性。</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五、验收流程</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1.宣传布置完成后，乙方立即提请甲方现场验收。</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2.验收合格，双方签署验收单，宣传期限自验收合格之日起计算。</w:t>
      </w:r>
    </w:p>
    <w:p>
      <w:pPr>
        <w:pStyle w:val="2"/>
        <w:spacing w:after="0" w:line="360" w:lineRule="auto"/>
        <w:ind w:left="138" w:right="228" w:firstLine="480"/>
        <w:jc w:val="both"/>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3.验收不合格，乙方须在甲方要求时限内整改完毕并重新报验，因此产生的费用与延误责任由乙方承担。 </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附件三</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付款</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 本合同使用货币种类为人民币。</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 付款方式：转账。双方采用转账方式付款的，甲方应向乙方以下账户进行付费：</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乙方：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ab/>
      </w:r>
      <w:r>
        <w:rPr>
          <w:rFonts w:hint="eastAsia" w:ascii="仿宋_GB2312" w:eastAsia="仿宋_GB2312"/>
        </w:rPr>
        <w:t xml:space="preserve"> 开户行：</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ab/>
      </w:r>
      <w:r>
        <w:rPr>
          <w:rFonts w:hint="eastAsia" w:ascii="仿宋_GB2312" w:eastAsia="仿宋_GB2312"/>
        </w:rPr>
        <w:t xml:space="preserve"> 账户名称：</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ab/>
      </w:r>
      <w:r>
        <w:rPr>
          <w:rFonts w:hint="eastAsia" w:ascii="仿宋_GB2312" w:eastAsia="仿宋_GB2312"/>
        </w:rPr>
        <w:t xml:space="preserve"> 账号：</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 付款安排</w:t>
      </w:r>
    </w:p>
    <w:p>
      <w:pPr>
        <w:pStyle w:val="2"/>
        <w:numPr>
          <w:ilvl w:val="0"/>
          <w:numId w:val="0"/>
        </w:numPr>
        <w:spacing w:line="360" w:lineRule="auto"/>
        <w:ind w:firstLine="480" w:firstLineChars="200"/>
        <w:jc w:val="both"/>
      </w:pPr>
      <w:r>
        <w:rPr>
          <w:rFonts w:hint="eastAsia" w:ascii="仿宋_GB2312" w:eastAsia="仿宋_GB2312" w:hAnsiTheme="minorHAnsi" w:cstheme="minorBidi"/>
          <w:sz w:val="24"/>
          <w:szCs w:val="24"/>
          <w:highlight w:val="none"/>
          <w:lang w:val="en-US" w:eastAsia="zh-CN" w:bidi="ar-SA"/>
        </w:rPr>
        <w:t>依据具体宣传</w:t>
      </w:r>
      <w:r>
        <w:rPr>
          <w:rFonts w:hint="eastAsia" w:ascii="仿宋_GB2312" w:eastAsia="仿宋_GB2312" w:cstheme="minorBidi"/>
          <w:sz w:val="24"/>
          <w:szCs w:val="24"/>
          <w:highlight w:val="none"/>
          <w:lang w:val="en-US" w:eastAsia="zh-CN" w:bidi="ar-SA"/>
        </w:rPr>
        <w:t>广告</w:t>
      </w:r>
      <w:r>
        <w:rPr>
          <w:rFonts w:hint="eastAsia" w:ascii="仿宋_GB2312" w:eastAsia="仿宋_GB2312" w:hAnsiTheme="minorHAnsi" w:cstheme="minorBidi"/>
          <w:sz w:val="24"/>
          <w:szCs w:val="24"/>
          <w:highlight w:val="none"/>
          <w:lang w:val="en-US" w:eastAsia="zh-CN" w:bidi="ar-SA"/>
        </w:rPr>
        <w:t>事项，付款方式为验收合格付款、宣传期结束后付款，或分期付款。</w:t>
      </w:r>
      <w:r>
        <w:rPr>
          <w:rFonts w:hint="eastAsia" w:ascii="仿宋_GB2312" w:eastAsia="仿宋_GB2312" w:cstheme="minorBidi"/>
          <w:sz w:val="24"/>
          <w:szCs w:val="24"/>
          <w:highlight w:val="none"/>
          <w:lang w:val="en-US" w:eastAsia="zh-CN" w:bidi="ar-SA"/>
        </w:rPr>
        <w:t>供应商需充分响应。</w:t>
      </w:r>
      <w:r>
        <w:rPr>
          <w:rFonts w:hint="eastAsia"/>
        </w:rPr>
        <w:t xml:space="preserve"> </w:t>
      </w:r>
      <w:r>
        <w:t xml:space="preserve">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4.增值税专用发票的相关约定</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（1）乙方应向甲方开具增值税专用发票，甲方开票信息如下：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公司名称： 中国人民财产保险股份有限公司宜宾市分公司</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纳税识别号： 9151150090885070X4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银行账号：  22470301040007752</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开户银行： 中国农业银行股份有限公司宜宾南岸支行</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开票地址： 宜宾市南岸长江大道中段11号</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 xml:space="preserve">开票电话： 08312334421 </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为保证取得的发票可以及时并成功获得抵扣，乙方开具的增值税专用发票送达并经甲方签收后，若发生丢失，乙方应积极协助甲方，按照相关税收法规和文件的规定提供相应资料，并确保甲方顺利获得抵扣。</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附件四</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双方的权利和义务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 甲方的权利和义务：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（1）若需要，可指派专门人员参与工作过程；</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（2）配合提供乙方完成服务所需的数据、信息、背景材料等资料；</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（3）对乙方提交的工作成果进行审定和验收；</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（4）按时对项目进行验收并支付乙方相应的服务费用；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（5）甲方有权要求乙方在合理期限内对提交的方案、报告、设计等服务进一步完善、修改的权利，甲方并拥有最终决定权；</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（6）甲方对于乙方服务项目小组成员的服务有权提出意见并可以要求乙方整改甚至更换该小组成员；</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（7）甲方享有其它双方约定的权利、承担其它双方约定的义务。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 乙方的权利和义务：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（1）指派合格的执行人员提供本合同约定的服务；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（2）在服务过程中，提出适合甲方实际情况的合理化建议和要求；</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（3）发现问题，及时反馈并提供相关建议；</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（4）乙方根据合同规定的周期按时提交成果，全面配合甲方行动，服务需符合甲方的整体市场、发展策划、策略，并按照甲方提出的意见及要求调整及修改至甲方认可，甲方签字确认后乙方方可执行；</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（5）保证提供优质的服务；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（6）保证所有经甲方采纳的文案创意和视觉设计的知识产权归属甲方所有；</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（7）保证为甲方提供的文案创意和视觉设计不会侵犯任何第三人的专利权、著作权、其他知识产权和其他民事权利；甲方在宣传过程中享有署名权；</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（8）针对各阶段服务工作及时向甲方提交效果分析报告；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（9）乙方享有其它双方约定的权利、承担其它双方约定的义务。</w:t>
      </w: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附件五</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廉洁诚信协议</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第一条  总则</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1.1甲乙双方均应当严格遵守国家法律法规和甲方集中采购管理、供应商管理的相关要求，不从事任何违法违规违纪行为。坚持诚实守信原则，恪守商业道德和职业道德，规范商务人员廉洁从业行为。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1.3本协议所称相关主体，对任何一方而言，包括但不限于以下单位或者个人：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（1）一方或其关联方之工作人员；</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（2）受一方委托办理相关事务的单位或者个人；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（3）利用职权或者影响力影响交易的单位或者个人；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（4）前述相关人员的亲属；</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（5）与前述相关主体存在利害关系的其他单位或者人员。</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乙方相关主体实施违反本协议约定之行为的，均应视为乙方实施行为。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1.4一方监督发现对方相关主体在业务合作中存在违规行为的，应当及时提醒并有权向对方纪检部门举报。情节严重构成犯罪的，任何一方均有权向司法机关报案，追究相关单位或者人员的刑事责任。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第二条  商业贿赂</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2.1本协议所称商业贿赂，是指乙方或乙方相关主体为获取或意图获取交易机会或者竞争优势，采用财物或者其他形式贿赂甲方或甲方相关主体的行为。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2.3本条第1款所称其他形式，包括但不限于：</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（1）以任何方式实施商业贿赂或违规提供回扣、折扣、宴请与游玩活动或其他不正当利益；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（2）为甲方或甲方相关主体安排有可能影响公平、公正交易的宴请、健身、娱乐等活动；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（3）为甲方或甲方相关主体投资入股、个人借款或买卖股票、债券等提供方便；</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（4）为甲方或甲方相关主体购买或装修住房、婚丧嫁娶、配偶子女上学或工作安排以及出国出境、旅游等提供方便；</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（5）违反规定为甲方或甲方相关主体在乙方相关企业工作、挂名兼职、合伙经营、介绍承揽业务等提供方便；</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（6）向甲方或甲方相关主体提供借款、融资、担保等；</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（7）给予或承诺给予其不正当利益的其他行为；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（8）其他违反国家法律法规或商业道德准则的影响公正交易的行为。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第三条  回扣</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3.1本协议所称回扣，是指乙方促成合作时在账外暗中以现金、实物或者其他方式退给甲方或甲方相关主体一定比例的商品或服务价款。</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3.2本条第1款所称账外，是指未在依法设立的反映其生产经营活动或者行政事业经费收支的财务账上按照财务会计制度规定明确如实记载，包括不记入财务账、转入其他财务账或者做假账等。</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3.3乙方在账外暗中给予甲方相关主体回扣的，视为实施商业贿赂行为。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第四条  折扣</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4.2乙方提供的商品或服务，可以以明示方式给予甲方折扣。乙方给予甲方折扣的，必须在采购协议中予以明确并如实入账。</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4.3本条第1款所称如实入账，是指根据采购或合作协议约定的金额和支付方式，在依法设立的反映甲方生产经营活动收支的财务账上按照财务会计制度规定明确如实记载。</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4.4乙方违反本条约定的，视为实施商业贿赂行为。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第五条  宴请与游玩活动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5.2乙方不得为甲方相关主体提供各种形式的旅游、健身、KTV、酒吧、按摩、赌博、色情等娱乐休闲活动。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5.3乙方违反本条约定的，视为实施商业贿赂行为。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第六条  禁止行为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双方一致同意双方或双方相关主体的如下行为是应当禁止的营私舞弊或腐败行为：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6.1甲方及甲方相关主体向乙方索要或收受财物或其他形式的财产性利益、非财产性利益。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6.2乙方及乙方相关主体向甲方或甲方相关主体提供财物或其他形式的财产性利益、非财产性利益，包括但不限于：</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（1）报销甲方相关主体的私人费用；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（2）提供超过宴请标准的宴请或娱乐活动；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（3）介绍甲方相关主体亲友到乙方处工作；</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（4）提出、邀请或事实上接受甲方相关主体在乙方参股或参与乙方经营活动；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（5）组织或向甲方相关主体提供旅游等代偿活动利益；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（6）向甲方相关主体提供借款、融资、担保等；</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（7）给予或承诺给予甲方相关主体不正当利益的其他行为；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（8）其他违反本协议约定、国家法律法规或商业道德准则的影响公正交易的行为。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第七条  乙方承诺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乙方承诺在双方的商务接洽、合同关系、交易过程中遵守如下要求：</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7.1 避免利害关系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7.2 恪守廉洁自律原则</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7.2.2支持甲方的廉洁诚信建设，承诺承担实名举报的义务，若乙方或乙方相关主体对甲方或甲方相关主体的索贿行为不拒绝、不申报，并满足其要求的，则该行为视同乙方实施商业贿赂行为。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 恪守诚实信用原则</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7.3.2严格遵守向甲方做出的承诺、双方签署的合同、协议和备忘录等，确保产品质量和服务质量，不隐瞒任何可能对甲方利益造成影响的信息，积极配合甲方的审计。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7.3.3严格遵守甲方的供应商行为准则、合作协议、保密承诺书等政策文件中的相关规定。</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7.3.4严格遵守甲方的品牌管理的相关规定，未经甲方授权不擅自使用甲方字样、授权合作伙伴等类似容易对外产生混淆的字样。</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7.3.5严格遵守国家相关法律法规及甲方的管理规定，不参与任何违法活动。</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7.3.6承诺实事求是，不对内部或社会传递任何虚假信息，严格遵守保密协议，不透露任何甲方的商业机密。</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7.3.7未经甲方同意，不向任何新闻媒体、第三方述及有关甲方工作人员恪守商业道德方面的评价、信息。</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7.4 确保信息公开透明</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7.4.1主动向甲方披露与采购项目相关的信息，包括乙方真实情况、产品价格、技术参数、服务团队信息、履约情况等。</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7.4.2不利用非法手段向甲方及甲方相关主体打探有关涉及甲方及甲方相关主体的商业秘密、人员信息、采购信息等。</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7.5 积极配合监督举报</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7.5.2如乙方有知悉或怀疑甲方相关主体有违反上述约定的，应及时采取措施并有权向甲方纪检部门举报。甲方会对所有信息提供者及所提供的全部资料严格保密。</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7.6 加强内部廉洁管理</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7.6.1加强内部管理：加强对员工的廉洁教育和培训，提高员工的道德素质和法律意识，建立健全内部管理制度，确保员工行为的合规性和廉洁性。</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7.6.2设立监督机制：通过专门的监督机构或人员，对乙方的业务活动进行实时监督，确保员工行为的合规性。</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7.6.3建立举报制度：鼓励员工积极举报违规行为，对举报人予以保护并给予奖励。</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第八条  违约责任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8.1若甲方人员违反本协议第六条规定的，按照甲方内部管理权限，依据有关法律和规定给予处分或组织处理，涉嫌犯罪的，移交司法机关追究刑事责任。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8.2如乙方违反本协议任何约定或承诺，甲方有权依据甲方采购管理、供应商管理和采购文件相关要求，对乙方进行严肃处理，相关处罚结果记入供应商诚信档案。</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8.4甲方及甲方子公司按照前述条款要求乙方承担赔偿责任的，乙方应于甲方发出赔偿通知之日起【10】个工作日内支付，如未及时支付，甲方及甲方子公司有权从主合同款项中直接扣除。</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8.5乙方知悉并同意，对于上述情形的处理甲方有完全的判断权和自主权。</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第九条  附则</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9.1本协议的标题及各条款的标题仅为检索方便而设置，具体内容应当以各条款的具体规定为准，而不应参考该标题进行解释。</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9.5本协议长期有效。</w:t>
      </w:r>
    </w:p>
    <w:p>
      <w:pPr>
        <w:pStyle w:val="2"/>
        <w:snapToGrid w:val="0"/>
        <w:spacing w:after="0" w:line="360" w:lineRule="auto"/>
        <w:ind w:left="138" w:right="228" w:firstLine="480"/>
        <w:jc w:val="both"/>
        <w:rPr>
          <w:rFonts w:hint="eastAsia" w:ascii="仿宋_GB2312" w:eastAsia="仿宋_GB2312"/>
        </w:rPr>
        <w:sectPr>
          <w:headerReference r:id="rId6" w:type="default"/>
          <w:footerReference r:id="rId7" w:type="default"/>
          <w:pgSz w:w="11906" w:h="16838"/>
          <w:pgMar w:top="1417" w:right="1134" w:bottom="1134" w:left="1134" w:header="851" w:footer="992" w:gutter="0"/>
          <w:cols w:space="720" w:num="1"/>
          <w:titlePg/>
          <w:docGrid w:type="lines" w:linePitch="312" w:charSpace="0"/>
        </w:sectPr>
      </w:pPr>
    </w:p>
    <w:p>
      <w:pPr>
        <w:pStyle w:val="3"/>
        <w:pageBreakBefore/>
        <w:ind w:left="0" w:firstLine="3064" w:firstLineChars="1090"/>
        <w:jc w:val="left"/>
        <w:rPr>
          <w:rFonts w:ascii="仿宋_GB2312" w:hAnsi="宋体" w:eastAsia="仿宋_GB2312"/>
          <w:color w:val="auto"/>
          <w:sz w:val="28"/>
          <w:szCs w:val="28"/>
        </w:rPr>
      </w:pPr>
      <w:bookmarkStart w:id="124" w:name="_Toc4181"/>
      <w:bookmarkStart w:id="125" w:name="_Toc186737811"/>
      <w:commentRangeStart w:id="2"/>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commentRangeEnd w:id="2"/>
      <w:r>
        <w:rPr>
          <w:rStyle w:val="34"/>
          <w:rFonts w:asciiTheme="minorHAnsi" w:hAnsiTheme="minorHAnsi" w:eastAsiaTheme="minorEastAsia"/>
          <w:b w:val="0"/>
          <w:bCs w:val="0"/>
          <w:color w:val="auto"/>
          <w:kern w:val="0"/>
          <w:szCs w:val="24"/>
        </w:rPr>
        <w:commentReference w:id="2"/>
      </w:r>
      <w:bookmarkEnd w:id="125"/>
    </w:p>
    <w:p>
      <w:pPr>
        <w:numPr>
          <w:ilvl w:val="0"/>
          <w:numId w:val="0"/>
        </w:numPr>
        <w:spacing w:line="360" w:lineRule="auto"/>
        <w:ind w:firstLine="480" w:firstLineChars="200"/>
        <w:rPr>
          <w:rFonts w:ascii="楷体" w:hAnsi="楷体" w:eastAsia="楷体" w:cs="仿宋_GB2312"/>
          <w:i/>
          <w:color w:val="0000CC"/>
          <w:szCs w:val="32"/>
        </w:rPr>
      </w:pPr>
      <w:r>
        <w:rPr>
          <w:rFonts w:hint="eastAsia" w:ascii="楷体" w:hAnsi="楷体" w:eastAsia="楷体" w:cs="仿宋_GB2312"/>
          <w:i/>
          <w:color w:val="0000CC"/>
          <w:szCs w:val="32"/>
          <w:lang w:eastAsia="zh-CN"/>
        </w:rPr>
        <w:t>一、</w:t>
      </w:r>
      <w:r>
        <w:rPr>
          <w:rFonts w:ascii="楷体" w:hAnsi="楷体" w:eastAsia="楷体" w:cs="仿宋_GB2312"/>
          <w:i/>
          <w:color w:val="0000CC"/>
          <w:szCs w:val="32"/>
        </w:rPr>
        <w:t>采购项目背景</w:t>
      </w:r>
    </w:p>
    <w:p>
      <w:pPr>
        <w:pStyle w:val="2"/>
        <w:snapToGrid w:val="0"/>
        <w:spacing w:after="0" w:line="360" w:lineRule="auto"/>
        <w:ind w:left="138" w:right="228" w:firstLine="480"/>
        <w:jc w:val="both"/>
        <w:rPr>
          <w:rFonts w:hint="eastAsia" w:ascii="仿宋_GB2312" w:eastAsia="仿宋_GB2312"/>
        </w:rPr>
      </w:pPr>
      <w:r>
        <w:rPr>
          <w:rFonts w:hint="eastAsia" w:ascii="仿宋_GB2312" w:eastAsia="仿宋_GB2312"/>
        </w:rPr>
        <w:t>为强化公司品牌形象建设，提升市场推广效率和市场的品牌竞争力。确保服务质量、控制成本，建立稳定、专业、合规的供应机制，实现按需选用、高效执行，更好地促进公司业务发展、产品推广，</w:t>
      </w:r>
      <w:r>
        <w:rPr>
          <w:rFonts w:hint="eastAsia" w:ascii="仿宋_GB2312" w:eastAsia="仿宋_GB2312"/>
          <w:lang w:val="en-US" w:eastAsia="zh-CN"/>
        </w:rPr>
        <w:t>拟采购2家供应商入库，为高县支公司提供为期一年的广告宣传服务，</w:t>
      </w:r>
      <w:r>
        <w:rPr>
          <w:rFonts w:hint="eastAsia" w:ascii="仿宋_GB2312" w:eastAsia="仿宋_GB2312"/>
        </w:rPr>
        <w:t>本</w:t>
      </w:r>
      <w:r>
        <w:rPr>
          <w:rFonts w:hint="eastAsia" w:ascii="仿宋_GB2312" w:eastAsia="仿宋_GB2312"/>
          <w:lang w:eastAsia="zh-CN"/>
        </w:rPr>
        <w:t>采购</w:t>
      </w:r>
      <w:r>
        <w:rPr>
          <w:rFonts w:hint="eastAsia" w:ascii="仿宋_GB2312" w:eastAsia="仿宋_GB2312"/>
        </w:rPr>
        <w:t>项目由</w:t>
      </w:r>
      <w:r>
        <w:rPr>
          <w:rFonts w:hint="eastAsia" w:ascii="仿宋_GB2312" w:eastAsia="仿宋_GB2312"/>
          <w:lang w:eastAsia="zh-CN"/>
        </w:rPr>
        <w:t>人保财险宜宾市分公司</w:t>
      </w:r>
      <w:r>
        <w:rPr>
          <w:rFonts w:hint="eastAsia" w:ascii="仿宋_GB2312" w:eastAsia="仿宋_GB2312"/>
        </w:rPr>
        <w:t>批准并落实资金，组织本项目的相关采购工作，采购合同由人保财险宜宾市分公司根据入围结果入围供应商签署。</w:t>
      </w:r>
    </w:p>
    <w:p>
      <w:pPr>
        <w:numPr>
          <w:ilvl w:val="0"/>
          <w:numId w:val="0"/>
        </w:numPr>
        <w:spacing w:line="360" w:lineRule="auto"/>
        <w:ind w:leftChars="200"/>
        <w:rPr>
          <w:rFonts w:ascii="楷体" w:hAnsi="楷体" w:eastAsia="楷体" w:cs="仿宋_GB2312"/>
          <w:i/>
          <w:color w:val="0000CC"/>
          <w:szCs w:val="32"/>
        </w:rPr>
      </w:pPr>
      <w:r>
        <w:rPr>
          <w:rFonts w:hint="eastAsia" w:ascii="楷体" w:hAnsi="楷体" w:eastAsia="楷体" w:cs="仿宋_GB2312"/>
          <w:i/>
          <w:color w:val="0000CC"/>
          <w:szCs w:val="32"/>
          <w:lang w:eastAsia="zh-CN"/>
        </w:rPr>
        <w:t>二、服务项目及供应商数量</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按照采购人需求，在高县县域范围内开展宣传服务，宣传服务内容涉及：</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1.街道路牌宣传服务：选取县域城区内人流量集中的街道路牌，定点位制作宣传物料开展宣传；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2.客运车辆内外宣传服务：选取县域客运车辆开展车内拉手、靠背等宣传位，LED顶灯或车身制作宣传、座椅靠背宣传物料开展宣传；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3.墙体户外广告宣传服务：选取县域乡镇、场镇路口点位制作宣传物料开展宣传；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4.小区、商业体宣传服务：选取县域城区内优质小区、商业体的电梯、道闸、灯箱、停车场出入口墙体、LED屏等点位制作宣传物料开展宣传；</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5.小区、超市、社区地推宣传服务：选取县域城区内优质小区、超市，摆放宣传物料，配置具有保险知识的宣传人员开展宣传；</w:t>
      </w:r>
    </w:p>
    <w:p>
      <w:pPr>
        <w:pStyle w:val="2"/>
        <w:snapToGrid w:val="0"/>
        <w:spacing w:after="0" w:line="360" w:lineRule="auto"/>
        <w:ind w:left="138" w:right="228" w:firstLine="480"/>
        <w:jc w:val="both"/>
        <w:rPr>
          <w:rFonts w:hint="default"/>
          <w:lang w:val="en-US" w:eastAsia="zh-CN"/>
        </w:rPr>
      </w:pPr>
      <w:r>
        <w:rPr>
          <w:rFonts w:hint="eastAsia" w:ascii="仿宋_GB2312" w:eastAsia="仿宋_GB2312"/>
          <w:lang w:val="en-US" w:eastAsia="zh-CN"/>
        </w:rPr>
        <w:t>6.单独制作宣传广告物料。</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宣传广告投放将围绕服务业务发展开展，进行业务宣传及产品推广，助力提升公司产品渗透率，支持基层一线业务发展。需选聘 2家有宣传广告资质代理机构，提供高县支公司宣传广告资源代理服务、创意和设计制作服务、策划执行服务、优质的服务团队。</w:t>
      </w:r>
    </w:p>
    <w:p>
      <w:pPr>
        <w:pStyle w:val="2"/>
        <w:ind w:firstLine="480" w:firstLineChars="200"/>
        <w:rPr>
          <w:rFonts w:hint="eastAsia" w:ascii="楷体" w:hAnsi="楷体" w:eastAsia="楷体" w:cs="仿宋_GB2312"/>
          <w:i/>
          <w:color w:val="0000CC"/>
          <w:sz w:val="24"/>
          <w:szCs w:val="32"/>
          <w:lang w:val="en-US" w:eastAsia="zh-CN" w:bidi="ar-SA"/>
        </w:rPr>
      </w:pPr>
      <w:r>
        <w:rPr>
          <w:rFonts w:hint="eastAsia" w:ascii="楷体" w:hAnsi="楷体" w:eastAsia="楷体" w:cs="仿宋_GB2312"/>
          <w:i/>
          <w:color w:val="0000CC"/>
          <w:sz w:val="24"/>
          <w:szCs w:val="32"/>
          <w:lang w:val="en-US" w:eastAsia="zh-CN" w:bidi="ar-SA"/>
        </w:rPr>
        <w:t>三、服务要求</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一是资源代理服务。根据采购人投放策略安排，能够获取相应宣传广告项目投放所需资源。</w:t>
      </w:r>
    </w:p>
    <w:p>
      <w:pPr>
        <w:pStyle w:val="2"/>
        <w:snapToGrid w:val="0"/>
        <w:spacing w:after="0" w:line="360" w:lineRule="auto"/>
        <w:ind w:left="138" w:right="228" w:firstLine="480"/>
        <w:jc w:val="both"/>
        <w:rPr>
          <w:rFonts w:hint="eastAsia" w:ascii="仿宋_GB2312" w:eastAsia="仿宋_GB2312"/>
          <w:lang w:val="en-US" w:eastAsia="zh-CN"/>
        </w:rPr>
      </w:pPr>
      <w:r>
        <w:rPr>
          <w:rFonts w:hint="eastAsia" w:ascii="仿宋_GB2312" w:eastAsia="仿宋_GB2312"/>
          <w:lang w:val="en-US" w:eastAsia="zh-CN"/>
        </w:rPr>
        <w:t>二是设计要求。供应商需配备专业团队，安排专业设计人员，根据采购方宣传需求设计宣传物料，设计稿需经采购方审核通过后方可制作投放，修改直至采购方满意。</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三是制作要求：所有宣传物料材质需符合国家相关质量标准及户外使用要求，具备防水、防晒、耐用等特性，无褪色、脱胶、破损等问题；LED宣传色彩准确、画面清晰，适配对应LED屏尺寸；借地宣传展架（门形展架、X展架等）需牢固稳定，海报、DM单等印刷清晰、内容准确，无错别字、模糊不清等问题。</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四是执行要求：供应商需按采购方所要求的时间、地点、频次完成宣传服务，提前做好各项准备工作，安排专人负责现场执行，确保宣传活动顺利开展；如遇特殊情况需调整的，需提前24小时书面告知采购方并征得同意。</w:t>
      </w:r>
    </w:p>
    <w:p>
      <w:pPr>
        <w:numPr>
          <w:ilvl w:val="0"/>
          <w:numId w:val="0"/>
        </w:numPr>
        <w:spacing w:line="360" w:lineRule="auto"/>
        <w:ind w:firstLine="240" w:firstLineChars="1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五是合规要求：供应商保证宣传内容、宣传形式符合《广告法》等国家相关法律法规，以及珙县当地政府部门的规定，因宣传内容或形式违规造成的一切法律责任和损失，均由供应商自行承担。</w:t>
      </w:r>
    </w:p>
    <w:p>
      <w:pPr>
        <w:numPr>
          <w:ilvl w:val="0"/>
          <w:numId w:val="0"/>
        </w:numPr>
        <w:spacing w:line="360" w:lineRule="auto"/>
        <w:ind w:firstLine="480" w:firstLineChars="200"/>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六是售后要求：供应商需对宣传服务进行全程跟踪维护，LED屏体在播放期内出现故障的（如卡顿、黑屏、画面模糊等），需在指定时间内到场维修，确保恢复正常使用；借地宣传服务及墙体广告宣传服务：宣传物料出现破损、脱落、丢失等情况，成交供应商需在24小时内完成更换、修复；展位出现松动、损坏等安全隐患，需立即处理并消除风险。</w:t>
      </w:r>
    </w:p>
    <w:p>
      <w:pPr>
        <w:numPr>
          <w:ilvl w:val="0"/>
          <w:numId w:val="0"/>
        </w:numPr>
        <w:spacing w:line="360" w:lineRule="auto"/>
        <w:ind w:firstLine="480" w:firstLineChars="200"/>
        <w:rPr>
          <w:rFonts w:hint="eastAsia" w:ascii="楷体" w:hAnsi="楷体" w:eastAsia="楷体" w:cs="仿宋_GB2312"/>
          <w:i/>
          <w:color w:val="0000CC"/>
          <w:szCs w:val="32"/>
          <w:lang w:eastAsia="zh-CN"/>
        </w:rPr>
      </w:pPr>
      <w:r>
        <w:rPr>
          <w:rFonts w:hint="eastAsia" w:ascii="楷体" w:hAnsi="楷体" w:eastAsia="楷体" w:cs="仿宋_GB2312"/>
          <w:i/>
          <w:color w:val="0000CC"/>
          <w:szCs w:val="32"/>
          <w:lang w:eastAsia="zh-CN"/>
        </w:rPr>
        <w:t>四、</w:t>
      </w:r>
      <w:r>
        <w:rPr>
          <w:rFonts w:hint="eastAsia" w:ascii="楷体" w:hAnsi="楷体" w:eastAsia="楷体" w:cs="仿宋_GB2312"/>
          <w:i/>
          <w:color w:val="0000CC"/>
          <w:szCs w:val="32"/>
        </w:rPr>
        <w:t>采购</w:t>
      </w:r>
      <w:r>
        <w:rPr>
          <w:rFonts w:hint="eastAsia" w:ascii="楷体" w:hAnsi="楷体" w:eastAsia="楷体" w:cs="仿宋_GB2312"/>
          <w:i/>
          <w:color w:val="0000CC"/>
          <w:szCs w:val="32"/>
          <w:lang w:eastAsia="zh-CN"/>
        </w:rPr>
        <w:t>要求</w:t>
      </w:r>
    </w:p>
    <w:p>
      <w:pPr>
        <w:pStyle w:val="2"/>
        <w:snapToGrid w:val="0"/>
        <w:spacing w:after="0" w:line="360" w:lineRule="auto"/>
        <w:ind w:left="138" w:right="228" w:firstLine="480"/>
        <w:jc w:val="both"/>
        <w:rPr>
          <w:rFonts w:hint="default"/>
          <w:lang w:val="en-US" w:eastAsia="zh-CN"/>
        </w:rPr>
      </w:pPr>
      <w:r>
        <w:rPr>
          <w:rFonts w:hint="eastAsia" w:ascii="仿宋_GB2312" w:eastAsia="仿宋_GB2312"/>
          <w:lang w:val="en-US" w:eastAsia="zh-CN"/>
        </w:rPr>
        <w:t>1.采购人不承诺服务规模，最终服务规模以合同期内订单为准。</w:t>
      </w:r>
    </w:p>
    <w:p>
      <w:pPr>
        <w:pStyle w:val="2"/>
        <w:snapToGrid w:val="0"/>
        <w:spacing w:after="0" w:line="360" w:lineRule="auto"/>
        <w:ind w:left="138" w:right="228" w:firstLine="480"/>
        <w:jc w:val="both"/>
        <w:rPr>
          <w:rFonts w:hint="eastAsia" w:ascii="仿宋_GB2312" w:eastAsia="仿宋_GB2312"/>
          <w:highlight w:val="none"/>
          <w:lang w:val="en-US" w:eastAsia="zh-CN"/>
        </w:rPr>
      </w:pPr>
      <w:r>
        <w:rPr>
          <w:rFonts w:hint="eastAsia" w:ascii="仿宋_GB2312" w:eastAsia="仿宋_GB2312"/>
          <w:highlight w:val="none"/>
          <w:lang w:val="en-US" w:eastAsia="zh-CN"/>
        </w:rPr>
        <w:t>2.由于成交人放弃成交、明示或暗示不与采购人签订合同的，将禁止该成交人在自取消其成交资格之日起3年内，参加采购人所有采购项目；并保留追究其法律责任的权利。同时采购人按响应人供应商须知前附表中的规定确定其他响应人作为成交人。</w:t>
      </w:r>
    </w:p>
    <w:p>
      <w:pPr>
        <w:pStyle w:val="2"/>
        <w:snapToGrid w:val="0"/>
        <w:spacing w:after="0" w:line="360" w:lineRule="auto"/>
        <w:ind w:left="138" w:right="228" w:firstLine="480"/>
        <w:jc w:val="both"/>
        <w:rPr>
          <w:rFonts w:hint="eastAsia"/>
          <w:lang w:val="en-US" w:eastAsia="zh-CN"/>
        </w:rPr>
      </w:pPr>
      <w:r>
        <w:rPr>
          <w:rFonts w:hint="eastAsia" w:ascii="仿宋_GB2312" w:eastAsia="仿宋_GB2312"/>
          <w:lang w:val="en-US" w:eastAsia="zh-CN"/>
        </w:rPr>
        <w:t>3.若在合同期内采购人因制度调整（包括但不限于公司经营目标体系改变，采购人上级公司统一集中采购）等因素，需重新实施宣传广告类的集中采购时，可终止本项目合同执行。</w:t>
      </w:r>
    </w:p>
    <w:p>
      <w:pPr>
        <w:numPr>
          <w:ilvl w:val="0"/>
          <w:numId w:val="0"/>
        </w:numPr>
        <w:spacing w:line="360" w:lineRule="auto"/>
        <w:ind w:firstLine="480" w:firstLineChars="200"/>
        <w:rPr>
          <w:rFonts w:hint="eastAsia" w:ascii="楷体" w:hAnsi="楷体" w:eastAsia="楷体" w:cs="仿宋_GB2312"/>
          <w:i/>
          <w:color w:val="0000CC"/>
          <w:szCs w:val="32"/>
          <w:lang w:val="en-US" w:eastAsia="zh-CN"/>
        </w:rPr>
      </w:pPr>
      <w:r>
        <w:rPr>
          <w:rFonts w:hint="eastAsia" w:ascii="楷体" w:hAnsi="楷体" w:eastAsia="楷体" w:cs="仿宋_GB2312"/>
          <w:i/>
          <w:color w:val="0000CC"/>
          <w:szCs w:val="32"/>
          <w:lang w:val="en-US" w:eastAsia="zh-CN"/>
        </w:rPr>
        <w:t>五、成交供应商使用规则</w:t>
      </w:r>
    </w:p>
    <w:p>
      <w:pPr>
        <w:spacing w:line="360" w:lineRule="auto"/>
        <w:ind w:firstLine="480" w:firstLineChars="200"/>
        <w:jc w:val="both"/>
        <w:rPr>
          <w:rFonts w:hint="eastAsia" w:ascii="仿宋_GB2312" w:eastAsia="仿宋_GB2312" w:cstheme="minorBidi"/>
          <w:sz w:val="24"/>
          <w:szCs w:val="24"/>
          <w:highlight w:val="none"/>
          <w:lang w:val="en-US" w:eastAsia="zh-CN" w:bidi="ar-SA"/>
        </w:rPr>
      </w:pPr>
      <w:r>
        <w:rPr>
          <w:rFonts w:hint="eastAsia" w:ascii="仿宋_GB2312" w:eastAsia="仿宋_GB2312" w:cstheme="minorBidi"/>
          <w:sz w:val="24"/>
          <w:szCs w:val="24"/>
          <w:highlight w:val="none"/>
          <w:lang w:val="en-US" w:eastAsia="zh-CN" w:bidi="ar-SA"/>
        </w:rPr>
        <w:t>1.需求发布：</w:t>
      </w:r>
      <w:r>
        <w:rPr>
          <w:rFonts w:hint="eastAsia" w:ascii="仿宋_GB2312" w:eastAsia="仿宋_GB2312" w:hAnsiTheme="minorHAnsi" w:cstheme="minorBidi"/>
          <w:sz w:val="24"/>
          <w:szCs w:val="24"/>
          <w:highlight w:val="none"/>
          <w:lang w:val="en-US" w:eastAsia="zh-CN" w:bidi="ar-SA"/>
        </w:rPr>
        <w:t>单次宣传广告服务开展前，采购人向</w:t>
      </w:r>
      <w:r>
        <w:rPr>
          <w:rFonts w:hint="eastAsia" w:ascii="仿宋_GB2312" w:eastAsia="仿宋_GB2312" w:cstheme="minorBidi"/>
          <w:sz w:val="24"/>
          <w:szCs w:val="24"/>
          <w:highlight w:val="none"/>
          <w:lang w:val="en-US" w:eastAsia="zh-CN" w:bidi="ar-SA"/>
        </w:rPr>
        <w:t>所有成交人</w:t>
      </w:r>
      <w:r>
        <w:rPr>
          <w:rFonts w:hint="eastAsia" w:ascii="仿宋_GB2312" w:eastAsia="仿宋_GB2312" w:hAnsiTheme="minorHAnsi" w:cstheme="minorBidi"/>
          <w:sz w:val="24"/>
          <w:szCs w:val="24"/>
          <w:highlight w:val="none"/>
          <w:lang w:val="en-US" w:eastAsia="zh-CN" w:bidi="ar-SA"/>
        </w:rPr>
        <w:t>发送具体需求事项，包括宣传形式、宣传点位、明细报价</w:t>
      </w:r>
      <w:r>
        <w:rPr>
          <w:rFonts w:hint="eastAsia" w:ascii="仿宋_GB2312" w:eastAsia="仿宋_GB2312" w:cstheme="minorBidi"/>
          <w:sz w:val="24"/>
          <w:szCs w:val="24"/>
          <w:highlight w:val="none"/>
          <w:lang w:val="en-US" w:eastAsia="zh-CN" w:bidi="ar-SA"/>
        </w:rPr>
        <w:t>单</w:t>
      </w:r>
      <w:r>
        <w:rPr>
          <w:rFonts w:hint="eastAsia" w:ascii="仿宋_GB2312" w:eastAsia="仿宋_GB2312" w:hAnsiTheme="minorHAnsi" w:cstheme="minorBidi"/>
          <w:sz w:val="24"/>
          <w:szCs w:val="24"/>
          <w:highlight w:val="none"/>
          <w:lang w:val="en-US" w:eastAsia="zh-CN" w:bidi="ar-SA"/>
        </w:rPr>
        <w:t>（含单价的最高限价）、付款方式、报价截止时间、报价</w:t>
      </w:r>
      <w:r>
        <w:rPr>
          <w:rFonts w:hint="eastAsia" w:ascii="仿宋_GB2312" w:eastAsia="仿宋_GB2312" w:cstheme="minorBidi"/>
          <w:sz w:val="24"/>
          <w:szCs w:val="24"/>
          <w:highlight w:val="none"/>
          <w:lang w:val="en-US" w:eastAsia="zh-CN" w:bidi="ar-SA"/>
        </w:rPr>
        <w:t>传递</w:t>
      </w:r>
      <w:r>
        <w:rPr>
          <w:rFonts w:hint="eastAsia" w:ascii="仿宋_GB2312" w:eastAsia="仿宋_GB2312" w:hAnsiTheme="minorHAnsi" w:cstheme="minorBidi"/>
          <w:sz w:val="24"/>
          <w:szCs w:val="24"/>
          <w:highlight w:val="none"/>
          <w:lang w:val="en-US" w:eastAsia="zh-CN" w:bidi="ar-SA"/>
        </w:rPr>
        <w:t>方式等</w:t>
      </w:r>
      <w:r>
        <w:rPr>
          <w:rFonts w:hint="eastAsia" w:ascii="仿宋_GB2312" w:eastAsia="仿宋_GB2312" w:cstheme="minorBidi"/>
          <w:sz w:val="24"/>
          <w:szCs w:val="24"/>
          <w:highlight w:val="none"/>
          <w:lang w:val="en-US" w:eastAsia="zh-CN" w:bidi="ar-SA"/>
        </w:rPr>
        <w:t>。</w:t>
      </w:r>
    </w:p>
    <w:p>
      <w:pPr>
        <w:spacing w:line="360" w:lineRule="auto"/>
        <w:ind w:firstLine="480" w:firstLineChars="200"/>
        <w:jc w:val="both"/>
        <w:rPr>
          <w:rFonts w:hint="eastAsia" w:ascii="仿宋_GB2312" w:eastAsia="仿宋_GB2312" w:hAnsiTheme="minorHAnsi" w:cstheme="minorBidi"/>
          <w:sz w:val="24"/>
          <w:szCs w:val="24"/>
          <w:highlight w:val="none"/>
          <w:lang w:val="en-US" w:eastAsia="zh-CN" w:bidi="ar-SA"/>
        </w:rPr>
      </w:pPr>
      <w:r>
        <w:rPr>
          <w:rFonts w:hint="eastAsia" w:ascii="仿宋_GB2312" w:eastAsia="仿宋_GB2312" w:cstheme="minorBidi"/>
          <w:sz w:val="24"/>
          <w:szCs w:val="24"/>
          <w:highlight w:val="none"/>
          <w:lang w:val="en-US" w:eastAsia="zh-CN" w:bidi="ar-SA"/>
        </w:rPr>
        <w:t>2.报价要求：成交人</w:t>
      </w:r>
      <w:r>
        <w:rPr>
          <w:rFonts w:hint="eastAsia" w:ascii="仿宋_GB2312" w:eastAsia="仿宋_GB2312" w:hAnsiTheme="minorHAnsi" w:cstheme="minorBidi"/>
          <w:sz w:val="24"/>
          <w:szCs w:val="24"/>
          <w:highlight w:val="none"/>
          <w:lang w:val="en-US" w:eastAsia="zh-CN" w:bidi="ar-SA"/>
        </w:rPr>
        <w:t>按</w:t>
      </w:r>
      <w:r>
        <w:rPr>
          <w:rFonts w:hint="eastAsia" w:ascii="仿宋_GB2312" w:eastAsia="仿宋_GB2312" w:cstheme="minorBidi"/>
          <w:sz w:val="24"/>
          <w:szCs w:val="24"/>
          <w:highlight w:val="none"/>
          <w:lang w:val="en-US" w:eastAsia="zh-CN" w:bidi="ar-SA"/>
        </w:rPr>
        <w:t>第二章供应商须知前附表中“2.1.9纸质响应文件的装订、密封和标记”的密封要求，</w:t>
      </w:r>
      <w:r>
        <w:rPr>
          <w:rFonts w:hint="eastAsia" w:ascii="仿宋_GB2312" w:eastAsia="仿宋_GB2312" w:hAnsiTheme="minorHAnsi" w:cstheme="minorBidi"/>
          <w:sz w:val="24"/>
          <w:szCs w:val="24"/>
          <w:highlight w:val="none"/>
          <w:lang w:val="en-US" w:eastAsia="zh-CN" w:bidi="ar-SA"/>
        </w:rPr>
        <w:t>递交</w:t>
      </w:r>
      <w:r>
        <w:rPr>
          <w:rFonts w:hint="eastAsia" w:ascii="仿宋_GB2312" w:eastAsia="仿宋_GB2312" w:cstheme="minorBidi"/>
          <w:sz w:val="24"/>
          <w:szCs w:val="24"/>
          <w:highlight w:val="none"/>
          <w:lang w:val="en-US" w:eastAsia="zh-CN" w:bidi="ar-SA"/>
        </w:rPr>
        <w:t>符合要求</w:t>
      </w:r>
      <w:r>
        <w:rPr>
          <w:rFonts w:hint="eastAsia" w:ascii="仿宋_GB2312" w:eastAsia="仿宋_GB2312" w:hAnsiTheme="minorHAnsi" w:cstheme="minorBidi"/>
          <w:sz w:val="24"/>
          <w:szCs w:val="24"/>
          <w:highlight w:val="none"/>
          <w:lang w:val="en-US" w:eastAsia="zh-CN" w:bidi="ar-SA"/>
        </w:rPr>
        <w:t>的</w:t>
      </w:r>
      <w:r>
        <w:rPr>
          <w:rFonts w:hint="eastAsia" w:ascii="仿宋_GB2312" w:eastAsia="仿宋_GB2312" w:cstheme="minorBidi"/>
          <w:sz w:val="24"/>
          <w:szCs w:val="24"/>
          <w:highlight w:val="none"/>
          <w:lang w:val="en-US" w:eastAsia="zh-CN" w:bidi="ar-SA"/>
        </w:rPr>
        <w:t>密封</w:t>
      </w:r>
      <w:r>
        <w:rPr>
          <w:rFonts w:hint="eastAsia" w:ascii="仿宋_GB2312" w:eastAsia="仿宋_GB2312" w:hAnsiTheme="minorHAnsi" w:cstheme="minorBidi"/>
          <w:sz w:val="24"/>
          <w:szCs w:val="24"/>
          <w:highlight w:val="none"/>
          <w:lang w:val="en-US" w:eastAsia="zh-CN" w:bidi="ar-SA"/>
        </w:rPr>
        <w:t>报价单后，采购人组织人员现场开价，由总价报价低的供应商开展当次宣传服务，并签订</w:t>
      </w:r>
      <w:r>
        <w:rPr>
          <w:rFonts w:hint="eastAsia" w:ascii="仿宋_GB2312" w:eastAsia="仿宋_GB2312" w:cstheme="minorBidi"/>
          <w:sz w:val="24"/>
          <w:szCs w:val="24"/>
          <w:highlight w:val="none"/>
          <w:lang w:val="en-US" w:eastAsia="zh-CN" w:bidi="ar-SA"/>
        </w:rPr>
        <w:t>具体项目补充</w:t>
      </w:r>
      <w:r>
        <w:rPr>
          <w:rFonts w:hint="eastAsia" w:ascii="仿宋_GB2312" w:eastAsia="仿宋_GB2312" w:hAnsiTheme="minorHAnsi" w:cstheme="minorBidi"/>
          <w:sz w:val="24"/>
          <w:szCs w:val="24"/>
          <w:highlight w:val="none"/>
          <w:lang w:val="en-US" w:eastAsia="zh-CN" w:bidi="ar-SA"/>
        </w:rPr>
        <w:t>协议。</w:t>
      </w:r>
    </w:p>
    <w:p>
      <w:pPr>
        <w:numPr>
          <w:ilvl w:val="0"/>
          <w:numId w:val="0"/>
        </w:numPr>
        <w:spacing w:line="360" w:lineRule="auto"/>
        <w:ind w:leftChars="200"/>
        <w:rPr>
          <w:rFonts w:hint="eastAsia" w:ascii="楷体" w:hAnsi="楷体" w:eastAsia="楷体" w:cs="仿宋_GB2312"/>
          <w:i/>
          <w:color w:val="0000CC"/>
          <w:szCs w:val="32"/>
        </w:rPr>
      </w:pPr>
      <w:r>
        <w:rPr>
          <w:rFonts w:hint="eastAsia" w:ascii="楷体" w:hAnsi="楷体" w:eastAsia="楷体" w:cs="仿宋_GB2312"/>
          <w:i/>
          <w:color w:val="0000CC"/>
          <w:szCs w:val="32"/>
          <w:lang w:eastAsia="zh-CN"/>
        </w:rPr>
        <w:t>六、</w:t>
      </w:r>
      <w:r>
        <w:rPr>
          <w:rFonts w:hint="eastAsia" w:ascii="楷体" w:hAnsi="楷体" w:eastAsia="楷体" w:cs="仿宋_GB2312"/>
          <w:i/>
          <w:color w:val="0000CC"/>
          <w:szCs w:val="32"/>
        </w:rPr>
        <w:t>付款方式</w:t>
      </w:r>
    </w:p>
    <w:p>
      <w:pPr>
        <w:pStyle w:val="2"/>
        <w:numPr>
          <w:ilvl w:val="0"/>
          <w:numId w:val="0"/>
        </w:numPr>
        <w:spacing w:line="360" w:lineRule="auto"/>
        <w:ind w:firstLine="480" w:firstLineChars="200"/>
        <w:jc w:val="both"/>
        <w:rPr>
          <w:rFonts w:hint="eastAsia" w:ascii="仿宋_GB2312" w:eastAsia="仿宋_GB2312" w:hAnsiTheme="minorHAnsi" w:cstheme="minorBidi"/>
          <w:sz w:val="24"/>
          <w:szCs w:val="24"/>
          <w:highlight w:val="none"/>
          <w:lang w:val="en-US" w:eastAsia="zh-CN" w:bidi="ar-SA"/>
        </w:rPr>
      </w:pPr>
      <w:r>
        <w:rPr>
          <w:rFonts w:hint="eastAsia" w:ascii="仿宋_GB2312" w:eastAsia="仿宋_GB2312" w:hAnsiTheme="minorHAnsi" w:cstheme="minorBidi"/>
          <w:sz w:val="24"/>
          <w:szCs w:val="24"/>
          <w:highlight w:val="none"/>
          <w:lang w:val="en-US" w:eastAsia="zh-CN" w:bidi="ar-SA"/>
        </w:rPr>
        <w:t>依据具体宣传</w:t>
      </w:r>
      <w:r>
        <w:rPr>
          <w:rFonts w:hint="eastAsia" w:ascii="仿宋_GB2312" w:eastAsia="仿宋_GB2312" w:cstheme="minorBidi"/>
          <w:sz w:val="24"/>
          <w:szCs w:val="24"/>
          <w:highlight w:val="none"/>
          <w:lang w:val="en-US" w:eastAsia="zh-CN" w:bidi="ar-SA"/>
        </w:rPr>
        <w:t>广告</w:t>
      </w:r>
      <w:r>
        <w:rPr>
          <w:rFonts w:hint="eastAsia" w:ascii="仿宋_GB2312" w:eastAsia="仿宋_GB2312" w:hAnsiTheme="minorHAnsi" w:cstheme="minorBidi"/>
          <w:sz w:val="24"/>
          <w:szCs w:val="24"/>
          <w:highlight w:val="none"/>
          <w:lang w:val="en-US" w:eastAsia="zh-CN" w:bidi="ar-SA"/>
        </w:rPr>
        <w:t>事项，付款方式为验收合格付款、宣传期结束后付款，或分期付款。</w:t>
      </w:r>
      <w:r>
        <w:rPr>
          <w:rFonts w:hint="eastAsia" w:ascii="仿宋_GB2312" w:eastAsia="仿宋_GB2312" w:cstheme="minorBidi"/>
          <w:sz w:val="24"/>
          <w:szCs w:val="24"/>
          <w:highlight w:val="none"/>
          <w:lang w:val="en-US" w:eastAsia="zh-CN" w:bidi="ar-SA"/>
        </w:rPr>
        <w:t>供应商需充分响应。</w:t>
      </w:r>
    </w:p>
    <w:p>
      <w:pPr>
        <w:pStyle w:val="2"/>
      </w:pPr>
      <w:r>
        <w:rPr>
          <w:rFonts w:hint="eastAsia"/>
        </w:rPr>
        <w:t xml:space="preserve"> </w:t>
      </w:r>
      <w:r>
        <w:t xml:space="preserve">   </w:t>
      </w:r>
    </w:p>
    <w:p/>
    <w:p>
      <w:pPr>
        <w:pStyle w:val="2"/>
      </w:pPr>
    </w:p>
    <w:p>
      <w:pPr>
        <w:pStyle w:val="2"/>
      </w:pPr>
    </w:p>
    <w:p>
      <w:pPr>
        <w:pStyle w:val="2"/>
      </w:pPr>
    </w:p>
    <w:p>
      <w:pPr>
        <w:pStyle w:val="3"/>
        <w:spacing w:before="0" w:after="0"/>
        <w:jc w:val="left"/>
        <w:rPr>
          <w:rFonts w:ascii="仿宋" w:hAnsi="仿宋" w:eastAsia="仿宋" w:cs="仿宋"/>
          <w:sz w:val="28"/>
          <w:szCs w:val="28"/>
        </w:rPr>
      </w:pPr>
      <w:bookmarkStart w:id="126" w:name="_Toc186737812"/>
      <w:bookmarkStart w:id="127" w:name="_Toc3675"/>
      <w:bookmarkStart w:id="128" w:name="_Toc9891"/>
      <w:r>
        <w:rPr>
          <w:rFonts w:hint="eastAsia" w:ascii="仿宋" w:hAnsi="仿宋" w:eastAsia="仿宋" w:cs="仿宋"/>
          <w:sz w:val="28"/>
          <w:szCs w:val="28"/>
        </w:rPr>
        <w:t>第六章 响应文件格式</w:t>
      </w:r>
      <w:bookmarkEnd w:id="126"/>
      <w:bookmarkEnd w:id="127"/>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9" w:name="_Toc3936"/>
      <w:bookmarkStart w:id="130" w:name="_Toc287600131"/>
      <w:bookmarkStart w:id="131" w:name="_Toc25957"/>
      <w:bookmarkStart w:id="132" w:name="_Toc444891353"/>
      <w:bookmarkStart w:id="133" w:name="_Toc19910"/>
      <w:bookmarkStart w:id="134" w:name="_Toc19783362"/>
      <w:bookmarkStart w:id="135" w:name="_Toc517281836"/>
      <w:bookmarkStart w:id="136" w:name="_Toc21280"/>
      <w:bookmarkStart w:id="137" w:name="_Toc11783"/>
      <w:bookmarkStart w:id="138" w:name="_Toc287600129"/>
      <w:bookmarkStart w:id="139" w:name="_Toc19783360"/>
      <w:r>
        <w:rPr>
          <w:rFonts w:ascii="仿宋" w:hAnsi="仿宋" w:eastAsia="仿宋" w:cs="仿宋"/>
          <w:color w:val="000000"/>
          <w:sz w:val="24"/>
          <w:szCs w:val="24"/>
        </w:rPr>
        <w:br w:type="page"/>
      </w:r>
      <w:bookmarkStart w:id="140" w:name="_Toc186737813"/>
      <w:bookmarkStart w:id="141" w:name="_Toc17191"/>
      <w:r>
        <w:rPr>
          <w:rFonts w:hint="eastAsia" w:ascii="仿宋" w:hAnsi="仿宋" w:eastAsia="仿宋" w:cs="仿宋"/>
          <w:color w:val="000000"/>
          <w:sz w:val="24"/>
          <w:szCs w:val="24"/>
        </w:rPr>
        <w:t>一、商务文件</w:t>
      </w:r>
      <w:bookmarkEnd w:id="129"/>
      <w:bookmarkEnd w:id="140"/>
      <w:bookmarkEnd w:id="141"/>
    </w:p>
    <w:p>
      <w:pPr>
        <w:jc w:val="center"/>
      </w:pPr>
      <w:bookmarkStart w:id="142" w:name="_Toc26744"/>
      <w:r>
        <w:rPr>
          <w:rFonts w:hint="eastAsia" w:ascii="仿宋" w:hAnsi="仿宋" w:eastAsia="仿宋" w:cs="仿宋"/>
          <w:b/>
          <w:bCs/>
        </w:rPr>
        <w:t>初步评审索引表</w:t>
      </w:r>
      <w:bookmarkEnd w:id="142"/>
      <w:r>
        <w:rPr>
          <w:rFonts w:hint="eastAsia" w:ascii="仿宋" w:hAnsi="仿宋" w:eastAsia="仿宋" w:cs="仿宋"/>
          <w:color w:val="FF0000"/>
        </w:rPr>
        <w:t>（可以根据项目实际情况选择是否设置）</w:t>
      </w:r>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0"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7"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7"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具有独立承担民事责任的能力</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 w:val="22"/>
                <w:szCs w:val="21"/>
              </w:rPr>
              <w:t>具有良好的商业信誉和健全的财务会计制度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 w:val="22"/>
                <w:szCs w:val="21"/>
              </w:rPr>
              <w:t>供应商应具有履行合同所必需的设备和专业技术能力</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7"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0"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FF0000"/>
                <w:szCs w:val="21"/>
              </w:rPr>
              <w:t>供应商偏离应答</w:t>
            </w:r>
          </w:p>
        </w:tc>
        <w:tc>
          <w:tcPr>
            <w:tcW w:w="4217"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8" w:type="default"/>
          <w:pgSz w:w="11906" w:h="16838"/>
          <w:pgMar w:top="1417" w:right="1134" w:bottom="1134" w:left="1134" w:header="964" w:footer="964" w:gutter="0"/>
          <w:cols w:space="720" w:num="1"/>
          <w:docGrid w:linePitch="312" w:charSpace="0"/>
        </w:sectPr>
      </w:pPr>
    </w:p>
    <w:bookmarkEnd w:id="130"/>
    <w:bookmarkEnd w:id="131"/>
    <w:bookmarkEnd w:id="132"/>
    <w:bookmarkEnd w:id="133"/>
    <w:bookmarkEnd w:id="134"/>
    <w:bookmarkEnd w:id="135"/>
    <w:bookmarkEnd w:id="136"/>
    <w:bookmarkEnd w:id="137"/>
    <w:p>
      <w:pPr>
        <w:jc w:val="center"/>
        <w:rPr>
          <w:rFonts w:ascii="仿宋" w:hAnsi="仿宋" w:eastAsia="仿宋" w:cs="仿宋"/>
          <w:b/>
          <w:bCs/>
        </w:rPr>
      </w:pPr>
      <w:bookmarkStart w:id="143" w:name="_Toc517281837"/>
      <w:bookmarkStart w:id="144" w:name="_Toc12140"/>
      <w:bookmarkStart w:id="145" w:name="_Toc7202"/>
      <w:bookmarkStart w:id="146" w:name="_Toc25121"/>
      <w:bookmarkStart w:id="147" w:name="_Toc27799"/>
      <w:bookmarkStart w:id="148" w:name="_Toc444891354"/>
      <w:r>
        <w:rPr>
          <w:rFonts w:hint="eastAsia" w:ascii="仿宋" w:hAnsi="仿宋" w:eastAsia="仿宋" w:cs="仿宋"/>
          <w:b/>
          <w:bCs/>
        </w:rPr>
        <w:t>详细评审索引表</w:t>
      </w:r>
      <w:r>
        <w:rPr>
          <w:rFonts w:hint="eastAsia" w:ascii="仿宋" w:hAnsi="仿宋" w:eastAsia="仿宋" w:cs="仿宋"/>
          <w:color w:val="FF0000"/>
        </w:rPr>
        <w:t>（可以根据项目实际情况选择是否设置）</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综合实力</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tcMar>
              <w:top w:w="15" w:type="dxa"/>
              <w:left w:w="15" w:type="dxa"/>
              <w:right w:w="15" w:type="dxa"/>
            </w:tcMar>
            <w:vAlign w:val="center"/>
          </w:tcPr>
          <w:p>
            <w:pPr>
              <w:adjustRightInd w:val="0"/>
              <w:snapToGrid w:val="0"/>
              <w:rPr>
                <w:rFonts w:ascii="仿宋" w:hAnsi="仿宋" w:eastAsia="仿宋" w:cs="宋体"/>
                <w:color w:val="000000"/>
                <w:szCs w:val="21"/>
              </w:rPr>
            </w:pPr>
            <w:r>
              <w:rPr>
                <w:rFonts w:hint="eastAsia" w:ascii="仿宋" w:hAnsi="仿宋" w:eastAsia="仿宋" w:cs="宋体"/>
                <w:color w:val="000000"/>
                <w:szCs w:val="21"/>
              </w:rPr>
              <w:t>说明：XX</w:t>
            </w:r>
          </w:p>
          <w:p>
            <w:pPr>
              <w:rPr>
                <w:rStyle w:val="75"/>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lang w:bidi="ar"/>
              </w:rPr>
            </w:pP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（XX分）</w:t>
            </w:r>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r>
    </w:p>
    <w:p>
      <w:pPr>
        <w:pStyle w:val="5"/>
        <w:spacing w:before="0" w:line="440" w:lineRule="exact"/>
        <w:rPr>
          <w:rFonts w:ascii="仿宋" w:hAnsi="仿宋" w:eastAsia="仿宋" w:cs="仿宋"/>
          <w:color w:val="000000"/>
          <w:sz w:val="24"/>
          <w:szCs w:val="24"/>
        </w:rPr>
      </w:pPr>
      <w:bookmarkStart w:id="149" w:name="_Toc186737814"/>
      <w:bookmarkStart w:id="150" w:name="_Toc27958"/>
      <w:r>
        <w:rPr>
          <w:rFonts w:hint="eastAsia" w:ascii="仿宋" w:hAnsi="仿宋" w:eastAsia="仿宋" w:cs="仿宋"/>
          <w:color w:val="000000"/>
          <w:sz w:val="24"/>
          <w:szCs w:val="24"/>
        </w:rPr>
        <w:t>（一）响应函</w:t>
      </w:r>
      <w:bookmarkEnd w:id="149"/>
      <w:bookmarkEnd w:id="150"/>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commentRangeStart w:id="3"/>
      <w:r>
        <w:rPr>
          <w:rFonts w:ascii="仿宋" w:hAnsi="仿宋" w:eastAsia="仿宋" w:cs="Cambria Math"/>
          <w:color w:val="FF0000"/>
          <w:u w:val="single"/>
        </w:rPr>
        <w:t>180</w:t>
      </w:r>
      <w:commentRangeEnd w:id="3"/>
      <w:r>
        <w:rPr>
          <w:rStyle w:val="34"/>
        </w:rPr>
        <w:commentReference w:id="3"/>
      </w:r>
      <w:r>
        <w:rPr>
          <w:rFonts w:hint="eastAsia" w:ascii="仿宋" w:hAnsi="仿宋" w:eastAsia="仿宋" w:cs="Cambria Math"/>
          <w:color w:val="000000"/>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8"/>
      <w:bookmarkEnd w:id="139"/>
      <w:bookmarkEnd w:id="143"/>
      <w:bookmarkEnd w:id="144"/>
      <w:bookmarkEnd w:id="145"/>
      <w:bookmarkEnd w:id="146"/>
      <w:bookmarkEnd w:id="147"/>
      <w:bookmarkEnd w:id="148"/>
      <w:bookmarkStart w:id="151" w:name="_Toc186737815"/>
      <w:bookmarkStart w:id="152" w:name="_Toc13983"/>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20707"/>
      <w:bookmarkStart w:id="154" w:name="_Toc287600130"/>
      <w:bookmarkStart w:id="155" w:name="_Toc5582"/>
      <w:bookmarkStart w:id="156" w:name="_Toc186737816"/>
      <w:bookmarkStart w:id="157" w:name="_Toc26267"/>
      <w:bookmarkStart w:id="158" w:name="_Toc24788"/>
      <w:bookmarkStart w:id="159" w:name="_Toc19783361"/>
      <w:bookmarkStart w:id="160" w:name="_Toc517281838"/>
      <w:bookmarkStart w:id="161" w:name="_Toc444891355"/>
      <w:bookmarkStart w:id="162" w:name="_Toc4426"/>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cols w:space="720" w:num="1"/>
          <w:titlePg/>
          <w:docGrid w:type="lines" w:linePitch="312" w:charSpace="0"/>
        </w:sectPr>
      </w:pPr>
    </w:p>
    <w:p>
      <w:pPr>
        <w:pStyle w:val="5"/>
        <w:numPr>
          <w:ilvl w:val="0"/>
          <w:numId w:val="3"/>
        </w:numPr>
        <w:spacing w:before="0" w:after="0" w:line="360" w:lineRule="auto"/>
        <w:rPr>
          <w:rFonts w:hint="eastAsia" w:ascii="仿宋" w:hAnsi="仿宋" w:eastAsia="仿宋" w:cs="仿宋"/>
          <w:color w:val="000000"/>
          <w:sz w:val="24"/>
          <w:szCs w:val="24"/>
        </w:rPr>
      </w:pPr>
      <w:bookmarkStart w:id="163" w:name="_Toc30551"/>
      <w:bookmarkStart w:id="164" w:name="_Toc186737817"/>
      <w:bookmarkStart w:id="165" w:name="_Toc517281841"/>
      <w:r>
        <w:rPr>
          <w:rFonts w:hint="eastAsia" w:ascii="仿宋" w:hAnsi="仿宋" w:eastAsia="仿宋" w:cs="仿宋"/>
          <w:color w:val="000000"/>
          <w:sz w:val="24"/>
          <w:szCs w:val="24"/>
        </w:rPr>
        <w:t>资格证明文件</w:t>
      </w:r>
      <w:bookmarkEnd w:id="163"/>
      <w:bookmarkEnd w:id="164"/>
    </w:p>
    <w:p>
      <w:pPr>
        <w:pStyle w:val="5"/>
        <w:numPr>
          <w:ilvl w:val="0"/>
          <w:numId w:val="0"/>
        </w:numPr>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
        <w:spacing w:before="240"/>
        <w:rPr>
          <w:rFonts w:ascii="仿宋" w:hAnsi="仿宋" w:eastAsia="仿宋" w:cs="Cambria Math"/>
          <w:b/>
          <w:bCs/>
          <w:color w:val="000000"/>
        </w:rPr>
      </w:pPr>
      <w:r>
        <w:rPr>
          <w:rFonts w:hint="eastAsia" w:ascii="仿宋" w:hAnsi="仿宋" w:cs="仿宋"/>
          <w:color w:val="000000"/>
        </w:rPr>
        <w:br w:type="page"/>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资格条件中要求的具有良好的商业信誉和健全的财务会计制度比选响应资格，并对上述承诺真实性负责。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b w:val="0"/>
          <w:bCs w:val="0"/>
          <w:color w:val="000000"/>
          <w:sz w:val="24"/>
          <w:szCs w:val="24"/>
        </w:rPr>
      </w:pPr>
      <w:r>
        <w:rPr>
          <w:rFonts w:hint="eastAsia" w:ascii="仿宋" w:hAnsi="仿宋" w:eastAsia="仿宋" w:cs="仿宋"/>
          <w:color w:val="000000"/>
          <w:sz w:val="24"/>
          <w:szCs w:val="24"/>
        </w:rPr>
        <w:t>3、同类项目实施经验</w:t>
      </w:r>
      <w:r>
        <w:rPr>
          <w:rFonts w:hint="eastAsia" w:ascii="仿宋" w:hAnsi="仿宋" w:eastAsia="仿宋" w:cs="仿宋"/>
          <w:b w:val="0"/>
          <w:bCs w:val="0"/>
          <w:color w:val="000000"/>
          <w:sz w:val="24"/>
          <w:szCs w:val="24"/>
        </w:rPr>
        <w:t xml:space="preserve"> </w:t>
      </w:r>
    </w:p>
    <w:p>
      <w:r>
        <w:rPr>
          <w:rFonts w:hint="eastAsia" w:ascii="仿宋" w:hAnsi="仿宋" w:eastAsia="仿宋" w:cs="仿宋"/>
          <w:color w:val="FF0000"/>
        </w:rPr>
        <w:t>（可以根据项目实际情况选择是否设置）</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7" w:hRule="atLeast"/>
          <w:jc w:val="center"/>
        </w:trPr>
        <w:tc>
          <w:tcPr>
            <w:tcW w:w="467" w:type="pct"/>
            <w:vAlign w:val="center"/>
          </w:tcPr>
          <w:p>
            <w:pPr>
              <w:jc w:val="center"/>
              <w:rPr>
                <w:rFonts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szCs w:val="21"/>
              </w:rPr>
            </w:pPr>
          </w:p>
        </w:tc>
        <w:tc>
          <w:tcPr>
            <w:tcW w:w="471" w:type="pct"/>
            <w:vAlign w:val="center"/>
          </w:tcPr>
          <w:p>
            <w:pPr>
              <w:jc w:val="center"/>
              <w:rPr>
                <w:rFonts w:ascii="仿宋" w:hAnsi="仿宋" w:eastAsia="仿宋" w:cs="仿宋"/>
                <w:szCs w:val="21"/>
              </w:rPr>
            </w:pPr>
          </w:p>
        </w:tc>
        <w:tc>
          <w:tcPr>
            <w:tcW w:w="678" w:type="pct"/>
            <w:vAlign w:val="center"/>
          </w:tcPr>
          <w:p>
            <w:pPr>
              <w:jc w:val="center"/>
              <w:rPr>
                <w:rFonts w:ascii="仿宋" w:hAnsi="仿宋" w:eastAsia="仿宋" w:cs="仿宋"/>
                <w:szCs w:val="21"/>
              </w:rPr>
            </w:pPr>
          </w:p>
        </w:tc>
        <w:tc>
          <w:tcPr>
            <w:tcW w:w="645" w:type="pct"/>
            <w:vAlign w:val="center"/>
          </w:tcPr>
          <w:p>
            <w:pPr>
              <w:jc w:val="center"/>
              <w:rPr>
                <w:rFonts w:ascii="仿宋" w:hAnsi="仿宋" w:eastAsia="仿宋" w:cs="仿宋"/>
                <w:szCs w:val="21"/>
              </w:rPr>
            </w:pPr>
          </w:p>
        </w:tc>
        <w:tc>
          <w:tcPr>
            <w:tcW w:w="641" w:type="pct"/>
            <w:vAlign w:val="center"/>
          </w:tcPr>
          <w:p>
            <w:pPr>
              <w:jc w:val="center"/>
              <w:rPr>
                <w:rFonts w:ascii="仿宋" w:hAnsi="仿宋" w:eastAsia="仿宋" w:cs="仿宋"/>
                <w:szCs w:val="21"/>
              </w:rPr>
            </w:pPr>
          </w:p>
        </w:tc>
        <w:tc>
          <w:tcPr>
            <w:tcW w:w="565" w:type="pct"/>
            <w:vAlign w:val="center"/>
          </w:tcPr>
          <w:p>
            <w:pPr>
              <w:jc w:val="center"/>
              <w:rPr>
                <w:rFonts w:ascii="仿宋" w:hAnsi="仿宋" w:eastAsia="仿宋" w:cs="仿宋"/>
                <w:szCs w:val="21"/>
              </w:rPr>
            </w:pPr>
          </w:p>
        </w:tc>
        <w:tc>
          <w:tcPr>
            <w:tcW w:w="821" w:type="pct"/>
            <w:vAlign w:val="center"/>
          </w:tcPr>
          <w:p>
            <w:pPr>
              <w:jc w:val="center"/>
              <w:rPr>
                <w:rFonts w:ascii="仿宋" w:hAnsi="仿宋" w:eastAsia="仿宋" w:cs="仿宋"/>
                <w:szCs w:val="21"/>
              </w:rPr>
            </w:pPr>
          </w:p>
        </w:tc>
        <w:tc>
          <w:tcPr>
            <w:tcW w:w="709" w:type="pct"/>
            <w:vAlign w:val="center"/>
          </w:tcPr>
          <w:p>
            <w:pPr>
              <w:jc w:val="center"/>
              <w:rPr>
                <w:rFonts w:ascii="仿宋" w:hAnsi="仿宋" w:eastAsia="仿宋" w:cs="仿宋"/>
                <w:szCs w:val="21"/>
              </w:rPr>
            </w:pPr>
          </w:p>
        </w:tc>
      </w:tr>
    </w:tbl>
    <w:p>
      <w:pPr>
        <w:spacing w:line="360" w:lineRule="auto"/>
        <w:rPr>
          <w:rFonts w:ascii="仿宋" w:hAnsi="仿宋" w:eastAsia="仿宋" w:cs="仿宋"/>
          <w:b/>
          <w:bCs/>
          <w:color w:val="000000"/>
        </w:rPr>
      </w:pPr>
      <w:r>
        <w:rPr>
          <w:rFonts w:hint="eastAsia" w:ascii="仿宋" w:hAnsi="仿宋" w:eastAsia="仿宋" w:cs="仿宋"/>
          <w:b/>
          <w:bCs/>
          <w:color w:val="000000"/>
        </w:rPr>
        <w:t>备注：</w:t>
      </w:r>
    </w:p>
    <w:p>
      <w:pPr>
        <w:spacing w:line="360" w:lineRule="auto"/>
        <w:textAlignment w:val="baseline"/>
        <w:rPr>
          <w:rFonts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000000"/>
        </w:rPr>
      </w:pPr>
      <w:r>
        <w:rPr>
          <w:rFonts w:hint="eastAsia" w:ascii="仿宋" w:hAnsi="仿宋" w:eastAsia="仿宋"/>
          <w:b/>
          <w:color w:val="000000"/>
        </w:rPr>
        <w:t>2）按照比选公告的资格要求提供有效的实施经验证明材料，作为资格后审的评审依据。</w:t>
      </w:r>
    </w:p>
    <w:p>
      <w:pPr>
        <w:spacing w:line="360" w:lineRule="auto"/>
        <w:textAlignment w:val="baseline"/>
        <w:rPr>
          <w:rFonts w:ascii="仿宋" w:hAnsi="仿宋" w:eastAsia="仿宋"/>
          <w:b/>
          <w:color w:val="000000"/>
        </w:rPr>
      </w:pPr>
      <w:r>
        <w:rPr>
          <w:rFonts w:hint="eastAsia" w:ascii="仿宋" w:hAnsi="仿宋" w:eastAsia="仿宋"/>
          <w:b/>
          <w:color w:val="000000"/>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000000"/>
        </w:rPr>
      </w:pPr>
    </w:p>
    <w:p>
      <w:pPr>
        <w:spacing w:line="360" w:lineRule="auto"/>
        <w:ind w:firstLine="480" w:firstLineChars="20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pStyle w:val="51"/>
        <w:topLinePunct/>
        <w:adjustRightInd w:val="0"/>
        <w:snapToGrid w:val="0"/>
        <w:spacing w:line="360" w:lineRule="auto"/>
        <w:ind w:left="1575" w:firstLine="0" w:firstLineChars="0"/>
        <w:rPr>
          <w:rFonts w:ascii="仿宋" w:hAnsi="仿宋" w:eastAsia="仿宋" w:cs="仿宋"/>
          <w:bCs/>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spacing w:line="360" w:lineRule="auto"/>
        <w:textAlignment w:val="baseline"/>
        <w:rPr>
          <w:rFonts w:ascii="仿宋" w:hAnsi="仿宋" w:eastAsia="仿宋" w:cs="宋体"/>
          <w:color w:val="000000"/>
        </w:rPr>
      </w:pPr>
      <w:r>
        <w:br w:type="page"/>
      </w:r>
    </w:p>
    <w:p>
      <w:pPr>
        <w:pStyle w:val="2"/>
      </w:pPr>
    </w:p>
    <w:p>
      <w:pPr>
        <w:rPr>
          <w:rFonts w:ascii="仿宋" w:hAnsi="仿宋" w:eastAsia="仿宋" w:cs="仿宋"/>
          <w:b/>
          <w:bCs/>
          <w:color w:val="000000"/>
          <w:sz w:val="24"/>
          <w:szCs w:val="24"/>
        </w:rPr>
      </w:pPr>
      <w:r>
        <w:rPr>
          <w:rFonts w:hint="eastAsia" w:ascii="仿宋" w:hAnsi="仿宋" w:eastAsia="仿宋" w:cs="仿宋"/>
          <w:b/>
          <w:bCs/>
          <w:color w:val="000000"/>
          <w:sz w:val="24"/>
          <w:szCs w:val="24"/>
        </w:rPr>
        <w:t>5、无违法违规记录查询截图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b/>
          <w:bCs/>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ascii="仿宋" w:hAnsi="仿宋" w:eastAsia="仿宋" w:cs="仿宋"/>
          <w:b/>
          <w:bCs/>
          <w:color w:val="000000"/>
        </w:rPr>
        <w:t>6</w:t>
      </w:r>
      <w:r>
        <w:rPr>
          <w:rFonts w:hint="eastAsia" w:ascii="仿宋" w:hAnsi="仿宋" w:eastAsia="仿宋" w:cs="仿宋"/>
          <w:b/>
          <w:bCs/>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6"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b/>
          <w:bCs/>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b/>
          <w:bCs/>
          <w:color w:val="000000"/>
        </w:rPr>
        <w:t>8、非联合体比选响应声明</w:t>
      </w:r>
    </w:p>
    <w:bookmarkEnd w:id="165"/>
    <w:bookmarkEnd w:id="166"/>
    <w:p>
      <w:pPr>
        <w:pStyle w:val="2"/>
        <w:spacing w:before="240"/>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8" w:name="_Toc18208"/>
      <w:bookmarkStart w:id="169" w:name="_Toc65683009"/>
      <w:bookmarkStart w:id="170" w:name="_Toc186737818"/>
      <w:bookmarkStart w:id="171" w:name="_Toc15130"/>
      <w:bookmarkStart w:id="172" w:name="_Toc112068411"/>
      <w:bookmarkStart w:id="173" w:name="_Toc144139212"/>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4" w:name="_Toc17890"/>
      <w:bookmarkStart w:id="175" w:name="_Toc186737819"/>
      <w:r>
        <w:rPr>
          <w:rFonts w:hint="eastAsia" w:ascii="仿宋" w:hAnsi="仿宋" w:eastAsia="仿宋" w:cs="仿宋"/>
          <w:color w:val="000000"/>
          <w:sz w:val="24"/>
          <w:szCs w:val="24"/>
        </w:rPr>
        <w:t>（七）供应商行为准则承诺书</w:t>
      </w:r>
      <w:bookmarkEnd w:id="174"/>
      <w:bookmarkEnd w:id="175"/>
    </w:p>
    <w:p>
      <w:pPr>
        <w:jc w:val="center"/>
        <w:rPr>
          <w:rFonts w:ascii="仿宋" w:hAnsi="仿宋" w:eastAsia="仿宋" w:cs="宋体"/>
          <w:b/>
          <w:bCs/>
          <w:color w:val="000000"/>
          <w:sz w:val="28"/>
          <w:szCs w:val="28"/>
        </w:rPr>
      </w:pPr>
      <w:bookmarkStart w:id="176"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7" w:name="_Toc186737820"/>
      <w:bookmarkStart w:id="178" w:name="_Toc8068"/>
      <w:r>
        <w:rPr>
          <w:rFonts w:hint="eastAsia" w:ascii="仿宋" w:hAnsi="仿宋" w:eastAsia="仿宋" w:cs="宋体"/>
          <w:bCs w:val="0"/>
          <w:color w:val="000000"/>
          <w:sz w:val="24"/>
          <w:szCs w:val="24"/>
        </w:rPr>
        <w:t>（八）供应商廉洁诚信承诺书</w:t>
      </w:r>
      <w:bookmarkEnd w:id="176"/>
      <w:bookmarkEnd w:id="177"/>
      <w:bookmarkEnd w:id="17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79" w:name="_Toc186737822"/>
      <w:r>
        <w:rPr>
          <w:rFonts w:hint="eastAsia" w:ascii="仿宋" w:hAnsi="仿宋" w:eastAsia="仿宋" w:cs="宋体"/>
          <w:color w:val="000000"/>
          <w:sz w:val="24"/>
        </w:rPr>
        <w:t>（十）其他材料</w:t>
      </w:r>
      <w:bookmarkEnd w:id="179"/>
    </w:p>
    <w:p>
      <w:pPr>
        <w:spacing w:line="360" w:lineRule="auto"/>
        <w:rPr>
          <w:rFonts w:ascii="宋体" w:hAnsi="宋体"/>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7"/>
    <w:p>
      <w:pPr>
        <w:pStyle w:val="4"/>
        <w:jc w:val="both"/>
        <w:rPr>
          <w:rFonts w:ascii="仿宋" w:hAnsi="仿宋" w:eastAsia="仿宋" w:cs="仿宋"/>
          <w:color w:val="000000"/>
          <w:sz w:val="24"/>
          <w:szCs w:val="24"/>
        </w:rPr>
      </w:pPr>
      <w:bookmarkStart w:id="180" w:name="_Toc186737823"/>
      <w:bookmarkStart w:id="181" w:name="_Toc28698"/>
      <w:r>
        <w:rPr>
          <w:rFonts w:hint="eastAsia" w:ascii="仿宋" w:hAnsi="仿宋" w:eastAsia="仿宋" w:cs="仿宋"/>
          <w:color w:val="000000"/>
          <w:sz w:val="24"/>
          <w:szCs w:val="24"/>
        </w:rPr>
        <w:t>二、技术文件</w:t>
      </w:r>
      <w:bookmarkEnd w:id="180"/>
      <w:bookmarkEnd w:id="181"/>
    </w:p>
    <w:p>
      <w:pPr>
        <w:jc w:val="center"/>
        <w:rPr>
          <w:rFonts w:ascii="仿宋" w:hAnsi="仿宋" w:eastAsia="仿宋" w:cs="仿宋"/>
          <w:b/>
          <w:bCs/>
        </w:rPr>
      </w:pPr>
      <w:bookmarkStart w:id="182" w:name="_Toc30870"/>
      <w:bookmarkStart w:id="183" w:name="_Toc23108"/>
      <w:r>
        <w:rPr>
          <w:rFonts w:hint="eastAsia" w:ascii="仿宋" w:hAnsi="仿宋" w:eastAsia="仿宋" w:cs="仿宋"/>
          <w:b/>
          <w:bCs/>
        </w:rPr>
        <w:t>详细评审索引表</w:t>
      </w:r>
      <w:bookmarkEnd w:id="182"/>
      <w:r>
        <w:rPr>
          <w:rFonts w:hint="eastAsia" w:ascii="仿宋" w:hAnsi="仿宋" w:eastAsia="仿宋" w:cs="仿宋"/>
          <w:color w:val="FF0000"/>
        </w:rPr>
        <w:t>（可以根据项目实际情况选择是否设置）</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技术得分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rPr>
              <w:t>（XX分）</w:t>
            </w:r>
          </w:p>
        </w:tc>
        <w:tc>
          <w:tcPr>
            <w:tcW w:w="2268" w:type="dxa"/>
            <w:vAlign w:val="center"/>
          </w:tcPr>
          <w:p>
            <w:pPr>
              <w:jc w:val="center"/>
              <w:rPr>
                <w:rFonts w:ascii="仿宋" w:hAnsi="仿宋" w:eastAsia="仿宋" w:cs="宋体"/>
                <w:color w:val="000000"/>
                <w:szCs w:val="21"/>
              </w:rPr>
            </w:pP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84" w:name="_Toc186737824"/>
      <w:bookmarkStart w:id="185" w:name="_Toc17302"/>
      <w:r>
        <w:rPr>
          <w:rFonts w:hint="eastAsia" w:ascii="仿宋" w:hAnsi="仿宋" w:eastAsia="仿宋" w:cs="仿宋"/>
          <w:color w:val="000000"/>
          <w:sz w:val="24"/>
          <w:szCs w:val="24"/>
        </w:rPr>
        <w:t>（一）采购需求应答偏离表</w:t>
      </w:r>
      <w:bookmarkEnd w:id="183"/>
      <w:bookmarkEnd w:id="184"/>
      <w:bookmarkEnd w:id="185"/>
    </w:p>
    <w:p>
      <w:pPr>
        <w:spacing w:line="360" w:lineRule="auto"/>
        <w:jc w:val="center"/>
        <w:rPr>
          <w:rFonts w:ascii="仿宋" w:hAnsi="仿宋" w:eastAsia="仿宋" w:cs="仿宋"/>
          <w:b/>
          <w:bCs/>
          <w:color w:val="000000"/>
        </w:rPr>
      </w:pPr>
      <w:bookmarkStart w:id="186" w:name="_Toc293297544"/>
      <w:bookmarkStart w:id="187" w:name="_Toc125771198"/>
      <w:bookmarkStart w:id="188" w:name="_Toc125561188"/>
      <w:r>
        <w:rPr>
          <w:rFonts w:hint="eastAsia" w:ascii="仿宋" w:hAnsi="仿宋" w:eastAsia="仿宋" w:cs="仿宋"/>
          <w:b/>
          <w:bCs/>
          <w:color w:val="000000"/>
        </w:rPr>
        <w:t>采购需求应答偏离表</w:t>
      </w:r>
      <w:bookmarkEnd w:id="186"/>
      <w:bookmarkEnd w:id="187"/>
      <w:bookmarkEnd w:id="188"/>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89" w:name="_Toc8284"/>
      <w:bookmarkStart w:id="190" w:name="_Toc186737825"/>
      <w:r>
        <w:rPr>
          <w:rFonts w:hint="eastAsia" w:ascii="仿宋" w:hAnsi="仿宋" w:eastAsia="仿宋" w:cs="仿宋"/>
          <w:color w:val="000000"/>
          <w:sz w:val="24"/>
          <w:szCs w:val="24"/>
        </w:rPr>
        <w:t>（二）技术方案</w:t>
      </w:r>
      <w:bookmarkEnd w:id="189"/>
      <w:bookmarkEnd w:id="190"/>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 xml:space="preserve">供应商应根据采购需求的要求，提供相应的文件内容以及证明材料。 </w:t>
      </w:r>
      <w:bookmarkStart w:id="191" w:name="_Toc517281860"/>
      <w:bookmarkStart w:id="192" w:name="_Toc444891358"/>
      <w:r>
        <w:rPr>
          <w:rFonts w:hint="eastAsia" w:ascii="仿宋" w:hAnsi="仿宋" w:eastAsia="仿宋" w:cs="仿宋"/>
          <w:color w:val="000000"/>
        </w:rPr>
        <w:br w:type="page"/>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p>
      <w:pPr>
        <w:pStyle w:val="6"/>
        <w:rPr>
          <w:rFonts w:ascii="仿宋" w:hAnsi="仿宋" w:eastAsia="仿宋" w:cs="Cambria Math"/>
          <w:color w:val="000000"/>
          <w:sz w:val="24"/>
          <w:szCs w:val="24"/>
        </w:rPr>
      </w:pPr>
      <w:r>
        <w:rPr>
          <w:rFonts w:hint="eastAsia" w:ascii="仿宋" w:hAnsi="仿宋" w:eastAsia="仿宋" w:cs="仿宋"/>
          <w:b w:val="0"/>
          <w:bCs w:val="0"/>
          <w:color w:val="FF0000"/>
          <w:sz w:val="24"/>
          <w:szCs w:val="24"/>
        </w:rPr>
        <w:t>（可以根据项目实际情况选择是否设置）</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bl>
    <w:p>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p>
      <w:r>
        <w:rPr>
          <w:rFonts w:hint="eastAsia" w:ascii="仿宋" w:hAnsi="仿宋" w:eastAsia="仿宋" w:cs="仿宋"/>
          <w:color w:val="FF0000"/>
        </w:rPr>
        <w:t>（可以根据项目实际情况选择是否设置）</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pPr>
              <w:jc w:val="center"/>
              <w:rPr>
                <w:rFonts w:ascii="仿宋" w:hAnsi="仿宋" w:eastAsia="仿宋" w:cs="仿宋"/>
                <w:color w:val="000000"/>
              </w:rPr>
            </w:pPr>
          </w:p>
        </w:tc>
        <w:tc>
          <w:tcPr>
            <w:tcW w:w="945" w:type="dxa"/>
            <w:gridSpan w:val="2"/>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pPr>
              <w:rPr>
                <w:rFonts w:ascii="仿宋" w:hAnsi="仿宋" w:eastAsia="仿宋" w:cs="仿宋"/>
                <w:color w:val="000000"/>
              </w:rPr>
            </w:pPr>
          </w:p>
        </w:tc>
        <w:tc>
          <w:tcPr>
            <w:tcW w:w="1854" w:type="dxa"/>
            <w:gridSpan w:val="2"/>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pPr>
              <w:rPr>
                <w:rFonts w:ascii="仿宋" w:hAnsi="仿宋" w:eastAsia="仿宋" w:cs="仿宋"/>
                <w:color w:val="000000"/>
              </w:rPr>
            </w:pPr>
          </w:p>
        </w:tc>
        <w:tc>
          <w:tcPr>
            <w:tcW w:w="1854" w:type="dxa"/>
            <w:gridSpan w:val="2"/>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93" w:name="_Toc186737826"/>
      <w:bookmarkStart w:id="194" w:name="_Toc20365"/>
      <w:r>
        <w:rPr>
          <w:rFonts w:hint="eastAsia" w:ascii="仿宋" w:hAnsi="仿宋" w:eastAsia="仿宋" w:cs="仿宋"/>
          <w:color w:val="000000"/>
          <w:sz w:val="24"/>
          <w:szCs w:val="24"/>
        </w:rPr>
        <w:t>（三）</w:t>
      </w:r>
      <w:bookmarkEnd w:id="191"/>
      <w:bookmarkEnd w:id="192"/>
      <w:r>
        <w:rPr>
          <w:rFonts w:hint="eastAsia" w:ascii="仿宋" w:hAnsi="仿宋" w:eastAsia="仿宋" w:cs="仿宋"/>
          <w:color w:val="000000"/>
          <w:sz w:val="24"/>
          <w:szCs w:val="24"/>
        </w:rPr>
        <w:t>其他材料</w:t>
      </w:r>
      <w:bookmarkEnd w:id="193"/>
      <w:bookmarkEnd w:id="194"/>
    </w:p>
    <w:p>
      <w:pPr>
        <w:pStyle w:val="3"/>
        <w:tabs>
          <w:tab w:val="clear" w:pos="425"/>
        </w:tabs>
        <w:spacing w:before="0" w:after="0" w:line="560" w:lineRule="exact"/>
        <w:ind w:left="424" w:hanging="362" w:hangingChars="151"/>
        <w:jc w:val="left"/>
        <w:rPr>
          <w:rFonts w:hint="eastAsia" w:ascii="仿宋" w:hAnsi="仿宋" w:eastAsia="仿宋" w:cs="仿宋"/>
          <w:b w:val="0"/>
          <w:bCs w:val="0"/>
          <w:color w:val="000000"/>
          <w:kern w:val="0"/>
          <w:sz w:val="24"/>
          <w:szCs w:val="24"/>
          <w:lang w:val="en-US" w:eastAsia="zh-CN" w:bidi="ar-SA"/>
        </w:rPr>
      </w:pPr>
      <w:r>
        <w:rPr>
          <w:rFonts w:hint="eastAsia" w:ascii="仿宋" w:hAnsi="仿宋" w:eastAsia="仿宋" w:cs="仿宋"/>
          <w:b w:val="0"/>
          <w:bCs w:val="0"/>
          <w:color w:val="000000"/>
          <w:kern w:val="0"/>
          <w:sz w:val="24"/>
          <w:szCs w:val="24"/>
          <w:lang w:val="en-US" w:eastAsia="zh-CN" w:bidi="ar-SA"/>
        </w:rPr>
        <w:t>供应商认为需提供的其他材料。</w:t>
      </w:r>
      <w:bookmarkEnd w:id="128"/>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娇 [2]" w:date="2020-04-01T16:02:00Z" w:initials="p">
    <w:p w14:paraId="505766A6">
      <w:pPr>
        <w:pStyle w:val="12"/>
      </w:pPr>
      <w:r>
        <w:rPr>
          <w:rFonts w:hint="eastAsia"/>
        </w:rPr>
        <w:t>根据项目具体情况设定，参照《四川省分公司采购流程及监督管理全景视图》评审模板设置。</w:t>
      </w:r>
    </w:p>
  </w:comment>
  <w:comment w:id="1" w:author="刘娇" w:date="2025-01-03T14:49:00Z" w:initials="l">
    <w:p w14:paraId="67440CB3">
      <w:pPr>
        <w:pStyle w:val="12"/>
      </w:pPr>
      <w:r>
        <w:t>使用公司标准版合同模板</w:t>
      </w:r>
    </w:p>
  </w:comment>
  <w:comment w:id="2" w:author="刘娇" w:date="2025-01-03T14:49:00Z" w:initials="l">
    <w:p w14:paraId="4FD874D2">
      <w:pPr>
        <w:pStyle w:val="12"/>
      </w:pPr>
      <w:r>
        <w:t>根据项目实际明确各项要求</w:t>
      </w:r>
      <w:r>
        <w:rPr>
          <w:rFonts w:hint="eastAsia"/>
        </w:rPr>
        <w:t>，</w:t>
      </w:r>
      <w:r>
        <w:t>具体可参照</w:t>
      </w:r>
      <w:r>
        <w:rPr>
          <w:rFonts w:hint="eastAsia"/>
        </w:rPr>
        <w:t>《</w:t>
      </w:r>
      <w:r>
        <w:fldChar w:fldCharType="begin"/>
      </w:r>
      <w:r>
        <w:instrText xml:space="preserve"> HYPERLINK "http://10.2.10.29:9108/oa/view/page/gwForm.html?servId=OA_GW_GONGWEN_BMFW&amp;dataId=0wNGznsqsJ1Mb6JKpSPv5Al&amp;year=2024&amp;OdeptCode=201206161620110703l3je7" \t "_blank" \o "关于进一步加强采购需求管理的通知  川人保财险财会部函〔2024〕92号" </w:instrText>
      </w:r>
      <w:r>
        <w:fldChar w:fldCharType="separate"/>
      </w:r>
      <w:r>
        <w:rPr>
          <w:rStyle w:val="33"/>
          <w:rFonts w:hint="eastAsia" w:ascii="微软雅黑" w:hAnsi="微软雅黑" w:eastAsia="微软雅黑"/>
          <w:sz w:val="21"/>
          <w:szCs w:val="21"/>
          <w:shd w:val="clear" w:color="auto" w:fill="FFFFFF"/>
        </w:rPr>
        <w:t>关于进一步加强采购需求管理的通知</w:t>
      </w:r>
      <w:r>
        <w:rPr>
          <w:rStyle w:val="33"/>
          <w:rFonts w:hint="eastAsia" w:ascii="微软雅黑" w:hAnsi="微软雅黑" w:eastAsia="微软雅黑"/>
          <w:sz w:val="21"/>
          <w:szCs w:val="21"/>
          <w:shd w:val="clear" w:color="auto" w:fill="FFFFFF"/>
        </w:rPr>
        <w:fldChar w:fldCharType="end"/>
      </w:r>
      <w:r>
        <w:rPr>
          <w:rFonts w:hint="eastAsia"/>
        </w:rPr>
        <w:t>》（</w:t>
      </w:r>
      <w:r>
        <w:rPr>
          <w:rFonts w:hint="eastAsia" w:ascii="微软雅黑" w:hAnsi="微软雅黑" w:eastAsia="微软雅黑"/>
          <w:sz w:val="21"/>
          <w:szCs w:val="21"/>
          <w:shd w:val="clear" w:color="auto" w:fill="FFFFFF"/>
        </w:rPr>
        <w:t>川人保财险财会部函〔2024〕92号</w:t>
      </w:r>
      <w:r>
        <w:rPr>
          <w:rFonts w:hint="eastAsia"/>
        </w:rPr>
        <w:t>）采购需求样例模板编制</w:t>
      </w:r>
    </w:p>
  </w:comment>
  <w:comment w:id="3" w:author="刘娇" w:date="2025-01-03T15:46:00Z" w:initials="l">
    <w:p w14:paraId="7BC66167">
      <w:pPr>
        <w:pStyle w:val="12"/>
      </w:pPr>
      <w:r>
        <w:t>需采购人明确相应有效期要求</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05766A6" w15:done="0"/>
  <w15:commentEx w15:paraId="67440CB3" w15:done="0"/>
  <w15:commentEx w15:paraId="4FD874D2" w15:done="0"/>
  <w15:commentEx w15:paraId="7BC6616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1D0A5C"/>
    <w:multiLevelType w:val="singleLevel"/>
    <w:tmpl w:val="C91D0A5C"/>
    <w:lvl w:ilvl="0" w:tentative="0">
      <w:start w:val="4"/>
      <w:numFmt w:val="chineseCounting"/>
      <w:suff w:val="nothing"/>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娇 [2]">
    <w15:presenceInfo w15:providerId="AD" w15:userId="S-1-5-21-4183895605-1912095166-436771656-124288"/>
  </w15:person>
  <w15:person w15:author="刘娇">
    <w15:presenceInfo w15:providerId="None" w15:userId="刘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17AB"/>
    <w:rsid w:val="00A14215"/>
    <w:rsid w:val="00A15766"/>
    <w:rsid w:val="00A15DD5"/>
    <w:rsid w:val="00A16700"/>
    <w:rsid w:val="00A17C01"/>
    <w:rsid w:val="00A34427"/>
    <w:rsid w:val="00A40435"/>
    <w:rsid w:val="00A40CE2"/>
    <w:rsid w:val="00A43BEF"/>
    <w:rsid w:val="00A47296"/>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D02710"/>
    <w:rsid w:val="01D86994"/>
    <w:rsid w:val="01FF3D0F"/>
    <w:rsid w:val="028213AB"/>
    <w:rsid w:val="0325435D"/>
    <w:rsid w:val="03842DE7"/>
    <w:rsid w:val="03CA6EF6"/>
    <w:rsid w:val="0569312B"/>
    <w:rsid w:val="058A1AE1"/>
    <w:rsid w:val="05D435B9"/>
    <w:rsid w:val="05F13253"/>
    <w:rsid w:val="06891246"/>
    <w:rsid w:val="06A95C2E"/>
    <w:rsid w:val="06B01218"/>
    <w:rsid w:val="07174068"/>
    <w:rsid w:val="072678E3"/>
    <w:rsid w:val="07CC203E"/>
    <w:rsid w:val="08042CA2"/>
    <w:rsid w:val="0A141145"/>
    <w:rsid w:val="0A383765"/>
    <w:rsid w:val="0A61763C"/>
    <w:rsid w:val="0AA67CB9"/>
    <w:rsid w:val="0ABA601F"/>
    <w:rsid w:val="0ACB4877"/>
    <w:rsid w:val="0B8760E8"/>
    <w:rsid w:val="0B895377"/>
    <w:rsid w:val="0C302844"/>
    <w:rsid w:val="0D206759"/>
    <w:rsid w:val="0D6E60A1"/>
    <w:rsid w:val="0F817C7F"/>
    <w:rsid w:val="0FB51D65"/>
    <w:rsid w:val="10F55A52"/>
    <w:rsid w:val="117748B7"/>
    <w:rsid w:val="11D16BFE"/>
    <w:rsid w:val="11F46E36"/>
    <w:rsid w:val="123212E7"/>
    <w:rsid w:val="136817E4"/>
    <w:rsid w:val="13A22722"/>
    <w:rsid w:val="13B40768"/>
    <w:rsid w:val="14302EE3"/>
    <w:rsid w:val="14404C2E"/>
    <w:rsid w:val="1458496F"/>
    <w:rsid w:val="1464639A"/>
    <w:rsid w:val="14971731"/>
    <w:rsid w:val="15E40D35"/>
    <w:rsid w:val="16573C5D"/>
    <w:rsid w:val="169A175F"/>
    <w:rsid w:val="16D2531C"/>
    <w:rsid w:val="17334565"/>
    <w:rsid w:val="17685D29"/>
    <w:rsid w:val="177A3C9E"/>
    <w:rsid w:val="178772D7"/>
    <w:rsid w:val="178D45D6"/>
    <w:rsid w:val="17FC2567"/>
    <w:rsid w:val="18146217"/>
    <w:rsid w:val="18215304"/>
    <w:rsid w:val="18C617EF"/>
    <w:rsid w:val="19332BB1"/>
    <w:rsid w:val="19B32C13"/>
    <w:rsid w:val="19E70E0E"/>
    <w:rsid w:val="1A3022CF"/>
    <w:rsid w:val="1A3A1F83"/>
    <w:rsid w:val="1A6B57CB"/>
    <w:rsid w:val="1C8B1061"/>
    <w:rsid w:val="1D237383"/>
    <w:rsid w:val="1E0F2F88"/>
    <w:rsid w:val="1EE92861"/>
    <w:rsid w:val="1F5171F9"/>
    <w:rsid w:val="1F9757E1"/>
    <w:rsid w:val="200022C0"/>
    <w:rsid w:val="20061DCD"/>
    <w:rsid w:val="201B0F7F"/>
    <w:rsid w:val="20BB17B2"/>
    <w:rsid w:val="21FB04CE"/>
    <w:rsid w:val="22087C6F"/>
    <w:rsid w:val="226B33C3"/>
    <w:rsid w:val="22762396"/>
    <w:rsid w:val="22E26C93"/>
    <w:rsid w:val="232457F5"/>
    <w:rsid w:val="233A312C"/>
    <w:rsid w:val="2472601F"/>
    <w:rsid w:val="24CF4FC0"/>
    <w:rsid w:val="26151588"/>
    <w:rsid w:val="268E37D0"/>
    <w:rsid w:val="284F2EFD"/>
    <w:rsid w:val="292532D4"/>
    <w:rsid w:val="29BE3D54"/>
    <w:rsid w:val="2A2E247A"/>
    <w:rsid w:val="2A9D69AB"/>
    <w:rsid w:val="2ABE3801"/>
    <w:rsid w:val="2B3F4407"/>
    <w:rsid w:val="2C567CDD"/>
    <w:rsid w:val="2C7176F9"/>
    <w:rsid w:val="2C7C350C"/>
    <w:rsid w:val="2D2F7431"/>
    <w:rsid w:val="2D7B562D"/>
    <w:rsid w:val="2DF81ACA"/>
    <w:rsid w:val="2DFC2F3E"/>
    <w:rsid w:val="2E3461D7"/>
    <w:rsid w:val="2E704C40"/>
    <w:rsid w:val="30247B0A"/>
    <w:rsid w:val="30313826"/>
    <w:rsid w:val="30AE4D64"/>
    <w:rsid w:val="31B7469D"/>
    <w:rsid w:val="31BD1E29"/>
    <w:rsid w:val="31D2686C"/>
    <w:rsid w:val="342B5426"/>
    <w:rsid w:val="34313AAC"/>
    <w:rsid w:val="34425E22"/>
    <w:rsid w:val="34881FBA"/>
    <w:rsid w:val="35A07995"/>
    <w:rsid w:val="35EC5B89"/>
    <w:rsid w:val="362C1207"/>
    <w:rsid w:val="36372C24"/>
    <w:rsid w:val="365C49EA"/>
    <w:rsid w:val="367E7E5E"/>
    <w:rsid w:val="37915A99"/>
    <w:rsid w:val="38AB1BC5"/>
    <w:rsid w:val="39092558"/>
    <w:rsid w:val="39192815"/>
    <w:rsid w:val="393321B1"/>
    <w:rsid w:val="397D76E1"/>
    <w:rsid w:val="39AE2A4E"/>
    <w:rsid w:val="39B34B4C"/>
    <w:rsid w:val="3B312338"/>
    <w:rsid w:val="3C0F6516"/>
    <w:rsid w:val="3C2566D3"/>
    <w:rsid w:val="3C616320"/>
    <w:rsid w:val="3CF041DB"/>
    <w:rsid w:val="3D2D7D20"/>
    <w:rsid w:val="3D8F7BCA"/>
    <w:rsid w:val="3D9918A0"/>
    <w:rsid w:val="3E2E7CB6"/>
    <w:rsid w:val="3EA416EE"/>
    <w:rsid w:val="3F0A29FB"/>
    <w:rsid w:val="3F4D2FE9"/>
    <w:rsid w:val="402D4E4A"/>
    <w:rsid w:val="41082EC7"/>
    <w:rsid w:val="41414A76"/>
    <w:rsid w:val="41D05991"/>
    <w:rsid w:val="42B12B6E"/>
    <w:rsid w:val="439D66B8"/>
    <w:rsid w:val="43A964C0"/>
    <w:rsid w:val="445057A1"/>
    <w:rsid w:val="44645086"/>
    <w:rsid w:val="446505C9"/>
    <w:rsid w:val="44877E79"/>
    <w:rsid w:val="46395F84"/>
    <w:rsid w:val="46932233"/>
    <w:rsid w:val="476214A1"/>
    <w:rsid w:val="47AE3F29"/>
    <w:rsid w:val="47C85937"/>
    <w:rsid w:val="49433FBF"/>
    <w:rsid w:val="497B0AC1"/>
    <w:rsid w:val="4B5C6692"/>
    <w:rsid w:val="4B7C6627"/>
    <w:rsid w:val="4B974814"/>
    <w:rsid w:val="4C0473C6"/>
    <w:rsid w:val="4D4B18DC"/>
    <w:rsid w:val="4D9B0602"/>
    <w:rsid w:val="4E4A17FE"/>
    <w:rsid w:val="4E5A2D89"/>
    <w:rsid w:val="4E7D2F52"/>
    <w:rsid w:val="4E7D5E9F"/>
    <w:rsid w:val="4F4246BC"/>
    <w:rsid w:val="516F66B9"/>
    <w:rsid w:val="524C6510"/>
    <w:rsid w:val="52706D8F"/>
    <w:rsid w:val="52A56EA9"/>
    <w:rsid w:val="52B513BE"/>
    <w:rsid w:val="52C6295D"/>
    <w:rsid w:val="52DB1871"/>
    <w:rsid w:val="53117E08"/>
    <w:rsid w:val="535432BA"/>
    <w:rsid w:val="53F65A75"/>
    <w:rsid w:val="545731F3"/>
    <w:rsid w:val="54921C42"/>
    <w:rsid w:val="54E9057B"/>
    <w:rsid w:val="557F72D2"/>
    <w:rsid w:val="55FE463F"/>
    <w:rsid w:val="56257777"/>
    <w:rsid w:val="56450EDB"/>
    <w:rsid w:val="59E7307A"/>
    <w:rsid w:val="5A3C1FF4"/>
    <w:rsid w:val="5A4C45FC"/>
    <w:rsid w:val="5A6E295F"/>
    <w:rsid w:val="5A9263A6"/>
    <w:rsid w:val="5AA57953"/>
    <w:rsid w:val="5AE1183E"/>
    <w:rsid w:val="5AF35146"/>
    <w:rsid w:val="5B7D6727"/>
    <w:rsid w:val="5B9A01BB"/>
    <w:rsid w:val="5BEC315F"/>
    <w:rsid w:val="5C5D0552"/>
    <w:rsid w:val="5C7653B2"/>
    <w:rsid w:val="5CEB6694"/>
    <w:rsid w:val="5D1754B8"/>
    <w:rsid w:val="5D9071B5"/>
    <w:rsid w:val="5E3C677A"/>
    <w:rsid w:val="5F49220B"/>
    <w:rsid w:val="5F592DFB"/>
    <w:rsid w:val="5F7F5239"/>
    <w:rsid w:val="60507687"/>
    <w:rsid w:val="622F4B23"/>
    <w:rsid w:val="625B180A"/>
    <w:rsid w:val="627B3852"/>
    <w:rsid w:val="629149A0"/>
    <w:rsid w:val="62F764B2"/>
    <w:rsid w:val="6333659B"/>
    <w:rsid w:val="63936F88"/>
    <w:rsid w:val="63BA77AE"/>
    <w:rsid w:val="6454481E"/>
    <w:rsid w:val="648869AC"/>
    <w:rsid w:val="654C2E04"/>
    <w:rsid w:val="66090676"/>
    <w:rsid w:val="660B4DF2"/>
    <w:rsid w:val="668002B5"/>
    <w:rsid w:val="6684253E"/>
    <w:rsid w:val="673B7097"/>
    <w:rsid w:val="678574FE"/>
    <w:rsid w:val="684F6E36"/>
    <w:rsid w:val="6936651F"/>
    <w:rsid w:val="69DB5AB9"/>
    <w:rsid w:val="69F90ABF"/>
    <w:rsid w:val="6A246A40"/>
    <w:rsid w:val="6AD13942"/>
    <w:rsid w:val="6B635940"/>
    <w:rsid w:val="6C5F3CBB"/>
    <w:rsid w:val="6D535020"/>
    <w:rsid w:val="6DB95988"/>
    <w:rsid w:val="6E8B036B"/>
    <w:rsid w:val="6EFC79BE"/>
    <w:rsid w:val="6F5B51C0"/>
    <w:rsid w:val="70061007"/>
    <w:rsid w:val="70730EA4"/>
    <w:rsid w:val="70B950FC"/>
    <w:rsid w:val="71130E1A"/>
    <w:rsid w:val="71FF451E"/>
    <w:rsid w:val="737A2701"/>
    <w:rsid w:val="746305B1"/>
    <w:rsid w:val="74862811"/>
    <w:rsid w:val="74AB695A"/>
    <w:rsid w:val="753529D7"/>
    <w:rsid w:val="7689553A"/>
    <w:rsid w:val="772B54F6"/>
    <w:rsid w:val="7803603C"/>
    <w:rsid w:val="78251F22"/>
    <w:rsid w:val="78954A10"/>
    <w:rsid w:val="78EF3D2D"/>
    <w:rsid w:val="7913570D"/>
    <w:rsid w:val="791B013F"/>
    <w:rsid w:val="79923BC5"/>
    <w:rsid w:val="7A35234F"/>
    <w:rsid w:val="7B1E42DC"/>
    <w:rsid w:val="7B370F51"/>
    <w:rsid w:val="7B83675B"/>
    <w:rsid w:val="7B8521A0"/>
    <w:rsid w:val="7BE55C9F"/>
    <w:rsid w:val="7C6F49CC"/>
    <w:rsid w:val="7C8D7C29"/>
    <w:rsid w:val="7D4D49B8"/>
    <w:rsid w:val="7D737D85"/>
    <w:rsid w:val="7D9060AA"/>
    <w:rsid w:val="7DE106C4"/>
    <w:rsid w:val="7DF3732C"/>
    <w:rsid w:val="7E904C70"/>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3</TotalTime>
  <ScaleCrop>false</ScaleCrop>
  <LinksUpToDate>false</LinksUpToDate>
  <CharactersWithSpaces>26606</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董红</cp:lastModifiedBy>
  <cp:lastPrinted>2019-12-03T09:03:00Z</cp:lastPrinted>
  <dcterms:modified xsi:type="dcterms:W3CDTF">2026-06-15T10:14:38Z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E1B852BF91E24C5E9D583292D72034FE</vt:lpwstr>
  </property>
</Properties>
</file>