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000000" w:themeColor="text1"/>
          <w:sz w:val="28"/>
          <w:szCs w:val="28"/>
          <w14:textFill>
            <w14:solidFill>
              <w14:schemeClr w14:val="tx1"/>
            </w14:solidFill>
          </w14:textFill>
        </w:rPr>
      </w:pPr>
    </w:p>
    <w:p>
      <w:pPr>
        <w:jc w:val="center"/>
        <w:rPr>
          <w:rFonts w:ascii="仿宋_GB2312" w:hAnsi="宋体" w:eastAsia="仿宋_GB2312"/>
          <w:b/>
          <w:color w:val="000000" w:themeColor="text1"/>
          <w:sz w:val="36"/>
          <w:szCs w:val="36"/>
          <w14:textFill>
            <w14:solidFill>
              <w14:schemeClr w14:val="tx1"/>
            </w14:solidFill>
          </w14:textFill>
        </w:rPr>
      </w:pPr>
    </w:p>
    <w:p>
      <w:pPr>
        <w:jc w:val="center"/>
        <w:rPr>
          <w:rFonts w:hint="eastAsia" w:ascii="仿宋_GB2312" w:eastAsia="仿宋_GB2312"/>
          <w:color w:val="000000" w:themeColor="text1"/>
          <w:sz w:val="72"/>
          <w:szCs w:val="72"/>
          <w:lang w:eastAsia="zh-CN"/>
          <w14:textFill>
            <w14:solidFill>
              <w14:schemeClr w14:val="tx1"/>
            </w14:solidFill>
          </w14:textFill>
        </w:rPr>
      </w:pPr>
      <w:r>
        <w:rPr>
          <w:rFonts w:hint="eastAsia" w:ascii="仿宋_GB2312" w:hAnsi="宋体" w:eastAsia="仿宋_GB2312"/>
          <w:b/>
          <w:color w:val="000000" w:themeColor="text1"/>
          <w:sz w:val="36"/>
          <w:szCs w:val="36"/>
          <w:lang w:eastAsia="zh-CN"/>
          <w14:textFill>
            <w14:solidFill>
              <w14:schemeClr w14:val="tx1"/>
            </w14:solidFill>
          </w14:textFill>
        </w:rPr>
        <w:t>人保财险四川省广安分公司前锋区支公司电梯轿厢宣传服务采购项目</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比</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价</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文</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件</w:t>
      </w:r>
    </w:p>
    <w:p>
      <w:pPr>
        <w:pStyle w:val="2"/>
        <w:rPr>
          <w:color w:val="000000" w:themeColor="text1"/>
          <w14:textFill>
            <w14:solidFill>
              <w14:schemeClr w14:val="tx1"/>
            </w14:solidFill>
          </w14:textFill>
        </w:rPr>
      </w:pPr>
    </w:p>
    <w:p>
      <w:pPr>
        <w:jc w:val="center"/>
        <w:rPr>
          <w:rFonts w:ascii="仿宋_GB2312" w:hAnsi="宋体" w:eastAsia="仿宋_GB2312"/>
          <w:color w:val="000000" w:themeColor="text1"/>
          <w:sz w:val="28"/>
          <w:szCs w:val="28"/>
          <w14:textFill>
            <w14:solidFill>
              <w14:schemeClr w14:val="tx1"/>
            </w14:solidFill>
          </w14:textFill>
        </w:rPr>
      </w:pPr>
    </w:p>
    <w:p>
      <w:pPr>
        <w:jc w:val="center"/>
        <w:rPr>
          <w:rFonts w:ascii="仿宋_GB2312" w:hAnsi="宋体" w:eastAsia="仿宋_GB2312"/>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2026年0</w:t>
      </w:r>
      <w:r>
        <w:rPr>
          <w:rFonts w:hint="eastAsia" w:ascii="仿宋_GB2312" w:hAnsi="宋体" w:eastAsia="仿宋_GB2312"/>
          <w:b/>
          <w:color w:val="000000" w:themeColor="text1"/>
          <w:sz w:val="28"/>
          <w:szCs w:val="28"/>
          <w:lang w:val="en-US" w:eastAsia="zh-CN"/>
          <w14:textFill>
            <w14:solidFill>
              <w14:schemeClr w14:val="tx1"/>
            </w14:solidFill>
          </w14:textFill>
        </w:rPr>
        <w:t>5</w:t>
      </w:r>
      <w:r>
        <w:rPr>
          <w:rFonts w:hint="eastAsia" w:ascii="仿宋_GB2312" w:hAnsi="宋体" w:eastAsia="仿宋_GB2312"/>
          <w:b/>
          <w:color w:val="000000" w:themeColor="text1"/>
          <w:sz w:val="28"/>
          <w:szCs w:val="28"/>
          <w14:textFill>
            <w14:solidFill>
              <w14:schemeClr w14:val="tx1"/>
            </w14:solidFill>
          </w14:textFill>
        </w:rPr>
        <w:t>月</w:t>
      </w:r>
    </w:p>
    <w:p>
      <w:pPr>
        <w:spacing w:line="360" w:lineRule="auto"/>
        <w:jc w:val="center"/>
        <w:rPr>
          <w:rFonts w:ascii="仿宋_GB2312" w:hAnsi="宋体" w:eastAsia="仿宋_GB2312"/>
          <w:b/>
          <w:color w:val="000000" w:themeColor="text1"/>
          <w:sz w:val="36"/>
          <w:szCs w:val="28"/>
          <w14:textFill>
            <w14:solidFill>
              <w14:schemeClr w14:val="tx1"/>
            </w14:solidFill>
          </w14:textFill>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000000" w:themeColor="text1"/>
          <w:sz w:val="36"/>
          <w:szCs w:val="28"/>
          <w14:textFill>
            <w14:solidFill>
              <w14:schemeClr w14:val="tx1"/>
            </w14:solidFill>
          </w14:textFill>
        </w:rPr>
      </w:pPr>
      <w:r>
        <w:rPr>
          <w:rFonts w:hint="eastAsia" w:ascii="仿宋_GB2312" w:hAnsi="宋体" w:eastAsia="仿宋_GB2312"/>
          <w:b/>
          <w:color w:val="000000" w:themeColor="text1"/>
          <w:sz w:val="36"/>
          <w:szCs w:val="28"/>
          <w14:textFill>
            <w14:solidFill>
              <w14:schemeClr w14:val="tx1"/>
            </w14:solidFill>
          </w14:textFill>
        </w:rPr>
        <w:t>目     录</w:t>
      </w:r>
    </w:p>
    <w:p>
      <w:pPr>
        <w:pStyle w:val="21"/>
        <w:tabs>
          <w:tab w:val="right" w:leader="dot" w:pos="9638"/>
        </w:tabs>
      </w:pPr>
      <w:r>
        <w:rPr>
          <w:rFonts w:hint="eastAsia" w:ascii="仿宋_GB2312" w:hAnsi="宋体" w:eastAsia="仿宋_GB2312"/>
          <w:b w:val="0"/>
          <w:bCs w:val="0"/>
          <w:color w:val="000000" w:themeColor="text1"/>
          <w14:textFill>
            <w14:solidFill>
              <w14:schemeClr w14:val="tx1"/>
            </w14:solidFill>
          </w14:textFill>
        </w:rPr>
        <w:fldChar w:fldCharType="begin"/>
      </w:r>
      <w:r>
        <w:rPr>
          <w:rFonts w:hint="eastAsia" w:ascii="仿宋_GB2312" w:hAnsi="宋体" w:eastAsia="仿宋_GB2312"/>
          <w:b w:val="0"/>
          <w:bCs w:val="0"/>
          <w:color w:val="000000" w:themeColor="text1"/>
          <w14:textFill>
            <w14:solidFill>
              <w14:schemeClr w14:val="tx1"/>
            </w14:solidFill>
          </w14:textFill>
        </w:rPr>
        <w:instrText xml:space="preserve">TOC \o "1-3" \h \u </w:instrText>
      </w:r>
      <w:r>
        <w:rPr>
          <w:rFonts w:hint="eastAsia" w:ascii="仿宋_GB2312" w:hAnsi="宋体" w:eastAsia="仿宋_GB2312"/>
          <w:b w:val="0"/>
          <w:bCs w:val="0"/>
          <w:color w:val="000000" w:themeColor="text1"/>
          <w14:textFill>
            <w14:solidFill>
              <w14:schemeClr w14:val="tx1"/>
            </w14:solidFill>
          </w14:textFill>
        </w:rPr>
        <w:fldChar w:fldCharType="separate"/>
      </w: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_Toc1498 </w:instrText>
      </w:r>
      <w:r>
        <w:rPr>
          <w:rFonts w:hint="eastAsia" w:ascii="仿宋_GB2312" w:hAnsi="宋体" w:eastAsia="仿宋_GB2312"/>
          <w:bCs w:val="0"/>
        </w:rPr>
        <w:fldChar w:fldCharType="separate"/>
      </w:r>
      <w:r>
        <w:rPr>
          <w:rFonts w:hint="eastAsia" w:ascii="仿宋_GB2312" w:hAnsi="宋体" w:eastAsia="仿宋_GB2312"/>
          <w:szCs w:val="28"/>
        </w:rPr>
        <w:t>第一章 比价邀请</w:t>
      </w:r>
      <w:r>
        <w:tab/>
      </w:r>
      <w:r>
        <w:fldChar w:fldCharType="begin"/>
      </w:r>
      <w:r>
        <w:instrText xml:space="preserve"> PAGEREF _Toc1498 \h </w:instrText>
      </w:r>
      <w:r>
        <w:fldChar w:fldCharType="separate"/>
      </w:r>
      <w:r>
        <w:t>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_Toc20337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_Toc20337 \h </w:instrText>
      </w:r>
      <w:r>
        <w:fldChar w:fldCharType="separate"/>
      </w:r>
      <w:r>
        <w:t>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_Toc30822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_Toc30822 \h </w:instrText>
      </w:r>
      <w:r>
        <w:fldChar w:fldCharType="separate"/>
      </w:r>
      <w:r>
        <w:t>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_Toc27594 </w:instrText>
      </w:r>
      <w:r>
        <w:rPr>
          <w:rFonts w:hint="eastAsia" w:ascii="仿宋_GB2312" w:hAnsi="宋体" w:eastAsia="仿宋_GB2312"/>
          <w:bCs w:val="0"/>
        </w:rPr>
        <w:fldChar w:fldCharType="separate"/>
      </w:r>
      <w:r>
        <w:rPr>
          <w:rFonts w:hint="eastAsia" w:ascii="仿宋" w:hAnsi="仿宋" w:eastAsia="仿宋" w:cs="仿宋"/>
          <w:szCs w:val="24"/>
        </w:rPr>
        <w:t>三、比价文件的获取</w:t>
      </w:r>
      <w:r>
        <w:tab/>
      </w:r>
      <w:r>
        <w:fldChar w:fldCharType="begin"/>
      </w:r>
      <w:r>
        <w:instrText xml:space="preserve"> PAGEREF _Toc27594 \h </w:instrText>
      </w:r>
      <w:r>
        <w:fldChar w:fldCharType="separate"/>
      </w:r>
      <w:r>
        <w:t>4</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_Toc2176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_Toc2176 \h </w:instrText>
      </w:r>
      <w:r>
        <w:fldChar w:fldCharType="separate"/>
      </w:r>
      <w:r>
        <w:t>4</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_Toc18600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_Toc18600 \h </w:instrText>
      </w:r>
      <w:r>
        <w:fldChar w:fldCharType="separate"/>
      </w:r>
      <w:r>
        <w:t>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_Toc5251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_Toc5251 \h </w:instrText>
      </w:r>
      <w:r>
        <w:fldChar w:fldCharType="separate"/>
      </w:r>
      <w:r>
        <w:t>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_Toc24174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_Toc24174 \h </w:instrText>
      </w:r>
      <w:r>
        <w:fldChar w:fldCharType="separate"/>
      </w:r>
      <w:r>
        <w:t>6</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_Toc16621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_Toc16621 \h </w:instrText>
      </w:r>
      <w:r>
        <w:fldChar w:fldCharType="separate"/>
      </w:r>
      <w:r>
        <w:t>6</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_Toc16030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_Toc16030 \h </w:instrText>
      </w:r>
      <w:r>
        <w:fldChar w:fldCharType="separate"/>
      </w:r>
      <w:r>
        <w:t>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_Toc25650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_Toc25650 \h </w:instrText>
      </w:r>
      <w:r>
        <w:fldChar w:fldCharType="separate"/>
      </w:r>
      <w:r>
        <w:t>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_Toc11506 </w:instrText>
      </w:r>
      <w:r>
        <w:rPr>
          <w:rFonts w:hint="eastAsia" w:ascii="仿宋_GB2312" w:hAnsi="宋体" w:eastAsia="仿宋_GB2312"/>
          <w:bCs w:val="0"/>
        </w:rPr>
        <w:fldChar w:fldCharType="separate"/>
      </w:r>
      <w:r>
        <w:rPr>
          <w:rFonts w:hint="eastAsia" w:ascii="仿宋" w:hAnsi="仿宋" w:eastAsia="仿宋" w:cs="仿宋"/>
          <w:szCs w:val="24"/>
        </w:rPr>
        <w:t>（二）比价文件</w:t>
      </w:r>
      <w:r>
        <w:tab/>
      </w:r>
      <w:r>
        <w:fldChar w:fldCharType="begin"/>
      </w:r>
      <w:r>
        <w:instrText xml:space="preserve"> PAGEREF _Toc11506 \h </w:instrText>
      </w:r>
      <w:r>
        <w:fldChar w:fldCharType="separate"/>
      </w:r>
      <w:r>
        <w:t>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_Toc9709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_Toc9709 \h </w:instrText>
      </w:r>
      <w:r>
        <w:fldChar w:fldCharType="separate"/>
      </w:r>
      <w:r>
        <w:t>10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_Toc570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_Toc570 \h </w:instrText>
      </w:r>
      <w:r>
        <w:fldChar w:fldCharType="separate"/>
      </w:r>
      <w:r>
        <w:t>12</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_Toc5321 </w:instrText>
      </w:r>
      <w:r>
        <w:rPr>
          <w:rFonts w:hint="eastAsia" w:ascii="仿宋_GB2312" w:hAnsi="宋体" w:eastAsia="仿宋_GB2312"/>
          <w:bCs w:val="0"/>
        </w:rPr>
        <w:fldChar w:fldCharType="separate"/>
      </w:r>
      <w:r>
        <w:rPr>
          <w:rFonts w:hint="eastAsia" w:ascii="仿宋" w:hAnsi="仿宋" w:eastAsia="仿宋" w:cs="仿宋"/>
          <w:szCs w:val="24"/>
        </w:rPr>
        <w:t>（五）比价和评审</w:t>
      </w:r>
      <w:r>
        <w:tab/>
      </w:r>
      <w:r>
        <w:fldChar w:fldCharType="begin"/>
      </w:r>
      <w:r>
        <w:instrText xml:space="preserve"> PAGEREF _Toc5321 \h </w:instrText>
      </w:r>
      <w:r>
        <w:fldChar w:fldCharType="separate"/>
      </w:r>
      <w:r>
        <w:t>12</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_Toc12069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_Toc12069 \h </w:instrText>
      </w:r>
      <w:r>
        <w:fldChar w:fldCharType="separate"/>
      </w:r>
      <w:r>
        <w:t>15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_Toc20643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_Toc20643 \h </w:instrText>
      </w:r>
      <w:r>
        <w:fldChar w:fldCharType="separate"/>
      </w:r>
      <w:r>
        <w:t>15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_Toc9827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_Toc9827 \h </w:instrText>
      </w:r>
      <w:r>
        <w:fldChar w:fldCharType="separate"/>
      </w:r>
      <w:r>
        <w:t>15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_Toc4775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_Toc4775 \h </w:instrText>
      </w:r>
      <w:r>
        <w:fldChar w:fldCharType="separate"/>
      </w:r>
      <w:r>
        <w:t>17</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_Toc28863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_Toc28863 \h </w:instrText>
      </w:r>
      <w:r>
        <w:fldChar w:fldCharType="separate"/>
      </w:r>
      <w:r>
        <w:t>19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_Toc27518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附件一</w:t>
      </w:r>
      <w:r>
        <w:tab/>
      </w:r>
      <w:r>
        <w:fldChar w:fldCharType="begin"/>
      </w:r>
      <w:r>
        <w:instrText xml:space="preserve"> PAGEREF _Toc27518 \h </w:instrText>
      </w:r>
      <w:r>
        <w:fldChar w:fldCharType="separate"/>
      </w:r>
      <w:r>
        <w:t>26</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_Toc800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附件二</w:t>
      </w:r>
      <w:r>
        <w:tab/>
      </w:r>
      <w:r>
        <w:fldChar w:fldCharType="begin"/>
      </w:r>
      <w:r>
        <w:instrText xml:space="preserve"> PAGEREF _Toc800 \h </w:instrText>
      </w:r>
      <w:r>
        <w:fldChar w:fldCharType="separate"/>
      </w:r>
      <w:r>
        <w:t>27</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_Toc4038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附件三</w:t>
      </w:r>
      <w:r>
        <w:tab/>
      </w:r>
      <w:r>
        <w:fldChar w:fldCharType="begin"/>
      </w:r>
      <w:r>
        <w:instrText xml:space="preserve"> PAGEREF _Toc4038 \h </w:instrText>
      </w:r>
      <w:r>
        <w:fldChar w:fldCharType="separate"/>
      </w:r>
      <w:r>
        <w:t>29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_Toc28063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附件四</w:t>
      </w:r>
      <w:r>
        <w:tab/>
      </w:r>
      <w:r>
        <w:fldChar w:fldCharType="begin"/>
      </w:r>
      <w:r>
        <w:instrText xml:space="preserve"> PAGEREF _Toc28063 \h </w:instrText>
      </w:r>
      <w:r>
        <w:fldChar w:fldCharType="separate"/>
      </w:r>
      <w:r>
        <w:t>30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_Toc3433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附件五</w:t>
      </w:r>
      <w:r>
        <w:tab/>
      </w:r>
      <w:r>
        <w:fldChar w:fldCharType="begin"/>
      </w:r>
      <w:r>
        <w:instrText xml:space="preserve"> PAGEREF _Toc3433 \h </w:instrText>
      </w:r>
      <w:r>
        <w:fldChar w:fldCharType="separate"/>
      </w:r>
      <w:r>
        <w:t>31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_Toc29694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_Toc29694 \h </w:instrText>
      </w:r>
      <w:r>
        <w:fldChar w:fldCharType="separate"/>
      </w:r>
      <w:r>
        <w:t>38</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_Toc22672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_Toc22672 \h </w:instrText>
      </w:r>
      <w:r>
        <w:fldChar w:fldCharType="separate"/>
      </w:r>
      <w:r>
        <w:t>40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_Toc25430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_Toc25430 \h </w:instrText>
      </w:r>
      <w:r>
        <w:fldChar w:fldCharType="separate"/>
      </w:r>
      <w:r>
        <w:t>41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_Toc21826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_Toc21826 \h </w:instrText>
      </w:r>
      <w:r>
        <w:fldChar w:fldCharType="separate"/>
      </w:r>
      <w:r>
        <w:t>42</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_Toc21939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_Toc21939 \h </w:instrText>
      </w:r>
      <w:r>
        <w:fldChar w:fldCharType="separate"/>
      </w:r>
      <w:r>
        <w:t>43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_Toc27380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_Toc27380 \h </w:instrText>
      </w:r>
      <w:r>
        <w:fldChar w:fldCharType="separate"/>
      </w:r>
      <w:r>
        <w:t>44</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_Toc23529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_Toc23529 \h </w:instrText>
      </w:r>
      <w:r>
        <w:fldChar w:fldCharType="separate"/>
      </w:r>
      <w:r>
        <w:t>45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_Toc22926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_Toc22926 \h </w:instrText>
      </w:r>
      <w:r>
        <w:fldChar w:fldCharType="separate"/>
      </w:r>
      <w:r>
        <w:t>51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_Toc1792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_Toc1792 \h </w:instrText>
      </w:r>
      <w:r>
        <w:fldChar w:fldCharType="separate"/>
      </w:r>
      <w:r>
        <w:t>53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_Toc952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_Toc952 \h </w:instrText>
      </w:r>
      <w:r>
        <w:fldChar w:fldCharType="separate"/>
      </w:r>
      <w:r>
        <w:t>55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_Toc21971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_Toc21971 \h </w:instrText>
      </w:r>
      <w:r>
        <w:fldChar w:fldCharType="separate"/>
      </w:r>
      <w:r>
        <w:t>58</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_Toc16491 </w:instrText>
      </w:r>
      <w:r>
        <w:rPr>
          <w:rFonts w:hint="eastAsia" w:ascii="仿宋_GB2312" w:hAnsi="宋体" w:eastAsia="仿宋_GB2312"/>
          <w:bCs w:val="0"/>
        </w:rPr>
        <w:fldChar w:fldCharType="separate"/>
      </w:r>
      <w:r>
        <w:rPr>
          <w:rFonts w:hint="eastAsia" w:ascii="仿宋" w:hAnsi="仿宋" w:eastAsia="仿宋" w:cs="仿宋"/>
          <w:kern w:val="0"/>
          <w:szCs w:val="24"/>
          <w:lang w:val="en-US" w:eastAsia="zh-CN" w:bidi="ar-SA"/>
        </w:rPr>
        <w:t>二、报价文件</w:t>
      </w:r>
      <w:r>
        <w:tab/>
      </w:r>
      <w:r>
        <w:fldChar w:fldCharType="begin"/>
      </w:r>
      <w:r>
        <w:instrText xml:space="preserve"> PAGEREF _Toc16491 \h </w:instrText>
      </w:r>
      <w:r>
        <w:fldChar w:fldCharType="separate"/>
      </w:r>
      <w:r>
        <w:t>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_Toc28892 </w:instrText>
      </w:r>
      <w:r>
        <w:rPr>
          <w:rFonts w:hint="eastAsia" w:ascii="仿宋_GB2312" w:hAnsi="宋体" w:eastAsia="仿宋_GB2312"/>
          <w:bCs w:val="0"/>
        </w:rPr>
        <w:fldChar w:fldCharType="separate"/>
      </w:r>
      <w:r>
        <w:rPr>
          <w:rFonts w:hint="eastAsia" w:ascii="仿宋" w:hAnsi="仿宋" w:eastAsia="仿宋" w:cs="仿宋"/>
          <w:kern w:val="0"/>
          <w:szCs w:val="24"/>
          <w:lang w:val="en-US" w:eastAsia="zh-CN" w:bidi="ar-SA"/>
        </w:rPr>
        <w:t>报价一览表</w:t>
      </w:r>
      <w:r>
        <w:tab/>
      </w:r>
      <w:r>
        <w:fldChar w:fldCharType="begin"/>
      </w:r>
      <w:r>
        <w:instrText xml:space="preserve"> PAGEREF _Toc28892 \h </w:instrText>
      </w:r>
      <w:r>
        <w:fldChar w:fldCharType="separate"/>
      </w:r>
      <w:r>
        <w:t>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3"/>
        <w:ind w:left="0" w:firstLine="0"/>
        <w:rPr>
          <w:rFonts w:ascii="仿宋_GB2312" w:hAnsi="宋体" w:eastAsia="仿宋_GB2312"/>
          <w:b w:val="0"/>
          <w:bCs w:val="0"/>
          <w:color w:val="000000" w:themeColor="text1"/>
          <w14:textFill>
            <w14:solidFill>
              <w14:schemeClr w14:val="tx1"/>
            </w14:solidFill>
          </w14:textFill>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000000" w:themeColor="text1"/>
          <w14:textFill>
            <w14:solidFill>
              <w14:schemeClr w14:val="tx1"/>
            </w14:solidFill>
          </w14:textFill>
        </w:rPr>
        <w:fldChar w:fldCharType="end"/>
      </w:r>
    </w:p>
    <w:p>
      <w:pPr>
        <w:pStyle w:val="3"/>
        <w:ind w:left="0" w:firstLine="0"/>
        <w:rPr>
          <w:rFonts w:ascii="仿宋" w:hAnsi="仿宋" w:eastAsia="仿宋" w:cs="Cambria Math"/>
          <w:b w:val="0"/>
          <w:bCs w:val="0"/>
          <w:color w:val="000000" w:themeColor="text1"/>
          <w:kern w:val="0"/>
          <w:sz w:val="24"/>
          <w:szCs w:val="24"/>
          <w14:textFill>
            <w14:solidFill>
              <w14:schemeClr w14:val="tx1"/>
            </w14:solidFill>
          </w14:textFill>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000000" w:themeColor="text1"/>
          <w:sz w:val="28"/>
          <w:szCs w:val="28"/>
          <w14:textFill>
            <w14:solidFill>
              <w14:schemeClr w14:val="tx1"/>
            </w14:solidFill>
          </w14:textFill>
        </w:rPr>
      </w:pPr>
      <w:bookmarkStart w:id="0" w:name="_Toc1498"/>
      <w:bookmarkStart w:id="1" w:name="_Toc21360"/>
      <w:r>
        <w:rPr>
          <w:rFonts w:hint="eastAsia" w:ascii="仿宋_GB2312" w:hAnsi="宋体" w:eastAsia="仿宋_GB2312"/>
          <w:color w:val="000000" w:themeColor="text1"/>
          <w:sz w:val="28"/>
          <w:szCs w:val="28"/>
          <w14:textFill>
            <w14:solidFill>
              <w14:schemeClr w14:val="tx1"/>
            </w14:solidFill>
          </w14:textFill>
        </w:rPr>
        <w:t>第一章 比价邀请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color w:val="000000" w:themeColor="text1"/>
          <w:u w:val="single"/>
          <w:lang w:eastAsia="zh-CN"/>
          <w14:textFill>
            <w14:solidFill>
              <w14:schemeClr w14:val="tx1"/>
            </w14:solidFill>
          </w14:textFill>
        </w:rPr>
        <w:t>人保财险四川省广安分公司前锋区支公司电梯轿厢宣传服务采购项目</w:t>
      </w:r>
      <w:r>
        <w:rPr>
          <w:rFonts w:hint="eastAsia" w:ascii="仿宋" w:hAnsi="仿宋" w:eastAsia="仿宋" w:cs="仿宋"/>
          <w:color w:val="000000" w:themeColor="text1"/>
          <w14:textFill>
            <w14:solidFill>
              <w14:schemeClr w14:val="tx1"/>
            </w14:solidFill>
          </w14:textFill>
        </w:rPr>
        <w:t>（采购项目编号：</w:t>
      </w:r>
      <w:r>
        <w:rPr>
          <w:rFonts w:hint="eastAsia" w:ascii="仿宋" w:hAnsi="仿宋" w:eastAsia="仿宋" w:cs="仿宋"/>
          <w:color w:val="000000" w:themeColor="text1"/>
          <w:lang w:val="en-US" w:eastAsia="zh-CN"/>
          <w14:textFill>
            <w14:solidFill>
              <w14:schemeClr w14:val="tx1"/>
            </w14:solidFill>
          </w14:textFill>
        </w:rPr>
        <w:t xml:space="preserve">XM26FSPC001871 </w:t>
      </w:r>
      <w:r>
        <w:rPr>
          <w:rFonts w:hint="eastAsia" w:ascii="仿宋" w:hAnsi="仿宋" w:eastAsia="仿宋" w:cs="仿宋"/>
          <w:color w:val="000000" w:themeColor="text1"/>
          <w14:textFill>
            <w14:solidFill>
              <w14:schemeClr w14:val="tx1"/>
            </w14:solidFill>
          </w14:textFill>
        </w:rPr>
        <w:t>）由</w:t>
      </w:r>
      <w:r>
        <w:rPr>
          <w:rFonts w:hint="eastAsia" w:ascii="仿宋" w:hAnsi="仿宋" w:eastAsia="仿宋" w:cs="仿宋"/>
          <w:color w:val="000000" w:themeColor="text1"/>
          <w:u w:val="single"/>
          <w14:textFill>
            <w14:solidFill>
              <w14:schemeClr w14:val="tx1"/>
            </w14:solidFill>
          </w14:textFill>
        </w:rPr>
        <w:t>中国人民财产保险股份有限公司广安市分公司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14:textFill>
            <w14:solidFill>
              <w14:schemeClr w14:val="tx1"/>
            </w14:solidFill>
          </w14:textFill>
        </w:rPr>
        <w:t>广安市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仿宋"/>
          <w:color w:val="000000" w:themeColor="text1"/>
          <w:u w:val="single"/>
          <w14:textFill>
            <w14:solidFill>
              <w14:schemeClr w14:val="tx1"/>
            </w14:solidFill>
          </w14:textFill>
        </w:rPr>
        <w:t>广安市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有意向且具有提供标的物能力的潜在供应商（以下简称“供应商”）可前来参与比价响应。 </w:t>
      </w:r>
    </w:p>
    <w:p>
      <w:pPr>
        <w:pStyle w:val="4"/>
        <w:jc w:val="left"/>
        <w:rPr>
          <w:rFonts w:ascii="仿宋" w:hAnsi="仿宋" w:eastAsia="仿宋" w:cs="仿宋"/>
          <w:color w:val="000000" w:themeColor="text1"/>
          <w:sz w:val="24"/>
          <w:szCs w:val="24"/>
          <w14:textFill>
            <w14:solidFill>
              <w14:schemeClr w14:val="tx1"/>
            </w14:solidFill>
          </w14:textFill>
        </w:rPr>
      </w:pPr>
      <w:bookmarkStart w:id="2" w:name="_Toc21237"/>
      <w:bookmarkStart w:id="3" w:name="_Toc20337"/>
      <w:r>
        <w:rPr>
          <w:rFonts w:hint="eastAsia" w:ascii="仿宋" w:hAnsi="仿宋" w:eastAsia="仿宋" w:cs="仿宋"/>
          <w:color w:val="000000" w:themeColor="text1"/>
          <w:sz w:val="24"/>
          <w:szCs w:val="24"/>
          <w14:textFill>
            <w14:solidFill>
              <w14:schemeClr w14:val="tx1"/>
            </w14:solidFill>
          </w14:textFill>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color w:val="000000" w:themeColor="text1"/>
          <w:u w:val="single"/>
          <w:lang w:eastAsia="zh-CN"/>
          <w14:textFill>
            <w14:solidFill>
              <w14:schemeClr w14:val="tx1"/>
            </w14:solidFill>
          </w14:textFill>
        </w:rPr>
        <w:t>人保财险四川省广安分公司前锋区支公司电梯轿厢宣传服务采购项目</w:t>
      </w:r>
      <w:r>
        <w:rPr>
          <w:rFonts w:hint="eastAsia" w:ascii="仿宋" w:hAnsi="仿宋" w:eastAsia="仿宋" w:cs="仿宋"/>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采购范围：本项目拟采购</w:t>
      </w:r>
      <w:r>
        <w:rPr>
          <w:rFonts w:hint="eastAsia" w:ascii="仿宋" w:hAnsi="仿宋" w:eastAsia="仿宋" w:cs="仿宋"/>
          <w:color w:val="000000" w:themeColor="text1"/>
          <w:lang w:eastAsia="zh-CN"/>
          <w14:textFill>
            <w14:solidFill>
              <w14:schemeClr w14:val="tx1"/>
            </w14:solidFill>
          </w14:textFill>
        </w:rPr>
        <w:t>电梯轿厢</w:t>
      </w:r>
      <w:r>
        <w:rPr>
          <w:rFonts w:hint="eastAsia" w:ascii="仿宋" w:hAnsi="仿宋" w:eastAsia="仿宋" w:cs="仿宋"/>
          <w:color w:val="000000" w:themeColor="text1"/>
          <w14:textFill>
            <w14:solidFill>
              <w14:schemeClr w14:val="tx1"/>
            </w14:solidFill>
          </w14:textFill>
        </w:rPr>
        <w:t>宣传服务，具体技术要求详见第五章采购需求。</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本项目不划分标包，情况如下：</w:t>
      </w:r>
    </w:p>
    <w:tbl>
      <w:tblPr>
        <w:tblStyle w:val="29"/>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
        <w:gridCol w:w="2943"/>
        <w:gridCol w:w="3640"/>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5"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标包号</w:t>
            </w:r>
          </w:p>
        </w:tc>
        <w:tc>
          <w:tcPr>
            <w:tcW w:w="1621"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标包名称</w:t>
            </w:r>
          </w:p>
        </w:tc>
        <w:tc>
          <w:tcPr>
            <w:tcW w:w="2005"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采购内容/数量</w:t>
            </w:r>
          </w:p>
        </w:tc>
        <w:tc>
          <w:tcPr>
            <w:tcW w:w="797"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575"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标包</w:t>
            </w:r>
          </w:p>
        </w:tc>
        <w:tc>
          <w:tcPr>
            <w:tcW w:w="1621"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住宅小区电梯轿厢宣传服务</w:t>
            </w:r>
          </w:p>
        </w:tc>
        <w:tc>
          <w:tcPr>
            <w:tcW w:w="2005" w:type="pct"/>
            <w:vAlign w:val="center"/>
          </w:tcPr>
          <w:p>
            <w:pPr>
              <w:jc w:val="center"/>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本项目拟选取200部广安中高层住宅小区电梯</w:t>
            </w:r>
            <w:r>
              <w:rPr>
                <w:rFonts w:hint="eastAsia" w:ascii="仿宋" w:hAnsi="仿宋" w:eastAsia="仿宋" w:cs="仿宋"/>
                <w:color w:val="000000" w:themeColor="text1"/>
                <w:lang w:val="en-US" w:eastAsia="zh-CN"/>
                <w14:textFill>
                  <w14:solidFill>
                    <w14:schemeClr w14:val="tx1"/>
                  </w14:solidFill>
                </w14:textFill>
              </w:rPr>
              <w:t>轿厢</w:t>
            </w:r>
            <w:r>
              <w:rPr>
                <w:rFonts w:hint="eastAsia" w:ascii="仿宋" w:hAnsi="仿宋" w:eastAsia="仿宋" w:cs="仿宋"/>
                <w:color w:val="000000" w:themeColor="text1"/>
                <w:lang w:eastAsia="zh-CN"/>
                <w14:textFill>
                  <w14:solidFill>
                    <w14:schemeClr w14:val="tx1"/>
                  </w14:solidFill>
                </w14:textFill>
              </w:rPr>
              <w:t>投放镜框海报宣传，实际投放点位根据采购结果及小区资源情况调整。总费用</w:t>
            </w:r>
            <w:r>
              <w:rPr>
                <w:rFonts w:hint="eastAsia" w:ascii="仿宋" w:hAnsi="仿宋" w:eastAsia="仿宋" w:cs="仿宋"/>
                <w:color w:val="000000" w:themeColor="text1"/>
                <w:lang w:val="en-US" w:eastAsia="zh-CN"/>
                <w14:textFill>
                  <w14:solidFill>
                    <w14:schemeClr w14:val="tx1"/>
                  </w14:solidFill>
                </w14:textFill>
              </w:rPr>
              <w:t>预算48</w:t>
            </w:r>
            <w:r>
              <w:rPr>
                <w:rFonts w:hint="eastAsia" w:ascii="仿宋" w:hAnsi="仿宋" w:eastAsia="仿宋" w:cs="仿宋"/>
                <w:color w:val="000000" w:themeColor="text1"/>
                <w:lang w:eastAsia="zh-CN"/>
                <w14:textFill>
                  <w14:solidFill>
                    <w14:schemeClr w14:val="tx1"/>
                  </w14:solidFill>
                </w14:textFill>
              </w:rPr>
              <w:t>万元</w:t>
            </w:r>
          </w:p>
        </w:tc>
        <w:tc>
          <w:tcPr>
            <w:tcW w:w="797"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1个</w:t>
            </w:r>
          </w:p>
        </w:tc>
      </w:tr>
    </w:tbl>
    <w:p>
      <w:pPr>
        <w:adjustRightInd w:val="0"/>
        <w:snapToGrid w:val="0"/>
        <w:spacing w:before="240"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项目性质：服务。</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自合同签订之日起1年。</w:t>
      </w:r>
    </w:p>
    <w:p>
      <w:pPr>
        <w:adjustRightInd w:val="0"/>
        <w:snapToGrid w:val="0"/>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w:t>
      </w:r>
      <w:r>
        <w:rPr>
          <w:rFonts w:hint="eastAsia" w:ascii="仿宋" w:hAnsi="仿宋" w:eastAsia="仿宋" w:cs="宋体"/>
          <w:color w:val="000000" w:themeColor="text1"/>
          <w:lang w:eastAsia="zh-CN"/>
          <w14:textFill>
            <w14:solidFill>
              <w14:schemeClr w14:val="tx1"/>
            </w14:solidFill>
          </w14:textFill>
        </w:rPr>
        <w:t>与供应商共同确认的广安市区住宅小区。</w:t>
      </w:r>
    </w:p>
    <w:p>
      <w:pPr>
        <w:pStyle w:val="2"/>
        <w:rPr>
          <w:rFonts w:eastAsia="仿宋"/>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项目设置最高限价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即供应商报价</w:t>
      </w:r>
      <w:r>
        <w:rPr>
          <w:rFonts w:hint="eastAsia" w:ascii="仿宋" w:hAnsi="仿宋" w:eastAsia="仿宋" w:cs="仿宋"/>
          <w:color w:val="000000" w:themeColor="text1"/>
          <w14:textFill>
            <w14:solidFill>
              <w14:schemeClr w14:val="tx1"/>
            </w14:solidFill>
          </w14:textFill>
        </w:rPr>
        <w:t>单价</w:t>
      </w:r>
      <w:r>
        <w:rPr>
          <w:rFonts w:ascii="仿宋" w:hAnsi="仿宋" w:eastAsia="仿宋" w:cs="仿宋"/>
          <w:color w:val="000000" w:themeColor="text1"/>
          <w14:textFill>
            <w14:solidFill>
              <w14:schemeClr w14:val="tx1"/>
            </w14:solidFill>
          </w14:textFill>
        </w:rPr>
        <w:t>不得高于</w:t>
      </w:r>
      <w:r>
        <w:rPr>
          <w:rFonts w:hint="eastAsia" w:ascii="仿宋" w:hAnsi="仿宋" w:eastAsia="仿宋" w:cs="仿宋"/>
          <w:color w:val="000000" w:themeColor="text1"/>
          <w:lang w:val="en-US" w:eastAsia="zh-CN"/>
          <w14:textFill>
            <w14:solidFill>
              <w14:schemeClr w14:val="tx1"/>
            </w14:solidFill>
          </w14:textFill>
        </w:rPr>
        <w:t>400</w:t>
      </w:r>
      <w:r>
        <w:rPr>
          <w:rFonts w:hint="eastAsia" w:ascii="仿宋" w:hAnsi="仿宋" w:eastAsia="仿宋" w:cs="仿宋"/>
          <w:color w:val="000000" w:themeColor="text1"/>
          <w14:textFill>
            <w14:solidFill>
              <w14:schemeClr w14:val="tx1"/>
            </w14:solidFill>
          </w14:textFill>
        </w:rPr>
        <w:t>元/块/月（含画面制作、安装、维护及更换服务）。</w:t>
      </w:r>
    </w:p>
    <w:p>
      <w:pPr>
        <w:pStyle w:val="4"/>
        <w:jc w:val="left"/>
        <w:rPr>
          <w:rFonts w:ascii="仿宋" w:hAnsi="仿宋" w:eastAsia="仿宋" w:cs="仿宋"/>
          <w:color w:val="000000" w:themeColor="text1"/>
          <w:sz w:val="24"/>
          <w:szCs w:val="24"/>
          <w14:textFill>
            <w14:solidFill>
              <w14:schemeClr w14:val="tx1"/>
            </w14:solidFill>
          </w14:textFill>
        </w:rPr>
      </w:pPr>
      <w:bookmarkStart w:id="4" w:name="_Toc30822"/>
      <w:bookmarkStart w:id="5" w:name="_Toc17569"/>
      <w:r>
        <w:rPr>
          <w:rFonts w:hint="eastAsia" w:ascii="仿宋" w:hAnsi="仿宋" w:eastAsia="仿宋" w:cs="仿宋"/>
          <w:color w:val="000000" w:themeColor="text1"/>
          <w:sz w:val="24"/>
          <w:szCs w:val="24"/>
          <w14:textFill>
            <w14:solidFill>
              <w14:schemeClr w14:val="tx1"/>
            </w14:solidFill>
          </w14:textFill>
        </w:rPr>
        <w:t>二、供应商资格要求</w:t>
      </w:r>
      <w:bookmarkEnd w:id="4"/>
      <w:bookmarkEnd w:id="5"/>
    </w:p>
    <w:p>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themeColor="text1"/>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供应商如为企业法人，须提供企业法人营业执照</w:t>
      </w:r>
      <w:r>
        <w:rPr>
          <w:rFonts w:hint="eastAsia" w:ascii="仿宋" w:hAnsi="仿宋" w:eastAsia="仿宋" w:cs="Monaco"/>
          <w:color w:val="000000" w:themeColor="text1"/>
          <w14:textFill>
            <w14:solidFill>
              <w14:schemeClr w14:val="tx1"/>
            </w14:solidFill>
          </w14:textFill>
        </w:rPr>
        <w:t>（复印件）</w:t>
      </w:r>
      <w:r>
        <w:rPr>
          <w:rFonts w:hint="eastAsia" w:ascii="仿宋" w:hAnsi="仿宋" w:eastAsia="仿宋" w:cs="宋体"/>
          <w:color w:val="000000" w:themeColor="text1"/>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themeColor="text1"/>
          <w:lang w:val="en-US" w:eastAsia="zh-CN"/>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 xml:space="preserve">2.2 </w:t>
      </w:r>
      <w:r>
        <w:rPr>
          <w:rFonts w:hint="eastAsia" w:ascii="仿宋" w:hAnsi="仿宋" w:eastAsia="仿宋" w:cs="宋体"/>
          <w:b/>
          <w:bCs/>
          <w:color w:val="000000" w:themeColor="text1"/>
          <w:lang w:val="en-US" w:eastAsia="zh-CN"/>
          <w14:textFill>
            <w14:solidFill>
              <w14:schemeClr w14:val="tx1"/>
            </w14:solidFill>
          </w14:textFill>
        </w:rPr>
        <w:t>供应商应具有履行合同所必需的设备和专业技术能力，</w:t>
      </w:r>
      <w:r>
        <w:rPr>
          <w:rFonts w:hint="eastAsia" w:ascii="仿宋" w:hAnsi="仿宋" w:eastAsia="仿宋" w:cs="宋体"/>
          <w:color w:val="000000" w:themeColor="text1"/>
          <w:lang w:val="en-US" w:eastAsia="zh-CN"/>
          <w14:textFill>
            <w14:solidFill>
              <w14:schemeClr w14:val="tx1"/>
            </w14:solidFill>
          </w14:textFill>
        </w:rPr>
        <w:t>并按以下二选一规则提供资格证明材料，所有材料须真实有效并加盖供应商公幸:①权属单位须提供权属证明文件;②被授权单位须提供权属单位出具的有效授权委托书(需明确授权范围、授权期限)。</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3</w:t>
      </w:r>
      <w:r>
        <w:rPr>
          <w:rFonts w:hint="eastAsia" w:ascii="仿宋" w:hAnsi="仿宋" w:eastAsia="仿宋" w:cs="宋体"/>
          <w:b/>
          <w:bCs/>
          <w:color w:val="000000" w:themeColor="text1"/>
          <w14:textFill>
            <w14:solidFill>
              <w14:schemeClr w14:val="tx1"/>
            </w14:solidFill>
          </w14:textFill>
        </w:rPr>
        <w:t>供应商应经营状况良好，且近三年内（2023年1月1日至今）无违法违规记录。</w:t>
      </w:r>
      <w:r>
        <w:rPr>
          <w:rFonts w:hint="eastAsia" w:ascii="仿宋" w:hAnsi="仿宋" w:eastAsia="仿宋" w:cs="宋体"/>
          <w:color w:val="000000" w:themeColor="text1"/>
          <w14:textFill>
            <w14:solidFill>
              <w14:schemeClr w14:val="tx1"/>
            </w14:solidFill>
          </w14:textFill>
        </w:rPr>
        <w:t>违法违规记录是指被“信用中国”列入失信被执行人、重大税收违法失信主体、政府采购严重违法失信行为记录名单。供应商需提供自比</w:t>
      </w:r>
      <w:r>
        <w:rPr>
          <w:rFonts w:hint="eastAsia" w:ascii="仿宋" w:hAnsi="仿宋" w:eastAsia="仿宋" w:cs="宋体"/>
          <w:color w:val="000000" w:themeColor="text1"/>
          <w:lang w:val="en-US" w:eastAsia="zh-CN"/>
          <w14:textFill>
            <w14:solidFill>
              <w14:schemeClr w14:val="tx1"/>
            </w14:solidFill>
          </w14:textFill>
        </w:rPr>
        <w:t>价</w:t>
      </w:r>
      <w:r>
        <w:rPr>
          <w:rFonts w:hint="eastAsia" w:ascii="仿宋" w:hAnsi="仿宋" w:eastAsia="仿宋" w:cs="宋体"/>
          <w:color w:val="000000" w:themeColor="text1"/>
          <w14:textFill>
            <w14:solidFill>
              <w14:schemeClr w14:val="tx1"/>
            </w14:solidFill>
          </w14:textFill>
        </w:rPr>
        <w:t>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4</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严禁列入采购人及其所隶属的中国人民保险各级机构的供应商黑名单且在禁入期内的供应商参与采购活动。或提供《未列入供应商黑名单且未在禁入期承诺函</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单位负责人为同一人或存在控股、管理关系的不同单位，不得参加同一标段/标包比</w:t>
      </w:r>
      <w:r>
        <w:rPr>
          <w:rFonts w:hint="eastAsia" w:ascii="仿宋" w:hAnsi="仿宋" w:eastAsia="仿宋" w:cs="宋体"/>
          <w:color w:val="000000" w:themeColor="text1"/>
          <w:lang w:val="en-US" w:eastAsia="zh-CN"/>
          <w14:textFill>
            <w14:solidFill>
              <w14:schemeClr w14:val="tx1"/>
            </w14:solidFill>
          </w14:textFill>
        </w:rPr>
        <w:t>价</w:t>
      </w:r>
      <w:r>
        <w:rPr>
          <w:rFonts w:hint="eastAsia" w:ascii="仿宋" w:hAnsi="仿宋" w:eastAsia="仿宋" w:cs="宋体"/>
          <w:color w:val="000000" w:themeColor="text1"/>
          <w14:textFill>
            <w14:solidFill>
              <w14:schemeClr w14:val="tx1"/>
            </w14:solidFill>
          </w14:textFill>
        </w:rPr>
        <w:t>响应或未划分标段/标包的同一采购项目的比</w:t>
      </w:r>
      <w:r>
        <w:rPr>
          <w:rFonts w:hint="eastAsia" w:ascii="仿宋" w:hAnsi="仿宋" w:eastAsia="仿宋" w:cs="宋体"/>
          <w:color w:val="000000" w:themeColor="text1"/>
          <w:lang w:val="en-US" w:eastAsia="zh-CN"/>
          <w14:textFill>
            <w14:solidFill>
              <w14:schemeClr w14:val="tx1"/>
            </w14:solidFill>
          </w14:textFill>
        </w:rPr>
        <w:t>价</w:t>
      </w:r>
      <w:r>
        <w:rPr>
          <w:rFonts w:hint="eastAsia" w:ascii="仿宋" w:hAnsi="仿宋" w:eastAsia="仿宋" w:cs="宋体"/>
          <w:color w:val="000000" w:themeColor="text1"/>
          <w14:textFill>
            <w14:solidFill>
              <w14:schemeClr w14:val="tx1"/>
            </w14:solidFill>
          </w14:textFill>
        </w:rPr>
        <w:t>响应，需填写《供应商控股及管理关系情况申报表》。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本项目不接受联合体比</w:t>
      </w:r>
      <w:r>
        <w:rPr>
          <w:rFonts w:hint="eastAsia" w:ascii="仿宋" w:hAnsi="仿宋" w:eastAsia="仿宋" w:cs="宋体"/>
          <w:color w:val="000000" w:themeColor="text1"/>
          <w:lang w:val="en-US" w:eastAsia="zh-CN"/>
          <w14:textFill>
            <w14:solidFill>
              <w14:schemeClr w14:val="tx1"/>
            </w14:solidFill>
          </w14:textFill>
        </w:rPr>
        <w:t>价</w:t>
      </w:r>
      <w:r>
        <w:rPr>
          <w:rFonts w:hint="eastAsia" w:ascii="仿宋" w:hAnsi="仿宋" w:eastAsia="仿宋" w:cs="宋体"/>
          <w:color w:val="000000" w:themeColor="text1"/>
          <w14:textFill>
            <w14:solidFill>
              <w14:schemeClr w14:val="tx1"/>
            </w14:solidFill>
          </w14:textFill>
        </w:rPr>
        <w:t>响应。提供承诺函，格式详见第六章响应文件格式。</w:t>
      </w:r>
    </w:p>
    <w:p>
      <w:pPr>
        <w:pStyle w:val="4"/>
        <w:spacing w:after="240"/>
        <w:jc w:val="left"/>
        <w:rPr>
          <w:rFonts w:ascii="仿宋" w:hAnsi="仿宋" w:eastAsia="仿宋" w:cs="仿宋"/>
          <w:color w:val="000000" w:themeColor="text1"/>
          <w:sz w:val="24"/>
          <w:szCs w:val="24"/>
          <w14:textFill>
            <w14:solidFill>
              <w14:schemeClr w14:val="tx1"/>
            </w14:solidFill>
          </w14:textFill>
        </w:rPr>
      </w:pPr>
      <w:bookmarkStart w:id="6" w:name="_Toc2019"/>
      <w:bookmarkStart w:id="7" w:name="_Toc27594"/>
      <w:r>
        <w:rPr>
          <w:rFonts w:hint="eastAsia" w:ascii="仿宋" w:hAnsi="仿宋" w:eastAsia="仿宋" w:cs="仿宋"/>
          <w:color w:val="000000" w:themeColor="text1"/>
          <w:sz w:val="24"/>
          <w:szCs w:val="24"/>
          <w14:textFill>
            <w14:solidFill>
              <w14:schemeClr w14:val="tx1"/>
            </w14:solidFill>
          </w14:textFill>
        </w:rPr>
        <w:t>三、比价文件的获取</w:t>
      </w:r>
      <w:bookmarkEnd w:id="6"/>
      <w:bookmarkEnd w:id="7"/>
    </w:p>
    <w:p>
      <w:pPr>
        <w:pStyle w:val="65"/>
        <w:adjustRightInd w:val="0"/>
        <w:snapToGrid w:val="0"/>
        <w:ind w:firstLineChars="175"/>
        <w:jc w:val="left"/>
        <w:rPr>
          <w:rFonts w:ascii="仿宋" w:hAnsi="仿宋" w:eastAsia="仿宋" w:cs="宋体"/>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.1比价文件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时间：拟定于</w:t>
      </w:r>
      <w:r>
        <w:rPr>
          <w:rFonts w:hint="eastAsia" w:ascii="仿宋" w:hAnsi="仿宋" w:eastAsia="仿宋" w:cs="宋体"/>
          <w:b/>
          <w:sz w:val="24"/>
          <w:szCs w:val="24"/>
          <w:u w:val="single"/>
        </w:rPr>
        <w:t>2026年</w:t>
      </w:r>
      <w:r>
        <w:rPr>
          <w:rFonts w:hint="eastAsia" w:ascii="仿宋" w:hAnsi="仿宋" w:eastAsia="仿宋" w:cs="宋体"/>
          <w:b/>
          <w:sz w:val="24"/>
          <w:szCs w:val="24"/>
          <w:u w:val="single"/>
          <w:lang w:val="en-US" w:eastAsia="zh-CN"/>
        </w:rPr>
        <w:t>06</w:t>
      </w:r>
      <w:r>
        <w:rPr>
          <w:rFonts w:hint="eastAsia" w:ascii="仿宋" w:hAnsi="仿宋" w:eastAsia="仿宋" w:cs="宋体"/>
          <w:b/>
          <w:sz w:val="24"/>
          <w:szCs w:val="24"/>
          <w:u w:val="single"/>
        </w:rPr>
        <w:t>月</w:t>
      </w:r>
      <w:r>
        <w:rPr>
          <w:rFonts w:hint="eastAsia" w:ascii="仿宋" w:hAnsi="仿宋" w:eastAsia="仿宋" w:cs="宋体"/>
          <w:b/>
          <w:sz w:val="24"/>
          <w:szCs w:val="24"/>
          <w:u w:val="single"/>
          <w:lang w:val="en-US" w:eastAsia="zh-CN"/>
        </w:rPr>
        <w:t>18</w:t>
      </w:r>
      <w:r>
        <w:rPr>
          <w:rFonts w:hint="eastAsia" w:ascii="仿宋" w:hAnsi="仿宋" w:eastAsia="仿宋" w:cs="宋体"/>
          <w:b/>
          <w:sz w:val="24"/>
          <w:szCs w:val="24"/>
          <w:u w:val="single"/>
        </w:rPr>
        <w:t>日</w:t>
      </w:r>
      <w:r>
        <w:rPr>
          <w:rFonts w:hint="eastAsia" w:ascii="仿宋" w:hAnsi="仿宋" w:eastAsia="仿宋" w:cs="宋体"/>
          <w:b/>
          <w:sz w:val="24"/>
          <w:szCs w:val="24"/>
        </w:rPr>
        <w:t>至</w:t>
      </w:r>
      <w:r>
        <w:rPr>
          <w:rFonts w:hint="eastAsia" w:ascii="仿宋" w:hAnsi="仿宋" w:eastAsia="仿宋" w:cs="宋体"/>
          <w:b/>
          <w:sz w:val="24"/>
          <w:szCs w:val="24"/>
          <w:u w:val="single"/>
        </w:rPr>
        <w:t>2026年</w:t>
      </w:r>
      <w:r>
        <w:rPr>
          <w:rFonts w:hint="eastAsia" w:ascii="仿宋" w:hAnsi="仿宋" w:eastAsia="仿宋" w:cs="宋体"/>
          <w:b/>
          <w:sz w:val="24"/>
          <w:szCs w:val="24"/>
          <w:u w:val="single"/>
          <w:lang w:val="en-US" w:eastAsia="zh-CN"/>
        </w:rPr>
        <w:t>06</w:t>
      </w:r>
      <w:r>
        <w:rPr>
          <w:rFonts w:hint="eastAsia" w:ascii="仿宋" w:hAnsi="仿宋" w:eastAsia="仿宋" w:cs="宋体"/>
          <w:b/>
          <w:sz w:val="24"/>
          <w:szCs w:val="24"/>
          <w:u w:val="single"/>
        </w:rPr>
        <w:t>月</w:t>
      </w:r>
      <w:r>
        <w:rPr>
          <w:rFonts w:hint="eastAsia" w:ascii="仿宋" w:hAnsi="仿宋" w:eastAsia="仿宋" w:cs="宋体"/>
          <w:b/>
          <w:sz w:val="24"/>
          <w:szCs w:val="24"/>
          <w:u w:val="single"/>
          <w:lang w:val="en-US" w:eastAsia="zh-CN"/>
        </w:rPr>
        <w:t>23</w:t>
      </w:r>
      <w:r>
        <w:rPr>
          <w:rFonts w:hint="eastAsia" w:ascii="仿宋" w:hAnsi="仿宋" w:eastAsia="仿宋" w:cs="宋体"/>
          <w:b/>
          <w:sz w:val="24"/>
          <w:szCs w:val="24"/>
          <w:u w:val="single"/>
        </w:rPr>
        <w:t>日</w:t>
      </w:r>
      <w:r>
        <w:rPr>
          <w:rFonts w:hint="eastAsia" w:ascii="仿宋" w:hAnsi="仿宋" w:eastAsia="仿宋" w:cs="宋体"/>
          <w:b/>
          <w:color w:val="000000" w:themeColor="text1"/>
          <w:sz w:val="24"/>
          <w:szCs w:val="24"/>
          <w:u w:val="single"/>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午9时至12时，下午15时至1</w:t>
      </w:r>
      <w:r>
        <w:rPr>
          <w:rFonts w:hint="eastAsia" w:ascii="仿宋" w:hAnsi="仿宋" w:eastAsia="仿宋" w:cs="宋体"/>
          <w:color w:val="000000" w:themeColor="text1"/>
          <w:sz w:val="24"/>
          <w:szCs w:val="24"/>
          <w:lang w:val="en-US" w:eastAsia="zh-CN"/>
          <w14:textFill>
            <w14:solidFill>
              <w14:schemeClr w14:val="tx1"/>
            </w14:solidFill>
          </w14:textFill>
        </w:rPr>
        <w:t>7</w:t>
      </w:r>
      <w:r>
        <w:rPr>
          <w:rFonts w:hint="eastAsia" w:ascii="仿宋" w:hAnsi="仿宋" w:eastAsia="仿宋" w:cs="宋体"/>
          <w:color w:val="000000" w:themeColor="text1"/>
          <w:sz w:val="24"/>
          <w:szCs w:val="24"/>
          <w14:textFill>
            <w14:solidFill>
              <w14:schemeClr w14:val="tx1"/>
            </w14:solidFill>
          </w14:textFill>
        </w:rPr>
        <w:t>时（北京时间，下同）。最终比价文件递交时间以系统立项流程完结后确定。</w:t>
      </w:r>
    </w:p>
    <w:p>
      <w:pPr>
        <w:pStyle w:val="11"/>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.2拟报名参加本项目的供应商，请通过“人保e采”外网门户获取比价文件</w:t>
      </w:r>
      <w:r>
        <w:rPr>
          <w:rFonts w:hint="eastAsia" w:ascii="仿宋" w:hAnsi="仿宋" w:eastAsia="仿宋" w:cs="仿宋_GB2312"/>
          <w:color w:val="000000" w:themeColor="text1"/>
          <w:sz w:val="24"/>
          <w:szCs w:val="24"/>
          <w14:textFill>
            <w14:solidFill>
              <w14:schemeClr w14:val="tx1"/>
            </w14:solidFill>
          </w14:textFill>
        </w:rPr>
        <w:t>。</w:t>
      </w:r>
    </w:p>
    <w:p>
      <w:pPr>
        <w:pStyle w:val="4"/>
        <w:jc w:val="left"/>
        <w:rPr>
          <w:rFonts w:ascii="仿宋" w:hAnsi="仿宋" w:eastAsia="仿宋" w:cs="仿宋"/>
          <w:color w:val="000000" w:themeColor="text1"/>
          <w:sz w:val="24"/>
          <w:szCs w:val="24"/>
          <w14:textFill>
            <w14:solidFill>
              <w14:schemeClr w14:val="tx1"/>
            </w14:solidFill>
          </w14:textFill>
        </w:rPr>
      </w:pPr>
      <w:bookmarkStart w:id="8" w:name="_Toc2176"/>
      <w:bookmarkStart w:id="9" w:name="_Toc32115"/>
      <w:r>
        <w:rPr>
          <w:rFonts w:hint="eastAsia" w:ascii="仿宋" w:hAnsi="仿宋" w:eastAsia="仿宋" w:cs="仿宋"/>
          <w:color w:val="000000" w:themeColor="text1"/>
          <w:sz w:val="24"/>
          <w:szCs w:val="24"/>
          <w14:textFill>
            <w14:solidFill>
              <w14:schemeClr w14:val="tx1"/>
            </w14:solidFill>
          </w14:textFill>
        </w:rPr>
        <w:t>四、响应文件的递交</w:t>
      </w:r>
      <w:bookmarkEnd w:id="8"/>
      <w:bookmarkEnd w:id="9"/>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u w:val="single"/>
        </w:rPr>
        <w:t>2026年</w:t>
      </w:r>
      <w:r>
        <w:rPr>
          <w:rFonts w:hint="eastAsia" w:ascii="仿宋" w:hAnsi="仿宋" w:eastAsia="仿宋" w:cs="宋体"/>
          <w:u w:val="single"/>
          <w:lang w:val="en-US" w:eastAsia="zh-CN"/>
        </w:rPr>
        <w:t>06</w:t>
      </w:r>
      <w:r>
        <w:rPr>
          <w:rFonts w:hint="eastAsia" w:ascii="仿宋" w:hAnsi="仿宋" w:eastAsia="仿宋" w:cs="宋体"/>
          <w:u w:val="single"/>
        </w:rPr>
        <w:t>月</w:t>
      </w:r>
      <w:r>
        <w:rPr>
          <w:rFonts w:hint="eastAsia" w:ascii="仿宋" w:hAnsi="仿宋" w:eastAsia="仿宋" w:cs="宋体"/>
          <w:u w:val="single"/>
          <w:lang w:val="en-US" w:eastAsia="zh-CN"/>
        </w:rPr>
        <w:t>26</w:t>
      </w:r>
      <w:r>
        <w:rPr>
          <w:rFonts w:hint="eastAsia" w:ascii="仿宋" w:hAnsi="仿宋" w:eastAsia="仿宋" w:cs="宋体"/>
          <w:u w:val="single"/>
        </w:rPr>
        <w:t>日</w:t>
      </w:r>
      <w:r>
        <w:rPr>
          <w:rFonts w:hint="eastAsia" w:ascii="仿宋" w:hAnsi="仿宋" w:eastAsia="仿宋" w:cs="宋体"/>
          <w:u w:val="single"/>
          <w:lang w:val="en-US" w:eastAsia="zh-CN"/>
        </w:rPr>
        <w:t>17</w:t>
      </w:r>
      <w:r>
        <w:rPr>
          <w:rFonts w:hint="eastAsia" w:ascii="仿宋" w:hAnsi="仿宋" w:eastAsia="仿宋" w:cs="宋体"/>
          <w:u w:val="single"/>
        </w:rPr>
        <w:t>时</w:t>
      </w:r>
      <w:r>
        <w:rPr>
          <w:rFonts w:hint="eastAsia" w:ascii="仿宋" w:hAnsi="仿宋" w:eastAsia="仿宋" w:cs="宋体"/>
          <w:u w:val="single"/>
          <w:lang w:val="en-US" w:eastAsia="zh-CN"/>
        </w:rPr>
        <w:t>00</w:t>
      </w:r>
      <w:r>
        <w:rPr>
          <w:rFonts w:hint="eastAsia" w:ascii="仿宋" w:hAnsi="仿宋" w:eastAsia="仿宋" w:cs="宋体"/>
          <w:u w:val="single"/>
        </w:rPr>
        <w:t>分</w:t>
      </w:r>
      <w:r>
        <w:rPr>
          <w:rFonts w:hint="eastAsia" w:ascii="仿宋" w:hAnsi="仿宋" w:eastAsia="仿宋" w:cs="宋体"/>
          <w:u w:val="single"/>
          <w:lang w:val="en-US" w:eastAsia="zh-CN"/>
        </w:rPr>
        <w:t>00</w:t>
      </w:r>
      <w:r>
        <w:rPr>
          <w:rFonts w:hint="eastAsia" w:ascii="仿宋" w:hAnsi="仿宋" w:eastAsia="仿宋" w:cs="宋体"/>
          <w:u w:val="single"/>
        </w:rPr>
        <w:t>秒</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.2响应文件的递交：须现场递交至四川省广安市前锋区永前大道888号，</w:t>
      </w:r>
      <w:r>
        <w:rPr>
          <w:rFonts w:hint="eastAsia" w:ascii="仿宋" w:hAnsi="仿宋" w:eastAsia="仿宋" w:cs="宋体"/>
          <w:b/>
          <w:bCs/>
          <w:color w:val="000000" w:themeColor="text1"/>
          <w14:textFill>
            <w14:solidFill>
              <w14:schemeClr w14:val="tx1"/>
            </w14:solidFill>
          </w14:textFill>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w:t>
      </w:r>
      <w:r>
        <w:rPr>
          <w:rFonts w:hint="eastAsia" w:ascii="仿宋" w:hAnsi="仿宋" w:eastAsia="仿宋" w:cs="宋体"/>
          <w:b/>
          <w:bCs/>
          <w:color w:val="000000" w:themeColor="text1"/>
          <w:kern w:val="2"/>
          <w14:textFill>
            <w14:solidFill>
              <w14:schemeClr w14:val="tx1"/>
            </w14:solidFill>
          </w14:textFill>
        </w:rPr>
        <w:t>出现以下情形之一时，采购人不予接收投标文件：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.4.1  逾期送达或者未送达指定地点的；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.4.2  未按照响应文件要求密封的；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.4.3  未按照比价公告要求获取比价文件的。</w:t>
      </w:r>
    </w:p>
    <w:p>
      <w:pPr>
        <w:pStyle w:val="4"/>
        <w:jc w:val="left"/>
        <w:rPr>
          <w:rFonts w:ascii="仿宋" w:hAnsi="仿宋" w:eastAsia="仿宋" w:cs="仿宋"/>
          <w:color w:val="000000" w:themeColor="text1"/>
          <w:sz w:val="24"/>
          <w:szCs w:val="24"/>
          <w14:textFill>
            <w14:solidFill>
              <w14:schemeClr w14:val="tx1"/>
            </w14:solidFill>
          </w14:textFill>
        </w:rPr>
      </w:pPr>
      <w:bookmarkStart w:id="10" w:name="_Toc874"/>
      <w:bookmarkStart w:id="11" w:name="_Toc18600"/>
      <w:r>
        <w:rPr>
          <w:rFonts w:hint="eastAsia" w:ascii="仿宋" w:hAnsi="仿宋" w:eastAsia="仿宋" w:cs="仿宋"/>
          <w:color w:val="000000" w:themeColor="text1"/>
          <w:sz w:val="24"/>
          <w:szCs w:val="24"/>
          <w14:textFill>
            <w14:solidFill>
              <w14:schemeClr w14:val="tx1"/>
            </w14:solidFill>
          </w14:textFill>
        </w:rPr>
        <w:t>五、发布公告的媒介</w:t>
      </w:r>
      <w:bookmarkEnd w:id="10"/>
      <w:bookmarkEnd w:id="11"/>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本项目比价公告在</w:t>
      </w:r>
      <w:r>
        <w:rPr>
          <w:rFonts w:hint="eastAsia" w:ascii="仿宋" w:hAnsi="仿宋" w:eastAsia="仿宋" w:cs="宋体"/>
          <w:color w:val="000000" w:themeColor="text1"/>
          <w:u w:val="single"/>
          <w14:textFill>
            <w14:solidFill>
              <w14:schemeClr w14:val="tx1"/>
            </w14:solidFill>
          </w14:textFill>
        </w:rPr>
        <w:t>“人保e采”外网门户（https://ec.picc.com/）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themeColor="text1"/>
          <w:sz w:val="24"/>
          <w:szCs w:val="24"/>
          <w14:textFill>
            <w14:solidFill>
              <w14:schemeClr w14:val="tx1"/>
            </w14:solidFill>
          </w14:textFill>
        </w:rPr>
      </w:pPr>
      <w:bookmarkStart w:id="12" w:name="_Toc5251"/>
      <w:bookmarkStart w:id="13" w:name="_Toc305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采购人：中国人民财产保险股份有限公司广安市分公司</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地址：四川省广安市广安区万盛东路173号</w:t>
      </w:r>
      <w:r>
        <w:rPr>
          <w:rFonts w:ascii="仿宋" w:hAnsi="仿宋" w:eastAsia="仿宋" w:cs="宋体"/>
          <w:color w:val="000000" w:themeColor="text1"/>
          <w14:textFill>
            <w14:solidFill>
              <w14:schemeClr w14:val="tx1"/>
            </w14:solidFill>
          </w14:textFill>
        </w:rPr>
        <w:t xml:space="preserve"> </w:t>
      </w:r>
    </w:p>
    <w:p>
      <w:pPr>
        <w:spacing w:line="360" w:lineRule="auto"/>
        <w:ind w:firstLine="420" w:firstLineChars="175"/>
        <w:rPr>
          <w:rFonts w:hint="default" w:ascii="仿宋" w:hAnsi="仿宋" w:eastAsia="仿宋" w:cs="宋体"/>
          <w:color w:val="000000" w:themeColor="text1"/>
          <w:lang w:val="en-US"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联系人：</w:t>
      </w:r>
      <w:r>
        <w:rPr>
          <w:rFonts w:hint="eastAsia" w:ascii="仿宋" w:hAnsi="仿宋" w:eastAsia="仿宋" w:cs="宋体"/>
          <w:color w:val="000000" w:themeColor="text1"/>
          <w:lang w:val="en-US" w:eastAsia="zh-CN"/>
          <w14:textFill>
            <w14:solidFill>
              <w14:schemeClr w14:val="tx1"/>
            </w14:solidFill>
          </w14:textFill>
        </w:rPr>
        <w:t>刘潇忆</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谢雨洁</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电话：</w:t>
      </w:r>
      <w:r>
        <w:rPr>
          <w:rFonts w:ascii="仿宋" w:hAnsi="仿宋" w:eastAsia="仿宋" w:cs="宋体"/>
          <w:color w:val="000000" w:themeColor="text1"/>
          <w14:textFill>
            <w14:solidFill>
              <w14:schemeClr w14:val="tx1"/>
            </w14:solidFill>
          </w14:textFill>
        </w:rPr>
        <w:t>0826</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2326798、</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电子邮件：</w:t>
      </w:r>
      <w:r>
        <w:rPr>
          <w:rStyle w:val="33"/>
          <w:rFonts w:hint="eastAsia" w:ascii="宋体" w:hAnsi="宋体" w:eastAsia="宋体" w:cs="宋体"/>
          <w:lang w:val="en-US" w:eastAsia="zh-CN"/>
        </w:rPr>
        <w:t>liuxiaoyi08</w:t>
      </w:r>
      <w:r>
        <w:rPr>
          <w:rStyle w:val="33"/>
          <w:rFonts w:hint="eastAsia" w:ascii="宋体" w:hAnsi="宋体" w:eastAsia="宋体" w:cs="宋体"/>
        </w:rPr>
        <w:t>@sic.picc.com.cn</w:t>
      </w:r>
      <w:r>
        <w:rPr>
          <w:rFonts w:hint="eastAsia" w:ascii="宋体" w:hAnsi="宋体" w:eastAsia="宋体" w:cs="宋体"/>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 xml:space="preserve">xieyujie03@sic.picc.com.cn  </w:t>
      </w: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采购人：中国人民财产保险股份有限公司广安市分公司</w:t>
      </w:r>
    </w:p>
    <w:p>
      <w:pPr>
        <w:spacing w:line="360" w:lineRule="auto"/>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2026年</w:t>
      </w:r>
      <w:r>
        <w:rPr>
          <w:rFonts w:hint="eastAsia" w:ascii="仿宋" w:hAnsi="仿宋" w:eastAsia="仿宋" w:cs="宋体"/>
          <w:color w:val="000000" w:themeColor="text1"/>
          <w:lang w:val="en-US" w:eastAsia="zh-CN"/>
          <w14:textFill>
            <w14:solidFill>
              <w14:schemeClr w14:val="tx1"/>
            </w14:solidFill>
          </w14:textFill>
        </w:rPr>
        <w:t>06</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lang w:val="en-US" w:eastAsia="zh-CN"/>
          <w14:textFill>
            <w14:solidFill>
              <w14:schemeClr w14:val="tx1"/>
            </w14:solidFill>
          </w14:textFill>
        </w:rPr>
        <w:t>16</w:t>
      </w:r>
      <w:r>
        <w:rPr>
          <w:rFonts w:hint="eastAsia" w:ascii="仿宋" w:hAnsi="仿宋" w:eastAsia="仿宋" w:cs="宋体"/>
          <w:color w:val="000000" w:themeColor="text1"/>
          <w14:textFill>
            <w14:solidFill>
              <w14:schemeClr w14:val="tx1"/>
            </w14:solidFill>
          </w14:textFill>
        </w:rPr>
        <w:t>日</w:t>
      </w:r>
    </w:p>
    <w:p>
      <w:pPr>
        <w:pStyle w:val="3"/>
        <w:ind w:left="0" w:firstLine="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br w:type="page"/>
      </w:r>
      <w:bookmarkStart w:id="14" w:name="_Toc16027"/>
      <w:bookmarkStart w:id="15" w:name="_Toc24174"/>
      <w:r>
        <w:rPr>
          <w:rFonts w:hint="eastAsia" w:ascii="仿宋_GB2312" w:hAnsi="宋体" w:eastAsia="仿宋_GB2312"/>
          <w:color w:val="000000" w:themeColor="text1"/>
          <w:sz w:val="28"/>
          <w:szCs w:val="28"/>
          <w14:textFill>
            <w14:solidFill>
              <w14:schemeClr w14:val="tx1"/>
            </w14:solidFill>
          </w14:textFill>
        </w:rPr>
        <w:t>第二章 供应商须知</w:t>
      </w:r>
      <w:bookmarkEnd w:id="14"/>
      <w:bookmarkEnd w:id="15"/>
    </w:p>
    <w:p>
      <w:pPr>
        <w:pStyle w:val="4"/>
        <w:adjustRightInd w:val="0"/>
        <w:snapToGrid w:val="0"/>
        <w:spacing w:before="0" w:after="0"/>
        <w:rPr>
          <w:color w:val="000000" w:themeColor="text1"/>
          <w:sz w:val="24"/>
          <w:szCs w:val="24"/>
          <w14:textFill>
            <w14:solidFill>
              <w14:schemeClr w14:val="tx1"/>
            </w14:solidFill>
          </w14:textFill>
        </w:rPr>
      </w:pPr>
      <w:bookmarkStart w:id="16" w:name="_Toc16621"/>
      <w:r>
        <w:rPr>
          <w:rFonts w:hint="eastAsia" w:ascii="仿宋" w:hAnsi="仿宋" w:eastAsia="仿宋" w:cs="仿宋"/>
          <w:color w:val="000000" w:themeColor="text1"/>
          <w:sz w:val="24"/>
          <w:szCs w:val="24"/>
          <w14:textFill>
            <w14:solidFill>
              <w14:schemeClr w14:val="tx1"/>
            </w14:solidFill>
          </w14:textFill>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序号</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项  目</w:t>
            </w:r>
          </w:p>
        </w:tc>
        <w:tc>
          <w:tcPr>
            <w:tcW w:w="7199"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2.1.1</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采购范围</w:t>
            </w:r>
          </w:p>
        </w:tc>
        <w:tc>
          <w:tcPr>
            <w:tcW w:w="7199" w:type="dxa"/>
            <w:vAlign w:val="center"/>
          </w:tcPr>
          <w:p>
            <w:pPr>
              <w:spacing w:line="400" w:lineRule="exact"/>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比价邀请“一、项目概况与采购范围”</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2.1.2</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资格审查方式及供应商应具备的资格条件</w:t>
            </w:r>
          </w:p>
        </w:tc>
        <w:tc>
          <w:tcPr>
            <w:tcW w:w="7199" w:type="dxa"/>
            <w:vAlign w:val="center"/>
          </w:tcPr>
          <w:p>
            <w:pPr>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w:t>
            </w: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“二、供应商资格要求”</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2.1.3</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★比价文件实质性要求的标识</w:t>
            </w:r>
          </w:p>
        </w:tc>
        <w:tc>
          <w:tcPr>
            <w:tcW w:w="7199" w:type="dxa"/>
            <w:vAlign w:val="center"/>
          </w:tcPr>
          <w:p>
            <w:pPr>
              <w:spacing w:line="400" w:lineRule="exact"/>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比价文件中标识“★”条款、注明“比价响应将被否决”、“对其响应做否决处理”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等</w:t>
            </w:r>
            <w:r>
              <w:rPr>
                <w:rFonts w:hint="eastAsia" w:ascii="仿宋" w:hAnsi="仿宋" w:eastAsia="仿宋" w:cs="Cambria Math"/>
                <w:color w:val="000000" w:themeColor="text1"/>
                <w:sz w:val="21"/>
                <w:szCs w:val="21"/>
                <w:u w:val="single"/>
                <w14:textFill>
                  <w14:solidFill>
                    <w14:schemeClr w14:val="tx1"/>
                  </w14:solidFill>
                </w14:textFill>
              </w:rPr>
              <w:t>的条款</w:t>
            </w:r>
            <w:r>
              <w:rPr>
                <w:rFonts w:hint="eastAsia" w:ascii="仿宋" w:hAnsi="仿宋" w:eastAsia="仿宋" w:cs="Cambria Math"/>
                <w:color w:val="000000" w:themeColor="text1"/>
                <w:sz w:val="21"/>
                <w:szCs w:val="21"/>
                <w14:textFill>
                  <w14:solidFill>
                    <w14:schemeClr w14:val="tx1"/>
                  </w14:solidFill>
                </w14:textFill>
              </w:rPr>
              <w:t>，均为实质性条款，</w:t>
            </w:r>
            <w:r>
              <w:rPr>
                <w:rFonts w:hint="eastAsia" w:ascii="仿宋" w:hAnsi="仿宋" w:eastAsia="仿宋" w:cs="宋体"/>
                <w:b/>
                <w:color w:val="000000" w:themeColor="text1"/>
                <w:sz w:val="21"/>
                <w:szCs w:val="21"/>
                <w14:textFill>
                  <w14:solidFill>
                    <w14:schemeClr w14:val="tx1"/>
                  </w14:solidFill>
                </w14:textFill>
              </w:rPr>
              <w:t>不满足任意一项</w:t>
            </w:r>
            <w:r>
              <w:rPr>
                <w:rFonts w:hint="eastAsia" w:ascii="仿宋" w:hAnsi="仿宋" w:eastAsia="仿宋" w:cs="Cambria Math"/>
                <w:b/>
                <w:color w:val="000000" w:themeColor="text1"/>
                <w:sz w:val="21"/>
                <w:szCs w:val="21"/>
                <w14:textFill>
                  <w14:solidFill>
                    <w14:schemeClr w14:val="tx1"/>
                  </w14:solidFill>
                </w14:textFill>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2"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.1.4</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响应文件的组成</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响应文件按照以下架构顺序编制：</w:t>
            </w:r>
          </w:p>
          <w:p>
            <w:pPr>
              <w:pStyle w:val="61"/>
              <w:spacing w:before="62" w:beforeLines="20" w:after="62" w:afterLines="20"/>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商务文件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初步评审索引表</w:t>
            </w:r>
          </w:p>
          <w:p>
            <w:pPr>
              <w:autoSpaceDE w:val="0"/>
              <w:autoSpaceDN w:val="0"/>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（一）响应函</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（二）法定代表人（负责人）身份证明</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（三）法定代表人（负责人）授权委托书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（四）资格证明文件</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（五）供应商须知应答偏离表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（六）合同条款应答偏离表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（七）供应商行为准则承诺书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（八）供应商廉洁诚信承诺书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lang w:val="en-US" w:eastAsia="zh-CN"/>
                <w14:textFill>
                  <w14:solidFill>
                    <w14:schemeClr w14:val="tx1"/>
                  </w14:solidFill>
                </w14:textFill>
              </w:rPr>
              <w:t>二</w:t>
            </w:r>
            <w:r>
              <w:rPr>
                <w:rFonts w:hint="eastAsia" w:ascii="仿宋" w:hAnsi="仿宋" w:eastAsia="仿宋" w:cs="仿宋"/>
                <w:b/>
                <w:color w:val="000000" w:themeColor="text1"/>
                <w:szCs w:val="21"/>
                <w14:textFill>
                  <w14:solidFill>
                    <w14:schemeClr w14:val="tx1"/>
                  </w14:solidFill>
                </w14:textFill>
              </w:rPr>
              <w:t>、报价文件</w:t>
            </w:r>
          </w:p>
          <w:p>
            <w:pPr>
              <w:pStyle w:val="61"/>
              <w:spacing w:before="62" w:beforeLines="20" w:after="62" w:afterLines="20"/>
              <w:ind w:firstLine="210" w:firstLineChars="100"/>
              <w:rPr>
                <w:rFonts w:ascii="仿宋" w:hAnsi="仿宋" w:eastAsia="仿宋" w:cs="Cambria Math"/>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.1.5</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响应文件的递交</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.1.6</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（1）《法定代表人（负责人）身份证明》的落款处应加盖公章。</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并由</w:t>
            </w:r>
            <w:r>
              <w:rPr>
                <w:rFonts w:hint="eastAsia" w:ascii="仿宋" w:hAnsi="仿宋" w:eastAsia="仿宋" w:cs="宋体"/>
                <w:color w:val="000000" w:themeColor="text1"/>
                <w:sz w:val="21"/>
                <w:szCs w:val="21"/>
                <w14:textFill>
                  <w14:solidFill>
                    <w14:schemeClr w14:val="tx1"/>
                  </w14:solidFill>
                </w14:textFill>
              </w:rPr>
              <w:t>法定代表人（负责人）</w:t>
            </w:r>
            <w:r>
              <w:rPr>
                <w:rFonts w:hint="eastAsia" w:ascii="仿宋" w:hAnsi="仿宋" w:eastAsia="仿宋" w:cs="宋体"/>
                <w:b/>
                <w:color w:val="000000" w:themeColor="text1"/>
                <w:sz w:val="21"/>
                <w:szCs w:val="21"/>
                <w14:textFill>
                  <w14:solidFill>
                    <w14:schemeClr w14:val="tx1"/>
                  </w14:solidFill>
                </w14:textFill>
              </w:rPr>
              <w:t>和</w:t>
            </w:r>
            <w:r>
              <w:rPr>
                <w:rFonts w:hint="eastAsia" w:ascii="仿宋" w:hAnsi="仿宋" w:eastAsia="仿宋" w:cs="宋体"/>
                <w:color w:val="000000" w:themeColor="text1"/>
                <w:sz w:val="21"/>
                <w:szCs w:val="21"/>
                <w14:textFill>
                  <w14:solidFill>
                    <w14:schemeClr w14:val="tx1"/>
                  </w14:solidFill>
                </w14:textFill>
              </w:rPr>
              <w:t>其委托代理人</w:t>
            </w:r>
            <w:r>
              <w:rPr>
                <w:rFonts w:hint="eastAsia" w:ascii="仿宋" w:hAnsi="仿宋" w:eastAsia="仿宋" w:cs="宋体"/>
                <w:b/>
                <w:color w:val="000000" w:themeColor="text1"/>
                <w:sz w:val="21"/>
                <w:szCs w:val="21"/>
                <w14:textFill>
                  <w14:solidFill>
                    <w14:schemeClr w14:val="tx1"/>
                  </w14:solidFill>
                </w14:textFill>
              </w:rPr>
              <w:t>双方</w:t>
            </w:r>
            <w:r>
              <w:rPr>
                <w:rFonts w:hint="eastAsia" w:ascii="仿宋" w:hAnsi="仿宋" w:eastAsia="仿宋" w:cs="宋体"/>
                <w:color w:val="000000" w:themeColor="text1"/>
                <w:sz w:val="21"/>
                <w:szCs w:val="21"/>
                <w14:textFill>
                  <w14:solidFill>
                    <w14:schemeClr w14:val="tx1"/>
                  </w14:solidFill>
                </w14:textFill>
              </w:rPr>
              <w:t>签字。</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（3）响应文件格式中其他有落款的文件，</w:t>
            </w:r>
            <w:r>
              <w:rPr>
                <w:rFonts w:hint="eastAsia" w:ascii="仿宋" w:hAnsi="仿宋" w:eastAsia="仿宋" w:cs="宋体"/>
                <w:b/>
                <w:color w:val="000000" w:themeColor="text1"/>
                <w:sz w:val="21"/>
                <w:szCs w:val="21"/>
                <w14:textFill>
                  <w14:solidFill>
                    <w14:schemeClr w14:val="tx1"/>
                  </w14:solidFill>
                </w14:textFill>
              </w:rPr>
              <w:t>均需</w:t>
            </w:r>
            <w:r>
              <w:rPr>
                <w:rFonts w:hint="eastAsia" w:ascii="仿宋" w:hAnsi="仿宋" w:eastAsia="仿宋" w:cs="宋体"/>
                <w:color w:val="000000" w:themeColor="text1"/>
                <w:sz w:val="21"/>
                <w:szCs w:val="21"/>
                <w14:textFill>
                  <w14:solidFill>
                    <w14:schemeClr w14:val="tx1"/>
                  </w14:solidFill>
                </w14:textFill>
              </w:rPr>
              <w:t>加盖公章。</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签名章/印章</w:t>
            </w:r>
            <w:r>
              <w:rPr>
                <w:rFonts w:hint="eastAsia" w:ascii="仿宋" w:hAnsi="仿宋" w:eastAsia="仿宋" w:cs="宋体"/>
                <w:b/>
                <w:bCs/>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CA签名章，</w:t>
            </w:r>
            <w:r>
              <w:rPr>
                <w:rFonts w:hint="eastAsia" w:ascii="仿宋" w:hAnsi="仿宋" w:eastAsia="仿宋" w:cs="宋体"/>
                <w:b/>
                <w:color w:val="000000" w:themeColor="text1"/>
                <w:sz w:val="21"/>
                <w:szCs w:val="21"/>
                <w14:textFill>
                  <w14:solidFill>
                    <w14:schemeClr w14:val="tx1"/>
                  </w14:solidFill>
                </w14:textFill>
              </w:rPr>
              <w:t>不得</w:t>
            </w:r>
            <w:r>
              <w:rPr>
                <w:rFonts w:hint="eastAsia" w:ascii="仿宋" w:hAnsi="仿宋" w:eastAsia="仿宋" w:cs="宋体"/>
                <w:color w:val="000000" w:themeColor="text1"/>
                <w:sz w:val="21"/>
                <w:szCs w:val="21"/>
                <w14:textFill>
                  <w14:solidFill>
                    <w14:schemeClr w14:val="tx1"/>
                  </w14:solidFill>
                </w14:textFill>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2.1.7</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★比价响应有效期</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比价响应有效期：</w:t>
            </w:r>
            <w:r>
              <w:rPr>
                <w:rFonts w:hint="eastAsia" w:ascii="仿宋" w:hAnsi="仿宋" w:eastAsia="仿宋" w:cs="仿宋"/>
                <w:color w:val="000000" w:themeColor="text1"/>
                <w:u w:val="single"/>
                <w:lang w:eastAsia="zh-CN"/>
                <w14:textFill>
                  <w14:solidFill>
                    <w14:schemeClr w14:val="tx1"/>
                  </w14:solidFill>
                </w14:textFill>
              </w:rPr>
              <w:t>30天。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2.1.8</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响应文件份数</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 w:val="21"/>
                <w:szCs w:val="21"/>
                <w:lang w:eastAsia="zh-CN"/>
                <w14:textFill>
                  <w14:solidFill>
                    <w14:schemeClr w14:val="tx1"/>
                  </w14:solidFill>
                </w14:textFill>
              </w:rPr>
              <w:t>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2.1.9</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2）比价小组将视比价情况决定是否进行多轮次报价，供应商</w:t>
            </w:r>
            <w:r>
              <w:rPr>
                <w:rFonts w:hint="eastAsia" w:ascii="仿宋" w:hAnsi="仿宋" w:eastAsia="仿宋" w:cs="仿宋"/>
                <w:color w:val="000000" w:themeColor="text1"/>
                <w:u w:val="single"/>
                <w:lang w:eastAsia="zh-CN"/>
                <w14:textFill>
                  <w14:solidFill>
                    <w14:schemeClr w14:val="tx1"/>
                  </w14:solidFill>
                </w14:textFill>
              </w:rPr>
              <w:t>最后一轮比价提交的报价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.1.10</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纸质</w:t>
            </w:r>
            <w:r>
              <w:rPr>
                <w:rFonts w:hint="eastAsia" w:ascii="仿宋" w:hAnsi="仿宋" w:eastAsia="仿宋" w:cs="仿宋"/>
                <w:color w:val="000000" w:themeColor="text1"/>
                <w:szCs w:val="21"/>
                <w:lang w:eastAsia="zh-CN"/>
                <w14:textFill>
                  <w14:solidFill>
                    <w14:schemeClr w14:val="tx1"/>
                  </w14:solidFill>
                </w14:textFill>
              </w:rPr>
              <w:t>响应文件的装订、密封和标记</w:t>
            </w:r>
          </w:p>
        </w:tc>
        <w:tc>
          <w:tcPr>
            <w:tcW w:w="7199" w:type="dxa"/>
            <w:vAlign w:val="center"/>
          </w:tcPr>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（1）采用A4纸胶装，双面打印，密封粘接缝隙加盖供应商公章或由法定代表人（负责人）或其委托代理人签字，并分别在右上角标明“正本”字样。</w:t>
            </w:r>
          </w:p>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纸质</w:t>
            </w:r>
            <w:r>
              <w:rPr>
                <w:rFonts w:hint="eastAsia" w:ascii="仿宋" w:hAnsi="仿宋" w:eastAsia="仿宋" w:cs="Cambria Math"/>
                <w:color w:val="000000" w:themeColor="text1"/>
                <w:sz w:val="22"/>
                <w:szCs w:val="21"/>
                <w14:textFill>
                  <w14:solidFill>
                    <w14:schemeClr w14:val="tx1"/>
                  </w14:solidFill>
                </w14:textFill>
              </w:rPr>
              <w:t>响应文件不予接收。</w:t>
            </w:r>
          </w:p>
          <w:p>
            <w:pPr>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（2）外层包封具体样式如下：</w:t>
            </w:r>
          </w:p>
          <w:p>
            <w:pPr>
              <w:pStyle w:val="37"/>
              <w:snapToGrid w:val="0"/>
              <w:spacing w:line="300" w:lineRule="auto"/>
              <w:ind w:left="103" w:right="2739"/>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本项目比价小组成员人数为</w:t>
            </w:r>
            <w:r>
              <w:rPr>
                <w:rFonts w:hint="eastAsia" w:ascii="仿宋" w:hAnsi="仿宋" w:eastAsia="仿宋" w:cs="仿宋"/>
                <w:color w:val="000000" w:themeColor="text1"/>
                <w:sz w:val="22"/>
                <w:u w:val="single"/>
                <w14:textFill>
                  <w14:solidFill>
                    <w14:schemeClr w14:val="tx1"/>
                  </w14:solidFill>
                </w14:textFill>
              </w:rPr>
              <w:t>5人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（1）比价小组将与通过初步评审的有效供应商按照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响应文件递交顺序</w:t>
            </w:r>
            <w:r>
              <w:rPr>
                <w:rFonts w:hint="eastAsia" w:ascii="仿宋" w:hAnsi="仿宋" w:eastAsia="仿宋" w:cs="仿宋"/>
                <w:color w:val="000000" w:themeColor="text1"/>
                <w:sz w:val="22"/>
                <w:szCs w:val="22"/>
                <w14:textFill>
                  <w14:solidFill>
                    <w14:schemeClr w14:val="tx1"/>
                  </w14:solidFill>
                </w14:textFill>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报价、对采购需求的理解、产品配置、实施方案、人员配置、服务承诺、商务条款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比价小组从质量和服务均能满足采购文件实质性响应要求的供应商中，按照最后报价由低到高的顺序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不按照比价文件要求提交履约保证金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sym w:font="Wingdings 2" w:char="0052"/>
            </w:r>
            <w:r>
              <w:rPr>
                <w:rFonts w:hint="eastAsia" w:ascii="仿宋" w:hAnsi="仿宋" w:eastAsia="仿宋"/>
                <w:color w:val="000000" w:themeColor="text1"/>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 w:cs="新宋体"/>
                <w:color w:val="000000" w:themeColor="text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项目采购人为</w:t>
            </w:r>
            <w:r>
              <w:rPr>
                <w:rFonts w:hint="eastAsia" w:ascii="仿宋" w:hAnsi="仿宋" w:eastAsia="仿宋" w:cs="仿宋"/>
                <w:color w:val="000000" w:themeColor="text1"/>
                <w:sz w:val="22"/>
                <w:lang w:val="en-US" w:eastAsia="zh-CN"/>
                <w14:textFill>
                  <w14:solidFill>
                    <w14:schemeClr w14:val="tx1"/>
                  </w14:solidFill>
                </w14:textFill>
              </w:rPr>
              <w:t>中国人民财产保险股份有限公司广安市分公司</w:t>
            </w:r>
            <w:r>
              <w:rPr>
                <w:rFonts w:hint="eastAsia" w:ascii="仿宋" w:hAnsi="仿宋" w:eastAsia="仿宋" w:cs="仿宋"/>
                <w:color w:val="000000" w:themeColor="text1"/>
                <w:sz w:val="22"/>
                <w14:textFill>
                  <w14:solidFill>
                    <w14:schemeClr w14:val="tx1"/>
                  </w14:solidFill>
                </w14:textFill>
              </w:rPr>
              <w:t>，</w:t>
            </w:r>
            <w:r>
              <w:rPr>
                <w:rFonts w:ascii="仿宋" w:hAnsi="仿宋" w:eastAsia="仿宋" w:cs="仿宋"/>
                <w:color w:val="000000" w:themeColor="text1"/>
                <w:sz w:val="22"/>
                <w14:textFill>
                  <w14:solidFill>
                    <w14:schemeClr w14:val="tx1"/>
                  </w14:solidFill>
                </w14:textFill>
              </w:rPr>
              <w:t>实际合同签署人为</w:t>
            </w:r>
            <w:r>
              <w:rPr>
                <w:rFonts w:hint="eastAsia" w:ascii="仿宋" w:hAnsi="仿宋" w:eastAsia="仿宋" w:cs="仿宋"/>
                <w:color w:val="000000" w:themeColor="text1"/>
                <w:sz w:val="22"/>
                <w:lang w:val="en-US" w:eastAsia="zh-CN"/>
                <w14:textFill>
                  <w14:solidFill>
                    <w14:schemeClr w14:val="tx1"/>
                  </w14:solidFill>
                </w14:textFill>
              </w:rPr>
              <w:t>中国人民财产保险股份有限公司广安市前锋区支公司</w:t>
            </w:r>
          </w:p>
        </w:tc>
      </w:tr>
    </w:tbl>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4"/>
        <w:jc w:val="left"/>
        <w:rPr>
          <w:rFonts w:ascii="仿宋" w:hAnsi="仿宋" w:eastAsia="仿宋" w:cs="仿宋"/>
          <w:color w:val="000000" w:themeColor="text1"/>
          <w:sz w:val="24"/>
          <w:szCs w:val="24"/>
          <w14:textFill>
            <w14:solidFill>
              <w14:schemeClr w14:val="tx1"/>
            </w14:solidFill>
          </w14:textFill>
        </w:rPr>
      </w:pPr>
      <w:bookmarkStart w:id="17" w:name="_Toc11071"/>
      <w:bookmarkStart w:id="18" w:name="_Toc6047"/>
      <w:bookmarkStart w:id="19" w:name="_Toc27232"/>
      <w:bookmarkStart w:id="20" w:name="_Toc444891336"/>
      <w:bookmarkStart w:id="21" w:name="_Toc19783313"/>
      <w:bookmarkStart w:id="22" w:name="_Toc20514"/>
      <w:bookmarkStart w:id="23" w:name="_Toc287600118"/>
      <w:bookmarkStart w:id="24" w:name="_Toc517281816"/>
      <w:bookmarkStart w:id="25" w:name="_Toc16030"/>
      <w:bookmarkStart w:id="26" w:name="_Toc27220"/>
      <w:r>
        <w:rPr>
          <w:rFonts w:hint="eastAsia" w:ascii="仿宋" w:hAnsi="仿宋" w:eastAsia="仿宋" w:cs="仿宋"/>
          <w:color w:val="000000" w:themeColor="text1"/>
          <w:sz w:val="24"/>
          <w:szCs w:val="24"/>
          <w14:textFill>
            <w14:solidFill>
              <w14:schemeClr w14:val="tx1"/>
            </w14:solidFill>
          </w14:textFill>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themeColor="text1"/>
          <w:sz w:val="24"/>
          <w:szCs w:val="24"/>
          <w14:textFill>
            <w14:solidFill>
              <w14:schemeClr w14:val="tx1"/>
            </w14:solidFill>
          </w14:textFill>
        </w:rPr>
        <w:t>正文</w:t>
      </w:r>
      <w:bookmarkEnd w:id="25"/>
      <w:bookmarkEnd w:id="26"/>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27" w:name="_Toc444891337"/>
      <w:bookmarkStart w:id="28" w:name="_Toc11851"/>
      <w:bookmarkStart w:id="29" w:name="_Toc287600119"/>
      <w:bookmarkStart w:id="30" w:name="_Toc3678"/>
      <w:bookmarkStart w:id="31" w:name="_Toc6681"/>
      <w:bookmarkStart w:id="32" w:name="_Toc25650"/>
      <w:bookmarkStart w:id="33" w:name="_Toc16441"/>
      <w:bookmarkStart w:id="34" w:name="_Toc517281817"/>
      <w:bookmarkStart w:id="35" w:name="_Toc19783314"/>
      <w:bookmarkStart w:id="36" w:name="_Toc22969"/>
      <w:bookmarkStart w:id="37" w:name="_Toc431"/>
      <w:r>
        <w:rPr>
          <w:rFonts w:hint="eastAsia" w:ascii="仿宋" w:hAnsi="仿宋" w:eastAsia="仿宋" w:cs="仿宋"/>
          <w:color w:val="000000" w:themeColor="text1"/>
          <w:sz w:val="24"/>
          <w:szCs w:val="24"/>
          <w14:textFill>
            <w14:solidFill>
              <w14:schemeClr w14:val="tx1"/>
            </w14:solidFill>
          </w14:textFill>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1.项目说明</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2.采购范围</w:t>
      </w:r>
    </w:p>
    <w:p>
      <w:pPr>
        <w:tabs>
          <w:tab w:val="left" w:pos="3150"/>
          <w:tab w:val="left" w:pos="3780"/>
        </w:tabs>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Cs/>
          <w:color w:val="000000" w:themeColor="text1"/>
          <w14:textFill>
            <w14:solidFill>
              <w14:schemeClr w14:val="tx1"/>
            </w14:solidFill>
          </w14:textFill>
        </w:rPr>
        <w:t>详细内容详见第五章采购需求。</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3.资金来源</w:t>
      </w:r>
    </w:p>
    <w:p>
      <w:pPr>
        <w:tabs>
          <w:tab w:val="left" w:pos="3150"/>
          <w:tab w:val="left" w:pos="3780"/>
        </w:tabs>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资金来源于采购人或其子公司（含分支机构）自筹（比例100%），且资金已落实。</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4.资格审查</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详见本须知前附表。</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5.比价响应费用</w:t>
      </w:r>
    </w:p>
    <w:p>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不论结果如何，</w:t>
      </w:r>
      <w:r>
        <w:rPr>
          <w:rFonts w:hint="eastAsia" w:ascii="仿宋" w:hAnsi="仿宋" w:eastAsia="仿宋" w:cs="仿宋"/>
          <w:color w:val="000000" w:themeColor="text1"/>
          <w14:textFill>
            <w14:solidFill>
              <w14:schemeClr w14:val="tx1"/>
            </w14:solidFill>
          </w14:textFill>
        </w:rPr>
        <w:t>供应商</w:t>
      </w:r>
      <w:r>
        <w:rPr>
          <w:rFonts w:hint="eastAsia" w:ascii="仿宋" w:hAnsi="仿宋" w:eastAsia="仿宋" w:cs="宋体"/>
          <w:color w:val="000000" w:themeColor="text1"/>
          <w14:textFill>
            <w14:solidFill>
              <w14:schemeClr w14:val="tx1"/>
            </w14:solidFill>
          </w14:textFill>
        </w:rPr>
        <w:t>自行承担所有准备和参与本次比价响应的有关费用。</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38" w:name="_Toc19783315"/>
      <w:bookmarkStart w:id="39" w:name="_Toc24246"/>
      <w:bookmarkStart w:id="40" w:name="_Toc25513"/>
      <w:bookmarkStart w:id="41" w:name="_Toc287600120"/>
      <w:bookmarkStart w:id="42" w:name="_Toc444891338"/>
      <w:bookmarkStart w:id="43" w:name="_Toc14164"/>
      <w:bookmarkStart w:id="44" w:name="_Toc5255"/>
      <w:bookmarkStart w:id="45" w:name="_Toc11506"/>
      <w:bookmarkStart w:id="46" w:name="_Toc10975"/>
      <w:bookmarkStart w:id="47" w:name="_Toc3016"/>
      <w:bookmarkStart w:id="48" w:name="_Toc517281818"/>
      <w:r>
        <w:rPr>
          <w:rFonts w:hint="eastAsia" w:ascii="仿宋" w:hAnsi="仿宋" w:eastAsia="仿宋" w:cs="仿宋"/>
          <w:color w:val="000000" w:themeColor="text1"/>
          <w:sz w:val="24"/>
          <w:szCs w:val="24"/>
          <w14:textFill>
            <w14:solidFill>
              <w14:schemeClr w14:val="tx1"/>
            </w14:solidFill>
          </w14:textFill>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6.比价文件的组成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6.1比价文件包括下列内容：</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第一章 比价邀请</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第二章 供应商须知</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第三章 评审办法</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第四章 合同格式</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第五章 采购需求</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第六章 响应文件格式</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7.比价文件的修改</w:t>
      </w:r>
    </w:p>
    <w:p>
      <w:pPr>
        <w:topLinePunct/>
        <w:spacing w:line="360" w:lineRule="auto"/>
        <w:rPr>
          <w:rFonts w:ascii="仿宋_GB2312" w:hAnsi="宋体" w:eastAsia="仿宋_GB2312"/>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w:t>
      </w:r>
      <w:r>
        <w:rPr>
          <w:rFonts w:hint="eastAsia" w:ascii="仿宋_GB2312" w:hAnsi="宋体" w:eastAsia="仿宋_GB2312"/>
          <w:color w:val="000000" w:themeColor="text1"/>
          <w14:textFill>
            <w14:solidFill>
              <w14:schemeClr w14:val="tx1"/>
            </w14:solidFill>
          </w14:textFill>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7</w:t>
      </w:r>
      <w:r>
        <w:rPr>
          <w:rFonts w:ascii="仿宋_GB2312" w:hAnsi="宋体" w:eastAsia="仿宋_GB2312"/>
          <w:color w:val="000000" w:themeColor="text1"/>
          <w14:textFill>
            <w14:solidFill>
              <w14:schemeClr w14:val="tx1"/>
            </w14:solidFill>
          </w14:textFill>
        </w:rPr>
        <w:t>.2</w:t>
      </w:r>
      <w:r>
        <w:rPr>
          <w:rFonts w:hint="eastAsia" w:ascii="仿宋_GB2312" w:hAnsi="宋体" w:eastAsia="仿宋_GB2312"/>
          <w:color w:val="000000" w:themeColor="text1"/>
          <w14:textFill>
            <w14:solidFill>
              <w14:schemeClr w14:val="tx1"/>
            </w14:solidFill>
          </w14:textFill>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7.3</w:t>
      </w:r>
      <w:r>
        <w:rPr>
          <w:rFonts w:hint="eastAsia" w:ascii="仿宋_GB2312" w:hAnsi="宋体" w:eastAsia="仿宋_GB2312"/>
          <w:color w:val="000000" w:themeColor="text1"/>
          <w14:textFill>
            <w14:solidFill>
              <w14:schemeClr w14:val="tx1"/>
            </w14:solidFill>
          </w14:textFill>
        </w:rPr>
        <w:t>供应商对比价文件如有疑问,应在首次响应文件递交截止时间前按比价文件</w:t>
      </w:r>
      <w:r>
        <w:rPr>
          <w:rFonts w:hint="eastAsia" w:ascii="仿宋_GB2312" w:hAnsi="宋体" w:eastAsia="仿宋_GB2312"/>
          <w:color w:val="000000" w:themeColor="text1"/>
          <w:spacing w:val="-3"/>
          <w14:textFill>
            <w14:solidFill>
              <w14:schemeClr w14:val="tx1"/>
            </w14:solidFill>
          </w14:textFill>
        </w:rPr>
        <w:t>中的联系方式，通知采购人。采购人将视情况采用适当方式予</w:t>
      </w:r>
      <w:r>
        <w:rPr>
          <w:rFonts w:hint="eastAsia" w:ascii="仿宋_GB2312" w:hAnsi="宋体" w:eastAsia="仿宋_GB2312"/>
          <w:color w:val="000000" w:themeColor="text1"/>
          <w14:textFill>
            <w14:solidFill>
              <w14:schemeClr w14:val="tx1"/>
            </w14:solidFill>
          </w14:textFill>
        </w:rPr>
        <w:t>以澄清或以书面形式予以答复。</w:t>
      </w:r>
      <w:r>
        <w:rPr>
          <w:rFonts w:hint="eastAsia" w:ascii="仿宋_GB2312" w:hAnsi="宋体" w:eastAsia="仿宋_GB2312"/>
          <w:color w:val="000000" w:themeColor="text1"/>
          <w:spacing w:val="-3"/>
          <w14:textFill>
            <w14:solidFill>
              <w14:schemeClr w14:val="tx1"/>
            </w14:solidFill>
          </w14:textFill>
        </w:rPr>
        <w:t>供应商在收到上述通知后，应立即向采购人回复确认。供</w:t>
      </w:r>
      <w:r>
        <w:rPr>
          <w:rFonts w:hint="eastAsia" w:ascii="仿宋_GB2312" w:hAnsi="宋体" w:eastAsia="仿宋_GB2312"/>
          <w:color w:val="000000" w:themeColor="text1"/>
          <w14:textFill>
            <w14:solidFill>
              <w14:schemeClr w14:val="tx1"/>
            </w14:solidFill>
          </w14:textFill>
        </w:rPr>
        <w:t>应商将被视为编制响应文件时已考虑了上述修改。</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7.4</w:t>
      </w:r>
      <w:r>
        <w:rPr>
          <w:rFonts w:hint="eastAsia" w:ascii="仿宋_GB2312" w:hAnsi="宋体" w:eastAsia="仿宋_GB2312"/>
          <w:color w:val="000000" w:themeColor="text1"/>
          <w14:textFill>
            <w14:solidFill>
              <w14:schemeClr w14:val="tx1"/>
            </w14:solidFill>
          </w14:textFill>
        </w:rPr>
        <w:t>对于比价文件的修改，如影响供应商响应文件编制的，</w:t>
      </w:r>
      <w:r>
        <w:rPr>
          <w:rFonts w:hint="eastAsia" w:ascii="仿宋_GB2312" w:hAnsi="宋体" w:eastAsia="仿宋_GB2312"/>
          <w:color w:val="000000" w:themeColor="text1"/>
          <w:spacing w:val="-3"/>
          <w14:textFill>
            <w14:solidFill>
              <w14:schemeClr w14:val="tx1"/>
            </w14:solidFill>
          </w14:textFill>
        </w:rPr>
        <w:t>采购人应推迟响应文件递交截止日期，并以书面或邮件形式通知所有已获取比价文件</w:t>
      </w:r>
      <w:r>
        <w:rPr>
          <w:rFonts w:hint="eastAsia" w:ascii="仿宋_GB2312" w:hAnsi="宋体" w:eastAsia="仿宋_GB2312"/>
          <w:color w:val="000000" w:themeColor="text1"/>
          <w14:textFill>
            <w14:solidFill>
              <w14:schemeClr w14:val="tx1"/>
            </w14:solidFill>
          </w14:textFill>
        </w:rPr>
        <w:t>的供应商。</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7.5</w:t>
      </w:r>
      <w:r>
        <w:rPr>
          <w:rFonts w:hint="eastAsia" w:ascii="仿宋_GB2312" w:hAnsi="宋体" w:eastAsia="仿宋_GB2312"/>
          <w:color w:val="000000" w:themeColor="text1"/>
          <w14:textFill>
            <w14:solidFill>
              <w14:schemeClr w14:val="tx1"/>
            </w14:solidFill>
          </w14:textFill>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8.比价响应预备会</w:t>
      </w:r>
    </w:p>
    <w:p>
      <w:pPr>
        <w:spacing w:line="360" w:lineRule="auto"/>
        <w:textAlignment w:val="baseline"/>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themeColor="text1"/>
          <w:sz w:val="24"/>
          <w:szCs w:val="24"/>
          <w14:textFill>
            <w14:solidFill>
              <w14:schemeClr w14:val="tx1"/>
            </w14:solidFill>
          </w14:textFill>
        </w:rPr>
      </w:pPr>
      <w:bookmarkStart w:id="49" w:name="_Toc287600121"/>
      <w:bookmarkStart w:id="50" w:name="_Toc27642"/>
      <w:bookmarkStart w:id="51" w:name="_Toc444891339"/>
      <w:bookmarkStart w:id="52" w:name="_Toc27563"/>
      <w:bookmarkStart w:id="53" w:name="_Toc19783316"/>
      <w:bookmarkStart w:id="54" w:name="_Toc517281819"/>
      <w:bookmarkStart w:id="55" w:name="_Toc31141"/>
      <w:bookmarkStart w:id="56" w:name="_Toc9709"/>
      <w:bookmarkStart w:id="57" w:name="_Toc16985"/>
      <w:bookmarkStart w:id="58" w:name="_Toc14308"/>
      <w:bookmarkStart w:id="59" w:name="_Toc13691"/>
      <w:r>
        <w:rPr>
          <w:rFonts w:hint="eastAsia" w:ascii="仿宋" w:hAnsi="仿宋" w:eastAsia="仿宋" w:cs="仿宋"/>
          <w:color w:val="000000" w:themeColor="text1"/>
          <w:sz w:val="24"/>
          <w:szCs w:val="24"/>
          <w14:textFill>
            <w14:solidFill>
              <w14:schemeClr w14:val="tx1"/>
            </w14:solidFill>
          </w14:textFill>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.响应文件的组成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.响应文件的编制</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w:t>
      </w:r>
      <w:bookmarkStart w:id="60" w:name="_Hlk173250545"/>
    </w:p>
    <w:bookmarkEnd w:id="60"/>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0.7</w:t>
      </w:r>
      <w:r>
        <w:rPr>
          <w:rFonts w:hint="eastAsia" w:ascii="仿宋" w:hAnsi="仿宋" w:eastAsia="仿宋" w:cs="仿宋"/>
          <w:color w:val="000000" w:themeColor="text1"/>
          <w14:textFill>
            <w14:solidFill>
              <w14:schemeClr w14:val="tx1"/>
            </w14:solidFill>
          </w14:textFill>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11.比价响应报价</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供应商须知前附表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.比价响应有效期</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.1 比价响应有效期从响应文件递交截止之日起算，具体时间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.响应文件的式样、密封和标记</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 xml:space="preserve">.1 供应商应当编制一份响应文件“正本”。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.2 每份纸质文件响应文件的封面上明确标明“正本”字样。具体要求</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61" w:name="_Toc19783317"/>
      <w:bookmarkStart w:id="62" w:name="_Toc4155"/>
      <w:bookmarkStart w:id="63" w:name="_Toc444891340"/>
      <w:bookmarkStart w:id="64" w:name="_Toc517281820"/>
      <w:bookmarkStart w:id="65" w:name="_Toc7129"/>
      <w:bookmarkStart w:id="66" w:name="_Toc287600122"/>
      <w:bookmarkStart w:id="67" w:name="_Toc21600"/>
      <w:bookmarkStart w:id="68" w:name="_Toc18673"/>
      <w:bookmarkStart w:id="69" w:name="_Toc14726"/>
      <w:bookmarkStart w:id="70" w:name="_Toc570"/>
      <w:bookmarkStart w:id="71" w:name="_Toc17865"/>
      <w:r>
        <w:rPr>
          <w:rFonts w:hint="eastAsia" w:ascii="仿宋" w:hAnsi="仿宋" w:eastAsia="仿宋" w:cs="仿宋"/>
          <w:color w:val="000000" w:themeColor="text1"/>
          <w:sz w:val="24"/>
          <w:szCs w:val="24"/>
          <w14:textFill>
            <w14:solidFill>
              <w14:schemeClr w14:val="tx1"/>
            </w14:solidFill>
          </w14:textFill>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themeColor="text1"/>
          <w:sz w:val="24"/>
          <w:szCs w:val="24"/>
          <w14:textFill>
            <w14:solidFill>
              <w14:schemeClr w14:val="tx1"/>
            </w14:solidFill>
          </w14:textFill>
        </w:rPr>
        <w:t>递交</w:t>
      </w:r>
      <w:bookmarkEnd w:id="70"/>
      <w:bookmarkEnd w:id="7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.响应文件的递交</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.1供应商应按</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规定的时间、方式递交响应文件。</w:t>
      </w:r>
    </w:p>
    <w:p>
      <w:pPr>
        <w:spacing w:line="360" w:lineRule="auto"/>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.2出现下列情形之一时，</w:t>
      </w:r>
      <w:r>
        <w:rPr>
          <w:rFonts w:hint="eastAsia" w:ascii="仿宋" w:hAnsi="仿宋" w:eastAsia="仿宋" w:cs="宋体"/>
          <w:b/>
          <w:bCs/>
          <w:color w:val="000000" w:themeColor="text1"/>
          <w14:textFill>
            <w14:solidFill>
              <w14:schemeClr w14:val="tx1"/>
            </w14:solidFill>
          </w14:textFill>
        </w:rPr>
        <w:t>响应文件不予接收或已经递交的响应文件无效；</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（1）纸质响应文件逾期递交或者未送达指定地点或者未按照比价文件要求封装的；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（2）未按比价公告或者响应公告书要求获得本项目比价文件的。</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.响应文件的修改、撤回和撤销</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.1</w:t>
      </w:r>
      <w:r>
        <w:rPr>
          <w:rFonts w:hint="eastAsia" w:ascii="仿宋" w:hAnsi="仿宋" w:eastAsia="仿宋" w:cs="宋体"/>
          <w:color w:val="000000" w:themeColor="text1"/>
          <w:spacing w:val="-4"/>
          <w14:textFill>
            <w14:solidFill>
              <w14:schemeClr w14:val="tx1"/>
            </w14:solidFill>
          </w14:textFill>
        </w:rPr>
        <w:t>在</w:t>
      </w:r>
      <w:r>
        <w:rPr>
          <w:rFonts w:hint="eastAsia" w:ascii="仿宋" w:hAnsi="仿宋" w:eastAsia="仿宋" w:cs="宋体"/>
          <w:color w:val="000000" w:themeColor="text1"/>
          <w14:textFill>
            <w14:solidFill>
              <w14:schemeClr w14:val="tx1"/>
            </w14:solidFill>
          </w14:textFill>
        </w:rPr>
        <w:t>比价文件</w:t>
      </w:r>
      <w:r>
        <w:rPr>
          <w:rFonts w:hint="eastAsia" w:ascii="仿宋" w:hAnsi="仿宋" w:eastAsia="仿宋" w:cs="宋体"/>
          <w:color w:val="000000" w:themeColor="text1"/>
          <w:spacing w:val="-4"/>
          <w14:textFill>
            <w14:solidFill>
              <w14:schemeClr w14:val="tx1"/>
            </w14:solidFill>
          </w14:textFill>
        </w:rPr>
        <w:t>规定的</w:t>
      </w:r>
      <w:r>
        <w:rPr>
          <w:rFonts w:hint="eastAsia" w:ascii="仿宋" w:hAnsi="仿宋" w:eastAsia="仿宋" w:cs="仿宋"/>
          <w:color w:val="000000" w:themeColor="text1"/>
          <w14:textFill>
            <w14:solidFill>
              <w14:schemeClr w14:val="tx1"/>
            </w14:solidFill>
          </w14:textFill>
        </w:rPr>
        <w:t>响应文件</w:t>
      </w:r>
      <w:r>
        <w:rPr>
          <w:rFonts w:hint="eastAsia" w:ascii="仿宋" w:hAnsi="仿宋" w:eastAsia="仿宋" w:cs="宋体"/>
          <w:color w:val="000000" w:themeColor="text1"/>
          <w:spacing w:val="-4"/>
          <w14:textFill>
            <w14:solidFill>
              <w14:schemeClr w14:val="tx1"/>
            </w14:solidFill>
          </w14:textFill>
        </w:rPr>
        <w:t>递交截止时间前，</w:t>
      </w:r>
      <w:r>
        <w:rPr>
          <w:rFonts w:hint="eastAsia" w:ascii="仿宋" w:hAnsi="仿宋" w:eastAsia="仿宋" w:cs="宋体"/>
          <w:color w:val="000000" w:themeColor="text1"/>
          <w14:textFill>
            <w14:solidFill>
              <w14:schemeClr w14:val="tx1"/>
            </w14:solidFill>
          </w14:textFill>
        </w:rPr>
        <w:t>可以补充、修改或撤回已提交的响应文件。</w:t>
      </w:r>
      <w:r>
        <w:rPr>
          <w:rFonts w:ascii="仿宋" w:hAnsi="仿宋" w:eastAsia="仿宋" w:cs="宋体"/>
          <w:color w:val="000000" w:themeColor="text1"/>
          <w14:textFill>
            <w14:solidFill>
              <w14:schemeClr w14:val="tx1"/>
            </w14:solidFill>
          </w14:textFill>
        </w:rPr>
        <w:t>补充、修改的内容为</w:t>
      </w:r>
      <w:r>
        <w:rPr>
          <w:rFonts w:hint="eastAsia" w:ascii="仿宋" w:hAnsi="仿宋" w:eastAsia="仿宋" w:cs="宋体"/>
          <w:color w:val="000000" w:themeColor="text1"/>
          <w14:textFill>
            <w14:solidFill>
              <w14:schemeClr w14:val="tx1"/>
            </w14:solidFill>
          </w14:textFill>
        </w:rPr>
        <w:t>响应</w:t>
      </w:r>
      <w:r>
        <w:rPr>
          <w:rFonts w:ascii="仿宋" w:hAnsi="仿宋" w:eastAsia="仿宋" w:cs="宋体"/>
          <w:color w:val="000000" w:themeColor="text1"/>
          <w14:textFill>
            <w14:solidFill>
              <w14:schemeClr w14:val="tx1"/>
            </w14:solidFill>
          </w14:textFill>
        </w:rPr>
        <w:t>文件的组成部分</w:t>
      </w:r>
      <w:r>
        <w:rPr>
          <w:rFonts w:hint="eastAsia" w:ascii="仿宋" w:hAnsi="仿宋" w:eastAsia="仿宋" w:cs="宋体"/>
          <w:color w:val="000000" w:themeColor="text1"/>
          <w14:textFill>
            <w14:solidFill>
              <w14:schemeClr w14:val="tx1"/>
            </w14:solidFill>
          </w14:textFill>
        </w:rPr>
        <w:t>，应当在响应文件递交截止时间前按照比价文件的规定进行递交。</w:t>
      </w:r>
    </w:p>
    <w:p>
      <w:pPr>
        <w:pStyle w:val="2"/>
        <w:spacing w:line="360" w:lineRule="auto"/>
        <w:rPr>
          <w:color w:val="000000" w:themeColor="text1"/>
          <w14:textFill>
            <w14:solidFill>
              <w14:schemeClr w14:val="tx1"/>
            </w14:solidFill>
          </w14:textFill>
        </w:rPr>
      </w:pPr>
      <w:bookmarkStart w:id="72" w:name="_Toc246996202"/>
      <w:bookmarkStart w:id="73" w:name="_Toc152042334"/>
      <w:bookmarkStart w:id="74" w:name="_Toc332188194"/>
      <w:bookmarkStart w:id="75" w:name="_Toc152045558"/>
      <w:bookmarkStart w:id="76" w:name="_Toc144974526"/>
      <w:bookmarkStart w:id="77" w:name="_Toc246996945"/>
      <w:bookmarkStart w:id="78" w:name="_Toc334766948"/>
      <w:bookmarkStart w:id="79" w:name="_Toc326223561"/>
      <w:bookmarkStart w:id="80" w:name="_Toc179632576"/>
      <w:bookmarkStart w:id="81" w:name="_Toc247085716"/>
      <w:r>
        <w:rPr>
          <w:rFonts w:ascii="仿宋" w:hAnsi="仿宋" w:eastAsia="仿宋" w:cs="仿宋"/>
          <w:color w:val="000000" w:themeColor="text1"/>
          <w14:textFill>
            <w14:solidFill>
              <w14:schemeClr w14:val="tx1"/>
            </w14:solidFill>
          </w14:textFill>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82" w:name="_Toc287600123"/>
      <w:bookmarkStart w:id="83" w:name="_Toc2636"/>
      <w:bookmarkStart w:id="84" w:name="_Toc517281821"/>
      <w:bookmarkStart w:id="85" w:name="_Toc5321"/>
      <w:bookmarkStart w:id="86" w:name="_Toc30466"/>
      <w:bookmarkStart w:id="87" w:name="_Toc11361"/>
      <w:bookmarkStart w:id="88" w:name="_Toc444891341"/>
      <w:bookmarkStart w:id="89" w:name="_Toc12797"/>
      <w:bookmarkStart w:id="90" w:name="_Toc2055"/>
      <w:bookmarkStart w:id="91" w:name="_Toc20741"/>
      <w:r>
        <w:rPr>
          <w:rFonts w:hint="eastAsia" w:ascii="仿宋" w:hAnsi="仿宋" w:eastAsia="仿宋" w:cs="仿宋"/>
          <w:color w:val="000000" w:themeColor="text1"/>
          <w:sz w:val="24"/>
          <w:szCs w:val="24"/>
          <w14:textFill>
            <w14:solidFill>
              <w14:schemeClr w14:val="tx1"/>
            </w14:solidFill>
          </w14:textFill>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2" w:name="_Toc234223229"/>
      <w:bookmarkStart w:id="93" w:name="_Toc234223227"/>
      <w:r>
        <w:rPr>
          <w:rFonts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14:textFill>
            <w14:solidFill>
              <w14:schemeClr w14:val="tx1"/>
            </w14:solidFill>
          </w14:textFill>
        </w:rPr>
        <w:t>.组建</w:t>
      </w:r>
      <w:bookmarkEnd w:id="92"/>
      <w:r>
        <w:rPr>
          <w:rFonts w:hint="eastAsia" w:ascii="仿宋" w:hAnsi="仿宋" w:eastAsia="仿宋" w:cs="仿宋"/>
          <w:color w:val="000000" w:themeColor="text1"/>
          <w:sz w:val="24"/>
          <w:szCs w:val="24"/>
          <w14:textFill>
            <w14:solidFill>
              <w14:schemeClr w14:val="tx1"/>
            </w14:solidFill>
          </w14:textFill>
        </w:rPr>
        <w:t>比价小组</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6.1</w:t>
      </w:r>
      <w:r>
        <w:rPr>
          <w:rFonts w:hint="eastAsia" w:ascii="仿宋" w:hAnsi="仿宋" w:eastAsia="仿宋" w:cs="宋体"/>
          <w:color w:val="000000" w:themeColor="text1"/>
          <w14:textFill>
            <w14:solidFill>
              <w14:schemeClr w14:val="tx1"/>
            </w14:solidFill>
          </w14:textFill>
        </w:rPr>
        <w:t>采购人依照企业采购管理制度的相关规定组建比价小组，具体人数</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，比价小组成员名单在成交结果确定前保密。</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6.2</w:t>
      </w:r>
      <w:r>
        <w:rPr>
          <w:rFonts w:hint="eastAsia" w:ascii="仿宋" w:hAnsi="仿宋" w:eastAsia="仿宋" w:cs="宋体"/>
          <w:color w:val="000000" w:themeColor="text1"/>
          <w14:textFill>
            <w14:solidFill>
              <w14:schemeClr w14:val="tx1"/>
            </w14:solidFill>
          </w14:textFill>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4" w:name="_Toc234223228"/>
      <w:r>
        <w:rPr>
          <w:rFonts w:ascii="仿宋" w:hAnsi="仿宋" w:eastAsia="仿宋" w:cs="仿宋"/>
          <w:color w:val="000000" w:themeColor="text1"/>
          <w:sz w:val="24"/>
          <w:szCs w:val="24"/>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.初步评审</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7.1</w:t>
      </w:r>
      <w:r>
        <w:rPr>
          <w:rFonts w:hint="eastAsia" w:ascii="仿宋" w:hAnsi="仿宋" w:eastAsia="仿宋" w:cs="宋体"/>
          <w:color w:val="000000" w:themeColor="text1"/>
          <w14:textFill>
            <w14:solidFill>
              <w14:schemeClr w14:val="tx1"/>
            </w14:solidFill>
          </w14:textFill>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7.2</w:t>
      </w:r>
      <w:r>
        <w:rPr>
          <w:rFonts w:hint="eastAsia" w:ascii="仿宋" w:hAnsi="仿宋" w:eastAsia="仿宋" w:cs="宋体"/>
          <w:color w:val="000000" w:themeColor="text1"/>
          <w14:textFill>
            <w14:solidFill>
              <w14:schemeClr w14:val="tx1"/>
            </w14:solidFill>
          </w14:textFill>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7.3</w:t>
      </w:r>
      <w:r>
        <w:rPr>
          <w:rFonts w:hint="eastAsia" w:ascii="仿宋" w:hAnsi="仿宋" w:eastAsia="仿宋" w:cs="宋体"/>
          <w:color w:val="000000" w:themeColor="text1"/>
          <w14:textFill>
            <w14:solidFill>
              <w14:schemeClr w14:val="tx1"/>
            </w14:solidFill>
          </w14:textFill>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topLinePunct/>
        <w:spacing w:line="360" w:lineRule="auto"/>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7.4</w:t>
      </w:r>
      <w:r>
        <w:rPr>
          <w:rFonts w:hint="eastAsia" w:ascii="仿宋" w:hAnsi="仿宋" w:eastAsia="仿宋" w:cs="宋体"/>
          <w:color w:val="000000" w:themeColor="text1"/>
          <w14:textFill>
            <w14:solidFill>
              <w14:schemeClr w14:val="tx1"/>
            </w14:solidFill>
          </w14:textFill>
        </w:rPr>
        <w:t>比价小组必要时可以要求供应商提交有关证明和证件的原件，以便核验。拒不按要求提供原件的供应商，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比价程序</w:t>
      </w:r>
    </w:p>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18</w:t>
      </w:r>
      <w:r>
        <w:rPr>
          <w:rFonts w:hint="eastAsia" w:ascii="仿宋" w:hAnsi="仿宋" w:eastAsia="仿宋" w:cs="仿宋"/>
          <w:color w:val="000000" w:themeColor="text1"/>
          <w14:textFill>
            <w14:solidFill>
              <w14:schemeClr w14:val="tx1"/>
            </w14:solidFill>
          </w14:textFill>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themeColor="text1"/>
          <w:u w:val="single"/>
          <w14:textFill>
            <w14:solidFill>
              <w14:schemeClr w14:val="tx1"/>
            </w14:solidFill>
          </w14:textFill>
        </w:rPr>
        <w:t>详见本须知前附表。</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18.2</w:t>
      </w:r>
      <w:r>
        <w:rPr>
          <w:rFonts w:hint="eastAsia" w:ascii="仿宋" w:hAnsi="仿宋" w:eastAsia="仿宋" w:cs="仿宋"/>
          <w:color w:val="000000" w:themeColor="text1"/>
          <w14:textFill>
            <w14:solidFill>
              <w14:schemeClr w14:val="tx1"/>
            </w14:solidFill>
          </w14:textFill>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8.3</w:t>
      </w:r>
      <w:r>
        <w:rPr>
          <w:rFonts w:hint="eastAsia" w:ascii="仿宋_GB2312" w:hAnsi="宋体" w:eastAsia="仿宋_GB2312"/>
          <w:color w:val="000000" w:themeColor="text1"/>
          <w14:textFill>
            <w14:solidFill>
              <w14:schemeClr w14:val="tx1"/>
            </w14:solidFill>
          </w14:textFill>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18.3</w:t>
      </w:r>
      <w:r>
        <w:rPr>
          <w:rFonts w:hint="eastAsia" w:ascii="仿宋" w:hAnsi="仿宋" w:eastAsia="仿宋" w:cs="仿宋"/>
          <w:color w:val="000000" w:themeColor="text1"/>
          <w14:textFill>
            <w14:solidFill>
              <w14:schemeClr w14:val="tx1"/>
            </w14:solidFill>
          </w14:textFill>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w:t>
      </w:r>
      <w:r>
        <w:rPr>
          <w:rFonts w:hint="eastAsia" w:ascii="仿宋" w:hAnsi="仿宋" w:eastAsia="仿宋" w:cs="仿宋"/>
          <w:color w:val="000000" w:themeColor="text1"/>
          <w14:textFill>
            <w14:solidFill>
              <w14:schemeClr w14:val="tx1"/>
            </w14:solidFill>
          </w14:textFill>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themeColor="text1"/>
          <w14:textFill>
            <w14:solidFill>
              <w14:schemeClr w14:val="tx1"/>
            </w14:solidFill>
          </w14:textFill>
        </w:rPr>
        <w:t>应当否决其响应</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（1）大写金额与小写金额不一致的，以大写金额为准；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.详细评审</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19.2</w:t>
      </w:r>
      <w:r>
        <w:rPr>
          <w:rFonts w:hint="eastAsia" w:ascii="仿宋" w:hAnsi="仿宋" w:eastAsia="仿宋" w:cs="仿宋"/>
          <w:color w:val="000000" w:themeColor="text1"/>
          <w14:textFill>
            <w14:solidFill>
              <w14:schemeClr w14:val="tx1"/>
            </w14:solidFill>
          </w14:textFill>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19.3</w:t>
      </w:r>
      <w:r>
        <w:rPr>
          <w:rFonts w:hint="eastAsia" w:ascii="仿宋" w:hAnsi="仿宋" w:eastAsia="仿宋" w:cs="仿宋"/>
          <w:color w:val="000000" w:themeColor="text1"/>
          <w14:textFill>
            <w14:solidFill>
              <w14:schemeClr w14:val="tx1"/>
            </w14:solidFill>
          </w14:textFill>
        </w:rPr>
        <w:t>最后报价是供应商响应文件的有效组成部分。</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19.4</w:t>
      </w:r>
      <w:r>
        <w:rPr>
          <w:rFonts w:hint="eastAsia" w:ascii="仿宋" w:hAnsi="仿宋" w:eastAsia="仿宋" w:cs="仿宋"/>
          <w:color w:val="000000" w:themeColor="text1"/>
          <w14:textFill>
            <w14:solidFill>
              <w14:schemeClr w14:val="tx1"/>
            </w14:solidFill>
          </w14:textFill>
        </w:rPr>
        <w:t>发生以下情形之一的，原则上做终止采购处理：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（1）出现影响采购公正的违法、违规行为的；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（2）成交候选人报价超过预算金额，采购需求方无法解决的；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（3）成交人为</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家的项目，有效供应商少于2家（不含本数）；成交人为N家（N＞1）的项目，有效供应商少于N+</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家（不含本数）；</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（4）因重大变故，采购任务取消。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．特别声明</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20.1供应商</w:t>
      </w:r>
      <w:r>
        <w:rPr>
          <w:rFonts w:hint="eastAsia" w:ascii="仿宋_GB2312" w:hAnsi="宋体" w:eastAsia="仿宋_GB2312"/>
          <w:color w:val="000000" w:themeColor="text1"/>
          <w14:textFill>
            <w14:solidFill>
              <w14:schemeClr w14:val="tx1"/>
            </w14:solidFill>
          </w14:textFill>
        </w:rPr>
        <w:t>提供虚假材料或文件的，自动丧失参加资格。</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20.2供应商</w:t>
      </w:r>
      <w:r>
        <w:rPr>
          <w:rFonts w:hint="eastAsia" w:ascii="仿宋_GB2312" w:hAnsi="宋体" w:eastAsia="仿宋_GB2312"/>
          <w:color w:val="000000" w:themeColor="text1"/>
          <w14:textFill>
            <w14:solidFill>
              <w14:schemeClr w14:val="tx1"/>
            </w14:solidFill>
          </w14:textFill>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20.3</w:t>
      </w:r>
      <w:r>
        <w:rPr>
          <w:rFonts w:hint="eastAsia" w:ascii="仿宋_GB2312" w:hAnsi="宋体" w:eastAsia="仿宋_GB2312"/>
          <w:color w:val="000000" w:themeColor="text1"/>
          <w14:textFill>
            <w14:solidFill>
              <w14:schemeClr w14:val="tx1"/>
            </w14:solidFill>
          </w14:textFill>
        </w:rPr>
        <w:t>供应商不应将本次采购理解为政府采购与招标。</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20.4供应商</w:t>
      </w:r>
      <w:r>
        <w:rPr>
          <w:rFonts w:hint="eastAsia" w:ascii="仿宋_GB2312" w:hAnsi="宋体" w:eastAsia="仿宋_GB2312"/>
          <w:color w:val="000000" w:themeColor="text1"/>
          <w14:textFill>
            <w14:solidFill>
              <w14:schemeClr w14:val="tx1"/>
            </w14:solidFill>
          </w14:textFill>
        </w:rPr>
        <w:t>没有按规定时间和内容提供材料的，视为放弃。</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20.5</w:t>
      </w:r>
      <w:r>
        <w:rPr>
          <w:rFonts w:hint="eastAsia" w:ascii="仿宋_GB2312" w:hAnsi="宋体" w:eastAsia="仿宋_GB2312"/>
          <w:color w:val="000000" w:themeColor="text1"/>
          <w14:textFill>
            <w14:solidFill>
              <w14:schemeClr w14:val="tx1"/>
            </w14:solidFill>
          </w14:textFill>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．确定成交供应商</w:t>
      </w:r>
    </w:p>
    <w:p>
      <w:pPr>
        <w:pStyle w:val="2"/>
        <w:snapToGrid w:val="0"/>
        <w:spacing w:after="0" w:line="360" w:lineRule="auto"/>
        <w:ind w:right="-57" w:firstLine="480" w:firstLineChars="20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bookmarkStart w:id="95" w:name="_Toc28031"/>
      <w:bookmarkStart w:id="96" w:name="_Toc287600124"/>
      <w:bookmarkStart w:id="97" w:name="_Toc444891342"/>
      <w:bookmarkStart w:id="98" w:name="_Toc9911"/>
      <w:bookmarkStart w:id="99" w:name="_Toc13936"/>
      <w:bookmarkStart w:id="100" w:name="_Toc517281822"/>
      <w:bookmarkStart w:id="101" w:name="_Toc234223231"/>
      <w:bookmarkStart w:id="102" w:name="_Toc16781"/>
      <w:bookmarkStart w:id="103" w:name="_Toc2322"/>
      <w:bookmarkStart w:id="104" w:name="_Toc19451"/>
      <w:r>
        <w:rPr>
          <w:rFonts w:hint="eastAsia" w:ascii="仿宋_GB2312" w:hAnsi="宋体" w:eastAsia="仿宋_GB2312"/>
          <w:color w:val="000000" w:themeColor="text1"/>
          <w14:textFill>
            <w14:solidFill>
              <w14:schemeClr w14:val="tx1"/>
            </w14:solidFill>
          </w14:textFill>
        </w:rPr>
        <w:t>（1）成交候选供应商存在违法、违纪行为的；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4</w:t>
      </w:r>
      <w:r>
        <w:rPr>
          <w:rFonts w:hint="eastAsia" w:ascii="仿宋_GB2312" w:hAnsi="宋体" w:eastAsia="仿宋_GB2312"/>
          <w:color w:val="000000" w:themeColor="text1"/>
          <w14:textFill>
            <w14:solidFill>
              <w14:schemeClr w14:val="tx1"/>
            </w14:solidFill>
          </w14:textFill>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5</w:t>
      </w:r>
      <w:r>
        <w:rPr>
          <w:rFonts w:hint="eastAsia" w:ascii="仿宋_GB2312" w:hAnsi="宋体" w:eastAsia="仿宋_GB2312"/>
          <w:color w:val="000000" w:themeColor="text1"/>
          <w14:textFill>
            <w14:solidFill>
              <w14:schemeClr w14:val="tx1"/>
            </w14:solidFill>
          </w14:textFill>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6</w:t>
      </w:r>
      <w:r>
        <w:rPr>
          <w:rFonts w:hint="eastAsia" w:ascii="仿宋_GB2312" w:hAnsi="宋体" w:eastAsia="仿宋_GB2312"/>
          <w:color w:val="000000" w:themeColor="text1"/>
          <w14:textFill>
            <w14:solidFill>
              <w14:schemeClr w14:val="tx1"/>
            </w14:solidFill>
          </w14:textFill>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7</w:t>
      </w:r>
      <w:r>
        <w:rPr>
          <w:rFonts w:hint="eastAsia" w:ascii="仿宋_GB2312" w:hAnsi="宋体" w:eastAsia="仿宋_GB2312"/>
          <w:color w:val="000000" w:themeColor="text1"/>
          <w14:textFill>
            <w14:solidFill>
              <w14:schemeClr w14:val="tx1"/>
            </w14:solidFill>
          </w14:textFill>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8</w:t>
      </w:r>
      <w:r>
        <w:rPr>
          <w:rFonts w:hint="eastAsia" w:ascii="仿宋_GB2312" w:hAnsi="宋体" w:eastAsia="仿宋_GB2312"/>
          <w:color w:val="000000" w:themeColor="text1"/>
          <w14:textFill>
            <w14:solidFill>
              <w14:schemeClr w14:val="tx1"/>
            </w14:solidFill>
          </w14:textFill>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9</w:t>
      </w:r>
      <w:r>
        <w:rPr>
          <w:rFonts w:hint="eastAsia" w:ascii="仿宋_GB2312" w:hAnsi="宋体" w:eastAsia="仿宋_GB2312"/>
          <w:color w:val="000000" w:themeColor="text1"/>
          <w14:textFill>
            <w14:solidFill>
              <w14:schemeClr w14:val="tx1"/>
            </w14:solidFill>
          </w14:textFill>
        </w:rPr>
        <w:t>）</w:t>
      </w:r>
      <w:r>
        <w:rPr>
          <w:rFonts w:hint="eastAsia" w:ascii="仿宋" w:hAnsi="仿宋" w:eastAsia="仿宋" w:cs="仿宋"/>
          <w:color w:val="000000" w:themeColor="text1"/>
          <w:lang w:bidi="ar"/>
          <w14:textFill>
            <w14:solidFill>
              <w14:schemeClr w14:val="tx1"/>
            </w14:solidFill>
          </w14:textFill>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（1</w:t>
      </w:r>
      <w:r>
        <w:rPr>
          <w:rFonts w:ascii="仿宋" w:hAnsi="仿宋" w:eastAsia="仿宋" w:cs="仿宋"/>
          <w:color w:val="000000" w:themeColor="text1"/>
          <w:lang w:bidi="ar"/>
          <w14:textFill>
            <w14:solidFill>
              <w14:schemeClr w14:val="tx1"/>
            </w14:solidFill>
          </w14:textFill>
        </w:rPr>
        <w:t>0</w:t>
      </w:r>
      <w:r>
        <w:rPr>
          <w:rFonts w:hint="eastAsia" w:ascii="仿宋" w:hAnsi="仿宋" w:eastAsia="仿宋" w:cs="仿宋"/>
          <w:color w:val="000000" w:themeColor="text1"/>
          <w:lang w:bidi="ar"/>
          <w14:textFill>
            <w14:solidFill>
              <w14:schemeClr w14:val="tx1"/>
            </w14:solidFill>
          </w14:textFill>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11</w:t>
      </w:r>
      <w:r>
        <w:rPr>
          <w:rFonts w:hint="eastAsia" w:ascii="仿宋_GB2312" w:hAnsi="宋体" w:eastAsia="仿宋_GB2312"/>
          <w:color w:val="000000" w:themeColor="text1"/>
          <w14:textFill>
            <w14:solidFill>
              <w14:schemeClr w14:val="tx1"/>
            </w14:solidFill>
          </w14:textFill>
        </w:rPr>
        <w:t>）其他不应确定成交供应商的情形。</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105" w:name="_Toc12069"/>
      <w:r>
        <w:rPr>
          <w:rFonts w:hint="eastAsia" w:ascii="仿宋" w:hAnsi="仿宋" w:eastAsia="仿宋" w:cs="仿宋"/>
          <w:color w:val="000000" w:themeColor="text1"/>
          <w:sz w:val="24"/>
          <w:szCs w:val="24"/>
          <w14:textFill>
            <w14:solidFill>
              <w14:schemeClr w14:val="tx1"/>
            </w14:solidFill>
          </w14:textFill>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06" w:name="_Toc234223232"/>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确定</w:t>
      </w:r>
      <w:bookmarkEnd w:id="106"/>
      <w:r>
        <w:rPr>
          <w:rFonts w:hint="eastAsia" w:ascii="仿宋" w:hAnsi="仿宋" w:eastAsia="仿宋" w:cs="仿宋"/>
          <w:color w:val="000000" w:themeColor="text1"/>
          <w:sz w:val="24"/>
          <w:szCs w:val="24"/>
          <w14:textFill>
            <w14:solidFill>
              <w14:schemeClr w14:val="tx1"/>
            </w14:solidFill>
          </w14:textFill>
        </w:rPr>
        <w:t>成交人</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22.1</w:t>
      </w:r>
      <w:r>
        <w:rPr>
          <w:rFonts w:hint="eastAsia" w:ascii="仿宋" w:hAnsi="仿宋" w:eastAsia="仿宋" w:cs="仿宋"/>
          <w:color w:val="000000" w:themeColor="text1"/>
          <w14:textFill>
            <w14:solidFill>
              <w14:schemeClr w14:val="tx1"/>
            </w14:solidFill>
          </w14:textFill>
        </w:rPr>
        <w:t>采购人依据比价小组推荐的成交候选人名单确定成交人，成交人数量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22.</w:t>
      </w:r>
      <w:r>
        <w:rPr>
          <w:rFonts w:hint="eastAsia" w:ascii="仿宋" w:hAnsi="仿宋" w:eastAsia="仿宋" w:cs="宋体"/>
          <w:color w:val="000000" w:themeColor="text1"/>
          <w14:textFill>
            <w14:solidFill>
              <w14:schemeClr w14:val="tx1"/>
            </w14:solidFill>
          </w14:textFill>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签订合同</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3.1</w:t>
      </w:r>
      <w:r>
        <w:rPr>
          <w:rFonts w:hint="eastAsia" w:ascii="仿宋" w:hAnsi="仿宋" w:eastAsia="仿宋" w:cs="仿宋"/>
          <w:color w:val="000000" w:themeColor="text1"/>
          <w14:textFill>
            <w14:solidFill>
              <w14:schemeClr w14:val="tx1"/>
            </w14:solidFill>
          </w14:textFill>
        </w:rPr>
        <w:t>采购人与成交人按照比价文件和成交人的响应文件</w:t>
      </w:r>
      <w:r>
        <w:rPr>
          <w:rFonts w:hint="eastAsia" w:ascii="仿宋" w:hAnsi="仿宋" w:eastAsia="仿宋" w:cs="宋体"/>
          <w:color w:val="000000" w:themeColor="text1"/>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14:textFill>
            <w14:solidFill>
              <w14:schemeClr w14:val="tx1"/>
            </w14:solidFill>
          </w14:textFill>
        </w:rPr>
        <w:t>比价</w:t>
      </w:r>
      <w:r>
        <w:rPr>
          <w:rFonts w:hint="eastAsia" w:ascii="仿宋" w:hAnsi="仿宋" w:eastAsia="仿宋" w:cs="宋体"/>
          <w:color w:val="000000" w:themeColor="text1"/>
          <w14:textFill>
            <w14:solidFill>
              <w14:schemeClr w14:val="tx1"/>
            </w14:solidFill>
          </w14:textFill>
        </w:rPr>
        <w:t>文件和</w:t>
      </w:r>
      <w:r>
        <w:rPr>
          <w:rFonts w:hint="eastAsia" w:ascii="仿宋" w:hAnsi="仿宋" w:eastAsia="仿宋" w:cs="仿宋"/>
          <w:color w:val="000000" w:themeColor="text1"/>
          <w14:textFill>
            <w14:solidFill>
              <w14:schemeClr w14:val="tx1"/>
            </w14:solidFill>
          </w14:textFill>
        </w:rPr>
        <w:t>成交</w:t>
      </w:r>
      <w:r>
        <w:rPr>
          <w:rFonts w:hint="eastAsia" w:ascii="仿宋" w:hAnsi="仿宋" w:eastAsia="仿宋" w:cs="宋体"/>
          <w:color w:val="000000" w:themeColor="text1"/>
          <w14:textFill>
            <w14:solidFill>
              <w14:schemeClr w14:val="tx1"/>
            </w14:solidFill>
          </w14:textFill>
        </w:rPr>
        <w:t>人的</w:t>
      </w:r>
      <w:r>
        <w:rPr>
          <w:rFonts w:hint="eastAsia" w:ascii="仿宋" w:hAnsi="仿宋" w:eastAsia="仿宋" w:cs="仿宋"/>
          <w:color w:val="000000" w:themeColor="text1"/>
          <w14:textFill>
            <w14:solidFill>
              <w14:schemeClr w14:val="tx1"/>
            </w14:solidFill>
          </w14:textFill>
        </w:rPr>
        <w:t>响应</w:t>
      </w:r>
      <w:r>
        <w:rPr>
          <w:rFonts w:hint="eastAsia" w:ascii="仿宋" w:hAnsi="仿宋" w:eastAsia="仿宋" w:cs="宋体"/>
          <w:color w:val="000000" w:themeColor="text1"/>
          <w14:textFill>
            <w14:solidFill>
              <w14:schemeClr w14:val="tx1"/>
            </w14:solidFill>
          </w14:textFill>
        </w:rPr>
        <w:t>文件的内容一致。</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23.3</w:t>
      </w:r>
      <w:r>
        <w:rPr>
          <w:rFonts w:hint="eastAsia" w:ascii="仿宋" w:hAnsi="仿宋" w:eastAsia="仿宋" w:cs="宋体"/>
          <w:color w:val="000000" w:themeColor="text1"/>
          <w14:textFill>
            <w14:solidFill>
              <w14:schemeClr w14:val="tx1"/>
            </w14:solidFill>
          </w14:textFill>
        </w:rPr>
        <w:t>比价文件要求成交人提交履约保证金的，成交人应当按照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要求的金额和方式递交。成交人如不按要求提交履约保证金，将取消其成交资格。</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.4成交供应商</w:t>
      </w:r>
      <w:r>
        <w:rPr>
          <w:rFonts w:ascii="仿宋" w:hAnsi="仿宋" w:eastAsia="仿宋" w:cs="宋体"/>
          <w:color w:val="000000" w:themeColor="text1"/>
          <w14:textFill>
            <w14:solidFill>
              <w14:schemeClr w14:val="tx1"/>
            </w14:solidFill>
          </w14:textFill>
        </w:rPr>
        <w:t>不履行与</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人订立的合同的，</w:t>
      </w:r>
      <w:r>
        <w:rPr>
          <w:rFonts w:hint="eastAsia" w:ascii="仿宋" w:hAnsi="仿宋" w:eastAsia="仿宋" w:cs="宋体"/>
          <w:color w:val="000000" w:themeColor="text1"/>
          <w14:textFill>
            <w14:solidFill>
              <w14:schemeClr w14:val="tx1"/>
            </w14:solidFill>
          </w14:textFill>
        </w:rPr>
        <w:t>履约</w:t>
      </w:r>
      <w:r>
        <w:rPr>
          <w:rFonts w:ascii="仿宋" w:hAnsi="仿宋" w:eastAsia="仿宋" w:cs="宋体"/>
          <w:color w:val="000000" w:themeColor="text1"/>
          <w14:textFill>
            <w14:solidFill>
              <w14:schemeClr w14:val="tx1"/>
            </w14:solidFill>
          </w14:textFill>
        </w:rPr>
        <w:t>保证金不予退还，给</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人的损失承担赔偿责任。</w:t>
      </w: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07" w:name="_Toc20643"/>
      <w:bookmarkStart w:id="108" w:name="_Toc10670"/>
      <w:bookmarkStart w:id="109" w:name="_Toc8109"/>
      <w:r>
        <w:rPr>
          <w:rFonts w:hint="eastAsia" w:ascii="仿宋" w:hAnsi="仿宋" w:eastAsia="仿宋" w:cs="仿宋"/>
          <w:color w:val="000000" w:themeColor="text1"/>
          <w:sz w:val="28"/>
          <w:szCs w:val="28"/>
          <w14:textFill>
            <w14:solidFill>
              <w14:schemeClr w14:val="tx1"/>
            </w14:solidFill>
          </w14:textFill>
        </w:rPr>
        <w:t>第三章 评审办法</w:t>
      </w:r>
      <w:bookmarkEnd w:id="107"/>
      <w:bookmarkEnd w:id="108"/>
    </w:p>
    <w:p>
      <w:pPr>
        <w:pStyle w:val="4"/>
        <w:jc w:val="left"/>
        <w:rPr>
          <w:rFonts w:ascii="仿宋" w:hAnsi="仿宋" w:eastAsia="仿宋" w:cs="仿宋"/>
          <w:color w:val="000000" w:themeColor="text1"/>
          <w:sz w:val="24"/>
          <w:szCs w:val="24"/>
          <w14:textFill>
            <w14:solidFill>
              <w14:schemeClr w14:val="tx1"/>
            </w14:solidFill>
          </w14:textFill>
        </w:rPr>
      </w:pPr>
      <w:bookmarkStart w:id="110" w:name="_Toc7201"/>
      <w:bookmarkStart w:id="111" w:name="_Toc517281825"/>
      <w:bookmarkStart w:id="112" w:name="_Toc444891344"/>
      <w:bookmarkStart w:id="113" w:name="_Toc9827"/>
      <w:bookmarkStart w:id="114" w:name="_Toc227057964"/>
      <w:bookmarkStart w:id="115" w:name="_Toc226969358"/>
      <w:r>
        <w:rPr>
          <w:rFonts w:hint="eastAsia" w:ascii="仿宋" w:hAnsi="仿宋" w:eastAsia="仿宋" w:cs="仿宋"/>
          <w:color w:val="000000" w:themeColor="text1"/>
          <w:sz w:val="24"/>
          <w:szCs w:val="24"/>
          <w14:textFill>
            <w14:solidFill>
              <w14:schemeClr w14:val="tx1"/>
            </w14:solidFill>
          </w14:textFill>
        </w:rPr>
        <w:t>一、评审程序</w:t>
      </w:r>
      <w:bookmarkEnd w:id="110"/>
      <w:bookmarkEnd w:id="111"/>
      <w:bookmarkEnd w:id="112"/>
      <w:bookmarkEnd w:id="113"/>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比价小组对响应文件中的相关内容进行评审。评审按照以下程序进行：</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1.熟悉比价文件；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3.供应商有以下情形之一的，比价小组应当否决其比价响应：</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color w:val="000000" w:themeColor="text1"/>
          <w:lang w:val="en-US" w:eastAsia="zh-CN"/>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）响应文件未经供应商盖章和单位负责人签字；</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color w:val="000000" w:themeColor="text1"/>
          <w:lang w:val="en-US" w:eastAsia="zh-CN"/>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）允许联合体响应的，联合体没有递交共同响应协议；</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color w:val="000000" w:themeColor="text1"/>
          <w:lang w:val="en-US" w:eastAsia="zh-CN"/>
          <w14:textFill>
            <w14:solidFill>
              <w14:schemeClr w14:val="tx1"/>
            </w14:solidFill>
          </w14:textFill>
        </w:rPr>
        <w:t>3</w:t>
      </w:r>
      <w:r>
        <w:rPr>
          <w:rFonts w:hint="eastAsia" w:ascii="仿宋" w:hAnsi="仿宋" w:eastAsia="仿宋" w:cs="仿宋"/>
          <w:color w:val="000000" w:themeColor="text1"/>
          <w14:textFill>
            <w14:solidFill>
              <w14:schemeClr w14:val="tx1"/>
            </w14:solidFill>
          </w14:textFill>
        </w:rPr>
        <w:t>）不符合国家或者比价文件规定的资格条件；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color w:val="000000" w:themeColor="text1"/>
          <w:lang w:val="en-US" w:eastAsia="zh-CN"/>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color w:val="000000" w:themeColor="text1"/>
          <w:lang w:val="en-US" w:eastAsia="zh-CN"/>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最终报价低于成本或者高于比价文件设定的最高投标限价；</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）响应文件未对比价文件的实质性要求和条件作出响应； </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7</w:t>
      </w:r>
      <w:r>
        <w:rPr>
          <w:rFonts w:hint="eastAsia" w:ascii="仿宋" w:hAnsi="仿宋" w:eastAsia="仿宋" w:cs="宋体"/>
          <w:color w:val="000000" w:themeColor="text1"/>
          <w14:textFill>
            <w14:solidFill>
              <w14:schemeClr w14:val="tx1"/>
            </w14:solidFill>
          </w14:textFill>
        </w:rPr>
        <w:t>）供应商有串通投标、弄虚作假、行贿等违法行为；</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8</w:t>
      </w:r>
      <w:r>
        <w:rPr>
          <w:rFonts w:hint="eastAsia" w:ascii="仿宋" w:hAnsi="仿宋" w:eastAsia="仿宋" w:cs="宋体"/>
          <w:color w:val="000000" w:themeColor="text1"/>
          <w14:textFill>
            <w14:solidFill>
              <w14:schemeClr w14:val="tx1"/>
            </w14:solidFill>
          </w14:textFill>
        </w:rPr>
        <w:t>）不接受或不确认因算术性错误进行的价格修正；</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9</w:t>
      </w:r>
      <w:r>
        <w:rPr>
          <w:rFonts w:hint="eastAsia" w:ascii="仿宋" w:hAnsi="仿宋" w:eastAsia="仿宋" w:cs="宋体"/>
          <w:color w:val="000000" w:themeColor="text1"/>
          <w14:textFill>
            <w14:solidFill>
              <w14:schemeClr w14:val="tx1"/>
            </w14:solidFill>
          </w14:textFill>
        </w:rPr>
        <w:t>）响应文件附有采购人不能接受的条件；</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）不符合比价文件中规定的其他实质性要求。</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4.初步评审</w:t>
      </w:r>
      <w:r>
        <w:rPr>
          <w:rFonts w:hint="eastAsia" w:ascii="仿宋" w:hAnsi="仿宋" w:eastAsia="仿宋" w:cs="仿宋"/>
          <w:color w:val="000000" w:themeColor="text1"/>
          <w:lang w:val="zh-CN"/>
          <w14:textFill>
            <w14:solidFill>
              <w14:schemeClr w14:val="tx1"/>
            </w14:solidFill>
          </w14:textFill>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5.通过初步评审的供应商分别进行比价；</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6.通过初步评审的供应商进行最终报价；</w:t>
      </w:r>
    </w:p>
    <w:p>
      <w:pPr>
        <w:spacing w:line="360" w:lineRule="auto"/>
        <w:ind w:firstLine="420" w:firstLineChars="175"/>
        <w:rPr>
          <w:rFonts w:ascii="仿宋" w:hAnsi="仿宋" w:eastAsia="仿宋" w:cs="仿宋"/>
          <w:color w:val="000000" w:themeColor="text1"/>
          <w14:textFill>
            <w14:solidFill>
              <w14:schemeClr w14:val="tx1"/>
            </w14:solidFill>
          </w14:textFill>
        </w:rPr>
      </w:pPr>
      <w:bookmarkStart w:id="116" w:name="_Toc517281826"/>
      <w:bookmarkStart w:id="117" w:name="_Toc444891345"/>
      <w:r>
        <w:rPr>
          <w:rFonts w:hint="eastAsia" w:ascii="仿宋" w:hAnsi="仿宋" w:eastAsia="仿宋" w:cs="仿宋"/>
          <w:color w:val="000000" w:themeColor="text1"/>
          <w14:textFill>
            <w14:solidFill>
              <w14:schemeClr w14:val="tx1"/>
            </w14:solidFill>
          </w14:textFill>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40" w:firstLineChars="1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7.2</w:t>
      </w:r>
      <w:r>
        <w:rPr>
          <w:rFonts w:hint="eastAsia" w:ascii="仿宋" w:hAnsi="仿宋" w:eastAsia="仿宋" w:cs="仿宋"/>
          <w:color w:val="000000" w:themeColor="text1"/>
          <w14:textFill>
            <w14:solidFill>
              <w14:schemeClr w14:val="tx1"/>
            </w14:solidFill>
          </w14:textFill>
        </w:rPr>
        <w:t>对于不能提供增值税专用发票的供应商，评审价格是含税的投标总价。</w:t>
      </w:r>
    </w:p>
    <w:p>
      <w:pPr>
        <w:pStyle w:val="4"/>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Start w:id="118" w:name="_Toc4775"/>
      <w:bookmarkStart w:id="119" w:name="_Toc32019"/>
      <w:r>
        <w:rPr>
          <w:rFonts w:hint="eastAsia" w:ascii="仿宋" w:hAnsi="仿宋" w:eastAsia="仿宋" w:cs="仿宋"/>
          <w:color w:val="000000" w:themeColor="text1"/>
          <w:sz w:val="24"/>
          <w:szCs w:val="24"/>
          <w14:textFill>
            <w14:solidFill>
              <w14:schemeClr w14:val="tx1"/>
            </w14:solidFill>
          </w14:textFill>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5"/>
        <w:gridCol w:w="1169"/>
        <w:gridCol w:w="1950"/>
        <w:gridCol w:w="607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593" w:type="pct"/>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989" w:type="pct"/>
            <w:vAlign w:val="center"/>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307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3078" w:type="pct"/>
            <w:vAlign w:val="center"/>
          </w:tcPr>
          <w:p>
            <w:pPr>
              <w:pStyle w:val="73"/>
              <w:topLinePunct/>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3078" w:type="pct"/>
            <w:vAlign w:val="center"/>
          </w:tcPr>
          <w:p>
            <w:pPr>
              <w:pStyle w:val="73"/>
              <w:topLinePunct/>
              <w:spacing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1、提供委托代理人身份证复印件。</w:t>
            </w:r>
          </w:p>
          <w:p>
            <w:pPr>
              <w:pStyle w:val="73"/>
              <w:topLinePunct/>
              <w:spacing w:line="276" w:lineRule="auto"/>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w:t>
            </w:r>
            <w:r>
              <w:rPr>
                <w:rFonts w:hint="eastAsia" w:ascii="仿宋" w:hAnsi="仿宋" w:eastAsia="仿宋" w:cs="仿宋"/>
                <w:bCs/>
                <w:color w:val="000000" w:themeColor="text1"/>
                <w:sz w:val="22"/>
                <w14:textFill>
                  <w14:solidFill>
                    <w14:schemeClr w14:val="tx1"/>
                  </w14:solidFill>
                </w14:textFill>
              </w:rPr>
              <w:t>加盖公章</w:t>
            </w:r>
            <w:r>
              <w:rPr>
                <w:rFonts w:hint="eastAsia" w:ascii="仿宋" w:hAnsi="仿宋" w:eastAsia="仿宋" w:cs="仿宋"/>
                <w:b/>
                <w:bCs/>
                <w:color w:val="000000" w:themeColor="text1"/>
                <w:sz w:val="22"/>
                <w14:textFill>
                  <w14:solidFill>
                    <w14:schemeClr w14:val="tx1"/>
                  </w14:solidFill>
                </w14:textFill>
              </w:rPr>
              <w:t>并由</w:t>
            </w:r>
            <w:r>
              <w:rPr>
                <w:rFonts w:hint="eastAsia" w:ascii="仿宋" w:hAnsi="仿宋" w:eastAsia="仿宋" w:cs="仿宋"/>
                <w:color w:val="000000" w:themeColor="text1"/>
                <w:sz w:val="22"/>
                <w14:textFill>
                  <w14:solidFill>
                    <w14:schemeClr w14:val="tx1"/>
                  </w14:solidFill>
                </w14:textFill>
              </w:rPr>
              <w:t>法定代表人（负责人）签字</w:t>
            </w:r>
            <w:r>
              <w:rPr>
                <w:rFonts w:hint="eastAsia" w:ascii="仿宋" w:hAnsi="仿宋" w:eastAsia="仿宋" w:cs="仿宋"/>
                <w:b/>
                <w:bCs/>
                <w:color w:val="000000" w:themeColor="text1"/>
                <w:sz w:val="22"/>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其委托代理人</w:t>
            </w:r>
            <w:r>
              <w:rPr>
                <w:rFonts w:hint="eastAsia" w:ascii="仿宋" w:hAnsi="仿宋" w:eastAsia="仿宋" w:cs="仿宋"/>
                <w:b/>
                <w:bCs/>
                <w:color w:val="000000" w:themeColor="text1"/>
                <w:sz w:val="22"/>
                <w14:textFill>
                  <w14:solidFill>
                    <w14:schemeClr w14:val="tx1"/>
                  </w14:solidFill>
                </w14:textFill>
              </w:rPr>
              <w:t>双方</w:t>
            </w:r>
            <w:r>
              <w:rPr>
                <w:rFonts w:hint="eastAsia" w:ascii="仿宋" w:hAnsi="仿宋" w:eastAsia="仿宋" w:cs="仿宋"/>
                <w:bCs/>
                <w:color w:val="000000" w:themeColor="text1"/>
                <w:sz w:val="22"/>
                <w14:textFill>
                  <w14:solidFill>
                    <w14:schemeClr w14:val="tx1"/>
                  </w14:solidFill>
                </w14:textFill>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3078" w:type="pct"/>
            <w:vAlign w:val="center"/>
          </w:tcPr>
          <w:p>
            <w:pPr>
              <w:spacing w:before="24" w:after="24"/>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均需</w:t>
            </w:r>
            <w:r>
              <w:rPr>
                <w:rFonts w:hint="eastAsia" w:ascii="仿宋" w:hAnsi="仿宋" w:eastAsia="仿宋" w:cs="宋体"/>
                <w:color w:val="000000" w:themeColor="text1"/>
                <w:szCs w:val="21"/>
                <w14:textFill>
                  <w14:solidFill>
                    <w14:schemeClr w14:val="tx1"/>
                  </w14:solidFill>
                </w14:textFill>
              </w:rPr>
              <w:t>加盖公章</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由法定代表人（负责人）签字</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其委托代理人签字。</w:t>
            </w:r>
          </w:p>
          <w:p>
            <w:pPr>
              <w:pStyle w:val="61"/>
              <w:spacing w:before="62" w:beforeLines="20" w:after="62" w:afterLines="20"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2、响应文件的所有签字处均指手写签字</w:t>
            </w:r>
            <w:r>
              <w:rPr>
                <w:rFonts w:hint="eastAsia" w:ascii="仿宋" w:hAnsi="仿宋" w:eastAsia="仿宋"/>
                <w:b/>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签名章/印章</w:t>
            </w:r>
            <w:r>
              <w:rPr>
                <w:rFonts w:hint="eastAsia" w:ascii="仿宋" w:hAnsi="仿宋" w:eastAsia="仿宋"/>
                <w:b/>
                <w:bCs/>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CA签名章，</w:t>
            </w:r>
            <w:r>
              <w:rPr>
                <w:rFonts w:hint="eastAsia" w:ascii="仿宋" w:hAnsi="仿宋" w:eastAsia="仿宋"/>
                <w:b/>
                <w:color w:val="000000" w:themeColor="text1"/>
                <w14:textFill>
                  <w14:solidFill>
                    <w14:schemeClr w14:val="tx1"/>
                  </w14:solidFill>
                </w14:textFill>
              </w:rPr>
              <w:t>不得</w:t>
            </w:r>
            <w:r>
              <w:rPr>
                <w:rFonts w:hint="eastAsia" w:ascii="仿宋" w:hAnsi="仿宋" w:eastAsia="仿宋"/>
                <w:color w:val="000000" w:themeColor="text1"/>
                <w14:textFill>
                  <w14:solidFill>
                    <w14:schemeClr w14:val="tx1"/>
                  </w14:solidFill>
                </w14:textFill>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hint="eastAsia"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具有履行合同所必需的设备和专业技术能力</w:t>
            </w:r>
          </w:p>
        </w:tc>
        <w:tc>
          <w:tcPr>
            <w:tcW w:w="3078" w:type="pct"/>
            <w:vAlign w:val="center"/>
          </w:tcPr>
          <w:p>
            <w:pPr>
              <w:spacing w:before="24" w:after="24"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《供应商须知应答偏离表》、《合同条款应答偏离表》、《采购需求应答偏离表》》进行了符合第二章“供应商须知”的应答</w:t>
            </w:r>
          </w:p>
        </w:tc>
      </w:tr>
      <w:bookmarkEnd w:id="109"/>
    </w:tbl>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bookmarkStart w:id="120" w:name="_Toc15254"/>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center"/>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rPr>
          <w:rFonts w:hint="eastAsia"/>
        </w:rPr>
      </w:pPr>
    </w:p>
    <w:p>
      <w:pPr>
        <w:pStyle w:val="3"/>
        <w:spacing w:before="0" w:after="0"/>
        <w:ind w:left="0" w:leftChars="0" w:firstLine="0" w:firstLineChars="0"/>
        <w:jc w:val="both"/>
        <w:rPr>
          <w:rFonts w:hint="eastAsia" w:ascii="仿宋" w:hAnsi="仿宋" w:eastAsia="仿宋" w:cs="仿宋"/>
          <w:color w:val="000000" w:themeColor="text1"/>
          <w:sz w:val="28"/>
          <w:szCs w:val="28"/>
          <w14:textFill>
            <w14:solidFill>
              <w14:schemeClr w14:val="tx1"/>
            </w14:solidFill>
          </w14:textFill>
        </w:rPr>
      </w:pPr>
    </w:p>
    <w:p>
      <w:pPr>
        <w:rPr>
          <w:rFonts w:hint="eastAsia" w:ascii="仿宋" w:hAnsi="仿宋" w:eastAsia="仿宋" w:cs="仿宋"/>
          <w:color w:val="000000" w:themeColor="text1"/>
          <w:sz w:val="28"/>
          <w:szCs w:val="28"/>
          <w14:textFill>
            <w14:solidFill>
              <w14:schemeClr w14:val="tx1"/>
            </w14:solidFill>
          </w14:textFill>
        </w:rPr>
      </w:pPr>
    </w:p>
    <w:p>
      <w:pPr>
        <w:pStyle w:val="2"/>
        <w:jc w:val="center"/>
        <w:rPr>
          <w:rFonts w:hint="eastAsia"/>
        </w:rPr>
      </w:pPr>
    </w:p>
    <w:p>
      <w:pPr>
        <w:pStyle w:val="3"/>
        <w:spacing w:before="0" w:after="0"/>
        <w:ind w:left="0" w:leftChars="0" w:firstLine="0" w:firstLineChars="0"/>
        <w:jc w:val="center"/>
        <w:rPr>
          <w:rStyle w:val="34"/>
          <w:rFonts w:asciiTheme="minorHAnsi" w:hAnsiTheme="minorHAnsi" w:eastAsiaTheme="minorEastAsia"/>
          <w:b w:val="0"/>
          <w:bCs w:val="0"/>
          <w:color w:val="000000" w:themeColor="text1"/>
          <w:kern w:val="0"/>
          <w:szCs w:val="24"/>
          <w14:textFill>
            <w14:solidFill>
              <w14:schemeClr w14:val="tx1"/>
            </w14:solidFill>
          </w14:textFill>
        </w:rPr>
      </w:pPr>
      <w:bookmarkStart w:id="121" w:name="_Toc28863"/>
      <w:r>
        <w:rPr>
          <w:rFonts w:hint="eastAsia" w:ascii="仿宋" w:hAnsi="仿宋" w:eastAsia="仿宋" w:cs="仿宋"/>
          <w:color w:val="000000" w:themeColor="text1"/>
          <w:sz w:val="28"/>
          <w:szCs w:val="28"/>
          <w14:textFill>
            <w14:solidFill>
              <w14:schemeClr w14:val="tx1"/>
            </w14:solidFill>
          </w14:textFill>
        </w:rPr>
        <w:t>第四章 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rPr>
          <w:color w:val="000000" w:themeColor="text1"/>
          <w14:textFill>
            <w14:solidFill>
              <w14:schemeClr w14:val="tx1"/>
            </w14:solidFill>
          </w14:textFill>
        </w:rPr>
      </w:pPr>
    </w:p>
    <w:p>
      <w:pPr>
        <w:spacing w:line="600" w:lineRule="exact"/>
        <w:jc w:val="center"/>
        <w:rPr>
          <w:rFonts w:ascii="仿宋" w:hAnsi="仿宋" w:eastAsia="仿宋" w:cs="Calibri"/>
          <w:color w:val="000000" w:themeColor="text1"/>
          <w14:textFill>
            <w14:solidFill>
              <w14:schemeClr w14:val="tx1"/>
            </w14:solidFill>
          </w14:textFill>
        </w:rPr>
      </w:pPr>
      <w:r>
        <w:rPr>
          <w:rFonts w:hint="eastAsia"/>
          <w:color w:val="000000" w:themeColor="text1"/>
          <w14:textFill>
            <w14:solidFill>
              <w14:schemeClr w14:val="tx1"/>
            </w14:solidFill>
          </w14:textFill>
        </w:rPr>
        <w:tab/>
      </w:r>
      <w:r>
        <w:rPr>
          <w:rFonts w:hint="eastAsia" w:ascii="仿宋" w:hAnsi="仿宋" w:eastAsia="仿宋"/>
          <w:b/>
          <w:bCs/>
          <w:color w:val="000000" w:themeColor="text1"/>
          <w14:textFill>
            <w14:solidFill>
              <w14:schemeClr w14:val="tx1"/>
            </w14:solidFill>
          </w14:textFill>
        </w:rPr>
        <w:t>商务部分</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第一条 </w:t>
      </w:r>
      <w:r>
        <w:rPr>
          <w:rFonts w:hint="eastAsia" w:ascii="仿宋" w:hAnsi="仿宋" w:eastAsia="仿宋"/>
          <w:b/>
          <w:bCs/>
          <w:color w:val="000000" w:themeColor="text1"/>
          <w14:textFill>
            <w14:solidFill>
              <w14:schemeClr w14:val="tx1"/>
            </w14:solidFill>
          </w14:textFill>
        </w:rPr>
        <w:t>项目内容及要求</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本合同项下甲乙双方约定的项目内容及要求见本合同【附件】。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第二条 </w:t>
      </w:r>
      <w:r>
        <w:rPr>
          <w:rFonts w:hint="eastAsia" w:ascii="仿宋" w:hAnsi="仿宋" w:eastAsia="仿宋"/>
          <w:b/>
          <w:bCs/>
          <w:color w:val="000000" w:themeColor="text1"/>
          <w14:textFill>
            <w14:solidFill>
              <w14:schemeClr w14:val="tx1"/>
            </w14:solidFill>
          </w14:textFill>
        </w:rPr>
        <w:t>服务方案及验收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双方约定的服务方案详见本合同【附件】。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第三条 </w:t>
      </w:r>
      <w:r>
        <w:rPr>
          <w:rFonts w:hint="eastAsia" w:ascii="仿宋" w:hAnsi="仿宋" w:eastAsia="仿宋"/>
          <w:b/>
          <w:bCs/>
          <w:color w:val="000000" w:themeColor="text1"/>
          <w14:textFill>
            <w14:solidFill>
              <w14:schemeClr w14:val="tx1"/>
            </w14:solidFill>
          </w14:textFill>
        </w:rPr>
        <w:t>合同价格</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本合同总价款为</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元（大写：</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）。合同价格明细见【附件】。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乙方因提供本合同项下服务所发生的一切费用和税费，已包括在前款约定的费用当中；除双方另有书面约定外，甲方不再就乙方提供本合同项下的服务向乙方另行支付任何其它费用。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本合同付款安排见【附件】。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由于乙方未提供或未及时提供足额有效的增值税专用发票，或乙方变更账户信息但未提前通知甲方而导致的付款迟延，甲方不承担任何责任。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（五）本合同为单价合同，</w:t>
      </w:r>
      <w:r>
        <w:rPr>
          <w:rFonts w:hint="eastAsia" w:ascii="仿宋" w:hAnsi="仿宋" w:eastAsia="仿宋"/>
          <w:color w:val="000000" w:themeColor="text1"/>
          <w:lang w:val="en-US" w:eastAsia="zh-CN"/>
          <w14:textFill>
            <w14:solidFill>
              <w14:schemeClr w14:val="tx1"/>
            </w14:solidFill>
          </w14:textFill>
        </w:rPr>
        <w:t>电梯轿厢海报</w:t>
      </w:r>
      <w:r>
        <w:rPr>
          <w:rFonts w:hint="eastAsia" w:ascii="仿宋" w:hAnsi="仿宋" w:eastAsia="仿宋"/>
          <w:color w:val="000000" w:themeColor="text1"/>
          <w14:textFill>
            <w14:solidFill>
              <w14:schemeClr w14:val="tx1"/>
            </w14:solidFill>
          </w14:textFill>
        </w:rPr>
        <w:t>宣传服务：</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元/块/月，服务费用最高不超过上述合同总价款。</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第四条 </w:t>
      </w:r>
      <w:r>
        <w:rPr>
          <w:rFonts w:hint="eastAsia" w:ascii="仿宋" w:hAnsi="仿宋" w:eastAsia="仿宋"/>
          <w:b/>
          <w:bCs/>
          <w:color w:val="000000" w:themeColor="text1"/>
          <w14:textFill>
            <w14:solidFill>
              <w14:schemeClr w14:val="tx1"/>
            </w14:solidFill>
          </w14:textFill>
        </w:rPr>
        <w:t>双方的权利和义务</w:t>
      </w:r>
    </w:p>
    <w:p>
      <w:pPr>
        <w:spacing w:line="600" w:lineRule="exact"/>
        <w:ind w:firstLine="660"/>
        <w:rPr>
          <w:rFonts w:ascii="仿宋" w:hAnsi="仿宋" w:eastAsia="仿宋"/>
          <w:b/>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除本合同约定的双方的权利义务外，甲乙双方在本合同项下的其他权利和义务见【附件】的约定。</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第五条 </w:t>
      </w:r>
      <w:r>
        <w:rPr>
          <w:rFonts w:hint="eastAsia" w:ascii="仿宋" w:hAnsi="仿宋" w:eastAsia="仿宋"/>
          <w:b/>
          <w:bCs/>
          <w:color w:val="000000" w:themeColor="text1"/>
          <w14:textFill>
            <w14:solidFill>
              <w14:schemeClr w14:val="tx1"/>
            </w14:solidFill>
          </w14:textFill>
        </w:rPr>
        <w:t>违约责任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甲、乙任一方或双方违约的，违约一方应当向相对方承担相应的违约责任。违约责任的具体约定见【附件】。</w:t>
      </w:r>
    </w:p>
    <w:p>
      <w:pPr>
        <w:spacing w:line="600" w:lineRule="exact"/>
        <w:jc w:val="center"/>
        <w:rPr>
          <w:rFonts w:ascii="仿宋" w:hAnsi="仿宋" w:eastAsia="仿宋"/>
          <w:color w:val="000000" w:themeColor="text1"/>
          <w14:textFill>
            <w14:solidFill>
              <w14:schemeClr w14:val="tx1"/>
            </w14:solidFill>
          </w14:textFill>
        </w:rPr>
      </w:pPr>
      <w:r>
        <w:rPr>
          <w:rFonts w:hint="eastAsia" w:ascii="仿宋" w:hAnsi="仿宋" w:eastAsia="仿宋"/>
          <w:b/>
          <w:bCs/>
          <w:color w:val="000000" w:themeColor="text1"/>
          <w14:textFill>
            <w14:solidFill>
              <w14:schemeClr w14:val="tx1"/>
            </w14:solidFill>
          </w14:textFill>
        </w:rPr>
        <w:t>通用部分</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第六条 </w:t>
      </w:r>
      <w:r>
        <w:rPr>
          <w:rFonts w:hint="eastAsia" w:ascii="仿宋" w:hAnsi="仿宋" w:eastAsia="仿宋"/>
          <w:b/>
          <w:bCs/>
          <w:color w:val="000000" w:themeColor="text1"/>
          <w14:textFill>
            <w14:solidFill>
              <w14:schemeClr w14:val="tx1"/>
            </w14:solidFill>
          </w14:textFill>
        </w:rPr>
        <w:t>双方的权利和义务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甲方的权利和义务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（1）甲方有权获得本合同项下乙方应提供的全部合格的服务；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（2）甲方有权在合同期内对乙方的服务进行监督；</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（3）乙方未按照合同约定履行义务的，甲方有权采取相应的措施；</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（4）甲方应按照合同约定向乙方支付合同价款；</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（5）甲方对其提供的样本、稿件本身及其内容的真实性、合法性、知识产权的独立性等承担全部责任，所提供样本、稿件引起的纠纷、争议及相关损失由甲方自行承担；</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（7）甲方享有其它双方约定的权利、承担其它双方约定的义务。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乙方的权利和义务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（1）乙方有权获得甲方支付的合同价款；</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（2）乙方应按照合同约定向甲方提供全部合格的服务；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（3）乙方应按照合同约定履行相应的维护和保修或其他后续义务；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（4）乙方必须遵守甲方制定的各项服务标准、工作流程及各项要求；</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（5）乙方应当按照甲方提出的变更需求及时调整和完善服务内容；</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（6）乙方服务团队成员有熊小利等，乙方人员如需变更应提前两周与甲方协调并取得同意；</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（7）乙方承担由于自身或合作施工单位由于服务效果与服务设计方案偏差原因造成的损失；</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（8）乙方享有其它双方约定的权利、承担其它双方约定的义务。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合同期限：</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自合同签订生效之日起一年期，如合同总价款 </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全部使用完毕，则合同期限自动终止，双方权利与义务同时终止。</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第七条 </w:t>
      </w:r>
      <w:r>
        <w:rPr>
          <w:rFonts w:hint="eastAsia" w:ascii="仿宋" w:hAnsi="仿宋" w:eastAsia="仿宋"/>
          <w:b/>
          <w:bCs/>
          <w:color w:val="000000" w:themeColor="text1"/>
          <w14:textFill>
            <w14:solidFill>
              <w14:schemeClr w14:val="tx1"/>
            </w14:solidFill>
          </w14:textFill>
        </w:rPr>
        <w:t>禁止转让</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未经甲方事先书面同意，乙方不得将其本合同项下之全部义务或其中一部分义务转让给第三方执行。</w:t>
      </w:r>
    </w:p>
    <w:p>
      <w:pPr>
        <w:spacing w:line="600" w:lineRule="exact"/>
        <w:ind w:firstLine="660"/>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第八条 商标使用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未经甲方书面许可，乙方不得将甲方的商标、公司名称、标识等用于宣传和/或展示。</w:t>
      </w:r>
    </w:p>
    <w:p>
      <w:pPr>
        <w:spacing w:line="600" w:lineRule="exact"/>
        <w:ind w:firstLine="660"/>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第九条 知识产权保障及权利保证</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知识产权保障</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（4）本合同因履行完毕、解除或不可抗力等终止之日起3日内，乙方应将甲方提供的所有信息和资料移交甲方，并且自终止之日起不得继续使用或擅自许可任何第三方使用甲方提供的所有信息和资料。</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第十条 </w:t>
      </w:r>
      <w:r>
        <w:rPr>
          <w:rFonts w:hint="eastAsia" w:ascii="仿宋" w:hAnsi="仿宋" w:eastAsia="仿宋"/>
          <w:b/>
          <w:bCs/>
          <w:color w:val="000000" w:themeColor="text1"/>
          <w14:textFill>
            <w14:solidFill>
              <w14:schemeClr w14:val="tx1"/>
            </w14:solidFill>
          </w14:textFill>
        </w:rPr>
        <w:t>违约责任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如果由于甲方原因延迟付款，每延迟一天，甲方应按照应付合同价款的0.05%向乙方支付违约金。</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如果乙方未按合同约定的时间、地点、内容、质量要求等提供服务，每延迟一天，应支付违约金</w:t>
      </w:r>
      <w:r>
        <w:rPr>
          <w:rFonts w:hint="eastAsia" w:ascii="仿宋" w:hAnsi="仿宋" w:eastAsia="仿宋"/>
          <w:color w:val="000000" w:themeColor="text1"/>
          <w:u w:val="single"/>
          <w:lang w:val="en-US" w:eastAsia="zh-CN"/>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元。乙方迟延提供服务，并不免除乙方应当按照合同继续提供服务的义务。如果乙方延迟30天仍不能按照合同约定提供服务的，甲方有权解除合同。甲方有权从未付合同价款中扣除乙方延迟履行合同义务的违约金，不足部分，乙方应予以补足。</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因违约而解除合同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（1）如乙方服务团队负责人发生变更或核心服务团队发生重大变化，乙方未能及时书面告知甲方造成服务水平下降，或变更后人员资质不符合甲方要求的，甲方有权即时解除本合同。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（2）如乙方未经甲方书面许可，以甲方名义向媒体或其他第三方进行任何商业行为的，甲方有权即时解除本合同。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（3）因乙方延迟履行合同义务或因其他违约行为导致甲方解除合同的，乙方应向甲方支付本合同价款总额20%的违约金，如违约金不足以弥补甲方损失的，超出部分由乙方继续承担赔偿责任。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如果乙方违反本合同约定的保密义务，乙方应向甲方支付相当于本合同总价款20%的违约金，甲方受到的损失超出违约金的部分，由乙方继续承担赔偿责任。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（五） 除本合同的约定外，因乙方的违约行为给甲方造成损失的，乙方应向甲方支付相当于本合同总价款20%的违约金，如甲方受到的损失超过违约金的，超出部分由乙方继续承担赔偿责任。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第十一条 </w:t>
      </w:r>
      <w:r>
        <w:rPr>
          <w:rFonts w:hint="eastAsia" w:ascii="仿宋" w:hAnsi="仿宋" w:eastAsia="仿宋"/>
          <w:b/>
          <w:bCs/>
          <w:color w:val="000000" w:themeColor="text1"/>
          <w14:textFill>
            <w14:solidFill>
              <w14:schemeClr w14:val="tx1"/>
            </w14:solidFill>
          </w14:textFill>
        </w:rPr>
        <w:t>保密义务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乙方在本合同中所受领的保密信息应及时返还甲方或在甲方监督下予以销毁。乙方擅自留存备份信息，视为违反保密约定。</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无论本合同因何种原因终止，本保密条款依然有效。</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第十条 </w:t>
      </w:r>
      <w:r>
        <w:rPr>
          <w:rFonts w:hint="eastAsia" w:ascii="仿宋" w:hAnsi="仿宋" w:eastAsia="仿宋"/>
          <w:b/>
          <w:bCs/>
          <w:color w:val="000000" w:themeColor="text1"/>
          <w14:textFill>
            <w14:solidFill>
              <w14:schemeClr w14:val="tx1"/>
            </w14:solidFill>
          </w14:textFill>
        </w:rPr>
        <w:t>不可抗力</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合同一方迟延履行后发生不可抗力的，不能免除其责任。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第十三条 </w:t>
      </w:r>
      <w:r>
        <w:rPr>
          <w:rFonts w:hint="eastAsia" w:ascii="仿宋" w:hAnsi="仿宋" w:eastAsia="仿宋"/>
          <w:b/>
          <w:bCs/>
          <w:color w:val="000000" w:themeColor="text1"/>
          <w14:textFill>
            <w14:solidFill>
              <w14:schemeClr w14:val="tx1"/>
            </w14:solidFill>
          </w14:textFill>
        </w:rPr>
        <w:t>合同变更</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对本合同的任何变更或补充，须经甲乙双方协商一致，并另行签订书面补充协议。</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第十四条 </w:t>
      </w:r>
      <w:r>
        <w:rPr>
          <w:rFonts w:hint="eastAsia" w:ascii="仿宋" w:hAnsi="仿宋" w:eastAsia="仿宋"/>
          <w:b/>
          <w:bCs/>
          <w:color w:val="000000" w:themeColor="text1"/>
          <w14:textFill>
            <w14:solidFill>
              <w14:schemeClr w14:val="tx1"/>
            </w14:solidFill>
          </w14:textFill>
        </w:rPr>
        <w:t>合同特别终止</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甲乙双方同意在乙方出现下列情形时，甲方可以书面形式通知乙方（或者乙方的破产清算组或相关管理人）提出终止合同而不向其提供任何补偿：</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（1）乙方破产、解散（包括但不限于乙方股东会决议解散、乙方被吊销营业执照、被责令关闭、被撤销、被司法机关裁决解散等情形）；</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（2）乙方发生未经甲方书面同意的重大产权变更（包括但不限于合并、分立、注销等情形)；（如系上市公司）被勒令停止上市；以及任何原因背负重大债务导致无履行能力。</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如果因上述原因导致本合同终止，甲方已经采取或者将要采取任何补救措施的权利不受任何影响。</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第十三条 </w:t>
      </w:r>
      <w:r>
        <w:rPr>
          <w:rFonts w:hint="eastAsia" w:ascii="仿宋" w:hAnsi="仿宋" w:eastAsia="仿宋"/>
          <w:b/>
          <w:bCs/>
          <w:color w:val="000000" w:themeColor="text1"/>
          <w14:textFill>
            <w14:solidFill>
              <w14:schemeClr w14:val="tx1"/>
            </w14:solidFill>
          </w14:textFill>
        </w:rPr>
        <w:t>法律适用与争议解决</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本合同的订立、效力、解释、履行和争议的解决均适用中华人民共和国法律（不包括港澳台地区法律）。</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凡因本合同引起的或与本合同有关的任何争议，双方首先应友好协商解决。协商不成的，任何一方均可向甲方所在地有管辖权的法院提起诉讼。</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第十四条 </w:t>
      </w:r>
      <w:r>
        <w:rPr>
          <w:rFonts w:hint="eastAsia" w:ascii="仿宋" w:hAnsi="仿宋" w:eastAsia="仿宋"/>
          <w:b/>
          <w:bCs/>
          <w:color w:val="000000" w:themeColor="text1"/>
          <w14:textFill>
            <w14:solidFill>
              <w14:schemeClr w14:val="tx1"/>
            </w14:solidFill>
          </w14:textFill>
        </w:rPr>
        <w:t>合同生效及其他</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本合同经甲乙双方法定代表人或授权代表签字并加盖公章或合同专用章后生效。</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本合同一式</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份，其中正本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份，副本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份。甲方执</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份正本，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份副本；乙方执</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份正本，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份副本。</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无论本合同是否有相反约定，本合同附件（如有）作为本合同的组成部分，与本合同具有同等法律效力，当附件条款与本合同条款发生冲突时，以本合同条款为准。</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（五） 由于法律和法规、政策而导致本合同任何条款无效或无法执行，则该条款无效，但不影响剩余其他条款的效力。</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第十五条 </w:t>
      </w:r>
      <w:r>
        <w:rPr>
          <w:rFonts w:hint="eastAsia" w:ascii="仿宋" w:hAnsi="仿宋" w:eastAsia="仿宋"/>
          <w:b/>
          <w:bCs/>
          <w:color w:val="000000" w:themeColor="text1"/>
          <w14:textFill>
            <w14:solidFill>
              <w14:schemeClr w14:val="tx1"/>
            </w14:solidFill>
          </w14:textFill>
        </w:rPr>
        <w:t>附件的组成</w:t>
      </w:r>
    </w:p>
    <w:p>
      <w:pPr>
        <w:pStyle w:val="2"/>
        <w:rPr>
          <w:rFonts w:ascii="仿宋" w:hAnsi="仿宋" w:eastAsia="仿宋"/>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2252"/>
        </w:tabs>
        <w:rPr>
          <w:color w:val="000000" w:themeColor="text1"/>
          <w14:textFill>
            <w14:solidFill>
              <w14:schemeClr w14:val="tx1"/>
            </w14:solidFill>
          </w14:textFill>
        </w:rPr>
      </w:pPr>
      <w:r>
        <w:rPr>
          <w:rFonts w:hint="eastAsia"/>
          <w:color w:val="000000" w:themeColor="text1"/>
          <w14:textFill>
            <w14:solidFill>
              <w14:schemeClr w14:val="tx1"/>
            </w14:solidFill>
          </w14:textFill>
        </w:rPr>
        <w:tab/>
      </w:r>
    </w:p>
    <w:p>
      <w:pPr>
        <w:pStyle w:val="2"/>
        <w:rPr>
          <w:color w:val="000000" w:themeColor="text1"/>
          <w14:textFill>
            <w14:solidFill>
              <w14:schemeClr w14:val="tx1"/>
            </w14:solidFill>
          </w14:textFill>
        </w:rPr>
      </w:pPr>
    </w:p>
    <w:p>
      <w:pPr>
        <w:keepNext/>
        <w:keepLines/>
        <w:widowControl w:val="0"/>
        <w:tabs>
          <w:tab w:val="left" w:pos="2190"/>
        </w:tabs>
        <w:spacing w:before="120" w:after="120" w:line="240" w:lineRule="exact"/>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pStyle w:val="2"/>
      </w:pPr>
    </w:p>
    <w:p>
      <w:pPr>
        <w:keepNext/>
        <w:keepLines/>
        <w:widowControl w:val="0"/>
        <w:tabs>
          <w:tab w:val="left" w:pos="2190"/>
        </w:tabs>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2" w:name="_Toc27518"/>
      <w:bookmarkStart w:id="123" w:name="_Toc27595"/>
      <w:r>
        <w:rPr>
          <w:rFonts w:hint="eastAsia" w:ascii="Times New Roman" w:hAnsi="Times New Roman" w:eastAsia="楷体" w:cs="Times New Roman"/>
          <w:b/>
          <w:bCs/>
          <w:color w:val="000000" w:themeColor="text1"/>
          <w:kern w:val="44"/>
          <w:szCs w:val="44"/>
          <w14:textFill>
            <w14:solidFill>
              <w14:schemeClr w14:val="tx1"/>
            </w14:solidFill>
          </w14:textFill>
        </w:rPr>
        <w:t>附件一</w:t>
      </w:r>
      <w:bookmarkEnd w:id="122"/>
      <w:bookmarkEnd w:id="123"/>
      <w:r>
        <w:rPr>
          <w:rFonts w:ascii="Times New Roman" w:hAnsi="Times New Roman" w:eastAsia="楷体" w:cs="Times New Roman"/>
          <w:b/>
          <w:bCs/>
          <w:color w:val="000000" w:themeColor="text1"/>
          <w:kern w:val="44"/>
          <w:szCs w:val="44"/>
          <w14:textFill>
            <w14:solidFill>
              <w14:schemeClr w14:val="tx1"/>
            </w14:solidFill>
          </w14:textFill>
        </w:rPr>
        <w:tab/>
      </w:r>
    </w:p>
    <w:p>
      <w:pPr>
        <w:widowControl w:val="0"/>
        <w:adjustRightInd w:val="0"/>
        <w:spacing w:line="360" w:lineRule="auto"/>
        <w:jc w:val="center"/>
        <w:textAlignment w:val="baseline"/>
        <w:rPr>
          <w:rFonts w:ascii="楷体" w:hAnsi="楷体" w:eastAsia="楷体" w:cs="楷体"/>
          <w:b/>
          <w:color w:val="000000" w:themeColor="text1"/>
          <w:szCs w:val="20"/>
          <w14:textFill>
            <w14:solidFill>
              <w14:schemeClr w14:val="tx1"/>
            </w14:solidFill>
          </w14:textFill>
        </w:rPr>
      </w:pPr>
      <w:r>
        <w:rPr>
          <w:rFonts w:hint="eastAsia" w:ascii="楷体" w:hAnsi="楷体" w:eastAsia="楷体" w:cs="楷体"/>
          <w:b/>
          <w:color w:val="000000" w:themeColor="text1"/>
          <w:szCs w:val="20"/>
          <w14:textFill>
            <w14:solidFill>
              <w14:schemeClr w14:val="tx1"/>
            </w14:solidFill>
          </w14:textFill>
        </w:rPr>
        <w:t>服务内容及要求</w:t>
      </w:r>
    </w:p>
    <w:p>
      <w:pPr>
        <w:widowControl w:val="0"/>
        <w:tabs>
          <w:tab w:val="left" w:pos="165"/>
          <w:tab w:val="left" w:pos="315"/>
        </w:tabs>
        <w:autoSpaceDE w:val="0"/>
        <w:autoSpaceDN w:val="0"/>
        <w:spacing w:line="360" w:lineRule="auto"/>
        <w:ind w:firstLine="470"/>
        <w:jc w:val="both"/>
        <w:rPr>
          <w:rFonts w:ascii="楷体" w:hAnsi="楷体" w:eastAsia="楷体" w:cs="Arial"/>
          <w:color w:val="000000" w:themeColor="text1"/>
          <w14:textFill>
            <w14:solidFill>
              <w14:schemeClr w14:val="tx1"/>
            </w14:solidFill>
          </w14:textFill>
        </w:rPr>
      </w:pPr>
    </w:p>
    <w:p>
      <w:pPr>
        <w:widowControl w:val="0"/>
        <w:tabs>
          <w:tab w:val="left" w:pos="165"/>
          <w:tab w:val="left" w:pos="315"/>
        </w:tabs>
        <w:autoSpaceDE w:val="0"/>
        <w:autoSpaceDN w:val="0"/>
        <w:spacing w:line="360" w:lineRule="auto"/>
        <w:ind w:firstLine="470"/>
        <w:jc w:val="both"/>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1.</w:t>
      </w:r>
      <w:r>
        <w:rPr>
          <w:rFonts w:hint="eastAsia" w:ascii="楷体" w:hAnsi="楷体" w:eastAsia="楷体" w:cs="Arial"/>
          <w:snapToGrid w:val="0"/>
          <w:color w:val="000000" w:themeColor="text1"/>
          <w:spacing w:val="24"/>
          <w14:textFill>
            <w14:solidFill>
              <w14:schemeClr w14:val="tx1"/>
            </w14:solidFill>
          </w14:textFill>
        </w:rPr>
        <w:t>项目名称</w:t>
      </w:r>
    </w:p>
    <w:p>
      <w:pPr>
        <w:widowControl w:val="0"/>
        <w:autoSpaceDE w:val="0"/>
        <w:autoSpaceDN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项目名称：</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2.项目内容</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 xml:space="preserve">（1）乙方向甲方提供的服务的内容：                                 </w:t>
      </w:r>
    </w:p>
    <w:p>
      <w:pPr>
        <w:widowControl w:val="0"/>
        <w:adjustRightInd w:val="0"/>
        <w:spacing w:line="360" w:lineRule="auto"/>
        <w:ind w:firstLine="432" w:firstLineChars="150"/>
        <w:jc w:val="both"/>
        <w:textAlignment w:val="baseline"/>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snapToGrid w:val="0"/>
          <w:color w:val="000000" w:themeColor="text1"/>
          <w:spacing w:val="24"/>
          <w14:textFill>
            <w14:solidFill>
              <w14:schemeClr w14:val="tx1"/>
            </w14:solidFill>
          </w14:textFill>
        </w:rPr>
        <w:t>（2）服务期限：。</w:t>
      </w:r>
    </w:p>
    <w:p>
      <w:pPr>
        <w:widowControl w:val="0"/>
        <w:adjustRightInd w:val="0"/>
        <w:spacing w:line="360" w:lineRule="auto"/>
        <w:ind w:firstLine="432" w:firstLineChars="150"/>
        <w:jc w:val="both"/>
        <w:textAlignment w:val="baseline"/>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snapToGrid w:val="0"/>
          <w:color w:val="000000" w:themeColor="text1"/>
          <w:spacing w:val="24"/>
          <w14:textFill>
            <w14:solidFill>
              <w14:schemeClr w14:val="tx1"/>
            </w14:solidFill>
          </w14:textFill>
        </w:rPr>
        <w:t>（3）</w:t>
      </w:r>
      <w:r>
        <w:rPr>
          <w:rFonts w:hint="eastAsia" w:ascii="楷体" w:hAnsi="楷体" w:eastAsia="楷体" w:cs="Arial"/>
          <w:color w:val="000000" w:themeColor="text1"/>
          <w14:textFill>
            <w14:solidFill>
              <w14:schemeClr w14:val="tx1"/>
            </w14:solidFill>
          </w14:textFill>
        </w:rPr>
        <w:t xml:space="preserve">甲方向乙方支付的合同服务费用总计为人民币    元（大写：    整）。费用包括如下项目：                                       </w:t>
      </w:r>
    </w:p>
    <w:p>
      <w:pPr>
        <w:widowControl w:val="0"/>
        <w:adjustRightInd w:val="0"/>
        <w:spacing w:line="360" w:lineRule="auto"/>
        <w:ind w:firstLine="432" w:firstLineChars="150"/>
        <w:jc w:val="both"/>
        <w:textAlignment w:val="baseline"/>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snapToGrid w:val="0"/>
          <w:color w:val="000000" w:themeColor="text1"/>
          <w:spacing w:val="24"/>
          <w14:textFill>
            <w14:solidFill>
              <w14:schemeClr w14:val="tx1"/>
            </w14:solidFill>
          </w14:textFill>
        </w:rPr>
        <w:t>（4）其他要求：</w:t>
      </w:r>
    </w:p>
    <w:p>
      <w:pPr>
        <w:widowControl w:val="0"/>
        <w:tabs>
          <w:tab w:val="left" w:pos="165"/>
          <w:tab w:val="left" w:pos="315"/>
        </w:tabs>
        <w:autoSpaceDE w:val="0"/>
        <w:autoSpaceDN w:val="0"/>
        <w:spacing w:line="360" w:lineRule="auto"/>
        <w:ind w:firstLine="468" w:firstLineChars="195"/>
        <w:jc w:val="both"/>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3.</w:t>
      </w:r>
      <w:r>
        <w:rPr>
          <w:rFonts w:hint="eastAsia" w:ascii="楷体" w:hAnsi="楷体" w:eastAsia="楷体" w:cs="Arial"/>
          <w:snapToGrid w:val="0"/>
          <w:color w:val="000000" w:themeColor="text1"/>
          <w:spacing w:val="24"/>
          <w14:textFill>
            <w14:solidFill>
              <w14:schemeClr w14:val="tx1"/>
            </w14:solidFill>
          </w14:textFill>
        </w:rPr>
        <w:t>告知</w:t>
      </w:r>
    </w:p>
    <w:p>
      <w:pPr>
        <w:widowControl w:val="0"/>
        <w:tabs>
          <w:tab w:val="left" w:pos="165"/>
          <w:tab w:val="left" w:pos="315"/>
        </w:tabs>
        <w:autoSpaceDE w:val="0"/>
        <w:autoSpaceDN w:val="0"/>
        <w:spacing w:line="360" w:lineRule="auto"/>
        <w:ind w:firstLine="480" w:firstLineChars="200"/>
        <w:jc w:val="both"/>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甲乙双方同意涉及本合同的一切事宜均以书面形式提交，双方应及时响应。</w:t>
      </w:r>
    </w:p>
    <w:p>
      <w:pPr>
        <w:widowControl w:val="0"/>
        <w:tabs>
          <w:tab w:val="left" w:pos="315"/>
        </w:tabs>
        <w:autoSpaceDE w:val="0"/>
        <w:autoSpaceDN w:val="0"/>
        <w:spacing w:line="360" w:lineRule="auto"/>
        <w:ind w:firstLine="468" w:firstLineChars="195"/>
        <w:jc w:val="both"/>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4.</w:t>
      </w:r>
      <w:r>
        <w:rPr>
          <w:rFonts w:hint="eastAsia" w:ascii="楷体" w:hAnsi="楷体" w:eastAsia="楷体" w:cs="Arial"/>
          <w:snapToGrid w:val="0"/>
          <w:color w:val="000000" w:themeColor="text1"/>
          <w:spacing w:val="24"/>
          <w14:textFill>
            <w14:solidFill>
              <w14:schemeClr w14:val="tx1"/>
            </w14:solidFill>
          </w14:textFill>
        </w:rPr>
        <w:t>问题项目处理</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4" w:name="_Toc11188"/>
      <w:bookmarkStart w:id="125" w:name="_Toc800"/>
      <w:r>
        <w:rPr>
          <w:rFonts w:hint="eastAsia" w:ascii="Times New Roman" w:hAnsi="Times New Roman" w:eastAsia="楷体" w:cs="Times New Roman"/>
          <w:b/>
          <w:bCs/>
          <w:color w:val="000000" w:themeColor="text1"/>
          <w:kern w:val="44"/>
          <w:szCs w:val="44"/>
          <w14:textFill>
            <w14:solidFill>
              <w14:schemeClr w14:val="tx1"/>
            </w14:solidFill>
          </w14:textFill>
        </w:rPr>
        <w:t>附件二</w:t>
      </w:r>
      <w:bookmarkEnd w:id="124"/>
      <w:bookmarkEnd w:id="125"/>
    </w:p>
    <w:p>
      <w:pPr>
        <w:widowControl w:val="0"/>
        <w:adjustRightInd w:val="0"/>
        <w:spacing w:line="360" w:lineRule="auto"/>
        <w:jc w:val="center"/>
        <w:textAlignment w:val="baseline"/>
        <w:rPr>
          <w:rFonts w:ascii="楷体" w:hAnsi="楷体" w:eastAsia="楷体" w:cs="楷体"/>
          <w:b/>
          <w:color w:val="000000" w:themeColor="text1"/>
          <w:szCs w:val="20"/>
          <w14:textFill>
            <w14:solidFill>
              <w14:schemeClr w14:val="tx1"/>
            </w14:solidFill>
          </w14:textFill>
        </w:rPr>
      </w:pPr>
      <w:r>
        <w:rPr>
          <w:rFonts w:hint="eastAsia" w:ascii="楷体" w:hAnsi="楷体" w:eastAsia="楷体" w:cs="楷体"/>
          <w:b/>
          <w:color w:val="000000" w:themeColor="text1"/>
          <w:szCs w:val="20"/>
          <w14:textFill>
            <w14:solidFill>
              <w14:schemeClr w14:val="tx1"/>
            </w14:solidFill>
          </w14:textFill>
        </w:rPr>
        <w:t>付款</w:t>
      </w:r>
    </w:p>
    <w:p>
      <w:pPr>
        <w:widowControl w:val="0"/>
        <w:autoSpaceDE w:val="0"/>
        <w:autoSpaceDN w:val="0"/>
        <w:adjustRightInd w:val="0"/>
        <w:spacing w:line="360" w:lineRule="auto"/>
        <w:ind w:left="482"/>
        <w:textAlignment w:val="baseline"/>
        <w:rPr>
          <w:rFonts w:ascii="楷体" w:hAnsi="楷体" w:eastAsia="楷体" w:cs="楷体"/>
          <w:color w:val="000000" w:themeColor="text1"/>
          <w:szCs w:val="20"/>
          <w14:textFill>
            <w14:solidFill>
              <w14:schemeClr w14:val="tx1"/>
            </w14:solidFill>
          </w14:textFill>
        </w:rPr>
      </w:pPr>
    </w:p>
    <w:p>
      <w:pPr>
        <w:widowControl w:val="0"/>
        <w:autoSpaceDE w:val="0"/>
        <w:autoSpaceDN w:val="0"/>
        <w:adjustRightInd w:val="0"/>
        <w:spacing w:line="360" w:lineRule="auto"/>
        <w:ind w:left="482"/>
        <w:textAlignment w:val="baseline"/>
        <w:rPr>
          <w:rFonts w:ascii="楷体" w:hAnsi="楷体" w:eastAsia="楷体" w:cs="楷体"/>
          <w:color w:val="000000" w:themeColor="text1"/>
          <w:szCs w:val="20"/>
          <w14:textFill>
            <w14:solidFill>
              <w14:schemeClr w14:val="tx1"/>
            </w14:solidFill>
          </w14:textFill>
        </w:rPr>
      </w:pPr>
      <w:r>
        <w:rPr>
          <w:rFonts w:ascii="楷体" w:hAnsi="楷体" w:eastAsia="楷体" w:cs="楷体"/>
          <w:color w:val="000000" w:themeColor="text1"/>
          <w:szCs w:val="20"/>
          <w14:textFill>
            <w14:solidFill>
              <w14:schemeClr w14:val="tx1"/>
            </w14:solidFill>
          </w14:textFill>
        </w:rPr>
        <w:t>1.</w:t>
      </w:r>
      <w:r>
        <w:rPr>
          <w:rFonts w:hint="eastAsia" w:ascii="楷体" w:hAnsi="楷体" w:eastAsia="楷体" w:cs="楷体"/>
          <w:color w:val="000000" w:themeColor="text1"/>
          <w:szCs w:val="20"/>
          <w14:textFill>
            <w14:solidFill>
              <w14:schemeClr w14:val="tx1"/>
            </w14:solidFill>
          </w14:textFill>
        </w:rPr>
        <w:t>本合同使用货币种类为人民币。</w:t>
      </w:r>
    </w:p>
    <w:p>
      <w:pPr>
        <w:widowControl w:val="0"/>
        <w:adjustRightInd w:val="0"/>
        <w:spacing w:line="360" w:lineRule="auto"/>
        <w:ind w:firstLine="480" w:firstLineChars="200"/>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楷体"/>
          <w:color w:val="000000" w:themeColor="text1"/>
          <w:szCs w:val="20"/>
          <w14:textFill>
            <w14:solidFill>
              <w14:schemeClr w14:val="tx1"/>
            </w14:solidFill>
          </w14:textFill>
        </w:rPr>
        <w:t>2</w:t>
      </w:r>
      <w:r>
        <w:rPr>
          <w:rFonts w:ascii="楷体" w:hAnsi="楷体" w:eastAsia="楷体" w:cs="楷体"/>
          <w:color w:val="000000" w:themeColor="text1"/>
          <w:szCs w:val="20"/>
          <w14:textFill>
            <w14:solidFill>
              <w14:schemeClr w14:val="tx1"/>
            </w14:solidFill>
          </w14:textFill>
        </w:rPr>
        <w:t>.</w:t>
      </w:r>
      <w:r>
        <w:rPr>
          <w:rFonts w:hint="eastAsia" w:ascii="楷体" w:hAnsi="楷体" w:eastAsia="楷体" w:cs="Times New Roman"/>
          <w:color w:val="000000" w:themeColor="text1"/>
          <w:szCs w:val="20"/>
          <w14:textFill>
            <w14:solidFill>
              <w14:schemeClr w14:val="tx1"/>
            </w14:solidFill>
          </w14:textFill>
        </w:rPr>
        <w:t>付款方式：</w:t>
      </w:r>
      <w:r>
        <w:rPr>
          <w:rFonts w:hint="eastAsia" w:ascii="楷体" w:hAnsi="楷体" w:eastAsia="楷体" w:cs="Times New Roman"/>
          <w:color w:val="000000" w:themeColor="text1"/>
          <w:szCs w:val="20"/>
          <w:u w:val="single"/>
          <w14:textFill>
            <w14:solidFill>
              <w14:schemeClr w14:val="tx1"/>
            </w14:solidFill>
          </w14:textFill>
        </w:rPr>
        <w:t>转账</w:t>
      </w:r>
      <w:r>
        <w:rPr>
          <w:rFonts w:hint="eastAsia" w:ascii="楷体" w:hAnsi="楷体" w:eastAsia="楷体" w:cs="Times New Roman"/>
          <w:color w:val="000000" w:themeColor="text1"/>
          <w:szCs w:val="20"/>
          <w14:textFill>
            <w14:solidFill>
              <w14:schemeClr w14:val="tx1"/>
            </w14:solidFill>
          </w14:textFill>
        </w:rPr>
        <w:t>双方采用转账方式付款的，甲方应向乙方以下账户进行支付：</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hint="eastAsia" w:ascii="楷体" w:hAnsi="楷体" w:eastAsia="楷体" w:cs="Times New Roman"/>
          <w:color w:val="000000" w:themeColor="text1"/>
          <w:szCs w:val="20"/>
          <w14:textFill>
            <w14:solidFill>
              <w14:schemeClr w14:val="tx1"/>
            </w14:solidFill>
          </w14:textFill>
        </w:rPr>
        <w:t>乙方：</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ascii="楷体" w:hAnsi="楷体" w:eastAsia="楷体" w:cs="Times New Roman"/>
          <w:color w:val="000000" w:themeColor="text1"/>
          <w:szCs w:val="20"/>
          <w14:textFill>
            <w14:solidFill>
              <w14:schemeClr w14:val="tx1"/>
            </w14:solidFill>
          </w14:textFill>
        </w:rPr>
        <w:t>开户行：</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ascii="楷体" w:hAnsi="楷体" w:eastAsia="楷体" w:cs="Times New Roman"/>
          <w:color w:val="000000" w:themeColor="text1"/>
          <w:szCs w:val="20"/>
          <w14:textFill>
            <w14:solidFill>
              <w14:schemeClr w14:val="tx1"/>
            </w14:solidFill>
          </w14:textFill>
        </w:rPr>
        <w:t>账户名称：</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ascii="楷体" w:hAnsi="楷体" w:eastAsia="楷体" w:cs="Times New Roman"/>
          <w:color w:val="000000" w:themeColor="text1"/>
          <w:szCs w:val="20"/>
          <w14:textFill>
            <w14:solidFill>
              <w14:schemeClr w14:val="tx1"/>
            </w14:solidFill>
          </w14:textFill>
        </w:rPr>
        <w:t>账号：</w:t>
      </w:r>
    </w:p>
    <w:p>
      <w:pPr>
        <w:widowControl w:val="0"/>
        <w:adjustRightInd w:val="0"/>
        <w:spacing w:after="156" w:afterLines="50" w:line="360" w:lineRule="atLeast"/>
        <w:ind w:firstLine="480" w:firstLineChars="200"/>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Times New Roman"/>
          <w:color w:val="000000" w:themeColor="text1"/>
          <w:szCs w:val="20"/>
          <w14:textFill>
            <w14:solidFill>
              <w14:schemeClr w14:val="tx1"/>
            </w14:solidFill>
          </w14:textFill>
        </w:rPr>
        <w:t>乙方如需改变上述账户，应提前</w:t>
      </w:r>
      <w:r>
        <w:rPr>
          <w:rFonts w:ascii="楷体" w:hAnsi="楷体" w:eastAsia="楷体" w:cs="Times New Roman"/>
          <w:color w:val="000000" w:themeColor="text1"/>
          <w:szCs w:val="20"/>
          <w14:textFill>
            <w14:solidFill>
              <w14:schemeClr w14:val="tx1"/>
            </w14:solidFill>
          </w14:textFill>
        </w:rPr>
        <w:t>10</w:t>
      </w:r>
      <w:r>
        <w:rPr>
          <w:rFonts w:hint="eastAsia" w:ascii="楷体" w:hAnsi="楷体" w:eastAsia="楷体" w:cs="Times New Roman"/>
          <w:color w:val="000000" w:themeColor="text1"/>
          <w:szCs w:val="20"/>
          <w14:textFill>
            <w14:solidFill>
              <w14:schemeClr w14:val="tx1"/>
            </w14:solidFill>
          </w14:textFill>
        </w:rPr>
        <w:t>日以书面通知甲方。</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3.付款安排</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在合同期限内单次投放数量据实结算，供应商提供正规发票及单次投放结算清单，采购方审核无误后，在30个工作日内支付对应款项，累计投放结算额度不超过合同总额。</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4.增值税专用发票的相关约定</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 xml:space="preserve">（1）乙方应向甲方开具增值税专用发票，甲方开票信息如下： </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 xml:space="preserve">公司名称： </w:t>
      </w:r>
      <w:r>
        <w:rPr>
          <w:rFonts w:hint="eastAsia" w:ascii="楷体" w:hAnsi="楷体" w:eastAsia="楷体" w:cs="Times New Roman"/>
          <w:color w:val="000000" w:themeColor="text1"/>
          <w:kern w:val="2"/>
          <w14:textFill>
            <w14:solidFill>
              <w14:schemeClr w14:val="tx1"/>
            </w14:solidFill>
          </w14:textFill>
        </w:rPr>
        <w:t>中国人民财产保险股份有限公司广安市分公司</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纳税识别号： 91511600709135121L</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银行账号： 2316552329123101093</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开户银行： 中国工商银行广安城南支行</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开票地址： 四川省广安市广安区万盛东路173号</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开票电话： 0826-2334105</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（2）乙方同时向甲方公司及其分支机构提供产品及服务的，双方应在合同中约定甲方的分支机构和对应的价款。乙方应分别对清单中的费用承担方开具相应金额的增值税专用发票；</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s="Times New Roman"/>
          <w:color w:val="000000" w:themeColor="text1"/>
          <w:szCs w:val="20"/>
          <w14:textFill>
            <w14:solidFill>
              <w14:schemeClr w14:val="tx1"/>
            </w14:solidFill>
          </w14:textFill>
        </w:rPr>
        <w:t>乙方开具并提交甲方的增值税专用发票的价税合计金额应与甲方已经支付的价税合计款项保持一致</w:t>
      </w:r>
      <w:r>
        <w:rPr>
          <w:rFonts w:hint="eastAsia" w:ascii="楷体" w:hAnsi="楷体" w:eastAsia="楷体" w:cs="Arial"/>
          <w:color w:val="000000" w:themeColor="text1"/>
          <w14:textFill>
            <w14:solidFill>
              <w14:schemeClr w14:val="tx1"/>
            </w14:solidFill>
          </w14:textFill>
        </w:rPr>
        <w:t xml:space="preserve">； </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6" w:name="_Toc22506"/>
      <w:bookmarkStart w:id="127" w:name="_Toc4038"/>
      <w:r>
        <w:rPr>
          <w:rFonts w:hint="eastAsia" w:ascii="Times New Roman" w:hAnsi="Times New Roman" w:eastAsia="楷体" w:cs="Times New Roman"/>
          <w:b/>
          <w:bCs/>
          <w:color w:val="000000" w:themeColor="text1"/>
          <w:kern w:val="44"/>
          <w:szCs w:val="44"/>
          <w14:textFill>
            <w14:solidFill>
              <w14:schemeClr w14:val="tx1"/>
            </w14:solidFill>
          </w14:textFill>
        </w:rPr>
        <w:t>附件三</w:t>
      </w:r>
      <w:bookmarkEnd w:id="126"/>
      <w:bookmarkEnd w:id="127"/>
    </w:p>
    <w:p>
      <w:pPr>
        <w:widowControl w:val="0"/>
        <w:adjustRightInd w:val="0"/>
        <w:spacing w:line="360" w:lineRule="auto"/>
        <w:jc w:val="center"/>
        <w:textAlignment w:val="baseline"/>
        <w:rPr>
          <w:rFonts w:ascii="楷体" w:hAnsi="楷体" w:eastAsia="楷体" w:cs="楷体"/>
          <w:b/>
          <w:color w:val="000000" w:themeColor="text1"/>
          <w:szCs w:val="20"/>
          <w14:textFill>
            <w14:solidFill>
              <w14:schemeClr w14:val="tx1"/>
            </w14:solidFill>
          </w14:textFill>
        </w:rPr>
      </w:pPr>
      <w:r>
        <w:rPr>
          <w:rFonts w:hint="eastAsia" w:ascii="楷体" w:hAnsi="楷体" w:eastAsia="楷体" w:cs="楷体"/>
          <w:b/>
          <w:color w:val="000000" w:themeColor="text1"/>
          <w:szCs w:val="20"/>
          <w14:textFill>
            <w14:solidFill>
              <w14:schemeClr w14:val="tx1"/>
            </w14:solidFill>
          </w14:textFill>
        </w:rPr>
        <w:t>双方的权利和义务</w:t>
      </w:r>
    </w:p>
    <w:p>
      <w:pPr>
        <w:widowControl w:val="0"/>
        <w:adjustRightInd w:val="0"/>
        <w:spacing w:line="360" w:lineRule="auto"/>
        <w:ind w:firstLine="482" w:firstLineChars="200"/>
        <w:jc w:val="both"/>
        <w:textAlignment w:val="baseline"/>
        <w:rPr>
          <w:rFonts w:ascii="楷体" w:hAnsi="楷体" w:eastAsia="楷体" w:cs="Arial"/>
          <w:b/>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1.甲方的权利和义务</w:t>
      </w:r>
    </w:p>
    <w:p>
      <w:pPr>
        <w:widowControl w:val="0"/>
        <w:adjustRightInd w:val="0"/>
        <w:spacing w:line="360" w:lineRule="auto"/>
        <w:ind w:firstLine="576" w:firstLineChars="200"/>
        <w:jc w:val="both"/>
        <w:textAlignment w:val="baseline"/>
        <w:rPr>
          <w:rFonts w:ascii="楷体" w:hAnsi="楷体" w:eastAsia="楷体" w:cs="Arial"/>
          <w:snapToGrid w:val="0"/>
          <w:color w:val="000000" w:themeColor="text1"/>
          <w:spacing w:val="24"/>
          <w14:textFill>
            <w14:solidFill>
              <w14:schemeClr w14:val="tx1"/>
            </w14:solidFill>
          </w14:textFill>
        </w:rPr>
      </w:pPr>
    </w:p>
    <w:p>
      <w:pPr>
        <w:widowControl w:val="0"/>
        <w:adjustRightInd w:val="0"/>
        <w:spacing w:line="360" w:lineRule="auto"/>
        <w:ind w:firstLine="48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2.乙方的权利和义务</w:t>
      </w: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keepNext/>
        <w:keepLines/>
        <w:widowControl w:val="0"/>
        <w:spacing w:before="120" w:after="120" w:line="240" w:lineRule="exact"/>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pStyle w:val="2"/>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8" w:name="_Toc21671"/>
      <w:bookmarkStart w:id="129" w:name="_Toc28063"/>
      <w:r>
        <w:rPr>
          <w:rFonts w:hint="eastAsia" w:ascii="Times New Roman" w:hAnsi="Times New Roman" w:eastAsia="楷体" w:cs="Times New Roman"/>
          <w:b/>
          <w:bCs/>
          <w:color w:val="000000" w:themeColor="text1"/>
          <w:kern w:val="44"/>
          <w:szCs w:val="44"/>
          <w14:textFill>
            <w14:solidFill>
              <w14:schemeClr w14:val="tx1"/>
            </w14:solidFill>
          </w14:textFill>
        </w:rPr>
        <w:t>附件四</w:t>
      </w:r>
      <w:bookmarkEnd w:id="128"/>
      <w:bookmarkEnd w:id="129"/>
    </w:p>
    <w:p>
      <w:pPr>
        <w:widowControl w:val="0"/>
        <w:adjustRightInd w:val="0"/>
        <w:spacing w:line="360" w:lineRule="auto"/>
        <w:jc w:val="center"/>
        <w:textAlignment w:val="baseline"/>
        <w:rPr>
          <w:rFonts w:ascii="楷体" w:hAnsi="楷体" w:eastAsia="楷体" w:cs="Times New Roman"/>
          <w:b/>
          <w:color w:val="000000" w:themeColor="text1"/>
          <w:szCs w:val="20"/>
          <w14:textFill>
            <w14:solidFill>
              <w14:schemeClr w14:val="tx1"/>
            </w14:solidFill>
          </w14:textFill>
        </w:rPr>
      </w:pPr>
      <w:r>
        <w:rPr>
          <w:rFonts w:hint="eastAsia" w:ascii="楷体" w:hAnsi="楷体" w:eastAsia="楷体" w:cs="Times New Roman"/>
          <w:b/>
          <w:color w:val="000000" w:themeColor="text1"/>
          <w:szCs w:val="20"/>
          <w14:textFill>
            <w14:solidFill>
              <w14:schemeClr w14:val="tx1"/>
            </w14:solidFill>
          </w14:textFill>
        </w:rPr>
        <w:t>违约责任</w:t>
      </w:r>
    </w:p>
    <w:p>
      <w:pPr>
        <w:widowControl w:val="0"/>
        <w:adjustRightInd w:val="0"/>
        <w:spacing w:line="360" w:lineRule="auto"/>
        <w:ind w:firstLine="480" w:firstLineChars="200"/>
        <w:textAlignment w:val="baseline"/>
        <w:rPr>
          <w:rFonts w:ascii="楷体" w:hAnsi="楷体" w:eastAsia="楷体" w:cs="Times New Roman"/>
          <w:color w:val="000000" w:themeColor="text1"/>
          <w:szCs w:val="20"/>
          <w14:textFill>
            <w14:solidFill>
              <w14:schemeClr w14:val="tx1"/>
            </w14:solidFill>
          </w14:textFill>
        </w:rPr>
      </w:pPr>
    </w:p>
    <w:p>
      <w:pPr>
        <w:widowControl w:val="0"/>
        <w:adjustRightInd w:val="0"/>
        <w:spacing w:line="360" w:lineRule="auto"/>
        <w:ind w:firstLine="480" w:firstLineChars="200"/>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Times New Roman"/>
          <w:color w:val="000000" w:themeColor="text1"/>
          <w:szCs w:val="20"/>
          <w14:textFill>
            <w14:solidFill>
              <w14:schemeClr w14:val="tx1"/>
            </w14:solidFill>
          </w14:textFill>
        </w:rPr>
        <w:t>除合同约定的违约责任以外，任何一方存在以下约定情形的，应承担相应的违约责任：</w:t>
      </w:r>
    </w:p>
    <w:p>
      <w:pPr>
        <w:widowControl w:val="0"/>
        <w:adjustRightInd w:val="0"/>
        <w:spacing w:line="360" w:lineRule="atLeast"/>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Times New Roman"/>
          <w:color w:val="000000" w:themeColor="text1"/>
          <w:szCs w:val="20"/>
          <w14:textFill>
            <w14:solidFill>
              <w14:schemeClr w14:val="tx1"/>
            </w14:solidFill>
          </w14:textFill>
        </w:rPr>
        <w:br w:type="page"/>
      </w: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30" w:name="_Toc19133"/>
      <w:bookmarkStart w:id="131" w:name="_Toc3433"/>
      <w:r>
        <w:rPr>
          <w:rFonts w:hint="eastAsia" w:ascii="Times New Roman" w:hAnsi="Times New Roman" w:eastAsia="楷体" w:cs="Times New Roman"/>
          <w:b/>
          <w:bCs/>
          <w:color w:val="000000" w:themeColor="text1"/>
          <w:kern w:val="44"/>
          <w:szCs w:val="44"/>
          <w14:textFill>
            <w14:solidFill>
              <w14:schemeClr w14:val="tx1"/>
            </w14:solidFill>
          </w14:textFill>
        </w:rPr>
        <w:t>附件五</w:t>
      </w:r>
      <w:bookmarkEnd w:id="130"/>
      <w:bookmarkEnd w:id="131"/>
    </w:p>
    <w:p>
      <w:pPr>
        <w:widowControl w:val="0"/>
        <w:adjustRightInd w:val="0"/>
        <w:spacing w:before="312" w:beforeLines="100" w:after="312" w:afterLines="100" w:line="300" w:lineRule="auto"/>
        <w:jc w:val="center"/>
        <w:textAlignment w:val="baseline"/>
        <w:rPr>
          <w:rFonts w:ascii="楷体" w:hAnsi="楷体" w:eastAsia="楷体" w:cs="楷体"/>
          <w:b/>
          <w:bCs/>
          <w:color w:val="000000" w:themeColor="text1"/>
          <w:spacing w:val="20"/>
          <w:sz w:val="28"/>
          <w:szCs w:val="28"/>
          <w14:textFill>
            <w14:solidFill>
              <w14:schemeClr w14:val="tx1"/>
            </w14:solidFill>
          </w14:textFill>
        </w:rPr>
      </w:pPr>
      <w:r>
        <w:rPr>
          <w:rFonts w:hint="eastAsia" w:ascii="楷体" w:hAnsi="楷体" w:eastAsia="楷体" w:cs="楷体"/>
          <w:b/>
          <w:bCs/>
          <w:color w:val="000000" w:themeColor="text1"/>
          <w:spacing w:val="20"/>
          <w:kern w:val="2"/>
          <w:sz w:val="28"/>
          <w:szCs w:val="28"/>
          <w:lang w:bidi="ar"/>
          <w14:textFill>
            <w14:solidFill>
              <w14:schemeClr w14:val="tx1"/>
            </w14:solidFill>
          </w14:textFill>
        </w:rPr>
        <w:t>廉洁诚信协议</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第一条  总则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1.1甲乙双方均应当严格遵守国家法律法规和甲方集中采购管理、供应商管理的相关要求，不从事任何违法违规违纪行为。坚持诚实守信原则，恪守商业道德和职业道德，规范商务人员廉洁从业行为。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1.3本协议所称相关主体，对任何一方而言，包括但不限于以下单位或者个人：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（1）一方或其关联方之工作人员；</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（2）受一方委托办理相关事务的单位或者个人；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（3）利用职权或者影响力影响交易的单位或者个人；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（4）前述相关人员的亲属；</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（5）与前述相关主体存在利害关系的其他单位或者人员。</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乙方相关主体实施违反本协议约定之行为的，均应视为乙方实施行为。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1.4一方监督发现对方相关主体在业务合作中存在违规行为的，应当及时提醒并有权向对方纪检部门举报。情节严重构成犯罪的，任何一方均有权向司法机关报案，追究相关单位或者人员的刑事责任。</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第二条  商业贿赂</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2.1本协议所称商业贿赂，是指乙方或乙方相关主体为获取或意图获取交易机会或者竞争优势，采用财物或者其他形式贿赂甲方或甲方相关主体的行为。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2.3本条第1款所称其他形式，包括但不限于：</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（1）以任何方式实施商业贿赂或违规提供回扣、折扣、宴请与游玩活动或其他不正当利益；</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（2）为甲方或甲方相关主体安排有可能影响公平、公正交易的宴请、健身、娱乐等活动；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（3）为甲方或甲方相关主体投资入股、个人借款或买卖股票、债券等提供方便；</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（4）为甲方或甲方相关主体购买或装修住房、婚丧嫁娶、配偶子女上学或工作安排以及出国出境、旅游等提供方便；</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（5）违反规定为甲方或甲方相关主体在乙方相关企业工作、挂名兼职、合伙经营、介绍承揽业务等提供方便；</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（6）向甲方或甲方相关主体提供借款、融资、担保等；</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（7）给予或承诺给予其不正当利益的其他行为；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（8）其他违反国家法律法规或商业道德准则的影响公正交易的行为。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第三条  回扣</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3.1本协议所称回扣，是指乙方促成合作时在账外暗中以现金、实物或者其他方式退给甲方或甲方相关主体一定比例的商品或服务价款。</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3.2本条第1款所称账外，是指未在依法设立的反映其生产经营活动或者行政事业经费收支的财务账上按照财务会计制度规定明确如实记载，包括不记入财务账、转入其他财务账或者做假账等。</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3.3乙方在账外暗中给予甲方相关主体回扣的，视为实施商业贿赂行为。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第四条  折扣</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4.2乙方提供的商品或服务，可以以明示方式给予甲方折扣。乙方给予甲方折扣的，必须在采购协议中予以明确并如实入账。</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4.3本条第1款所称如实入账，是指根据采购或合作协议约定的金额和支付方式，在依法设立的反映甲方生产经营活动收支的财务账上按照财务会计制度规定明确如实记载。</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4.4乙方违反本条约定的，视为实施商业贿赂行为。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第五条  宴请与游玩活动</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5.2乙方不得为甲方相关主体提供各种形式的旅游、健身、KTV、酒吧、按摩、赌博、色情等娱乐休闲活动。</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5.3乙方违反本条约定的，视为实施商业贿赂行为。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第六条  禁止行为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双方一致同意双方或双方相关主体的如下行为是应当禁止的营私舞弊或腐败行为：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6.1甲方及甲方相关主体向乙方索要或收受财物或其他形式的财产性利益、非财产性利益。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6.2乙方及乙方相关主体向甲方或甲方相关主体提供财物或其他形式的财产性利益、非财产性利益，包括但不限于：</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（1）报销甲方相关主体的私人费用；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（2）提供超过宴请标准的宴请或娱乐活动；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（3）介绍甲方相关主体亲友到乙方处工作；</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（4）提出、邀请或事实上接受甲方相关主体在乙方参股或参与乙方经营活动；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（5）组织或向甲方相关主体提供旅游等代偿活动利益；</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（6）向甲方相关主体提供借款、融资、担保等；</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（7）给予或承诺给予甲方相关主体不正当利益的其他行为；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（8）其他违反本协议约定、国家法律法规或商业道德准则的影响公正交易的行为。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第七条  乙方承诺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乙方承诺在双方的商务接洽、合同关系、交易过程中遵守如下要求：</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7.1 避免利害关系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7.2 恪守廉洁自律原则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7.2.2支持甲方的廉洁诚信建设，承诺承担实名举报的义务，若乙方或乙方相关主体对甲方或甲方相关主体的索贿行为不拒绝、不申报，并满足其要求的，则该行为视同乙方实施商业贿赂行为。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7.3 恪守诚实信用原则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7.3.2严格遵守向甲方做出的承诺、双方签署的合同、协议和备忘录等，确保产品质量和服务质量，不隐瞒任何可能对甲方利益造成影响的信息，积极配合甲方的审计。</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7.3.3严格遵守甲方的供应商行为准则、合作协议、保密承诺书等政策文件中的相关规定。</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7.3.4严格遵守甲方的品牌管理的相关规定，未经甲方授权不擅自使用甲方字样、授权合作伙伴等类似容易对外产生混淆的字样。</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7.3.5严格遵守国家相关法律法规及甲方的管理规定，不参与任何违法活动。</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7.3.6承诺实事求是，不对内部或社会传递任何虚假信息，严格遵守保密协议，不透露任何甲方的商业机密。</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7.3.7未经甲方同意，不向任何新闻媒体、第三方述及有关甲方工作人员恪守商业道德方面的评价、信息。</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7.4 确保信息公开透明</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7.4.1主动向甲方披露与采购项目相关的信息，包括乙方真实情况、产品价格、技术参数、服务团队信息、履约情况等。</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7.4.2不利用非法手段向甲方及甲方相关主体打探有关涉及甲方及甲方相关主体的商业秘密、人员信息、采购信息等。</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7.5 积极配合监督举报</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7.5.2如乙方有知悉或怀疑甲方相关主体有违反上述约定的，应及时采取措施并有权向甲方纪检部门举报。甲方会对所有信息提供者及所提供的全部资料严格保密。</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7.6 加强内部廉洁管理</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7.6.1加强内部管理：加强对员工的廉洁教育和培训，提高员工的道德素质和法律意识，建立健全内部管理制度，确保员工行为的合规性和廉洁性。</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7.6.2设立监督机制：通过专门的监督机构或人员，对乙方的业务活动进行实时监督，确保员工行为的合规性。</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7.6.3建立举报制度：鼓励员工积极举报违规行为，对举报人予以保护并给予奖励。</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第八条  违约责任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8.1若甲方人员违反本协议第六条规定的，按照甲方内部管理权限，依据有关法律和规定给予处分或组织处理，涉嫌犯罪的，移交司法机关追究刑事责任。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8.2如乙方违反本协议任何约定或承诺，甲方有权依据甲方采购管理、供应商管理和采购文件相关要求，对乙方进行严肃处理，相关处罚结果记入供应商诚信档案。</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8.3 如乙方违反本协议任何约定或承诺，</w:t>
      </w:r>
      <w:r>
        <w:rPr>
          <w:rFonts w:hint="eastAsia" w:ascii="楷体" w:hAnsi="楷体" w:eastAsia="楷体" w:cs="楷体"/>
          <w:b/>
          <w:bCs/>
          <w:color w:val="000000" w:themeColor="text1"/>
          <w:kern w:val="2"/>
          <w:lang w:bidi="ar"/>
          <w14:textFill>
            <w14:solidFill>
              <w14:schemeClr w14:val="tx1"/>
            </w14:solidFill>
          </w14:textFill>
        </w:rPr>
        <w:t>甲方及甲方子公司有权根据情节严重程度选择单方全面终止与乙方的合同及合作，且无需承担任何责任。乙方给甲方造成损失的，甲方有权要求乙方承担全部赔偿责任。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8.4</w:t>
      </w:r>
      <w:r>
        <w:rPr>
          <w:rFonts w:hint="eastAsia" w:ascii="楷体" w:hAnsi="楷体" w:eastAsia="楷体" w:cs="楷体"/>
          <w:b/>
          <w:bCs/>
          <w:color w:val="000000" w:themeColor="text1"/>
          <w:kern w:val="2"/>
          <w:lang w:bidi="ar"/>
          <w14:textFill>
            <w14:solidFill>
              <w14:schemeClr w14:val="tx1"/>
            </w14:solidFill>
          </w14:textFill>
        </w:rPr>
        <w:t>甲方及甲方子公司按照前述条款要求乙方承担赔偿责任的，</w:t>
      </w:r>
      <w:r>
        <w:rPr>
          <w:rFonts w:hint="eastAsia" w:ascii="楷体" w:hAnsi="楷体" w:eastAsia="楷体" w:cs="楷体"/>
          <w:color w:val="000000" w:themeColor="text1"/>
          <w:kern w:val="2"/>
          <w:lang w:bidi="ar"/>
          <w14:textFill>
            <w14:solidFill>
              <w14:schemeClr w14:val="tx1"/>
            </w14:solidFill>
          </w14:textFill>
        </w:rPr>
        <w:t>乙方应于甲方发出赔偿通知之日起【10】个工作日内支付，如未及时支付，甲方及甲方子公司有权从主合同款项中直接扣除。</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8.5乙方知悉并同意，对于上述情形的处理甲方有完全的判断权和自主权。</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第九条  附则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9.1本协议的标题及各条款的标题仅为检索方便而设置，具体内容应当以各条款的具体规定为准，而不应参考该标题进行解释。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widowControl w:val="0"/>
        <w:jc w:val="both"/>
        <w:rPr>
          <w:color w:val="000000" w:themeColor="text1"/>
          <w:kern w:val="2"/>
          <w:sz w:val="2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9.5本协议长期有效。</w:t>
      </w:r>
    </w:p>
    <w:p>
      <w:pPr>
        <w:widowControl w:val="0"/>
        <w:jc w:val="both"/>
        <w:rPr>
          <w:color w:val="000000" w:themeColor="text1"/>
          <w:kern w:val="2"/>
          <w:sz w:val="21"/>
          <w14:textFill>
            <w14:solidFill>
              <w14:schemeClr w14:val="tx1"/>
            </w14:solidFill>
          </w14:textFill>
        </w:rPr>
      </w:pPr>
    </w:p>
    <w:p>
      <w:pPr>
        <w:pStyle w:val="2"/>
        <w:rPr>
          <w:color w:val="000000" w:themeColor="text1"/>
          <w14:textFill>
            <w14:solidFill>
              <w14:schemeClr w14:val="tx1"/>
            </w14:solidFill>
          </w14:textFill>
        </w:rPr>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leftChars="0" w:firstLine="0" w:firstLineChars="0"/>
        <w:jc w:val="center"/>
        <w:rPr>
          <w:rFonts w:ascii="仿宋_GB2312" w:hAnsi="宋体" w:eastAsia="仿宋_GB2312"/>
          <w:color w:val="000000" w:themeColor="text1"/>
          <w:sz w:val="28"/>
          <w:szCs w:val="28"/>
          <w14:textFill>
            <w14:solidFill>
              <w14:schemeClr w14:val="tx1"/>
            </w14:solidFill>
          </w14:textFill>
        </w:rPr>
      </w:pPr>
      <w:bookmarkStart w:id="132" w:name="_Toc4181"/>
      <w:bookmarkStart w:id="133" w:name="_Toc29694"/>
      <w:r>
        <w:rPr>
          <w:rFonts w:hint="eastAsia" w:ascii="仿宋_GB2312" w:hAnsi="宋体" w:eastAsia="仿宋_GB2312"/>
          <w:color w:val="000000" w:themeColor="text1"/>
          <w:sz w:val="28"/>
          <w:szCs w:val="28"/>
          <w14:textFill>
            <w14:solidFill>
              <w14:schemeClr w14:val="tx1"/>
            </w14:solidFill>
          </w14:textFill>
        </w:rPr>
        <w:t>第五章 采购</w:t>
      </w:r>
      <w:bookmarkEnd w:id="132"/>
      <w:r>
        <w:rPr>
          <w:rFonts w:hint="eastAsia" w:ascii="仿宋_GB2312" w:hAnsi="宋体" w:eastAsia="仿宋_GB2312"/>
          <w:color w:val="000000" w:themeColor="text1"/>
          <w:sz w:val="28"/>
          <w:szCs w:val="28"/>
          <w14:textFill>
            <w14:solidFill>
              <w14:schemeClr w14:val="tx1"/>
            </w14:solidFill>
          </w14:textFill>
        </w:rPr>
        <w:t>需求</w:t>
      </w:r>
      <w:bookmarkEnd w:id="133"/>
    </w:p>
    <w:p>
      <w:pPr>
        <w:numPr>
          <w:ilvl w:val="0"/>
          <w:numId w:val="3"/>
        </w:numPr>
        <w:spacing w:line="360" w:lineRule="auto"/>
        <w:ind w:firstLine="480" w:firstLineChars="200"/>
        <w:rPr>
          <w:rFonts w:ascii="楷体" w:hAnsi="楷体" w:eastAsia="楷体"/>
          <w:color w:val="000000" w:themeColor="text1"/>
          <w14:textFill>
            <w14:solidFill>
              <w14:schemeClr w14:val="tx1"/>
            </w14:solidFill>
          </w14:textFill>
        </w:rPr>
      </w:pPr>
      <w:r>
        <w:rPr>
          <w:rFonts w:ascii="楷体" w:hAnsi="楷体" w:eastAsia="楷体" w:cs="仿宋_GB2312"/>
          <w:color w:val="000000" w:themeColor="text1"/>
          <w14:textFill>
            <w14:solidFill>
              <w14:schemeClr w14:val="tx1"/>
            </w14:solidFill>
          </w14:textFill>
        </w:rPr>
        <w:t>采购项目背景</w:t>
      </w:r>
    </w:p>
    <w:p>
      <w:pPr>
        <w:numPr>
          <w:ilvl w:val="0"/>
          <w:numId w:val="0"/>
        </w:numPr>
        <w:spacing w:line="360" w:lineRule="auto"/>
        <w:ind w:firstLine="480" w:firstLineChars="200"/>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 xml:space="preserve"> </w:t>
      </w:r>
      <w:r>
        <w:rPr>
          <w:rFonts w:hint="eastAsia" w:asciiTheme="minorHAnsi" w:eastAsiaTheme="minorEastAsia"/>
          <w:lang w:val="en-US" w:eastAsia="zh-CN"/>
        </w:rPr>
        <w:t xml:space="preserve"> </w:t>
      </w:r>
      <w:r>
        <w:rPr>
          <w:rFonts w:hint="eastAsia" w:ascii="楷体" w:hAnsi="楷体" w:eastAsia="楷体" w:cs="楷体"/>
          <w:kern w:val="2"/>
          <w:sz w:val="24"/>
          <w:szCs w:val="24"/>
          <w:lang w:val="en-US" w:eastAsia="zh-CN" w:bidi="ar"/>
        </w:rPr>
        <w:t>为进一步提升人保财险前锋区支公司在广安市重点住宅小区的品牌亲和力和市场渗透率，计划在广安市区选取部分中高层住宅小区的电梯轿厢内安装镜框广告位，集中宣传公司商险产品。电梯轿厢作为居民每日必经的封闭空间，具有视觉聚焦、受众稳定、重复触达的特点，是实现家庭场景精准营销、增强客户黏性的有效载体。</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ascii="楷体" w:hAnsi="楷体" w:eastAsia="楷体" w:cs="仿宋_GB2312"/>
          <w:color w:val="000000" w:themeColor="text1"/>
          <w14:textFill>
            <w14:solidFill>
              <w14:schemeClr w14:val="tx1"/>
            </w14:solidFill>
          </w14:textFill>
        </w:rPr>
        <w:t>采购内容</w:t>
      </w:r>
    </w:p>
    <w:p>
      <w:pPr>
        <w:numPr>
          <w:ilvl w:val="0"/>
          <w:numId w:val="0"/>
        </w:numPr>
        <w:spacing w:line="360" w:lineRule="auto"/>
        <w:ind w:leftChars="200"/>
        <w:rPr>
          <w:rFonts w:hint="default" w:ascii="楷体" w:hAnsi="楷体" w:eastAsia="楷体" w:cs="仿宋_GB2312"/>
          <w:i/>
          <w:color w:val="0000CC"/>
          <w:szCs w:val="32"/>
          <w:lang w:val="en-US"/>
        </w:rPr>
      </w:pPr>
      <w:r>
        <w:rPr>
          <w:rFonts w:hint="eastAsia" w:ascii="楷体" w:hAnsi="楷体" w:eastAsia="楷体" w:cs="楷体"/>
          <w:kern w:val="2"/>
          <w:sz w:val="24"/>
          <w:szCs w:val="24"/>
          <w:lang w:val="en-US" w:eastAsia="zh-CN" w:bidi="ar"/>
        </w:rPr>
        <w:t>采购电梯轿厢宣传服务，投放宣传画面到轿厢镜框宣传牌内</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hint="eastAsia" w:ascii="楷体" w:hAnsi="楷体" w:eastAsia="楷体" w:cs="仿宋_GB2312"/>
          <w:color w:val="000000" w:themeColor="text1"/>
          <w14:textFill>
            <w14:solidFill>
              <w14:schemeClr w14:val="tx1"/>
            </w14:solidFill>
          </w14:textFill>
        </w:rPr>
        <w:t>采购数量</w:t>
      </w:r>
    </w:p>
    <w:p>
      <w:pPr>
        <w:pStyle w:val="2"/>
        <w:numPr>
          <w:ilvl w:val="0"/>
          <w:numId w:val="0"/>
        </w:numPr>
        <w:ind w:firstLine="480" w:firstLineChars="200"/>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本项目拟选取200部广安中高层住宅小区电梯，每部电梯轿厢内安装1块镜框海报宣传牌。全年按月累计投放</w:t>
      </w:r>
      <w:r>
        <w:rPr>
          <w:rFonts w:hint="eastAsia" w:ascii="楷体" w:hAnsi="楷体" w:eastAsia="楷体" w:cs="楷体"/>
          <w:b/>
          <w:bCs/>
          <w:kern w:val="2"/>
          <w:sz w:val="24"/>
          <w:szCs w:val="24"/>
          <w:lang w:val="en-US" w:eastAsia="zh-CN" w:bidi="ar"/>
        </w:rPr>
        <w:t>1200块</w:t>
      </w:r>
      <w:r>
        <w:rPr>
          <w:rFonts w:hint="eastAsia" w:ascii="楷体" w:hAnsi="楷体" w:eastAsia="楷体" w:cs="楷体"/>
          <w:kern w:val="2"/>
          <w:sz w:val="24"/>
          <w:szCs w:val="24"/>
          <w:lang w:val="en-US" w:eastAsia="zh-CN" w:bidi="ar"/>
        </w:rPr>
        <w:t>镜框海报，画面规格为40cm×60cm。根据市场调研，单价预估400元/块/月（含画面制作、安装、维护及更换服务），总预算48万元。</w:t>
      </w:r>
    </w:p>
    <w:tbl>
      <w:tblPr>
        <w:tblStyle w:val="29"/>
        <w:tblW w:w="9960"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31"/>
        <w:gridCol w:w="738"/>
        <w:gridCol w:w="2790"/>
        <w:gridCol w:w="3636"/>
        <w:gridCol w:w="1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9960" w:type="dxa"/>
            <w:gridSpan w:val="5"/>
            <w:tcBorders>
              <w:top w:val="nil"/>
              <w:left w:val="nil"/>
              <w:bottom w:val="single" w:color="auto" w:sz="4" w:space="0"/>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b/>
                <w:bCs/>
                <w:i w:val="0"/>
                <w:iCs w:val="0"/>
                <w:color w:val="auto"/>
                <w:sz w:val="28"/>
                <w:szCs w:val="28"/>
                <w:u w:val="none"/>
              </w:rPr>
            </w:pPr>
            <w:r>
              <w:rPr>
                <w:rFonts w:hint="eastAsia" w:ascii="楷体" w:hAnsi="楷体" w:eastAsia="楷体" w:cs="楷体"/>
                <w:kern w:val="2"/>
                <w:sz w:val="24"/>
                <w:szCs w:val="24"/>
                <w:lang w:val="en-US" w:eastAsia="zh-CN" w:bidi="ar"/>
              </w:rPr>
              <w:t>小区电梯轿厢宣传点位：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楼盘名称</w:t>
            </w:r>
          </w:p>
        </w:tc>
        <w:tc>
          <w:tcPr>
            <w:tcW w:w="738"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区域</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地址</w:t>
            </w:r>
          </w:p>
        </w:tc>
        <w:tc>
          <w:tcPr>
            <w:tcW w:w="363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周边环境</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电梯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金瑞国际</w:t>
            </w:r>
          </w:p>
        </w:tc>
        <w:tc>
          <w:tcPr>
            <w:tcW w:w="738"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城南</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广安市广惠街158号</w:t>
            </w:r>
          </w:p>
        </w:tc>
        <w:tc>
          <w:tcPr>
            <w:tcW w:w="363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思源广场 执法局 医院 银行</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金港湾</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城南</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广福街道清溪街154号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西溪河、摩尔春天、美好家园</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国际商业中心</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城南</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广安区滨河路一段88号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摩尔商业中心</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南苑</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宏志大道499号</w:t>
            </w:r>
          </w:p>
        </w:tc>
        <w:tc>
          <w:tcPr>
            <w:tcW w:w="3636"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广安实验学校、吾悦广场</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大明上城</w:t>
            </w:r>
          </w:p>
        </w:tc>
        <w:tc>
          <w:tcPr>
            <w:tcW w:w="738"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广安市朝阳大道168号</w:t>
            </w:r>
          </w:p>
        </w:tc>
        <w:tc>
          <w:tcPr>
            <w:tcW w:w="363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市人民医院、成都银行</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银杏华庭</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宏志大道595号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广安实验学校、检察院</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华油苑</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河堰路160号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市人民医院、学校、联通公司</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环宇广场</w:t>
            </w:r>
          </w:p>
        </w:tc>
        <w:tc>
          <w:tcPr>
            <w:tcW w:w="738"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凌云东路319号</w:t>
            </w:r>
          </w:p>
        </w:tc>
        <w:tc>
          <w:tcPr>
            <w:tcW w:w="363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加德天街、广安中学实验学校、妇幼保健院、加德学校</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德盛雅苑</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广安区凌云东路231号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加德天街、广安实验学校、公园</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立新名城</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河堰路</w:t>
            </w:r>
            <w:bookmarkStart w:id="200" w:name="_GoBack"/>
            <w:r>
              <w:rPr>
                <w:rFonts w:hint="eastAsia" w:ascii="方正仿宋_GBK" w:hAnsi="方正仿宋_GBK" w:eastAsia="方正仿宋_GBK" w:cs="方正仿宋_GBK"/>
                <w:i w:val="0"/>
                <w:iCs w:val="0"/>
                <w:color w:val="auto"/>
                <w:kern w:val="0"/>
                <w:sz w:val="22"/>
                <w:szCs w:val="22"/>
                <w:u w:val="none"/>
                <w:lang w:val="en-US" w:eastAsia="zh-CN" w:bidi="ar"/>
              </w:rPr>
              <w:t>17</w:t>
            </w:r>
            <w:bookmarkEnd w:id="200"/>
            <w:r>
              <w:rPr>
                <w:rFonts w:hint="eastAsia" w:ascii="方正仿宋_GBK" w:hAnsi="方正仿宋_GBK" w:eastAsia="方正仿宋_GBK" w:cs="方正仿宋_GBK"/>
                <w:i w:val="0"/>
                <w:iCs w:val="0"/>
                <w:color w:val="auto"/>
                <w:kern w:val="0"/>
                <w:sz w:val="22"/>
                <w:szCs w:val="22"/>
                <w:u w:val="none"/>
                <w:lang w:val="en-US" w:eastAsia="zh-CN" w:bidi="ar"/>
              </w:rPr>
              <w:t>1号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联通公司、实验学校</w:t>
            </w:r>
          </w:p>
        </w:tc>
        <w:tc>
          <w:tcPr>
            <w:tcW w:w="1065"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澜悦府.东院</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东南</w:t>
            </w:r>
          </w:p>
        </w:tc>
        <w:tc>
          <w:tcPr>
            <w:tcW w:w="279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中桥街道凤凰大道575号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加德天街、广安实验学校、公园、建材市场</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怡然江岸</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城北</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前锋区环城北路</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奎阁大桥、华泰医院</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滴水岩小区</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枣山</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广安区广武东路2号</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广安高速路口，建材市场，客运站</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17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石谷梁子美好家园</w:t>
            </w:r>
          </w:p>
        </w:tc>
        <w:tc>
          <w:tcPr>
            <w:tcW w:w="738"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枣山</w:t>
            </w:r>
          </w:p>
        </w:tc>
        <w:tc>
          <w:tcPr>
            <w:tcW w:w="2790" w:type="dxa"/>
            <w:tcBorders>
              <w:top w:val="nil"/>
              <w:left w:val="nil"/>
              <w:bottom w:val="single" w:color="auto" w:sz="4" w:space="0"/>
              <w:right w:val="single" w:color="auto" w:sz="4" w:space="0"/>
            </w:tcBorders>
            <w:shd w:val="clear" w:color="000000" w:fill="FFFFFF"/>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枣山大道东段</w:t>
            </w:r>
          </w:p>
        </w:tc>
        <w:tc>
          <w:tcPr>
            <w:tcW w:w="3636" w:type="dxa"/>
            <w:tcBorders>
              <w:top w:val="nil"/>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广安高速路口，建材市场，客运站、广安南站</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auto"/>
                <w:sz w:val="22"/>
                <w:szCs w:val="22"/>
                <w:u w:val="none"/>
              </w:rPr>
            </w:pPr>
            <w:r>
              <w:rPr>
                <w:rFonts w:hint="eastAsia" w:ascii="方正仿宋_GBK" w:hAnsi="方正仿宋_GBK" w:eastAsia="方正仿宋_GBK" w:cs="方正仿宋_GBK"/>
                <w:i w:val="0"/>
                <w:iCs w:val="0"/>
                <w:color w:val="auto"/>
                <w:kern w:val="0"/>
                <w:sz w:val="22"/>
                <w:szCs w:val="22"/>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8895"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10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200</w:t>
            </w:r>
          </w:p>
        </w:tc>
      </w:tr>
    </w:tbl>
    <w:p>
      <w:pPr>
        <w:pStyle w:val="2"/>
        <w:numPr>
          <w:ilvl w:val="0"/>
          <w:numId w:val="0"/>
        </w:numPr>
        <w:ind w:firstLine="480" w:firstLineChars="200"/>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注：以上数量为预估，仅作为供应商报价依据，不作为采购方承诺。人保财险前锋区支公司分次进行投放，每次投放最终根据与供应商共同确认的实际小区轿厢数量据实结算。</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hint="eastAsia" w:ascii="楷体" w:hAnsi="楷体" w:eastAsia="楷体" w:cs="仿宋_GB2312"/>
          <w:color w:val="000000" w:themeColor="text1"/>
          <w14:textFill>
            <w14:solidFill>
              <w14:schemeClr w14:val="tx1"/>
            </w14:solidFill>
          </w14:textFill>
        </w:rPr>
        <w:t>付款方式（应与合同条款中相关描述保持一致）</w:t>
      </w:r>
    </w:p>
    <w:p>
      <w:pPr>
        <w:pStyle w:val="2"/>
        <w:ind w:firstLine="480" w:firstLineChars="200"/>
        <w:rPr>
          <w:rFonts w:hint="eastAsia" w:ascii="楷体" w:hAnsi="楷体" w:eastAsia="楷体" w:cs="楷体"/>
          <w:color w:val="000000" w:themeColor="text1"/>
          <w:kern w:val="2"/>
          <w:sz w:val="24"/>
          <w:szCs w:val="24"/>
          <w:lang w:val="en-US" w:eastAsia="zh-CN" w:bidi="ar"/>
          <w14:textFill>
            <w14:solidFill>
              <w14:schemeClr w14:val="tx1"/>
            </w14:solidFill>
          </w14:textFill>
        </w:rPr>
      </w:pPr>
      <w:r>
        <w:rPr>
          <w:rFonts w:hint="eastAsia" w:ascii="楷体" w:hAnsi="楷体" w:eastAsia="楷体" w:cs="楷体"/>
          <w:color w:val="000000" w:themeColor="text1"/>
          <w:kern w:val="2"/>
          <w:sz w:val="24"/>
          <w:szCs w:val="24"/>
          <w:lang w:val="en-US" w:eastAsia="zh-CN" w:bidi="ar"/>
          <w14:textFill>
            <w14:solidFill>
              <w14:schemeClr w14:val="tx1"/>
            </w14:solidFill>
          </w14:textFill>
        </w:rPr>
        <w:t>在合同期限内单次投放数量据实结算，供应商提供正规发票及单次投放结算清单，采购方审核无误后，在30个工作日内支付对应款项，累计投放结算额度不超过合同总额。</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hint="eastAsia" w:ascii="楷体" w:hAnsi="楷体" w:eastAsia="楷体" w:cs="仿宋_GB2312"/>
          <w:color w:val="000000" w:themeColor="text1"/>
          <w14:textFill>
            <w14:solidFill>
              <w14:schemeClr w14:val="tx1"/>
            </w14:solidFill>
          </w14:textFill>
        </w:rPr>
        <w:t>规格型号/技术/服务要求</w:t>
      </w:r>
    </w:p>
    <w:p>
      <w:pPr>
        <w:numPr>
          <w:ilvl w:val="0"/>
          <w:numId w:val="4"/>
        </w:numPr>
        <w:spacing w:line="360" w:lineRule="auto"/>
        <w:ind w:firstLine="480" w:firstLineChars="200"/>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规格：外框尺寸统一为40cm×60cm（内页海报尺寸38 cm *58 cm）</w:t>
      </w:r>
    </w:p>
    <w:p>
      <w:pPr>
        <w:numPr>
          <w:ilvl w:val="0"/>
          <w:numId w:val="0"/>
        </w:numPr>
        <w:spacing w:line="360" w:lineRule="auto"/>
        <w:ind w:firstLine="480" w:firstLineChars="200"/>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（二）服务要求：</w:t>
      </w:r>
    </w:p>
    <w:p>
      <w:pPr>
        <w:spacing w:line="360" w:lineRule="auto"/>
        <w:ind w:firstLine="480" w:firstLineChars="200"/>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供应商需按采购方指定时间、地点完成宣传牌安装，确保安装位置合规、牢固，投放前提供安装点位清单或现场照片、视频确认；投放期间定期巡检，及时修复脱落、破损、褪色等问题，保障宣传效果。</w:t>
      </w:r>
    </w:p>
    <w:p>
      <w:pPr>
        <w:spacing w:line="360" w:lineRule="auto"/>
        <w:ind w:firstLine="480" w:firstLineChars="200"/>
        <w:rPr>
          <w:rFonts w:ascii="楷体" w:hAnsi="楷体" w:eastAsia="楷体" w:cs="楷体"/>
          <w:color w:val="000000" w:themeColor="text1"/>
          <w:kern w:val="2"/>
          <w:lang w:bidi="ar"/>
          <w14:textFill>
            <w14:solidFill>
              <w14:schemeClr w14:val="tx1"/>
            </w14:solidFill>
          </w14:textFill>
        </w:rPr>
      </w:pPr>
    </w:p>
    <w:p>
      <w:pPr>
        <w:pStyle w:val="2"/>
        <w:ind w:left="480" w:leftChars="200"/>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 xml:space="preserve"> </w:t>
      </w:r>
      <w:r>
        <w:rPr>
          <w:rFonts w:ascii="楷体" w:hAnsi="楷体" w:eastAsia="楷体"/>
          <w:color w:val="000000" w:themeColor="text1"/>
          <w14:textFill>
            <w14:solidFill>
              <w14:schemeClr w14:val="tx1"/>
            </w14:solidFill>
          </w14:textFill>
        </w:rPr>
        <w:t xml:space="preserve">   </w:t>
      </w:r>
    </w:p>
    <w:p>
      <w:pPr>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34" w:name="_Toc22672"/>
      <w:bookmarkStart w:id="135" w:name="_Toc3675"/>
      <w:bookmarkStart w:id="136" w:name="_Toc9891"/>
      <w:r>
        <w:rPr>
          <w:rFonts w:hint="eastAsia" w:ascii="仿宋" w:hAnsi="仿宋" w:eastAsia="仿宋" w:cs="仿宋"/>
          <w:color w:val="000000" w:themeColor="text1"/>
          <w:sz w:val="28"/>
          <w:szCs w:val="28"/>
          <w14:textFill>
            <w14:solidFill>
              <w14:schemeClr w14:val="tx1"/>
            </w14:solidFill>
          </w14:textFill>
        </w:rPr>
        <w:t>第六章 响应文件格式</w:t>
      </w:r>
      <w:bookmarkEnd w:id="134"/>
      <w:bookmarkEnd w:id="135"/>
    </w:p>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宋体"/>
          <w:b/>
          <w:color w:val="000000" w:themeColor="text1"/>
          <w14:textFill>
            <w14:solidFill>
              <w14:schemeClr w14:val="tx1"/>
            </w14:solidFill>
          </w14:textFill>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正本</w:t>
            </w:r>
          </w:p>
          <w:p>
            <w:pPr>
              <w:pStyle w:val="61"/>
              <w:ind w:right="-284"/>
              <w:jc w:val="center"/>
              <w:rPr>
                <w:rFonts w:hint="eastAsia" w:ascii="仿宋" w:hAnsi="仿宋" w:eastAsia="仿宋" w:cs="仿宋"/>
                <w:color w:val="000000" w:themeColor="text1"/>
                <w:sz w:val="28"/>
                <w:u w:val="single"/>
                <w:lang w:eastAsia="zh-CN"/>
                <w14:textFill>
                  <w14:solidFill>
                    <w14:schemeClr w14:val="tx1"/>
                  </w14:solidFill>
                </w14:textFill>
              </w:rPr>
            </w:pPr>
            <w:r>
              <w:rPr>
                <w:rFonts w:hint="eastAsia" w:ascii="仿宋" w:hAnsi="仿宋" w:eastAsia="仿宋" w:cs="仿宋"/>
                <w:color w:val="000000" w:themeColor="text1"/>
                <w:sz w:val="32"/>
                <w:lang w:eastAsia="zh-CN"/>
                <w14:textFill>
                  <w14:solidFill>
                    <w14:schemeClr w14:val="tx1"/>
                  </w14:solidFill>
                </w14:textFill>
              </w:rPr>
              <w:t>人保财险四川省广安分公司前锋区支公司电梯轿厢宣传服务采购项目</w:t>
            </w: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比价响应文件</w:t>
            </w: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p>
          <w:p>
            <w:pPr>
              <w:pStyle w:val="61"/>
              <w:spacing w:before="624" w:after="156" w:line="240" w:lineRule="atLeast"/>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（商务文件/报价文件）</w:t>
            </w:r>
          </w:p>
          <w:p>
            <w:pPr>
              <w:pStyle w:val="61"/>
              <w:spacing w:before="1560" w:line="400" w:lineRule="atLeast"/>
              <w:ind w:right="-284" w:firstLine="2520" w:firstLineChars="10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（盖章）</w:t>
            </w:r>
          </w:p>
          <w:p>
            <w:pPr>
              <w:pStyle w:val="61"/>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法定代表人或其委托的代理人：（签字或盖章）</w:t>
            </w:r>
          </w:p>
          <w:p>
            <w:pPr>
              <w:pStyle w:val="61"/>
              <w:spacing w:after="624"/>
              <w:ind w:right="-284"/>
              <w:jc w:val="center"/>
              <w:rPr>
                <w:rFonts w:ascii="仿宋" w:hAnsi="仿宋" w:eastAsia="仿宋" w:cs="仿宋"/>
                <w:color w:val="000000" w:themeColor="text1"/>
                <w:sz w:val="24"/>
                <w14:textFill>
                  <w14:solidFill>
                    <w14:schemeClr w14:val="tx1"/>
                  </w14:solidFill>
                </w14:textFill>
              </w:rPr>
            </w:pPr>
          </w:p>
          <w:p>
            <w:pPr>
              <w:pStyle w:val="61"/>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年     月      日</w:t>
            </w:r>
          </w:p>
        </w:tc>
      </w:tr>
    </w:tbl>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-------------于年月日时分之前不准启封（公章）------------</w:t>
            </w:r>
          </w:p>
        </w:tc>
      </w:tr>
    </w:tbl>
    <w:p>
      <w:pPr>
        <w:rPr>
          <w:rFonts w:ascii="仿宋" w:hAnsi="仿宋" w:eastAsia="仿宋" w:cs="仿宋"/>
          <w:color w:val="000000" w:themeColor="text1"/>
          <w:szCs w:val="21"/>
          <w14:textFill>
            <w14:solidFill>
              <w14:schemeClr w14:val="tx1"/>
            </w14:solidFill>
          </w14:textFill>
        </w:rPr>
      </w:pPr>
    </w:p>
    <w:p>
      <w:pPr>
        <w:pStyle w:val="4"/>
        <w:jc w:val="both"/>
        <w:rPr>
          <w:rFonts w:ascii="仿宋" w:hAnsi="仿宋" w:eastAsia="仿宋" w:cs="仿宋"/>
          <w:color w:val="000000" w:themeColor="text1"/>
          <w:sz w:val="24"/>
          <w:szCs w:val="24"/>
          <w14:textFill>
            <w14:solidFill>
              <w14:schemeClr w14:val="tx1"/>
            </w14:solidFill>
          </w14:textFill>
        </w:rPr>
      </w:pPr>
      <w:bookmarkStart w:id="137" w:name="_Toc3936"/>
      <w:bookmarkStart w:id="138" w:name="_Toc21280"/>
      <w:bookmarkStart w:id="139" w:name="_Toc11783"/>
      <w:bookmarkStart w:id="140" w:name="_Toc25957"/>
      <w:bookmarkStart w:id="141" w:name="_Toc19783362"/>
      <w:bookmarkStart w:id="142" w:name="_Toc287600131"/>
      <w:bookmarkStart w:id="143" w:name="_Toc19910"/>
      <w:bookmarkStart w:id="144" w:name="_Toc517281836"/>
      <w:bookmarkStart w:id="145" w:name="_Toc444891353"/>
      <w:bookmarkStart w:id="146" w:name="_Toc19783360"/>
      <w:bookmarkStart w:id="147" w:name="_Toc287600129"/>
      <w:r>
        <w:rPr>
          <w:rFonts w:ascii="仿宋" w:hAnsi="仿宋" w:eastAsia="仿宋" w:cs="仿宋"/>
          <w:color w:val="000000" w:themeColor="text1"/>
          <w:sz w:val="24"/>
          <w:szCs w:val="24"/>
          <w14:textFill>
            <w14:solidFill>
              <w14:schemeClr w14:val="tx1"/>
            </w14:solidFill>
          </w14:textFill>
        </w:rPr>
        <w:br w:type="page"/>
      </w:r>
      <w:bookmarkStart w:id="148" w:name="_Toc25430"/>
      <w:bookmarkStart w:id="149" w:name="_Toc17191"/>
      <w:r>
        <w:rPr>
          <w:rFonts w:hint="eastAsia" w:ascii="仿宋" w:hAnsi="仿宋" w:eastAsia="仿宋" w:cs="仿宋"/>
          <w:color w:val="000000" w:themeColor="text1"/>
          <w:sz w:val="24"/>
          <w:szCs w:val="24"/>
          <w14:textFill>
            <w14:solidFill>
              <w14:schemeClr w14:val="tx1"/>
            </w14:solidFill>
          </w14:textFill>
        </w:rPr>
        <w:t>一、商务文件</w:t>
      </w:r>
      <w:bookmarkEnd w:id="137"/>
      <w:bookmarkEnd w:id="148"/>
      <w:bookmarkEnd w:id="149"/>
    </w:p>
    <w:p>
      <w:pPr>
        <w:jc w:val="center"/>
        <w:rPr>
          <w:color w:val="000000" w:themeColor="text1"/>
          <w14:textFill>
            <w14:solidFill>
              <w14:schemeClr w14:val="tx1"/>
            </w14:solidFill>
          </w14:textFill>
        </w:rPr>
      </w:pPr>
      <w:bookmarkStart w:id="150" w:name="_Toc26744"/>
      <w:r>
        <w:rPr>
          <w:rFonts w:hint="eastAsia" w:ascii="仿宋" w:hAnsi="仿宋" w:eastAsia="仿宋" w:cs="仿宋"/>
          <w:b/>
          <w:bCs/>
          <w:color w:val="000000" w:themeColor="text1"/>
          <w14:textFill>
            <w14:solidFill>
              <w14:schemeClr w14:val="tx1"/>
            </w14:solidFill>
          </w14:textFill>
        </w:rPr>
        <w:t>初步评审索引表</w:t>
      </w:r>
      <w:bookmarkEnd w:id="150"/>
    </w:p>
    <w:tbl>
      <w:tblPr>
        <w:tblStyle w:val="29"/>
        <w:tblW w:w="508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7"/>
        <w:gridCol w:w="421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701" w:type="dxa"/>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3298" w:type="dxa"/>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4215"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3298"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line="276"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4215"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4215"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line="276" w:lineRule="auto"/>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4215" w:type="dxa"/>
            <w:vAlign w:val="center"/>
          </w:tcPr>
          <w:p>
            <w:pPr>
              <w:pStyle w:val="61"/>
              <w:spacing w:before="48" w:beforeLines="20" w:after="48" w:afterLines="20" w:line="276" w:lineRule="auto"/>
              <w:rPr>
                <w:rFonts w:ascii="仿宋" w:hAnsi="仿宋" w:eastAsia="仿宋" w:cs="仿宋"/>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3298"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jc w:val="center"/>
              <w:rPr>
                <w:rFonts w:hint="eastAsia"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具有履行合同所必需的设备和专业技术能力</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3298"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8"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4215"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bl>
    <w:p>
      <w:pPr>
        <w:rPr>
          <w:rFonts w:ascii="宋体" w:hAnsi="宋体"/>
          <w:color w:val="000000" w:themeColor="text1"/>
          <w:szCs w:val="21"/>
          <w14:textFill>
            <w14:solidFill>
              <w14:schemeClr w14:val="tx1"/>
            </w14:solidFill>
          </w14:textFill>
        </w:rPr>
        <w:sectPr>
          <w:footerReference r:id="rId8" w:type="default"/>
          <w:pgSz w:w="11906" w:h="16838"/>
          <w:pgMar w:top="1417" w:right="1134" w:bottom="1134" w:left="1134" w:header="964" w:footer="964" w:gutter="0"/>
          <w:cols w:space="720" w:num="1"/>
          <w:docGrid w:linePitch="312" w:charSpace="0"/>
        </w:sectPr>
      </w:pPr>
    </w:p>
    <w:bookmarkEnd w:id="138"/>
    <w:bookmarkEnd w:id="139"/>
    <w:bookmarkEnd w:id="140"/>
    <w:bookmarkEnd w:id="141"/>
    <w:bookmarkEnd w:id="142"/>
    <w:bookmarkEnd w:id="143"/>
    <w:bookmarkEnd w:id="144"/>
    <w:bookmarkEnd w:id="145"/>
    <w:p>
      <w:pPr>
        <w:pStyle w:val="5"/>
        <w:spacing w:before="0" w:line="440" w:lineRule="exact"/>
        <w:rPr>
          <w:rFonts w:ascii="仿宋" w:hAnsi="仿宋" w:eastAsia="仿宋" w:cs="仿宋"/>
          <w:color w:val="000000" w:themeColor="text1"/>
          <w:sz w:val="24"/>
          <w:szCs w:val="24"/>
          <w14:textFill>
            <w14:solidFill>
              <w14:schemeClr w14:val="tx1"/>
            </w14:solidFill>
          </w14:textFill>
        </w:rPr>
      </w:pPr>
      <w:bookmarkStart w:id="151" w:name="_Toc27958"/>
      <w:bookmarkStart w:id="152" w:name="_Toc21826"/>
      <w:bookmarkStart w:id="153" w:name="_Toc7202"/>
      <w:bookmarkStart w:id="154" w:name="_Toc27799"/>
      <w:bookmarkStart w:id="155" w:name="_Toc25121"/>
      <w:bookmarkStart w:id="156" w:name="_Toc12140"/>
      <w:bookmarkStart w:id="157" w:name="_Toc444891354"/>
      <w:bookmarkStart w:id="158" w:name="_Toc517281837"/>
      <w:r>
        <w:rPr>
          <w:rFonts w:hint="eastAsia" w:ascii="仿宋" w:hAnsi="仿宋" w:eastAsia="仿宋" w:cs="仿宋"/>
          <w:color w:val="000000" w:themeColor="text1"/>
          <w:sz w:val="24"/>
          <w:szCs w:val="24"/>
          <w14:textFill>
            <w14:solidFill>
              <w14:schemeClr w14:val="tx1"/>
            </w14:solidFill>
          </w14:textFill>
        </w:rPr>
        <w:t>（一）响应函</w:t>
      </w:r>
      <w:bookmarkEnd w:id="151"/>
      <w:bookmarkEnd w:id="152"/>
    </w:p>
    <w:p>
      <w:pPr>
        <w:pStyle w:val="61"/>
        <w:spacing w:line="440" w:lineRule="exact"/>
        <w:rPr>
          <w:rFonts w:ascii="仿宋" w:hAnsi="仿宋" w:eastAsia="仿宋" w:cs="Cambria Math"/>
          <w:color w:val="000000" w:themeColor="text1"/>
          <w:sz w:val="24"/>
          <w:szCs w:val="24"/>
          <w:u w:val="single"/>
          <w14:textFill>
            <w14:solidFill>
              <w14:schemeClr w14:val="tx1"/>
            </w14:solidFill>
          </w14:textFill>
        </w:rPr>
      </w:pPr>
      <w:r>
        <w:rPr>
          <w:rFonts w:hint="eastAsia" w:ascii="仿宋" w:hAnsi="仿宋" w:eastAsia="仿宋" w:cs="Cambria Math"/>
          <w:color w:val="000000" w:themeColor="text1"/>
          <w:sz w:val="24"/>
          <w:szCs w:val="24"/>
          <w:u w:val="single"/>
          <w14:textFill>
            <w14:solidFill>
              <w14:schemeClr w14:val="tx1"/>
            </w14:solidFill>
          </w14:textFill>
        </w:rPr>
        <w:t xml:space="preserve">致：中国人民财产保险股份有限公司广安市分公司     </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（以下称“我方”）已仔细研究了</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lang w:eastAsia="zh-CN"/>
          <w14:textFill>
            <w14:solidFill>
              <w14:schemeClr w14:val="tx1"/>
            </w14:solidFill>
          </w14:textFill>
        </w:rPr>
        <w:t>人保财险四川省广安分公司前锋区支公司电梯轿厢宣传服务采购项目</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现我方承诺如下内容：</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 本响应函及比价响应文件自比价响应文件提交截止日起有效期为</w:t>
      </w:r>
      <w:r>
        <w:rPr>
          <w:rFonts w:hint="eastAsia" w:ascii="仿宋" w:hAnsi="仿宋" w:eastAsia="仿宋" w:cs="Cambria Math"/>
          <w:color w:val="000000" w:themeColor="text1"/>
          <w:u w:val="single"/>
          <w14:textFill>
            <w14:solidFill>
              <w14:schemeClr w14:val="tx1"/>
            </w14:solidFill>
          </w14:textFill>
        </w:rPr>
        <w:t>30天</w:t>
      </w:r>
      <w:r>
        <w:rPr>
          <w:rFonts w:hint="eastAsia" w:ascii="仿宋" w:hAnsi="仿宋" w:eastAsia="仿宋" w:cs="Cambria Math"/>
          <w:color w:val="000000" w:themeColor="text1"/>
          <w14:textFill>
            <w14:solidFill>
              <w14:schemeClr w14:val="tx1"/>
            </w14:solidFill>
          </w14:textFill>
        </w:rPr>
        <w:t>，我方承诺在响应有效期内不修改、撤销比价响应文件。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2</w:t>
      </w:r>
      <w:r>
        <w:rPr>
          <w:rFonts w:hint="eastAsia" w:ascii="仿宋" w:hAnsi="仿宋" w:eastAsia="仿宋" w:cs="Cambria Math"/>
          <w:color w:val="000000" w:themeColor="text1"/>
          <w14:textFill>
            <w14:solidFill>
              <w14:schemeClr w14:val="tx1"/>
            </w14:solidFill>
          </w14:textFill>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3</w:t>
      </w:r>
      <w:r>
        <w:rPr>
          <w:rFonts w:hint="eastAsia" w:ascii="仿宋" w:hAnsi="仿宋" w:eastAsia="仿宋" w:cs="Cambria Math"/>
          <w:color w:val="000000" w:themeColor="text1"/>
          <w14:textFill>
            <w14:solidFill>
              <w14:schemeClr w14:val="tx1"/>
            </w14:solidFill>
          </w14:textFill>
        </w:rPr>
        <w:t>. 我方同意提供贵方可能要求的与我方响应文件有关的一切数据、资料、证明原件、证件原件。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4</w:t>
      </w:r>
      <w:r>
        <w:rPr>
          <w:rFonts w:hint="eastAsia" w:ascii="仿宋" w:hAnsi="仿宋" w:eastAsia="仿宋" w:cs="Cambria Math"/>
          <w:color w:val="000000" w:themeColor="text1"/>
          <w14:textFill>
            <w14:solidFill>
              <w14:schemeClr w14:val="tx1"/>
            </w14:solidFill>
          </w14:textFill>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6</w:t>
      </w:r>
      <w:r>
        <w:rPr>
          <w:rFonts w:hint="eastAsia" w:ascii="仿宋" w:hAnsi="仿宋" w:eastAsia="仿宋" w:cs="Cambria Math"/>
          <w:color w:val="000000" w:themeColor="text1"/>
          <w14:textFill>
            <w14:solidFill>
              <w14:schemeClr w14:val="tx1"/>
            </w14:solidFill>
          </w14:textFill>
        </w:rPr>
        <w:t>. 如我方成交：</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（1）我方承诺在收到成交通知书后，在成交通知书规定的期限内与贵方签订合同。</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（2）我方承诺按照比价文件规定递交履约保证金。</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（3）我方承诺按照比价文件的规定及合同约定履行相关责任和义务。</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（4）我方在此承诺，双方合作后可开具增值税专用发票。</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r>
      <w:bookmarkEnd w:id="146"/>
      <w:bookmarkEnd w:id="147"/>
      <w:bookmarkEnd w:id="153"/>
      <w:bookmarkEnd w:id="154"/>
      <w:bookmarkEnd w:id="155"/>
      <w:bookmarkEnd w:id="156"/>
      <w:bookmarkEnd w:id="157"/>
      <w:bookmarkEnd w:id="158"/>
      <w:bookmarkStart w:id="159" w:name="_Toc13983"/>
      <w:bookmarkStart w:id="160" w:name="_Toc21939"/>
      <w:r>
        <w:rPr>
          <w:rFonts w:hint="eastAsia" w:ascii="仿宋" w:hAnsi="仿宋" w:eastAsia="仿宋" w:cs="仿宋"/>
          <w:color w:val="000000" w:themeColor="text1"/>
          <w:sz w:val="24"/>
          <w:szCs w:val="24"/>
          <w14:textFill>
            <w14:solidFill>
              <w14:schemeClr w14:val="tx1"/>
            </w14:solidFill>
          </w14:textFill>
        </w:rPr>
        <w:t>（二）法定代表人（负责人）身份证明书</w:t>
      </w:r>
      <w:bookmarkEnd w:id="159"/>
      <w:bookmarkEnd w:id="160"/>
      <w:r>
        <w:rPr>
          <w:rFonts w:hint="eastAsia" w:ascii="仿宋" w:hAnsi="仿宋" w:eastAsia="仿宋" w:cs="仿宋"/>
          <w:color w:val="000000" w:themeColor="text1"/>
          <w:sz w:val="24"/>
          <w:szCs w:val="24"/>
          <w14:textFill>
            <w14:solidFill>
              <w14:schemeClr w14:val="tx1"/>
            </w14:solidFill>
          </w14:textFill>
        </w:rPr>
        <w:tab/>
      </w:r>
    </w:p>
    <w:p>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法定代表人（负责人）身份证明书</w:t>
      </w:r>
      <w:r>
        <w:rPr>
          <w:rFonts w:hint="eastAsia" w:ascii="仿宋" w:hAnsi="仿宋" w:eastAsia="仿宋" w:cs="仿宋"/>
          <w:b/>
          <w:color w:val="000000" w:themeColor="text1"/>
          <w14:textFill>
            <w14:solidFill>
              <w14:schemeClr w14:val="tx1"/>
            </w14:solidFill>
          </w14:textFill>
        </w:rPr>
        <w:tab/>
      </w:r>
    </w:p>
    <w:p>
      <w:pPr>
        <w:spacing w:line="360" w:lineRule="auto"/>
        <w:rPr>
          <w:rFonts w:ascii="仿宋" w:hAnsi="仿宋" w:eastAsia="仿宋" w:cs="仿宋"/>
          <w:b/>
          <w:color w:val="000000" w:themeColor="text1"/>
          <w14:textFill>
            <w14:solidFill>
              <w14:schemeClr w14:val="tx1"/>
            </w14:solidFill>
          </w14:textFill>
        </w:rPr>
      </w:pP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职务：</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（供应商名称）的法定代表人（负责人）。</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特此证明。</w:t>
      </w:r>
    </w:p>
    <w:p>
      <w:pPr>
        <w:topLinePunct/>
        <w:spacing w:line="360" w:lineRule="auto"/>
        <w:rPr>
          <w:rFonts w:ascii="仿宋" w:hAnsi="仿宋" w:eastAsia="仿宋" w:cs="仿宋"/>
          <w:color w:val="000000" w:themeColor="text1"/>
          <w14:textFill>
            <w14:solidFill>
              <w14:schemeClr w14:val="tx1"/>
            </w14:solidFill>
          </w14:textFill>
        </w:rPr>
      </w:pP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附：法定代表人（负责人）身份证复印件（需同时提供正面及背面）。</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firstLine="610"/>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wordWrap w:val="0"/>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61" w:name="_Toc287600130"/>
      <w:bookmarkStart w:id="162" w:name="_Toc4426"/>
      <w:bookmarkStart w:id="163" w:name="_Toc19783361"/>
      <w:bookmarkStart w:id="164" w:name="_Toc20707"/>
      <w:bookmarkStart w:id="165" w:name="_Toc517281838"/>
      <w:bookmarkStart w:id="166" w:name="_Toc24788"/>
      <w:bookmarkStart w:id="167" w:name="_Toc5582"/>
      <w:bookmarkStart w:id="168" w:name="_Toc27380"/>
      <w:bookmarkStart w:id="169" w:name="_Toc26267"/>
      <w:bookmarkStart w:id="170" w:name="_Toc444891355"/>
      <w:r>
        <w:rPr>
          <w:rFonts w:hint="eastAsia" w:ascii="仿宋" w:hAnsi="仿宋" w:eastAsia="仿宋" w:cs="仿宋"/>
          <w:color w:val="000000" w:themeColor="text1"/>
          <w:sz w:val="24"/>
          <w:szCs w:val="24"/>
          <w14:textFill>
            <w14:solidFill>
              <w14:schemeClr w14:val="tx1"/>
            </w14:solidFill>
          </w14:textFill>
        </w:rPr>
        <w:t>（三）法定代表人（负责人）授权委托书</w:t>
      </w:r>
      <w:bookmarkEnd w:id="161"/>
      <w:bookmarkEnd w:id="162"/>
      <w:bookmarkEnd w:id="163"/>
      <w:bookmarkEnd w:id="164"/>
      <w:bookmarkEnd w:id="165"/>
      <w:bookmarkEnd w:id="166"/>
      <w:bookmarkEnd w:id="167"/>
      <w:bookmarkEnd w:id="168"/>
      <w:bookmarkEnd w:id="169"/>
      <w:bookmarkEnd w:id="170"/>
    </w:p>
    <w:p>
      <w:pPr>
        <w:pStyle w:val="61"/>
        <w:spacing w:before="240" w:after="240" w:line="360" w:lineRule="auto"/>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法定代表人（负责人）授权委托书</w:t>
      </w:r>
    </w:p>
    <w:p>
      <w:pPr>
        <w:pStyle w:val="61"/>
        <w:topLinePunct/>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系</w:t>
      </w:r>
      <w:r>
        <w:rPr>
          <w:rFonts w:hint="eastAsia" w:ascii="仿宋" w:hAnsi="仿宋" w:eastAsia="仿宋" w:cs="仿宋"/>
          <w:color w:val="000000" w:themeColor="text1"/>
          <w:sz w:val="24"/>
          <w:u w:val="single"/>
          <w14:textFill>
            <w14:solidFill>
              <w14:schemeClr w14:val="tx1"/>
            </w14:solidFill>
          </w14:textFill>
        </w:rPr>
        <w:t>（供应商名称）</w:t>
      </w:r>
      <w:r>
        <w:rPr>
          <w:rFonts w:hint="eastAsia" w:ascii="仿宋" w:hAnsi="仿宋" w:eastAsia="仿宋" w:cs="仿宋"/>
          <w:color w:val="000000" w:themeColor="text1"/>
          <w:sz w:val="24"/>
          <w14:textFill>
            <w14:solidFill>
              <w14:schemeClr w14:val="tx1"/>
            </w14:solidFill>
          </w14:textFill>
        </w:rPr>
        <w:t>的法定代表人</w:t>
      </w:r>
      <w:r>
        <w:rPr>
          <w:rFonts w:hint="eastAsia" w:ascii="仿宋" w:hAnsi="仿宋" w:eastAsia="仿宋" w:cs="仿宋"/>
          <w:color w:val="000000" w:themeColor="text1"/>
          <w:sz w:val="24"/>
          <w:szCs w:val="24"/>
          <w14:textFill>
            <w14:solidFill>
              <w14:schemeClr w14:val="tx1"/>
            </w14:solidFill>
          </w14:textFill>
        </w:rPr>
        <w:t>（负责人）</w:t>
      </w:r>
      <w:r>
        <w:rPr>
          <w:rFonts w:hint="eastAsia" w:ascii="仿宋" w:hAnsi="仿宋" w:eastAsia="仿宋" w:cs="仿宋"/>
          <w:color w:val="000000" w:themeColor="text1"/>
          <w:sz w:val="24"/>
          <w14:textFill>
            <w14:solidFill>
              <w14:schemeClr w14:val="tx1"/>
            </w14:solidFill>
          </w14:textFill>
        </w:rPr>
        <w:t>，现授权委托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为我方代理人。</w:t>
      </w:r>
      <w:r>
        <w:rPr>
          <w:rFonts w:hint="eastAsia" w:ascii="仿宋" w:hAnsi="仿宋" w:eastAsia="仿宋" w:cs="Cambria Math"/>
          <w:color w:val="000000" w:themeColor="text1"/>
          <w:sz w:val="24"/>
          <w:szCs w:val="24"/>
          <w14:textFill>
            <w14:solidFill>
              <w14:schemeClr w14:val="tx1"/>
            </w14:solidFill>
          </w14:textFill>
        </w:rPr>
        <w:t>代理人根据授权，以我方名义签署、澄清、说明、补正、递交、撤回、修改</w:t>
      </w:r>
      <w:r>
        <w:rPr>
          <w:rFonts w:hint="eastAsia" w:ascii="仿宋" w:hAnsi="仿宋" w:eastAsia="仿宋" w:cs="Cambria Math"/>
          <w:color w:val="000000" w:themeColor="text1"/>
          <w:sz w:val="24"/>
          <w:szCs w:val="24"/>
          <w:u w:val="single"/>
          <w:lang w:eastAsia="zh-CN"/>
          <w14:textFill>
            <w14:solidFill>
              <w14:schemeClr w14:val="tx1"/>
            </w14:solidFill>
          </w14:textFill>
        </w:rPr>
        <w:t>人保财险四川省广安分公司前锋区支公司电梯轿厢宣传服务采购项目</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比价响应文件、签订合同和处理有关事宜，其法律后果由我方承担。</w:t>
      </w:r>
    </w:p>
    <w:p>
      <w:pPr>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之日起至比价响应有效期到期之日为止 </w:t>
      </w:r>
      <w:r>
        <w:rPr>
          <w:rFonts w:hint="eastAsia" w:ascii="仿宋" w:hAnsi="仿宋" w:eastAsia="仿宋" w:cs="Cambria Math"/>
          <w:color w:val="000000" w:themeColor="text1"/>
          <w14:textFill>
            <w14:solidFill>
              <w14:schemeClr w14:val="tx1"/>
            </w14:solidFill>
          </w14:textFill>
        </w:rPr>
        <w:t>。</w:t>
      </w:r>
    </w:p>
    <w:p>
      <w:pPr>
        <w:pStyle w:val="61"/>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代理人无转委托权。</w:t>
      </w:r>
    </w:p>
    <w:p>
      <w:pPr>
        <w:pStyle w:val="61"/>
        <w:spacing w:line="360" w:lineRule="auto"/>
        <w:ind w:firstLine="482" w:firstLineChars="200"/>
        <w:rPr>
          <w:rFonts w:ascii="仿宋" w:hAnsi="仿宋" w:eastAsia="仿宋" w:cs="Cambria Math"/>
          <w:b/>
          <w:bCs/>
          <w:color w:val="000000" w:themeColor="text1"/>
          <w:sz w:val="24"/>
          <w:szCs w:val="24"/>
          <w14:textFill>
            <w14:solidFill>
              <w14:schemeClr w14:val="tx1"/>
            </w14:solidFill>
          </w14:textFill>
        </w:rPr>
      </w:pPr>
    </w:p>
    <w:p>
      <w:pPr>
        <w:pStyle w:val="61"/>
        <w:spacing w:line="360" w:lineRule="auto"/>
        <w:ind w:firstLine="482"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w: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left="720"/>
        <w:rPr>
          <w:rFonts w:ascii="仿宋" w:hAnsi="仿宋" w:eastAsia="仿宋" w:cs="仿宋"/>
          <w:b/>
          <w:color w:val="000000" w:themeColor="text1"/>
          <w14:textFill>
            <w14:solidFill>
              <w14:schemeClr w14:val="tx1"/>
            </w14:solidFill>
          </w14:textFill>
        </w:rPr>
      </w:pPr>
    </w:p>
    <w:p>
      <w:pPr>
        <w:tabs>
          <w:tab w:val="left" w:pos="540"/>
        </w:tabs>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ind w:right="420" w:firstLine="3120" w:firstLineChars="13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（签字或盖章）</w:t>
      </w:r>
    </w:p>
    <w:p>
      <w:pPr>
        <w:pStyle w:val="61"/>
        <w:wordWrap w:val="0"/>
        <w:spacing w:line="360" w:lineRule="auto"/>
        <w:ind w:right="105" w:firstLine="4200" w:firstLineChars="175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（签字</w:t>
      </w:r>
      <w:r>
        <w:rPr>
          <w:rFonts w:hint="eastAsia" w:ascii="仿宋" w:hAnsi="仿宋" w:eastAsia="仿宋" w:cs="Cambria Math"/>
          <w:color w:val="000000" w:themeColor="text1"/>
          <w:sz w:val="24"/>
          <w14:textFill>
            <w14:solidFill>
              <w14:schemeClr w14:val="tx1"/>
            </w14:solidFill>
          </w14:textFill>
        </w:rPr>
        <w:t>或盖章</w:t>
      </w:r>
      <w:r>
        <w:rPr>
          <w:rFonts w:hint="eastAsia" w:ascii="仿宋" w:hAnsi="仿宋" w:eastAsia="仿宋" w:cs="Cambria Math"/>
          <w:color w:val="000000" w:themeColor="text1"/>
          <w:sz w:val="24"/>
          <w:szCs w:val="24"/>
          <w14:textFill>
            <w14:solidFill>
              <w14:schemeClr w14:val="tx1"/>
            </w14:solidFill>
          </w14:textFill>
        </w:rPr>
        <w:t xml:space="preserve">） </w:t>
      </w:r>
    </w:p>
    <w:p>
      <w:pPr>
        <w:wordWrap w:val="0"/>
        <w:spacing w:line="360" w:lineRule="auto"/>
        <w:ind w:firstLine="4200" w:firstLineChars="175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tabs>
          <w:tab w:val="left" w:pos="540"/>
        </w:tabs>
        <w:rPr>
          <w:rFonts w:ascii="仿宋" w:hAnsi="仿宋" w:eastAsia="仿宋" w:cs="仿宋"/>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71" w:name="_Toc30551"/>
      <w:bookmarkStart w:id="172" w:name="_Toc23529"/>
      <w:bookmarkStart w:id="173" w:name="_Toc517281841"/>
      <w:r>
        <w:rPr>
          <w:rFonts w:hint="eastAsia" w:ascii="仿宋" w:hAnsi="仿宋" w:eastAsia="仿宋" w:cs="仿宋"/>
          <w:color w:val="000000" w:themeColor="text1"/>
          <w:sz w:val="24"/>
          <w:szCs w:val="24"/>
          <w14:textFill>
            <w14:solidFill>
              <w14:schemeClr w14:val="tx1"/>
            </w14:solidFill>
          </w14:textFill>
        </w:rPr>
        <w:t>（四）资格证明文件</w:t>
      </w:r>
      <w:bookmarkEnd w:id="171"/>
      <w:bookmarkEnd w:id="172"/>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1、供应商基本情况信息表</w:t>
      </w:r>
    </w:p>
    <w:p>
      <w:pPr>
        <w:pStyle w:val="6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bl>
    <w:p>
      <w:pPr>
        <w:pStyle w:val="61"/>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注：提供由工商部门核发的最新营业执照（正副本皆可）。</w:t>
      </w: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2"/>
        <w:jc w:val="both"/>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、无违法违规记录查询截图</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textAlignment w:val="baseline"/>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（1）失信被执行人查询截图范例：</w:t>
      </w:r>
    </w:p>
    <w:p>
      <w:pPr>
        <w:ind w:firstLine="240" w:firstLineChars="10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w:t>
      </w: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pPr>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pPr>
        <w:ind w:firstLine="240" w:firstLineChars="100"/>
        <w:rPr>
          <w:rFonts w:ascii="仿宋" w:hAnsi="仿宋" w:eastAsia="仿宋" w:cs="仿宋"/>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000000" w:themeColor="text1"/>
          <w14:textFill>
            <w14:solidFill>
              <w14:schemeClr w14:val="tx1"/>
            </w14:solidFill>
          </w14:textFill>
        </w:rPr>
        <w:br w:type="page"/>
      </w:r>
      <w:r>
        <w:rPr>
          <w:rFonts w:hint="eastAsia" w:ascii="仿宋" w:hAnsi="仿宋" w:eastAsia="仿宋" w:cs="仿宋"/>
          <w:color w:val="000000" w:themeColor="text1"/>
          <w:lang w:val="en-US" w:eastAsia="zh-CN"/>
          <w14:textFill>
            <w14:solidFill>
              <w14:schemeClr w14:val="tx1"/>
            </w14:solidFill>
          </w14:textFill>
        </w:rPr>
        <w:t>3</w:t>
      </w:r>
      <w:r>
        <w:rPr>
          <w:rFonts w:hint="eastAsia" w:ascii="仿宋" w:hAnsi="仿宋" w:eastAsia="仿宋" w:cs="仿宋"/>
          <w:color w:val="000000" w:themeColor="text1"/>
          <w14:textFill>
            <w14:solidFill>
              <w14:schemeClr w14:val="tx1"/>
            </w14:solidFill>
          </w14:textFill>
        </w:rPr>
        <w:t>、未列入供应商黑名单且未在禁入期承诺函</w:t>
      </w:r>
    </w:p>
    <w:p>
      <w:pPr>
        <w:pStyle w:val="2"/>
        <w:spacing w:before="24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Cambria Math"/>
          <w:color w:val="000000" w:themeColor="text1"/>
          <w:u w:val="single"/>
          <w14:textFill>
            <w14:solidFill>
              <w14:schemeClr w14:val="tx1"/>
            </w14:solidFill>
          </w14:textFill>
        </w:rPr>
        <w:t>中国人民财产保险股份有限公司广安市分公司</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themeColor="text1"/>
          <w14:textFill>
            <w14:solidFill>
              <w14:schemeClr w14:val="tx1"/>
            </w14:solidFill>
          </w14:textFill>
        </w:rPr>
      </w:pP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特此承诺。</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6"/>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74" w:name="_Hlk69983040"/>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、供应商控股及管理关系情况申报表</w:t>
      </w:r>
    </w:p>
    <w:p>
      <w:pPr>
        <w:pStyle w:val="51"/>
        <w:spacing w:before="240" w:after="240" w:line="360" w:lineRule="auto"/>
        <w:ind w:firstLine="0" w:firstLineChars="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致：</w:t>
      </w:r>
      <w:r>
        <w:rPr>
          <w:rFonts w:hint="eastAsia" w:ascii="仿宋" w:hAnsi="仿宋" w:eastAsia="仿宋" w:cs="宋体"/>
          <w:color w:val="000000" w:themeColor="text1"/>
          <w:u w:val="single"/>
          <w14:textFill>
            <w14:solidFill>
              <w14:schemeClr w14:val="tx1"/>
            </w14:solidFill>
          </w14:textFill>
        </w:rPr>
        <w:t xml:space="preserve">  中国人民财产保险股份有限公司广安市分公司 </w:t>
      </w:r>
      <w:r>
        <w:rPr>
          <w:rFonts w:hint="eastAsia" w:ascii="仿宋" w:hAnsi="仿宋" w:eastAsia="仿宋" w:cs="宋体"/>
          <w:color w:val="000000" w:themeColor="text1"/>
          <w14:textFill>
            <w14:solidFill>
              <w14:schemeClr w14:val="tx1"/>
            </w14:solidFill>
          </w14:textFill>
        </w:rPr>
        <w:t>：</w:t>
      </w:r>
    </w:p>
    <w:p>
      <w:pPr>
        <w:adjustRightInd w:val="0"/>
        <w:snapToGrid w:val="0"/>
        <w:spacing w:line="360" w:lineRule="auto"/>
        <w:ind w:left="-706" w:leftChars="-294" w:right="-586" w:rightChars="-244" w:firstLine="616" w:firstLineChars="257"/>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我方参加</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u w:val="single"/>
          <w:lang w:eastAsia="zh-CN"/>
          <w14:textFill>
            <w14:solidFill>
              <w14:schemeClr w14:val="tx1"/>
            </w14:solidFill>
          </w14:textFill>
        </w:rPr>
        <w:t>人保财险四川省广安分公司前锋区支公司电梯轿厢宣传服务采购项目</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申报人名称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法定代表人/单位负责人</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姓    名</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身份证号</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备注：</w:t>
            </w:r>
          </w:p>
        </w:tc>
      </w:tr>
    </w:tbl>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3.如未有相关情况，请在相应栏填写“无”。</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3.如未有相关情况，请在相应栏填写“无”。</w:t>
      </w:r>
    </w:p>
    <w:p>
      <w:pPr>
        <w:spacing w:line="360" w:lineRule="auto"/>
        <w:ind w:left="480" w:hanging="480" w:hangingChars="200"/>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、非联合体比价响应声明</w:t>
      </w:r>
    </w:p>
    <w:bookmarkEnd w:id="173"/>
    <w:bookmarkEnd w:id="174"/>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bookmarkStart w:id="175" w:name="_Toc71192048"/>
      <w:r>
        <w:rPr>
          <w:rFonts w:hint="eastAsia" w:ascii="仿宋" w:hAnsi="仿宋" w:eastAsia="仿宋" w:cs="Cambria Math"/>
          <w:color w:val="000000" w:themeColor="text1"/>
          <w14:textFill>
            <w14:solidFill>
              <w14:schemeClr w14:val="tx1"/>
            </w14:solidFill>
          </w14:textFill>
        </w:rPr>
        <w:t>致：中国人民财产保险股份有限公司广安市分公司：</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独立参与</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lang w:eastAsia="zh-CN"/>
          <w14:textFill>
            <w14:solidFill>
              <w14:schemeClr w14:val="tx1"/>
            </w14:solidFill>
          </w14:textFill>
        </w:rPr>
        <w:t>人保财险四川省广安分公司前锋区支公司电梯轿厢宣传服务采购项目</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比价响应，非联合体参与比价响应。</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cs="宋体"/>
          <w:color w:val="000000" w:themeColor="text1"/>
          <w:szCs w:val="24"/>
          <w14:textFill>
            <w14:solidFill>
              <w14:schemeClr w14:val="tx1"/>
            </w14:solidFill>
          </w14:textFill>
        </w:rPr>
      </w:pPr>
      <w:bookmarkStart w:id="176" w:name="_Toc112068411"/>
      <w:bookmarkStart w:id="177" w:name="_Toc65683009"/>
      <w:bookmarkStart w:id="178" w:name="_Toc18208"/>
      <w:bookmarkStart w:id="179" w:name="_Toc15130"/>
      <w:bookmarkStart w:id="180" w:name="_Toc144139212"/>
      <w:bookmarkStart w:id="181" w:name="_Toc22926"/>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五</w:t>
      </w:r>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供应商</w:t>
      </w:r>
      <w:r>
        <w:rPr>
          <w:rFonts w:ascii="仿宋" w:hAnsi="仿宋" w:eastAsia="仿宋" w:cs="仿宋"/>
          <w:color w:val="000000" w:themeColor="text1"/>
          <w:sz w:val="24"/>
          <w:szCs w:val="24"/>
          <w14:textFill>
            <w14:solidFill>
              <w14:schemeClr w14:val="tx1"/>
            </w14:solidFill>
          </w14:textFill>
        </w:rPr>
        <w:t>须知应答偏离表</w:t>
      </w:r>
      <w:bookmarkEnd w:id="176"/>
      <w:bookmarkEnd w:id="177"/>
      <w:bookmarkEnd w:id="178"/>
      <w:bookmarkEnd w:id="179"/>
      <w:bookmarkEnd w:id="180"/>
      <w:bookmarkEnd w:id="181"/>
    </w:p>
    <w:p>
      <w:pPr>
        <w:spacing w:line="360" w:lineRule="auto"/>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供应商须知应答偏离表</w:t>
      </w:r>
    </w:p>
    <w:p>
      <w:pPr>
        <w:spacing w:line="360" w:lineRule="auto"/>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bl>
    <w:p>
      <w:pPr>
        <w:spacing w:line="360" w:lineRule="auto"/>
        <w:ind w:left="480" w:hanging="480" w:hangingChars="20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注：所有偏离须在本表中列出，未在本偏离表中列出偏离，将视为供应商已完全接受比价文件要求</w:t>
      </w:r>
      <w:r>
        <w:rPr>
          <w:rFonts w:hint="eastAsia" w:ascii="仿宋" w:hAnsi="仿宋" w:eastAsia="仿宋" w:cs="宋体"/>
          <w:b/>
          <w:bCs/>
          <w:color w:val="000000" w:themeColor="text1"/>
          <w14:textFill>
            <w14:solidFill>
              <w14:schemeClr w14:val="tx1"/>
            </w14:solidFill>
          </w14:textFill>
        </w:rPr>
        <w:t>。如全部满足，在偏离表中应答“全部满足”即可。</w:t>
      </w: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宋体"/>
          <w:color w:val="000000" w:themeColor="text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（六）合同条款应答偏</w:t>
      </w:r>
      <w:r>
        <w:rPr>
          <w:rFonts w:ascii="仿宋" w:hAnsi="仿宋" w:eastAsia="仿宋" w:cs="仿宋"/>
          <w:b/>
          <w:bCs/>
          <w:color w:val="000000" w:themeColor="text1"/>
          <w14:textFill>
            <w14:solidFill>
              <w14:schemeClr w14:val="tx1"/>
            </w14:solidFill>
          </w14:textFill>
        </w:rPr>
        <w:t>离表</w:t>
      </w:r>
    </w:p>
    <w:p>
      <w:pPr>
        <w:spacing w:line="360"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合同条款应答偏离表</w:t>
      </w:r>
    </w:p>
    <w:p>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bl>
    <w:p>
      <w:pPr>
        <w:spacing w:before="240" w:line="360" w:lineRule="auto"/>
        <w:ind w:left="480" w:hanging="480" w:hanging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注：所有偏离必须在本表中列出，未在本偏离表中列出偏离，将视为供应商已完全接受比价文件要求；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pPr>
        <w:spacing w:line="600" w:lineRule="exact"/>
        <w:rPr>
          <w:rFonts w:ascii="仿宋" w:hAnsi="仿宋" w:eastAsia="仿宋" w:cs="仿宋"/>
          <w:color w:val="000000" w:themeColor="text1"/>
          <w:szCs w:val="21"/>
          <w14:textFill>
            <w14:solidFill>
              <w14:schemeClr w14:val="tx1"/>
            </w14:solidFill>
          </w14:textFill>
        </w:rPr>
      </w:pPr>
    </w:p>
    <w:p>
      <w:pPr>
        <w:spacing w:line="360" w:lineRule="auto"/>
        <w:ind w:firstLine="42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spacing w:line="360" w:lineRule="auto"/>
        <w:rPr>
          <w:rFonts w:ascii="仿宋" w:hAnsi="仿宋" w:eastAsia="仿宋" w:cs="仿宋"/>
          <w:color w:val="000000" w:themeColor="text1"/>
          <w:u w:val="single"/>
          <w14:textFill>
            <w14:solidFill>
              <w14:schemeClr w14:val="tx1"/>
            </w14:solidFill>
          </w14:textFill>
        </w:rPr>
      </w:pPr>
    </w:p>
    <w:p>
      <w:pPr>
        <w:pStyle w:val="5"/>
        <w:spacing w:before="0" w:after="0" w:line="360" w:lineRule="auto"/>
        <w:rPr>
          <w:rFonts w:ascii="仿宋" w:hAnsi="仿宋" w:eastAsia="仿宋" w:cs="宋体"/>
          <w:color w:val="000000" w:themeColor="text1"/>
          <w:sz w:val="24"/>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themeColor="text1"/>
          <w:sz w:val="24"/>
          <w:szCs w:val="24"/>
          <w14:textFill>
            <w14:solidFill>
              <w14:schemeClr w14:val="tx1"/>
            </w14:solidFill>
          </w14:textFill>
        </w:rPr>
        <w:br w:type="page"/>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82" w:name="_Toc1792"/>
      <w:bookmarkStart w:id="183" w:name="_Toc17890"/>
      <w:r>
        <w:rPr>
          <w:rFonts w:hint="eastAsia" w:ascii="仿宋" w:hAnsi="仿宋" w:eastAsia="仿宋" w:cs="仿宋"/>
          <w:color w:val="000000" w:themeColor="text1"/>
          <w:sz w:val="24"/>
          <w:szCs w:val="24"/>
          <w14:textFill>
            <w14:solidFill>
              <w14:schemeClr w14:val="tx1"/>
            </w14:solidFill>
          </w14:textFill>
        </w:rPr>
        <w:t>（七）供应商行为准则承诺书</w:t>
      </w:r>
      <w:bookmarkEnd w:id="182"/>
      <w:bookmarkEnd w:id="183"/>
    </w:p>
    <w:p>
      <w:pPr>
        <w:jc w:val="center"/>
        <w:rPr>
          <w:rFonts w:ascii="仿宋" w:hAnsi="仿宋" w:eastAsia="仿宋" w:cs="宋体"/>
          <w:b/>
          <w:bCs/>
          <w:color w:val="000000" w:themeColor="text1"/>
          <w:sz w:val="28"/>
          <w:szCs w:val="28"/>
          <w14:textFill>
            <w14:solidFill>
              <w14:schemeClr w14:val="tx1"/>
            </w14:solidFill>
          </w14:textFill>
        </w:rPr>
      </w:pPr>
      <w:bookmarkStart w:id="184" w:name="_Toc15599"/>
      <w:r>
        <w:rPr>
          <w:rFonts w:hint="eastAsia" w:ascii="仿宋" w:hAnsi="仿宋" w:eastAsia="仿宋" w:cs="宋体"/>
          <w:b/>
          <w:bCs/>
          <w:color w:val="000000" w:themeColor="text1"/>
          <w:sz w:val="28"/>
          <w:szCs w:val="28"/>
          <w14:textFill>
            <w14:solidFill>
              <w14:schemeClr w14:val="tx1"/>
            </w14:solidFill>
          </w14:textFill>
        </w:rPr>
        <w:t>供应商行为准则承诺书</w:t>
      </w:r>
    </w:p>
    <w:p>
      <w:pPr>
        <w:spacing w:line="360" w:lineRule="auto"/>
        <w:ind w:firstLine="480" w:firstLineChars="200"/>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十三、采购过程中涉及函件往来的，使用供应商以下地址及联系方式：</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法定代表人（负责人）姓名、职务：__________________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邮编：__________地址：__________________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电话：__________传真：__________________</w:t>
      </w:r>
    </w:p>
    <w:p>
      <w:pPr>
        <w:pStyle w:val="77"/>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法定代表人（负责人）或授权代表签字：______________</w:t>
      </w:r>
    </w:p>
    <w:p>
      <w:pPr>
        <w:pStyle w:val="5"/>
        <w:spacing w:before="0" w:after="0" w:line="360" w:lineRule="auto"/>
        <w:rPr>
          <w:rFonts w:ascii="仿宋" w:hAnsi="仿宋" w:cs="宋体"/>
          <w:color w:val="000000" w:themeColor="text1"/>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85" w:name="_Toc952"/>
      <w:bookmarkStart w:id="186" w:name="_Toc8068"/>
      <w:r>
        <w:rPr>
          <w:rFonts w:hint="eastAsia" w:ascii="仿宋" w:hAnsi="仿宋" w:eastAsia="仿宋" w:cs="宋体"/>
          <w:bCs w:val="0"/>
          <w:color w:val="000000" w:themeColor="text1"/>
          <w:sz w:val="24"/>
          <w:szCs w:val="24"/>
          <w14:textFill>
            <w14:solidFill>
              <w14:schemeClr w14:val="tx1"/>
            </w14:solidFill>
          </w14:textFill>
        </w:rPr>
        <w:t>（八）供应商廉洁诚信承诺书</w:t>
      </w:r>
      <w:bookmarkEnd w:id="184"/>
      <w:bookmarkEnd w:id="185"/>
      <w:bookmarkEnd w:id="186"/>
    </w:p>
    <w:p>
      <w:pPr>
        <w:spacing w:line="600" w:lineRule="exact"/>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供应商廉洁诚信承诺书</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为维护公平竞争的市场秩序和公正透明的商业环境，保证与</w:t>
      </w:r>
      <w:r>
        <w:rPr>
          <w:rFonts w:hint="eastAsia" w:ascii="仿宋" w:hAnsi="仿宋" w:eastAsia="仿宋" w:cs="仿宋"/>
          <w:color w:val="000000" w:themeColor="text1"/>
          <w14:textFill>
            <w14:solidFill>
              <w14:schemeClr w14:val="tx1"/>
            </w14:solidFill>
          </w14:textFill>
        </w:rPr>
        <w:t>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合作项目的顺利进行，我方作为参与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的合作过程中郑重承诺如下：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采购管理、供应商管理相关制度要求，坚决不从事任何违法违规违纪行为。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二、避免利害关系承诺。我们将在采购过程中主动申报与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及相关主体的关联及利害关系，包括我们的相关主体与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或相关主体实施商业贿赂或营私舞弊行为，包括但不限于：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（2）为其安排有可能影响公平、公正交易的宴请、健身、娱乐等活动；</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（3）为其投资入股、个人借款或买卖股票、债券等提供方便；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（6）向其提供借款、融资、担保等；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（7）给予或承诺给予其不正当利益的其他行为；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（8）其他违反国家法律法规或商业道德准则的影响公正交易的行为。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我们也不会以任何方式向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四、诚实信用承诺。我们坚决不进行任何违背诚实信用原则的行为，包括但不限于：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出借、转让资质证书；</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伙同他人串标、围标或非法排挤竞争对手；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（4）隐瞒任何可能对贵方利益造成影响的信息，不配合贵方的审计。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（3）建立举报制度：鼓励员工积极举报违规行为，对举报人予以保护并给予奖励。</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七、配合监督承诺。我们将积极配合</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八、如违反上述承诺，我方自愿承担以下法律责任：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及其子公司等所有关联主体有权限制或取消我方在</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参与采购项目的资格；</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本承诺书自承诺方签字和盖章之日起生效。如我方成功中选</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tabs>
          <w:tab w:val="left" w:pos="458"/>
        </w:tabs>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法定代表人姓名、职务：__________________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法定代表人或授权代表签字：______________</w:t>
      </w:r>
    </w:p>
    <w:p>
      <w:pPr>
        <w:spacing w:line="360" w:lineRule="auto"/>
        <w:ind w:firstLine="3578" w:firstLineChars="1491"/>
        <w:rPr>
          <w:rStyle w:val="58"/>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日期：__________________________________</w:t>
      </w:r>
      <w:r>
        <w:rPr>
          <w:rFonts w:hint="eastAsia"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eastAsia="仿宋" w:cs="宋体"/>
          <w:bCs w:val="0"/>
          <w:color w:val="000000" w:themeColor="text1"/>
          <w:sz w:val="21"/>
          <w:szCs w:val="24"/>
          <w14:textFill>
            <w14:solidFill>
              <w14:schemeClr w14:val="tx1"/>
            </w14:solidFill>
          </w14:textFill>
        </w:rPr>
      </w:pPr>
      <w:bookmarkStart w:id="187" w:name="_Toc21971"/>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宋体"/>
          <w:color w:val="000000" w:themeColor="text1"/>
          <w:sz w:val="24"/>
          <w:lang w:val="en-US" w:eastAsia="zh-CN"/>
          <w14:textFill>
            <w14:solidFill>
              <w14:schemeClr w14:val="tx1"/>
            </w14:solidFill>
          </w14:textFill>
        </w:rPr>
        <w:t>九</w:t>
      </w:r>
      <w:r>
        <w:rPr>
          <w:rFonts w:hint="eastAsia" w:ascii="仿宋" w:hAnsi="仿宋" w:eastAsia="仿宋" w:cs="宋体"/>
          <w:color w:val="000000" w:themeColor="text1"/>
          <w:sz w:val="24"/>
          <w14:textFill>
            <w14:solidFill>
              <w14:schemeClr w14:val="tx1"/>
            </w14:solidFill>
          </w14:textFill>
        </w:rPr>
        <w:t>）其他材料</w:t>
      </w:r>
      <w:bookmarkEnd w:id="187"/>
    </w:p>
    <w:p>
      <w:pPr>
        <w:spacing w:line="360" w:lineRule="auto"/>
        <w:rPr>
          <w:rFonts w:ascii="宋体" w:hAnsi="宋体"/>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bookmarkEnd w:id="136"/>
    <w:bookmarkEnd w:id="175"/>
    <w:p>
      <w:pPr>
        <w:pStyle w:val="4"/>
        <w:jc w:val="both"/>
        <w:rPr>
          <w:rFonts w:ascii="仿宋" w:hAnsi="仿宋" w:eastAsia="仿宋" w:cs="仿宋"/>
          <w:color w:val="000000" w:themeColor="text1"/>
          <w:kern w:val="0"/>
          <w:sz w:val="24"/>
          <w:szCs w:val="24"/>
          <w:lang w:val="en-US" w:eastAsia="zh-CN" w:bidi="ar-SA"/>
          <w14:textFill>
            <w14:solidFill>
              <w14:schemeClr w14:val="tx1"/>
            </w14:solidFill>
          </w14:textFill>
        </w:rPr>
      </w:pPr>
      <w:bookmarkStart w:id="188" w:name="_Toc28698"/>
      <w:bookmarkStart w:id="189" w:name="_Toc16491"/>
      <w:r>
        <w:rPr>
          <w:rFonts w:hint="eastAsia" w:ascii="仿宋" w:hAnsi="仿宋" w:eastAsia="仿宋" w:cs="仿宋"/>
          <w:color w:val="000000" w:themeColor="text1"/>
          <w:kern w:val="0"/>
          <w:sz w:val="24"/>
          <w:szCs w:val="24"/>
          <w:lang w:val="en-US" w:eastAsia="zh-CN" w:bidi="ar-SA"/>
          <w14:textFill>
            <w14:solidFill>
              <w14:schemeClr w14:val="tx1"/>
            </w14:solidFill>
          </w14:textFill>
        </w:rPr>
        <w:t>二、</w:t>
      </w:r>
      <w:bookmarkEnd w:id="188"/>
      <w:bookmarkStart w:id="190" w:name="_Toc20443"/>
      <w:r>
        <w:rPr>
          <w:rFonts w:hint="eastAsia" w:ascii="仿宋" w:hAnsi="仿宋" w:eastAsia="仿宋" w:cs="仿宋"/>
          <w:color w:val="000000" w:themeColor="text1"/>
          <w:kern w:val="0"/>
          <w:sz w:val="24"/>
          <w:szCs w:val="24"/>
          <w:lang w:val="en-US" w:eastAsia="zh-CN" w:bidi="ar-SA"/>
          <w14:textFill>
            <w14:solidFill>
              <w14:schemeClr w14:val="tx1"/>
            </w14:solidFill>
          </w14:textFill>
        </w:rPr>
        <w:t>报价文件</w:t>
      </w:r>
      <w:bookmarkEnd w:id="189"/>
      <w:bookmarkEnd w:id="190"/>
    </w:p>
    <w:p>
      <w:pPr>
        <w:pStyle w:val="5"/>
        <w:widowControl/>
        <w:spacing w:before="0" w:after="0" w:line="360" w:lineRule="auto"/>
        <w:ind w:firstLine="482"/>
        <w:jc w:val="left"/>
        <w:rPr>
          <w:rFonts w:ascii="仿宋" w:hAnsi="仿宋" w:eastAsia="仿宋" w:cs="仿宋"/>
          <w:color w:val="000000" w:themeColor="text1"/>
          <w:kern w:val="0"/>
          <w:sz w:val="24"/>
          <w:szCs w:val="24"/>
          <w:lang w:val="en-US" w:eastAsia="zh-CN" w:bidi="ar-SA"/>
          <w14:textFill>
            <w14:solidFill>
              <w14:schemeClr w14:val="tx1"/>
            </w14:solidFill>
          </w14:textFill>
        </w:rPr>
      </w:pPr>
      <w:bookmarkStart w:id="191" w:name="_Toc511726864"/>
      <w:bookmarkStart w:id="192" w:name="_Toc18942"/>
      <w:bookmarkStart w:id="193" w:name="_Toc28892"/>
      <w:r>
        <w:rPr>
          <w:rFonts w:hint="eastAsia" w:ascii="仿宋" w:hAnsi="仿宋" w:eastAsia="仿宋" w:cs="仿宋"/>
          <w:color w:val="000000" w:themeColor="text1"/>
          <w:kern w:val="0"/>
          <w:sz w:val="24"/>
          <w:szCs w:val="24"/>
          <w:lang w:val="en-US" w:eastAsia="zh-CN" w:bidi="ar-SA"/>
          <w14:textFill>
            <w14:solidFill>
              <w14:schemeClr w14:val="tx1"/>
            </w14:solidFill>
          </w14:textFill>
        </w:rPr>
        <w:t>报价</w:t>
      </w:r>
      <w:bookmarkEnd w:id="191"/>
      <w:r>
        <w:rPr>
          <w:rFonts w:hint="eastAsia" w:ascii="仿宋" w:hAnsi="仿宋" w:eastAsia="仿宋" w:cs="仿宋"/>
          <w:color w:val="000000" w:themeColor="text1"/>
          <w:kern w:val="0"/>
          <w:sz w:val="24"/>
          <w:szCs w:val="24"/>
          <w:lang w:val="en-US" w:eastAsia="zh-CN" w:bidi="ar-SA"/>
          <w14:textFill>
            <w14:solidFill>
              <w14:schemeClr w14:val="tx1"/>
            </w14:solidFill>
          </w14:textFill>
        </w:rPr>
        <w:t>一览表</w:t>
      </w:r>
      <w:bookmarkEnd w:id="192"/>
      <w:bookmarkEnd w:id="193"/>
    </w:p>
    <w:p>
      <w:pPr>
        <w:pStyle w:val="11"/>
        <w:spacing w:line="360" w:lineRule="auto"/>
        <w:ind w:hanging="142"/>
        <w:rPr>
          <w:rFonts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项目名称：</w:t>
      </w:r>
      <w:r>
        <w:rPr>
          <w:rFonts w:hint="eastAsia" w:ascii="仿宋" w:hAnsi="仿宋" w:eastAsia="仿宋" w:cs="仿宋"/>
          <w:color w:val="000000" w:themeColor="text1"/>
          <w:kern w:val="0"/>
          <w:sz w:val="24"/>
          <w:szCs w:val="24"/>
          <w:u w:val="single"/>
          <w:lang w:val="en-US" w:eastAsia="zh-CN" w:bidi="ar-SA"/>
          <w14:textFill>
            <w14:solidFill>
              <w14:schemeClr w14:val="tx1"/>
            </w14:solidFill>
          </w14:textFill>
        </w:rPr>
        <w:t xml:space="preserve">  人保财险四川省广安分公司前锋区支公司电梯轿厢宣传服务采购项目  </w:t>
      </w:r>
      <w:r>
        <w:rPr>
          <w:rFonts w:hint="eastAsia" w:ascii="仿宋" w:hAnsi="仿宋" w:eastAsia="仿宋" w:cs="仿宋"/>
          <w:color w:val="000000" w:themeColor="text1"/>
          <w:kern w:val="0"/>
          <w:sz w:val="24"/>
          <w:szCs w:val="24"/>
          <w:lang w:val="en-US" w:eastAsia="zh-CN" w:bidi="ar-SA"/>
          <w14:textFill>
            <w14:solidFill>
              <w14:schemeClr w14:val="tx1"/>
            </w14:solidFill>
          </w14:textFill>
        </w:rPr>
        <w:t xml:space="preserve"> </w:t>
      </w:r>
    </w:p>
    <w:p>
      <w:pPr>
        <w:pStyle w:val="11"/>
        <w:spacing w:line="360" w:lineRule="auto"/>
        <w:ind w:hanging="142"/>
        <w:rPr>
          <w:rFonts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货币单位：</w:t>
      </w:r>
      <w:r>
        <w:rPr>
          <w:rFonts w:hint="eastAsia" w:ascii="仿宋" w:hAnsi="仿宋" w:eastAsia="仿宋" w:cs="仿宋"/>
          <w:color w:val="000000" w:themeColor="text1"/>
          <w:kern w:val="0"/>
          <w:sz w:val="24"/>
          <w:szCs w:val="24"/>
          <w:u w:val="single"/>
          <w:lang w:val="en-US" w:eastAsia="zh-CN" w:bidi="ar-SA"/>
          <w14:textFill>
            <w14:solidFill>
              <w14:schemeClr w14:val="tx1"/>
            </w14:solidFill>
          </w14:textFill>
        </w:rPr>
        <w:t xml:space="preserve"> 人民币元    </w:t>
      </w:r>
    </w:p>
    <w:p>
      <w:pPr>
        <w:widowControl/>
        <w:jc w:val="center"/>
        <w:textAlignment w:val="center"/>
        <w:rPr>
          <w:rFonts w:ascii="仿宋" w:hAnsi="仿宋" w:eastAsia="仿宋" w:cs="仿宋"/>
          <w:color w:val="000000" w:themeColor="text1"/>
          <w:kern w:val="0"/>
          <w:sz w:val="24"/>
          <w:szCs w:val="21"/>
          <w:lang w:bidi="ar"/>
          <w14:textFill>
            <w14:solidFill>
              <w14:schemeClr w14:val="tx1"/>
            </w14:solidFill>
          </w14:textFill>
        </w:rPr>
      </w:pPr>
    </w:p>
    <w:tbl>
      <w:tblPr>
        <w:tblStyle w:val="29"/>
        <w:tblW w:w="5911" w:type="pct"/>
        <w:jc w:val="center"/>
        <w:tblLayout w:type="fixed"/>
        <w:tblCellMar>
          <w:top w:w="0" w:type="dxa"/>
          <w:left w:w="108" w:type="dxa"/>
          <w:bottom w:w="0" w:type="dxa"/>
          <w:right w:w="108" w:type="dxa"/>
        </w:tblCellMar>
      </w:tblPr>
      <w:tblGrid>
        <w:gridCol w:w="705"/>
        <w:gridCol w:w="1219"/>
        <w:gridCol w:w="1278"/>
        <w:gridCol w:w="1680"/>
        <w:gridCol w:w="1035"/>
        <w:gridCol w:w="1245"/>
        <w:gridCol w:w="1310"/>
        <w:gridCol w:w="2212"/>
      </w:tblGrid>
      <w:tr>
        <w:tblPrEx>
          <w:tblCellMar>
            <w:top w:w="0" w:type="dxa"/>
            <w:left w:w="108" w:type="dxa"/>
            <w:bottom w:w="0" w:type="dxa"/>
            <w:right w:w="108" w:type="dxa"/>
          </w:tblCellMar>
        </w:tblPrEx>
        <w:trPr>
          <w:trHeight w:val="927" w:hRule="atLeast"/>
          <w:jc w:val="center"/>
        </w:trPr>
        <w:tc>
          <w:tcPr>
            <w:tcW w:w="32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序号</w:t>
            </w:r>
          </w:p>
        </w:tc>
        <w:tc>
          <w:tcPr>
            <w:tcW w:w="57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报价内容</w:t>
            </w:r>
          </w:p>
        </w:tc>
        <w:tc>
          <w:tcPr>
            <w:tcW w:w="598"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 w:hAnsi="仿宋" w:eastAsia="仿宋" w:cs="宋体"/>
                <w:b/>
                <w:bCs/>
                <w:color w:val="000000" w:themeColor="text1"/>
                <w:kern w:val="0"/>
                <w:sz w:val="24"/>
                <w:szCs w:val="21"/>
                <w:lang w:val="en-US" w:eastAsia="zh-CN"/>
                <w14:textFill>
                  <w14:solidFill>
                    <w14:schemeClr w14:val="tx1"/>
                  </w14:solidFill>
                </w14:textFill>
              </w:rPr>
            </w:pPr>
            <w:r>
              <w:rPr>
                <w:rFonts w:hint="eastAsia" w:ascii="仿宋" w:hAnsi="仿宋" w:eastAsia="仿宋" w:cs="宋体"/>
                <w:b/>
                <w:bCs/>
                <w:color w:val="000000" w:themeColor="text1"/>
                <w:kern w:val="0"/>
                <w:sz w:val="24"/>
                <w:szCs w:val="21"/>
                <w:lang w:val="en-US" w:eastAsia="zh-CN"/>
                <w14:textFill>
                  <w14:solidFill>
                    <w14:schemeClr w14:val="tx1"/>
                  </w14:solidFill>
                </w14:textFill>
              </w:rPr>
              <w:t>含税单价（元）</w:t>
            </w:r>
          </w:p>
        </w:tc>
        <w:tc>
          <w:tcPr>
            <w:tcW w:w="786"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增值发票类型（专票/普票）</w:t>
            </w:r>
          </w:p>
        </w:tc>
        <w:tc>
          <w:tcPr>
            <w:tcW w:w="484"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税率</w:t>
            </w:r>
          </w:p>
          <w:p>
            <w:pPr>
              <w:widowControl/>
              <w:jc w:val="center"/>
              <w:rPr>
                <w:rFonts w:ascii="仿宋" w:hAnsi="仿宋" w:eastAsia="仿宋" w:cs="宋体"/>
                <w:b/>
                <w:bCs/>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w:t>
            </w:r>
          </w:p>
        </w:tc>
        <w:tc>
          <w:tcPr>
            <w:tcW w:w="582"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不含税</w:t>
            </w:r>
            <w:r>
              <w:rPr>
                <w:rFonts w:hint="eastAsia" w:ascii="仿宋" w:hAnsi="仿宋" w:eastAsia="仿宋" w:cs="宋体"/>
                <w:b/>
                <w:bCs/>
                <w:color w:val="000000" w:themeColor="text1"/>
                <w:kern w:val="0"/>
                <w:sz w:val="24"/>
                <w:szCs w:val="21"/>
                <w:lang w:val="en-US" w:eastAsia="zh-CN"/>
                <w14:textFill>
                  <w14:solidFill>
                    <w14:schemeClr w14:val="tx1"/>
                  </w14:solidFill>
                </w14:textFill>
              </w:rPr>
              <w:t>单价</w:t>
            </w:r>
            <w:r>
              <w:rPr>
                <w:rFonts w:hint="eastAsia" w:ascii="仿宋" w:hAnsi="仿宋" w:eastAsia="仿宋" w:cs="宋体"/>
                <w:b/>
                <w:color w:val="000000" w:themeColor="text1"/>
                <w:kern w:val="0"/>
                <w:sz w:val="24"/>
                <w:szCs w:val="21"/>
                <w14:textFill>
                  <w14:solidFill>
                    <w14:schemeClr w14:val="tx1"/>
                  </w14:solidFill>
                </w14:textFill>
              </w:rPr>
              <w:t>（元）</w:t>
            </w:r>
          </w:p>
        </w:tc>
        <w:tc>
          <w:tcPr>
            <w:tcW w:w="6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 w:hAnsi="仿宋" w:eastAsia="仿宋" w:cs="宋体"/>
                <w:b/>
                <w:bCs/>
                <w:color w:val="000000" w:themeColor="text1"/>
                <w:kern w:val="0"/>
                <w:sz w:val="24"/>
                <w:szCs w:val="21"/>
                <w:lang w:val="en-US" w:eastAsia="zh-CN"/>
                <w14:textFill>
                  <w14:solidFill>
                    <w14:schemeClr w14:val="tx1"/>
                  </w14:solidFill>
                </w14:textFill>
              </w:rPr>
            </w:pPr>
            <w:r>
              <w:rPr>
                <w:rFonts w:hint="eastAsia" w:ascii="仿宋" w:hAnsi="仿宋" w:eastAsia="仿宋" w:cs="宋体"/>
                <w:b/>
                <w:bCs/>
                <w:color w:val="000000" w:themeColor="text1"/>
                <w:kern w:val="0"/>
                <w:sz w:val="24"/>
                <w:szCs w:val="21"/>
                <w:lang w:val="en-US" w:eastAsia="zh-CN"/>
                <w14:textFill>
                  <w14:solidFill>
                    <w14:schemeClr w14:val="tx1"/>
                  </w14:solidFill>
                </w14:textFill>
              </w:rPr>
              <w:t>含税总价（元）</w:t>
            </w:r>
          </w:p>
        </w:tc>
        <w:tc>
          <w:tcPr>
            <w:tcW w:w="1035"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000000" w:themeColor="text1"/>
                <w:kern w:val="0"/>
                <w:sz w:val="24"/>
                <w:szCs w:val="21"/>
                <w14:textFill>
                  <w14:solidFill>
                    <w14:schemeClr w14:val="tx1"/>
                  </w14:solidFill>
                </w14:textFill>
              </w:rPr>
            </w:pPr>
            <w:r>
              <w:rPr>
                <w:rFonts w:hint="eastAsia" w:ascii="仿宋" w:hAnsi="仿宋" w:eastAsia="仿宋" w:cs="宋体"/>
                <w:b/>
                <w:bCs/>
                <w:color w:val="000000" w:themeColor="text1"/>
                <w:kern w:val="0"/>
                <w:sz w:val="24"/>
                <w:szCs w:val="21"/>
                <w14:textFill>
                  <w14:solidFill>
                    <w14:schemeClr w14:val="tx1"/>
                  </w14:solidFill>
                </w14:textFill>
              </w:rPr>
              <w:t>备注</w:t>
            </w:r>
          </w:p>
        </w:tc>
      </w:tr>
      <w:tr>
        <w:tblPrEx>
          <w:tblCellMar>
            <w:top w:w="0" w:type="dxa"/>
            <w:left w:w="108" w:type="dxa"/>
            <w:bottom w:w="0" w:type="dxa"/>
            <w:right w:w="108" w:type="dxa"/>
          </w:tblCellMar>
        </w:tblPrEx>
        <w:trPr>
          <w:trHeight w:val="1409" w:hRule="atLeast"/>
          <w:jc w:val="center"/>
        </w:trPr>
        <w:tc>
          <w:tcPr>
            <w:tcW w:w="32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Cs/>
                <w:color w:val="000000" w:themeColor="text1"/>
                <w:kern w:val="0"/>
                <w:sz w:val="24"/>
                <w:szCs w:val="21"/>
                <w14:textFill>
                  <w14:solidFill>
                    <w14:schemeClr w14:val="tx1"/>
                  </w14:solidFill>
                </w14:textFill>
              </w:rPr>
            </w:pPr>
            <w:r>
              <w:rPr>
                <w:rFonts w:hint="eastAsia" w:ascii="仿宋" w:hAnsi="仿宋" w:eastAsia="仿宋" w:cs="宋体"/>
                <w:bCs/>
                <w:color w:val="000000" w:themeColor="text1"/>
                <w:kern w:val="0"/>
                <w:sz w:val="24"/>
                <w:szCs w:val="21"/>
                <w14:textFill>
                  <w14:solidFill>
                    <w14:schemeClr w14:val="tx1"/>
                  </w14:solidFill>
                </w14:textFill>
              </w:rPr>
              <w:t>1</w:t>
            </w:r>
          </w:p>
        </w:tc>
        <w:tc>
          <w:tcPr>
            <w:tcW w:w="57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Cs/>
                <w:color w:val="000000" w:themeColor="text1"/>
                <w:kern w:val="0"/>
                <w:sz w:val="24"/>
                <w:szCs w:val="2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广安</w:t>
            </w:r>
            <w:r>
              <w:rPr>
                <w:rFonts w:hint="eastAsia" w:ascii="仿宋" w:hAnsi="仿宋" w:eastAsia="仿宋" w:cs="仿宋"/>
                <w:color w:val="000000" w:themeColor="text1"/>
                <w:lang w:eastAsia="zh-CN"/>
                <w14:textFill>
                  <w14:solidFill>
                    <w14:schemeClr w14:val="tx1"/>
                  </w14:solidFill>
                </w14:textFill>
              </w:rPr>
              <w:t>住宅小区电梯轿厢宣传服务</w:t>
            </w:r>
          </w:p>
        </w:tc>
        <w:tc>
          <w:tcPr>
            <w:tcW w:w="598" w:type="pct"/>
            <w:tcBorders>
              <w:top w:val="single" w:color="auto" w:sz="4" w:space="0"/>
              <w:left w:val="single" w:color="auto" w:sz="4" w:space="0"/>
              <w:bottom w:val="single" w:color="auto" w:sz="4" w:space="0"/>
              <w:right w:val="single" w:color="auto" w:sz="4" w:space="0"/>
            </w:tcBorders>
          </w:tcPr>
          <w:p>
            <w:pPr>
              <w:widowControl/>
              <w:jc w:val="center"/>
              <w:rPr>
                <w:rFonts w:ascii="仿宋" w:hAnsi="仿宋" w:eastAsia="仿宋" w:cs="宋体"/>
                <w:color w:val="000000" w:themeColor="text1"/>
                <w:kern w:val="0"/>
                <w:sz w:val="24"/>
                <w:szCs w:val="21"/>
                <w14:textFill>
                  <w14:solidFill>
                    <w14:schemeClr w14:val="tx1"/>
                  </w14:solidFill>
                </w14:textFill>
              </w:rPr>
            </w:pPr>
          </w:p>
        </w:tc>
        <w:tc>
          <w:tcPr>
            <w:tcW w:w="786" w:type="pct"/>
            <w:tcBorders>
              <w:top w:val="single" w:color="auto" w:sz="4" w:space="0"/>
              <w:left w:val="single" w:color="auto" w:sz="4" w:space="0"/>
              <w:bottom w:val="single" w:color="auto" w:sz="4" w:space="0"/>
              <w:right w:val="single" w:color="auto" w:sz="4" w:space="0"/>
            </w:tcBorders>
          </w:tcPr>
          <w:p>
            <w:pPr>
              <w:widowControl/>
              <w:jc w:val="center"/>
              <w:rPr>
                <w:rFonts w:ascii="仿宋" w:hAnsi="仿宋" w:eastAsia="仿宋" w:cs="宋体"/>
                <w:color w:val="000000" w:themeColor="text1"/>
                <w:kern w:val="0"/>
                <w:sz w:val="24"/>
                <w:szCs w:val="21"/>
                <w14:textFill>
                  <w14:solidFill>
                    <w14:schemeClr w14:val="tx1"/>
                  </w14:solidFill>
                </w14:textFill>
              </w:rPr>
            </w:pPr>
          </w:p>
        </w:tc>
        <w:tc>
          <w:tcPr>
            <w:tcW w:w="484"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w:t>
            </w:r>
          </w:p>
        </w:tc>
        <w:tc>
          <w:tcPr>
            <w:tcW w:w="582" w:type="pct"/>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 xml:space="preserve">  </w:t>
            </w:r>
          </w:p>
        </w:tc>
        <w:tc>
          <w:tcPr>
            <w:tcW w:w="613"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themeColor="text1"/>
                <w:kern w:val="0"/>
                <w:sz w:val="24"/>
                <w:szCs w:val="21"/>
                <w14:textFill>
                  <w14:solidFill>
                    <w14:schemeClr w14:val="tx1"/>
                  </w14:solidFill>
                </w14:textFill>
              </w:rPr>
            </w:pPr>
          </w:p>
        </w:tc>
        <w:tc>
          <w:tcPr>
            <w:tcW w:w="1035"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lang w:val="en-US" w:eastAsia="zh-CN"/>
                <w14:textFill>
                  <w14:solidFill>
                    <w14:schemeClr w14:val="tx1"/>
                  </w14:solidFill>
                </w14:textFill>
              </w:rPr>
              <w:t>供应商根据报价单价，暂按照预计累计数量1200块轿厢镜框报价总价</w:t>
            </w:r>
          </w:p>
        </w:tc>
      </w:tr>
    </w:tbl>
    <w:p>
      <w:pPr>
        <w:widowControl/>
        <w:spacing w:line="360" w:lineRule="auto"/>
        <w:jc w:val="left"/>
        <w:rPr>
          <w:rFonts w:ascii="仿宋" w:hAnsi="仿宋" w:eastAsia="仿宋" w:cs="仿宋"/>
          <w:bCs/>
          <w:color w:val="000000" w:themeColor="text1"/>
          <w:kern w:val="0"/>
          <w:sz w:val="24"/>
          <w14:textFill>
            <w14:solidFill>
              <w14:schemeClr w14:val="tx1"/>
            </w14:solidFill>
          </w14:textFill>
        </w:rPr>
      </w:pPr>
    </w:p>
    <w:p>
      <w:pPr>
        <w:widowControl/>
        <w:spacing w:line="360" w:lineRule="auto"/>
        <w:jc w:val="left"/>
        <w:rPr>
          <w:rFonts w:ascii="仿宋" w:hAnsi="仿宋" w:eastAsia="仿宋" w:cs="仿宋"/>
          <w:bCs/>
          <w:color w:val="000000" w:themeColor="text1"/>
          <w:kern w:val="0"/>
          <w:sz w:val="24"/>
          <w14:textFill>
            <w14:solidFill>
              <w14:schemeClr w14:val="tx1"/>
            </w14:solidFill>
          </w14:textFill>
        </w:rPr>
      </w:pPr>
      <w:r>
        <w:rPr>
          <w:rFonts w:hint="eastAsia" w:ascii="仿宋" w:hAnsi="仿宋" w:eastAsia="仿宋" w:cs="仿宋"/>
          <w:bCs/>
          <w:color w:val="000000" w:themeColor="text1"/>
          <w:kern w:val="0"/>
          <w:sz w:val="24"/>
          <w14:textFill>
            <w14:solidFill>
              <w14:schemeClr w14:val="tx1"/>
            </w14:solidFill>
          </w14:textFill>
        </w:rPr>
        <w:t>备注：</w:t>
      </w:r>
    </w:p>
    <w:p>
      <w:pPr>
        <w:widowControl/>
        <w:spacing w:line="360" w:lineRule="auto"/>
        <w:jc w:val="left"/>
        <w:rPr>
          <w:rFonts w:ascii="仿宋" w:hAnsi="仿宋" w:eastAsia="仿宋"/>
          <w:bCs/>
          <w:color w:val="000000" w:themeColor="text1"/>
          <w:kern w:val="0"/>
          <w:sz w:val="24"/>
          <w14:textFill>
            <w14:solidFill>
              <w14:schemeClr w14:val="tx1"/>
            </w14:solidFill>
          </w14:textFill>
        </w:rPr>
      </w:pPr>
      <w:r>
        <w:rPr>
          <w:rFonts w:hint="eastAsia" w:ascii="仿宋" w:hAnsi="仿宋" w:eastAsia="仿宋"/>
          <w:bCs/>
          <w:color w:val="000000" w:themeColor="text1"/>
          <w:kern w:val="0"/>
          <w:sz w:val="24"/>
          <w14:textFill>
            <w14:solidFill>
              <w14:schemeClr w14:val="tx1"/>
            </w14:solidFill>
          </w14:textFill>
        </w:rPr>
        <w:t>1.本次报价精确到小数点后两位（四舍五入）。</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r>
        <w:rPr>
          <w:rFonts w:hint="eastAsia" w:ascii="仿宋" w:hAnsi="仿宋" w:eastAsia="仿宋" w:cs="宋体"/>
          <w:bCs/>
          <w:color w:val="000000" w:themeColor="text1"/>
          <w:kern w:val="0"/>
          <w:sz w:val="24"/>
          <w:szCs w:val="24"/>
          <w:lang w:val="en-US" w:eastAsia="zh-CN" w:bidi="ar-SA"/>
          <w14:textFill>
            <w14:solidFill>
              <w14:schemeClr w14:val="tx1"/>
            </w14:solidFill>
          </w14:textFill>
        </w:rPr>
        <w:t>2.含税价=不含税价*(1+税率)，若报价与此公式不符，增值税专用发票以不含税</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r>
        <w:rPr>
          <w:rFonts w:hint="eastAsia" w:ascii="仿宋" w:hAnsi="仿宋" w:eastAsia="仿宋" w:cs="宋体"/>
          <w:bCs/>
          <w:color w:val="000000" w:themeColor="text1"/>
          <w:kern w:val="0"/>
          <w:sz w:val="24"/>
          <w:szCs w:val="24"/>
          <w:lang w:val="en-US" w:eastAsia="zh-CN" w:bidi="ar-SA"/>
          <w14:textFill>
            <w14:solidFill>
              <w14:schemeClr w14:val="tx1"/>
            </w14:solidFill>
          </w14:textFill>
        </w:rPr>
        <w:t>价为准进行修正，增值税普通发票以含税价进行修正。</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r>
        <w:rPr>
          <w:rFonts w:hint="eastAsia" w:ascii="仿宋" w:hAnsi="仿宋" w:eastAsia="仿宋" w:cs="宋体"/>
          <w:bCs/>
          <w:color w:val="000000" w:themeColor="text1"/>
          <w:kern w:val="0"/>
          <w:sz w:val="24"/>
          <w:szCs w:val="24"/>
          <w:lang w:val="en-US" w:eastAsia="zh-CN" w:bidi="ar-SA"/>
          <w14:textFill>
            <w14:solidFill>
              <w14:schemeClr w14:val="tx1"/>
            </w14:solidFill>
          </w14:textFill>
        </w:rPr>
        <w:t>3.后续如因国家税率调整，专票以不含税价不变进行调整，普票以含税价不变进行</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r>
        <w:rPr>
          <w:rFonts w:hint="eastAsia" w:ascii="仿宋" w:hAnsi="仿宋" w:eastAsia="仿宋" w:cs="宋体"/>
          <w:bCs/>
          <w:color w:val="000000" w:themeColor="text1"/>
          <w:kern w:val="0"/>
          <w:sz w:val="24"/>
          <w:szCs w:val="24"/>
          <w:lang w:val="en-US" w:eastAsia="zh-CN" w:bidi="ar-SA"/>
          <w14:textFill>
            <w14:solidFill>
              <w14:schemeClr w14:val="tx1"/>
            </w14:solidFill>
          </w14:textFill>
        </w:rPr>
        <w:t>调整。</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r>
        <w:rPr>
          <w:rFonts w:hint="eastAsia" w:ascii="仿宋" w:hAnsi="仿宋" w:eastAsia="仿宋" w:cs="宋体"/>
          <w:bCs/>
          <w:color w:val="000000" w:themeColor="text1"/>
          <w:kern w:val="0"/>
          <w:sz w:val="24"/>
          <w:szCs w:val="24"/>
          <w:lang w:val="en-US" w:eastAsia="zh-CN" w:bidi="ar-SA"/>
          <w14:textFill>
            <w14:solidFill>
              <w14:schemeClr w14:val="tx1"/>
            </w14:solidFill>
          </w14:textFill>
        </w:rPr>
        <w:t>4.宣传点位表可根据实际情况自行添加或删除表格行。</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r>
        <w:rPr>
          <w:rFonts w:hint="eastAsia" w:ascii="仿宋" w:hAnsi="仿宋" w:eastAsia="仿宋" w:cs="宋体"/>
          <w:bCs/>
          <w:color w:val="000000" w:themeColor="text1"/>
          <w:kern w:val="0"/>
          <w:sz w:val="24"/>
          <w:szCs w:val="24"/>
          <w:lang w:val="en-US" w:eastAsia="zh-CN" w:bidi="ar-SA"/>
          <w14:textFill>
            <w14:solidFill>
              <w14:schemeClr w14:val="tx1"/>
            </w14:solidFill>
          </w14:textFill>
        </w:rPr>
        <w:t>5.该报价包含设计费、材料费、装卸费、包装费、运输费等与本项目有关的所有费用。除报价外，采购方无须就本项目项下的任何义务支付任何费用。</w:t>
      </w:r>
    </w:p>
    <w:p>
      <w:pPr>
        <w:pStyle w:val="51"/>
        <w:widowControl/>
        <w:spacing w:line="360" w:lineRule="auto"/>
        <w:ind w:firstLine="0" w:firstLineChars="0"/>
        <w:jc w:val="left"/>
        <w:rPr>
          <w:rFonts w:ascii="仿宋" w:hAnsi="仿宋" w:eastAsia="仿宋" w:cs="宋体"/>
          <w:bCs/>
          <w:color w:val="000000" w:themeColor="text1"/>
          <w:kern w:val="0"/>
          <w:sz w:val="24"/>
          <w:szCs w:val="24"/>
          <w:lang w:val="en-US" w:eastAsia="zh-CN" w:bidi="ar-SA"/>
          <w14:textFill>
            <w14:solidFill>
              <w14:schemeClr w14:val="tx1"/>
            </w14:solidFill>
          </w14:textFill>
        </w:rPr>
      </w:pPr>
    </w:p>
    <w:p>
      <w:pPr>
        <w:widowControl/>
        <w:spacing w:line="360" w:lineRule="auto"/>
        <w:jc w:val="left"/>
        <w:rPr>
          <w:rFonts w:ascii="仿宋" w:hAnsi="仿宋" w:eastAsia="仿宋" w:cs="仿宋"/>
          <w:color w:val="000000" w:themeColor="text1"/>
          <w:kern w:val="0"/>
          <w:sz w:val="24"/>
          <w14:textFill>
            <w14:solidFill>
              <w14:schemeClr w14:val="tx1"/>
            </w14:solidFill>
          </w14:textFill>
        </w:rPr>
      </w:pPr>
    </w:p>
    <w:p>
      <w:pPr>
        <w:widowControl w:val="0"/>
        <w:numPr>
          <w:ilvl w:val="0"/>
          <w:numId w:val="1"/>
        </w:numPr>
        <w:spacing w:line="440" w:lineRule="exact"/>
        <w:jc w:val="right"/>
        <w:rPr>
          <w:rFonts w:ascii="仿宋" w:hAnsi="仿宋" w:eastAsia="仿宋" w:cs="宋体"/>
          <w:color w:val="000000" w:themeColor="text1"/>
          <w:kern w:val="0"/>
          <w:sz w:val="24"/>
          <w14:textFill>
            <w14:solidFill>
              <w14:schemeClr w14:val="tx1"/>
            </w14:solidFill>
          </w14:textFill>
        </w:rPr>
      </w:pPr>
      <w:bookmarkStart w:id="194" w:name="_Toc16591840"/>
      <w:bookmarkStart w:id="195" w:name="_Toc482180015"/>
      <w:bookmarkStart w:id="196" w:name="_Toc2267055"/>
      <w:bookmarkStart w:id="197" w:name="_Toc518302646"/>
      <w:bookmarkStart w:id="198" w:name="_Toc530319762"/>
      <w:bookmarkStart w:id="199" w:name="_Toc517281864"/>
    </w:p>
    <w:p>
      <w:pPr>
        <w:widowControl w:val="0"/>
        <w:numPr>
          <w:ilvl w:val="0"/>
          <w:numId w:val="1"/>
        </w:numPr>
        <w:spacing w:line="440" w:lineRule="exact"/>
        <w:ind w:left="432" w:hanging="432"/>
        <w:jc w:val="righ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供应商名称：</w:t>
      </w:r>
      <w:r>
        <w:rPr>
          <w:rFonts w:hint="eastAsia" w:ascii="仿宋" w:hAnsi="仿宋" w:eastAsia="仿宋" w:cs="宋体"/>
          <w:color w:val="000000" w:themeColor="text1"/>
          <w:kern w:val="0"/>
          <w:sz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（盖章）</w:t>
      </w:r>
    </w:p>
    <w:p>
      <w:pPr>
        <w:widowControl w:val="0"/>
        <w:numPr>
          <w:ilvl w:val="0"/>
          <w:numId w:val="1"/>
        </w:numPr>
        <w:spacing w:line="440" w:lineRule="exact"/>
        <w:ind w:left="432" w:hanging="432"/>
        <w:jc w:val="righ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法定代表人或其授权代理人：</w:t>
      </w:r>
      <w:r>
        <w:rPr>
          <w:rFonts w:hint="eastAsia" w:ascii="仿宋" w:hAnsi="仿宋" w:eastAsia="仿宋" w:cs="宋体"/>
          <w:color w:val="000000" w:themeColor="text1"/>
          <w:kern w:val="0"/>
          <w:sz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（签字）</w:t>
      </w:r>
    </w:p>
    <w:p>
      <w:pPr>
        <w:widowControl w:val="0"/>
        <w:numPr>
          <w:ilvl w:val="0"/>
          <w:numId w:val="1"/>
        </w:numPr>
        <w:spacing w:line="440" w:lineRule="exact"/>
        <w:ind w:left="432" w:hanging="432"/>
        <w:jc w:val="righ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日期：</w:t>
      </w:r>
      <w:r>
        <w:rPr>
          <w:rFonts w:hint="eastAsia" w:ascii="仿宋" w:hAnsi="仿宋" w:eastAsia="仿宋" w:cs="宋体"/>
          <w:color w:val="000000" w:themeColor="text1"/>
          <w:kern w:val="0"/>
          <w:sz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年</w:t>
      </w:r>
      <w:r>
        <w:rPr>
          <w:rFonts w:hint="eastAsia" w:ascii="仿宋" w:hAnsi="仿宋" w:eastAsia="仿宋" w:cs="宋体"/>
          <w:color w:val="000000" w:themeColor="text1"/>
          <w:kern w:val="0"/>
          <w:sz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月</w:t>
      </w:r>
      <w:r>
        <w:rPr>
          <w:rFonts w:hint="eastAsia" w:ascii="仿宋" w:hAnsi="仿宋" w:eastAsia="仿宋" w:cs="宋体"/>
          <w:color w:val="000000" w:themeColor="text1"/>
          <w:kern w:val="0"/>
          <w:sz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日</w:t>
      </w:r>
    </w:p>
    <w:bookmarkEnd w:id="194"/>
    <w:bookmarkEnd w:id="195"/>
    <w:bookmarkEnd w:id="196"/>
    <w:bookmarkEnd w:id="197"/>
    <w:bookmarkEnd w:id="198"/>
    <w:bookmarkEnd w:id="199"/>
    <w:p>
      <w:pPr>
        <w:pStyle w:val="5"/>
        <w:widowControl/>
        <w:spacing w:before="0" w:after="0" w:line="360" w:lineRule="auto"/>
        <w:jc w:val="left"/>
        <w:rPr>
          <w:rFonts w:ascii="仿宋" w:hAnsi="仿宋" w:eastAsia="仿宋" w:cs="仿宋"/>
          <w:color w:val="000000" w:themeColor="text1"/>
          <w:kern w:val="0"/>
          <w:sz w:val="24"/>
          <w:szCs w:val="24"/>
          <w:lang w:val="en-US" w:eastAsia="zh-CN" w:bidi="ar-SA"/>
          <w14:textFill>
            <w14:solidFill>
              <w14:schemeClr w14:val="tx1"/>
            </w14:solidFill>
          </w14:textFill>
        </w:rPr>
      </w:pPr>
    </w:p>
    <w:p>
      <w:pPr>
        <w:pStyle w:val="3"/>
        <w:tabs>
          <w:tab w:val="clear" w:pos="425"/>
        </w:tabs>
        <w:spacing w:before="0" w:after="0" w:line="560" w:lineRule="exact"/>
        <w:ind w:left="0" w:firstLine="0"/>
        <w:jc w:val="left"/>
        <w:rPr>
          <w:rFonts w:ascii="仿宋_GB2312" w:hAnsi="宋体" w:eastAsia="仿宋_GB2312" w:cs="宋体"/>
          <w:color w:val="000000" w:themeColor="text1"/>
          <w:sz w:val="28"/>
          <w:szCs w:val="28"/>
          <w14:textFill>
            <w14:solidFill>
              <w14:schemeClr w14:val="tx1"/>
            </w14:solidFill>
          </w14:textFill>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1"/>
    <w:family w:val="roman"/>
    <w:pitch w:val="default"/>
    <w:sig w:usb0="E00002FF" w:usb1="420024FF" w:usb2="00000000" w:usb3="00000000" w:csb0="2000019F" w:csb1="00000000"/>
  </w:font>
  <w:font w:name="楷体">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003" w:usb1="288F0000" w:usb2="0000000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19</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19</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5895937"/>
    </w:sdtPr>
    <w:sdtContent>
      <w:sdt>
        <w:sdtPr>
          <w:id w:val="1728636285"/>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63</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idowControl/>
      <w:jc w:val="center"/>
      <w:rPr>
        <w:rFonts w:asciiTheme="minorHAnsi" w:hAnsiTheme="minorHAnsi" w:eastAsiaTheme="minorEastAsia" w:cstheme="minorBidi"/>
        <w:kern w:val="0"/>
        <w:lang w:val="en-US" w:eastAsia="zh-CN" w:bidi="ar-SA"/>
      </w:rPr>
    </w:pPr>
    <w:r>
      <w:rPr>
        <w:rFonts w:hint="eastAsia" w:asciiTheme="minorHAnsi" w:hAnsiTheme="minorHAnsi" w:eastAsiaTheme="minorEastAsia" w:cstheme="minorBidi"/>
        <w:kern w:val="0"/>
        <w:lang w:val="en-US" w:eastAsia="zh-CN" w:bidi="ar-SA"/>
      </w:rPr>
      <w:fldChar w:fldCharType="begin"/>
    </w:r>
    <w:r>
      <w:rPr>
        <w:rFonts w:hint="eastAsia" w:asciiTheme="minorHAnsi" w:hAnsiTheme="minorHAnsi" w:eastAsiaTheme="minorEastAsia" w:cstheme="minorBidi"/>
        <w:kern w:val="0"/>
        <w:lang w:val="en-US" w:eastAsia="zh-CN" w:bidi="ar-SA"/>
      </w:rPr>
      <w:instrText xml:space="preserve"> PAGE  \* MERGEFORMAT </w:instrText>
    </w:r>
    <w:r>
      <w:rPr>
        <w:rFonts w:hint="eastAsia" w:asciiTheme="minorHAnsi" w:hAnsiTheme="minorHAnsi" w:eastAsiaTheme="minorEastAsia" w:cstheme="minorBidi"/>
        <w:kern w:val="0"/>
        <w:lang w:val="en-US" w:eastAsia="zh-CN" w:bidi="ar-SA"/>
      </w:rPr>
      <w:fldChar w:fldCharType="separate"/>
    </w:r>
    <w:r>
      <w:rPr>
        <w:rFonts w:asciiTheme="minorHAnsi" w:hAnsiTheme="minorHAnsi" w:eastAsiaTheme="minorEastAsia" w:cstheme="minorBidi"/>
        <w:kern w:val="0"/>
        <w:lang w:val="en-US" w:eastAsia="zh-CN" w:bidi="ar-SA"/>
      </w:rPr>
      <w:t>3</w:t>
    </w:r>
    <w:r>
      <w:rPr>
        <w:rFonts w:hint="eastAsia" w:asciiTheme="minorHAnsi" w:hAnsiTheme="minorHAnsi" w:eastAsiaTheme="minorEastAsia" w:cstheme="minorBidi"/>
        <w:kern w:val="0"/>
        <w:lang w:val="en-US" w:eastAsia="zh-CN" w:bidi="ar-S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left"/>
      <w:rPr>
        <w:kern w:val="0"/>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2">
    <w:nsid w:val="628EDFFB"/>
    <w:multiLevelType w:val="singleLevel"/>
    <w:tmpl w:val="628EDFFB"/>
    <w:lvl w:ilvl="0" w:tentative="0">
      <w:start w:val="1"/>
      <w:numFmt w:val="chineseCounting"/>
      <w:suff w:val="nothing"/>
      <w:lvlText w:val="（%1）"/>
      <w:lvlJc w:val="left"/>
      <w:rPr>
        <w:rFonts w:hint="eastAsia"/>
      </w:rPr>
    </w:lvl>
  </w:abstractNum>
  <w:abstractNum w:abstractNumId="3">
    <w:nsid w:val="765F1FBE"/>
    <w:multiLevelType w:val="singleLevel"/>
    <w:tmpl w:val="765F1FBE"/>
    <w:lvl w:ilvl="0" w:tentative="0">
      <w:start w:val="1"/>
      <w:numFmt w:val="chineseCounting"/>
      <w:suff w:val="nothing"/>
      <w:lvlText w:val="%1、"/>
      <w:lvlJc w:val="left"/>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3539"/>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3F94"/>
    <w:rsid w:val="00115059"/>
    <w:rsid w:val="001166CC"/>
    <w:rsid w:val="0012321E"/>
    <w:rsid w:val="00124BC3"/>
    <w:rsid w:val="00130AE0"/>
    <w:rsid w:val="00131E00"/>
    <w:rsid w:val="00132769"/>
    <w:rsid w:val="00142437"/>
    <w:rsid w:val="00143790"/>
    <w:rsid w:val="00147A0D"/>
    <w:rsid w:val="00147BA4"/>
    <w:rsid w:val="00151287"/>
    <w:rsid w:val="0015241B"/>
    <w:rsid w:val="00157822"/>
    <w:rsid w:val="001624C4"/>
    <w:rsid w:val="001710A5"/>
    <w:rsid w:val="00171A30"/>
    <w:rsid w:val="00171C4B"/>
    <w:rsid w:val="001748ED"/>
    <w:rsid w:val="00174D8C"/>
    <w:rsid w:val="0018109E"/>
    <w:rsid w:val="00181F29"/>
    <w:rsid w:val="00182053"/>
    <w:rsid w:val="00182D8C"/>
    <w:rsid w:val="00187A6C"/>
    <w:rsid w:val="001951F0"/>
    <w:rsid w:val="00197ECF"/>
    <w:rsid w:val="001A35BB"/>
    <w:rsid w:val="001A58BA"/>
    <w:rsid w:val="001B036E"/>
    <w:rsid w:val="001B208B"/>
    <w:rsid w:val="001B2267"/>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EFD"/>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A07B8"/>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58B"/>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6557"/>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32FC"/>
    <w:rsid w:val="00684BD7"/>
    <w:rsid w:val="00686CE1"/>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6350"/>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1960"/>
    <w:rsid w:val="0091464B"/>
    <w:rsid w:val="00915081"/>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000E"/>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BE2"/>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BAA"/>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474F"/>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227E"/>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21B9"/>
    <w:rsid w:val="00F060C2"/>
    <w:rsid w:val="00F121B6"/>
    <w:rsid w:val="00F13C90"/>
    <w:rsid w:val="00F16B93"/>
    <w:rsid w:val="00F16E49"/>
    <w:rsid w:val="00F20F76"/>
    <w:rsid w:val="00F21082"/>
    <w:rsid w:val="00F27064"/>
    <w:rsid w:val="00F30314"/>
    <w:rsid w:val="00F31667"/>
    <w:rsid w:val="00F3255E"/>
    <w:rsid w:val="00F336D9"/>
    <w:rsid w:val="00F35DC6"/>
    <w:rsid w:val="00F41302"/>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CA6EF6"/>
    <w:rsid w:val="0569312B"/>
    <w:rsid w:val="064B6D8C"/>
    <w:rsid w:val="0A141145"/>
    <w:rsid w:val="0ACB4877"/>
    <w:rsid w:val="0F0912BA"/>
    <w:rsid w:val="11743009"/>
    <w:rsid w:val="13B40768"/>
    <w:rsid w:val="17334565"/>
    <w:rsid w:val="178772D7"/>
    <w:rsid w:val="18146217"/>
    <w:rsid w:val="18215304"/>
    <w:rsid w:val="19332BB1"/>
    <w:rsid w:val="1A8F47A4"/>
    <w:rsid w:val="1B96587B"/>
    <w:rsid w:val="1D237383"/>
    <w:rsid w:val="1F5171F9"/>
    <w:rsid w:val="22285733"/>
    <w:rsid w:val="232457F5"/>
    <w:rsid w:val="24CF4FC0"/>
    <w:rsid w:val="292532D4"/>
    <w:rsid w:val="2B436569"/>
    <w:rsid w:val="2BBB535D"/>
    <w:rsid w:val="2DF81ACA"/>
    <w:rsid w:val="2E3461D7"/>
    <w:rsid w:val="2FFB605E"/>
    <w:rsid w:val="32DF4A6D"/>
    <w:rsid w:val="34425E22"/>
    <w:rsid w:val="362C1207"/>
    <w:rsid w:val="36FF0D6B"/>
    <w:rsid w:val="37915A99"/>
    <w:rsid w:val="397D76E1"/>
    <w:rsid w:val="3CB4092F"/>
    <w:rsid w:val="3E1F31D7"/>
    <w:rsid w:val="3FD679BD"/>
    <w:rsid w:val="401318DA"/>
    <w:rsid w:val="4C4A2752"/>
    <w:rsid w:val="4FCF6B0F"/>
    <w:rsid w:val="551B1668"/>
    <w:rsid w:val="554E535A"/>
    <w:rsid w:val="55EF1647"/>
    <w:rsid w:val="55FE463F"/>
    <w:rsid w:val="56257777"/>
    <w:rsid w:val="57E4016C"/>
    <w:rsid w:val="5A3E7999"/>
    <w:rsid w:val="5A485B39"/>
    <w:rsid w:val="5AE1183E"/>
    <w:rsid w:val="5B4F2887"/>
    <w:rsid w:val="5B7D6727"/>
    <w:rsid w:val="5B9A01BB"/>
    <w:rsid w:val="5C5D0552"/>
    <w:rsid w:val="5CBC7A68"/>
    <w:rsid w:val="60360D16"/>
    <w:rsid w:val="63936F88"/>
    <w:rsid w:val="66255256"/>
    <w:rsid w:val="664B2F83"/>
    <w:rsid w:val="6936651F"/>
    <w:rsid w:val="6D535020"/>
    <w:rsid w:val="6EED25F6"/>
    <w:rsid w:val="737B034A"/>
    <w:rsid w:val="746305B1"/>
    <w:rsid w:val="74862811"/>
    <w:rsid w:val="772B54F6"/>
    <w:rsid w:val="7913570D"/>
    <w:rsid w:val="79886BF4"/>
    <w:rsid w:val="7AB8615F"/>
    <w:rsid w:val="7F842F5E"/>
    <w:rsid w:val="7F862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BCEA6F-4B2C-4A84-B608-3C965D9A2CB3}">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62</Pages>
  <Words>5143</Words>
  <Characters>29318</Characters>
  <Lines>244</Lines>
  <Paragraphs>68</Paragraphs>
  <TotalTime>6</TotalTime>
  <ScaleCrop>false</ScaleCrop>
  <LinksUpToDate>false</LinksUpToDate>
  <CharactersWithSpaces>34393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刘潇忆</cp:lastModifiedBy>
  <cp:lastPrinted>2019-12-03T09:03:00Z</cp:lastPrinted>
  <dcterms:modified xsi:type="dcterms:W3CDTF">2026-06-17T00:53:13Z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CF44D7C5205A4FC3BA3FBB78C9DF7E5A</vt:lpwstr>
  </property>
</Properties>
</file>