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ind w:left="0" w:right="0" w:firstLine="0"/>
        <w:jc w:val="center"/>
        <w:rPr>
          <w:rFonts w:hint="eastAsia" w:ascii="仿宋_GB2312" w:hAnsi="宋体" w:eastAsia="仿宋_GB2312"/>
          <w:b/>
          <w:sz w:val="44"/>
          <w:szCs w:val="44"/>
          <w:lang w:val="en-US" w:eastAsia="zh-CN"/>
        </w:rPr>
      </w:pPr>
      <w:r>
        <w:rPr>
          <w:rFonts w:hint="eastAsia" w:ascii="仿宋_GB2312" w:hAnsi="宋体" w:eastAsia="仿宋_GB2312"/>
          <w:b/>
          <w:sz w:val="44"/>
          <w:szCs w:val="44"/>
        </w:rPr>
        <w:t>人保财险</w:t>
      </w:r>
      <w:r>
        <w:rPr>
          <w:rFonts w:hint="eastAsia" w:ascii="仿宋_GB2312" w:hAnsi="宋体" w:eastAsia="仿宋_GB2312"/>
          <w:b/>
          <w:sz w:val="44"/>
          <w:szCs w:val="44"/>
          <w:lang w:val="en-US" w:eastAsia="zh-CN"/>
        </w:rPr>
        <w:t>四川省资阳市分公司线上服务团队</w:t>
      </w:r>
    </w:p>
    <w:p>
      <w:pPr>
        <w:pBdr>
          <w:top w:val="none" w:color="000000" w:sz="0" w:space="0"/>
          <w:left w:val="none" w:color="000000" w:sz="0" w:space="0"/>
          <w:bottom w:val="none" w:color="000000" w:sz="0" w:space="0"/>
          <w:right w:val="none" w:color="000000" w:sz="0" w:space="0"/>
        </w:pBdr>
        <w:ind w:left="0" w:right="0" w:firstLine="0"/>
        <w:jc w:val="center"/>
        <w:rPr>
          <w:sz w:val="22"/>
        </w:rPr>
      </w:pPr>
      <w:r>
        <w:rPr>
          <w:rFonts w:hint="eastAsia" w:ascii="仿宋_GB2312" w:hAnsi="宋体" w:eastAsia="仿宋_GB2312"/>
          <w:b/>
          <w:bCs/>
          <w:sz w:val="44"/>
          <w:szCs w:val="44"/>
          <w:lang w:val="en-US" w:eastAsia="zh-CN"/>
        </w:rPr>
        <w:t>邮政银行播放机</w:t>
      </w:r>
      <w:r>
        <w:rPr>
          <w:rFonts w:hint="eastAsia" w:ascii="仿宋_GB2312" w:hAnsi="宋体" w:eastAsia="仿宋_GB2312"/>
          <w:b/>
          <w:sz w:val="44"/>
          <w:szCs w:val="44"/>
          <w:lang w:val="en-US" w:eastAsia="zh-CN"/>
        </w:rPr>
        <w:t>车险宣传</w:t>
      </w:r>
      <w:r>
        <w:rPr>
          <w:rFonts w:hint="eastAsia" w:ascii="仿宋_GB2312" w:hAnsi="宋体" w:eastAsia="仿宋_GB2312"/>
          <w:b/>
          <w:sz w:val="44"/>
          <w:szCs w:val="44"/>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价</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件</w:t>
      </w:r>
    </w:p>
    <w:p>
      <w:pPr>
        <w:pStyle w:val="188"/>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89"/>
        <w:ind w:left="113"/>
        <w:jc w:val="center"/>
        <w:rPr>
          <w:rFonts w:ascii="仿宋_GB2312" w:hAnsi="宋体" w:eastAsia="仿宋_GB2312"/>
          <w:b/>
          <w:sz w:val="28"/>
          <w:szCs w:val="28"/>
        </w:rPr>
      </w:pPr>
    </w:p>
    <w:p>
      <w:pPr>
        <w:pStyle w:val="189"/>
        <w:ind w:left="113"/>
        <w:jc w:val="center"/>
        <w:rPr>
          <w:rFonts w:ascii="仿宋_GB2312" w:hAnsi="宋体" w:eastAsia="仿宋_GB2312"/>
          <w:b/>
          <w:sz w:val="28"/>
          <w:szCs w:val="28"/>
        </w:rPr>
      </w:pPr>
    </w:p>
    <w:p>
      <w:pPr>
        <w:pStyle w:val="189"/>
        <w:ind w:left="113"/>
        <w:jc w:val="center"/>
        <w:rPr>
          <w:rFonts w:ascii="仿宋_GB2312" w:hAnsi="宋体" w:eastAsia="仿宋_GB2312"/>
          <w:b/>
          <w:sz w:val="28"/>
          <w:szCs w:val="28"/>
        </w:rPr>
      </w:pPr>
    </w:p>
    <w:p>
      <w:pPr>
        <w:pStyle w:val="189"/>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年6月</w:t>
      </w:r>
    </w:p>
    <w:p>
      <w:pPr>
        <w:spacing w:line="360" w:lineRule="auto"/>
        <w:jc w:val="center"/>
        <w:rPr>
          <w:rFonts w:ascii="仿宋_GB2312" w:hAnsi="宋体" w:eastAsia="仿宋_GB2312"/>
          <w:b/>
          <w:sz w:val="36"/>
          <w:szCs w:val="28"/>
        </w:rPr>
        <w:sectPr>
          <w:footerReference r:id="rId3" w:type="default"/>
          <w:footerReference r:id="rId4" w:type="even"/>
          <w:pgSz w:w="11906" w:h="16838"/>
          <w:pgMar w:top="1440" w:right="1134" w:bottom="1440" w:left="1134" w:header="851" w:footer="992" w:gutter="0"/>
          <w:cols w:space="1701" w:num="1"/>
        </w:sectPr>
      </w:pPr>
    </w:p>
    <w:p>
      <w:pPr>
        <w:spacing w:line="360" w:lineRule="auto"/>
        <w:ind w:firstLine="4337"/>
        <w:jc w:val="both"/>
        <w:rPr>
          <w:rFonts w:ascii="仿宋_GB2312" w:hAnsi="宋体" w:eastAsia="仿宋_GB2312"/>
          <w:b/>
          <w:sz w:val="36"/>
          <w:szCs w:val="28"/>
        </w:rPr>
      </w:pPr>
      <w:r>
        <w:rPr>
          <w:rFonts w:hint="eastAsia" w:ascii="仿宋_GB2312" w:hAnsi="宋体" w:eastAsia="仿宋_GB2312"/>
          <w:b/>
          <w:sz w:val="36"/>
          <w:szCs w:val="28"/>
        </w:rPr>
        <w:t>目     录</w:t>
      </w:r>
    </w:p>
    <w:p>
      <w:pPr>
        <w:pStyle w:val="190"/>
        <w:tabs>
          <w:tab w:val="right" w:leader="dot" w:pos="9638"/>
        </w:tabs>
      </w:pP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_Toc7574 </w:instrText>
      </w:r>
      <w:r>
        <w:rPr>
          <w:rFonts w:hint="eastAsia" w:ascii="仿宋_GB2312" w:hAnsi="宋体" w:eastAsia="仿宋_GB2312"/>
          <w:bCs w:val="0"/>
        </w:rPr>
        <w:fldChar w:fldCharType="separate"/>
      </w:r>
      <w:r>
        <w:rPr>
          <w:rFonts w:hint="eastAsia" w:ascii="仿宋_GB2312" w:hAnsi="宋体" w:eastAsia="仿宋_GB2312"/>
          <w:szCs w:val="28"/>
        </w:rPr>
        <w:t>第一章 比价邀请</w:t>
      </w:r>
      <w:r>
        <w:tab/>
      </w:r>
      <w:r>
        <w:fldChar w:fldCharType="begin"/>
      </w:r>
      <w:r>
        <w:instrText xml:space="preserve"> PAGEREF _Toc7574 \h </w:instrText>
      </w:r>
      <w:r>
        <w:fldChar w:fldCharType="separate"/>
      </w:r>
      <w:r>
        <w:t>3</w:t>
      </w:r>
      <w:r>
        <w:fldChar w:fldCharType="end"/>
      </w:r>
      <w:r>
        <w:rPr>
          <w:rFonts w:hint="eastAsia" w:ascii="仿宋_GB2312" w:hAnsi="宋体" w:eastAsia="仿宋_GB2312"/>
          <w:bCs w:val="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_Toc14431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_Toc14431 \h </w:instrText>
      </w:r>
      <w:r>
        <w:fldChar w:fldCharType="separate"/>
      </w:r>
      <w:r>
        <w:t>3</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_Toc30355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_Toc30355 \h </w:instrText>
      </w:r>
      <w:r>
        <w:fldChar w:fldCharType="separate"/>
      </w:r>
      <w:r>
        <w:t>3</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_Toc27197 </w:instrText>
      </w:r>
      <w:r>
        <w:rPr>
          <w:rFonts w:hint="eastAsia" w:ascii="仿宋_GB2312" w:hAnsi="宋体" w:eastAsia="仿宋_GB2312"/>
          <w:bCs w:val="0"/>
        </w:rPr>
        <w:fldChar w:fldCharType="separate"/>
      </w:r>
      <w:r>
        <w:rPr>
          <w:rFonts w:hint="eastAsia" w:ascii="仿宋" w:hAnsi="仿宋" w:eastAsia="仿宋" w:cs="仿宋"/>
          <w:szCs w:val="24"/>
        </w:rPr>
        <w:t>三、比价文件的获取</w:t>
      </w:r>
      <w:r>
        <w:tab/>
      </w:r>
      <w:r>
        <w:fldChar w:fldCharType="begin"/>
      </w:r>
      <w:r>
        <w:instrText xml:space="preserve"> PAGEREF _Toc27197 \h </w:instrText>
      </w:r>
      <w:r>
        <w:fldChar w:fldCharType="separate"/>
      </w:r>
      <w:r>
        <w:t>4</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_Toc13980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_Toc13980 \h </w:instrText>
      </w:r>
      <w:r>
        <w:fldChar w:fldCharType="separate"/>
      </w:r>
      <w:r>
        <w:t>4</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_Toc1244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_Toc1244 \h </w:instrText>
      </w:r>
      <w:r>
        <w:fldChar w:fldCharType="separate"/>
      </w:r>
      <w:r>
        <w:t>4</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_Toc17332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_Toc17332 \h </w:instrText>
      </w:r>
      <w:r>
        <w:fldChar w:fldCharType="separate"/>
      </w:r>
      <w:r>
        <w:t>5</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_Toc32595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_Toc32595 \h </w:instrText>
      </w:r>
      <w:r>
        <w:fldChar w:fldCharType="separate"/>
      </w:r>
      <w:r>
        <w:t>6</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_Toc17714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_Toc17714 \h </w:instrText>
      </w:r>
      <w:r>
        <w:fldChar w:fldCharType="separate"/>
      </w:r>
      <w:r>
        <w:t>6</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_Toc9679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_Toc9679 \h </w:instrText>
      </w:r>
      <w:r>
        <w:fldChar w:fldCharType="separate"/>
      </w:r>
      <w:r>
        <w:t>9</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_Toc22521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_Toc22521 \h </w:instrText>
      </w:r>
      <w:r>
        <w:fldChar w:fldCharType="separate"/>
      </w:r>
      <w:r>
        <w:t>9</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_Toc17771 </w:instrText>
      </w:r>
      <w:r>
        <w:rPr>
          <w:rFonts w:hint="eastAsia" w:ascii="仿宋_GB2312" w:hAnsi="宋体" w:eastAsia="仿宋_GB2312"/>
          <w:bCs w:val="0"/>
        </w:rPr>
        <w:fldChar w:fldCharType="separate"/>
      </w:r>
      <w:r>
        <w:rPr>
          <w:rFonts w:hint="eastAsia" w:ascii="仿宋" w:hAnsi="仿宋" w:eastAsia="仿宋" w:cs="仿宋"/>
          <w:szCs w:val="24"/>
        </w:rPr>
        <w:t>（二）比价文件</w:t>
      </w:r>
      <w:r>
        <w:tab/>
      </w:r>
      <w:r>
        <w:fldChar w:fldCharType="begin"/>
      </w:r>
      <w:r>
        <w:instrText xml:space="preserve"> PAGEREF _Toc17771 \h </w:instrText>
      </w:r>
      <w:r>
        <w:fldChar w:fldCharType="separate"/>
      </w:r>
      <w:r>
        <w:t>9</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_Toc12655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_Toc12655 \h </w:instrText>
      </w:r>
      <w:r>
        <w:fldChar w:fldCharType="separate"/>
      </w:r>
      <w:r>
        <w:t>10</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_Toc20424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_Toc20424 \h </w:instrText>
      </w:r>
      <w:r>
        <w:fldChar w:fldCharType="separate"/>
      </w:r>
      <w:r>
        <w:t>11</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_Toc3904 </w:instrText>
      </w:r>
      <w:r>
        <w:rPr>
          <w:rFonts w:hint="eastAsia" w:ascii="仿宋_GB2312" w:hAnsi="宋体" w:eastAsia="仿宋_GB2312"/>
          <w:bCs w:val="0"/>
        </w:rPr>
        <w:fldChar w:fldCharType="separate"/>
      </w:r>
      <w:r>
        <w:rPr>
          <w:rFonts w:hint="eastAsia" w:ascii="仿宋" w:hAnsi="仿宋" w:eastAsia="仿宋" w:cs="仿宋"/>
          <w:szCs w:val="24"/>
        </w:rPr>
        <w:t>（五）比价和评审</w:t>
      </w:r>
      <w:r>
        <w:tab/>
      </w:r>
      <w:r>
        <w:fldChar w:fldCharType="begin"/>
      </w:r>
      <w:r>
        <w:instrText xml:space="preserve"> PAGEREF _Toc3904 \h </w:instrText>
      </w:r>
      <w:r>
        <w:fldChar w:fldCharType="separate"/>
      </w:r>
      <w:r>
        <w:t>12</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_Toc31808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_Toc31808 \h </w:instrText>
      </w:r>
      <w:r>
        <w:fldChar w:fldCharType="separate"/>
      </w:r>
      <w:r>
        <w:t>14</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_Toc563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_Toc563 \h </w:instrText>
      </w:r>
      <w:r>
        <w:fldChar w:fldCharType="separate"/>
      </w:r>
      <w:r>
        <w:t>14</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_Toc23540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_Toc23540 \h </w:instrText>
      </w:r>
      <w:r>
        <w:fldChar w:fldCharType="separate"/>
      </w:r>
      <w:r>
        <w:t>14</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_Toc21652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_Toc21652 \h </w:instrText>
      </w:r>
      <w:r>
        <w:fldChar w:fldCharType="separate"/>
      </w:r>
      <w:r>
        <w:t>16</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_Toc16129 </w:instrText>
      </w:r>
      <w:r>
        <w:rPr>
          <w:rFonts w:hint="eastAsia" w:ascii="仿宋_GB2312" w:hAnsi="宋体" w:eastAsia="仿宋_GB2312"/>
          <w:bCs w:val="0"/>
        </w:rPr>
        <w:fldChar w:fldCharType="separate"/>
      </w:r>
      <w:r>
        <w:rPr>
          <w:rFonts w:hint="eastAsia" w:ascii="仿宋_GB2312" w:hAnsi="仿宋_GB2312" w:eastAsia="仿宋_GB2312" w:cs="仿宋_GB2312"/>
          <w:szCs w:val="28"/>
          <w:lang w:val="en-US" w:eastAsia="zh-CN"/>
        </w:rPr>
        <w:t xml:space="preserve">第四章 </w:t>
      </w:r>
      <w:r>
        <w:rPr>
          <w:rFonts w:hint="eastAsia" w:ascii="仿宋_GB2312" w:hAnsi="仿宋_GB2312" w:eastAsia="仿宋_GB2312" w:cs="仿宋_GB2312"/>
          <w:szCs w:val="28"/>
        </w:rPr>
        <w:t>合同条</w:t>
      </w:r>
      <w:r>
        <w:rPr>
          <w:rFonts w:hint="eastAsia" w:ascii="仿宋_GB2312" w:hAnsi="仿宋_GB2312" w:eastAsia="仿宋_GB2312" w:cs="仿宋_GB2312"/>
          <w:szCs w:val="28"/>
          <w:lang w:val="en-US" w:eastAsia="zh-CN"/>
        </w:rPr>
        <w:t>款</w:t>
      </w:r>
      <w:r>
        <w:tab/>
      </w:r>
      <w:r>
        <w:fldChar w:fldCharType="begin"/>
      </w:r>
      <w:r>
        <w:instrText xml:space="preserve"> PAGEREF _Toc16129 \h </w:instrText>
      </w:r>
      <w:r>
        <w:fldChar w:fldCharType="separate"/>
      </w:r>
      <w:r>
        <w:t>17</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_Toc4352 </w:instrText>
      </w:r>
      <w:r>
        <w:rPr>
          <w:rFonts w:hint="eastAsia" w:ascii="仿宋_GB2312" w:hAnsi="宋体" w:eastAsia="仿宋_GB2312"/>
          <w:bCs w:val="0"/>
        </w:rPr>
        <w:fldChar w:fldCharType="separate"/>
      </w:r>
      <w:r>
        <w:rPr>
          <w:rFonts w:hint="eastAsia" w:ascii="仿宋_GB2312" w:hAnsi="仿宋_GB2312" w:eastAsia="仿宋_GB2312" w:cs="仿宋_GB2312"/>
          <w:szCs w:val="28"/>
        </w:rPr>
        <w:t>人保财险四川省资阳市</w:t>
      </w:r>
      <w:r>
        <w:rPr>
          <w:rFonts w:hint="eastAsia" w:ascii="仿宋_GB2312" w:hAnsi="仿宋_GB2312" w:eastAsia="仿宋_GB2312" w:cs="仿宋_GB2312"/>
          <w:szCs w:val="28"/>
          <w:lang w:eastAsia="zh-CN"/>
        </w:rPr>
        <w:t>分</w:t>
      </w:r>
      <w:r>
        <w:rPr>
          <w:rFonts w:hint="eastAsia" w:ascii="仿宋_GB2312" w:hAnsi="仿宋_GB2312" w:eastAsia="仿宋_GB2312" w:cs="仿宋_GB2312"/>
          <w:szCs w:val="28"/>
        </w:rPr>
        <w:t>公司</w:t>
      </w:r>
      <w:r>
        <w:rPr>
          <w:rFonts w:hint="eastAsia" w:ascii="仿宋_GB2312" w:hAnsi="仿宋_GB2312" w:eastAsia="仿宋_GB2312" w:cs="仿宋_GB2312"/>
          <w:szCs w:val="28"/>
          <w:lang w:val="en-US" w:eastAsia="zh-CN"/>
        </w:rPr>
        <w:t>线上服务团队</w:t>
      </w:r>
      <w:r>
        <w:tab/>
      </w:r>
      <w:r>
        <w:fldChar w:fldCharType="begin"/>
      </w:r>
      <w:r>
        <w:instrText xml:space="preserve"> PAGEREF _Toc4352 \h </w:instrText>
      </w:r>
      <w:r>
        <w:fldChar w:fldCharType="separate"/>
      </w:r>
      <w:r>
        <w:t>17</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_Toc31902 </w:instrText>
      </w:r>
      <w:r>
        <w:rPr>
          <w:rFonts w:hint="eastAsia" w:ascii="仿宋_GB2312" w:hAnsi="宋体" w:eastAsia="仿宋_GB2312"/>
          <w:bCs w:val="0"/>
        </w:rPr>
        <w:fldChar w:fldCharType="separate"/>
      </w:r>
      <w:r>
        <w:rPr>
          <w:rFonts w:hint="eastAsia" w:ascii="仿宋_GB2312" w:hAnsi="宋体" w:eastAsia="仿宋_GB2312"/>
          <w:bCs w:val="0"/>
          <w:lang w:eastAsia="zh-CN"/>
        </w:rPr>
        <w:t>邮政银行播放机</w:t>
      </w:r>
      <w:r>
        <w:rPr>
          <w:rFonts w:hint="eastAsia" w:ascii="仿宋_GB2312" w:hAnsi="仿宋_GB2312" w:eastAsia="仿宋_GB2312" w:cs="仿宋_GB2312"/>
          <w:szCs w:val="28"/>
          <w:lang w:val="en-US" w:eastAsia="zh-CN"/>
        </w:rPr>
        <w:t>宣传</w:t>
      </w:r>
      <w:r>
        <w:rPr>
          <w:rFonts w:hint="eastAsia" w:ascii="仿宋_GB2312" w:hAnsi="仿宋_GB2312" w:eastAsia="仿宋_GB2312" w:cs="仿宋_GB2312"/>
          <w:szCs w:val="28"/>
        </w:rPr>
        <w:t>采购项目</w:t>
      </w:r>
      <w:r>
        <w:tab/>
      </w:r>
      <w:r>
        <w:fldChar w:fldCharType="begin"/>
      </w:r>
      <w:r>
        <w:instrText xml:space="preserve"> PAGEREF _Toc31902 \h </w:instrText>
      </w:r>
      <w:r>
        <w:fldChar w:fldCharType="separate"/>
      </w:r>
      <w:r>
        <w:t>17</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_Toc5280 </w:instrText>
      </w:r>
      <w:r>
        <w:rPr>
          <w:rFonts w:hint="eastAsia" w:ascii="仿宋_GB2312" w:hAnsi="宋体" w:eastAsia="仿宋_GB2312"/>
          <w:bCs w:val="0"/>
        </w:rPr>
        <w:fldChar w:fldCharType="separate"/>
      </w:r>
      <w:r>
        <w:rPr>
          <w:rFonts w:hint="eastAsia" w:ascii="仿宋_GB2312" w:hAnsi="仿宋_GB2312" w:eastAsia="仿宋_GB2312" w:cs="仿宋_GB2312"/>
          <w:szCs w:val="24"/>
        </w:rPr>
        <w:t>附件一</w:t>
      </w:r>
      <w:r>
        <w:tab/>
      </w:r>
      <w:r>
        <w:fldChar w:fldCharType="begin"/>
      </w:r>
      <w:r>
        <w:instrText xml:space="preserve"> PAGEREF _Toc5280 \h </w:instrText>
      </w:r>
      <w:r>
        <w:fldChar w:fldCharType="separate"/>
      </w:r>
      <w:r>
        <w:t>22</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_Toc31991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_Toc31991 \h </w:instrText>
      </w:r>
      <w:r>
        <w:fldChar w:fldCharType="separate"/>
      </w:r>
      <w:r>
        <w:t>38</w:t>
      </w:r>
      <w:r>
        <w:fldChar w:fldCharType="end"/>
      </w:r>
      <w:r>
        <w:rPr>
          <w:rFonts w:hint="eastAsia" w:ascii="仿宋_GB2312" w:hAnsi="宋体" w:eastAsia="仿宋_GB2312"/>
          <w:bCs w:val="0"/>
          <w:color w:val="000000"/>
        </w:rPr>
        <w:fldChar w:fldCharType="end"/>
      </w:r>
    </w:p>
    <w:p>
      <w:pPr>
        <w:pStyle w:val="190"/>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_Toc12300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_Toc12300 \h </w:instrText>
      </w:r>
      <w:r>
        <w:fldChar w:fldCharType="separate"/>
      </w:r>
      <w:r>
        <w:t>41</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_Toc6902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_Toc6902 \h </w:instrText>
      </w:r>
      <w:r>
        <w:fldChar w:fldCharType="separate"/>
      </w:r>
      <w:r>
        <w:t>42</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_Toc13418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_Toc13418 \h </w:instrText>
      </w:r>
      <w:r>
        <w:fldChar w:fldCharType="separate"/>
      </w:r>
      <w:r>
        <w:t>43</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_Toc25959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_Toc25959 \h </w:instrText>
      </w:r>
      <w:r>
        <w:fldChar w:fldCharType="separate"/>
      </w:r>
      <w:r>
        <w:t>44</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_Toc30356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_Toc30356 \h </w:instrText>
      </w:r>
      <w:r>
        <w:fldChar w:fldCharType="separate"/>
      </w:r>
      <w:r>
        <w:t>45</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_Toc16913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_Toc16913 \h </w:instrText>
      </w:r>
      <w:r>
        <w:fldChar w:fldCharType="separate"/>
      </w:r>
      <w:r>
        <w:t>46</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_Toc24638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_Toc24638 \h </w:instrText>
      </w:r>
      <w:r>
        <w:fldChar w:fldCharType="separate"/>
      </w:r>
      <w:r>
        <w:t>55</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_Toc19130 </w:instrText>
      </w:r>
      <w:r>
        <w:rPr>
          <w:rFonts w:hint="eastAsia" w:ascii="仿宋_GB2312" w:hAnsi="宋体" w:eastAsia="仿宋_GB2312"/>
          <w:bCs w:val="0"/>
        </w:rPr>
        <w:fldChar w:fldCharType="separate"/>
      </w:r>
      <w:r>
        <w:rPr>
          <w:rFonts w:hint="eastAsia" w:ascii="仿宋" w:hAnsi="仿宋" w:eastAsia="仿宋" w:cs="仿宋"/>
          <w:szCs w:val="24"/>
        </w:rPr>
        <w:t>（六）合同条款应答偏</w:t>
      </w:r>
      <w:r>
        <w:rPr>
          <w:rFonts w:ascii="仿宋" w:hAnsi="仿宋" w:eastAsia="仿宋" w:cs="仿宋"/>
          <w:szCs w:val="24"/>
        </w:rPr>
        <w:t>离表</w:t>
      </w:r>
      <w:r>
        <w:tab/>
      </w:r>
      <w:r>
        <w:fldChar w:fldCharType="begin"/>
      </w:r>
      <w:r>
        <w:instrText xml:space="preserve"> PAGEREF _Toc19130 \h </w:instrText>
      </w:r>
      <w:r>
        <w:fldChar w:fldCharType="separate"/>
      </w:r>
      <w:r>
        <w:t>56</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_Toc10098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_Toc10098 \h </w:instrText>
      </w:r>
      <w:r>
        <w:fldChar w:fldCharType="separate"/>
      </w:r>
      <w:r>
        <w:t>57</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_Toc15154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_Toc15154 \h </w:instrText>
      </w:r>
      <w:r>
        <w:fldChar w:fldCharType="separate"/>
      </w:r>
      <w:r>
        <w:t>59</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_Toc18151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eastAsia="zh-CN"/>
        </w:rPr>
        <w:t>九</w:t>
      </w:r>
      <w:r>
        <w:rPr>
          <w:rFonts w:hint="eastAsia" w:ascii="仿宋" w:hAnsi="仿宋" w:eastAsia="仿宋" w:cs="宋体"/>
        </w:rPr>
        <w:t>）其他材料</w:t>
      </w:r>
      <w:r>
        <w:tab/>
      </w:r>
      <w:r>
        <w:fldChar w:fldCharType="begin"/>
      </w:r>
      <w:r>
        <w:instrText xml:space="preserve"> PAGEREF _Toc18151 \h </w:instrText>
      </w:r>
      <w:r>
        <w:fldChar w:fldCharType="separate"/>
      </w:r>
      <w:r>
        <w:t>61</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_Toc16603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_Toc16603 \h </w:instrText>
      </w:r>
      <w:r>
        <w:fldChar w:fldCharType="separate"/>
      </w:r>
      <w:r>
        <w:t>62</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_Toc26098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_Toc26098 \h </w:instrText>
      </w:r>
      <w:r>
        <w:fldChar w:fldCharType="separate"/>
      </w:r>
      <w:r>
        <w:t>63</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_Toc16200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_Toc16200 \h </w:instrText>
      </w:r>
      <w:r>
        <w:fldChar w:fldCharType="separate"/>
      </w:r>
      <w:r>
        <w:t>64</w:t>
      </w:r>
      <w:r>
        <w:fldChar w:fldCharType="end"/>
      </w:r>
      <w:r>
        <w:rPr>
          <w:rFonts w:hint="eastAsia" w:ascii="仿宋_GB2312" w:hAnsi="宋体" w:eastAsia="仿宋_GB2312"/>
          <w:bCs w:val="0"/>
          <w:color w:val="000000"/>
        </w:rPr>
        <w:fldChar w:fldCharType="end"/>
      </w:r>
    </w:p>
    <w:p>
      <w:pPr>
        <w:pStyle w:val="192"/>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_Toc5414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_Toc5414 \h </w:instrText>
      </w:r>
      <w:r>
        <w:fldChar w:fldCharType="separate"/>
      </w:r>
      <w:r>
        <w:t>67</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_Toc31457 </w:instrText>
      </w:r>
      <w:r>
        <w:rPr>
          <w:rFonts w:hint="eastAsia" w:ascii="仿宋_GB2312" w:hAnsi="宋体" w:eastAsia="仿宋_GB2312"/>
          <w:bCs w:val="0"/>
        </w:rPr>
        <w:fldChar w:fldCharType="separate"/>
      </w:r>
      <w:r>
        <w:rPr>
          <w:rFonts w:hint="eastAsia" w:ascii="仿宋" w:hAnsi="仿宋" w:eastAsia="仿宋" w:cs="仿宋"/>
          <w:szCs w:val="24"/>
        </w:rPr>
        <w:t>三、 报价文件</w:t>
      </w:r>
      <w:r>
        <w:tab/>
      </w:r>
      <w:r>
        <w:fldChar w:fldCharType="begin"/>
      </w:r>
      <w:r>
        <w:instrText xml:space="preserve"> PAGEREF _Toc31457 \h </w:instrText>
      </w:r>
      <w:r>
        <w:fldChar w:fldCharType="separate"/>
      </w:r>
      <w:r>
        <w:t>1</w:t>
      </w:r>
      <w:r>
        <w:fldChar w:fldCharType="end"/>
      </w:r>
      <w:r>
        <w:rPr>
          <w:rFonts w:hint="eastAsia" w:ascii="仿宋_GB2312" w:hAnsi="宋体" w:eastAsia="仿宋_GB2312"/>
          <w:bCs w:val="0"/>
          <w:color w:val="000000"/>
        </w:rPr>
        <w:fldChar w:fldCharType="end"/>
      </w:r>
    </w:p>
    <w:p>
      <w:pPr>
        <w:pStyle w:val="191"/>
        <w:tabs>
          <w:tab w:val="right" w:leader="dot" w:pos="9638"/>
        </w:tabs>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_Toc11490 </w:instrText>
      </w:r>
      <w:r>
        <w:rPr>
          <w:rFonts w:hint="eastAsia" w:ascii="仿宋_GB2312" w:hAnsi="宋体" w:eastAsia="仿宋_GB2312"/>
          <w:bCs w:val="0"/>
        </w:rPr>
        <w:fldChar w:fldCharType="separate"/>
      </w:r>
      <w:r>
        <w:rPr>
          <w:rFonts w:hint="eastAsia" w:ascii="仿宋" w:hAnsi="仿宋" w:eastAsia="仿宋" w:cs="仿宋"/>
          <w:szCs w:val="24"/>
        </w:rPr>
        <w:t>报价一览表</w:t>
      </w:r>
      <w:r>
        <w:tab/>
      </w:r>
      <w:r>
        <w:fldChar w:fldCharType="begin"/>
      </w:r>
      <w:r>
        <w:instrText xml:space="preserve"> PAGEREF _Toc11490 \h </w:instrText>
      </w:r>
      <w:r>
        <w:fldChar w:fldCharType="separate"/>
      </w:r>
      <w:r>
        <w:t>1</w:t>
      </w:r>
      <w:r>
        <w:fldChar w:fldCharType="end"/>
      </w:r>
      <w:r>
        <w:rPr>
          <w:rFonts w:hint="eastAsia" w:ascii="仿宋_GB2312" w:hAnsi="宋体" w:eastAsia="仿宋_GB2312"/>
          <w:bCs w:val="0"/>
          <w:color w:val="000000"/>
        </w:rPr>
        <w:fldChar w:fldCharType="end"/>
      </w:r>
    </w:p>
    <w:p/>
    <w:p/>
    <w:p>
      <w:pPr>
        <w:pStyle w:val="193"/>
        <w:ind w:left="0" w:firstLine="0"/>
        <w:jc w:val="left"/>
        <w:rPr>
          <w:rFonts w:hint="eastAsia" w:ascii="仿宋_GB2312" w:hAnsi="宋体" w:eastAsia="仿宋_GB2312"/>
          <w:color w:val="000000"/>
        </w:rPr>
      </w:pPr>
      <w:r>
        <w:rPr>
          <w:rFonts w:hint="eastAsia" w:ascii="仿宋_GB2312" w:hAnsi="宋体" w:eastAsia="仿宋_GB2312"/>
          <w:bCs w:val="0"/>
          <w:color w:val="000000"/>
        </w:rPr>
        <w:t xml:space="preserve"> </w:t>
      </w:r>
      <w:bookmarkStart w:id="0" w:name="_Toc7574"/>
      <w:bookmarkStart w:id="1" w:name="_Toc21360"/>
      <w:r>
        <w:rPr>
          <w:rFonts w:hint="eastAsia" w:ascii="仿宋_GB2312" w:hAnsi="宋体" w:eastAsia="仿宋_GB2312"/>
          <w:bCs w:val="0"/>
          <w:color w:val="000000"/>
          <w:lang w:val="en-US" w:eastAsia="zh-CN"/>
        </w:rPr>
        <w:t xml:space="preserve">                   </w:t>
      </w:r>
      <w:r>
        <w:rPr>
          <w:rFonts w:hint="eastAsia" w:ascii="仿宋_GB2312" w:hAnsi="宋体" w:eastAsia="仿宋_GB2312"/>
          <w:color w:val="000000"/>
          <w:sz w:val="28"/>
          <w:szCs w:val="28"/>
        </w:rPr>
        <w:t>第一章 比价邀请</w:t>
      </w:r>
      <w:bookmarkEnd w:id="0"/>
      <w:bookmarkEnd w:id="1"/>
    </w:p>
    <w:p>
      <w:pPr>
        <w:keepNext w:val="0"/>
        <w:keepLines w:val="0"/>
        <w:pageBreakBefore w:val="0"/>
        <w:widowControl/>
        <w:bidi w:val="0"/>
        <w:spacing w:line="560" w:lineRule="exact"/>
        <w:jc w:val="center"/>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四川省资阳市分公司线上服务团队邮政银行播放机车险宣传采</w:t>
      </w:r>
      <w:r>
        <w:rPr>
          <w:rFonts w:hint="eastAsia" w:ascii="仿宋" w:hAnsi="仿宋" w:eastAsia="仿宋" w:cs="仿宋"/>
          <w:color w:val="000000"/>
          <w:u w:val="single"/>
        </w:rPr>
        <w:t>购项目</w:t>
      </w:r>
      <w:r>
        <w:rPr>
          <w:rFonts w:hint="eastAsia" w:ascii="仿宋" w:hAnsi="仿宋" w:eastAsia="仿宋" w:cs="仿宋"/>
          <w:color w:val="000000"/>
        </w:rPr>
        <w:t>（采购项目编号：</w:t>
      </w:r>
      <w:r>
        <w:rPr>
          <w:rFonts w:hint="eastAsia" w:ascii="仿宋" w:hAnsi="仿宋" w:eastAsia="仿宋" w:cs="Cambria Math"/>
        </w:rPr>
        <w:t>XM26FSPC001912</w:t>
      </w:r>
      <w:r>
        <w:rPr>
          <w:rFonts w:hint="eastAsia" w:ascii="仿宋" w:hAnsi="仿宋" w:eastAsia="仿宋" w:cs="仿宋"/>
          <w:color w:val="000000"/>
        </w:rPr>
        <w:t xml:space="preserve"> ）由</w:t>
      </w:r>
      <w:r>
        <w:rPr>
          <w:rFonts w:hint="eastAsia" w:ascii="仿宋" w:hAnsi="仿宋" w:eastAsia="仿宋" w:cs="仿宋"/>
          <w:color w:val="000000"/>
          <w:u w:val="single"/>
        </w:rPr>
        <w:t>中国人民财产保险股份有限公司</w:t>
      </w:r>
      <w:r>
        <w:rPr>
          <w:rFonts w:hint="eastAsia" w:ascii="仿宋" w:hAnsi="仿宋" w:eastAsia="仿宋" w:cs="仿宋"/>
          <w:color w:val="000000"/>
          <w:u w:val="single"/>
          <w:lang w:eastAsia="zh-CN"/>
        </w:rPr>
        <w:t>资阳市</w:t>
      </w:r>
      <w:r>
        <w:rPr>
          <w:rFonts w:hint="eastAsia" w:ascii="仿宋" w:hAnsi="仿宋" w:eastAsia="仿宋" w:cs="仿宋"/>
          <w:color w:val="000000"/>
          <w:u w:val="single"/>
        </w:rPr>
        <w:t>分公司</w:t>
      </w:r>
      <w:r>
        <w:rPr>
          <w:rFonts w:hint="eastAsia" w:ascii="仿宋" w:hAnsi="仿宋" w:eastAsia="仿宋" w:cs="仿宋"/>
          <w:color w:val="000000"/>
        </w:rPr>
        <w:t>（以下简称“采购人”）</w:t>
      </w:r>
      <w:r>
        <w:rPr>
          <w:rFonts w:hint="eastAsia" w:ascii="仿宋" w:hAnsi="仿宋" w:eastAsia="仿宋" w:cs="Cambria Math"/>
        </w:rPr>
        <w:t>批准并落实资金，组织本项目的比价工作</w:t>
      </w:r>
      <w:r>
        <w:rPr>
          <w:rFonts w:hint="eastAsia" w:ascii="仿宋" w:hAnsi="仿宋" w:eastAsia="仿宋" w:cs="仿宋"/>
          <w:color w:val="000000"/>
        </w:rPr>
        <w:t>，采购合同由</w:t>
      </w:r>
      <w:r>
        <w:rPr>
          <w:rFonts w:hint="eastAsia" w:ascii="仿宋" w:hAnsi="仿宋" w:eastAsia="仿宋" w:cs="仿宋"/>
          <w:color w:val="000000"/>
          <w:u w:val="single"/>
        </w:rPr>
        <w:t>中国人民财产保险股份有限公司</w:t>
      </w:r>
      <w:r>
        <w:rPr>
          <w:rFonts w:hint="eastAsia" w:ascii="仿宋" w:hAnsi="仿宋" w:eastAsia="仿宋" w:cs="仿宋"/>
          <w:color w:val="000000"/>
          <w:u w:val="single"/>
          <w:lang w:eastAsia="zh-CN"/>
        </w:rPr>
        <w:t>资阳市</w:t>
      </w:r>
      <w:r>
        <w:rPr>
          <w:rFonts w:hint="eastAsia" w:ascii="仿宋" w:hAnsi="仿宋" w:eastAsia="仿宋" w:cs="仿宋"/>
          <w:color w:val="000000"/>
          <w:u w:val="single"/>
        </w:rPr>
        <w:t>分公司</w:t>
      </w:r>
      <w:r>
        <w:rPr>
          <w:rFonts w:hint="eastAsia" w:ascii="仿宋" w:hAnsi="仿宋" w:eastAsia="仿宋" w:cs="宋体"/>
          <w:color w:val="000000"/>
        </w:rPr>
        <w:t>（以下简称“人保财险</w:t>
      </w:r>
      <w:r>
        <w:rPr>
          <w:rFonts w:hint="eastAsia" w:ascii="仿宋" w:hAnsi="仿宋" w:eastAsia="仿宋" w:cs="宋体"/>
          <w:color w:val="000000"/>
          <w:lang w:eastAsia="zh-CN"/>
        </w:rPr>
        <w:t>资阳</w:t>
      </w:r>
      <w:r>
        <w:rPr>
          <w:rFonts w:hint="eastAsia" w:ascii="仿宋" w:hAnsi="仿宋" w:eastAsia="仿宋" w:cs="宋体"/>
          <w:color w:val="000000"/>
        </w:rPr>
        <w:t>分公司”）</w:t>
      </w:r>
      <w:r>
        <w:rPr>
          <w:rFonts w:hint="eastAsia" w:ascii="仿宋" w:hAnsi="仿宋" w:eastAsia="仿宋" w:cs="仿宋"/>
          <w:color w:val="000000"/>
        </w:rPr>
        <w:t>根据成交结果与成交人签署。现通过比价方式实施，</w:t>
      </w:r>
      <w:r>
        <w:rPr>
          <w:rFonts w:hint="eastAsia" w:ascii="仿宋" w:hAnsi="仿宋" w:eastAsia="仿宋" w:cs="Cambria Math"/>
          <w:color w:val="000000"/>
        </w:rPr>
        <w:t xml:space="preserve">有意向且具有提供标的物能力的潜在供应商（以下简称“供应商”）可前来参与比价响应。 </w:t>
      </w:r>
    </w:p>
    <w:p>
      <w:pPr>
        <w:pStyle w:val="194"/>
        <w:jc w:val="left"/>
        <w:rPr>
          <w:rFonts w:ascii="仿宋" w:hAnsi="仿宋" w:eastAsia="仿宋" w:cs="仿宋"/>
          <w:color w:val="000000"/>
          <w:sz w:val="24"/>
          <w:szCs w:val="24"/>
        </w:rPr>
      </w:pPr>
      <w:bookmarkStart w:id="2" w:name="_Toc21237"/>
      <w:bookmarkStart w:id="3" w:name="_Toc14431"/>
      <w:r>
        <w:rPr>
          <w:rFonts w:hint="eastAsia" w:ascii="仿宋" w:hAnsi="仿宋" w:eastAsia="仿宋" w:cs="仿宋"/>
          <w:color w:val="000000"/>
          <w:sz w:val="24"/>
          <w:szCs w:val="24"/>
        </w:rPr>
        <w:t>一、项目概况与采购范围</w:t>
      </w:r>
      <w:bookmarkEnd w:id="2"/>
      <w:bookmarkEnd w:id="3"/>
    </w:p>
    <w:p>
      <w:pPr>
        <w:spacing w:line="360" w:lineRule="auto"/>
        <w:ind w:firstLine="48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四川省资阳市分公司线上服务团队邮政银行播放机车险宣采</w:t>
      </w:r>
      <w:r>
        <w:rPr>
          <w:rFonts w:hint="eastAsia" w:ascii="仿宋" w:hAnsi="仿宋" w:eastAsia="仿宋" w:cs="仿宋"/>
          <w:color w:val="000000"/>
          <w:u w:val="single"/>
        </w:rPr>
        <w:t>购</w:t>
      </w:r>
      <w:r>
        <w:rPr>
          <w:rFonts w:hint="eastAsia" w:ascii="仿宋" w:hAnsi="仿宋" w:eastAsia="仿宋" w:cs="仿宋"/>
          <w:color w:val="000000"/>
        </w:rPr>
        <w:t>。</w:t>
      </w:r>
    </w:p>
    <w:p>
      <w:pPr>
        <w:spacing w:line="360" w:lineRule="auto"/>
        <w:ind w:firstLine="480"/>
        <w:rPr>
          <w:rFonts w:ascii="仿宋" w:hAnsi="仿宋" w:eastAsia="仿宋" w:cs="仿宋"/>
          <w:color w:val="000000"/>
        </w:rPr>
      </w:pPr>
      <w:r>
        <w:rPr>
          <w:rFonts w:hint="eastAsia" w:ascii="仿宋" w:hAnsi="仿宋" w:eastAsia="仿宋" w:cs="仿宋"/>
          <w:color w:val="000000"/>
        </w:rPr>
        <w:t>1.2 采购范围：本项目拟</w:t>
      </w:r>
      <w:r>
        <w:rPr>
          <w:rFonts w:hint="eastAsia" w:ascii="仿宋" w:hAnsi="仿宋" w:eastAsia="仿宋" w:cs="仿宋"/>
          <w:color w:val="000000"/>
          <w:lang w:eastAsia="zh-CN"/>
        </w:rPr>
        <w:t>采购</w:t>
      </w:r>
      <w:r>
        <w:rPr>
          <w:rFonts w:hint="eastAsia" w:ascii="仿宋" w:hAnsi="仿宋" w:eastAsia="仿宋" w:cs="仿宋"/>
          <w:color w:val="000000"/>
          <w:lang w:val="en-US" w:eastAsia="zh-CN"/>
        </w:rPr>
        <w:t>邮政银行播放机车险</w:t>
      </w:r>
      <w:r>
        <w:rPr>
          <w:rFonts w:hint="eastAsia" w:ascii="仿宋" w:hAnsi="仿宋" w:eastAsia="仿宋" w:cs="仿宋"/>
          <w:color w:val="000000"/>
        </w:rPr>
        <w:t>宣传</w:t>
      </w:r>
      <w:r>
        <w:rPr>
          <w:rFonts w:hint="eastAsia" w:ascii="仿宋" w:hAnsi="仿宋" w:eastAsia="仿宋" w:cs="仿宋"/>
          <w:color w:val="000000"/>
          <w:lang w:eastAsia="zh-CN"/>
        </w:rPr>
        <w:t>服务</w:t>
      </w:r>
      <w:r>
        <w:rPr>
          <w:rFonts w:hint="eastAsia" w:ascii="仿宋" w:hAnsi="仿宋" w:eastAsia="仿宋" w:cs="仿宋"/>
          <w:color w:val="000000"/>
        </w:rPr>
        <w:t>，具体技术要求详见第五章采购需求。</w:t>
      </w:r>
    </w:p>
    <w:p>
      <w:pPr>
        <w:spacing w:line="360" w:lineRule="auto"/>
        <w:ind w:firstLine="480"/>
        <w:rPr>
          <w:rFonts w:hint="eastAsia" w:ascii="仿宋" w:hAnsi="仿宋" w:eastAsia="仿宋" w:cs="仿宋"/>
          <w:lang w:eastAsia="zh-CN"/>
        </w:rPr>
      </w:pPr>
      <w:r>
        <w:rPr>
          <w:rFonts w:hint="eastAsia" w:ascii="仿宋" w:hAnsi="仿宋" w:eastAsia="仿宋" w:cs="仿宋"/>
          <w:color w:val="000000"/>
        </w:rPr>
        <w:t xml:space="preserve">1.3 </w:t>
      </w:r>
      <w:r>
        <w:rPr>
          <w:rFonts w:hint="eastAsia" w:ascii="仿宋" w:hAnsi="仿宋" w:eastAsia="仿宋" w:cs="仿宋"/>
        </w:rPr>
        <w:t>标包划分</w:t>
      </w:r>
      <w:r>
        <w:rPr>
          <w:rFonts w:hint="eastAsia" w:ascii="仿宋" w:hAnsi="仿宋" w:eastAsia="仿宋" w:cs="仿宋"/>
          <w:color w:val="000000"/>
        </w:rPr>
        <w:t>：</w:t>
      </w:r>
      <w:r>
        <w:rPr>
          <w:rFonts w:hint="eastAsia" w:ascii="仿宋" w:hAnsi="仿宋" w:eastAsia="仿宋" w:cs="宋体"/>
          <w:color w:val="000000"/>
        </w:rPr>
        <w:t>本项目不划分标包</w:t>
      </w:r>
      <w:r>
        <w:rPr>
          <w:rFonts w:hint="eastAsia" w:ascii="仿宋" w:hAnsi="仿宋" w:eastAsia="仿宋" w:cs="宋体"/>
          <w:color w:val="000000"/>
          <w:lang w:eastAsia="zh-CN"/>
        </w:rPr>
        <w:t>。</w:t>
      </w:r>
    </w:p>
    <w:p>
      <w:pPr>
        <w:pBdr>
          <w:top w:val="none" w:color="000000" w:sz="0" w:space="0"/>
          <w:left w:val="none" w:color="000000" w:sz="0" w:space="0"/>
          <w:bottom w:val="none" w:color="000000" w:sz="0" w:space="0"/>
          <w:right w:val="none" w:color="000000" w:sz="0" w:space="0"/>
        </w:pBdr>
        <w:ind w:left="0" w:right="0" w:firstLine="0"/>
        <w:jc w:val="both"/>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仿宋"/>
          <w:color w:val="000000"/>
          <w:lang w:eastAsia="zh-CN"/>
        </w:rPr>
        <w:t>服务</w:t>
      </w:r>
      <w:r>
        <w:rPr>
          <w:rFonts w:hint="eastAsia" w:ascii="仿宋" w:hAnsi="仿宋" w:eastAsia="仿宋" w:cs="仿宋"/>
          <w:color w:val="000000"/>
        </w:rPr>
        <w:t>。</w:t>
      </w:r>
    </w:p>
    <w:p>
      <w:pPr>
        <w:spacing w:line="360" w:lineRule="auto"/>
        <w:ind w:firstLine="48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000000"/>
        </w:rPr>
        <w:t>自合同签订之日起</w:t>
      </w:r>
      <w:r>
        <w:rPr>
          <w:rFonts w:hint="eastAsia" w:ascii="仿宋" w:hAnsi="仿宋" w:eastAsia="仿宋" w:cs="宋体"/>
          <w:color w:val="000000"/>
          <w:lang w:val="en-US" w:eastAsia="zh-CN"/>
        </w:rPr>
        <w:t>12</w:t>
      </w:r>
      <w:r>
        <w:rPr>
          <w:rFonts w:hint="eastAsia" w:ascii="仿宋" w:hAnsi="仿宋" w:eastAsia="仿宋" w:cs="宋体"/>
          <w:color w:val="000000"/>
          <w:lang w:eastAsia="zh-CN"/>
        </w:rPr>
        <w:t>个月按制定方案宣传。</w:t>
      </w:r>
    </w:p>
    <w:p>
      <w:pPr>
        <w:spacing w:line="360" w:lineRule="auto"/>
        <w:ind w:firstLine="480"/>
        <w:rPr>
          <w:rFonts w:ascii="仿宋" w:hAnsi="仿宋" w:eastAsia="仿宋" w:cs="宋体"/>
          <w:color w:val="00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000000"/>
          <w:lang w:eastAsia="zh-CN"/>
        </w:rPr>
        <w:t>资阳辖区</w:t>
      </w:r>
      <w:r>
        <w:rPr>
          <w:rFonts w:hint="eastAsia" w:ascii="仿宋" w:hAnsi="仿宋" w:eastAsia="仿宋" w:cs="宋体"/>
          <w:color w:val="000000"/>
        </w:rPr>
        <w:t>。</w:t>
      </w:r>
    </w:p>
    <w:p>
      <w:pPr>
        <w:pStyle w:val="188"/>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000000"/>
        </w:rPr>
        <w:t>项目设置</w:t>
      </w:r>
      <w:r>
        <w:rPr>
          <w:rFonts w:hint="eastAsia" w:ascii="仿宋" w:hAnsi="仿宋" w:eastAsia="仿宋" w:cs="仿宋"/>
          <w:color w:val="000000"/>
          <w:lang w:eastAsia="zh-CN"/>
        </w:rPr>
        <w:t>单价</w:t>
      </w:r>
      <w:r>
        <w:rPr>
          <w:rFonts w:ascii="仿宋" w:hAnsi="仿宋" w:eastAsia="仿宋" w:cs="仿宋"/>
          <w:color w:val="000000"/>
        </w:rPr>
        <w:t>最高限价</w:t>
      </w:r>
      <w:r>
        <w:rPr>
          <w:rFonts w:hint="eastAsia" w:ascii="仿宋" w:hAnsi="仿宋" w:eastAsia="仿宋" w:cs="仿宋"/>
          <w:color w:val="000000"/>
        </w:rPr>
        <w:t>，</w:t>
      </w:r>
      <w:r>
        <w:rPr>
          <w:rFonts w:ascii="仿宋" w:hAnsi="仿宋" w:eastAsia="仿宋" w:cs="仿宋"/>
          <w:color w:val="000000"/>
        </w:rPr>
        <w:t>即供应商报价不得高于</w:t>
      </w:r>
      <w:r>
        <w:rPr>
          <w:rFonts w:hint="eastAsia" w:ascii="仿宋" w:hAnsi="仿宋" w:eastAsia="仿宋" w:cs="仿宋"/>
          <w:color w:val="000000"/>
          <w:lang w:val="en-US" w:eastAsia="zh-CN"/>
        </w:rPr>
        <w:t>300</w:t>
      </w:r>
      <w:r>
        <w:rPr>
          <w:rFonts w:hint="eastAsia" w:ascii="仿宋" w:hAnsi="仿宋" w:eastAsia="仿宋" w:cs="仿宋"/>
          <w:color w:val="000000"/>
        </w:rPr>
        <w:t>元。</w:t>
      </w:r>
    </w:p>
    <w:p>
      <w:pPr>
        <w:pStyle w:val="194"/>
        <w:jc w:val="left"/>
        <w:rPr>
          <w:rFonts w:hint="eastAsia" w:ascii="仿宋" w:hAnsi="仿宋" w:eastAsia="仿宋" w:cs="仿宋"/>
          <w:color w:val="000000"/>
          <w:sz w:val="24"/>
          <w:szCs w:val="24"/>
        </w:rPr>
      </w:pPr>
      <w:bookmarkStart w:id="4" w:name="_Toc17569"/>
      <w:bookmarkStart w:id="5" w:name="_Toc30355"/>
      <w:r>
        <w:rPr>
          <w:rFonts w:hint="eastAsia" w:ascii="仿宋" w:hAnsi="仿宋" w:eastAsia="仿宋" w:cs="仿宋"/>
          <w:color w:val="000000"/>
          <w:sz w:val="24"/>
          <w:szCs w:val="24"/>
        </w:rPr>
        <w:t>二、供应商资格要求</w:t>
      </w:r>
      <w:bookmarkEnd w:id="4"/>
      <w:bookmarkEnd w:id="5"/>
    </w:p>
    <w:p>
      <w:pPr>
        <w:spacing w:line="360" w:lineRule="auto"/>
        <w:ind w:firstLine="480"/>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000000"/>
          <w:lang w:val="en-US" w:eastAsia="zh-CN"/>
        </w:rPr>
        <w:t>2025</w:t>
      </w:r>
      <w:r>
        <w:rPr>
          <w:rFonts w:hint="eastAsia" w:ascii="仿宋" w:hAnsi="仿宋" w:eastAsia="仿宋" w:cs="宋体"/>
        </w:rPr>
        <w:t>年</w:t>
      </w:r>
      <w:r>
        <w:rPr>
          <w:rFonts w:hint="eastAsia" w:ascii="仿宋" w:hAnsi="仿宋" w:eastAsia="仿宋" w:cs="宋体"/>
          <w:color w:val="000000"/>
        </w:rPr>
        <w:t>度财务报表（至少包含资产负债表、现金流量表、损益表/利润表）或提供响应文件递交截止日前6个月内开具的银行资信证明。</w:t>
      </w:r>
    </w:p>
    <w:p>
      <w:pPr>
        <w:spacing w:line="360" w:lineRule="auto"/>
        <w:ind w:firstLine="480"/>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w:t>
      </w:r>
      <w:r>
        <w:rPr>
          <w:rFonts w:hint="eastAsia" w:ascii="仿宋" w:hAnsi="仿宋" w:eastAsia="仿宋" w:cs="宋体"/>
          <w:color w:val="000000"/>
          <w:lang w:eastAsia="zh-CN"/>
        </w:rPr>
        <w:t>三</w:t>
      </w:r>
      <w:r>
        <w:rPr>
          <w:rFonts w:hint="eastAsia" w:ascii="仿宋" w:hAnsi="仿宋" w:eastAsia="仿宋" w:cs="宋体"/>
          <w:color w:val="000000"/>
        </w:rPr>
        <w:t>年（</w:t>
      </w:r>
      <w:r>
        <w:rPr>
          <w:rFonts w:hint="eastAsia" w:ascii="仿宋" w:hAnsi="仿宋" w:eastAsia="仿宋" w:cs="宋体"/>
          <w:color w:val="000000"/>
          <w:lang w:val="en-US" w:eastAsia="zh-CN"/>
        </w:rPr>
        <w:t>2023</w:t>
      </w:r>
      <w:r>
        <w:rPr>
          <w:rFonts w:hint="eastAsia" w:ascii="仿宋" w:hAnsi="仿宋" w:eastAsia="仿宋" w:cs="宋体"/>
          <w:color w:val="000000"/>
        </w:rPr>
        <w:t>年1月1日至今）应具有</w:t>
      </w:r>
      <w:r>
        <w:rPr>
          <w:rFonts w:hint="eastAsia" w:ascii="仿宋" w:hAnsi="仿宋" w:eastAsia="仿宋" w:cs="宋体"/>
          <w:color w:val="000000"/>
          <w:lang w:val="en-US" w:eastAsia="zh-CN"/>
        </w:rPr>
        <w:t>1</w:t>
      </w:r>
      <w:r>
        <w:rPr>
          <w:rFonts w:hint="eastAsia" w:ascii="仿宋" w:hAnsi="仿宋" w:eastAsia="仿宋" w:cs="宋体"/>
          <w:color w:val="000000"/>
        </w:rPr>
        <w:t>个以上同类项目实施案例，并提供符合上述要求的合同关键页作为有效的业绩证明材料。合同关键页包含但不限于合同首页、合同标的页、签署日期页及盖章页等或提供承诺函，格式详见第六章响应文件格式。</w:t>
      </w:r>
    </w:p>
    <w:p>
      <w:pPr>
        <w:spacing w:line="360" w:lineRule="auto"/>
        <w:ind w:firstLine="480"/>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w:t>
      </w:r>
      <w:r>
        <w:rPr>
          <w:rFonts w:hint="eastAsia" w:ascii="仿宋" w:hAnsi="仿宋" w:eastAsia="仿宋" w:cs="宋体"/>
          <w:b/>
          <w:bCs/>
          <w:color w:val="000000"/>
          <w:lang w:eastAsia="zh-CN"/>
        </w:rPr>
        <w:t>三</w:t>
      </w:r>
      <w:r>
        <w:rPr>
          <w:rFonts w:hint="eastAsia" w:ascii="仿宋" w:hAnsi="仿宋" w:eastAsia="仿宋" w:cs="宋体"/>
          <w:b/>
          <w:bCs/>
          <w:color w:val="000000"/>
        </w:rPr>
        <w:t>年内（20</w:t>
      </w:r>
      <w:r>
        <w:rPr>
          <w:rFonts w:hint="eastAsia" w:ascii="仿宋" w:hAnsi="仿宋" w:eastAsia="仿宋" w:cs="宋体"/>
          <w:b/>
          <w:bCs/>
          <w:color w:val="000000"/>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pacing w:line="360" w:lineRule="auto"/>
        <w:ind w:firstLine="480"/>
        <w:rPr>
          <w:rFonts w:ascii="仿宋" w:hAnsi="仿宋" w:eastAsia="仿宋" w:cs="宋体"/>
          <w:color w:val="000000"/>
        </w:rPr>
      </w:pPr>
      <w:r>
        <w:rPr>
          <w:rFonts w:hint="eastAsia" w:ascii="仿宋" w:hAnsi="仿宋" w:eastAsia="仿宋" w:cs="宋体"/>
          <w:color w:val="000000"/>
        </w:rPr>
        <w:t>信用中国查询网址：https://www.creditchina.gov.cn/xinyongfuwu/?navPage=5</w:t>
      </w:r>
    </w:p>
    <w:p>
      <w:pP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2.7单位负责人为同一人或存在控股、管理关系的不同单位，不得参加同一标段/标包谈判响应或未划分标段/标包的同一采购项目的谈判响应，需填写《供应商控股及管理关系情况申报表》。</w:t>
      </w:r>
    </w:p>
    <w:p>
      <w:pPr>
        <w:spacing w:line="360" w:lineRule="auto"/>
        <w:ind w:firstLine="480"/>
        <w:rPr>
          <w:rFonts w:ascii="仿宋" w:hAnsi="仿宋" w:eastAsia="仿宋" w:cs="仿宋"/>
        </w:rPr>
      </w:pPr>
      <w:r>
        <w:rPr>
          <w:rFonts w:hint="eastAsia" w:ascii="仿宋" w:hAnsi="仿宋" w:eastAsia="仿宋" w:cs="宋体"/>
          <w:color w:val="000000"/>
        </w:rPr>
        <w:t>2.8本项目不接受联合体谈判响应。提供承诺函，格式详见第六章响应文件格式。</w:t>
      </w:r>
    </w:p>
    <w:p>
      <w:pPr>
        <w:pStyle w:val="194"/>
        <w:spacing w:after="240"/>
        <w:jc w:val="left"/>
        <w:rPr>
          <w:rFonts w:ascii="仿宋" w:hAnsi="仿宋" w:eastAsia="仿宋" w:cs="仿宋"/>
          <w:color w:val="000000"/>
          <w:sz w:val="24"/>
          <w:szCs w:val="24"/>
        </w:rPr>
      </w:pPr>
      <w:bookmarkStart w:id="6" w:name="_Toc27197"/>
      <w:bookmarkStart w:id="7" w:name="_Toc2019"/>
      <w:r>
        <w:rPr>
          <w:rFonts w:hint="eastAsia" w:ascii="仿宋" w:hAnsi="仿宋" w:eastAsia="仿宋" w:cs="仿宋"/>
          <w:color w:val="000000"/>
          <w:sz w:val="24"/>
          <w:szCs w:val="24"/>
        </w:rPr>
        <w:t>三、比价文件的获取</w:t>
      </w:r>
      <w:bookmarkEnd w:id="6"/>
      <w:bookmarkEnd w:id="7"/>
    </w:p>
    <w:p>
      <w:pPr>
        <w:pStyle w:val="195"/>
        <w:jc w:val="left"/>
        <w:rPr>
          <w:rFonts w:ascii="仿宋" w:hAnsi="仿宋" w:eastAsia="仿宋" w:cs="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.1比价文件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000000"/>
          <w:sz w:val="24"/>
          <w:szCs w:val="24"/>
          <w:u w:val="single"/>
          <w:lang w:val="en-US" w:eastAsia="zh-CN"/>
        </w:rPr>
        <w:t>2026</w:t>
      </w:r>
      <w:r>
        <w:rPr>
          <w:rFonts w:hint="eastAsia" w:ascii="仿宋" w:hAnsi="仿宋" w:eastAsia="仿宋" w:cs="宋体"/>
          <w:b/>
          <w:color w:val="000000"/>
          <w:sz w:val="24"/>
          <w:szCs w:val="24"/>
          <w:u w:val="single"/>
        </w:rPr>
        <w:t>年</w:t>
      </w:r>
      <w:r>
        <w:rPr>
          <w:rFonts w:hint="eastAsia" w:ascii="仿宋" w:hAnsi="仿宋" w:eastAsia="仿宋" w:cs="宋体"/>
          <w:b/>
          <w:color w:val="000000"/>
          <w:sz w:val="24"/>
          <w:szCs w:val="24"/>
          <w:u w:val="single"/>
          <w:lang w:val="en-US" w:eastAsia="zh-CN"/>
        </w:rPr>
        <w:t>6月18</w:t>
      </w:r>
      <w:r>
        <w:rPr>
          <w:rFonts w:hint="eastAsia" w:ascii="仿宋" w:hAnsi="仿宋" w:eastAsia="仿宋" w:cs="宋体"/>
          <w:b/>
          <w:color w:val="000000"/>
          <w:sz w:val="24"/>
          <w:szCs w:val="24"/>
          <w:u w:val="single"/>
        </w:rPr>
        <w:t>日</w:t>
      </w:r>
      <w:r>
        <w:rPr>
          <w:rFonts w:hint="eastAsia" w:ascii="仿宋" w:hAnsi="仿宋" w:eastAsia="仿宋" w:cs="宋体"/>
          <w:b/>
          <w:color w:val="000000"/>
          <w:sz w:val="24"/>
          <w:szCs w:val="24"/>
        </w:rPr>
        <w:t>至</w:t>
      </w:r>
      <w:r>
        <w:rPr>
          <w:rFonts w:hint="eastAsia" w:ascii="仿宋" w:hAnsi="仿宋" w:eastAsia="仿宋" w:cs="宋体"/>
          <w:b/>
          <w:color w:val="000000"/>
          <w:sz w:val="24"/>
          <w:szCs w:val="24"/>
          <w:u w:val="single"/>
        </w:rPr>
        <w:t>202</w:t>
      </w:r>
      <w:r>
        <w:rPr>
          <w:rFonts w:hint="eastAsia" w:ascii="仿宋" w:hAnsi="仿宋" w:eastAsia="仿宋" w:cs="宋体"/>
          <w:b/>
          <w:color w:val="000000"/>
          <w:sz w:val="24"/>
          <w:szCs w:val="24"/>
          <w:u w:val="single"/>
          <w:lang w:val="en-US" w:eastAsia="zh-CN"/>
        </w:rPr>
        <w:t>6</w:t>
      </w:r>
      <w:r>
        <w:rPr>
          <w:rFonts w:hint="eastAsia" w:ascii="仿宋" w:hAnsi="仿宋" w:eastAsia="仿宋" w:cs="宋体"/>
          <w:b/>
          <w:color w:val="000000"/>
          <w:sz w:val="24"/>
          <w:szCs w:val="24"/>
          <w:u w:val="single"/>
        </w:rPr>
        <w:t>年</w:t>
      </w:r>
      <w:r>
        <w:rPr>
          <w:rFonts w:hint="eastAsia" w:ascii="仿宋" w:hAnsi="仿宋" w:eastAsia="仿宋" w:cs="宋体"/>
          <w:b/>
          <w:color w:val="000000"/>
          <w:sz w:val="24"/>
          <w:szCs w:val="24"/>
          <w:u w:val="single"/>
          <w:lang w:val="en-US" w:eastAsia="zh-CN"/>
        </w:rPr>
        <w:t>6</w:t>
      </w:r>
      <w:r>
        <w:rPr>
          <w:rFonts w:hint="eastAsia" w:ascii="仿宋" w:hAnsi="仿宋" w:eastAsia="仿宋" w:cs="宋体"/>
          <w:b/>
          <w:color w:val="000000"/>
          <w:sz w:val="24"/>
          <w:szCs w:val="24"/>
          <w:u w:val="single"/>
        </w:rPr>
        <w:t>月</w:t>
      </w:r>
      <w:r>
        <w:rPr>
          <w:rFonts w:hint="eastAsia" w:ascii="仿宋" w:hAnsi="仿宋" w:eastAsia="仿宋" w:cs="宋体"/>
          <w:b/>
          <w:color w:val="000000"/>
          <w:sz w:val="24"/>
          <w:szCs w:val="24"/>
          <w:u w:val="single"/>
          <w:lang w:val="en-US" w:eastAsia="zh-CN"/>
        </w:rPr>
        <w:t>20</w:t>
      </w:r>
      <w:r>
        <w:rPr>
          <w:rFonts w:hint="eastAsia" w:ascii="仿宋" w:hAnsi="仿宋" w:eastAsia="仿宋" w:cs="宋体"/>
          <w:b/>
          <w:color w:val="000000"/>
          <w:sz w:val="24"/>
          <w:szCs w:val="24"/>
          <w:u w:val="single"/>
        </w:rPr>
        <w:t>日，</w:t>
      </w:r>
      <w:r>
        <w:rPr>
          <w:rFonts w:hint="eastAsia" w:ascii="仿宋" w:hAnsi="仿宋" w:eastAsia="仿宋" w:cs="宋体"/>
          <w:color w:val="000000"/>
          <w:sz w:val="24"/>
          <w:szCs w:val="24"/>
        </w:rPr>
        <w:t>上午</w:t>
      </w:r>
      <w:r>
        <w:rPr>
          <w:rFonts w:hint="eastAsia" w:ascii="仿宋" w:hAnsi="仿宋" w:eastAsia="仿宋" w:cs="宋体"/>
          <w:color w:val="000000"/>
          <w:sz w:val="24"/>
          <w:szCs w:val="24"/>
          <w:lang w:val="en-US" w:eastAsia="zh-CN"/>
        </w:rPr>
        <w:t>9</w:t>
      </w:r>
      <w:r>
        <w:rPr>
          <w:rFonts w:hint="eastAsia" w:ascii="仿宋" w:hAnsi="仿宋" w:eastAsia="仿宋" w:cs="宋体"/>
          <w:color w:val="000000"/>
          <w:sz w:val="24"/>
          <w:szCs w:val="24"/>
        </w:rPr>
        <w:t>时至</w:t>
      </w:r>
      <w:r>
        <w:rPr>
          <w:rFonts w:hint="eastAsia" w:ascii="仿宋" w:hAnsi="仿宋" w:eastAsia="仿宋" w:cs="宋体"/>
          <w:color w:val="000000"/>
          <w:sz w:val="24"/>
          <w:szCs w:val="24"/>
          <w:lang w:val="en-US" w:eastAsia="zh-CN"/>
        </w:rPr>
        <w:t>12</w:t>
      </w:r>
      <w:r>
        <w:rPr>
          <w:rFonts w:hint="eastAsia" w:ascii="仿宋" w:hAnsi="仿宋" w:eastAsia="仿宋" w:cs="宋体"/>
          <w:color w:val="000000"/>
          <w:sz w:val="24"/>
          <w:szCs w:val="24"/>
        </w:rPr>
        <w:t>时，下午</w:t>
      </w:r>
      <w:r>
        <w:rPr>
          <w:rFonts w:hint="eastAsia" w:ascii="仿宋" w:hAnsi="仿宋" w:eastAsia="仿宋" w:cs="宋体"/>
          <w:color w:val="000000"/>
          <w:sz w:val="24"/>
          <w:szCs w:val="24"/>
          <w:lang w:val="en-US" w:eastAsia="zh-CN"/>
        </w:rPr>
        <w:t>14</w:t>
      </w:r>
      <w:r>
        <w:rPr>
          <w:rFonts w:hint="eastAsia" w:ascii="仿宋" w:hAnsi="仿宋" w:eastAsia="仿宋" w:cs="宋体"/>
          <w:color w:val="000000"/>
          <w:sz w:val="24"/>
          <w:szCs w:val="24"/>
        </w:rPr>
        <w:t>时至</w:t>
      </w:r>
      <w:r>
        <w:rPr>
          <w:rFonts w:hint="eastAsia" w:ascii="仿宋" w:hAnsi="仿宋" w:eastAsia="仿宋" w:cs="宋体"/>
          <w:color w:val="000000"/>
          <w:sz w:val="24"/>
          <w:szCs w:val="24"/>
          <w:lang w:val="en-US" w:eastAsia="zh-CN"/>
        </w:rPr>
        <w:t>18</w:t>
      </w:r>
      <w:r>
        <w:rPr>
          <w:rFonts w:hint="eastAsia" w:ascii="仿宋" w:hAnsi="仿宋" w:eastAsia="仿宋" w:cs="宋体"/>
          <w:color w:val="000000"/>
          <w:sz w:val="24"/>
          <w:szCs w:val="24"/>
        </w:rPr>
        <w:t>时（北京时间，下同）。</w:t>
      </w:r>
    </w:p>
    <w:p>
      <w:pPr>
        <w:pStyle w:val="196"/>
        <w:spacing w:line="360" w:lineRule="auto"/>
        <w:ind w:firstLine="480"/>
        <w:rPr>
          <w:rFonts w:ascii="仿宋" w:hAnsi="仿宋" w:eastAsia="仿宋" w:cs="仿宋_GB2312"/>
          <w:color w:val="000000"/>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.2拟报名参加本项目的供应商，请通过“人保e采”外网门户获取比价文件</w:t>
      </w:r>
      <w:r>
        <w:rPr>
          <w:rFonts w:hint="eastAsia" w:ascii="仿宋" w:hAnsi="仿宋" w:eastAsia="仿宋" w:cs="仿宋_GB2312"/>
          <w:color w:val="000000"/>
          <w:sz w:val="24"/>
          <w:szCs w:val="24"/>
        </w:rPr>
        <w:t>。</w:t>
      </w:r>
      <w:r>
        <w:rPr>
          <w:rFonts w:hint="eastAsia" w:ascii="仿宋" w:hAnsi="仿宋" w:eastAsia="仿宋" w:cs="宋体"/>
          <w:color w:val="000000"/>
          <w:sz w:val="24"/>
        </w:rPr>
        <w:t>（</w:t>
      </w:r>
      <w:r>
        <w:rPr>
          <w:rFonts w:hint="eastAsia" w:ascii="仿宋" w:hAnsi="仿宋" w:eastAsia="仿宋" w:cs="仿宋_GB2312"/>
          <w:color w:val="000000"/>
          <w:sz w:val="24"/>
          <w:szCs w:val="24"/>
        </w:rPr>
        <w:t>按照各采购人获取文件要求如实填写</w:t>
      </w:r>
      <w:r>
        <w:rPr>
          <w:rFonts w:hint="eastAsia" w:ascii="仿宋" w:hAnsi="仿宋" w:eastAsia="仿宋" w:cs="宋体"/>
          <w:color w:val="000000"/>
          <w:sz w:val="24"/>
        </w:rPr>
        <w:t>）</w:t>
      </w:r>
    </w:p>
    <w:p>
      <w:pPr>
        <w:pStyle w:val="194"/>
        <w:jc w:val="left"/>
        <w:rPr>
          <w:rFonts w:ascii="仿宋" w:hAnsi="仿宋" w:eastAsia="仿宋" w:cs="仿宋"/>
          <w:color w:val="000000"/>
          <w:sz w:val="24"/>
          <w:szCs w:val="24"/>
        </w:rPr>
      </w:pPr>
      <w:bookmarkStart w:id="8" w:name="_Toc13980"/>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000000"/>
          <w:u w:val="single"/>
        </w:rPr>
        <w:t>20</w:t>
      </w:r>
      <w:r>
        <w:rPr>
          <w:rFonts w:hint="eastAsia" w:ascii="仿宋" w:hAnsi="仿宋" w:eastAsia="仿宋" w:cs="宋体"/>
          <w:color w:val="000000"/>
          <w:u w:val="single"/>
          <w:lang w:val="en-US" w:eastAsia="zh-CN"/>
        </w:rPr>
        <w:t>26</w:t>
      </w:r>
      <w:r>
        <w:rPr>
          <w:rFonts w:hint="eastAsia" w:ascii="仿宋" w:hAnsi="仿宋" w:eastAsia="仿宋" w:cs="宋体"/>
          <w:color w:val="000000"/>
          <w:u w:val="single"/>
        </w:rPr>
        <w:t>年</w:t>
      </w:r>
      <w:r>
        <w:rPr>
          <w:rFonts w:hint="eastAsia" w:ascii="仿宋" w:hAnsi="仿宋" w:eastAsia="仿宋" w:cs="宋体"/>
          <w:color w:val="000000"/>
          <w:u w:val="single"/>
          <w:lang w:val="en-US" w:eastAsia="zh-CN"/>
        </w:rPr>
        <w:t>6</w:t>
      </w:r>
      <w:r>
        <w:rPr>
          <w:rFonts w:hint="eastAsia" w:ascii="仿宋" w:hAnsi="仿宋" w:eastAsia="仿宋" w:cs="宋体"/>
          <w:color w:val="000000"/>
          <w:u w:val="single"/>
        </w:rPr>
        <w:t>月</w:t>
      </w:r>
      <w:r>
        <w:rPr>
          <w:rFonts w:hint="eastAsia" w:ascii="仿宋" w:hAnsi="仿宋" w:eastAsia="仿宋" w:cs="宋体"/>
          <w:color w:val="000000"/>
          <w:u w:val="single"/>
          <w:lang w:val="en-US" w:eastAsia="zh-CN"/>
        </w:rPr>
        <w:t>24</w:t>
      </w:r>
      <w:r>
        <w:rPr>
          <w:rFonts w:hint="eastAsia" w:ascii="仿宋" w:hAnsi="仿宋" w:eastAsia="仿宋" w:cs="宋体"/>
          <w:color w:val="000000"/>
          <w:u w:val="single"/>
        </w:rPr>
        <w:t>日</w:t>
      </w:r>
      <w:r>
        <w:rPr>
          <w:rFonts w:hint="eastAsia" w:ascii="仿宋" w:hAnsi="仿宋" w:eastAsia="仿宋" w:cs="宋体"/>
          <w:color w:val="000000"/>
          <w:u w:val="single"/>
          <w:lang w:val="en-US" w:eastAsia="zh-CN"/>
        </w:rPr>
        <w:t>15</w:t>
      </w:r>
      <w:r>
        <w:rPr>
          <w:rFonts w:hint="eastAsia" w:ascii="仿宋" w:hAnsi="仿宋" w:eastAsia="仿宋" w:cs="宋体"/>
          <w:color w:val="000000"/>
          <w:u w:val="single"/>
        </w:rPr>
        <w:t>时</w:t>
      </w:r>
      <w:r>
        <w:rPr>
          <w:rFonts w:hint="eastAsia" w:ascii="仿宋" w:hAnsi="仿宋" w:eastAsia="仿宋" w:cs="宋体"/>
          <w:color w:val="000000"/>
          <w:u w:val="single"/>
          <w:lang w:val="en-US" w:eastAsia="zh-CN"/>
        </w:rPr>
        <w:t>00</w:t>
      </w:r>
      <w:r>
        <w:rPr>
          <w:rFonts w:hint="eastAsia" w:ascii="仿宋" w:hAnsi="仿宋" w:eastAsia="仿宋" w:cs="宋体"/>
          <w:color w:val="000000"/>
          <w:u w:val="single"/>
        </w:rPr>
        <w:t>分00秒</w:t>
      </w:r>
      <w:r>
        <w:rPr>
          <w:rFonts w:hint="eastAsia" w:ascii="仿宋" w:hAnsi="仿宋" w:eastAsia="仿宋" w:cs="宋体"/>
          <w:color w:val="000000"/>
        </w:rPr>
        <w:t>。</w:t>
      </w:r>
    </w:p>
    <w:p>
      <w:pPr>
        <w:spacing w:line="360" w:lineRule="auto"/>
        <w:ind w:firstLine="480"/>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000000"/>
          <w:u w:val="none"/>
        </w:rPr>
        <w:t>须现场递交至</w:t>
      </w:r>
      <w:r>
        <w:rPr>
          <w:rFonts w:hint="eastAsia" w:ascii="仿宋" w:hAnsi="仿宋" w:eastAsia="仿宋" w:cs="宋体"/>
          <w:color w:val="000000"/>
        </w:rPr>
        <w:t>四川省资阳市雁江区宝台镇黄泥村弘城水韵和中城建、新城市广场（一期）25号楼25（F），</w:t>
      </w:r>
      <w:r>
        <w:rPr>
          <w:rFonts w:hint="eastAsia" w:ascii="仿宋" w:hAnsi="仿宋" w:eastAsia="仿宋" w:cs="宋体"/>
          <w:b/>
          <w:bCs/>
          <w:color w:val="000000"/>
        </w:rPr>
        <w:t>逾期送达或者未送达指定地点或者未按照比价文件要求封装的纸质响应文件不予接收。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.3本项目将于上述同一时间、地点进行比价，</w:t>
      </w:r>
      <w:r>
        <w:rPr>
          <w:rFonts w:hint="eastAsia" w:ascii="仿宋" w:hAnsi="仿宋" w:eastAsia="仿宋" w:cs="宋体"/>
        </w:rPr>
        <w:t>采购人邀</w:t>
      </w:r>
      <w:r>
        <w:rPr>
          <w:rFonts w:hint="eastAsia" w:ascii="仿宋" w:hAnsi="仿宋" w:eastAsia="仿宋" w:cs="宋体"/>
          <w:color w:val="000000"/>
        </w:rPr>
        <w:t>请供应商代表准时参加。</w:t>
      </w:r>
    </w:p>
    <w:p>
      <w:pPr>
        <w:spacing w:line="360" w:lineRule="auto"/>
        <w:ind w:firstLine="480"/>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rPr>
        <w:t>.4</w:t>
      </w:r>
      <w:r>
        <w:rPr>
          <w:rFonts w:hint="eastAsia" w:ascii="仿宋" w:hAnsi="仿宋" w:eastAsia="仿宋" w:cs="宋体"/>
          <w:b/>
          <w:bCs/>
          <w:color w:val="000000"/>
        </w:rPr>
        <w:t>出现以下情形之一时，采购人不予接收投标文件：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.4.1  逾期送达或者未送达指定地点的；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.4.2  未按照响应文件要求密封的；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.4.3  未按照比价公告要求获取比价文件的。</w:t>
      </w:r>
    </w:p>
    <w:p>
      <w:pPr>
        <w:pStyle w:val="194"/>
        <w:jc w:val="left"/>
        <w:rPr>
          <w:rFonts w:ascii="仿宋" w:hAnsi="仿宋" w:eastAsia="仿宋" w:cs="仿宋"/>
          <w:color w:val="000000"/>
          <w:sz w:val="24"/>
          <w:szCs w:val="24"/>
        </w:rPr>
      </w:pPr>
      <w:bookmarkStart w:id="10" w:name="_Toc1244"/>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rPr>
          <w:rFonts w:ascii="仿宋" w:hAnsi="仿宋" w:eastAsia="仿宋" w:cs="仿宋"/>
          <w:color w:val="000000"/>
        </w:rPr>
      </w:pPr>
      <w:r>
        <w:rPr>
          <w:rFonts w:hint="eastAsia" w:ascii="仿宋" w:hAnsi="仿宋" w:eastAsia="仿宋" w:cs="仿宋"/>
          <w:color w:val="000000"/>
        </w:rPr>
        <w:t>本项目比价公告同时在</w:t>
      </w:r>
      <w:r>
        <w:rPr>
          <w:rFonts w:hint="eastAsia" w:ascii="仿宋" w:hAnsi="仿宋" w:eastAsia="仿宋" w:cs="宋体"/>
          <w:color w:val="000000"/>
          <w:u w:val="none"/>
        </w:rPr>
        <w:t>“人保e采”外网门户（https://ec.picc.com/）</w:t>
      </w:r>
      <w:r>
        <w:rPr>
          <w:rFonts w:hint="eastAsia" w:ascii="仿宋" w:hAnsi="仿宋" w:eastAsia="仿宋" w:cs="仿宋"/>
          <w:color w:val="000000"/>
          <w:u w:val="none"/>
        </w:rPr>
        <w:t>上发</w:t>
      </w:r>
      <w:r>
        <w:rPr>
          <w:rFonts w:hint="eastAsia" w:ascii="仿宋" w:hAnsi="仿宋" w:eastAsia="仿宋" w:cs="仿宋"/>
          <w:color w:val="000000"/>
        </w:rPr>
        <w:t>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194"/>
        <w:jc w:val="left"/>
        <w:rPr>
          <w:rFonts w:ascii="仿宋" w:hAnsi="仿宋" w:eastAsia="仿宋" w:cs="仿宋"/>
          <w:color w:val="000000"/>
          <w:sz w:val="24"/>
          <w:szCs w:val="24"/>
        </w:rPr>
      </w:pPr>
      <w:bookmarkStart w:id="12" w:name="_Toc30596"/>
      <w:bookmarkStart w:id="13" w:name="_Toc17332"/>
      <w:r>
        <w:rPr>
          <w:rFonts w:hint="eastAsia" w:ascii="仿宋" w:hAnsi="仿宋" w:eastAsia="仿宋" w:cs="仿宋"/>
          <w:color w:val="000000"/>
          <w:sz w:val="24"/>
          <w:szCs w:val="24"/>
        </w:rPr>
        <w:t>六、联系方式</w:t>
      </w:r>
      <w:bookmarkEnd w:id="12"/>
      <w:bookmarkEnd w:id="13"/>
    </w:p>
    <w:p>
      <w:pPr>
        <w:pageBreakBefore w:val="0"/>
        <w:tabs>
          <w:tab w:val="left" w:pos="-105"/>
          <w:tab w:val="left" w:pos="420"/>
          <w:tab w:val="left" w:pos="630"/>
          <w:tab w:val="left" w:pos="1155"/>
          <w:tab w:val="left" w:pos="1890"/>
          <w:tab w:val="left" w:pos="3150"/>
          <w:tab w:val="left" w:pos="3780"/>
        </w:tabs>
        <w:bidi w:val="0"/>
        <w:spacing w:line="560" w:lineRule="exact"/>
        <w:ind w:firstLine="422"/>
        <w:rPr>
          <w:rFonts w:ascii="仿宋" w:hAnsi="仿宋" w:eastAsia="仿宋" w:cs="仿宋"/>
          <w:b/>
          <w:bCs/>
          <w:color w:val="000000"/>
        </w:rPr>
      </w:pPr>
      <w:r>
        <w:rPr>
          <w:rFonts w:hint="eastAsia" w:ascii="仿宋" w:hAnsi="仿宋" w:eastAsia="仿宋" w:cs="仿宋"/>
          <w:b/>
          <w:bCs/>
          <w:color w:val="000000"/>
        </w:rPr>
        <w:t>采购人：</w:t>
      </w:r>
      <w:r>
        <w:rPr>
          <w:rFonts w:hint="eastAsia" w:ascii="仿宋_GB2312" w:hAnsi="仿宋_GB2312" w:eastAsia="仿宋_GB2312" w:cs="仿宋_GB2312"/>
          <w:b/>
          <w:bCs/>
          <w:color w:val="000000"/>
          <w:sz w:val="24"/>
          <w:szCs w:val="24"/>
        </w:rPr>
        <w:t>中国人民财产保险股份有限公司</w:t>
      </w:r>
      <w:r>
        <w:rPr>
          <w:rFonts w:hint="eastAsia" w:ascii="仿宋_GB2312" w:hAnsi="仿宋_GB2312" w:eastAsia="仿宋_GB2312" w:cs="仿宋_GB2312"/>
          <w:b/>
          <w:bCs/>
          <w:color w:val="000000"/>
          <w:sz w:val="24"/>
          <w:szCs w:val="24"/>
          <w:lang w:val="en-US" w:eastAsia="zh-CN"/>
        </w:rPr>
        <w:t>资阳市</w:t>
      </w:r>
      <w:r>
        <w:rPr>
          <w:rFonts w:hint="eastAsia" w:ascii="仿宋_GB2312" w:hAnsi="仿宋_GB2312" w:eastAsia="仿宋_GB2312" w:cs="仿宋_GB2312"/>
          <w:b/>
          <w:bCs/>
          <w:color w:val="000000"/>
          <w:sz w:val="24"/>
          <w:szCs w:val="24"/>
        </w:rPr>
        <w:t>分公司</w:t>
      </w:r>
    </w:p>
    <w:p>
      <w:pPr>
        <w:pageBreakBefore w:val="0"/>
        <w:bidi w:val="0"/>
        <w:spacing w:line="560" w:lineRule="exact"/>
        <w:ind w:firstLine="480"/>
        <w:jc w:val="left"/>
        <w:outlineLvl w:val="9"/>
        <w:rPr>
          <w:rFonts w:hint="eastAsia" w:ascii="仿宋_GB2312" w:hAnsi="仿宋_GB2312" w:eastAsia="仿宋_GB2312" w:cs="仿宋_GB2312"/>
          <w:color w:val="000000"/>
          <w:sz w:val="24"/>
          <w:szCs w:val="24"/>
        </w:rPr>
      </w:pPr>
      <w:r>
        <w:rPr>
          <w:rFonts w:hint="eastAsia" w:ascii="仿宋" w:hAnsi="仿宋" w:eastAsia="仿宋" w:cs="宋体"/>
          <w:color w:val="000000"/>
        </w:rPr>
        <w:t>地址：</w:t>
      </w:r>
      <w:r>
        <w:rPr>
          <w:rFonts w:hint="eastAsia" w:ascii="仿宋_GB2312" w:hAnsi="仿宋_GB2312" w:eastAsia="仿宋_GB2312" w:cs="仿宋_GB2312"/>
          <w:color w:val="000000"/>
          <w:sz w:val="24"/>
          <w:szCs w:val="24"/>
        </w:rPr>
        <w:t>须现场递交，递交地点四川省资阳市雁江区宝台镇黄泥村弘城水韵和中城建、新城市广场（一期）25号楼25（F），具体会议室由电话通知为准。</w:t>
      </w:r>
    </w:p>
    <w:p>
      <w:pPr>
        <w:pageBreakBefore w:val="0"/>
        <w:bidi w:val="0"/>
        <w:spacing w:line="560" w:lineRule="exact"/>
        <w:ind w:firstLine="480"/>
        <w:jc w:val="left"/>
        <w:outlineLvl w:val="9"/>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联系人：</w:t>
      </w:r>
      <w:r>
        <w:rPr>
          <w:rFonts w:hint="eastAsia" w:ascii="仿宋_GB2312" w:hAnsi="仿宋_GB2312" w:eastAsia="仿宋_GB2312" w:cs="仿宋_GB2312"/>
          <w:color w:val="000000"/>
          <w:sz w:val="24"/>
          <w:szCs w:val="24"/>
          <w:lang w:eastAsia="zh-CN"/>
        </w:rPr>
        <w:t>尚金凤</w:t>
      </w:r>
    </w:p>
    <w:p>
      <w:pPr>
        <w:pageBreakBefore w:val="0"/>
        <w:bidi w:val="0"/>
        <w:spacing w:line="560" w:lineRule="exact"/>
        <w:ind w:firstLine="480"/>
        <w:jc w:val="left"/>
        <w:outlineLvl w:val="9"/>
        <w:rPr>
          <w:rFonts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电话：</w:t>
      </w:r>
      <w:r>
        <w:rPr>
          <w:rFonts w:hint="eastAsia" w:ascii="仿宋_GB2312" w:hAnsi="仿宋_GB2312" w:eastAsia="仿宋_GB2312" w:cs="仿宋_GB2312"/>
          <w:color w:val="000000"/>
          <w:sz w:val="24"/>
          <w:szCs w:val="24"/>
          <w:lang w:val="en-US" w:eastAsia="zh-CN"/>
        </w:rPr>
        <w:t>18116687655</w:t>
      </w:r>
    </w:p>
    <w:p>
      <w:pPr>
        <w:pageBreakBefore w:val="0"/>
        <w:bidi w:val="0"/>
        <w:spacing w:line="560" w:lineRule="exact"/>
        <w:ind w:firstLine="480"/>
        <w:jc w:val="left"/>
        <w:outlineLvl w:val="9"/>
        <w:rPr>
          <w:rFonts w:ascii="仿宋" w:hAnsi="仿宋" w:eastAsia="仿宋" w:cs="仿宋"/>
          <w:color w:val="FF0000"/>
        </w:rPr>
      </w:pPr>
      <w:r>
        <w:rPr>
          <w:rFonts w:hint="eastAsia" w:ascii="仿宋_GB2312" w:hAnsi="仿宋_GB2312" w:eastAsia="仿宋_GB2312" w:cs="仿宋_GB2312"/>
          <w:color w:val="000000"/>
          <w:sz w:val="24"/>
          <w:szCs w:val="24"/>
        </w:rPr>
        <w:t>电子邮件：</w:t>
      </w:r>
      <w:r>
        <w:rPr>
          <w:rFonts w:ascii="宋体" w:hAnsi="宋体" w:eastAsia="宋体" w:cs="宋体"/>
          <w:sz w:val="24"/>
          <w:szCs w:val="24"/>
        </w:rPr>
        <w:t>shangjinfeng@sic.picc.com.cn</w:t>
      </w:r>
    </w:p>
    <w:p>
      <w:pPr>
        <w:spacing w:line="360" w:lineRule="auto"/>
        <w:ind w:firstLine="480"/>
        <w:jc w:val="right"/>
        <w:rPr>
          <w:rFonts w:ascii="仿宋" w:hAnsi="仿宋" w:eastAsia="仿宋" w:cs="宋体"/>
          <w:color w:val="FF0000"/>
        </w:rPr>
      </w:pPr>
    </w:p>
    <w:p>
      <w:pPr>
        <w:spacing w:line="360" w:lineRule="auto"/>
        <w:ind w:firstLine="480"/>
        <w:jc w:val="right"/>
        <w:rPr>
          <w:rFonts w:ascii="仿宋" w:hAnsi="仿宋" w:eastAsia="仿宋" w:cs="宋体"/>
          <w:color w:val="000000"/>
        </w:rPr>
      </w:pPr>
      <w:r>
        <w:rPr>
          <w:rFonts w:hint="eastAsia" w:ascii="仿宋" w:hAnsi="仿宋" w:eastAsia="仿宋" w:cs="宋体"/>
          <w:color w:val="000000"/>
        </w:rPr>
        <w:t>采购人：中国人民财产保险股份有限公司</w:t>
      </w:r>
      <w:r>
        <w:rPr>
          <w:rFonts w:hint="eastAsia" w:ascii="仿宋" w:hAnsi="仿宋" w:eastAsia="仿宋" w:cs="宋体"/>
          <w:color w:val="000000"/>
          <w:lang w:eastAsia="zh-CN"/>
        </w:rPr>
        <w:t>资阳市</w:t>
      </w:r>
      <w:r>
        <w:rPr>
          <w:rFonts w:hint="eastAsia" w:ascii="仿宋" w:hAnsi="仿宋" w:eastAsia="仿宋" w:cs="宋体"/>
          <w:color w:val="000000"/>
        </w:rPr>
        <w:t>分公司</w:t>
      </w:r>
    </w:p>
    <w:p>
      <w:pPr>
        <w:spacing w:line="360" w:lineRule="auto"/>
        <w:jc w:val="right"/>
        <w:rPr>
          <w:rFonts w:ascii="楷体" w:hAnsi="楷体" w:eastAsia="楷体" w:cs="仿宋_GB2312"/>
          <w:i/>
          <w:color w:val="000000"/>
          <w:szCs w:val="32"/>
        </w:rPr>
      </w:pPr>
      <w:r>
        <w:rPr>
          <w:rFonts w:hint="eastAsia" w:ascii="仿宋" w:hAnsi="仿宋" w:eastAsia="仿宋" w:cs="宋体"/>
          <w:color w:val="000000"/>
        </w:rPr>
        <w:t>202</w:t>
      </w:r>
      <w:r>
        <w:rPr>
          <w:rFonts w:hint="eastAsia" w:ascii="仿宋" w:hAnsi="仿宋" w:eastAsia="仿宋" w:cs="宋体"/>
          <w:color w:val="000000"/>
          <w:lang w:val="en-US" w:eastAsia="zh-CN"/>
        </w:rPr>
        <w:t>6</w:t>
      </w:r>
      <w:r>
        <w:rPr>
          <w:rFonts w:hint="eastAsia" w:ascii="仿宋" w:hAnsi="仿宋" w:eastAsia="仿宋" w:cs="宋体"/>
          <w:color w:val="000000"/>
        </w:rPr>
        <w:t>年</w:t>
      </w:r>
      <w:r>
        <w:rPr>
          <w:rFonts w:hint="eastAsia" w:ascii="仿宋" w:hAnsi="仿宋" w:eastAsia="仿宋" w:cs="宋体"/>
          <w:color w:val="000000"/>
          <w:lang w:val="en-US" w:eastAsia="zh-CN"/>
        </w:rPr>
        <w:t>6</w:t>
      </w:r>
      <w:r>
        <w:rPr>
          <w:rFonts w:hint="eastAsia" w:ascii="仿宋" w:hAnsi="仿宋" w:eastAsia="仿宋" w:cs="宋体"/>
          <w:color w:val="000000"/>
        </w:rPr>
        <w:t>月</w:t>
      </w:r>
      <w:r>
        <w:rPr>
          <w:rFonts w:hint="eastAsia" w:ascii="仿宋" w:hAnsi="仿宋" w:eastAsia="仿宋" w:cs="宋体"/>
          <w:color w:val="000000"/>
          <w:lang w:val="en-US" w:eastAsia="zh-CN"/>
        </w:rPr>
        <w:t>17</w:t>
      </w:r>
      <w:r>
        <w:rPr>
          <w:rFonts w:hint="eastAsia" w:ascii="仿宋" w:hAnsi="仿宋" w:eastAsia="仿宋" w:cs="宋体"/>
          <w:color w:val="000000"/>
        </w:rPr>
        <w:t>日</w:t>
      </w:r>
    </w:p>
    <w:p>
      <w:pPr>
        <w:pStyle w:val="193"/>
        <w:ind w:left="0" w:firstLine="0"/>
        <w:rPr>
          <w:rFonts w:ascii="仿宋_GB2312" w:hAnsi="宋体" w:eastAsia="仿宋_GB2312"/>
          <w:color w:val="000000"/>
          <w:sz w:val="28"/>
          <w:szCs w:val="28"/>
        </w:rPr>
      </w:pPr>
      <w:r>
        <w:rPr>
          <w:rFonts w:hint="eastAsia" w:ascii="仿宋_GB2312" w:hAnsi="宋体" w:eastAsia="仿宋_GB2312"/>
          <w:color w:val="000000"/>
        </w:rPr>
        <w:br w:type="page" w:clear="all"/>
      </w:r>
      <w:bookmarkStart w:id="14" w:name="_Toc32595"/>
      <w:bookmarkStart w:id="15" w:name="_Toc16027"/>
      <w:r>
        <w:rPr>
          <w:rFonts w:hint="eastAsia" w:ascii="仿宋_GB2312" w:hAnsi="宋体" w:eastAsia="仿宋_GB2312"/>
          <w:color w:val="000000"/>
          <w:sz w:val="28"/>
          <w:szCs w:val="28"/>
        </w:rPr>
        <w:t>第二章 供应商须知</w:t>
      </w:r>
      <w:bookmarkEnd w:id="14"/>
      <w:bookmarkEnd w:id="15"/>
    </w:p>
    <w:p>
      <w:pPr>
        <w:pStyle w:val="194"/>
        <w:spacing w:before="0" w:after="0"/>
        <w:rPr>
          <w:sz w:val="24"/>
          <w:szCs w:val="24"/>
        </w:rPr>
      </w:pPr>
      <w:bookmarkStart w:id="16" w:name="_Toc17714"/>
      <w:r>
        <w:rPr>
          <w:rFonts w:hint="eastAsia" w:ascii="仿宋" w:hAnsi="仿宋" w:eastAsia="仿宋" w:cs="仿宋"/>
          <w:color w:val="000000"/>
          <w:sz w:val="24"/>
          <w:szCs w:val="24"/>
        </w:rPr>
        <w:t>一、供应商须知前附表</w:t>
      </w:r>
      <w:bookmarkEnd w:id="16"/>
    </w:p>
    <w:tbl>
      <w:tblPr>
        <w:tblStyle w:val="28"/>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774"/>
        <w:gridCol w:w="72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★比价文件实质性要求的标识</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比价文件中标识“★”条款、注明“比价响应将被否决”、“对其响应做否决处理”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7"/>
              <w:spacing w:before="62" w:after="62"/>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198"/>
              <w:spacing w:before="62" w:after="62"/>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rPr>
                <w:rFonts w:ascii="仿宋" w:hAnsi="仿宋" w:eastAsia="仿宋" w:cs="仿宋"/>
                <w:b/>
                <w:color w:val="000000"/>
                <w:szCs w:val="21"/>
              </w:rPr>
            </w:pPr>
            <w:r>
              <w:rPr>
                <w:rFonts w:hint="eastAsia" w:ascii="仿宋" w:hAnsi="仿宋" w:eastAsia="仿宋" w:cs="仿宋"/>
                <w:b/>
                <w:color w:val="000000"/>
                <w:szCs w:val="21"/>
              </w:rPr>
              <w:t>初步评审索引表</w:t>
            </w:r>
          </w:p>
          <w:p>
            <w:r>
              <w:rPr>
                <w:rFonts w:hint="eastAsia" w:ascii="仿宋" w:hAnsi="仿宋" w:eastAsia="仿宋" w:cs="仿宋"/>
                <w:b/>
                <w:color w:val="000000"/>
                <w:szCs w:val="21"/>
              </w:rPr>
              <w:t>详细评审索引表</w:t>
            </w:r>
          </w:p>
          <w:p>
            <w:pPr>
              <w:pStyle w:val="198"/>
              <w:spacing w:before="62" w:after="62"/>
              <w:rPr>
                <w:rFonts w:ascii="仿宋" w:hAnsi="仿宋" w:eastAsia="仿宋" w:cs="仿宋"/>
                <w:color w:val="000000"/>
              </w:rPr>
            </w:pPr>
            <w:r>
              <w:rPr>
                <w:rFonts w:hint="eastAsia" w:ascii="仿宋" w:hAnsi="仿宋" w:eastAsia="仿宋" w:cs="仿宋"/>
                <w:color w:val="000000"/>
              </w:rPr>
              <w:t>（一）响应函</w:t>
            </w:r>
          </w:p>
          <w:p>
            <w:pPr>
              <w:pStyle w:val="197"/>
              <w:spacing w:before="62" w:after="62"/>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197"/>
              <w:spacing w:before="62" w:after="62"/>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198"/>
              <w:spacing w:before="62" w:after="62"/>
              <w:rPr>
                <w:rFonts w:ascii="仿宋" w:hAnsi="仿宋" w:eastAsia="仿宋" w:cs="仿宋"/>
                <w:color w:val="000000"/>
              </w:rPr>
            </w:pPr>
            <w:r>
              <w:rPr>
                <w:rFonts w:hint="eastAsia" w:ascii="仿宋" w:hAnsi="仿宋" w:eastAsia="仿宋" w:cs="仿宋"/>
                <w:color w:val="000000"/>
              </w:rPr>
              <w:t>（四）资格证明文件</w:t>
            </w:r>
          </w:p>
          <w:p>
            <w:pPr>
              <w:pStyle w:val="197"/>
              <w:spacing w:before="62" w:after="62"/>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198"/>
              <w:spacing w:before="62" w:after="62"/>
              <w:rPr>
                <w:rFonts w:ascii="仿宋" w:hAnsi="仿宋" w:eastAsia="仿宋" w:cs="仿宋"/>
                <w:color w:val="000000"/>
              </w:rPr>
            </w:pPr>
            <w:r>
              <w:rPr>
                <w:rFonts w:hint="eastAsia" w:ascii="仿宋" w:hAnsi="仿宋" w:eastAsia="仿宋" w:cs="仿宋"/>
                <w:color w:val="000000"/>
              </w:rPr>
              <w:t>（六）合同条款应答偏离表</w:t>
            </w:r>
          </w:p>
          <w:p>
            <w:pPr>
              <w:pStyle w:val="198"/>
              <w:spacing w:before="62" w:after="62"/>
              <w:rPr>
                <w:rFonts w:ascii="仿宋" w:hAnsi="仿宋" w:eastAsia="仿宋" w:cs="仿宋"/>
                <w:color w:val="000000"/>
              </w:rPr>
            </w:pPr>
            <w:r>
              <w:rPr>
                <w:rFonts w:hint="eastAsia" w:ascii="仿宋" w:hAnsi="仿宋" w:eastAsia="仿宋" w:cs="仿宋"/>
                <w:color w:val="000000"/>
              </w:rPr>
              <w:t>（七）供应商行为准则承诺书</w:t>
            </w:r>
          </w:p>
          <w:p>
            <w:pPr>
              <w:pStyle w:val="198"/>
              <w:spacing w:before="62" w:after="62"/>
              <w:rPr>
                <w:rFonts w:ascii="仿宋" w:hAnsi="仿宋" w:eastAsia="仿宋" w:cs="仿宋"/>
                <w:color w:val="000000"/>
              </w:rPr>
            </w:pPr>
            <w:r>
              <w:rPr>
                <w:rFonts w:hint="eastAsia" w:ascii="仿宋" w:hAnsi="仿宋" w:eastAsia="仿宋"/>
                <w:color w:val="000000"/>
              </w:rPr>
              <w:t>（八）供应商廉洁诚信承诺书</w:t>
            </w:r>
          </w:p>
          <w:p>
            <w:pPr>
              <w:pStyle w:val="198"/>
              <w:spacing w:before="62" w:after="62"/>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二、技术文件</w:t>
            </w:r>
          </w:p>
          <w:p>
            <w:pPr>
              <w:rPr>
                <w:rFonts w:ascii="仿宋" w:hAnsi="仿宋" w:eastAsia="仿宋" w:cs="仿宋"/>
                <w:b/>
                <w:color w:val="000000"/>
                <w:szCs w:val="21"/>
              </w:rPr>
            </w:pPr>
            <w:r>
              <w:rPr>
                <w:rFonts w:hint="eastAsia" w:ascii="仿宋" w:hAnsi="仿宋" w:eastAsia="仿宋" w:cs="仿宋"/>
                <w:b/>
                <w:color w:val="000000"/>
                <w:szCs w:val="21"/>
              </w:rPr>
              <w:t>详细评审索引表</w:t>
            </w:r>
          </w:p>
          <w:p>
            <w:pPr>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198"/>
              <w:spacing w:before="62" w:after="62"/>
              <w:rPr>
                <w:rFonts w:ascii="仿宋" w:hAnsi="仿宋" w:eastAsia="仿宋" w:cs="仿宋"/>
                <w:color w:val="000000"/>
              </w:rPr>
            </w:pPr>
            <w:r>
              <w:rPr>
                <w:rFonts w:hint="eastAsia" w:ascii="仿宋" w:hAnsi="仿宋" w:eastAsia="仿宋" w:cs="仿宋"/>
                <w:color w:val="000000"/>
              </w:rPr>
              <w:t>（二）技术方案</w:t>
            </w:r>
          </w:p>
          <w:p>
            <w:pPr>
              <w:pStyle w:val="198"/>
              <w:spacing w:before="62" w:after="62"/>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三、报价文件</w:t>
            </w:r>
          </w:p>
          <w:p>
            <w:pPr>
              <w:pStyle w:val="198"/>
              <w:spacing w:before="62" w:after="62"/>
              <w:rPr>
                <w:rFonts w:ascii="仿宋" w:hAnsi="仿宋" w:eastAsia="仿宋" w:cs="仿宋"/>
                <w:color w:val="000000"/>
              </w:rPr>
            </w:pPr>
            <w:r>
              <w:rPr>
                <w:rFonts w:hint="eastAsia" w:ascii="仿宋" w:hAnsi="仿宋" w:eastAsia="仿宋" w:cs="仿宋"/>
                <w:color w:val="000000"/>
              </w:rPr>
              <w:t>（一）报价一览表</w:t>
            </w:r>
          </w:p>
          <w:p>
            <w:pPr>
              <w:pStyle w:val="198"/>
              <w:spacing w:before="62" w:after="62"/>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7"/>
              <w:spacing w:before="62" w:after="62"/>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3"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9"/>
              <w:spacing w:before="62" w:after="62"/>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199"/>
              <w:spacing w:before="62" w:after="62"/>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199"/>
              <w:spacing w:before="62" w:after="62"/>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197"/>
              <w:spacing w:before="62" w:after="62"/>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★比价响应有效期</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比价响应有效期：</w:t>
            </w:r>
            <w:r>
              <w:rPr>
                <w:rFonts w:hint="eastAsia" w:ascii="仿宋" w:hAnsi="仿宋" w:eastAsia="仿宋" w:cs="仿宋"/>
                <w:color w:val="000000"/>
                <w:u w:val="single"/>
                <w:lang w:val="en-US" w:eastAsia="zh-CN"/>
              </w:rPr>
              <w:t>180</w:t>
            </w:r>
            <w:r>
              <w:rPr>
                <w:rFonts w:hint="eastAsia" w:ascii="仿宋" w:hAnsi="仿宋" w:eastAsia="仿宋" w:cs="仿宋"/>
                <w:color w:val="000000"/>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份（盖鲜章PDF）；纸质文件正本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w:t>
            </w:r>
            <w:r>
              <w:rPr>
                <w:rFonts w:hint="eastAsia" w:ascii="仿宋" w:hAnsi="仿宋" w:eastAsia="仿宋"/>
                <w:color w:val="000000"/>
                <w:sz w:val="21"/>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67"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比价响应报价</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8"/>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20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2）比价小组将视比价情况决定是否进行多轮次报价，供应商</w:t>
            </w:r>
            <w:r>
              <w:rPr>
                <w:rFonts w:hint="eastAsia" w:ascii="仿宋" w:hAnsi="仿宋" w:eastAsia="仿宋" w:cs="仿宋"/>
                <w:color w:val="000000"/>
                <w:u w:val="single"/>
                <w:lang w:eastAsia="zh-CN"/>
              </w:rPr>
              <w:t>最后一轮比价提交的报价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6"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en-U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200"/>
              <w:spacing w:line="300" w:lineRule="auto"/>
              <w:ind w:left="103" w:right="2739"/>
              <w:jc w:val="both"/>
              <w:rPr>
                <w:rFonts w:ascii="仿宋_GB2312" w:eastAsia="仿宋_GB2312"/>
                <w:sz w:val="24"/>
                <w:szCs w:val="24"/>
                <w:lang w:eastAsia="zh-CN"/>
              </w:rPr>
            </w:pPr>
            <w:bookmarkStart w:id="170" w:name="_GoBack"/>
            <w:bookmarkEnd w:id="170"/>
            <w:r>
              <w:rPr>
                <w:rFonts w:hint="eastAsia" w:ascii="仿宋" w:hAnsi="仿宋" w:eastAsia="仿宋" w:cs="仿宋"/>
                <w:color w:val="000000"/>
                <w:lang w:eastAsia="zh-CN"/>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4320540" cy="2775585"/>
                      <wp:effectExtent l="4445" t="4445" r="18415" b="20320"/>
                      <wp:wrapNone/>
                      <wp:docPr id="7" name="_x0000_s1026"/>
                      <wp:cNvGraphicFramePr/>
                      <a:graphic xmlns:a="http://schemas.openxmlformats.org/drawingml/2006/main">
                        <a:graphicData uri="http://schemas.microsoft.com/office/word/2010/wordprocessingShape">
                          <wps:wsp>
                            <wps:cNvSpPr txBox="1"/>
                            <wps:spPr bwMode="auto">
                              <a:xfrm>
                                <a:off x="0" y="0"/>
                                <a:ext cx="4320540" cy="2775585"/>
                              </a:xfrm>
                              <a:prstGeom prst="rect">
                                <a:avLst/>
                              </a:prstGeom>
                              <a:solidFill>
                                <a:srgbClr val="FFFFFF"/>
                              </a:solidFill>
                              <a:ln>
                                <a:solidFill>
                                  <a:srgbClr val="000000"/>
                                </a:solidFill>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四川省资阳市分公司线上服务团队邮政银行播放机车险宣传采购项</w:t>
                                  </w:r>
                                  <w:r>
                                    <w:rPr>
                                      <w:rFonts w:hint="eastAsia" w:ascii="仿宋" w:hAnsi="仿宋" w:eastAsia="仿宋" w:cs="仿宋"/>
                                      <w:color w:val="000000"/>
                                      <w:u w:val="single"/>
                                    </w:rPr>
                                    <w:t>目</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lang w:val="en-US" w:eastAsia="zh-CN"/>
                                    </w:rPr>
                                    <w:t>6</w:t>
                                  </w:r>
                                  <w:r>
                                    <w:rPr>
                                      <w:rFonts w:hint="eastAsia" w:ascii="仿宋" w:hAnsi="仿宋" w:eastAsia="仿宋" w:cs="仿宋"/>
                                      <w:sz w:val="22"/>
                                      <w:szCs w:val="21"/>
                                    </w:rPr>
                                    <w:t>】月【</w:t>
                                  </w:r>
                                  <w:r>
                                    <w:rPr>
                                      <w:rFonts w:hint="eastAsia" w:ascii="仿宋" w:hAnsi="仿宋" w:eastAsia="仿宋" w:cs="仿宋"/>
                                      <w:sz w:val="22"/>
                                      <w:szCs w:val="21"/>
                                      <w:lang w:val="en-US" w:eastAsia="zh-CN"/>
                                    </w:rPr>
                                    <w:t>24</w:t>
                                  </w:r>
                                  <w:r>
                                    <w:rPr>
                                      <w:rFonts w:hint="eastAsia" w:ascii="仿宋" w:hAnsi="仿宋" w:eastAsia="仿宋" w:cs="仿宋"/>
                                      <w:sz w:val="22"/>
                                      <w:szCs w:val="21"/>
                                    </w:rPr>
                                    <w:t>】日【</w:t>
                                  </w:r>
                                  <w:r>
                                    <w:rPr>
                                      <w:rFonts w:hint="eastAsia" w:ascii="仿宋" w:hAnsi="仿宋" w:eastAsia="仿宋" w:cs="仿宋"/>
                                      <w:sz w:val="22"/>
                                      <w:szCs w:val="21"/>
                                      <w:lang w:val="en-US" w:eastAsia="zh-CN"/>
                                    </w:rPr>
                                    <w:t>15</w:t>
                                  </w:r>
                                  <w:r>
                                    <w:rPr>
                                      <w:rFonts w:hint="eastAsia" w:ascii="仿宋" w:hAnsi="仿宋" w:eastAsia="仿宋" w:cs="仿宋"/>
                                      <w:sz w:val="22"/>
                                      <w:szCs w:val="21"/>
                                    </w:rPr>
                                    <w:t>】【</w:t>
                                  </w:r>
                                  <w:r>
                                    <w:rPr>
                                      <w:rFonts w:hint="eastAsia" w:ascii="仿宋" w:hAnsi="仿宋" w:eastAsia="仿宋" w:cs="仿宋"/>
                                      <w:sz w:val="22"/>
                                      <w:szCs w:val="21"/>
                                      <w:lang w:val="en-US" w:eastAsia="zh-CN"/>
                                    </w:rPr>
                                    <w:t>00</w:t>
                                  </w:r>
                                  <w:r>
                                    <w:rPr>
                                      <w:rFonts w:hint="eastAsia" w:ascii="仿宋" w:hAnsi="仿宋" w:eastAsia="仿宋" w:cs="仿宋"/>
                                      <w:sz w:val="22"/>
                                      <w:szCs w:val="21"/>
                                    </w:rPr>
                                    <w:t>】时【</w:t>
                                  </w:r>
                                  <w:r>
                                    <w:rPr>
                                      <w:rFonts w:hint="eastAsia" w:ascii="仿宋" w:hAnsi="仿宋" w:eastAsia="仿宋" w:cs="仿宋"/>
                                      <w:sz w:val="22"/>
                                      <w:szCs w:val="21"/>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lIns="91440" tIns="45720" rIns="91440" bIns="45720" upright="1">
                              <a:spAutoFit/>
                            </wps:bodyPr>
                          </wps:wsp>
                        </a:graphicData>
                      </a:graphic>
                    </wp:anchor>
                  </w:drawing>
                </mc:Choice>
                <mc:Fallback>
                  <w:pict>
                    <v:shape id="_x0000_s1026" o:spid="_x0000_s1026" o:spt="202" type="#_x0000_t202" style="position:absolute;left:0pt;margin-left:0pt;margin-top:0pt;height:218.55pt;width:340.2pt;z-index:251659264;mso-width-relative:page;mso-height-relative:page;"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4MlGvWAAAABQEAAA8AAAAAAAAAAQAgAAAAIgAAAGRycy9kb3ducmV2LnhtbFBLAQIUABQA&#10;AAAIAIdO4kC+1fMr8gEAAAwEAAAOAAAAAAAAAAEAIAAAACUBAABkcnMvZTJvRG9jLnhtbFBLBQYA&#10;AAAABgAGAFkBAACJBQAAAAA=&#10;">
                      <v:fill on="t" focussize="0,0"/>
                      <v:stroke color="#000000" joinstyle="round"/>
                      <v:imagedata o:title=""/>
                      <o:lock v:ext="edi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四川省资阳市分公司线上服务团队邮政银行播放机车险宣传采购项</w:t>
                            </w:r>
                            <w:r>
                              <w:rPr>
                                <w:rFonts w:hint="eastAsia" w:ascii="仿宋" w:hAnsi="仿宋" w:eastAsia="仿宋" w:cs="仿宋"/>
                                <w:color w:val="000000"/>
                                <w:u w:val="single"/>
                              </w:rPr>
                              <w:t>目</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lang w:val="en-US" w:eastAsia="zh-CN"/>
                              </w:rPr>
                              <w:t>6</w:t>
                            </w:r>
                            <w:r>
                              <w:rPr>
                                <w:rFonts w:hint="eastAsia" w:ascii="仿宋" w:hAnsi="仿宋" w:eastAsia="仿宋" w:cs="仿宋"/>
                                <w:sz w:val="22"/>
                                <w:szCs w:val="21"/>
                              </w:rPr>
                              <w:t>】月【</w:t>
                            </w:r>
                            <w:r>
                              <w:rPr>
                                <w:rFonts w:hint="eastAsia" w:ascii="仿宋" w:hAnsi="仿宋" w:eastAsia="仿宋" w:cs="仿宋"/>
                                <w:sz w:val="22"/>
                                <w:szCs w:val="21"/>
                                <w:lang w:val="en-US" w:eastAsia="zh-CN"/>
                              </w:rPr>
                              <w:t>24</w:t>
                            </w:r>
                            <w:r>
                              <w:rPr>
                                <w:rFonts w:hint="eastAsia" w:ascii="仿宋" w:hAnsi="仿宋" w:eastAsia="仿宋" w:cs="仿宋"/>
                                <w:sz w:val="22"/>
                                <w:szCs w:val="21"/>
                              </w:rPr>
                              <w:t>】日【</w:t>
                            </w:r>
                            <w:r>
                              <w:rPr>
                                <w:rFonts w:hint="eastAsia" w:ascii="仿宋" w:hAnsi="仿宋" w:eastAsia="仿宋" w:cs="仿宋"/>
                                <w:sz w:val="22"/>
                                <w:szCs w:val="21"/>
                                <w:lang w:val="en-US" w:eastAsia="zh-CN"/>
                              </w:rPr>
                              <w:t>15</w:t>
                            </w:r>
                            <w:r>
                              <w:rPr>
                                <w:rFonts w:hint="eastAsia" w:ascii="仿宋" w:hAnsi="仿宋" w:eastAsia="仿宋" w:cs="仿宋"/>
                                <w:sz w:val="22"/>
                                <w:szCs w:val="21"/>
                              </w:rPr>
                              <w:t>】【</w:t>
                            </w:r>
                            <w:r>
                              <w:rPr>
                                <w:rFonts w:hint="eastAsia" w:ascii="仿宋" w:hAnsi="仿宋" w:eastAsia="仿宋" w:cs="仿宋"/>
                                <w:sz w:val="22"/>
                                <w:szCs w:val="21"/>
                                <w:lang w:val="en-US" w:eastAsia="zh-CN"/>
                              </w:rPr>
                              <w:t>00</w:t>
                            </w:r>
                            <w:r>
                              <w:rPr>
                                <w:rFonts w:hint="eastAsia" w:ascii="仿宋" w:hAnsi="仿宋" w:eastAsia="仿宋" w:cs="仿宋"/>
                                <w:sz w:val="22"/>
                                <w:szCs w:val="21"/>
                              </w:rPr>
                              <w:t>】时【</w:t>
                            </w:r>
                            <w:r>
                              <w:rPr>
                                <w:rFonts w:hint="eastAsia" w:ascii="仿宋" w:hAnsi="仿宋" w:eastAsia="仿宋" w:cs="仿宋"/>
                                <w:sz w:val="22"/>
                                <w:szCs w:val="21"/>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_GB2312" w:hAnsi="宋体" w:eastAsia="仿宋_GB2312"/>
                <w:szCs w:val="21"/>
              </w:rPr>
            </w:pPr>
            <w:r>
              <w:rPr>
                <w:rFonts w:hint="eastAsia" w:ascii="仿宋" w:hAnsi="仿宋" w:eastAsia="仿宋" w:cs="仿宋"/>
                <w:color w:val="000000"/>
                <w:szCs w:val="21"/>
              </w:rPr>
              <w:t>组建比价小组</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color w:val="000000"/>
                <w:sz w:val="22"/>
              </w:rPr>
              <w:t>本项目比价小组成员人数为</w:t>
            </w:r>
            <w:r>
              <w:rPr>
                <w:rFonts w:hint="eastAsia" w:ascii="仿宋" w:hAnsi="仿宋" w:eastAsia="仿宋" w:cs="仿宋"/>
                <w:color w:val="000000"/>
                <w:sz w:val="22"/>
                <w:u w:val="single"/>
              </w:rPr>
              <w:t>5人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55"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比价程序及方式</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8"/>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（1）比价小组将与通过初步评审的有效供应商按照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逐一进行比价，供应商至少应派法定代表人或其授权委托人准时参会。</w:t>
            </w:r>
          </w:p>
          <w:p>
            <w:pPr>
              <w:spacing w:line="400" w:lineRule="exact"/>
              <w:rPr>
                <w:rFonts w:ascii="仿宋" w:hAnsi="仿宋" w:eastAsia="仿宋" w:cs="仿宋"/>
                <w:color w:val="000000"/>
              </w:rPr>
            </w:pPr>
            <w:r>
              <w:rPr>
                <w:rFonts w:hint="eastAsia" w:ascii="仿宋" w:hAnsi="仿宋" w:eastAsia="仿宋" w:cs="仿宋"/>
                <w:color w:val="000000"/>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79"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比价内容</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none"/>
              </w:rPr>
              <w:t>报价、对采购需求的理解、产品配置/技术方案、实施方案、人员配置、服务承诺、商务条款等。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7"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比价小组从质量和服务均能满足采购文件实质性响应要求的供应商中，按照最后报价由低到高的顺序</w:t>
            </w:r>
            <w:r>
              <w:rPr>
                <w:rFonts w:hint="eastAsia" w:ascii="仿宋" w:hAnsi="仿宋" w:eastAsia="仿宋" w:cs="宋体"/>
                <w:color w:val="000000"/>
                <w:sz w:val="22"/>
              </w:rPr>
              <w:t>推</w:t>
            </w:r>
            <w:r>
              <w:rPr>
                <w:rFonts w:hint="eastAsia" w:ascii="仿宋" w:hAnsi="仿宋" w:eastAsia="仿宋" w:cs="宋体"/>
                <w:color w:val="000000"/>
                <w:sz w:val="22"/>
                <w:u w:val="none"/>
              </w:rPr>
              <w:t>荐</w:t>
            </w:r>
            <w:r>
              <w:rPr>
                <w:rFonts w:hint="eastAsia" w:ascii="仿宋" w:hAnsi="仿宋" w:eastAsia="仿宋" w:cs="仿宋"/>
                <w:color w:val="000000"/>
                <w:sz w:val="22"/>
                <w:szCs w:val="22"/>
                <w:u w:val="none"/>
                <w:lang w:val="en-US" w:eastAsia="zh-CN"/>
              </w:rPr>
              <w:t>3</w:t>
            </w:r>
            <w:r>
              <w:rPr>
                <w:rFonts w:hint="eastAsia" w:ascii="仿宋" w:hAnsi="仿宋" w:eastAsia="仿宋" w:cs="仿宋"/>
                <w:color w:val="000000"/>
                <w:sz w:val="22"/>
                <w:szCs w:val="22"/>
                <w:u w:val="none"/>
              </w:rPr>
              <w:t>家</w:t>
            </w:r>
            <w:r>
              <w:rPr>
                <w:rFonts w:hint="eastAsia" w:ascii="仿宋" w:hAnsi="仿宋" w:eastAsia="仿宋" w:cs="宋体"/>
                <w:color w:val="000000"/>
                <w:sz w:val="22"/>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成交人数量</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8"/>
              <w:spacing w:before="62" w:after="62"/>
              <w:rPr>
                <w:rFonts w:ascii="仿宋" w:hAnsi="仿宋" w:eastAsia="仿宋" w:cs="仿宋"/>
                <w:color w:val="000000"/>
                <w:sz w:val="22"/>
                <w:szCs w:val="22"/>
                <w:u w:val="none"/>
              </w:rPr>
            </w:pPr>
            <w:r>
              <w:rPr>
                <w:rFonts w:hint="eastAsia" w:ascii="仿宋" w:hAnsi="仿宋" w:eastAsia="仿宋" w:cs="仿宋"/>
                <w:color w:val="000000"/>
                <w:sz w:val="22"/>
                <w:szCs w:val="22"/>
              </w:rPr>
              <w:t>成交人数量：</w:t>
            </w:r>
            <w:r>
              <w:rPr>
                <w:rFonts w:hint="eastAsia" w:ascii="仿宋" w:hAnsi="仿宋" w:eastAsia="仿宋" w:cs="仿宋"/>
                <w:color w:val="000000"/>
                <w:sz w:val="22"/>
                <w:szCs w:val="22"/>
                <w:u w:val="none"/>
              </w:rPr>
              <w:t>1家</w:t>
            </w:r>
          </w:p>
          <w:p>
            <w:pPr>
              <w:spacing w:line="400" w:lineRule="exact"/>
              <w:rPr>
                <w:rFonts w:ascii="仿宋" w:hAnsi="仿宋" w:eastAsia="仿宋" w:cs="仿宋"/>
                <w:color w:val="000000"/>
              </w:rPr>
            </w:pPr>
            <w:r>
              <w:rPr>
                <w:rFonts w:hint="eastAsia" w:ascii="仿宋" w:hAnsi="仿宋" w:eastAsia="仿宋" w:cs="宋体"/>
                <w:color w:val="000000"/>
                <w:sz w:val="22"/>
                <w:szCs w:val="22"/>
                <w:u w:val="none"/>
              </w:rPr>
              <w:t>排名第一</w:t>
            </w:r>
            <w:r>
              <w:rPr>
                <w:rFonts w:hint="eastAsia" w:ascii="仿宋" w:hAnsi="仿宋" w:eastAsia="仿宋" w:cs="仿宋"/>
                <w:color w:val="000000"/>
                <w:sz w:val="22"/>
                <w:szCs w:val="22"/>
                <w:u w:val="none"/>
              </w:rPr>
              <w:t>成交</w:t>
            </w:r>
            <w:r>
              <w:rPr>
                <w:rFonts w:hint="eastAsia" w:ascii="仿宋" w:hAnsi="仿宋" w:eastAsia="仿宋" w:cs="仿宋"/>
                <w:sz w:val="22"/>
                <w:szCs w:val="22"/>
              </w:rPr>
              <w:t>候选人放弃成交、因不可抗力不能履行合同、</w:t>
            </w:r>
            <w:r>
              <w:rPr>
                <w:rFonts w:hint="eastAsia" w:ascii="仿宋" w:hAnsi="仿宋" w:eastAsia="仿宋" w:cs="宋体"/>
                <w:color w:val="000000"/>
                <w:sz w:val="22"/>
                <w:szCs w:val="22"/>
              </w:rPr>
              <w:t>不按照比价文件要求提交履约保证金</w:t>
            </w:r>
            <w:r>
              <w:rPr>
                <w:rFonts w:hint="eastAsia" w:ascii="仿宋" w:hAnsi="仿宋" w:eastAsia="仿宋" w:cs="仿宋"/>
                <w:sz w:val="22"/>
                <w:szCs w:val="22"/>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 w:hAnsi="仿宋" w:eastAsia="仿宋" w:cs="仿宋"/>
                <w:color w:val="000000"/>
              </w:rPr>
            </w:pPr>
            <w:r>
              <w:rPr>
                <w:rFonts w:hint="eastAsia" w:ascii="仿宋" w:hAnsi="仿宋" w:eastAsia="仿宋" w:cs="仿宋"/>
                <w:color w:val="000000"/>
                <w:szCs w:val="21"/>
              </w:rPr>
              <w:t>履约保证金</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pStyle w:val="198"/>
              <w:spacing w:before="62" w:after="62"/>
              <w:rPr>
                <w:rFonts w:ascii="仿宋" w:hAnsi="仿宋" w:eastAsia="仿宋" w:cs="仿宋"/>
                <w:color w:val="000000"/>
              </w:rPr>
            </w:pPr>
            <w:r>
              <w:rPr>
                <w:rFonts w:hint="eastAsia" w:ascii="仿宋" w:hAnsi="仿宋" w:eastAsia="仿宋"/>
                <w:color w:val="000000"/>
                <w:lang w:eastAsia="zh-CN"/>
              </w:rPr>
              <w:t>☑</w:t>
            </w:r>
            <w:r>
              <w:rPr>
                <w:rFonts w:hint="eastAsia" w:ascii="仿宋" w:hAnsi="仿宋" w:eastAsia="仿宋"/>
                <w:color w:val="000000"/>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3" w:hRule="exact"/>
          <w:jc w:val="center"/>
        </w:trPr>
        <w:tc>
          <w:tcPr>
            <w:tcW w:w="1142" w:type="dxa"/>
            <w:tcBorders>
              <w:top w:val="single" w:color="000000" w:sz="4" w:space="0"/>
              <w:left w:val="single" w:color="000000" w:sz="4" w:space="0"/>
              <w:bottom w:val="single" w:color="000000" w:sz="4" w:space="0"/>
              <w:right w:val="single" w:color="000000" w:sz="4" w:space="0"/>
            </w:tcBorders>
            <w:noWrap w:val="0"/>
            <w:vAlign w:val="center"/>
          </w:tcPr>
          <w:p>
            <w:pPr>
              <w:pStyle w:val="20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774"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77" w:right="132" w:firstLine="67"/>
              <w:jc w:val="center"/>
              <w:rPr>
                <w:rFonts w:ascii="仿宋_GB2312" w:hAnsi="宋体" w:eastAsia="仿宋_GB2312"/>
                <w:szCs w:val="21"/>
              </w:rPr>
            </w:pPr>
            <w:r>
              <w:rPr>
                <w:rFonts w:hint="eastAsia" w:ascii="仿宋_GB2312" w:hAnsi="宋体" w:eastAsia="仿宋_GB2312"/>
                <w:szCs w:val="21"/>
              </w:rPr>
              <w:t>合同签署</w:t>
            </w:r>
          </w:p>
        </w:tc>
        <w:tc>
          <w:tcPr>
            <w:tcW w:w="7266"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sz w:val="22"/>
              </w:rPr>
              <w:t>项目采购人</w:t>
            </w:r>
            <w:r>
              <w:rPr>
                <w:rFonts w:hint="eastAsia" w:ascii="仿宋" w:hAnsi="仿宋" w:eastAsia="仿宋" w:cs="仿宋"/>
                <w:sz w:val="22"/>
                <w:lang w:eastAsia="zh-CN"/>
              </w:rPr>
              <w:t>、</w:t>
            </w:r>
            <w:r>
              <w:rPr>
                <w:rFonts w:ascii="仿宋" w:hAnsi="仿宋" w:eastAsia="仿宋" w:cs="仿宋"/>
                <w:sz w:val="22"/>
              </w:rPr>
              <w:t>实际合同签署人</w:t>
            </w:r>
            <w:r>
              <w:rPr>
                <w:rFonts w:hint="eastAsia" w:ascii="仿宋" w:hAnsi="仿宋" w:eastAsia="仿宋" w:cs="仿宋"/>
                <w:sz w:val="22"/>
              </w:rPr>
              <w:t>为人保财险</w:t>
            </w:r>
            <w:r>
              <w:rPr>
                <w:rFonts w:hint="eastAsia" w:ascii="仿宋" w:hAnsi="仿宋" w:eastAsia="仿宋" w:cs="宋体"/>
                <w:color w:val="000000"/>
                <w:sz w:val="22"/>
                <w:lang w:eastAsia="zh-CN"/>
              </w:rPr>
              <w:t>资阳市</w:t>
            </w:r>
            <w:r>
              <w:rPr>
                <w:rFonts w:ascii="仿宋" w:hAnsi="仿宋" w:eastAsia="仿宋" w:cs="仿宋"/>
                <w:color w:val="000000"/>
                <w:sz w:val="22"/>
              </w:rPr>
              <w:t>分公司</w:t>
            </w:r>
            <w:r>
              <w:rPr>
                <w:rFonts w:hint="eastAsia" w:ascii="仿宋" w:hAnsi="仿宋" w:eastAsia="仿宋" w:cs="仿宋"/>
                <w:sz w:val="22"/>
              </w:rPr>
              <w:t>，</w:t>
            </w:r>
          </w:p>
        </w:tc>
      </w:tr>
    </w:tbl>
    <w:p>
      <w:pPr>
        <w:pStyle w:val="188"/>
        <w:rPr>
          <w:rFonts w:ascii="仿宋_GB2312" w:eastAsia="仿宋_GB2312"/>
        </w:rPr>
      </w:pPr>
    </w:p>
    <w:p>
      <w:pPr>
        <w:pStyle w:val="188"/>
        <w:rPr>
          <w:rFonts w:ascii="仿宋_GB2312" w:eastAsia="仿宋_GB2312"/>
        </w:rPr>
      </w:pPr>
    </w:p>
    <w:p>
      <w:pPr>
        <w:pStyle w:val="188"/>
        <w:rPr>
          <w:rFonts w:ascii="仿宋_GB2312" w:eastAsia="仿宋_GB2312"/>
        </w:rPr>
      </w:pPr>
    </w:p>
    <w:p>
      <w:pPr>
        <w:pStyle w:val="188"/>
        <w:rPr>
          <w:rFonts w:ascii="仿宋_GB2312" w:eastAsia="仿宋_GB2312"/>
        </w:rPr>
      </w:pPr>
    </w:p>
    <w:p>
      <w:pPr>
        <w:pStyle w:val="188"/>
        <w:rPr>
          <w:rFonts w:ascii="仿宋_GB2312" w:eastAsia="仿宋_GB2312"/>
        </w:rPr>
      </w:pPr>
    </w:p>
    <w:p>
      <w:pPr>
        <w:pStyle w:val="188"/>
        <w:rPr>
          <w:rFonts w:ascii="仿宋_GB2312" w:eastAsia="仿宋_GB2312"/>
        </w:rPr>
      </w:pPr>
    </w:p>
    <w:p>
      <w:pPr>
        <w:pStyle w:val="194"/>
        <w:jc w:val="left"/>
        <w:rPr>
          <w:rFonts w:ascii="仿宋" w:hAnsi="仿宋" w:eastAsia="仿宋" w:cs="仿宋"/>
          <w:color w:val="000000"/>
          <w:sz w:val="24"/>
          <w:szCs w:val="24"/>
        </w:rPr>
      </w:pPr>
      <w:bookmarkStart w:id="17" w:name="_Toc11071"/>
      <w:bookmarkStart w:id="18" w:name="_Toc287600118"/>
      <w:bookmarkStart w:id="19" w:name="_Toc20514"/>
      <w:bookmarkStart w:id="20" w:name="_Toc517281816"/>
      <w:bookmarkStart w:id="21" w:name="_Toc6047"/>
      <w:bookmarkStart w:id="22" w:name="_Toc19783313"/>
      <w:bookmarkStart w:id="23" w:name="_Toc27232"/>
      <w:bookmarkStart w:id="24" w:name="_Toc444891336"/>
      <w:bookmarkStart w:id="25" w:name="_Toc27220"/>
      <w:bookmarkStart w:id="26" w:name="_Toc9679"/>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201"/>
        <w:spacing w:before="0" w:after="0" w:line="360" w:lineRule="auto"/>
        <w:ind w:firstLine="482"/>
        <w:rPr>
          <w:rFonts w:ascii="仿宋" w:hAnsi="仿宋" w:eastAsia="仿宋" w:cs="仿宋"/>
          <w:color w:val="000000"/>
          <w:sz w:val="24"/>
          <w:szCs w:val="24"/>
        </w:rPr>
      </w:pPr>
      <w:bookmarkStart w:id="27" w:name="_Toc431"/>
      <w:bookmarkStart w:id="28" w:name="_Toc517281817"/>
      <w:bookmarkStart w:id="29" w:name="_Toc287600119"/>
      <w:bookmarkStart w:id="30" w:name="_Toc444891337"/>
      <w:bookmarkStart w:id="31" w:name="_Toc22969"/>
      <w:bookmarkStart w:id="32" w:name="_Toc16441"/>
      <w:bookmarkStart w:id="33" w:name="_Toc11851"/>
      <w:bookmarkStart w:id="34" w:name="_Toc19783314"/>
      <w:bookmarkStart w:id="35" w:name="_Toc6681"/>
      <w:bookmarkStart w:id="36" w:name="_Toc22521"/>
      <w:bookmarkStart w:id="37" w:name="_Toc3678"/>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本项目按照中华人民共和国有关法律、行政法规和部门规章以及采购人的采购管理制度，通过比价方式确定签约供应商。</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5.比价响应费用</w:t>
      </w:r>
    </w:p>
    <w:p>
      <w:pPr>
        <w:spacing w:line="360" w:lineRule="auto"/>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自行承担所有准备和参与本次比价响应的有关费用。</w:t>
      </w:r>
    </w:p>
    <w:p>
      <w:pPr>
        <w:pStyle w:val="201"/>
        <w:spacing w:after="0" w:line="360" w:lineRule="auto"/>
        <w:ind w:firstLine="482"/>
        <w:rPr>
          <w:rFonts w:ascii="仿宋" w:hAnsi="仿宋" w:eastAsia="仿宋" w:cs="仿宋"/>
          <w:color w:val="000000"/>
          <w:sz w:val="24"/>
          <w:szCs w:val="24"/>
        </w:rPr>
      </w:pPr>
      <w:bookmarkStart w:id="38" w:name="_Toc5255"/>
      <w:bookmarkStart w:id="39" w:name="_Toc19783315"/>
      <w:bookmarkStart w:id="40" w:name="_Toc17771"/>
      <w:bookmarkStart w:id="41" w:name="_Toc14164"/>
      <w:bookmarkStart w:id="42" w:name="_Toc287600120"/>
      <w:bookmarkStart w:id="43" w:name="_Toc10975"/>
      <w:bookmarkStart w:id="44" w:name="_Toc25513"/>
      <w:bookmarkStart w:id="45" w:name="_Toc24246"/>
      <w:bookmarkStart w:id="46" w:name="_Toc3016"/>
      <w:bookmarkStart w:id="47" w:name="_Toc444891338"/>
      <w:bookmarkStart w:id="48" w:name="_Toc517281818"/>
      <w:r>
        <w:rPr>
          <w:rFonts w:hint="eastAsia" w:ascii="仿宋" w:hAnsi="仿宋" w:eastAsia="仿宋" w:cs="仿宋"/>
          <w:color w:val="000000"/>
          <w:sz w:val="24"/>
          <w:szCs w:val="24"/>
        </w:rPr>
        <w:t>（二）比价文件</w:t>
      </w:r>
      <w:bookmarkEnd w:id="38"/>
      <w:bookmarkEnd w:id="39"/>
      <w:bookmarkEnd w:id="40"/>
      <w:bookmarkEnd w:id="41"/>
      <w:bookmarkEnd w:id="42"/>
      <w:bookmarkEnd w:id="43"/>
      <w:bookmarkEnd w:id="44"/>
      <w:bookmarkEnd w:id="45"/>
      <w:bookmarkEnd w:id="46"/>
      <w:bookmarkEnd w:id="47"/>
      <w:bookmarkEnd w:id="48"/>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6.比价文件的组成</w:t>
      </w:r>
    </w:p>
    <w:p>
      <w:pPr>
        <w:spacing w:line="360" w:lineRule="auto"/>
        <w:rPr>
          <w:rFonts w:ascii="仿宋" w:hAnsi="仿宋" w:eastAsia="仿宋" w:cs="仿宋"/>
          <w:color w:val="000000"/>
        </w:rPr>
      </w:pPr>
      <w:r>
        <w:rPr>
          <w:rFonts w:hint="eastAsia" w:ascii="仿宋" w:hAnsi="仿宋" w:eastAsia="仿宋" w:cs="仿宋"/>
          <w:color w:val="000000"/>
        </w:rPr>
        <w:t>6.1比价文件包括下列内容：</w:t>
      </w:r>
    </w:p>
    <w:p>
      <w:pPr>
        <w:pStyle w:val="18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第一章 比价邀请</w:t>
      </w:r>
    </w:p>
    <w:p>
      <w:pPr>
        <w:pStyle w:val="18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8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89"/>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第六章 响应文件格式</w:t>
      </w:r>
    </w:p>
    <w:p>
      <w:pPr>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7.比价文件的修改</w:t>
      </w:r>
    </w:p>
    <w:p>
      <w:pPr>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在响应文件递交截止时间前，无论出于何种原因，采购人可主动地或在解答供应商要求澄清的问题时对比价文件进行修改。</w:t>
      </w:r>
    </w:p>
    <w:p>
      <w:pPr>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供应商有权要求采购人对比价文件中的有关问题进行答疑、澄清。</w:t>
      </w:r>
    </w:p>
    <w:p>
      <w:pPr>
        <w:pStyle w:val="188"/>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供应商对比价文件如有疑问,应在首次响应文件递交截止时间前按比价文件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188"/>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对于比价文件的修改，如影响供应商响应文件编制的，</w:t>
      </w:r>
      <w:r>
        <w:rPr>
          <w:rFonts w:hint="eastAsia" w:ascii="仿宋_GB2312" w:hAnsi="宋体" w:eastAsia="仿宋_GB2312"/>
          <w:spacing w:val="-3"/>
        </w:rPr>
        <w:t>采购人应推迟响应文件递交截止日期，并以书面或邮件形式通知所有已获取比价文件</w:t>
      </w:r>
      <w:r>
        <w:rPr>
          <w:rFonts w:hint="eastAsia" w:ascii="仿宋_GB2312" w:hAnsi="宋体" w:eastAsia="仿宋_GB2312"/>
        </w:rPr>
        <w:t>的供应商。</w:t>
      </w:r>
    </w:p>
    <w:p>
      <w:pPr>
        <w:pStyle w:val="188"/>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任何对比价文件的澄清均为比价文件的组成部分，并具有同等的法律效力。如比价文件的澄清与比价文件有矛盾，以日期后的为准。</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8.比价响应预备会</w:t>
      </w:r>
    </w:p>
    <w:p>
      <w:pPr>
        <w:spacing w:line="360" w:lineRule="auto"/>
        <w:rPr>
          <w:rFonts w:ascii="仿宋" w:hAnsi="仿宋" w:eastAsia="仿宋" w:cs="宋体"/>
          <w:color w:val="000000"/>
          <w:u w:val="single"/>
        </w:rPr>
      </w:pPr>
      <w:r>
        <w:rPr>
          <w:rFonts w:hint="eastAsia" w:ascii="仿宋" w:hAnsi="仿宋" w:eastAsia="仿宋" w:cs="宋体"/>
          <w:color w:val="000000"/>
        </w:rPr>
        <w:t>采购人认为必要时，将召开比价响应预备会(答疑会)，公开解答潜在供应商对比价文件提出的疑问。</w:t>
      </w:r>
    </w:p>
    <w:p>
      <w:pPr>
        <w:pStyle w:val="201"/>
        <w:spacing w:after="0" w:line="360" w:lineRule="auto"/>
        <w:ind w:firstLine="482"/>
        <w:jc w:val="both"/>
        <w:rPr>
          <w:rFonts w:ascii="仿宋" w:hAnsi="仿宋" w:eastAsia="仿宋" w:cs="仿宋"/>
          <w:color w:val="000000"/>
          <w:sz w:val="24"/>
          <w:szCs w:val="24"/>
        </w:rPr>
      </w:pPr>
      <w:bookmarkStart w:id="49" w:name="_Toc287600121"/>
      <w:bookmarkStart w:id="50" w:name="_Toc14308"/>
      <w:bookmarkStart w:id="51" w:name="_Toc13691"/>
      <w:bookmarkStart w:id="52" w:name="_Toc27563"/>
      <w:bookmarkStart w:id="53" w:name="_Toc27642"/>
      <w:bookmarkStart w:id="54" w:name="_Toc444891339"/>
      <w:bookmarkStart w:id="55" w:name="_Toc19783316"/>
      <w:bookmarkStart w:id="56" w:name="_Toc16985"/>
      <w:bookmarkStart w:id="57" w:name="_Toc517281819"/>
      <w:bookmarkStart w:id="58" w:name="_Toc31141"/>
      <w:bookmarkStart w:id="59" w:name="_Toc12655"/>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bookmarkEnd w:id="60"/>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11.比价响应报价</w:t>
      </w:r>
    </w:p>
    <w:p>
      <w:pPr>
        <w:spacing w:line="360" w:lineRule="auto"/>
        <w:rPr>
          <w:rFonts w:ascii="仿宋" w:hAnsi="仿宋" w:eastAsia="仿宋" w:cs="宋体"/>
          <w:color w:val="000000"/>
        </w:rPr>
      </w:pPr>
      <w:r>
        <w:rPr>
          <w:rFonts w:hint="eastAsia" w:ascii="仿宋" w:hAnsi="仿宋" w:eastAsia="仿宋" w:cs="宋体"/>
          <w:color w:val="000000"/>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.比价响应有效期</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比价响应有效期从响应文件递交截止之日起算，具体时间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，在此期间，供应商不得要求撤销或修改其响应文件。供应商承诺的比价响应有效期必须不短于比价文件规定的比价响应有效期，否则将构成对比价文件的非实质性响应，比价响应将被否决。</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en-U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p>
    <w:p>
      <w:pPr>
        <w:pStyle w:val="201"/>
        <w:spacing w:after="0" w:line="360" w:lineRule="auto"/>
        <w:ind w:firstLine="482"/>
        <w:rPr>
          <w:rFonts w:ascii="仿宋" w:hAnsi="仿宋" w:eastAsia="仿宋" w:cs="仿宋"/>
          <w:color w:val="000000"/>
          <w:sz w:val="24"/>
          <w:szCs w:val="24"/>
        </w:rPr>
      </w:pPr>
      <w:bookmarkStart w:id="61" w:name="_Toc7129"/>
      <w:bookmarkStart w:id="62" w:name="_Toc4155"/>
      <w:bookmarkStart w:id="63" w:name="_Toc287600122"/>
      <w:bookmarkStart w:id="64" w:name="_Toc444891340"/>
      <w:bookmarkStart w:id="65" w:name="_Toc14726"/>
      <w:bookmarkStart w:id="66" w:name="_Toc18673"/>
      <w:bookmarkStart w:id="67" w:name="_Toc19783317"/>
      <w:bookmarkStart w:id="68" w:name="_Toc517281820"/>
      <w:bookmarkStart w:id="69" w:name="_Toc21600"/>
      <w:bookmarkStart w:id="70" w:name="_Toc17865"/>
      <w:bookmarkStart w:id="71" w:name="_Toc20424"/>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（2）纸质响应文件逾期递交或者未送达指定地点或者未按照比价文件要求封装的；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）未按比价公告或者响应公告书要求获得本项目比价文件的。</w:t>
      </w:r>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比价文件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，应当在响应文件递交截止时间前按照比价文件的规定进行递交。</w:t>
      </w:r>
    </w:p>
    <w:p>
      <w:pPr>
        <w:pStyle w:val="188"/>
        <w:spacing w:line="360" w:lineRule="auto"/>
      </w:pPr>
      <w:bookmarkStart w:id="72" w:name="_Toc247085716"/>
      <w:bookmarkStart w:id="73" w:name="_Toc152045558"/>
      <w:bookmarkStart w:id="74" w:name="_Toc144974526"/>
      <w:bookmarkStart w:id="75" w:name="_Toc152042334"/>
      <w:bookmarkStart w:id="76" w:name="_Toc246996202"/>
      <w:bookmarkStart w:id="77" w:name="_Toc334766948"/>
      <w:bookmarkStart w:id="78" w:name="_Toc179632576"/>
      <w:bookmarkStart w:id="79" w:name="_Toc332188194"/>
      <w:bookmarkStart w:id="80" w:name="_Toc326223561"/>
      <w:bookmarkStart w:id="81" w:name="_Toc246996945"/>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响应文件递交截止时间后，供应商在响应有效期内撤销其响应文件，比价保证金不予退还。</w:t>
      </w:r>
    </w:p>
    <w:p>
      <w:pPr>
        <w:pStyle w:val="201"/>
        <w:spacing w:before="0" w:after="0" w:line="360" w:lineRule="auto"/>
        <w:ind w:firstLine="482"/>
        <w:rPr>
          <w:rFonts w:ascii="仿宋" w:hAnsi="仿宋" w:eastAsia="仿宋" w:cs="仿宋"/>
          <w:color w:val="000000"/>
          <w:sz w:val="24"/>
          <w:szCs w:val="24"/>
        </w:rPr>
      </w:pPr>
      <w:bookmarkStart w:id="82" w:name="_Toc444891341"/>
      <w:bookmarkStart w:id="83" w:name="_Toc11361"/>
      <w:bookmarkStart w:id="84" w:name="_Toc517281821"/>
      <w:bookmarkStart w:id="85" w:name="_Toc287600123"/>
      <w:bookmarkStart w:id="86" w:name="_Toc12797"/>
      <w:bookmarkStart w:id="87" w:name="_Toc20741"/>
      <w:bookmarkStart w:id="88" w:name="_Toc2636"/>
      <w:bookmarkStart w:id="89" w:name="_Toc30466"/>
      <w:bookmarkStart w:id="90" w:name="_Toc2055"/>
      <w:bookmarkStart w:id="91" w:name="_Toc3904"/>
      <w:r>
        <w:rPr>
          <w:rFonts w:hint="eastAsia" w:ascii="仿宋" w:hAnsi="仿宋" w:eastAsia="仿宋" w:cs="仿宋"/>
          <w:color w:val="000000"/>
          <w:sz w:val="24"/>
          <w:szCs w:val="24"/>
        </w:rPr>
        <w:t>（五）比价和评审</w:t>
      </w:r>
      <w:bookmarkEnd w:id="82"/>
      <w:bookmarkEnd w:id="83"/>
      <w:bookmarkEnd w:id="84"/>
      <w:bookmarkEnd w:id="85"/>
      <w:bookmarkEnd w:id="86"/>
      <w:bookmarkEnd w:id="87"/>
      <w:bookmarkEnd w:id="88"/>
      <w:bookmarkEnd w:id="89"/>
      <w:bookmarkEnd w:id="90"/>
      <w:bookmarkEnd w:id="91"/>
    </w:p>
    <w:p>
      <w:pPr>
        <w:pStyle w:val="202"/>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比价小组</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采购人依照企业采购管理制度的相关规定组建比价小组，具体人数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，比价小组成员名单在成交结果确定前保密。</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比价小组成员应当按照客观、公正、审慎的原则，根据比价文件规定的评审程序、评审方法和评审标准进行独立评审。</w:t>
      </w:r>
    </w:p>
    <w:p>
      <w:pPr>
        <w:pStyle w:val="202"/>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比价小组按照第三章评审办法中初步评审的内容及要求，对响应文件进行初步评审。未通过初步评审的供应商，其比价响应将被否决，不进入详细评审等后续环节。</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，比价小组有权对其响应做否决处理。</w:t>
      </w:r>
    </w:p>
    <w:p>
      <w:pPr>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比价小组必要时可以要求供应商提交有关证明和证件的原件，以便核验。拒不按要求提供原件的供应商，</w:t>
      </w:r>
      <w:r>
        <w:rPr>
          <w:rFonts w:hint="eastAsia" w:ascii="仿宋" w:hAnsi="仿宋" w:eastAsia="仿宋" w:cs="仿宋"/>
          <w:b/>
          <w:bCs/>
        </w:rPr>
        <w:t>比价小组有权对其响应做否决处理。</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比价程序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比价小组可视情况要求供应商进行多轮比价及报价。比价中，任何一方不得向第三方透露与比价有关的任何信息。</w:t>
      </w:r>
      <w:bookmarkEnd w:id="93"/>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bookmarkEnd w:id="94"/>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家（不含本数）；</w:t>
      </w:r>
    </w:p>
    <w:p>
      <w:pPr>
        <w:spacing w:line="360" w:lineRule="auto"/>
        <w:rPr>
          <w:rFonts w:ascii="仿宋" w:hAnsi="仿宋" w:eastAsia="仿宋" w:cs="仿宋"/>
          <w:color w:val="000000"/>
        </w:rPr>
      </w:pPr>
      <w:r>
        <w:rPr>
          <w:rFonts w:hint="eastAsia" w:ascii="仿宋" w:hAnsi="仿宋" w:eastAsia="仿宋" w:cs="仿宋"/>
          <w:color w:val="000000"/>
        </w:rPr>
        <w:t xml:space="preserve">（4）因重大变故，采购任务取消。 </w:t>
      </w:r>
    </w:p>
    <w:p>
      <w:pPr>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成交候选人的经营、财务状况发生较大变化或者存在违法行为，采购人认为可能影响其履约能力的，应当在发出成交通知书前由原比价小组按照比价文件规定的标准和方法审查确认。</w:t>
      </w:r>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未在响应文件中提及和承诺，但又未明确书面提出异议的事项，按本比价比价邀请函的有关要求执行。</w:t>
      </w:r>
    </w:p>
    <w:p>
      <w:pPr>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比价文件及附件之著作权受中国法律保护，所有文件仅限于供应商参加本次采购比价使用，任何用于其他目的之复制或引用均应事先获得采购方书面许可。</w:t>
      </w:r>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188"/>
        <w:spacing w:after="0" w:line="360" w:lineRule="auto"/>
        <w:ind w:right="-57" w:firstLine="48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88"/>
        <w:spacing w:after="0" w:line="360" w:lineRule="auto"/>
        <w:ind w:right="-57" w:firstLine="424"/>
        <w:rPr>
          <w:rFonts w:ascii="仿宋_GB2312" w:hAnsi="宋体" w:eastAsia="仿宋_GB2312"/>
        </w:rPr>
      </w:pPr>
      <w:bookmarkStart w:id="95" w:name="_Toc13936"/>
      <w:bookmarkStart w:id="96" w:name="_Toc234223231"/>
      <w:bookmarkStart w:id="97" w:name="_Toc19451"/>
      <w:bookmarkStart w:id="98" w:name="_Toc2322"/>
      <w:bookmarkStart w:id="99" w:name="_Toc9911"/>
      <w:bookmarkStart w:id="100" w:name="_Toc444891342"/>
      <w:bookmarkStart w:id="101" w:name="_Toc16781"/>
      <w:bookmarkStart w:id="102" w:name="_Toc287600124"/>
      <w:bookmarkStart w:id="103" w:name="_Toc517281822"/>
      <w:bookmarkStart w:id="104" w:name="_Toc28031"/>
      <w:r>
        <w:rPr>
          <w:rFonts w:hint="eastAsia" w:ascii="仿宋_GB2312" w:hAnsi="宋体" w:eastAsia="仿宋_GB2312"/>
        </w:rPr>
        <w:t>（1）成交候选供应商存在违法、违纪行为的；</w:t>
      </w:r>
    </w:p>
    <w:p>
      <w:pPr>
        <w:pStyle w:val="188"/>
        <w:spacing w:after="0" w:line="360" w:lineRule="auto"/>
        <w:ind w:right="-57" w:firstLine="424"/>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188"/>
        <w:spacing w:after="0" w:line="360" w:lineRule="auto"/>
        <w:ind w:right="-57" w:firstLine="424"/>
        <w:rPr>
          <w:rFonts w:ascii="仿宋_GB2312" w:hAnsi="宋体" w:eastAsia="仿宋_GB2312"/>
        </w:rPr>
      </w:pPr>
      <w:r>
        <w:rPr>
          <w:rFonts w:hint="eastAsia" w:ascii="仿宋_GB2312" w:hAnsi="宋体" w:eastAsia="仿宋_GB2312"/>
        </w:rPr>
        <w:t>（3）成交候选供应商书面自愿放弃成交，且无其他非法目的的；</w:t>
      </w:r>
    </w:p>
    <w:p>
      <w:pPr>
        <w:pStyle w:val="188"/>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188"/>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188"/>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188"/>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188"/>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188"/>
        <w:spacing w:after="0" w:line="360" w:lineRule="auto"/>
        <w:ind w:right="-57" w:firstLine="424"/>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188"/>
        <w:spacing w:after="0" w:line="360" w:lineRule="auto"/>
        <w:ind w:right="-57" w:firstLine="424"/>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188"/>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201"/>
        <w:spacing w:before="0" w:after="0" w:line="360" w:lineRule="auto"/>
        <w:ind w:firstLine="482"/>
        <w:rPr>
          <w:rFonts w:ascii="仿宋" w:hAnsi="仿宋" w:eastAsia="仿宋" w:cs="仿宋"/>
          <w:color w:val="000000"/>
          <w:sz w:val="24"/>
          <w:szCs w:val="24"/>
        </w:rPr>
      </w:pPr>
      <w:bookmarkStart w:id="105" w:name="_Toc31808"/>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202"/>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采购人依据比价小组推荐的成交候选人名单确定成交人，成交人数量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采购人与成交人按照比价文件和成交人的响应文件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比价</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比价文件要求成交人提交履约保证金的，成交人应当按照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193"/>
        <w:spacing w:before="0" w:after="0"/>
        <w:ind w:left="0" w:firstLine="0"/>
        <w:jc w:val="left"/>
        <w:rPr>
          <w:rFonts w:hint="eastAsia" w:ascii="仿宋" w:hAnsi="仿宋" w:eastAsia="仿宋" w:cs="仿宋"/>
          <w:sz w:val="28"/>
          <w:szCs w:val="28"/>
        </w:rPr>
      </w:pPr>
      <w:bookmarkStart w:id="107" w:name="_Toc10670"/>
      <w:bookmarkStart w:id="108" w:name="_Toc563"/>
      <w:bookmarkStart w:id="109" w:name="_Toc8109"/>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pStyle w:val="193"/>
        <w:spacing w:before="0" w:after="0"/>
        <w:ind w:left="0" w:firstLine="0"/>
        <w:jc w:val="left"/>
        <w:rPr>
          <w:rFonts w:hint="eastAsia" w:ascii="仿宋" w:hAnsi="仿宋" w:eastAsia="仿宋" w:cs="仿宋"/>
          <w:sz w:val="28"/>
          <w:szCs w:val="28"/>
        </w:rPr>
      </w:pPr>
    </w:p>
    <w:p>
      <w:pPr>
        <w:pStyle w:val="193"/>
        <w:spacing w:before="0" w:after="0"/>
        <w:ind w:left="0" w:firstLine="0"/>
        <w:jc w:val="left"/>
        <w:rPr>
          <w:rFonts w:hint="eastAsia" w:ascii="仿宋" w:hAnsi="仿宋" w:eastAsia="仿宋" w:cs="仿宋"/>
          <w:sz w:val="28"/>
          <w:szCs w:val="28"/>
        </w:rPr>
      </w:pPr>
    </w:p>
    <w:p>
      <w:pPr>
        <w:pStyle w:val="193"/>
        <w:spacing w:before="0" w:after="0"/>
        <w:ind w:left="0" w:firstLine="0"/>
        <w:jc w:val="center"/>
        <w:rPr>
          <w:rFonts w:ascii="仿宋" w:hAnsi="仿宋" w:eastAsia="仿宋" w:cs="仿宋"/>
          <w:sz w:val="28"/>
          <w:szCs w:val="28"/>
        </w:rPr>
      </w:pPr>
      <w:r>
        <w:rPr>
          <w:rFonts w:hint="eastAsia" w:ascii="仿宋" w:hAnsi="仿宋" w:eastAsia="仿宋" w:cs="仿宋"/>
          <w:sz w:val="28"/>
          <w:szCs w:val="28"/>
        </w:rPr>
        <w:t>第三章 评审办法</w:t>
      </w:r>
      <w:bookmarkEnd w:id="107"/>
      <w:bookmarkEnd w:id="108"/>
    </w:p>
    <w:p>
      <w:pPr>
        <w:pStyle w:val="194"/>
        <w:jc w:val="left"/>
        <w:rPr>
          <w:rFonts w:ascii="仿宋" w:hAnsi="仿宋" w:eastAsia="仿宋" w:cs="仿宋"/>
          <w:color w:val="000000"/>
          <w:sz w:val="24"/>
          <w:szCs w:val="24"/>
        </w:rPr>
      </w:pPr>
      <w:bookmarkStart w:id="110" w:name="_Toc444891344"/>
      <w:bookmarkStart w:id="111" w:name="_Toc517281825"/>
      <w:bookmarkStart w:id="112" w:name="_Toc7201"/>
      <w:bookmarkStart w:id="113" w:name="_Toc23540"/>
      <w:bookmarkStart w:id="114" w:name="_Toc226969358"/>
      <w:bookmarkStart w:id="115" w:name="_Toc227057964"/>
      <w:r>
        <w:rPr>
          <w:rFonts w:hint="eastAsia" w:ascii="仿宋" w:hAnsi="仿宋" w:eastAsia="仿宋" w:cs="仿宋"/>
          <w:color w:val="000000"/>
          <w:sz w:val="24"/>
          <w:szCs w:val="24"/>
        </w:rPr>
        <w:t>一、评审程序</w:t>
      </w:r>
      <w:bookmarkEnd w:id="109"/>
      <w:bookmarkEnd w:id="110"/>
      <w:bookmarkEnd w:id="111"/>
      <w:bookmarkEnd w:id="112"/>
    </w:p>
    <w:p>
      <w:pPr>
        <w:spacing w:line="360" w:lineRule="auto"/>
        <w:ind w:firstLine="480"/>
        <w:rPr>
          <w:rFonts w:ascii="仿宋" w:hAnsi="仿宋" w:eastAsia="仿宋" w:cs="仿宋"/>
          <w:color w:val="000000"/>
        </w:rPr>
      </w:pPr>
      <w:r>
        <w:rPr>
          <w:rFonts w:hint="eastAsia" w:ascii="仿宋" w:hAnsi="仿宋" w:eastAsia="仿宋" w:cs="仿宋"/>
          <w:color w:val="000000"/>
        </w:rPr>
        <w:t>比价小组对响应文件中的相关内容进行评审。评审按照以下程序进行：</w:t>
      </w:r>
    </w:p>
    <w:p>
      <w:pPr>
        <w:spacing w:line="360" w:lineRule="auto"/>
        <w:ind w:firstLine="420"/>
        <w:rPr>
          <w:rFonts w:ascii="仿宋" w:hAnsi="仿宋" w:eastAsia="仿宋" w:cs="仿宋"/>
          <w:color w:val="000000"/>
        </w:rPr>
      </w:pPr>
      <w:r>
        <w:rPr>
          <w:rFonts w:hint="eastAsia" w:ascii="仿宋" w:hAnsi="仿宋" w:eastAsia="仿宋" w:cs="仿宋"/>
          <w:color w:val="000000"/>
        </w:rPr>
        <w:t>1.熟悉比价文件；</w:t>
      </w:r>
    </w:p>
    <w:p>
      <w:pPr>
        <w:spacing w:line="360" w:lineRule="auto"/>
        <w:ind w:firstLine="420"/>
        <w:rPr>
          <w:rFonts w:ascii="仿宋" w:hAnsi="仿宋" w:eastAsia="仿宋" w:cs="仿宋"/>
          <w:color w:val="000000"/>
        </w:rPr>
      </w:pPr>
      <w:r>
        <w:rPr>
          <w:rFonts w:hint="eastAsia" w:ascii="仿宋" w:hAnsi="仿宋" w:eastAsia="仿宋" w:cs="仿宋"/>
          <w:color w:val="000000"/>
        </w:rPr>
        <w:t>2.对响应文件进行初步评审，检查响应文件是否满足比价文件的初审要求；初步评审中不符合评审标准的，将做否决比价响应处理；</w:t>
      </w:r>
    </w:p>
    <w:p>
      <w:pPr>
        <w:spacing w:line="360" w:lineRule="auto"/>
        <w:ind w:firstLine="420"/>
        <w:rPr>
          <w:rFonts w:ascii="仿宋" w:hAnsi="仿宋" w:eastAsia="仿宋" w:cs="仿宋"/>
          <w:color w:val="000000"/>
        </w:rPr>
      </w:pPr>
      <w:r>
        <w:rPr>
          <w:rFonts w:hint="eastAsia" w:ascii="仿宋" w:hAnsi="仿宋" w:eastAsia="仿宋" w:cs="仿宋"/>
          <w:color w:val="000000"/>
        </w:rPr>
        <w:t>3.供应商有以下情形之一的，比价小组应当否决其比价响应：</w:t>
      </w:r>
    </w:p>
    <w:p>
      <w:pPr>
        <w:spacing w:line="360" w:lineRule="auto"/>
        <w:ind w:firstLine="420"/>
        <w:rPr>
          <w:rFonts w:ascii="仿宋" w:hAnsi="仿宋" w:eastAsia="仿宋" w:cs="仿宋"/>
        </w:rPr>
      </w:pPr>
      <w:r>
        <w:rPr>
          <w:rFonts w:hint="eastAsia" w:ascii="仿宋" w:hAnsi="仿宋" w:eastAsia="仿宋" w:cs="仿宋"/>
        </w:rPr>
        <w:t>（1）按照比价公告要求已经递交电子响应文件，但未按要求递交纸质响应文件；</w:t>
      </w:r>
    </w:p>
    <w:p>
      <w:pPr>
        <w:spacing w:line="360" w:lineRule="auto"/>
        <w:ind w:firstLine="420"/>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rPr>
          <w:rFonts w:ascii="仿宋" w:hAnsi="仿宋" w:eastAsia="仿宋" w:cs="仿宋"/>
        </w:rPr>
      </w:pPr>
      <w:r>
        <w:rPr>
          <w:rFonts w:hint="eastAsia" w:ascii="仿宋" w:hAnsi="仿宋" w:eastAsia="仿宋" w:cs="仿宋"/>
        </w:rPr>
        <w:t>（4）不符合国家或者比价文件规定的资格条件；</w:t>
      </w:r>
    </w:p>
    <w:p>
      <w:pPr>
        <w:spacing w:line="360" w:lineRule="auto"/>
        <w:ind w:firstLine="420"/>
        <w:rPr>
          <w:rFonts w:ascii="仿宋" w:hAnsi="仿宋" w:eastAsia="仿宋" w:cs="仿宋"/>
        </w:rPr>
      </w:pPr>
      <w:r>
        <w:rPr>
          <w:rFonts w:hint="eastAsia" w:ascii="仿宋" w:hAnsi="仿宋" w:eastAsia="仿宋" w:cs="仿宋"/>
        </w:rPr>
        <w:t>（5）同一供应商提交两个以上不同的响应文件或者响应报价，但比价文件要求提交备选文件的除外；</w:t>
      </w:r>
    </w:p>
    <w:p>
      <w:pPr>
        <w:spacing w:line="360" w:lineRule="auto"/>
        <w:ind w:firstLine="420"/>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最终报价低于成本或者高于比价文件设定的最高投标限价；</w:t>
      </w:r>
    </w:p>
    <w:p>
      <w:pP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p>
    <w:p>
      <w:pPr>
        <w:spacing w:line="360" w:lineRule="auto"/>
        <w:ind w:firstLine="420"/>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rPr>
          <w:rFonts w:ascii="仿宋" w:hAnsi="仿宋" w:eastAsia="仿宋" w:cs="宋体"/>
          <w:color w:val="000000"/>
        </w:rPr>
      </w:pPr>
      <w:r>
        <w:rPr>
          <w:rFonts w:hint="eastAsia" w:ascii="仿宋" w:hAnsi="仿宋" w:eastAsia="仿宋" w:cs="宋体"/>
          <w:color w:val="000000"/>
        </w:rPr>
        <w:t>（11）不符合比价文件中规定的其他实质性要求。</w:t>
      </w:r>
    </w:p>
    <w:p>
      <w:pPr>
        <w:spacing w:line="360" w:lineRule="auto"/>
        <w:ind w:firstLine="420"/>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内容允许在比价过程中按比价小组规定的时间内补充，若未在规定时间内补充则将导致响应无效。</w:t>
      </w:r>
    </w:p>
    <w:p>
      <w:pPr>
        <w:spacing w:line="360" w:lineRule="auto"/>
        <w:ind w:firstLine="420"/>
        <w:rPr>
          <w:rFonts w:ascii="仿宋" w:hAnsi="仿宋" w:eastAsia="仿宋" w:cs="仿宋"/>
        </w:rPr>
      </w:pPr>
      <w:r>
        <w:rPr>
          <w:rFonts w:hint="eastAsia" w:ascii="仿宋" w:hAnsi="仿宋" w:eastAsia="仿宋" w:cs="仿宋"/>
        </w:rPr>
        <w:t>5.通过初步评审的供应商分别进行比价；</w:t>
      </w:r>
    </w:p>
    <w:p>
      <w:pPr>
        <w:spacing w:line="360" w:lineRule="auto"/>
        <w:ind w:firstLine="420"/>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rPr>
          <w:rFonts w:ascii="仿宋" w:hAnsi="仿宋" w:eastAsia="仿宋" w:cs="仿宋"/>
          <w:color w:val="000000"/>
        </w:rPr>
      </w:pPr>
      <w:bookmarkStart w:id="116" w:name="_Toc444891345"/>
      <w:bookmarkStart w:id="117" w:name="_Toc517281826"/>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pPr>
        <w:pStyle w:val="194"/>
        <w:jc w:val="left"/>
        <w:rPr>
          <w:rFonts w:ascii="仿宋" w:hAnsi="仿宋" w:eastAsia="仿宋" w:cs="仿宋"/>
          <w:color w:val="000000"/>
          <w:sz w:val="24"/>
          <w:szCs w:val="24"/>
        </w:rPr>
      </w:pPr>
      <w:r>
        <w:rPr>
          <w:rFonts w:hint="eastAsia" w:ascii="仿宋" w:hAnsi="仿宋" w:eastAsia="仿宋" w:cs="仿宋"/>
          <w:color w:val="000000"/>
          <w:sz w:val="24"/>
          <w:szCs w:val="24"/>
        </w:rPr>
        <w:br w:type="page" w:clear="all"/>
      </w:r>
      <w:bookmarkStart w:id="118" w:name="_Toc32019"/>
      <w:bookmarkStart w:id="119" w:name="_Toc21652"/>
      <w:r>
        <w:rPr>
          <w:rFonts w:hint="eastAsia" w:ascii="仿宋" w:hAnsi="仿宋" w:eastAsia="仿宋" w:cs="仿宋"/>
          <w:color w:val="000000"/>
          <w:sz w:val="24"/>
          <w:szCs w:val="24"/>
        </w:rPr>
        <w:t>二、初步评审</w:t>
      </w:r>
      <w:bookmarkEnd w:id="113"/>
      <w:bookmarkEnd w:id="114"/>
      <w:bookmarkEnd w:id="115"/>
      <w:bookmarkEnd w:id="116"/>
      <w:bookmarkEnd w:id="117"/>
      <w:bookmarkEnd w:id="118"/>
    </w:p>
    <w:tbl>
      <w:tblPr>
        <w:tblStyle w:val="28"/>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1169"/>
        <w:gridCol w:w="2660"/>
        <w:gridCol w:w="536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336" w:type="pct"/>
            <w:vMerge w:val="restar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pStyle w:val="203"/>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204"/>
              <w:tabs>
                <w:tab w:val="left" w:pos="630"/>
              </w:tabs>
              <w:spacing w:before="62" w:after="62"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pStyle w:val="203"/>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203"/>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198"/>
              <w:spacing w:before="62" w:after="62"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028"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lang w:eastAsia="zh-CN"/>
              </w:rPr>
              <w:t>提供</w:t>
            </w:r>
            <w:r>
              <w:rPr>
                <w:rFonts w:hint="eastAsia" w:ascii="仿宋" w:hAnsi="仿宋" w:eastAsia="仿宋" w:cs="Cambria Math"/>
                <w:color w:val="000000"/>
                <w:sz w:val="22"/>
                <w:szCs w:val="21"/>
              </w:rPr>
              <w:t>依法缴纳税收和社会保障资金的良好记录</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336" w:type="pct"/>
            <w:vMerge w:val="restar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593" w:type="pct"/>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1349"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2720" w:type="pct"/>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bookmarkEnd w:id="119"/>
          </w:p>
        </w:tc>
      </w:tr>
    </w:tbl>
    <w:p>
      <w:pPr>
        <w:pStyle w:val="193"/>
        <w:numPr>
          <w:ilvl w:val="0"/>
          <w:numId w:val="0"/>
        </w:numPr>
        <w:spacing w:before="0" w:after="0"/>
        <w:jc w:val="center"/>
        <w:rPr>
          <w:rFonts w:hint="eastAsia" w:ascii="仿宋_GB2312" w:hAnsi="仿宋_GB2312" w:eastAsia="仿宋_GB2312" w:cs="仿宋_GB2312"/>
          <w:color w:val="000000"/>
          <w:sz w:val="28"/>
          <w:szCs w:val="28"/>
          <w:lang w:val="en-US" w:eastAsia="zh-CN"/>
        </w:rPr>
      </w:pPr>
      <w:bookmarkStart w:id="120" w:name="_Toc16129"/>
      <w:bookmarkStart w:id="121" w:name="_Toc7990"/>
      <w:r>
        <w:rPr>
          <w:rFonts w:hint="eastAsia" w:ascii="仿宋_GB2312" w:hAnsi="仿宋_GB2312" w:eastAsia="仿宋_GB2312" w:cs="仿宋_GB2312"/>
          <w:color w:val="000000"/>
          <w:sz w:val="28"/>
          <w:szCs w:val="28"/>
          <w:lang w:val="en-US" w:eastAsia="zh-CN"/>
        </w:rPr>
        <w:t xml:space="preserve">第四章 </w:t>
      </w:r>
      <w:r>
        <w:rPr>
          <w:rFonts w:hint="eastAsia" w:ascii="仿宋_GB2312" w:hAnsi="仿宋_GB2312" w:eastAsia="仿宋_GB2312" w:cs="仿宋_GB2312"/>
          <w:color w:val="000000"/>
          <w:sz w:val="28"/>
          <w:szCs w:val="28"/>
        </w:rPr>
        <w:t>合同条</w:t>
      </w:r>
      <w:r>
        <w:rPr>
          <w:rFonts w:hint="eastAsia" w:ascii="仿宋_GB2312" w:hAnsi="仿宋_GB2312" w:eastAsia="仿宋_GB2312" w:cs="仿宋_GB2312"/>
          <w:color w:val="000000"/>
          <w:sz w:val="28"/>
          <w:szCs w:val="28"/>
          <w:lang w:val="en-US" w:eastAsia="zh-CN"/>
        </w:rPr>
        <w:t>款</w:t>
      </w:r>
      <w:bookmarkEnd w:id="120"/>
      <w:bookmarkEnd w:id="121"/>
    </w:p>
    <w:p>
      <w:pPr>
        <w:pStyle w:val="193"/>
        <w:spacing w:before="0" w:after="0" w:line="560" w:lineRule="exact"/>
        <w:ind w:left="0" w:firstLine="0"/>
        <w:jc w:val="center"/>
        <w:rPr>
          <w:rFonts w:hint="eastAsia" w:ascii="仿宋_GB2312" w:hAnsi="仿宋_GB2312" w:eastAsia="仿宋_GB2312" w:cs="仿宋_GB2312"/>
          <w:color w:val="000000"/>
          <w:sz w:val="28"/>
          <w:szCs w:val="28"/>
          <w:lang w:val="en-US" w:eastAsia="zh-CN"/>
        </w:rPr>
      </w:pPr>
      <w:bookmarkStart w:id="122" w:name="_Toc4829"/>
      <w:bookmarkStart w:id="123" w:name="_Toc4352"/>
      <w:r>
        <w:rPr>
          <w:rFonts w:hint="eastAsia" w:ascii="仿宋_GB2312" w:hAnsi="仿宋_GB2312" w:eastAsia="仿宋_GB2312" w:cs="仿宋_GB2312"/>
          <w:color w:val="000000"/>
          <w:sz w:val="28"/>
          <w:szCs w:val="28"/>
        </w:rPr>
        <w:t>人保财险四川省资阳市</w:t>
      </w:r>
      <w:r>
        <w:rPr>
          <w:rFonts w:hint="eastAsia" w:ascii="仿宋_GB2312" w:hAnsi="仿宋_GB2312" w:eastAsia="仿宋_GB2312" w:cs="仿宋_GB2312"/>
          <w:color w:val="000000"/>
          <w:sz w:val="28"/>
          <w:szCs w:val="28"/>
          <w:lang w:eastAsia="zh-CN"/>
        </w:rPr>
        <w:t>分</w:t>
      </w:r>
      <w:r>
        <w:rPr>
          <w:rFonts w:hint="eastAsia" w:ascii="仿宋_GB2312" w:hAnsi="仿宋_GB2312" w:eastAsia="仿宋_GB2312" w:cs="仿宋_GB2312"/>
          <w:color w:val="000000"/>
          <w:sz w:val="28"/>
          <w:szCs w:val="28"/>
        </w:rPr>
        <w:t>公司</w:t>
      </w:r>
      <w:bookmarkEnd w:id="122"/>
      <w:bookmarkStart w:id="124" w:name="_Toc1236"/>
      <w:r>
        <w:rPr>
          <w:rFonts w:hint="eastAsia" w:ascii="仿宋_GB2312" w:hAnsi="仿宋_GB2312" w:eastAsia="仿宋_GB2312" w:cs="仿宋_GB2312"/>
          <w:color w:val="000000"/>
          <w:sz w:val="28"/>
          <w:szCs w:val="28"/>
          <w:lang w:val="en-US" w:eastAsia="zh-CN"/>
        </w:rPr>
        <w:t>线上服务团队</w:t>
      </w:r>
      <w:bookmarkEnd w:id="123"/>
    </w:p>
    <w:p>
      <w:pPr>
        <w:pStyle w:val="193"/>
        <w:spacing w:before="0" w:after="0" w:line="560" w:lineRule="exact"/>
        <w:ind w:left="0" w:firstLine="0"/>
        <w:jc w:val="center"/>
        <w:rPr>
          <w:rFonts w:hint="eastAsia" w:ascii="仿宋_GB2312" w:hAnsi="仿宋_GB2312" w:eastAsia="仿宋_GB2312" w:cs="仿宋_GB2312"/>
          <w:color w:val="000000"/>
          <w:sz w:val="28"/>
          <w:szCs w:val="28"/>
        </w:rPr>
      </w:pPr>
      <w:bookmarkStart w:id="125" w:name="_Toc31902"/>
      <w:r>
        <w:rPr>
          <w:rFonts w:hint="eastAsia" w:ascii="仿宋_GB2312" w:hAnsi="仿宋_GB2312" w:eastAsia="仿宋_GB2312" w:cs="仿宋_GB2312"/>
          <w:color w:val="000000"/>
          <w:sz w:val="28"/>
          <w:szCs w:val="28"/>
          <w:lang w:val="en-US" w:eastAsia="zh-CN"/>
        </w:rPr>
        <w:t>邮政银行播放机车险宣传</w:t>
      </w:r>
      <w:r>
        <w:rPr>
          <w:rFonts w:hint="eastAsia" w:ascii="仿宋_GB2312" w:hAnsi="仿宋_GB2312" w:eastAsia="仿宋_GB2312" w:cs="仿宋_GB2312"/>
          <w:color w:val="000000"/>
          <w:sz w:val="28"/>
          <w:szCs w:val="28"/>
        </w:rPr>
        <w:t>采购项目</w:t>
      </w:r>
      <w:bookmarkEnd w:id="124"/>
      <w:bookmarkEnd w:id="125"/>
    </w:p>
    <w:p>
      <w:pPr>
        <w:jc w:val="center"/>
        <w:rPr>
          <w:rFonts w:hint="eastAsia" w:ascii="仿宋_GB2312" w:hAnsi="仿宋_GB2312" w:eastAsia="仿宋_GB2312" w:cs="仿宋_GB2312"/>
        </w:rPr>
      </w:pP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甲方（买方）:</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中国人民财产保险股份有限公司资阳市分公司</w:t>
      </w:r>
    </w:p>
    <w:p>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地址:</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四川省资阳市雁江区宝台镇黄泥村弘城水韵和中城建·新城市广场(一期)25 号楼 25(F)</w:t>
      </w:r>
    </w:p>
    <w:p>
      <w:pPr>
        <w:spacing w:line="360" w:lineRule="auto"/>
        <w:rPr>
          <w:rFonts w:hint="eastAsia" w:ascii="仿宋_GB2312" w:hAnsi="仿宋_GB2312" w:eastAsia="仿宋_GB2312" w:cs="仿宋_GB2312"/>
          <w:color w:val="000000"/>
          <w:lang w:val="en-US" w:eastAsia="zh-CN"/>
        </w:rPr>
      </w:pPr>
      <w:r>
        <w:rPr>
          <w:rFonts w:hint="eastAsia" w:ascii="仿宋_GB2312" w:hAnsi="仿宋_GB2312" w:eastAsia="仿宋_GB2312" w:cs="仿宋_GB2312"/>
          <w:color w:val="000000"/>
        </w:rPr>
        <w:t>负责人/授权代表：</w:t>
      </w:r>
      <w:r>
        <w:rPr>
          <w:rFonts w:hint="eastAsia" w:ascii="仿宋_GB2312" w:hAnsi="仿宋_GB2312" w:eastAsia="仿宋_GB2312" w:cs="仿宋_GB2312"/>
          <w:color w:val="000000"/>
          <w:lang w:eastAsia="zh-CN"/>
        </w:rPr>
        <w:t>苏丹</w:t>
      </w: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 xml:space="preserve">     </w:t>
      </w:r>
    </w:p>
    <w:p>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乙方（卖方）:</w:t>
      </w:r>
      <w:r>
        <w:rPr>
          <w:rFonts w:hint="eastAsia" w:ascii="仿宋_GB2312" w:hAnsi="仿宋_GB2312" w:eastAsia="仿宋_GB2312" w:cs="仿宋_GB2312"/>
        </w:rPr>
        <w:t xml:space="preserve"> </w:t>
      </w:r>
    </w:p>
    <w:p>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color w:val="000000"/>
        </w:rPr>
        <w:t xml:space="preserve">地址: </w:t>
      </w: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法定代表人：</w:t>
      </w:r>
    </w:p>
    <w:p>
      <w:pPr>
        <w:spacing w:line="360" w:lineRule="auto"/>
        <w:rPr>
          <w:rFonts w:hint="eastAsia" w:ascii="仿宋_GB2312" w:hAnsi="仿宋_GB2312" w:eastAsia="仿宋_GB2312" w:cs="仿宋_GB2312"/>
          <w:color w:val="000000"/>
        </w:rPr>
      </w:pPr>
    </w:p>
    <w:p>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鉴于</w:t>
      </w:r>
      <w:r>
        <w:rPr>
          <w:rFonts w:hint="eastAsia" w:ascii="仿宋_GB2312" w:hAnsi="仿宋_GB2312" w:eastAsia="仿宋_GB2312" w:cs="仿宋_GB2312"/>
          <w:color w:val="000000"/>
        </w:rPr>
        <w:t>：</w:t>
      </w:r>
    </w:p>
    <w:p>
      <w:pPr>
        <w:spacing w:line="360" w:lineRule="auto"/>
        <w:rPr>
          <w:rFonts w:hint="eastAsia" w:ascii="仿宋_GB2312" w:hAnsi="仿宋_GB2312" w:eastAsia="仿宋_GB2312" w:cs="仿宋_GB2312"/>
        </w:rPr>
      </w:pPr>
      <w:r>
        <w:rPr>
          <w:rFonts w:hint="eastAsia" w:ascii="仿宋_GB2312" w:hAnsi="仿宋_GB2312" w:eastAsia="仿宋_GB2312" w:cs="仿宋_GB2312"/>
        </w:rPr>
        <w:t xml:space="preserve">    本合同双方当事人（1）均为依照中华人民共和国法律成立并有效存续的独立民事主体，（2）并且已经获得签署本合同的相应授权，（3）具备履行本合同所必须的资质和条件。 </w:t>
      </w:r>
    </w:p>
    <w:p>
      <w:pPr>
        <w:spacing w:line="360" w:lineRule="auto"/>
        <w:ind w:firstLine="470"/>
        <w:rPr>
          <w:rFonts w:hint="eastAsia" w:ascii="仿宋_GB2312" w:hAnsi="仿宋_GB2312" w:eastAsia="仿宋_GB2312" w:cs="仿宋_GB2312"/>
          <w:bCs/>
        </w:rPr>
      </w:pPr>
      <w:r>
        <w:rPr>
          <w:rFonts w:hint="eastAsia" w:ascii="仿宋_GB2312" w:hAnsi="仿宋_GB2312" w:eastAsia="仿宋_GB2312" w:cs="仿宋_GB2312"/>
          <w:bCs/>
        </w:rPr>
        <w:t>为保障双方的合法权益，根据《中华人民共和国合同法》及相关法律法规的规定,</w:t>
      </w:r>
      <w:r>
        <w:rPr>
          <w:rFonts w:hint="eastAsia" w:ascii="仿宋_GB2312" w:hAnsi="仿宋_GB2312" w:eastAsia="仿宋_GB2312" w:cs="仿宋_GB2312"/>
        </w:rPr>
        <w:t xml:space="preserve"> 甲、乙双方在平等互利、协商一致的基础上，达成协议如下，以资共同遵照执行。</w:t>
      </w:r>
    </w:p>
    <w:p>
      <w:pPr>
        <w:spacing w:line="360" w:lineRule="auto"/>
        <w:rPr>
          <w:rFonts w:hint="eastAsia" w:ascii="仿宋_GB2312" w:hAnsi="仿宋_GB2312" w:eastAsia="仿宋_GB2312" w:cs="仿宋_GB2312"/>
          <w:b/>
        </w:rPr>
      </w:pP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第一部分 商务部分</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1.服务内容及要求</w:t>
      </w:r>
    </w:p>
    <w:p>
      <w:pPr>
        <w:pStyle w:val="205"/>
        <w:ind w:left="420" w:firstLine="0"/>
        <w:jc w:val="left"/>
        <w:rPr>
          <w:rFonts w:hint="eastAsia" w:ascii="仿宋_GB2312" w:hAnsi="仿宋_GB2312" w:eastAsia="仿宋_GB2312" w:cs="仿宋_GB2312"/>
          <w:sz w:val="24"/>
        </w:rPr>
      </w:pPr>
      <w:r>
        <w:rPr>
          <w:rFonts w:hint="eastAsia" w:ascii="仿宋_GB2312" w:hAnsi="仿宋_GB2312" w:eastAsia="仿宋_GB2312" w:cs="仿宋_GB2312"/>
          <w:sz w:val="24"/>
        </w:rPr>
        <w:t>本合同项下甲乙双方约定的项目内容及要求见本合同【附件一】。</w:t>
      </w:r>
    </w:p>
    <w:p>
      <w:pPr>
        <w:pStyle w:val="205"/>
        <w:ind w:left="420" w:firstLine="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2. 合同价格</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2.1 本合同</w:t>
      </w:r>
      <w:r>
        <w:rPr>
          <w:rFonts w:hint="eastAsia" w:ascii="仿宋_GB2312" w:hAnsi="仿宋_GB2312" w:eastAsia="仿宋_GB2312" w:cs="仿宋_GB2312"/>
          <w:lang w:eastAsia="zh-CN"/>
        </w:rPr>
        <w:t>单价</w:t>
      </w:r>
      <w:r>
        <w:rPr>
          <w:rFonts w:hint="eastAsia" w:ascii="仿宋_GB2312" w:hAnsi="仿宋_GB2312" w:eastAsia="仿宋_GB2312" w:cs="仿宋_GB2312"/>
          <w:lang w:val="en-US" w:eastAsia="zh-CN"/>
        </w:rPr>
        <w:t>**元，</w:t>
      </w:r>
      <w:r>
        <w:rPr>
          <w:rFonts w:hint="eastAsia" w:ascii="仿宋_GB2312" w:hAnsi="仿宋_GB2312" w:eastAsia="仿宋_GB2312" w:cs="仿宋_GB2312"/>
          <w:lang w:eastAsia="zh-CN"/>
        </w:rPr>
        <w:t>宣传</w:t>
      </w:r>
      <w:r>
        <w:rPr>
          <w:rFonts w:hint="eastAsia" w:ascii="仿宋_GB2312" w:hAnsi="仿宋_GB2312" w:eastAsia="仿宋_GB2312" w:cs="仿宋_GB2312"/>
        </w:rPr>
        <w:t>项目价格明细及活动时间见【附件二】。</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2.2 本合同</w:t>
      </w:r>
      <w:r>
        <w:rPr>
          <w:rFonts w:hint="eastAsia" w:ascii="仿宋_GB2312" w:hAnsi="仿宋_GB2312" w:eastAsia="仿宋_GB2312" w:cs="仿宋_GB2312"/>
          <w:lang w:eastAsia="zh-CN"/>
        </w:rPr>
        <w:t>宣传</w:t>
      </w:r>
      <w:r>
        <w:rPr>
          <w:rFonts w:hint="eastAsia" w:ascii="仿宋_GB2312" w:hAnsi="仿宋_GB2312" w:eastAsia="仿宋_GB2312" w:cs="仿宋_GB2312"/>
        </w:rPr>
        <w:t>费用包括但不限于乙方向甲方提供</w:t>
      </w:r>
      <w:r>
        <w:rPr>
          <w:rFonts w:hint="eastAsia" w:ascii="仿宋_GB2312" w:hAnsi="仿宋_GB2312" w:eastAsia="仿宋_GB2312" w:cs="仿宋_GB2312"/>
          <w:lang w:eastAsia="zh-CN"/>
        </w:rPr>
        <w:t>宣传</w:t>
      </w:r>
      <w:r>
        <w:rPr>
          <w:rFonts w:hint="eastAsia" w:ascii="仿宋_GB2312" w:hAnsi="仿宋_GB2312" w:eastAsia="仿宋_GB2312" w:cs="仿宋_GB2312"/>
        </w:rPr>
        <w:t>所收取的劳务费、乙方按照法律规定应当缴纳的税款等因本合同而发生的费用。除合同</w:t>
      </w:r>
      <w:r>
        <w:rPr>
          <w:rFonts w:hint="eastAsia" w:ascii="仿宋_GB2312" w:hAnsi="仿宋_GB2312" w:eastAsia="仿宋_GB2312" w:cs="仿宋_GB2312"/>
          <w:lang w:eastAsia="zh-CN"/>
        </w:rPr>
        <w:t>宣传</w:t>
      </w:r>
      <w:r>
        <w:rPr>
          <w:rFonts w:hint="eastAsia" w:ascii="仿宋_GB2312" w:hAnsi="仿宋_GB2312" w:eastAsia="仿宋_GB2312" w:cs="仿宋_GB2312"/>
        </w:rPr>
        <w:t xml:space="preserve">费用总额外，甲方无须就本合同项下乙方的任何义务支付任何额外费用。 </w:t>
      </w:r>
    </w:p>
    <w:p>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2.3 本合同</w:t>
      </w:r>
      <w:r>
        <w:rPr>
          <w:rFonts w:hint="eastAsia" w:ascii="仿宋_GB2312" w:hAnsi="仿宋_GB2312" w:eastAsia="仿宋_GB2312" w:cs="仿宋_GB2312"/>
        </w:rPr>
        <w:t>付款安排见【附件三】。</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bCs/>
        </w:rPr>
        <w:t xml:space="preserve">2.4 </w:t>
      </w:r>
      <w:r>
        <w:rPr>
          <w:rFonts w:hint="eastAsia" w:ascii="仿宋_GB2312" w:hAnsi="仿宋_GB2312" w:eastAsia="仿宋_GB2312" w:cs="仿宋_GB2312"/>
        </w:rPr>
        <w:t>由于乙方未提供或未及时提供足额有效发票，或乙方变更账户信息但未提前通知甲方而导致的付款迟延，甲方不承担任何责任。</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3. 双方的权利和义务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除本合同约定的双方的权利义务外，甲乙双方在本合同项下的其他权利和义务见【附件四】的约定。</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4. 违约责任</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甲、乙任一方或双方违约的，违约一方应当向相对方承担相应的违约责任。违约责任的具体约定见【附件五】。</w:t>
      </w: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第二部分 通用部分</w:t>
      </w:r>
    </w:p>
    <w:p>
      <w:pPr>
        <w:spacing w:line="360" w:lineRule="auto"/>
        <w:ind w:firstLine="482"/>
        <w:jc w:val="both"/>
        <w:rPr>
          <w:rFonts w:hint="eastAsia" w:ascii="仿宋_GB2312" w:hAnsi="仿宋_GB2312" w:eastAsia="仿宋_GB2312" w:cs="仿宋_GB2312"/>
          <w:b/>
          <w:bCs/>
        </w:rPr>
      </w:pPr>
      <w:r>
        <w:rPr>
          <w:rFonts w:hint="eastAsia" w:ascii="仿宋_GB2312" w:hAnsi="仿宋_GB2312" w:eastAsia="仿宋_GB2312" w:cs="仿宋_GB2312"/>
          <w:b/>
          <w:bCs/>
        </w:rPr>
        <w:t>5. 双方的权利和义务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5.1甲方的权利和义务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（1）甲方有权获得本合同项下乙方应提供的全部合格的服务；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（2）甲方有权在合同期内对乙方的产品及服务进行监督；</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（3）乙方未按照合同约定履行义务的，甲方有权采取相应的措施；</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（4）甲方应按照合同约定向乙方支付合同价款；</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（5）甲方享有其它双方约定的权利、承担其它双方约定的义务。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5.2乙方的权利和义务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（1）乙方有权获得甲方支付的合同价款；</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（2）乙方应按照合同约定向甲方提供全部合格的服务；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（3）乙方应当按照合同约定的期限及要求完成项目内容；</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（4） 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（5）乙方享有其它双方约定的权利、承担其它双方约定的义务。</w:t>
      </w:r>
    </w:p>
    <w:p>
      <w:pPr>
        <w:spacing w:line="360" w:lineRule="auto"/>
        <w:ind w:firstLine="480"/>
        <w:rPr>
          <w:rFonts w:hint="eastAsia" w:ascii="仿宋_GB2312" w:hAnsi="仿宋_GB2312" w:eastAsia="仿宋_GB2312" w:cs="仿宋_GB2312"/>
          <w:b/>
          <w:bCs/>
        </w:rPr>
      </w:pPr>
      <w:r>
        <w:rPr>
          <w:rFonts w:hint="eastAsia" w:ascii="仿宋_GB2312" w:hAnsi="仿宋_GB2312" w:eastAsia="仿宋_GB2312" w:cs="仿宋_GB2312"/>
          <w:b/>
          <w:bCs/>
        </w:rPr>
        <w:t>6. 禁止转让</w:t>
      </w:r>
    </w:p>
    <w:p>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未经甲方书面同意，乙方不得将其本合同项下之全部义务或其中一部分义务转让给第三方执行。</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7.权利保证</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rPr>
          <w:rFonts w:hint="eastAsia" w:ascii="仿宋_GB2312" w:hAnsi="仿宋_GB2312" w:eastAsia="仿宋_GB2312" w:cs="仿宋_GB2312"/>
          <w:b/>
          <w:bCs/>
          <w:spacing w:val="24"/>
        </w:rPr>
      </w:pPr>
      <w:r>
        <w:rPr>
          <w:rFonts w:hint="eastAsia" w:ascii="仿宋_GB2312" w:hAnsi="仿宋_GB2312" w:eastAsia="仿宋_GB2312" w:cs="仿宋_GB2312"/>
          <w:b/>
          <w:bCs/>
        </w:rPr>
        <w:t>8. 违约责任</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8.1 由于甲方原因不能按合同约定时间付款的，每延迟10个工作日，甲方按合同应付金额的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%向乙方支付违约金。</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8.2 乙方延迟交付的违约责任</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（1）由于乙方原因造成项目延迟的，每延迟10个工作日，乙方向甲方支付违约金为合同服务费用总额的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（2）由于乙方原因造成项目迟延，经甲方催促后乙方继续延误的，甲方有权单方面解除合同，乙方应按照合同服务费用总额的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%向甲方支付违约金，并赔偿由此引起的甲方全部损失。</w:t>
      </w:r>
    </w:p>
    <w:p>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8.3 验收不合格并且乙方在甲方指定期限内无法完成整改、提交合格的工作成果的，乙方应向甲方支付合同服务费用总额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%的违约金，并赔偿由此引起的甲方全部损失。</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8.4 如果乙方违反本合同约定的保密义务，乙方应向甲方支付相当于合同服务费用总额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w:t>
      </w:r>
      <w:r>
        <w:rPr>
          <w:rFonts w:hint="eastAsia" w:ascii="仿宋_GB2312" w:hAnsi="仿宋_GB2312" w:eastAsia="仿宋_GB2312" w:cs="仿宋_GB2312"/>
        </w:rPr>
        <w:t>的违约金，甲方受到的损失超出违约金的部分，由乙方继续承担赔偿责任。</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8.5 除本合同的约定外，因乙方的违约行为给甲方造成损失的，乙方应向甲方支付相当于合同服务费用总额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w:t>
      </w:r>
      <w:r>
        <w:rPr>
          <w:rFonts w:hint="eastAsia" w:ascii="仿宋_GB2312" w:hAnsi="仿宋_GB2312" w:eastAsia="仿宋_GB2312" w:cs="仿宋_GB2312"/>
        </w:rPr>
        <w:t>的违约金，如甲方受到的损失超过违约金的，超出部分由乙方继续承担赔偿责任。</w:t>
      </w:r>
    </w:p>
    <w:p>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9.  保密义务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9.1 乙方应保证对本合同的所有相关内容及其因履行本合同所获知的各种甲方具有保密性质的信息（包括但不限于经营、管理、商务、技术、营销、发展规划、客户信息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9.2 乙方在本合同中所受领的保密信息应及时返还甲方或在甲方监督下予以销毁。乙方擅自留存备份信息，视为违反保密约定。</w:t>
      </w:r>
    </w:p>
    <w:p>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9.3 无论本合同因何种原因终止，本保密条款依然有效。</w:t>
      </w:r>
    </w:p>
    <w:p>
      <w:pPr>
        <w:keepNext w:val="0"/>
        <w:keepLines w:val="0"/>
        <w:pageBreakBefore w:val="0"/>
        <w:widowControl/>
        <w:bidi w:val="0"/>
        <w:spacing w:line="560" w:lineRule="exact"/>
        <w:ind w:firstLine="482"/>
        <w:rPr>
          <w:rFonts w:hint="eastAsia" w:ascii="仿宋_GB2312" w:hAnsi="仿宋_GB2312" w:eastAsia="仿宋_GB2312" w:cs="仿宋_GB2312"/>
          <w:b/>
          <w:bCs/>
          <w:color w:val="000000"/>
        </w:rPr>
      </w:pPr>
      <w:r>
        <w:rPr>
          <w:rFonts w:hint="eastAsia" w:ascii="仿宋_GB2312" w:hAnsi="仿宋_GB2312" w:eastAsia="仿宋_GB2312" w:cs="仿宋_GB2312"/>
          <w:b/>
          <w:bCs/>
        </w:rPr>
        <w:t>10. 不可抗力</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10.3 合同一方迟延履行后发生不可抗力的，不能免除其责任。</w:t>
      </w:r>
    </w:p>
    <w:p>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10.4 不可抗力因素消除后，双方应立即进行磋商，就不可抗力所造成影响程度甲方有权决定是否继续履行或者终止本合同。如果甲方决定终止合同，如甲方已经付款，乙方应将未交付部分的款项在5日内向甲方返还。</w:t>
      </w:r>
    </w:p>
    <w:p>
      <w:pPr>
        <w:keepNext w:val="0"/>
        <w:keepLines w:val="0"/>
        <w:pageBreakBefore w:val="0"/>
        <w:widowControl/>
        <w:bidi w:val="0"/>
        <w:spacing w:line="560" w:lineRule="exact"/>
        <w:ind w:firstLine="472"/>
        <w:rPr>
          <w:rFonts w:hint="eastAsia" w:ascii="仿宋_GB2312" w:hAnsi="仿宋_GB2312" w:eastAsia="仿宋_GB2312" w:cs="仿宋_GB2312"/>
          <w:b/>
          <w:bCs/>
        </w:rPr>
      </w:pPr>
      <w:r>
        <w:rPr>
          <w:rFonts w:hint="eastAsia" w:ascii="仿宋_GB2312" w:hAnsi="仿宋_GB2312" w:eastAsia="仿宋_GB2312" w:cs="仿宋_GB2312"/>
          <w:b/>
          <w:bCs/>
        </w:rPr>
        <w:t>11．合同变更</w:t>
      </w:r>
    </w:p>
    <w:p>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对本合同的任何变更或补充，须经甲乙双方协商一致，并另行签订书面补充协议。</w:t>
      </w:r>
    </w:p>
    <w:p>
      <w:pPr>
        <w:keepNext w:val="0"/>
        <w:keepLines w:val="0"/>
        <w:pageBreakBefore w:val="0"/>
        <w:widowControl/>
        <w:bidi w:val="0"/>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12. 合同特别终止</w:t>
      </w:r>
    </w:p>
    <w:p>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12.1 甲乙双方同意在乙方出现下列情形时，甲方可以书面形式通知乙方（或者乙方的破产清算组或相关管理人）提出终止合同而不向其提供任何补偿：</w:t>
      </w:r>
    </w:p>
    <w:p>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（1）乙方破产、解散（包括但不限于乙方股东会决议解散、乙方被吊销营业执照、被责令关闭、被撤销、被司法机关裁决解散等情形）；</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12.2 如果因上述原因导致本合同终止，甲方已经采取或者将要采取任何补救措施的权利不受任何影响。</w:t>
      </w:r>
    </w:p>
    <w:p>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13. 法律适用与争议解决</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13.1 本合同的订立、效力、解释、履行和争议的解决均适用中华人民共和国法律（不包括港澳台地区法律）。</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13.2 凡因本合同引起的或与本合同有关的任何争议，双方首先应友好协商解决。协商不成的，任何一方均有权将争议提交甲方所在地有管辖权的人民法院诉讼。</w:t>
      </w:r>
    </w:p>
    <w:p>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14.  合同生效及其他</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14.1 本合同经甲乙双方法定代表人或授权代表签字并加盖公章后生效。服务期限自</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日始，至</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日止。</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14.2 本合同一式贰份，甲乙双方各执壹份。</w:t>
      </w:r>
    </w:p>
    <w:p>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14.3 无论本合同是否有相反约定，本合同附件作为本合同的组成部分，与本合同具有同等的法律效力，当附件条款与本合同条款发生冲突时，以本合同条款为准。</w:t>
      </w:r>
    </w:p>
    <w:p>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14.4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14.5由于法律和法规而导致本合同任何条款无效或无法执行，则该条款无效，但不影响剩余其他条款的效力。</w:t>
      </w:r>
    </w:p>
    <w:p>
      <w:pPr>
        <w:tabs>
          <w:tab w:val="left" w:pos="1080"/>
        </w:tabs>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15.  附件的组成</w:t>
      </w:r>
    </w:p>
    <w:p>
      <w:pPr>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附件一、服务内容及要求</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附件二、价格明细</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附件三、付款</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附件四、双方的权利和义务</w:t>
      </w:r>
    </w:p>
    <w:p>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附件五、违约责任</w:t>
      </w:r>
    </w:p>
    <w:p>
      <w:pPr>
        <w:keepLines/>
        <w:spacing w:line="360" w:lineRule="auto"/>
        <w:ind w:firstLine="482"/>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附件</w:t>
      </w:r>
      <w:r>
        <w:rPr>
          <w:rFonts w:hint="eastAsia" w:ascii="仿宋_GB2312" w:hAnsi="仿宋_GB2312" w:eastAsia="仿宋_GB2312" w:cs="仿宋_GB2312"/>
          <w:sz w:val="24"/>
          <w:szCs w:val="24"/>
          <w:lang w:val="en-US" w:eastAsia="zh-CN"/>
        </w:rPr>
        <w:t>六：廉洁诚信协议</w:t>
      </w:r>
    </w:p>
    <w:p>
      <w:pPr>
        <w:pStyle w:val="206"/>
        <w:rPr>
          <w:rFonts w:hint="eastAsia" w:ascii="仿宋_GB2312" w:hAnsi="仿宋_GB2312" w:eastAsia="仿宋_GB2312" w:cs="仿宋_GB2312"/>
        </w:rPr>
      </w:pPr>
    </w:p>
    <w:p>
      <w:pPr>
        <w:pStyle w:val="206"/>
        <w:rPr>
          <w:rFonts w:hint="eastAsia" w:ascii="仿宋_GB2312" w:hAnsi="仿宋_GB2312" w:eastAsia="仿宋_GB2312" w:cs="仿宋_GB2312"/>
        </w:rPr>
      </w:pPr>
    </w:p>
    <w:p>
      <w:pPr>
        <w:pStyle w:val="206"/>
        <w:rPr>
          <w:rFonts w:hint="eastAsia" w:ascii="仿宋_GB2312" w:hAnsi="仿宋_GB2312" w:eastAsia="仿宋_GB2312" w:cs="仿宋_GB2312"/>
        </w:rPr>
      </w:pPr>
    </w:p>
    <w:p>
      <w:pPr>
        <w:pStyle w:val="206"/>
        <w:rPr>
          <w:rFonts w:hint="eastAsia" w:ascii="仿宋_GB2312" w:hAnsi="仿宋_GB2312" w:eastAsia="仿宋_GB2312" w:cs="仿宋_GB2312"/>
        </w:rPr>
        <w:sectPr>
          <w:headerReference r:id="rId5" w:type="default"/>
          <w:footerReference r:id="rId6" w:type="default"/>
          <w:pgSz w:w="11906" w:h="16838"/>
          <w:pgMar w:top="1417" w:right="1134" w:bottom="1134" w:left="1134" w:header="851" w:footer="992" w:gutter="0"/>
          <w:cols w:space="1701" w:num="1"/>
        </w:sectPr>
      </w:pPr>
    </w:p>
    <w:p>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bCs/>
          <w:lang w:val="zh-CN"/>
        </w:rPr>
        <w:t>兹证明，各方于</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r>
        <w:rPr>
          <w:rFonts w:hint="eastAsia" w:ascii="仿宋_GB2312" w:hAnsi="仿宋_GB2312" w:eastAsia="仿宋_GB2312" w:cs="仿宋_GB2312"/>
          <w:b/>
          <w:bCs/>
          <w:lang w:val="zh-CN"/>
        </w:rPr>
        <w:t>签订本合同。</w:t>
      </w:r>
    </w:p>
    <w:p>
      <w:pPr>
        <w:spacing w:line="360" w:lineRule="auto"/>
        <w:rPr>
          <w:rFonts w:hint="eastAsia" w:ascii="仿宋_GB2312" w:hAnsi="仿宋_GB2312" w:eastAsia="仿宋_GB2312" w:cs="仿宋_GB2312"/>
          <w:b/>
          <w:color w:val="000000"/>
        </w:rPr>
      </w:pPr>
    </w:p>
    <w:p>
      <w:pPr>
        <w:spacing w:line="360" w:lineRule="auto"/>
        <w:rPr>
          <w:rFonts w:hint="eastAsia" w:ascii="仿宋_GB2312" w:hAnsi="仿宋_GB2312" w:eastAsia="仿宋_GB2312" w:cs="仿宋_GB2312"/>
          <w:b/>
          <w:bCs/>
          <w:color w:val="000000"/>
        </w:rPr>
      </w:pPr>
      <w:r>
        <w:rPr>
          <w:rFonts w:hint="eastAsia" w:ascii="仿宋_GB2312" w:hAnsi="仿宋_GB2312" w:eastAsia="仿宋_GB2312" w:cs="仿宋_GB2312"/>
          <w:b/>
          <w:color w:val="000000"/>
        </w:rPr>
        <w:t>甲方（盖章）：</w:t>
      </w:r>
      <w:r>
        <w:rPr>
          <w:rFonts w:hint="eastAsia" w:ascii="仿宋_GB2312" w:hAnsi="仿宋_GB2312" w:eastAsia="仿宋_GB2312" w:cs="仿宋_GB2312"/>
          <w:b/>
          <w:bCs/>
          <w:color w:val="000000"/>
        </w:rPr>
        <w:t xml:space="preserve">中国人民财产保险 </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color w:val="000000"/>
        </w:rPr>
        <w:t>乙方（盖章）：</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 xml:space="preserve">        </w:t>
      </w:r>
    </w:p>
    <w:p>
      <w:pPr>
        <w:spacing w:line="360" w:lineRule="auto"/>
        <w:rPr>
          <w:rFonts w:hint="eastAsia" w:ascii="仿宋_GB2312" w:hAnsi="仿宋_GB2312" w:eastAsia="仿宋_GB2312" w:cs="仿宋_GB2312"/>
          <w:b/>
          <w:color w:val="000000"/>
          <w:u w:val="single"/>
        </w:rPr>
      </w:pPr>
      <w:r>
        <w:rPr>
          <w:rFonts w:hint="eastAsia" w:ascii="仿宋_GB2312" w:hAnsi="仿宋_GB2312" w:eastAsia="仿宋_GB2312" w:cs="仿宋_GB2312"/>
          <w:b/>
          <w:bCs/>
          <w:color w:val="000000"/>
        </w:rPr>
        <w:t>股份有限公司</w:t>
      </w:r>
      <w:r>
        <w:rPr>
          <w:rFonts w:hint="eastAsia" w:ascii="仿宋_GB2312" w:hAnsi="仿宋_GB2312" w:eastAsia="仿宋_GB2312" w:cs="仿宋_GB2312"/>
          <w:b/>
          <w:bCs/>
          <w:color w:val="000000"/>
          <w:lang w:eastAsia="zh-CN"/>
        </w:rPr>
        <w:t>资阳</w:t>
      </w:r>
      <w:r>
        <w:rPr>
          <w:rFonts w:hint="eastAsia" w:ascii="仿宋_GB2312" w:hAnsi="仿宋_GB2312" w:eastAsia="仿宋_GB2312" w:cs="仿宋_GB2312"/>
          <w:b/>
          <w:bCs/>
          <w:color w:val="000000"/>
        </w:rPr>
        <w:t>市分公司</w:t>
      </w:r>
    </w:p>
    <w:p>
      <w:pPr>
        <w:spacing w:line="360" w:lineRule="auto"/>
        <w:rPr>
          <w:rFonts w:hint="eastAsia" w:ascii="仿宋_GB2312" w:hAnsi="仿宋_GB2312" w:eastAsia="仿宋_GB2312" w:cs="仿宋_GB2312"/>
          <w:b/>
          <w:color w:val="000000"/>
        </w:rPr>
        <w:sectPr>
          <w:type w:val="continuous"/>
          <w:pgSz w:w="11906" w:h="16838"/>
          <w:pgMar w:top="1440" w:right="1800" w:bottom="1440" w:left="1800" w:header="851" w:footer="992" w:gutter="0"/>
          <w:cols w:space="1701" w:num="1"/>
        </w:sectPr>
      </w:pPr>
      <w:r>
        <w:rPr>
          <w:rFonts w:hint="eastAsia" w:ascii="仿宋_GB2312" w:hAnsi="仿宋_GB2312" w:eastAsia="仿宋_GB2312" w:cs="仿宋_GB2312"/>
          <w:b/>
          <w:bCs/>
          <w:color w:val="000000"/>
        </w:rPr>
        <w:t>负责人/授权代表（签字）：</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负责人/授权代表（签字）：</w:t>
      </w:r>
    </w:p>
    <w:p>
      <w:pPr>
        <w:pStyle w:val="193"/>
        <w:ind w:left="0" w:firstLine="0"/>
        <w:jc w:val="both"/>
        <w:rPr>
          <w:rFonts w:hint="eastAsia" w:ascii="仿宋_GB2312" w:hAnsi="仿宋_GB2312" w:eastAsia="仿宋_GB2312" w:cs="仿宋_GB2312"/>
          <w:color w:val="000000"/>
          <w:sz w:val="28"/>
          <w:szCs w:val="28"/>
        </w:rPr>
        <w:sectPr>
          <w:headerReference r:id="rId7" w:type="default"/>
          <w:footerReference r:id="rId8" w:type="default"/>
          <w:type w:val="continuous"/>
          <w:pgSz w:w="11906" w:h="16838"/>
          <w:pgMar w:top="1440" w:right="1134" w:bottom="1440" w:left="1134" w:header="851" w:footer="992" w:gutter="0"/>
          <w:cols w:space="1701" w:num="1"/>
        </w:sectPr>
      </w:pPr>
    </w:p>
    <w:p>
      <w:pPr>
        <w:pStyle w:val="193"/>
        <w:tabs>
          <w:tab w:val="left" w:pos="2190"/>
        </w:tabs>
        <w:ind w:left="0" w:firstLine="0"/>
        <w:jc w:val="left"/>
        <w:rPr>
          <w:rFonts w:hint="eastAsia" w:ascii="仿宋_GB2312" w:hAnsi="仿宋_GB2312" w:eastAsia="仿宋_GB2312" w:cs="仿宋_GB2312"/>
          <w:sz w:val="24"/>
          <w:szCs w:val="24"/>
        </w:rPr>
      </w:pPr>
      <w:bookmarkStart w:id="126" w:name="_Toc5280"/>
      <w:bookmarkStart w:id="127" w:name="_Toc29405"/>
      <w:r>
        <w:rPr>
          <w:rFonts w:hint="eastAsia" w:ascii="仿宋_GB2312" w:hAnsi="仿宋_GB2312" w:eastAsia="仿宋_GB2312" w:cs="仿宋_GB2312"/>
          <w:sz w:val="24"/>
          <w:szCs w:val="24"/>
        </w:rPr>
        <w:t>附件一</w:t>
      </w:r>
      <w:bookmarkEnd w:id="126"/>
      <w:bookmarkEnd w:id="127"/>
      <w:r>
        <w:rPr>
          <w:rFonts w:hint="eastAsia" w:ascii="仿宋_GB2312" w:hAnsi="仿宋_GB2312" w:eastAsia="仿宋_GB2312" w:cs="仿宋_GB2312"/>
          <w:sz w:val="24"/>
          <w:szCs w:val="24"/>
        </w:rPr>
        <w:tab/>
      </w:r>
    </w:p>
    <w:p>
      <w:pPr>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服务内容及要求</w:t>
      </w:r>
    </w:p>
    <w:p>
      <w:pPr>
        <w:tabs>
          <w:tab w:val="left" w:pos="165"/>
          <w:tab w:val="left" w:pos="315"/>
        </w:tabs>
        <w:spacing w:line="360" w:lineRule="auto"/>
        <w:ind w:firstLine="470"/>
        <w:rPr>
          <w:rFonts w:hint="eastAsia" w:ascii="仿宋_GB2312" w:hAnsi="仿宋_GB2312" w:eastAsia="仿宋_GB2312" w:cs="仿宋_GB2312"/>
        </w:rPr>
      </w:pP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1.项目名称</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人保财险</w:t>
      </w:r>
      <w:r>
        <w:rPr>
          <w:rFonts w:hint="eastAsia" w:ascii="仿宋_GB2312" w:hAnsi="仿宋_GB2312" w:eastAsia="仿宋_GB2312" w:cs="仿宋_GB2312"/>
          <w:lang w:val="en-US" w:eastAsia="zh-CN"/>
        </w:rPr>
        <w:t>四川省资阳市分公司线上服务团队邮政银行播放机车险宣传采购</w:t>
      </w:r>
      <w:r>
        <w:rPr>
          <w:rFonts w:hint="eastAsia" w:ascii="仿宋_GB2312" w:hAnsi="仿宋_GB2312" w:eastAsia="仿宋_GB2312" w:cs="仿宋_GB2312"/>
        </w:rPr>
        <w:t>项目</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 项目内容</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2.1乙方向甲方提供的</w:t>
      </w:r>
      <w:r>
        <w:rPr>
          <w:rFonts w:hint="eastAsia" w:ascii="仿宋_GB2312" w:hAnsi="仿宋_GB2312" w:eastAsia="仿宋_GB2312" w:cs="仿宋_GB2312"/>
          <w:lang w:eastAsia="zh-CN"/>
        </w:rPr>
        <w:t>宣传</w:t>
      </w:r>
      <w:r>
        <w:rPr>
          <w:rFonts w:hint="eastAsia" w:ascii="仿宋_GB2312" w:hAnsi="仿宋_GB2312" w:eastAsia="仿宋_GB2312" w:cs="仿宋_GB2312"/>
        </w:rPr>
        <w:t>内容</w:t>
      </w:r>
    </w:p>
    <w:p>
      <w:pPr>
        <w:widowControl/>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本项目拟采购</w:t>
      </w:r>
      <w:r>
        <w:rPr>
          <w:rFonts w:hint="eastAsia" w:ascii="仿宋_GB2312" w:hAnsi="仿宋_GB2312" w:eastAsia="仿宋_GB2312" w:cs="仿宋_GB2312"/>
          <w:lang w:eastAsia="zh-CN"/>
        </w:rPr>
        <w:t>一</w:t>
      </w:r>
      <w:r>
        <w:rPr>
          <w:rFonts w:hint="eastAsia" w:ascii="仿宋_GB2312" w:hAnsi="仿宋_GB2312" w:eastAsia="仿宋_GB2312" w:cs="仿宋_GB2312"/>
        </w:rPr>
        <w:t>家供应商，</w:t>
      </w:r>
      <w:r>
        <w:rPr>
          <w:rFonts w:hint="eastAsia" w:ascii="仿宋_GB2312" w:hAnsi="仿宋_GB2312" w:eastAsia="仿宋_GB2312" w:cs="仿宋_GB2312"/>
          <w:lang w:eastAsia="zh-CN"/>
        </w:rPr>
        <w:t>在资阳辖内进行</w:t>
      </w:r>
      <w:r>
        <w:rPr>
          <w:rFonts w:hint="eastAsia" w:ascii="仿宋_GB2312" w:hAnsi="仿宋_GB2312" w:eastAsia="仿宋_GB2312" w:cs="仿宋_GB2312"/>
          <w:lang w:val="en-US" w:eastAsia="zh-CN"/>
        </w:rPr>
        <w:t>邮政银行播放机车险宣传</w:t>
      </w:r>
      <w:r>
        <w:rPr>
          <w:rFonts w:hint="eastAsia" w:ascii="仿宋_GB2312" w:hAnsi="仿宋_GB2312" w:eastAsia="仿宋_GB2312" w:cs="仿宋_GB2312"/>
          <w:lang w:eastAsia="zh-CN"/>
        </w:rPr>
        <w:t>服务活</w:t>
      </w:r>
      <w:r>
        <w:rPr>
          <w:rFonts w:hint="eastAsia" w:ascii="仿宋_GB2312" w:hAnsi="仿宋_GB2312" w:eastAsia="仿宋_GB2312" w:cs="仿宋_GB2312"/>
        </w:rPr>
        <w:t>动。具体服务要求如下：</w:t>
      </w:r>
    </w:p>
    <w:p>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2.2</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w:t>
      </w:r>
      <w:r>
        <w:rPr>
          <w:rFonts w:hint="eastAsia" w:ascii="仿宋_GB2312" w:hAnsi="仿宋_GB2312" w:eastAsia="仿宋_GB2312" w:cs="仿宋_GB2312"/>
        </w:rPr>
        <w:t>服务期限：    年     月     日至     年    月     日。</w:t>
      </w:r>
    </w:p>
    <w:p>
      <w:pPr>
        <w:keepNext w:val="0"/>
        <w:keepLines w:val="0"/>
        <w:pageBreakBefore w:val="0"/>
        <w:widowControl/>
        <w:numPr>
          <w:ilvl w:val="0"/>
          <w:numId w:val="1"/>
        </w:numPr>
        <w:bidi w:val="0"/>
        <w:spacing w:line="600" w:lineRule="exact"/>
        <w:ind w:firstLine="480"/>
        <w:rPr>
          <w:rFonts w:hint="eastAsia" w:ascii="仿宋_GB2312" w:hAnsi="仿宋_GB2312" w:eastAsia="仿宋_GB2312" w:cs="仿宋_GB2312"/>
          <w:lang w:val="en-US" w:eastAsia="zh-CN"/>
        </w:rPr>
      </w:pPr>
      <w:r>
        <w:rPr>
          <w:rFonts w:hint="eastAsia" w:ascii="仿宋_GB2312" w:hAnsi="仿宋_GB2312" w:eastAsia="仿宋_GB2312" w:cs="仿宋_GB2312"/>
        </w:rPr>
        <w:t>本项目服务期限</w:t>
      </w:r>
      <w:r>
        <w:rPr>
          <w:rFonts w:hint="eastAsia" w:ascii="仿宋_GB2312" w:hAnsi="仿宋_GB2312" w:eastAsia="仿宋_GB2312" w:cs="仿宋_GB2312"/>
          <w:lang w:val="en-US" w:eastAsia="zh-CN"/>
        </w:rPr>
        <w:t>12个月</w:t>
      </w:r>
    </w:p>
    <w:p>
      <w:pPr>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3服务标准</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宣传服务受众面广，并符合国家相关法规。</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4.告知</w:t>
      </w:r>
    </w:p>
    <w:p>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甲乙双方同意涉及本合同的一切事宜均以书面形式提交，双方应及时响应。</w:t>
      </w:r>
    </w:p>
    <w:p>
      <w:pPr>
        <w:keepNext w:val="0"/>
        <w:keepLines w:val="0"/>
        <w:pageBreakBefore w:val="0"/>
        <w:widowControl/>
        <w:bidi w:val="0"/>
        <w:spacing w:line="600" w:lineRule="exact"/>
        <w:ind w:firstLine="482"/>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pStyle w:val="188"/>
        <w:rPr>
          <w:rFonts w:hint="eastAsia" w:ascii="仿宋_GB2312" w:hAnsi="仿宋_GB2312" w:eastAsia="仿宋_GB2312" w:cs="仿宋_GB2312"/>
          <w:b/>
          <w:bCs/>
        </w:rPr>
      </w:pPr>
    </w:p>
    <w:p>
      <w:pPr>
        <w:rPr>
          <w:rFonts w:hint="eastAsia" w:ascii="仿宋_GB2312" w:hAnsi="仿宋_GB2312" w:eastAsia="仿宋_GB2312" w:cs="仿宋_GB2312"/>
          <w:b/>
          <w:bCs/>
        </w:rPr>
      </w:pPr>
    </w:p>
    <w:p>
      <w:pPr>
        <w:pStyle w:val="188"/>
        <w:rPr>
          <w:rFonts w:hint="eastAsia"/>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r>
        <w:rPr>
          <w:rFonts w:hint="eastAsia" w:ascii="仿宋_GB2312" w:hAnsi="仿宋_GB2312" w:eastAsia="仿宋_GB2312" w:cs="仿宋_GB2312"/>
          <w:b/>
          <w:bCs/>
        </w:rPr>
        <w:t>附件二</w:t>
      </w:r>
    </w:p>
    <w:p>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lang w:eastAsia="zh-CN"/>
        </w:rPr>
        <w:t>价格明细</w:t>
      </w:r>
    </w:p>
    <w:p>
      <w:pPr>
        <w:pStyle w:val="207"/>
        <w:widowControl w:val="0"/>
        <w:numPr>
          <w:ilvl w:val="0"/>
          <w:numId w:val="2"/>
        </w:numPr>
        <w:spacing w:line="480" w:lineRule="auto"/>
        <w:ind w:firstLine="480"/>
        <w:jc w:val="both"/>
        <w:rPr>
          <w:rFonts w:hint="eastAsia" w:ascii="仿宋_GB2312" w:hAnsi="仿宋_GB2312" w:eastAsia="仿宋_GB2312" w:cs="仿宋_GB2312"/>
        </w:rPr>
      </w:pPr>
      <w:r>
        <w:rPr>
          <w:rFonts w:hint="eastAsia" w:ascii="仿宋_GB2312" w:hAnsi="仿宋_GB2312" w:eastAsia="仿宋_GB2312" w:cs="仿宋_GB2312"/>
        </w:rPr>
        <w:t>双方依据本协议附件注明的价格进行费用结算。本协议中涉及的各项结算金额均指含税金额。</w:t>
      </w:r>
    </w:p>
    <w:p>
      <w:pPr>
        <w:pStyle w:val="207"/>
        <w:widowControl w:val="0"/>
        <w:numPr>
          <w:ilvl w:val="0"/>
          <w:numId w:val="2"/>
        </w:numPr>
        <w:pBdr>
          <w:top w:val="none" w:color="000000" w:sz="0" w:space="0"/>
          <w:left w:val="none" w:color="000000" w:sz="0" w:space="0"/>
          <w:bottom w:val="none" w:color="000000" w:sz="0" w:space="0"/>
          <w:right w:val="none" w:color="000000" w:sz="0" w:space="0"/>
        </w:pBdr>
        <w:spacing w:line="480" w:lineRule="auto"/>
        <w:ind w:firstLine="480"/>
        <w:jc w:val="both"/>
        <w:rPr>
          <w:rFonts w:hint="eastAsia" w:ascii="仿宋_GB2312" w:hAnsi="仿宋_GB2312" w:eastAsia="仿宋_GB2312" w:cs="仿宋_GB2312"/>
          <w14:ligatures w14:val="none"/>
        </w:rPr>
      </w:pPr>
      <w:r>
        <w:rPr>
          <w:rFonts w:hint="eastAsia" w:ascii="仿宋_GB2312" w:hAnsi="仿宋_GB2312" w:eastAsia="仿宋_GB2312" w:cs="仿宋_GB2312"/>
        </w:rPr>
        <w:t>本合同结算标准：</w:t>
      </w:r>
      <w:r>
        <w:rPr>
          <w:rFonts w:hint="eastAsia" w:ascii="仿宋_GB2312" w:hAnsi="仿宋_GB2312" w:eastAsia="仿宋_GB2312" w:cs="仿宋_GB2312"/>
          <w:lang w:eastAsia="zh-CN"/>
        </w:rPr>
        <w:t>单价</w:t>
      </w:r>
      <w:r>
        <w:rPr>
          <w:rFonts w:hint="eastAsia" w:ascii="仿宋_GB2312" w:hAnsi="仿宋_GB2312" w:eastAsia="仿宋_GB2312" w:cs="仿宋_GB2312"/>
          <w:lang w:val="en-US" w:eastAsia="zh-CN"/>
        </w:rPr>
        <w:t>元/块/月，</w:t>
      </w:r>
      <w:r>
        <w:rPr>
          <w:rFonts w:hint="eastAsia" w:ascii="仿宋_GB2312" w:hAnsi="仿宋_GB2312" w:eastAsia="仿宋_GB2312" w:cs="仿宋_GB2312"/>
        </w:rPr>
        <w:t>每次按实际数量结算</w:t>
      </w:r>
      <w:r>
        <w:rPr>
          <w:rFonts w:hint="eastAsia" w:ascii="仿宋_GB2312" w:hAnsi="仿宋_GB2312" w:eastAsia="仿宋_GB2312" w:cs="仿宋_GB2312"/>
          <w:lang w:val="en-US" w:eastAsia="zh-CN"/>
        </w:rPr>
        <w:t>。</w:t>
      </w:r>
      <w:r>
        <w:rPr>
          <w:rFonts w:hint="eastAsia" w:ascii="仿宋_GB2312" w:hAnsi="仿宋_GB2312" w:eastAsia="仿宋_GB2312" w:cs="仿宋_GB2312"/>
          <w:lang w:eastAsia="zh-CN"/>
        </w:rPr>
        <w:t>宣传</w:t>
      </w:r>
      <w:r>
        <w:rPr>
          <w:rFonts w:hint="eastAsia" w:ascii="仿宋_GB2312" w:hAnsi="仿宋_GB2312" w:eastAsia="仿宋_GB2312" w:cs="仿宋_GB2312"/>
          <w:lang w:val="en-US" w:eastAsia="zh-CN"/>
        </w:rPr>
        <w:t>费用含宣传制作、发布宣传、人工费用、运输、包装、税费、附加服务等与本项目有关的所有费用总计，费用按照实际产生费用结算，每次结算不超单次投放预算数量及总价，最终结算金额在合同期间内不超过合同的总控制价</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本合同结算标准：</w:t>
      </w:r>
    </w:p>
    <w:tbl>
      <w:tblPr>
        <w:tblStyle w:val="28"/>
        <w:tblpPr w:leftFromText="180" w:rightFromText="180" w:vertAnchor="text" w:horzAnchor="page" w:tblpX="1657" w:tblpY="489"/>
        <w:tblOverlap w:val="never"/>
        <w:tblW w:w="470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31"/>
        <w:gridCol w:w="1575"/>
        <w:gridCol w:w="1920"/>
        <w:gridCol w:w="1470"/>
        <w:gridCol w:w="17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531"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suppressLineNumbers w:val="0"/>
              <w:bidi w:val="0"/>
              <w:spacing w:before="0" w:beforeAutospacing="0" w:after="0" w:afterAutospacing="0" w:line="560" w:lineRule="exact"/>
              <w:ind w:right="0"/>
              <w:jc w:val="center"/>
              <w:rPr>
                <w:rFonts w:hint="eastAsia"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bidi="ar"/>
              </w:rPr>
              <w:t>项目名称</w:t>
            </w:r>
          </w:p>
        </w:tc>
        <w:tc>
          <w:tcPr>
            <w:tcW w:w="15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bidi w:val="0"/>
              <w:spacing w:before="0" w:beforeAutospacing="0" w:after="0" w:afterAutospacing="0" w:line="560" w:lineRule="exact"/>
              <w:ind w:right="0"/>
              <w:jc w:val="center"/>
              <w:rPr>
                <w:rFonts w:hint="default"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bidi="ar"/>
              </w:rPr>
              <w:t>播放机数量（台）</w:t>
            </w:r>
          </w:p>
        </w:tc>
        <w:tc>
          <w:tcPr>
            <w:tcW w:w="192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suppressLineNumbers w:val="0"/>
              <w:bidi w:val="0"/>
              <w:spacing w:before="0" w:beforeAutospacing="0" w:after="0" w:afterAutospacing="0" w:line="560" w:lineRule="exact"/>
              <w:ind w:right="0"/>
              <w:jc w:val="center"/>
              <w:rPr>
                <w:rFonts w:hint="eastAsia"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bidi="ar"/>
              </w:rPr>
              <w:t>单价(元/台/月）</w:t>
            </w:r>
          </w:p>
        </w:tc>
        <w:tc>
          <w:tcPr>
            <w:tcW w:w="147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suppressLineNumbers w:val="0"/>
              <w:bidi w:val="0"/>
              <w:spacing w:before="0" w:beforeAutospacing="0" w:after="0" w:afterAutospacing="0" w:line="560" w:lineRule="exact"/>
              <w:ind w:right="0"/>
              <w:jc w:val="center"/>
              <w:rPr>
                <w:rFonts w:hint="default" w:ascii="仿宋_GB2312" w:hAnsi="仿宋_GB2312" w:eastAsia="仿宋_GB2312" w:cs="仿宋_GB2312"/>
                <w:color w:val="000000"/>
                <w:sz w:val="18"/>
                <w:szCs w:val="18"/>
                <w:lang w:val="en-US" w:eastAsia="zh-CN" w:bidi="ar"/>
              </w:rPr>
            </w:pPr>
            <w:r>
              <w:rPr>
                <w:rFonts w:hint="eastAsia" w:ascii="仿宋_GB2312" w:hAnsi="仿宋_GB2312" w:eastAsia="仿宋_GB2312" w:cs="仿宋_GB2312"/>
                <w:color w:val="000000"/>
                <w:sz w:val="18"/>
                <w:szCs w:val="18"/>
                <w:lang w:val="en-US" w:eastAsia="zh-CN" w:bidi="ar"/>
              </w:rPr>
              <w:t>宣传周期</w:t>
            </w:r>
          </w:p>
        </w:tc>
        <w:tc>
          <w:tcPr>
            <w:tcW w:w="177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suppressLineNumbers w:val="0"/>
              <w:bidi w:val="0"/>
              <w:spacing w:before="0" w:beforeAutospacing="0" w:after="0" w:afterAutospacing="0" w:line="560" w:lineRule="exact"/>
              <w:ind w:right="0"/>
              <w:jc w:val="center"/>
              <w:rPr>
                <w:rFonts w:hint="eastAsia"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bidi="ar"/>
              </w:rPr>
              <w:t>合计（元）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pacing w:before="0" w:beforeAutospacing="0" w:after="0" w:afterAutospacing="0" w:line="559" w:lineRule="exact"/>
              <w:ind w:right="0"/>
              <w:jc w:val="center"/>
              <w:rPr>
                <w:rFonts w:hint="eastAsia" w:ascii="仿宋_GB2312" w:hAnsi="仿宋_GB2312" w:eastAsia="仿宋_GB2312" w:cs="仿宋_GB2312"/>
                <w:color w:val="000000"/>
                <w:sz w:val="18"/>
                <w:szCs w:val="18"/>
                <w:lang w:val="en-US" w:eastAsia="zh-CN" w:bidi="ar"/>
                <w14:ligatures w14:val="none"/>
              </w:rPr>
            </w:pPr>
            <w:r>
              <w:rPr>
                <w:rFonts w:hint="eastAsia" w:ascii="仿宋_GB2312" w:hAnsi="仿宋_GB2312" w:eastAsia="仿宋_GB2312" w:cs="仿宋_GB2312"/>
                <w:color w:val="000000"/>
                <w:sz w:val="18"/>
                <w:szCs w:val="18"/>
                <w:lang w:val="en-US" w:eastAsia="zh-CN" w:bidi="ar"/>
              </w:rPr>
              <w:t>邮政银行播放机车险宣传</w:t>
            </w:r>
          </w:p>
        </w:tc>
        <w:tc>
          <w:tcPr>
            <w:tcW w:w="15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bidi w:val="0"/>
              <w:spacing w:before="0" w:beforeAutospacing="0" w:after="0" w:afterAutospacing="0" w:line="560" w:lineRule="exact"/>
              <w:ind w:right="0"/>
              <w:jc w:val="center"/>
              <w:rPr>
                <w:rFonts w:hint="default" w:ascii="仿宋_GB2312" w:hAnsi="仿宋_GB2312" w:eastAsia="仿宋_GB2312" w:cs="仿宋_GB2312"/>
                <w:color w:val="auto"/>
                <w:sz w:val="18"/>
                <w:szCs w:val="18"/>
                <w:lang w:val="en-US" w:eastAsia="zh-CN" w:bidi="ar"/>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bidi w:val="0"/>
              <w:spacing w:before="0" w:beforeAutospacing="0" w:after="0" w:afterAutospacing="0" w:line="560" w:lineRule="exact"/>
              <w:ind w:right="0"/>
              <w:jc w:val="center"/>
              <w:rPr>
                <w:rFonts w:hint="default" w:ascii="仿宋_GB2312" w:hAnsi="仿宋_GB2312" w:eastAsia="仿宋_GB2312" w:cs="仿宋_GB2312"/>
                <w:color w:val="auto"/>
                <w:sz w:val="18"/>
                <w:szCs w:val="18"/>
                <w:lang w:val="en-US"/>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bidi w:val="0"/>
              <w:spacing w:before="0" w:beforeAutospacing="0" w:after="0" w:afterAutospacing="0" w:line="560" w:lineRule="exact"/>
              <w:ind w:right="0"/>
              <w:jc w:val="center"/>
              <w:rPr>
                <w:rFonts w:hint="default" w:ascii="仿宋_GB2312" w:hAnsi="仿宋_GB2312" w:eastAsia="仿宋_GB2312" w:cs="仿宋_GB2312"/>
                <w:color w:val="auto"/>
                <w:sz w:val="18"/>
                <w:szCs w:val="18"/>
                <w:lang w:val="en-US" w:eastAsia="zh-CN" w:bidi="ar"/>
              </w:rPr>
            </w:pPr>
          </w:p>
        </w:tc>
        <w:tc>
          <w:tcPr>
            <w:tcW w:w="17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bidi w:val="0"/>
              <w:spacing w:before="0" w:beforeAutospacing="0" w:after="0" w:afterAutospacing="0" w:line="560" w:lineRule="exact"/>
              <w:ind w:right="0"/>
              <w:jc w:val="center"/>
              <w:rPr>
                <w:rFonts w:hint="default" w:ascii="仿宋_GB2312" w:hAnsi="仿宋_GB2312" w:eastAsia="仿宋_GB2312" w:cs="仿宋_GB2312"/>
                <w:color w:val="auto"/>
                <w:sz w:val="18"/>
                <w:szCs w:val="18"/>
                <w:shd w:val="clear" w:color="auto" w:fill="FFFFFF"/>
                <w:lang w:val="en-US" w:eastAsia="zh-CN" w:bidi="ar"/>
              </w:rPr>
            </w:pPr>
          </w:p>
        </w:tc>
      </w:tr>
    </w:tbl>
    <w:p>
      <w:pPr>
        <w:keepNext w:val="0"/>
        <w:keepLines w:val="0"/>
        <w:pageBreakBefore w:val="0"/>
        <w:bidi w:val="0"/>
        <w:spacing w:line="560" w:lineRule="exact"/>
        <w:ind w:firstLine="420"/>
        <w:jc w:val="left"/>
        <w:rPr>
          <w:rFonts w:hint="eastAsia" w:ascii="仿宋_GB2312" w:hAnsi="仿宋_GB2312" w:eastAsia="仿宋_GB2312" w:cs="仿宋_GB2312"/>
        </w:rPr>
      </w:pPr>
      <w:r>
        <w:rPr>
          <w:rFonts w:hint="eastAsia" w:ascii="仿宋_GB2312" w:hAnsi="仿宋_GB2312" w:eastAsia="仿宋_GB2312" w:cs="仿宋_GB2312"/>
        </w:rPr>
        <w:t xml:space="preserve">3、本协议中涉及的因双方本项目合作所产生的各自的投资及费用成本，由双方各自负。 </w:t>
      </w: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left="0" w:firstLine="0"/>
        <w:jc w:val="left"/>
        <w:outlineLvl w:val="9"/>
        <w:rPr>
          <w:rFonts w:hint="eastAsia" w:ascii="仿宋_GB2312" w:hAnsi="仿宋_GB2312" w:eastAsia="仿宋_GB2312" w:cs="仿宋_GB2312"/>
        </w:rPr>
      </w:pPr>
    </w:p>
    <w:p>
      <w:pPr>
        <w:pStyle w:val="207"/>
        <w:pageBreakBefore w:val="0"/>
        <w:widowControl w:val="0"/>
        <w:bidi w:val="0"/>
        <w:spacing w:line="600" w:lineRule="exact"/>
        <w:ind w:firstLine="482"/>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bidi="ar-SA"/>
        </w:rPr>
        <w:t>附件三</w:t>
      </w:r>
      <w:r>
        <w:rPr>
          <w:rFonts w:hint="eastAsia" w:ascii="仿宋_GB2312" w:hAnsi="仿宋_GB2312" w:eastAsia="仿宋_GB2312" w:cs="仿宋_GB2312"/>
          <w:sz w:val="24"/>
          <w:szCs w:val="24"/>
        </w:rPr>
        <w:t xml:space="preserve"> </w:t>
      </w:r>
    </w:p>
    <w:p>
      <w:pPr>
        <w:pageBreakBefore w:val="0"/>
        <w:bidi w:val="0"/>
        <w:spacing w:line="600" w:lineRule="exact"/>
        <w:ind w:firstLine="482"/>
        <w:jc w:val="center"/>
        <w:outlineLvl w:val="9"/>
        <w:rPr>
          <w:rFonts w:hint="eastAsia" w:ascii="仿宋_GB2312" w:hAnsi="仿宋_GB2312" w:eastAsia="仿宋_GB2312" w:cs="仿宋_GB2312"/>
        </w:rPr>
      </w:pPr>
      <w:r>
        <w:rPr>
          <w:rFonts w:hint="eastAsia" w:ascii="仿宋_GB2312" w:hAnsi="仿宋_GB2312" w:eastAsia="仿宋_GB2312" w:cs="仿宋_GB2312"/>
          <w:b/>
        </w:rPr>
        <w:t>付款</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1.本合同使用货币种类为人民币。</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 付款方式：银行转账，甲方应向乙方以下账户进行支付：</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开户行：</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账户名称：</w:t>
      </w:r>
    </w:p>
    <w:p>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账号：</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乙方如需改变上述账户，应提前10日以书面通知甲方。</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3.付款安排</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我司与服务商双方根据实际宣传服务数量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pPr>
        <w:pageBreakBefore w:val="0"/>
        <w:numPr>
          <w:ilvl w:val="0"/>
          <w:numId w:val="3"/>
        </w:numPr>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乙方应向甲方开具专用增值税发票，甲方开票信息如下：</w:t>
      </w:r>
    </w:p>
    <w:p>
      <w:pPr>
        <w:pageBreakBefore w:val="0"/>
        <w:numPr>
          <w:ilvl w:val="0"/>
          <w:numId w:val="0"/>
        </w:numPr>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公司名称：中国人民财产保险股份有限公司资阳市分公司</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纳税人识别号：</w:t>
      </w:r>
      <w:r>
        <w:rPr>
          <w:rFonts w:hint="eastAsia" w:ascii="仿宋_GB2312" w:hAnsi="仿宋_GB2312" w:eastAsia="仿宋_GB2312" w:cs="仿宋_GB2312"/>
          <w:lang w:val="en-US" w:eastAsia="zh-CN"/>
        </w:rPr>
        <w:t xml:space="preserve">91512000731638278R </w:t>
      </w:r>
    </w:p>
    <w:p>
      <w:pPr>
        <w:pageBreakBefore w:val="0"/>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地址：</w:t>
      </w:r>
      <w:r>
        <w:rPr>
          <w:rFonts w:hint="eastAsia" w:ascii="仿宋_GB2312" w:hAnsi="仿宋_GB2312" w:eastAsia="仿宋_GB2312" w:cs="仿宋_GB2312"/>
          <w:lang w:val="en-US" w:eastAsia="zh-CN"/>
        </w:rPr>
        <w:t>四川省资阳市雁江区宝台镇黄泥村弘城水韵和中城建.新城市广场（一期）25号楼25（F）</w:t>
      </w:r>
    </w:p>
    <w:p>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电话：028-26758789</w:t>
      </w:r>
    </w:p>
    <w:p>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开户银行名称：中国工商银行股份有限公司资阳分行</w:t>
      </w:r>
    </w:p>
    <w:p>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开户银行帐号：2307488109023100417</w:t>
      </w:r>
    </w:p>
    <w:p>
      <w:pPr>
        <w:pageBreakBefore w:val="0"/>
        <w:bidi w:val="0"/>
        <w:spacing w:line="600" w:lineRule="exact"/>
        <w:jc w:val="left"/>
        <w:outlineLvl w:val="9"/>
        <w:rPr>
          <w:rFonts w:hint="eastAsia" w:ascii="仿宋_GB2312" w:hAnsi="仿宋_GB2312" w:eastAsia="仿宋_GB2312" w:cs="仿宋_GB2312"/>
          <w:b/>
          <w:bCs/>
          <w:sz w:val="24"/>
          <w:szCs w:val="24"/>
          <w:lang w:val="en-US" w:eastAsia="zh-CN" w:bidi="ar-SA"/>
        </w:rPr>
      </w:pPr>
    </w:p>
    <w:p>
      <w:pPr>
        <w:pageBreakBefore w:val="0"/>
        <w:bidi w:val="0"/>
        <w:spacing w:line="600" w:lineRule="exact"/>
        <w:jc w:val="left"/>
        <w:outlineLvl w:val="9"/>
        <w:rPr>
          <w:rFonts w:hint="eastAsia" w:ascii="仿宋_GB2312" w:hAnsi="仿宋_GB2312" w:eastAsia="仿宋_GB2312" w:cs="仿宋_GB2312"/>
          <w:b/>
          <w:bCs/>
          <w:sz w:val="24"/>
          <w:szCs w:val="24"/>
          <w:lang w:val="en-US" w:eastAsia="zh-CN" w:bidi="ar-SA"/>
        </w:rPr>
      </w:pPr>
    </w:p>
    <w:p>
      <w:pPr>
        <w:pageBreakBefore w:val="0"/>
        <w:bidi w:val="0"/>
        <w:spacing w:line="600" w:lineRule="exact"/>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附件四</w:t>
      </w:r>
    </w:p>
    <w:p>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双方的权利和义务</w:t>
      </w:r>
    </w:p>
    <w:p>
      <w:pPr>
        <w:pageBreakBefore w:val="0"/>
        <w:numPr>
          <w:ilvl w:val="0"/>
          <w:numId w:val="4"/>
        </w:numPr>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甲方的权利和义务</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1.1甲方指派专人参与乙方提供服务时需要甲方参与的工作过程，并配合乙方提供宣传设计样本及投放内容；</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1.2乙方不得擅自修改甲方所提供的宣传设计样本和内容，甲方对宣传投放内容可以随时提出修改，并及时以书面形式通知乙方，乙方在收到文件后当天开始按新的要求执行；</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1.3甲方有权制止和纠正乙方违反甲方有关保险业务要求和管理规定的行为；</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1.4甲方有权利评估乙方服务质量与履行承诺的情况；</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1.5甲方有义务按照约定的日期、结算方式与乙方结算服务费用；</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1.6甲方指定</w:t>
      </w:r>
      <w:r>
        <w:rPr>
          <w:rFonts w:hint="eastAsia" w:ascii="仿宋_GB2312" w:hAnsi="仿宋_GB2312" w:eastAsia="仿宋_GB2312" w:cs="仿宋_GB2312"/>
          <w:lang w:val="en-US" w:eastAsia="zh-CN"/>
        </w:rPr>
        <w:t>XX</w:t>
      </w:r>
      <w:r>
        <w:rPr>
          <w:rFonts w:hint="eastAsia" w:ascii="仿宋_GB2312" w:hAnsi="仿宋_GB2312" w:eastAsia="仿宋_GB2312" w:cs="仿宋_GB2312"/>
        </w:rPr>
        <w:t>作为商务联系人，电子邮箱</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  ，甲乙双方联系人可通过前述指定邮箱以邮件形式就协议约定事项的具体执行事宜进行沟通，其内容表述（在不更改协议实质内容的前提下）可以作为双方执行协议的依据。</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2、乙方的权利和义务</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2.1乙方负责为甲方的整个宣传推广活动流程与开展；</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2.2.乙方保证其拥有开展本协议约定业务的合法资质，且所提供的宣传推广内容合法合规，且取得相应的授权，并同意向甲方提供其拥有合法资质的相关证明文件及证照复印件。否则若因此引起法律纠纷，由乙方承担所有的法律责任；</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2.3.乙方负责承担宣传推广服务合作业务中产生的各种咨询和投诉的处理工作，并建立有效通畅的投诉处理机制，妥善处理用户投诉；</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2.4.乙方应自行承担合同约定的由其负责或完成事项的相关费用；</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2.5.乙方指定  作为商务联系人，电子邮箱为  ，甲乙双方联系人可通过前述指定邮箱以邮件形式就协议约定事项的具体执行事宜进行沟通，其内容表述（在不更改协议实质内容的前提下）可以作为双方执行协议的依据。</w:t>
      </w:r>
    </w:p>
    <w:p>
      <w:pPr>
        <w:pageBreakBefore w:val="0"/>
        <w:bidi w:val="0"/>
        <w:spacing w:line="600" w:lineRule="exact"/>
        <w:ind w:firstLine="241"/>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附件五</w:t>
      </w:r>
    </w:p>
    <w:p>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违约责任</w:t>
      </w:r>
    </w:p>
    <w:p>
      <w:pPr>
        <w:pageBreakBefore w:val="0"/>
        <w:bidi w:val="0"/>
        <w:spacing w:line="600" w:lineRule="exact"/>
        <w:ind w:firstLine="480"/>
        <w:jc w:val="left"/>
        <w:outlineLvl w:val="9"/>
        <w:rPr>
          <w:rFonts w:hint="eastAsia" w:ascii="仿宋_GB2312" w:hAnsi="仿宋_GB2312" w:eastAsia="仿宋_GB2312" w:cs="仿宋_GB2312"/>
        </w:rPr>
      </w:pP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除合同约定的违约责任以外，任何一方存在以下约定情形的，应承担相应的违约责任：</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1、由于乙方服务质量（包括但不限于：服务态度不佳、对客户不诚信）导致甲方客户投诉，甲方有权要求乙方协助查明事件真相，并在一个工作日内提交调查结果，对甲方客户造成的损失由乙方承担。</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2、因乙方服务人员工作疏忽导致客户产生重大投诉的，乙方需协助客户进行后续处理，办理过程中产生的费用由乙方承担。</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3、免责条款</w:t>
      </w:r>
    </w:p>
    <w:p>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因甲方服务人员误导客户造成投诉的，乙方不承担责任。</w:t>
      </w:r>
    </w:p>
    <w:p>
      <w:pPr>
        <w:numPr>
          <w:ilvl w:val="0"/>
          <w:numId w:val="0"/>
        </w:numPr>
        <w:rPr>
          <w:rFonts w:hint="eastAsia" w:ascii="仿宋_GB2312" w:hAnsi="仿宋_GB2312" w:eastAsia="仿宋_GB2312" w:cs="仿宋_GB2312"/>
          <w:lang w:val="en-US" w:eastAsia="zh-CN"/>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bCs/>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bCs/>
          <w:sz w:val="24"/>
          <w:szCs w:val="24"/>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附件</w:t>
      </w:r>
      <w:r>
        <w:rPr>
          <w:rFonts w:hint="eastAsia" w:ascii="仿宋_GB2312" w:hAnsi="仿宋_GB2312" w:eastAsia="仿宋_GB2312" w:cs="仿宋_GB2312"/>
          <w:b/>
          <w:sz w:val="24"/>
          <w:szCs w:val="24"/>
          <w:lang w:val="en-US" w:eastAsia="zh-CN"/>
        </w:rPr>
        <w:t>六：</w:t>
      </w:r>
    </w:p>
    <w:p>
      <w:pPr>
        <w:keepNext w:val="0"/>
        <w:keepLines w:val="0"/>
        <w:pageBreakBefore w:val="0"/>
        <w:bidi w:val="0"/>
        <w:spacing w:line="600" w:lineRule="exact"/>
        <w:ind w:left="0" w:firstLine="482"/>
        <w:jc w:val="center"/>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廉洁诚信协议</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第一条  总则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1.3本协议所称相关主体，对任何一方而言，包括但不限于以下单位或者个人：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（1）一方或其关联方之工作人员；</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（2）受一方委托办理相关事务的单位或者个人；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（3）利用职权或者影响力影响交易的单位或者个人；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（4）前述相关人员的亲属；</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（5）与前述相关主体存在利害关系的其他单位或者人员。</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乙方相关主体实施违反本协议约定之行为的，均应视为乙方实施行为。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第二条  商业贿赂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2.3本条第1款所称其他形式，包括但不限于：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（1）以任何方式实施商业贿赂或违规提供回扣、折扣、宴请与游玩活动或其他不正当利益；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（2）为甲方或甲方相关主体安排有可能影响公平、公正交易的宴请、健身、娱乐等活动；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（3）为甲方或甲方相关主体投资入股、个人借款或买卖股票、债券等提供方便；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（6）向甲方或甲方相关主体提供借款、融资、担保等；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（7）给予或承诺给予其不正当利益的其他行为；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（8）其他违反国家法律法规或商业道德准则的影响公正交易的行为。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eastAsia="zh-CN" w:bidi="ar"/>
        </w:rPr>
      </w:pP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第三条  回扣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3.3乙方在账外暗中给予甲方相关主体回扣的，视为实施商业贿赂行为。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第四条  折扣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4.4乙方违反本条约定的，视为实施商业贿赂行为。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第五条  宴请与游玩活动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5.3乙方违反本条约定的，视为实施商业贿赂行为。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第六条  禁止行为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双方一致同意双方或双方相关主体的如下行为是应当禁止的营私舞弊或腐败行为：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6.1甲方及甲方相关主体向乙方索要或收受财物或其他形式的财产性利益、非财产性利益。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（1）报销甲方相关主体的私人费用；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（2）提供超过宴请标准的宴请或娱乐活动；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（3）介绍甲方相关主体亲友到乙方处工作；</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（4）提出、邀请或事实上接受甲方相关主体在乙方参股或参与乙方经营活动；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（5）组织或向甲方相关主体提供旅游等代偿活动利益；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（6）向甲方相关主体提供借款、融资、担保等；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（7）给予或承诺给予甲方相关主体不正当利益的其他行为；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（8）其他违反本协议约定、国家法律法规或商业道德准则的影响公正交易的行为。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第七条  乙方承诺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乙方承诺在双方的商务接洽、合同关系、交易过程中遵守如下要求：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7.1 避免利害关系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7.2 恪守廉洁自律原则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 恪守诚实信用原则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7.3.3严格遵守甲方的供应商行为准则、合作协议、保密承诺书等政策文件中的相关规定。</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7.3.5严格遵守国家相关法律法规及甲方的管理规定，不参与任何违法活动。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7.4 确保信息公开透明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7.5 积极配合监督举报</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7.6 加强内部廉洁管理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7.6.3建立举报制度：鼓励员工积极举报违规行为，对举报人予以保护并给予奖励。</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第八条  违约责任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8.5乙方知悉并同意，对于上述情形的处理甲方有完全的判断权和自主权。</w:t>
      </w:r>
    </w:p>
    <w:p>
      <w:pPr>
        <w:keepNext w:val="0"/>
        <w:keepLines w:val="0"/>
        <w:pageBreakBefore w:val="0"/>
        <w:widowControl w:val="0"/>
        <w:suppressLineNumbers w:val="0"/>
        <w:bidi w:val="0"/>
        <w:spacing w:before="312" w:beforeAutospacing="0" w:after="312"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第九条  附则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9.5本协议长期有效</w:t>
      </w:r>
    </w:p>
    <w:p>
      <w:pPr>
        <w:pStyle w:val="188"/>
        <w:rPr>
          <w:rFonts w:hint="eastAsia" w:ascii="仿宋_GB2312" w:hAnsi="仿宋_GB2312" w:eastAsia="仿宋_GB2312" w:cs="仿宋_GB2312"/>
          <w:sz w:val="24"/>
          <w:szCs w:val="24"/>
          <w:lang w:val="en-US" w:eastAsia="zh-CN" w:bidi="ar"/>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bCs/>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bCs/>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0"/>
        <w:jc w:val="both"/>
        <w:outlineLvl w:val="9"/>
        <w:rPr>
          <w:rFonts w:hint="eastAsia" w:ascii="仿宋_GB2312" w:hAnsi="仿宋_GB2312" w:eastAsia="仿宋_GB2312" w:cs="仿宋_GB2312"/>
          <w:b/>
          <w:sz w:val="24"/>
          <w:szCs w:val="24"/>
        </w:rPr>
      </w:pPr>
    </w:p>
    <w:p>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附件</w:t>
      </w:r>
      <w:r>
        <w:rPr>
          <w:rFonts w:hint="eastAsia" w:ascii="仿宋_GB2312" w:hAnsi="仿宋_GB2312" w:eastAsia="仿宋_GB2312" w:cs="仿宋_GB2312"/>
          <w:b/>
          <w:sz w:val="24"/>
          <w:szCs w:val="24"/>
          <w:lang w:eastAsia="zh-CN"/>
        </w:rPr>
        <w:t>七</w:t>
      </w:r>
      <w:r>
        <w:rPr>
          <w:rFonts w:hint="eastAsia" w:ascii="仿宋_GB2312" w:hAnsi="仿宋_GB2312" w:eastAsia="仿宋_GB2312" w:cs="仿宋_GB2312"/>
          <w:b/>
          <w:sz w:val="24"/>
          <w:szCs w:val="24"/>
          <w:lang w:val="en-US" w:eastAsia="zh-CN"/>
        </w:rPr>
        <w:t>：</w:t>
      </w:r>
    </w:p>
    <w:p>
      <w:pPr>
        <w:keepNext w:val="0"/>
        <w:keepLines w:val="0"/>
        <w:pageBreakBefore w:val="0"/>
        <w:bidi w:val="0"/>
        <w:spacing w:line="600" w:lineRule="exact"/>
        <w:ind w:left="0" w:firstLine="723"/>
        <w:jc w:val="both"/>
        <w:outlineLvl w:val="9"/>
        <w:rPr>
          <w:rFonts w:ascii="仿宋_GB2312" w:eastAsia="宋体"/>
          <w:b/>
          <w:sz w:val="32"/>
          <w:szCs w:val="32"/>
          <w:lang w:val="en-US" w:eastAsia="zh-CN"/>
        </w:rPr>
      </w:pPr>
      <w:r>
        <w:rPr>
          <w:rFonts w:hint="eastAsia" w:ascii="仿宋_GB2312" w:hAnsi="仿宋_GB2312" w:eastAsia="仿宋_GB2312" w:cs="仿宋_GB2312"/>
          <w:b/>
          <w:bCs/>
          <w:sz w:val="24"/>
          <w:szCs w:val="24"/>
          <w:lang w:val="en-US" w:eastAsia="zh-CN" w:bidi="ar-SA"/>
        </w:rPr>
        <w:t xml:space="preserve">                 反洗钱条款和消费者权益保护条款 </w:t>
      </w:r>
      <w:r>
        <w:rPr>
          <w:rFonts w:hint="eastAsia" w:ascii="楷体" w:hAnsi="楷体" w:eastAsia="楷体" w:cs="楷体"/>
          <w:sz w:val="28"/>
          <w:szCs w:val="28"/>
          <w:lang w:val="en-US" w:eastAsia="zh-CN"/>
        </w:rPr>
        <w:t xml:space="preserve">  </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eastAsia="zh-CN" w:bidi="ar"/>
        </w:rPr>
      </w:pPr>
      <w:r>
        <w:rPr>
          <w:rFonts w:hint="eastAsia" w:ascii="仿宋_GB2312" w:hAnsi="仿宋_GB2312" w:eastAsia="仿宋_GB2312" w:cs="仿宋_GB2312"/>
          <w:b/>
          <w:bCs/>
          <w:sz w:val="24"/>
          <w:szCs w:val="24"/>
          <w:lang w:val="en-US" w:eastAsia="zh-CN" w:bidi="ar"/>
        </w:rPr>
        <w:t>一、反洗钱条款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zh-CN" w:eastAsia="zh-CN" w:bidi="ar"/>
        </w:rPr>
        <w:t>甲乙双方应遵守《中华人民共和国反洗钱法》（2025年1月施行）《金融机构客户身份识别和客户身份资料及交易记录保存管理办法》《金融机构大额交易和可疑交易报告管理办法》《中国人民银行关于&lt;金融机构大额交易和可疑交易报告管理办法&gt;有关执行要求的通知》《保险业反洗钱工作管理办法》等法律法规及监管规定，有效落实相关反洗钱义务。</w:t>
      </w:r>
      <w:r>
        <w:rPr>
          <w:rFonts w:hint="eastAsia" w:ascii="仿宋_GB2312" w:hAnsi="仿宋_GB2312" w:eastAsia="仿宋_GB2312" w:cs="仿宋_GB2312"/>
          <w:sz w:val="21"/>
          <w:szCs w:val="21"/>
          <w:lang w:val="en-US" w:eastAsia="zh-CN" w:bidi="ar"/>
        </w:rPr>
        <w:t xml:space="preserve">  </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乙方应当严格按照法律规定和合同约定履行客户尽职调查、客户身份资料和交易记录保存等义务，使甲方及所属机构在办理业务时能够立即从乙方获取客户尽职调查的必要信息、身份证件或者其他身份证明文件等资料的复印件或者影印件。对于客户为法人或者非法人组织的，乙方应当识别并采取合理措施核实客户的受益所有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甲方承担未履行客户身份识别义务的最终责任，乙方承担相应责任。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甲乙双方应按照人民银行的有关规定依法履行大额可疑交易的报告义务，双方积极协助对方开展大额可疑交易的调查，并依法在必要时向对方提供国家权力机关调查所需的客户资料信息；乙方及其业务人员以现金方式收取保费的，应当及时将现金投保情况告知甲方；乙方收取客户现金保费达到大额交易报告标准的，无论以何种方式与甲方结算，乙方均应当提交大额交易报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3.为了更好的开展客户尽职调查工作，乙方应当开展反洗钱培训，必要时甲方向乙方提供协助。</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4.甲乙双方对获取的资料做好反洗钱保密工作，非依法律规定，不得向任何单位和个人提供。</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5.本协议未规定的其他反洗钱义务，参照法律法规执行；在本协议有效期间，法律法规就甲乙双方反洗钱义务有新规定的，应按照新规定执行。</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b/>
          <w:bCs/>
          <w:sz w:val="21"/>
          <w:szCs w:val="21"/>
          <w:lang w:val="en-US" w:eastAsia="zh-CN" w:bidi="ar"/>
        </w:rPr>
      </w:pPr>
      <w:r>
        <w:rPr>
          <w:rFonts w:hint="eastAsia" w:ascii="仿宋_GB2312" w:hAnsi="仿宋_GB2312" w:eastAsia="仿宋_GB2312" w:cs="仿宋_GB2312"/>
          <w:b/>
          <w:bCs/>
          <w:sz w:val="21"/>
          <w:szCs w:val="21"/>
          <w:lang w:val="en-US" w:eastAsia="zh-CN" w:bidi="ar"/>
        </w:rPr>
        <w:t>二、消费者权益保护条款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1.双方应严格按照相关法律法规要求履行消费者权益保护相关责任和义务。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4.如乙方开展营销的，应履行销售适当性义务，建立适当性管理机制，严格落实监管机构对适当性管理的要求。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5.甲方不得利用业务便利，强制指定乙方为消费者提供收费服务。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6.甲、乙双方应建立健全消费者投诉处理机制，明示消费者投诉渠道和方式，完善投诉数据统计，妥善对接和处理合作过程中发生的保险消费纠纷。就消费投诉，</w:t>
      </w:r>
      <w:r>
        <w:rPr>
          <w:rFonts w:hint="eastAsia" w:ascii="仿宋_GB2312" w:hAnsi="仿宋_GB2312" w:eastAsia="仿宋_GB2312" w:cs="仿宋_GB2312"/>
          <w:sz w:val="21"/>
          <w:szCs w:val="21"/>
          <w:lang w:val="zh-CN" w:eastAsia="zh-CN" w:bidi="ar"/>
        </w:rPr>
        <w:t>应积极落实首问负责制，在</w:t>
      </w:r>
      <w:r>
        <w:rPr>
          <w:rFonts w:hint="eastAsia" w:ascii="仿宋_GB2312" w:hAnsi="仿宋_GB2312" w:eastAsia="仿宋_GB2312" w:cs="仿宋_GB2312"/>
          <w:sz w:val="21"/>
          <w:szCs w:val="21"/>
          <w:lang w:val="en-US" w:eastAsia="zh-CN" w:bidi="ar"/>
        </w:rPr>
        <w:t>消费者</w:t>
      </w:r>
      <w:r>
        <w:rPr>
          <w:rFonts w:hint="eastAsia" w:ascii="仿宋_GB2312" w:hAnsi="仿宋_GB2312" w:eastAsia="仿宋_GB2312" w:cs="仿宋_GB2312"/>
          <w:sz w:val="21"/>
          <w:szCs w:val="21"/>
          <w:lang w:val="zh-CN" w:eastAsia="zh-CN" w:bidi="ar"/>
        </w:rPr>
        <w:t>投诉发生的第一时间及时处理并</w:t>
      </w:r>
      <w:r>
        <w:rPr>
          <w:rFonts w:hint="eastAsia" w:ascii="仿宋_GB2312" w:hAnsi="仿宋_GB2312" w:eastAsia="仿宋_GB2312" w:cs="仿宋_GB2312"/>
          <w:sz w:val="21"/>
          <w:szCs w:val="21"/>
          <w:lang w:val="en-US" w:eastAsia="zh-CN" w:bidi="ar"/>
        </w:rPr>
        <w:t>妥善</w:t>
      </w:r>
      <w:r>
        <w:rPr>
          <w:rFonts w:hint="eastAsia" w:ascii="仿宋_GB2312" w:hAnsi="仿宋_GB2312" w:eastAsia="仿宋_GB2312" w:cs="仿宋_GB2312"/>
          <w:sz w:val="21"/>
          <w:szCs w:val="21"/>
          <w:lang w:val="zh-CN" w:eastAsia="zh-CN" w:bidi="ar"/>
        </w:rPr>
        <w:t>解决，依法</w:t>
      </w:r>
      <w:r>
        <w:rPr>
          <w:rFonts w:hint="eastAsia" w:ascii="仿宋_GB2312" w:hAnsi="仿宋_GB2312" w:eastAsia="仿宋_GB2312" w:cs="仿宋_GB2312"/>
          <w:sz w:val="21"/>
          <w:szCs w:val="21"/>
          <w:lang w:val="en-US" w:eastAsia="zh-CN" w:bidi="ar"/>
        </w:rPr>
        <w:t>合规</w:t>
      </w:r>
      <w:r>
        <w:rPr>
          <w:rFonts w:hint="eastAsia" w:ascii="仿宋_GB2312" w:hAnsi="仿宋_GB2312" w:eastAsia="仿宋_GB2312" w:cs="仿宋_GB2312"/>
          <w:sz w:val="21"/>
          <w:szCs w:val="21"/>
          <w:lang w:val="zh-CN" w:eastAsia="zh-CN" w:bidi="ar"/>
        </w:rPr>
        <w:t>开展</w:t>
      </w:r>
      <w:r>
        <w:rPr>
          <w:rFonts w:hint="eastAsia" w:ascii="仿宋_GB2312" w:hAnsi="仿宋_GB2312" w:eastAsia="仿宋_GB2312" w:cs="仿宋_GB2312"/>
          <w:sz w:val="21"/>
          <w:szCs w:val="21"/>
          <w:lang w:val="en-US" w:eastAsia="zh-CN" w:bidi="ar"/>
        </w:rPr>
        <w:t>消费者</w:t>
      </w:r>
      <w:r>
        <w:rPr>
          <w:rFonts w:hint="eastAsia" w:ascii="仿宋_GB2312" w:hAnsi="仿宋_GB2312" w:eastAsia="仿宋_GB2312" w:cs="仿宋_GB2312"/>
          <w:sz w:val="21"/>
          <w:szCs w:val="21"/>
          <w:lang w:val="zh-CN" w:eastAsia="zh-CN" w:bidi="ar"/>
        </w:rPr>
        <w:t>投诉处理工作，避免</w:t>
      </w:r>
      <w:r>
        <w:rPr>
          <w:rFonts w:hint="eastAsia" w:ascii="仿宋_GB2312" w:hAnsi="仿宋_GB2312" w:eastAsia="仿宋_GB2312" w:cs="仿宋_GB2312"/>
          <w:sz w:val="21"/>
          <w:szCs w:val="21"/>
          <w:lang w:val="en-US" w:eastAsia="zh-CN" w:bidi="ar"/>
        </w:rPr>
        <w:t>事态</w:t>
      </w:r>
      <w:r>
        <w:rPr>
          <w:rFonts w:hint="eastAsia" w:ascii="仿宋_GB2312" w:hAnsi="仿宋_GB2312" w:eastAsia="仿宋_GB2312" w:cs="仿宋_GB2312"/>
          <w:sz w:val="21"/>
          <w:szCs w:val="21"/>
          <w:lang w:val="zh-CN" w:eastAsia="zh-CN" w:bidi="ar"/>
        </w:rPr>
        <w:t>扩大产生</w:t>
      </w:r>
      <w:r>
        <w:rPr>
          <w:rFonts w:hint="eastAsia" w:ascii="仿宋_GB2312" w:hAnsi="仿宋_GB2312" w:eastAsia="仿宋_GB2312" w:cs="仿宋_GB2312"/>
          <w:sz w:val="21"/>
          <w:szCs w:val="21"/>
          <w:lang w:val="en-US" w:eastAsia="zh-CN" w:bidi="ar"/>
        </w:rPr>
        <w:t>负面</w:t>
      </w:r>
      <w:r>
        <w:rPr>
          <w:rFonts w:hint="eastAsia" w:ascii="仿宋_GB2312" w:hAnsi="仿宋_GB2312" w:eastAsia="仿宋_GB2312" w:cs="仿宋_GB2312"/>
          <w:sz w:val="21"/>
          <w:szCs w:val="21"/>
          <w:lang w:val="zh-CN" w:eastAsia="zh-CN" w:bidi="ar"/>
        </w:rPr>
        <w:t>影响。</w:t>
      </w:r>
      <w:r>
        <w:rPr>
          <w:rFonts w:hint="eastAsia" w:ascii="仿宋_GB2312" w:hAnsi="仿宋_GB2312" w:eastAsia="仿宋_GB2312" w:cs="仿宋_GB2312"/>
          <w:sz w:val="21"/>
          <w:szCs w:val="21"/>
          <w:lang w:val="en-US" w:eastAsia="zh-CN" w:bidi="ar"/>
        </w:rPr>
        <w:t>双方在投诉处理过程中应积极做好与政府、监管部门、新闻媒体等机构的沟通协调，防范风险扩散。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7.甲、乙双方应根据消费者投诉反映出的问题积极进行溯源改进，查找服务薄弱环节和风险隐患，从源头上减少消费投诉的发生，提高服务水平，加强保险消费者权益保护。</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8.对于客户投诉较多、设计上存在缺陷的保险产品或服务，乙方及时通知甲方，并按照甲方要求妥善处理相关事宜，包括停止销售或提供服务等。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9.甲、乙双方建立重大事件应急处理合作机制，密切关注群访群诉、群体性退保等事件，建立重大事项报告制度和问题处理应对预案，妥善处理客户纠纷，防止事态扩大。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10.甲、乙双方均应严格遵照有关监管规定，全面、真实、客观地进行信息披露，不得有虚假记载、误导性陈述和重大遗漏。</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11.甲、乙双方应建立消费者权益保护内部培训机制，对从业人员开展消费者权益保护培训，提升培训效能，强化员工消费者权益保护意识。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pStyle w:val="208"/>
        <w:rPr>
          <w:rFonts w:hint="eastAsia"/>
          <w:lang w:val="en-US" w:eastAsia="zh-CN"/>
        </w:rPr>
      </w:pP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 xml:space="preserve"> </w:t>
      </w:r>
    </w:p>
    <w:p>
      <w:pPr>
        <w:pStyle w:val="188"/>
        <w:rPr>
          <w:rFonts w:hint="eastAsia" w:ascii="仿宋_GB2312" w:hAnsi="仿宋_GB2312" w:eastAsia="仿宋_GB2312" w:cs="仿宋_GB2312"/>
          <w:b/>
          <w:bCs/>
          <w:sz w:val="24"/>
          <w:szCs w:val="24"/>
          <w:lang w:val="en-US" w:eastAsia="zh-CN" w:bidi="ar"/>
        </w:rPr>
        <w:sectPr>
          <w:headerReference r:id="rId9" w:type="default"/>
          <w:footerReference r:id="rId10" w:type="default"/>
          <w:pgSz w:w="11906" w:h="16838"/>
          <w:pgMar w:top="1417" w:right="1134" w:bottom="1134" w:left="1134" w:header="851" w:footer="992" w:gutter="0"/>
          <w:cols w:space="1701" w:num="1"/>
          <w:titlePg/>
        </w:sectPr>
      </w:pPr>
    </w:p>
    <w:p>
      <w:pPr>
        <w:pStyle w:val="193"/>
        <w:pageBreakBefore/>
        <w:ind w:left="0" w:firstLine="0"/>
        <w:jc w:val="center"/>
        <w:rPr>
          <w:rFonts w:ascii="仿宋_GB2312" w:hAnsi="宋体" w:eastAsia="仿宋_GB2312"/>
          <w:color w:val="000000"/>
          <w:sz w:val="28"/>
          <w:szCs w:val="28"/>
        </w:rPr>
      </w:pPr>
      <w:bookmarkStart w:id="128" w:name="_Toc4181"/>
      <w:bookmarkStart w:id="129" w:name="_Toc31991"/>
      <w:r>
        <w:rPr>
          <w:rFonts w:hint="eastAsia" w:ascii="仿宋_GB2312" w:hAnsi="宋体" w:eastAsia="仿宋_GB2312"/>
          <w:color w:val="000000"/>
          <w:sz w:val="28"/>
          <w:szCs w:val="28"/>
        </w:rPr>
        <w:t>第五章 采购</w:t>
      </w:r>
      <w:bookmarkEnd w:id="128"/>
      <w:r>
        <w:rPr>
          <w:rFonts w:hint="eastAsia" w:ascii="仿宋_GB2312" w:hAnsi="宋体" w:eastAsia="仿宋_GB2312"/>
          <w:color w:val="000000"/>
          <w:sz w:val="28"/>
          <w:szCs w:val="28"/>
        </w:rPr>
        <w:t>需求</w:t>
      </w:r>
      <w:bookmarkEnd w:id="129"/>
    </w:p>
    <w:p>
      <w:pPr>
        <w:keepNext w:val="0"/>
        <w:keepLines w:val="0"/>
        <w:pageBreakBefore w:val="0"/>
        <w:widowControl w:val="0"/>
        <w:numPr>
          <w:ilvl w:val="0"/>
          <w:numId w:val="5"/>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采购项目背景</w:t>
      </w:r>
    </w:p>
    <w:p>
      <w:pPr>
        <w:keepNext w:val="0"/>
        <w:keepLines w:val="0"/>
        <w:pageBreakBefore w:val="0"/>
        <w:widowControl w:val="0"/>
        <w:numPr>
          <w:ilvl w:val="0"/>
          <w:numId w:val="0"/>
        </w:numPr>
        <w:suppressLineNumbers w:val="0"/>
        <w:bidi w:val="0"/>
        <w:spacing w:beforeAutospacing="0" w:afterAutospacing="0" w:line="600" w:lineRule="exact"/>
        <w:ind w:left="48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为进一步密切客户联系、稳固客户资源、拓宽业务增长渠道，拟依托邮政银行网点播放机滚动播放金融产品及服务内容，常态化开展品牌宣传与客户引流。通过普及金融知识、展示产品优势与服务特色，增强客户对我司产品价值的认知度，彰显专业服务能力，提升客户信任度与认同感。为客户转化与业务增收奠定基础，推动各项业务指标稳步提升。</w:t>
      </w:r>
    </w:p>
    <w:p>
      <w:pPr>
        <w:keepNext w:val="0"/>
        <w:keepLines w:val="0"/>
        <w:pageBreakBefore w:val="0"/>
        <w:widowControl w:val="0"/>
        <w:numPr>
          <w:ilvl w:val="0"/>
          <w:numId w:val="5"/>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采购内容</w:t>
      </w:r>
    </w:p>
    <w:p>
      <w:pPr>
        <w:keepNext w:val="0"/>
        <w:keepLines w:val="0"/>
        <w:pageBreakBefore w:val="0"/>
        <w:widowControl w:val="0"/>
        <w:numPr>
          <w:ilvl w:val="0"/>
          <w:numId w:val="0"/>
        </w:numPr>
        <w:suppressLineNumbers w:val="0"/>
        <w:bidi w:val="0"/>
        <w:spacing w:beforeAutospacing="0" w:afterAutospacing="0" w:line="600" w:lineRule="exact"/>
        <w:ind w:left="48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拟选取一家具有良好商业信誉和专业技术能力，有宣传授权资质的供应商，为线上服务团队在全市区域内的邮政银行播放机进行车险品牌宣传服务活动，宣传周期为12个月。</w:t>
      </w:r>
    </w:p>
    <w:p>
      <w:pPr>
        <w:keepNext w:val="0"/>
        <w:keepLines w:val="0"/>
        <w:pageBreakBefore w:val="0"/>
        <w:widowControl w:val="0"/>
        <w:numPr>
          <w:ilvl w:val="0"/>
          <w:numId w:val="5"/>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采购数量（“该数量为预估，仅作为供应商报价依据，不作为采购方承诺，最终据</w:t>
      </w:r>
    </w:p>
    <w:p>
      <w:pPr>
        <w:pStyle w:val="188"/>
        <w:rPr>
          <w:sz w:val="21"/>
          <w:szCs w:val="21"/>
          <w:lang w:val="en-US" w:eastAsia="zh-CN"/>
        </w:rPr>
      </w:pPr>
      <w:r>
        <w:rPr>
          <w:rFonts w:hint="eastAsia" w:ascii="仿宋_GB2312" w:hAnsi="仿宋_GB2312" w:eastAsia="仿宋_GB2312" w:cs="仿宋_GB2312"/>
          <w:sz w:val="21"/>
          <w:szCs w:val="21"/>
          <w:lang w:val="en-US" w:eastAsia="zh-CN" w:bidi="ar"/>
        </w:rPr>
        <w:t xml:space="preserve">    实结算”）</w:t>
      </w:r>
    </w:p>
    <w:p>
      <w:pPr>
        <w:keepNext w:val="0"/>
        <w:keepLines w:val="0"/>
        <w:pageBreakBefore w:val="0"/>
        <w:widowControl w:val="0"/>
        <w:numPr>
          <w:ilvl w:val="0"/>
          <w:numId w:val="0"/>
        </w:numPr>
        <w:spacing w:beforeAutospacing="0" w:afterAutospacing="0" w:line="600" w:lineRule="exact"/>
        <w:ind w:left="480" w:right="0" w:firstLine="480"/>
        <w:jc w:val="both"/>
        <w:rPr>
          <w:rFonts w:hint="eastAsia" w:ascii="仿宋_GB2312" w:hAnsi="仿宋_GB2312" w:eastAsia="仿宋_GB2312" w:cs="仿宋_GB2312"/>
          <w:sz w:val="21"/>
          <w:szCs w:val="21"/>
          <w:lang w:val="en-US" w:eastAsia="zh-CN" w:bidi="ar"/>
          <w14:ligatures w14:val="none"/>
        </w:rPr>
      </w:pPr>
      <w:r>
        <w:rPr>
          <w:rFonts w:hint="eastAsia" w:ascii="仿宋_GB2312" w:hAnsi="仿宋_GB2312" w:eastAsia="仿宋_GB2312" w:cs="仿宋_GB2312"/>
          <w:sz w:val="21"/>
          <w:szCs w:val="21"/>
          <w:lang w:val="en-US" w:eastAsia="zh-CN" w:bidi="ar"/>
        </w:rPr>
        <w:t>拟采购100台邮政银行播放机进行宣传。</w:t>
      </w:r>
    </w:p>
    <w:p>
      <w:pPr>
        <w:keepNext w:val="0"/>
        <w:keepLines w:val="0"/>
        <w:pageBreakBefore w:val="0"/>
        <w:widowControl w:val="0"/>
        <w:numPr>
          <w:ilvl w:val="0"/>
          <w:numId w:val="5"/>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付款方式（应与合同条款中相关描述保持一致）</w:t>
      </w:r>
    </w:p>
    <w:p>
      <w:pPr>
        <w:pageBreakBefore w:val="0"/>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1.本合同使用货币种类为人民币。</w:t>
      </w:r>
    </w:p>
    <w:p>
      <w:pPr>
        <w:pageBreakBefore w:val="0"/>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 付款方式：银行转账，甲方应向乙方以下账户进行支付：</w:t>
      </w:r>
    </w:p>
    <w:p>
      <w:pPr>
        <w:pageBreakBefore w:val="0"/>
        <w:bidi w:val="0"/>
        <w:spacing w:after="120"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开户行：</w:t>
      </w:r>
    </w:p>
    <w:p>
      <w:pPr>
        <w:pageBreakBefore w:val="0"/>
        <w:bidi w:val="0"/>
        <w:spacing w:after="120"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账户名称：</w:t>
      </w:r>
    </w:p>
    <w:p>
      <w:pPr>
        <w:pageBreakBefore w:val="0"/>
        <w:bidi w:val="0"/>
        <w:spacing w:after="120"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账号：</w:t>
      </w:r>
    </w:p>
    <w:p>
      <w:pPr>
        <w:pageBreakBefore w:val="0"/>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乙方如需改变上述账户，应提前10日以书面通知甲方。</w:t>
      </w:r>
    </w:p>
    <w:p>
      <w:pPr>
        <w:pageBreakBefore w:val="0"/>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3.付款安排</w:t>
      </w:r>
    </w:p>
    <w:p>
      <w:pPr>
        <w:pageBreakBefore w:val="0"/>
        <w:bidi w:val="0"/>
        <w:spacing w:line="600" w:lineRule="exact"/>
        <w:ind w:left="480"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我司与服务商双方根据辖内各区域实际宣传数量按月对涉及区域分别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pPr>
        <w:pageBreakBefore w:val="0"/>
        <w:numPr>
          <w:ilvl w:val="0"/>
          <w:numId w:val="0"/>
        </w:numPr>
        <w:bidi w:val="0"/>
        <w:spacing w:line="600" w:lineRule="exact"/>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        4、</w:t>
      </w:r>
      <w:r>
        <w:rPr>
          <w:rFonts w:hint="eastAsia" w:ascii="仿宋_GB2312" w:hAnsi="仿宋_GB2312" w:eastAsia="仿宋_GB2312" w:cs="仿宋_GB2312"/>
          <w:sz w:val="21"/>
          <w:szCs w:val="21"/>
        </w:rPr>
        <w:t>乙方应向甲方开具专用增值税发票，甲方开票信息如下：</w:t>
      </w:r>
    </w:p>
    <w:p>
      <w:pPr>
        <w:pageBreakBefore w:val="0"/>
        <w:numPr>
          <w:ilvl w:val="0"/>
          <w:numId w:val="0"/>
        </w:numPr>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公司名称：中国人民财产保险股份有限公司资阳市分公司</w:t>
      </w:r>
    </w:p>
    <w:p>
      <w:pPr>
        <w:pageBreakBefore w:val="0"/>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纳税人识别号：</w:t>
      </w:r>
      <w:r>
        <w:rPr>
          <w:rFonts w:hint="eastAsia" w:ascii="仿宋_GB2312" w:hAnsi="仿宋_GB2312" w:eastAsia="仿宋_GB2312" w:cs="仿宋_GB2312"/>
          <w:sz w:val="21"/>
          <w:szCs w:val="21"/>
          <w:lang w:val="en-US" w:eastAsia="zh-CN"/>
        </w:rPr>
        <w:t xml:space="preserve">91512000731638278R </w:t>
      </w:r>
    </w:p>
    <w:p>
      <w:pPr>
        <w:pageBreakBefore w:val="0"/>
        <w:bidi w:val="0"/>
        <w:spacing w:line="600" w:lineRule="exact"/>
        <w:ind w:left="480"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地址：</w:t>
      </w:r>
      <w:r>
        <w:rPr>
          <w:rFonts w:hint="eastAsia" w:ascii="仿宋_GB2312" w:hAnsi="仿宋_GB2312" w:eastAsia="仿宋_GB2312" w:cs="仿宋_GB2312"/>
          <w:sz w:val="21"/>
          <w:szCs w:val="21"/>
          <w:lang w:val="en-US" w:eastAsia="zh-CN"/>
        </w:rPr>
        <w:t>四川省资阳市雁江区宝台镇黄泥村弘城水韵和中城建.新城市广场（一期）25号楼25（F）</w:t>
      </w:r>
    </w:p>
    <w:p>
      <w:pPr>
        <w:pageBreakBefore w:val="0"/>
        <w:bidi w:val="0"/>
        <w:spacing w:line="600" w:lineRule="exact"/>
        <w:ind w:firstLine="960"/>
        <w:jc w:val="left"/>
        <w:outlineLvl w:val="9"/>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电话：028-26758789</w:t>
      </w:r>
    </w:p>
    <w:p>
      <w:pPr>
        <w:pageBreakBefore w:val="0"/>
        <w:bidi w:val="0"/>
        <w:spacing w:line="600" w:lineRule="exact"/>
        <w:ind w:firstLine="960"/>
        <w:jc w:val="left"/>
        <w:outlineLvl w:val="9"/>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开户银行名称：中国工商银行股份有限公司资阳分行</w:t>
      </w:r>
    </w:p>
    <w:p>
      <w:pPr>
        <w:pageBreakBefore w:val="0"/>
        <w:bidi w:val="0"/>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开户银行帐号：2307488109023100417</w:t>
      </w:r>
    </w:p>
    <w:p>
      <w:pPr>
        <w:pageBreakBefore w:val="0"/>
        <w:bidi w:val="0"/>
        <w:spacing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乙方如需改变上述账户，应提前10日以书面通知甲方。</w:t>
      </w:r>
    </w:p>
    <w:p>
      <w:pPr>
        <w:pStyle w:val="188"/>
        <w:numPr>
          <w:ilvl w:val="0"/>
          <w:numId w:val="0"/>
        </w:numPr>
        <w:ind w:left="480"/>
        <w:rPr>
          <w:rFonts w:hint="eastAsia"/>
          <w:sz w:val="21"/>
          <w:szCs w:val="21"/>
          <w:lang w:val="en-US" w:eastAsia="zh-CN"/>
        </w:rPr>
      </w:pP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五、服务要求</w:t>
      </w:r>
    </w:p>
    <w:p>
      <w:pPr>
        <w:keepNext w:val="0"/>
        <w:keepLines w:val="0"/>
        <w:pageBreakBefore w:val="0"/>
        <w:widowControl/>
        <w:bidi w:val="0"/>
        <w:spacing w:line="600" w:lineRule="exact"/>
        <w:ind w:firstLine="7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乙方向甲方提供的</w:t>
      </w:r>
      <w:r>
        <w:rPr>
          <w:rFonts w:hint="eastAsia" w:ascii="仿宋_GB2312" w:hAnsi="仿宋_GB2312" w:eastAsia="仿宋_GB2312" w:cs="仿宋_GB2312"/>
          <w:sz w:val="21"/>
          <w:szCs w:val="21"/>
          <w:lang w:eastAsia="zh-CN"/>
        </w:rPr>
        <w:t>宣传</w:t>
      </w:r>
      <w:r>
        <w:rPr>
          <w:rFonts w:hint="eastAsia" w:ascii="仿宋_GB2312" w:hAnsi="仿宋_GB2312" w:eastAsia="仿宋_GB2312" w:cs="仿宋_GB2312"/>
          <w:sz w:val="21"/>
          <w:szCs w:val="21"/>
        </w:rPr>
        <w:t>内容</w:t>
      </w:r>
    </w:p>
    <w:p>
      <w:pPr>
        <w:widowControl/>
        <w:spacing w:line="600" w:lineRule="exact"/>
        <w:ind w:firstLine="64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本项目</w:t>
      </w:r>
      <w:r>
        <w:rPr>
          <w:rFonts w:hint="eastAsia" w:ascii="仿宋_GB2312" w:hAnsi="仿宋_GB2312" w:eastAsia="仿宋_GB2312" w:cs="仿宋_GB2312"/>
          <w:sz w:val="21"/>
          <w:szCs w:val="21"/>
          <w:lang w:val="en-US" w:eastAsia="zh-CN"/>
        </w:rPr>
        <w:t>拟采购一家具有良好商业信誉和专业技术能力，有宣传授权资质的供应商，为线上服务团队在全市区域内的邮政银行播放机进行车险品牌宣传服务</w:t>
      </w:r>
      <w:r>
        <w:rPr>
          <w:rFonts w:hint="eastAsia" w:ascii="仿宋_GB2312" w:hAnsi="仿宋_GB2312" w:eastAsia="仿宋_GB2312" w:cs="仿宋_GB2312"/>
          <w:sz w:val="21"/>
          <w:szCs w:val="21"/>
        </w:rPr>
        <w:t>。具体服务要求如下：</w:t>
      </w:r>
    </w:p>
    <w:p>
      <w:pPr>
        <w:widowControl/>
        <w:numPr>
          <w:ilvl w:val="0"/>
          <w:numId w:val="6"/>
        </w:numPr>
        <w:spacing w:line="600" w:lineRule="exact"/>
        <w:ind w:firstLine="640"/>
        <w:jc w:val="lef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服务期限：    年     月     日至     年    月     日。</w:t>
      </w:r>
    </w:p>
    <w:p>
      <w:pPr>
        <w:widowControl/>
        <w:numPr>
          <w:ilvl w:val="0"/>
          <w:numId w:val="6"/>
        </w:numPr>
        <w:spacing w:line="600" w:lineRule="exact"/>
        <w:ind w:firstLine="64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本项目服务期限</w:t>
      </w:r>
      <w:r>
        <w:rPr>
          <w:rFonts w:hint="eastAsia" w:ascii="仿宋_GB2312" w:hAnsi="仿宋_GB2312" w:eastAsia="仿宋_GB2312" w:cs="仿宋_GB2312"/>
          <w:sz w:val="21"/>
          <w:szCs w:val="21"/>
          <w:lang w:val="en-US" w:eastAsia="zh-CN"/>
        </w:rPr>
        <w:t>12个月</w:t>
      </w:r>
    </w:p>
    <w:p>
      <w:pPr>
        <w:widowControl/>
        <w:numPr>
          <w:ilvl w:val="0"/>
          <w:numId w:val="0"/>
        </w:numPr>
        <w:spacing w:line="600" w:lineRule="exact"/>
        <w:ind w:firstLine="72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服务标准</w:t>
      </w:r>
    </w:p>
    <w:p>
      <w:pPr>
        <w:keepNext w:val="0"/>
        <w:keepLines w:val="0"/>
        <w:pageBreakBefore w:val="0"/>
        <w:widowControl/>
        <w:bidi w:val="0"/>
        <w:spacing w:line="600" w:lineRule="exact"/>
        <w:ind w:firstLine="96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宣传服务受众面广，并符合国家相关法规。</w:t>
      </w:r>
    </w:p>
    <w:p>
      <w:pPr>
        <w:keepNext w:val="0"/>
        <w:keepLines w:val="0"/>
        <w:pageBreakBefore w:val="0"/>
        <w:widowControl/>
        <w:bidi w:val="0"/>
        <w:spacing w:line="600" w:lineRule="exact"/>
        <w:ind w:firstLine="72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3、</w:t>
      </w:r>
      <w:r>
        <w:rPr>
          <w:rFonts w:hint="eastAsia" w:ascii="仿宋_GB2312" w:hAnsi="仿宋_GB2312" w:eastAsia="仿宋_GB2312" w:cs="仿宋_GB2312"/>
          <w:sz w:val="21"/>
          <w:szCs w:val="21"/>
        </w:rPr>
        <w:t>告知</w:t>
      </w:r>
    </w:p>
    <w:p>
      <w:pPr>
        <w:keepNext w:val="0"/>
        <w:keepLines w:val="0"/>
        <w:pageBreakBefore w:val="0"/>
        <w:widowControl/>
        <w:bidi w:val="0"/>
        <w:spacing w:line="600" w:lineRule="exact"/>
        <w:ind w:firstLine="7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甲乙双方同意涉及本合同的一切事宜均以书面形式提交，双方应及时响应。</w:t>
      </w:r>
    </w:p>
    <w:p>
      <w:pPr>
        <w:rPr>
          <w:sz w:val="21"/>
          <w:szCs w:val="21"/>
        </w:rPr>
      </w:pPr>
    </w:p>
    <w:p>
      <w:pPr>
        <w:pStyle w:val="188"/>
        <w:rPr>
          <w:sz w:val="21"/>
          <w:szCs w:val="21"/>
        </w:rPr>
      </w:pPr>
    </w:p>
    <w:p>
      <w:pPr>
        <w:pStyle w:val="188"/>
        <w:rPr>
          <w:sz w:val="21"/>
          <w:szCs w:val="21"/>
        </w:rPr>
      </w:pPr>
    </w:p>
    <w:p>
      <w:pPr>
        <w:pStyle w:val="188"/>
      </w:pPr>
    </w:p>
    <w:p>
      <w:pPr>
        <w:pStyle w:val="188"/>
      </w:pPr>
    </w:p>
    <w:p>
      <w:pPr>
        <w:pStyle w:val="188"/>
      </w:pPr>
    </w:p>
    <w:p>
      <w:pPr>
        <w:pStyle w:val="188"/>
      </w:pPr>
    </w:p>
    <w:p>
      <w:pPr>
        <w:pStyle w:val="193"/>
        <w:spacing w:before="0" w:after="0"/>
        <w:jc w:val="left"/>
        <w:rPr>
          <w:rFonts w:ascii="仿宋" w:hAnsi="仿宋" w:eastAsia="仿宋" w:cs="仿宋"/>
          <w:b/>
          <w:color w:val="000000"/>
        </w:rPr>
      </w:pPr>
      <w:bookmarkStart w:id="130" w:name="_Toc12300"/>
      <w:bookmarkStart w:id="131" w:name="_Toc3675"/>
      <w:bookmarkStart w:id="132" w:name="_Toc9891"/>
      <w:r>
        <w:rPr>
          <w:rFonts w:hint="eastAsia" w:ascii="仿宋" w:hAnsi="仿宋" w:eastAsia="仿宋" w:cs="仿宋"/>
          <w:sz w:val="28"/>
          <w:szCs w:val="28"/>
        </w:rPr>
        <w:t>第六章 响应文件格式</w:t>
      </w:r>
      <w:bookmarkEnd w:id="130"/>
      <w:bookmarkEnd w:id="131"/>
    </w:p>
    <w:tbl>
      <w:tblPr>
        <w:tblStyle w:val="28"/>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98"/>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198"/>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198"/>
              <w:ind w:right="-284" w:firstLine="2240"/>
              <w:rPr>
                <w:rFonts w:ascii="仿宋" w:hAnsi="仿宋" w:eastAsia="仿宋" w:cs="仿宋"/>
                <w:color w:val="000000"/>
                <w:sz w:val="28"/>
                <w:u w:val="single"/>
              </w:rPr>
            </w:pPr>
          </w:p>
          <w:p>
            <w:pPr>
              <w:pStyle w:val="198"/>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比价响应文件</w:t>
            </w:r>
          </w:p>
          <w:p>
            <w:pPr>
              <w:pStyle w:val="198"/>
              <w:spacing w:before="624" w:after="156" w:line="160" w:lineRule="atLeast"/>
              <w:ind w:right="-284"/>
              <w:jc w:val="center"/>
              <w:rPr>
                <w:rFonts w:ascii="仿宋" w:hAnsi="仿宋" w:eastAsia="仿宋" w:cs="仿宋"/>
                <w:color w:val="000000"/>
                <w:sz w:val="52"/>
              </w:rPr>
            </w:pPr>
          </w:p>
          <w:p>
            <w:pPr>
              <w:pStyle w:val="198"/>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198"/>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198"/>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198"/>
              <w:spacing w:after="624"/>
              <w:ind w:right="-284"/>
              <w:jc w:val="center"/>
              <w:rPr>
                <w:rFonts w:ascii="仿宋" w:hAnsi="仿宋" w:eastAsia="仿宋" w:cs="仿宋"/>
                <w:color w:val="000000"/>
                <w:sz w:val="24"/>
              </w:rPr>
            </w:pPr>
          </w:p>
          <w:p>
            <w:pPr>
              <w:pStyle w:val="198"/>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8"/>
        <w:tblW w:w="5000" w:type="pct"/>
        <w:tblInd w:w="-108"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98"/>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194"/>
        <w:jc w:val="both"/>
        <w:rPr>
          <w:rFonts w:ascii="仿宋" w:hAnsi="仿宋" w:eastAsia="仿宋" w:cs="仿宋"/>
          <w:color w:val="000000"/>
          <w:sz w:val="24"/>
          <w:szCs w:val="24"/>
        </w:rPr>
      </w:pPr>
      <w:bookmarkStart w:id="133" w:name="_Toc11783"/>
      <w:bookmarkStart w:id="134" w:name="_Toc21280"/>
      <w:bookmarkStart w:id="135" w:name="_Toc25957"/>
      <w:bookmarkStart w:id="136" w:name="_Toc19783362"/>
      <w:bookmarkStart w:id="137" w:name="_Toc287600131"/>
      <w:bookmarkStart w:id="138" w:name="_Toc19910"/>
      <w:bookmarkStart w:id="139" w:name="_Toc517281836"/>
      <w:bookmarkStart w:id="140" w:name="_Toc444891353"/>
      <w:bookmarkStart w:id="141" w:name="_Toc3936"/>
      <w:bookmarkStart w:id="142" w:name="_Toc19783360"/>
      <w:bookmarkStart w:id="143" w:name="_Toc287600129"/>
      <w:r>
        <w:rPr>
          <w:rFonts w:ascii="仿宋" w:hAnsi="仿宋" w:eastAsia="仿宋" w:cs="仿宋"/>
          <w:color w:val="000000"/>
          <w:sz w:val="24"/>
          <w:szCs w:val="24"/>
        </w:rPr>
        <w:br w:type="page" w:clear="all"/>
      </w:r>
      <w:bookmarkStart w:id="144" w:name="_Toc17191"/>
      <w:bookmarkStart w:id="145" w:name="_Toc6902"/>
      <w:r>
        <w:rPr>
          <w:rFonts w:hint="eastAsia" w:ascii="仿宋" w:hAnsi="仿宋" w:eastAsia="仿宋" w:cs="仿宋"/>
          <w:color w:val="000000"/>
          <w:sz w:val="24"/>
          <w:szCs w:val="24"/>
        </w:rPr>
        <w:t>一、商务文件</w:t>
      </w:r>
      <w:bookmarkEnd w:id="132"/>
      <w:bookmarkEnd w:id="133"/>
      <w:bookmarkEnd w:id="134"/>
    </w:p>
    <w:p>
      <w:pPr>
        <w:jc w:val="left"/>
      </w:pPr>
      <w:bookmarkStart w:id="146" w:name="_Toc26744"/>
      <w:r>
        <w:rPr>
          <w:rFonts w:hint="eastAsia" w:ascii="仿宋" w:hAnsi="仿宋" w:eastAsia="仿宋" w:cs="仿宋"/>
          <w:b/>
          <w:bCs/>
        </w:rPr>
        <w:t>初步评审索引表</w:t>
      </w:r>
      <w:bookmarkEnd w:id="135"/>
    </w:p>
    <w:tbl>
      <w:tblPr>
        <w:tblStyle w:val="28"/>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pStyle w:val="204"/>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pStyle w:val="204"/>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pStyle w:val="198"/>
              <w:spacing w:before="48" w:after="48"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top"/>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lang w:eastAsia="zh-CN"/>
              </w:rPr>
              <w:t>提供</w:t>
            </w:r>
            <w:r>
              <w:rPr>
                <w:rFonts w:hint="eastAsia" w:ascii="仿宋" w:hAnsi="仿宋" w:eastAsia="仿宋" w:cs="Cambria Math"/>
                <w:color w:val="000000"/>
                <w:sz w:val="22"/>
                <w:szCs w:val="21"/>
              </w:rPr>
              <w:t>依法缴纳税收和社会保障资金的良好记录</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宋体"/>
                <w:color w:val="000000"/>
                <w:szCs w:val="21"/>
              </w:rPr>
              <w:t>供应商行为准则承诺书</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000000"/>
                <w:szCs w:val="21"/>
              </w:rPr>
            </w:pPr>
          </w:p>
        </w:tc>
        <w:tc>
          <w:tcPr>
            <w:tcW w:w="1701" w:type="dxa"/>
            <w:vMerge w:val="continue"/>
            <w:tcBorders>
              <w:top w:val="single" w:color="000000" w:sz="6" w:space="0"/>
              <w:left w:val="single" w:color="000000" w:sz="6" w:space="0"/>
              <w:bottom w:val="single" w:color="000000" w:sz="6" w:space="0"/>
              <w:right w:val="single" w:color="000000" w:sz="6" w:space="0"/>
            </w:tcBorders>
            <w:noWrap w:val="0"/>
            <w:vAlign w:val="center"/>
          </w:tcPr>
          <w:p>
            <w:pPr>
              <w:spacing w:before="24" w:after="24" w:line="360" w:lineRule="auto"/>
              <w:jc w:val="center"/>
              <w:rPr>
                <w:rFonts w:ascii="仿宋" w:hAnsi="仿宋" w:eastAsia="仿宋" w:cs="仿宋"/>
                <w:color w:val="000000"/>
                <w:szCs w:val="21"/>
              </w:rPr>
            </w:pPr>
          </w:p>
        </w:tc>
        <w:tc>
          <w:tcPr>
            <w:tcW w:w="3299"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Cambria Math"/>
                <w:color w:val="auto"/>
                <w:szCs w:val="21"/>
              </w:rPr>
              <w:t>供应商偏离应答</w:t>
            </w:r>
            <w:bookmarkEnd w:id="136"/>
            <w:bookmarkEnd w:id="137"/>
            <w:bookmarkEnd w:id="138"/>
            <w:bookmarkEnd w:id="139"/>
            <w:bookmarkEnd w:id="140"/>
            <w:bookmarkEnd w:id="141"/>
            <w:bookmarkEnd w:id="142"/>
            <w:bookmarkEnd w:id="143"/>
          </w:p>
        </w:tc>
        <w:tc>
          <w:tcPr>
            <w:tcW w:w="4216" w:type="dxa"/>
            <w:tcBorders>
              <w:top w:val="single" w:color="000000" w:sz="6" w:space="0"/>
              <w:left w:val="single" w:color="000000" w:sz="6" w:space="0"/>
              <w:bottom w:val="single" w:color="000000" w:sz="6" w:space="0"/>
              <w:right w:val="single" w:color="000000" w:sz="6" w:space="0"/>
            </w:tcBorders>
            <w:noWrap w:val="0"/>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11" w:type="default"/>
          <w:pgSz w:w="11906" w:h="16838"/>
          <w:pgMar w:top="1417" w:right="1134" w:bottom="1134" w:left="1134" w:header="964" w:footer="964" w:gutter="0"/>
          <w:cols w:space="1701" w:num="1"/>
        </w:sectPr>
      </w:pPr>
    </w:p>
    <w:p>
      <w:pPr>
        <w:pStyle w:val="201"/>
        <w:spacing w:before="0" w:line="440" w:lineRule="exact"/>
        <w:rPr>
          <w:rFonts w:ascii="仿宋" w:hAnsi="仿宋" w:eastAsia="仿宋" w:cs="仿宋"/>
          <w:color w:val="000000"/>
          <w:sz w:val="24"/>
          <w:szCs w:val="24"/>
        </w:rPr>
      </w:pPr>
      <w:bookmarkStart w:id="147" w:name="_Toc27958"/>
      <w:bookmarkStart w:id="148" w:name="_Toc7202"/>
      <w:bookmarkStart w:id="149" w:name="_Toc444891354"/>
      <w:bookmarkStart w:id="150" w:name="_Toc12140"/>
      <w:bookmarkStart w:id="151" w:name="_Toc13418"/>
      <w:bookmarkStart w:id="152" w:name="_Toc25121"/>
      <w:bookmarkStart w:id="153" w:name="_Toc27799"/>
      <w:bookmarkStart w:id="154" w:name="_Toc517281837"/>
      <w:r>
        <w:rPr>
          <w:rFonts w:hint="eastAsia" w:ascii="仿宋" w:hAnsi="仿宋" w:eastAsia="仿宋" w:cs="仿宋"/>
          <w:color w:val="000000"/>
          <w:sz w:val="24"/>
          <w:szCs w:val="24"/>
        </w:rPr>
        <w:t>（一）响应函</w:t>
      </w:r>
      <w:bookmarkEnd w:id="144"/>
      <w:bookmarkEnd w:id="145"/>
    </w:p>
    <w:p>
      <w:pPr>
        <w:pStyle w:val="198"/>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致：中国人民财产保险股份有限公司资阳市分公司</w:t>
      </w:r>
      <w:r>
        <w:rPr>
          <w:rFonts w:hint="eastAsia" w:ascii="仿宋" w:hAnsi="仿宋" w:eastAsia="仿宋" w:cs="Cambria Math"/>
          <w:color w:val="000000"/>
          <w:sz w:val="24"/>
          <w:szCs w:val="24"/>
          <w:u w:val="single"/>
          <w:lang w:val="en-US" w:eastAsia="zh-CN"/>
        </w:rPr>
        <w:t xml:space="preserve"> </w:t>
      </w:r>
      <w:r>
        <w:rPr>
          <w:rFonts w:hint="eastAsia" w:ascii="仿宋" w:hAnsi="仿宋" w:eastAsia="仿宋" w:cs="Cambria Math"/>
          <w:color w:val="000000"/>
          <w:sz w:val="24"/>
          <w:szCs w:val="24"/>
          <w:u w:val="single"/>
        </w:rPr>
        <w:t xml:space="preserve">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四川省资阳市分公司线上服务团队邮政银行播放机车险宣传采</w:t>
      </w:r>
      <w:r>
        <w:rPr>
          <w:rFonts w:hint="eastAsia" w:ascii="仿宋" w:hAnsi="仿宋" w:eastAsia="仿宋" w:cs="仿宋"/>
          <w:color w:val="000000"/>
          <w:u w:val="single"/>
        </w:rPr>
        <w:t>购项目</w:t>
      </w:r>
      <w:r>
        <w:rPr>
          <w:rFonts w:hint="eastAsia" w:ascii="仿宋" w:hAnsi="仿宋" w:eastAsia="仿宋" w:cs="Cambria Math"/>
          <w:color w:val="000000"/>
          <w:u w:val="single"/>
          <w:lang w:eastAsia="zh-CN"/>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本响应函及比价响应文件自比价响应文件提交截止日起有效期为</w:t>
      </w:r>
      <w:r>
        <w:rPr>
          <w:rFonts w:hint="eastAsia" w:ascii="仿宋" w:hAnsi="仿宋" w:eastAsia="仿宋" w:cs="Cambria Math"/>
          <w:color w:val="000000"/>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，我方承诺在响应有效期内不修改、撤销比价响应文件。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（2）我方承诺按照比价文件规定递交履约保证金。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（3）我方承诺按照比价文件的规定及合同约定履行相关责任和义务。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201"/>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bookmarkEnd w:id="146"/>
      <w:bookmarkEnd w:id="147"/>
      <w:bookmarkEnd w:id="148"/>
      <w:bookmarkEnd w:id="149"/>
      <w:bookmarkEnd w:id="150"/>
      <w:bookmarkEnd w:id="151"/>
      <w:bookmarkEnd w:id="152"/>
      <w:bookmarkEnd w:id="153"/>
      <w:bookmarkStart w:id="155" w:name="_Toc13983"/>
      <w:bookmarkStart w:id="156" w:name="_Toc25959"/>
      <w:r>
        <w:rPr>
          <w:rFonts w:hint="eastAsia" w:ascii="仿宋" w:hAnsi="仿宋" w:eastAsia="仿宋" w:cs="仿宋"/>
          <w:color w:val="000000"/>
          <w:sz w:val="24"/>
          <w:szCs w:val="24"/>
        </w:rPr>
        <w:t>（二）法定代表人（负责人）身份证明书</w:t>
      </w:r>
      <w:bookmarkEnd w:id="154"/>
      <w:bookmarkEnd w:id="155"/>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spacing w:line="360" w:lineRule="auto"/>
        <w:rPr>
          <w:rFonts w:ascii="仿宋" w:hAnsi="仿宋" w:eastAsia="仿宋" w:cs="仿宋"/>
          <w:color w:val="000000"/>
        </w:rPr>
      </w:pPr>
      <w:r>
        <w:rPr>
          <w:rFonts w:hint="eastAsia" w:ascii="仿宋" w:hAnsi="仿宋" w:eastAsia="仿宋" w:cs="仿宋"/>
          <w:color w:val="000000"/>
        </w:rPr>
        <w:t>特此证明。</w:t>
      </w:r>
    </w:p>
    <w:p>
      <w:pPr>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8" name="_x0000_s102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a:solidFill>
                            <a:srgbClr val="739CC3"/>
                          </a:solidFill>
                        </a:ln>
                      </wps:spPr>
                      <wps:bodyPr rot="0">
                        <a:noAutofit/>
                      </wps:bodyPr>
                    </wps:wsp>
                  </a:graphicData>
                </a:graphic>
              </wp:anchor>
            </w:drawing>
          </mc:Choice>
          <mc:Fallback>
            <w:pict>
              <v:rect id="_x0000_s102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8wn33ZAAAACQEAAA8AAAAAAAAAAQAg&#10;AAAAIgAAAGRycy9kb3ducmV2LnhtbFBLAQIUABQAAAAIAIdO4kBd6Irw1AEAALsDAAAOAAAAAAAA&#10;AAEAIAAAACgBAABkcnMvZTJvRG9jLnhtbFBLBQYAAAAABgAGAFkBAABuBQAAAAA=&#10;">
                <v:fill on="t" focussize="0,0"/>
                <v:stroke weight="1.25pt" color="#739CC3" joinstyle="round"/>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9" name="_x0000_s102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a:solidFill>
                            <a:srgbClr val="739CC3"/>
                          </a:solidFill>
                        </a:ln>
                      </wps:spPr>
                      <wps:bodyPr rot="0">
                        <a:noAutofit/>
                      </wps:bodyPr>
                    </wps:wsp>
                  </a:graphicData>
                </a:graphic>
              </wp:anchor>
            </w:drawing>
          </mc:Choice>
          <mc:Fallback>
            <w:pict>
              <v:rect id="_x0000_s1028"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vELUltkAAAAKAQAADwAAAAAAAAABACAA&#10;AAAiAAAAZHJzL2Rvd25yZXYueG1sUEsBAhQAFAAAAAgAh07iQPi9ePDTAQAAuwMAAA4AAAAAAAAA&#10;AQAgAAAAKAEAAGRycy9lMm9Eb2MueG1sUEsFBgAAAAAGAAYAWQEAAG0FAAAAAA==&#10;">
                <v:fill on="t" focussize="0,0"/>
                <v:stroke weight="1.25pt" color="#739CC3" joinstyle="round"/>
                <v:imagedata o:title=""/>
                <o:lock v:ext="edit" aspectratio="f"/>
              </v:rect>
            </w:pict>
          </mc:Fallback>
        </mc:AlternateContent>
      </w:r>
    </w:p>
    <w:p>
      <w:pPr>
        <w:pStyle w:val="198"/>
        <w:spacing w:line="440" w:lineRule="atLeast"/>
        <w:ind w:firstLine="480"/>
        <w:jc w:val="left"/>
        <w:rPr>
          <w:rFonts w:ascii="仿宋" w:hAnsi="仿宋" w:eastAsia="仿宋" w:cs="仿宋"/>
          <w:color w:val="000000"/>
        </w:rPr>
      </w:pPr>
    </w:p>
    <w:p>
      <w:pPr>
        <w:pStyle w:val="198"/>
        <w:spacing w:line="440" w:lineRule="atLeast"/>
        <w:ind w:firstLine="480"/>
        <w:jc w:val="left"/>
        <w:rPr>
          <w:rFonts w:ascii="仿宋" w:hAnsi="仿宋" w:eastAsia="仿宋" w:cs="仿宋"/>
          <w:color w:val="000000"/>
        </w:rPr>
      </w:pPr>
    </w:p>
    <w:p>
      <w:pPr>
        <w:pStyle w:val="198"/>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201"/>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157" w:name="_Toc30356"/>
      <w:bookmarkStart w:id="158" w:name="_Toc20707"/>
      <w:bookmarkStart w:id="159" w:name="_Toc24788"/>
      <w:bookmarkStart w:id="160" w:name="_Toc287600130"/>
      <w:bookmarkStart w:id="161" w:name="_Toc444891355"/>
      <w:bookmarkStart w:id="162" w:name="_Toc5582"/>
      <w:bookmarkStart w:id="163" w:name="_Toc19783361"/>
      <w:bookmarkStart w:id="164" w:name="_Toc517281838"/>
      <w:bookmarkStart w:id="165" w:name="_Toc4426"/>
      <w:bookmarkStart w:id="166" w:name="_Toc26267"/>
      <w:r>
        <w:rPr>
          <w:rFonts w:hint="eastAsia" w:ascii="仿宋" w:hAnsi="仿宋" w:eastAsia="仿宋" w:cs="仿宋"/>
          <w:color w:val="000000"/>
          <w:sz w:val="24"/>
          <w:szCs w:val="24"/>
        </w:rPr>
        <w:t>（三）法定代表人（负责人）授权委托书</w:t>
      </w:r>
      <w:bookmarkEnd w:id="156"/>
      <w:bookmarkEnd w:id="157"/>
      <w:bookmarkEnd w:id="158"/>
      <w:bookmarkEnd w:id="159"/>
      <w:bookmarkEnd w:id="160"/>
      <w:bookmarkEnd w:id="161"/>
      <w:bookmarkEnd w:id="162"/>
      <w:bookmarkEnd w:id="163"/>
      <w:bookmarkEnd w:id="164"/>
      <w:bookmarkEnd w:id="165"/>
    </w:p>
    <w:p>
      <w:pPr>
        <w:pStyle w:val="198"/>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198"/>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比价响应文件、签订合同和处理有关事宜，其法律后果由我方承担。</w:t>
      </w:r>
    </w:p>
    <w:p>
      <w:pPr>
        <w:spacing w:line="360" w:lineRule="auto"/>
        <w:ind w:firstLine="48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之日起至比价响应有效期到期之日为止 </w:t>
      </w:r>
      <w:r>
        <w:rPr>
          <w:rFonts w:hint="eastAsia" w:ascii="仿宋" w:hAnsi="仿宋" w:eastAsia="仿宋" w:cs="Cambria Math"/>
          <w:color w:val="000000"/>
        </w:rPr>
        <w:t>。</w:t>
      </w:r>
    </w:p>
    <w:p>
      <w:pPr>
        <w:pStyle w:val="198"/>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198"/>
        <w:spacing w:line="360" w:lineRule="auto"/>
        <w:ind w:firstLine="482"/>
        <w:rPr>
          <w:rFonts w:ascii="仿宋" w:hAnsi="仿宋" w:eastAsia="仿宋" w:cs="Cambria Math"/>
          <w:b/>
          <w:bCs/>
          <w:color w:val="000000"/>
          <w:sz w:val="24"/>
          <w:szCs w:val="24"/>
        </w:rPr>
      </w:pPr>
    </w:p>
    <w:p>
      <w:pPr>
        <w:pStyle w:val="198"/>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198"/>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10" name="_x0000_s1029"/>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a:solidFill>
                            <a:srgbClr val="739CC3"/>
                          </a:solidFill>
                        </a:ln>
                      </wps:spPr>
                      <wps:bodyPr rot="0">
                        <a:noAutofit/>
                      </wps:bodyPr>
                    </wps:wsp>
                  </a:graphicData>
                </a:graphic>
              </wp:anchor>
            </w:drawing>
          </mc:Choice>
          <mc:Fallback>
            <w:pict>
              <v:rect id="_x0000_s1029" o:spid="_x0000_s1026" o:spt="1" style="position:absolute;left:0pt;margin-left:13.75pt;margin-top:4.45pt;height:152.35pt;width:220.7pt;z-index:251660288;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iCzsvYAAAACAEAAA8AAAAAAAAAAQAgAAAA&#10;IgAAAGRycy9kb3ducmV2LnhtbFBLAQIUABQAAAAIAIdO4kD2ZB880gEAALwDAAAOAAAAAAAAAAEA&#10;IAAAACcBAABkcnMvZTJvRG9jLnhtbFBLBQYAAAAABgAGAFkBAABrBQAAAAA=&#10;">
                <v:fill on="t" focussize="0,0"/>
                <v:stroke weight="1.25pt" color="#739CC3" joinstyle="round"/>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11" name="_x0000_s1030"/>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a:solidFill>
                            <a:srgbClr val="739CC3"/>
                          </a:solidFill>
                        </a:ln>
                      </wps:spPr>
                      <wps:bodyPr rot="0">
                        <a:noAutofit/>
                      </wps:bodyPr>
                    </wps:wsp>
                  </a:graphicData>
                </a:graphic>
              </wp:anchor>
            </w:drawing>
          </mc:Choice>
          <mc:Fallback>
            <w:pict>
              <v:rect id="_x0000_s1030" o:spid="_x0000_s1026" o:spt="1" style="position:absolute;left:0pt;margin-left:234.45pt;margin-top:4.45pt;height:152.35pt;width:220.7pt;z-index:25166028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wtMczYAAAACQEAAA8AAAAAAAAAAQAgAAAA&#10;IgAAAGRycy9kb3ducmV2LnhtbFBLAQIUABQAAAAIAIdO4kBnHXyC0gEAALwDAAAOAAAAAAAAAAEA&#10;IAAAACcBAABkcnMvZTJvRG9jLnhtbFBLBQYAAAAABgAGAFkBAABrBQAAAAA=&#10;">
                <v:fill on="t" focussize="0,0"/>
                <v:stroke weight="1.25pt" color="#739CC3" joinstyle="round"/>
                <v:imagedata o:title=""/>
                <o:lock v:ext="edit" aspectratio="f"/>
              </v:rect>
            </w:pict>
          </mc:Fallback>
        </mc:AlternateContent>
      </w:r>
    </w:p>
    <w:p>
      <w:pPr>
        <w:pStyle w:val="198"/>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188"/>
        <w:rPr>
          <w:rFonts w:ascii="宋体" w:hAnsi="宋体"/>
          <w:szCs w:val="21"/>
        </w:rPr>
      </w:pPr>
    </w:p>
    <w:p>
      <w:pPr>
        <w:pStyle w:val="188"/>
        <w:rPr>
          <w:rFonts w:ascii="宋体" w:hAnsi="宋体"/>
          <w:szCs w:val="21"/>
        </w:rPr>
      </w:pPr>
    </w:p>
    <w:p>
      <w:pPr>
        <w:pStyle w:val="188"/>
        <w:rPr>
          <w:rFonts w:ascii="宋体" w:hAnsi="宋体"/>
          <w:szCs w:val="21"/>
        </w:rPr>
      </w:pPr>
    </w:p>
    <w:p>
      <w:pPr>
        <w:spacing w:line="360" w:lineRule="auto"/>
        <w:ind w:right="420" w:firstLine="4200"/>
        <w:rPr>
          <w:rFonts w:hint="eastAsia" w:ascii="仿宋" w:hAnsi="仿宋" w:eastAsia="仿宋" w:cs="Cambria Math"/>
          <w:color w:val="000000"/>
        </w:rPr>
      </w:pPr>
    </w:p>
    <w:p>
      <w:pPr>
        <w:spacing w:line="360" w:lineRule="auto"/>
        <w:ind w:right="420" w:firstLine="4200"/>
        <w:rPr>
          <w:rFonts w:hint="eastAsia" w:ascii="仿宋" w:hAnsi="仿宋" w:eastAsia="仿宋" w:cs="Cambria Math"/>
          <w:color w:val="000000"/>
        </w:rPr>
      </w:pPr>
    </w:p>
    <w:p>
      <w:pPr>
        <w:spacing w:line="360" w:lineRule="auto"/>
        <w:ind w:right="420" w:firstLine="420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198"/>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spacing w:line="360" w:lineRule="auto"/>
        <w:ind w:firstLine="420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1701" w:num="1"/>
          <w:titlePg/>
        </w:sectPr>
      </w:pPr>
    </w:p>
    <w:p>
      <w:pPr>
        <w:pStyle w:val="201"/>
        <w:spacing w:before="0" w:after="0" w:line="360" w:lineRule="auto"/>
        <w:rPr>
          <w:rFonts w:ascii="仿宋" w:hAnsi="仿宋" w:eastAsia="仿宋" w:cs="仿宋"/>
          <w:color w:val="000000"/>
          <w:sz w:val="24"/>
          <w:szCs w:val="24"/>
        </w:rPr>
      </w:pPr>
      <w:bookmarkStart w:id="167" w:name="_Toc16913"/>
      <w:bookmarkStart w:id="168" w:name="_Toc517281841"/>
      <w:bookmarkStart w:id="169" w:name="_Toc30551"/>
      <w:r>
        <w:rPr>
          <w:rFonts w:hint="eastAsia" w:ascii="仿宋" w:hAnsi="仿宋" w:eastAsia="仿宋" w:cs="仿宋"/>
          <w:color w:val="000000"/>
          <w:sz w:val="24"/>
          <w:szCs w:val="24"/>
        </w:rPr>
        <w:t>（四）资格证明文件</w:t>
      </w:r>
      <w:bookmarkEnd w:id="166"/>
      <w:bookmarkEnd w:id="167"/>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98"/>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8"/>
        <w:tblW w:w="0" w:type="auto"/>
        <w:tblInd w:w="-108"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198"/>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restart"/>
            <w:tcBorders>
              <w:top w:val="nil"/>
              <w:left w:val="nil"/>
              <w:bottom w:val="nil"/>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bottom w:val="nil"/>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continue"/>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c>
          <w:tcPr>
            <w:tcW w:w="2130" w:type="dxa"/>
            <w:gridSpan w:val="2"/>
            <w:vMerge w:val="continue"/>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198"/>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98"/>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198"/>
              <w:jc w:val="center"/>
              <w:rPr>
                <w:rFonts w:ascii="仿宋" w:hAnsi="仿宋" w:eastAsia="仿宋" w:cs="仿宋"/>
                <w:color w:val="000000"/>
              </w:rPr>
            </w:pPr>
          </w:p>
        </w:tc>
      </w:tr>
    </w:tbl>
    <w:p>
      <w:pPr>
        <w:pStyle w:val="198"/>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198"/>
        <w:jc w:val="left"/>
        <w:rPr>
          <w:rFonts w:ascii="仿宋" w:hAnsi="仿宋" w:eastAsia="仿宋" w:cs="仿宋"/>
          <w:b/>
          <w:color w:val="000000"/>
        </w:rPr>
      </w:pPr>
    </w:p>
    <w:p>
      <w:pPr>
        <w:pStyle w:val="198"/>
        <w:jc w:val="left"/>
        <w:rPr>
          <w:rFonts w:ascii="仿宋" w:hAnsi="仿宋" w:eastAsia="仿宋" w:cs="仿宋"/>
          <w:b/>
          <w:color w:val="000000"/>
        </w:rPr>
      </w:pPr>
    </w:p>
    <w:p>
      <w:pPr>
        <w:pStyle w:val="198"/>
        <w:jc w:val="left"/>
        <w:rPr>
          <w:rFonts w:ascii="仿宋" w:hAnsi="仿宋" w:eastAsia="仿宋" w:cs="仿宋"/>
          <w:b/>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02"/>
        <w:spacing w:before="0" w:after="0" w:line="360" w:lineRule="auto"/>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2、财务</w:t>
      </w:r>
      <w:r>
        <w:rPr>
          <w:rFonts w:hint="eastAsia" w:ascii="仿宋" w:hAnsi="仿宋" w:eastAsia="仿宋" w:cs="仿宋"/>
          <w:color w:val="000000"/>
          <w:sz w:val="24"/>
          <w:szCs w:val="24"/>
          <w:lang w:eastAsia="zh-CN"/>
        </w:rPr>
        <w:t>报表</w:t>
      </w:r>
      <w:r>
        <w:rPr>
          <w:rFonts w:hint="eastAsia" w:ascii="仿宋" w:hAnsi="仿宋" w:eastAsia="仿宋" w:cs="仿宋"/>
          <w:color w:val="000000"/>
          <w:sz w:val="24"/>
          <w:szCs w:val="24"/>
        </w:rPr>
        <w:t>或银行资信证明</w:t>
      </w:r>
    </w:p>
    <w:p>
      <w:pPr>
        <w:spacing w:line="360" w:lineRule="auto"/>
        <w:ind w:firstLine="480"/>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color w:val="000000"/>
          <w:lang w:val="en-US" w:eastAsia="zh-CN"/>
        </w:rPr>
        <w:t>2025</w:t>
      </w:r>
      <w:r>
        <w:rPr>
          <w:rFonts w:hint="eastAsia" w:ascii="仿宋" w:hAnsi="仿宋" w:eastAsia="仿宋" w:cs="仿宋"/>
          <w:color w:val="000000"/>
        </w:rPr>
        <w:t>年度财务报表（至少包含资产负债表、现金流量表、损益表/利润表）或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188"/>
      </w:pPr>
    </w:p>
    <w:p>
      <w:pPr>
        <w:spacing w:line="360" w:lineRule="auto"/>
        <w:ind w:firstLine="480"/>
        <w:rPr>
          <w:rFonts w:ascii="仿宋" w:hAnsi="仿宋" w:eastAsia="仿宋" w:cs="仿宋"/>
          <w:color w:val="000000"/>
        </w:rPr>
      </w:pPr>
      <w:r>
        <w:rPr>
          <w:rFonts w:ascii="仿宋" w:hAnsi="仿宋" w:eastAsia="仿宋" w:cs="仿宋"/>
          <w:color w:val="000000"/>
        </w:rPr>
        <w:br w:type="page" w:clear="all"/>
      </w:r>
    </w:p>
    <w:p>
      <w:pPr>
        <w:pStyle w:val="202"/>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47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6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5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8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rPr>
          <w:rFonts w:ascii="仿宋" w:hAnsi="仿宋" w:eastAsia="仿宋"/>
          <w:b/>
          <w:color w:val="000000"/>
        </w:rPr>
      </w:pPr>
      <w:r>
        <w:rPr>
          <w:rFonts w:hint="eastAsia" w:ascii="仿宋" w:hAnsi="仿宋" w:eastAsia="仿宋"/>
          <w:b/>
          <w:color w:val="000000"/>
        </w:rPr>
        <w:t>2）按照比价公告的资格要求提供有效的实施经验证明材料，作为资格后审的评审依据。</w:t>
      </w:r>
    </w:p>
    <w:p>
      <w:pPr>
        <w:spacing w:line="360" w:lineRule="auto"/>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rPr>
          <w:rFonts w:ascii="仿宋" w:hAnsi="仿宋" w:eastAsia="仿宋" w:cs="仿宋"/>
          <w:bCs/>
          <w:color w:val="000000"/>
        </w:rPr>
      </w:pPr>
    </w:p>
    <w:p>
      <w:pPr>
        <w:pStyle w:val="209"/>
        <w:spacing w:line="360" w:lineRule="auto"/>
        <w:ind w:left="1575" w:firstLine="0"/>
        <w:rPr>
          <w:rFonts w:ascii="仿宋" w:hAnsi="仿宋" w:eastAsia="仿宋" w:cs="仿宋"/>
          <w:bCs/>
          <w:color w:val="000000"/>
        </w:rPr>
      </w:pPr>
    </w:p>
    <w:p>
      <w:pPr>
        <w:pStyle w:val="209"/>
        <w:spacing w:line="360" w:lineRule="auto"/>
        <w:ind w:left="1575" w:firstLine="0"/>
        <w:rPr>
          <w:rFonts w:ascii="仿宋" w:hAnsi="仿宋" w:eastAsia="仿宋" w:cs="仿宋"/>
          <w:bCs/>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02"/>
        <w:spacing w:before="0" w:after="0" w:line="360" w:lineRule="auto"/>
        <w:rPr>
          <w:rFonts w:ascii="仿宋" w:hAnsi="仿宋" w:eastAsia="仿宋" w:cs="仿宋"/>
          <w:color w:val="000000"/>
          <w:sz w:val="24"/>
          <w:szCs w:val="24"/>
        </w:rPr>
      </w:pPr>
      <w:r>
        <w:rPr/>
        <w:br w:type="page" w:clear="all"/>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rPr>
          <w:rFonts w:ascii="仿宋" w:hAnsi="仿宋" w:eastAsia="仿宋" w:cs="仿宋"/>
          <w:color w:val="000000"/>
        </w:rPr>
      </w:pPr>
      <w:r>
        <w:rPr>
          <w:rFonts w:hint="eastAsia" w:ascii="仿宋" w:hAnsi="仿宋" w:eastAsia="仿宋" w:cs="仿宋"/>
          <w:color w:val="000000"/>
        </w:rPr>
        <w:br w:type="page" w:clear="all"/>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ind w:firstLine="480"/>
        <w:rPr>
          <w:rFonts w:ascii="仿宋" w:hAnsi="仿宋" w:eastAsia="仿宋" w:cs="仿宋"/>
        </w:rPr>
      </w:pPr>
      <w:r>
        <w:rPr>
          <w:rFonts w:hint="eastAsia" w:ascii="仿宋" w:hAnsi="仿宋" w:eastAsia="仿宋" w:cs="仿宋"/>
        </w:rPr>
        <w:t>信用中国查询网址：https://www.creditchina.gov.cn/xinxigongshi/</w:t>
      </w:r>
    </w:p>
    <w:p>
      <w:pPr>
        <w:ind w:firstLine="480"/>
        <w:rPr>
          <w:rFonts w:ascii="仿宋" w:hAnsi="仿宋" w:eastAsia="仿宋" w:cs="仿宋"/>
        </w:rPr>
      </w:pPr>
      <w:r>
        <w:rPr>
          <w:rFonts w:hint="eastAsia" w:ascii="仿宋" w:hAnsi="仿宋" w:eastAsia="仿宋" w:cs="仿宋"/>
        </w:rPr>
        <w:t>政府采购严重违法失信行为记录名单查询网址：</w:t>
      </w:r>
    </w:p>
    <w:p>
      <w:pPr>
        <w:ind w:firstLine="480"/>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rPr>
          <w:color w:val="333333"/>
        </w:rPr>
      </w:pPr>
      <w:r>
        <w:rPr>
          <w:rFonts w:hint="eastAsia" w:ascii="仿宋" w:hAnsi="仿宋" w:eastAsia="仿宋" w:cs="Cambria Math"/>
        </w:rPr>
        <w:t>（1）失信被执行人查询截图范例：</w:t>
      </w:r>
    </w:p>
    <w:p>
      <w:pPr>
        <w:ind w:firstLine="240"/>
      </w:pPr>
      <w:r>
        <w:rPr>
          <w:rFonts w:hint="eastAsia" w:eastAsia="宋体"/>
        </w:rPr>
        <w:drawing>
          <wp:inline distT="0" distB="0" distL="0" distR="0">
            <wp:extent cx="6117590" cy="3164840"/>
            <wp:effectExtent l="0" t="0" r="16510" b="16510"/>
            <wp:docPr id="12" name="_x0000_i2057"/>
            <wp:cNvGraphicFramePr/>
            <a:graphic xmlns:a="http://schemas.openxmlformats.org/drawingml/2006/main">
              <a:graphicData uri="http://schemas.openxmlformats.org/drawingml/2006/picture">
                <pic:pic xmlns:pic="http://schemas.openxmlformats.org/drawingml/2006/picture">
                  <pic:nvPicPr>
                    <pic:cNvPr id="12" name="_x0000_i2057"/>
                    <pic:cNvPicPr/>
                  </pic:nvPicPr>
                  <pic:blipFill>
                    <a:blip r:embed="rId15"/>
                    <a:stretch>
                      <a:fillRect/>
                    </a:stretch>
                  </pic:blipFill>
                  <pic:spPr>
                    <a:xfrm>
                      <a:off x="0" y="0"/>
                      <a:ext cx="6117590" cy="3164840"/>
                    </a:xfrm>
                    <a:prstGeom prst="rect">
                      <a:avLst/>
                    </a:prstGeom>
                    <a:noFill/>
                    <a:ln>
                      <a:noFill/>
                    </a:ln>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0" distR="0">
            <wp:extent cx="6117590" cy="3177540"/>
            <wp:effectExtent l="0" t="0" r="16510" b="3810"/>
            <wp:docPr id="13" name="_x0000_i2058"/>
            <wp:cNvGraphicFramePr/>
            <a:graphic xmlns:a="http://schemas.openxmlformats.org/drawingml/2006/main">
              <a:graphicData uri="http://schemas.openxmlformats.org/drawingml/2006/picture">
                <pic:pic xmlns:pic="http://schemas.openxmlformats.org/drawingml/2006/picture">
                  <pic:nvPicPr>
                    <pic:cNvPr id="13" name="_x0000_i2058"/>
                    <pic:cNvPicPr/>
                  </pic:nvPicPr>
                  <pic:blipFill>
                    <a:blip r:embed="rId16"/>
                    <a:stretch>
                      <a:fillRect/>
                    </a:stretch>
                  </pic:blipFill>
                  <pic:spPr>
                    <a:xfrm>
                      <a:off x="0" y="0"/>
                      <a:ext cx="6117590" cy="3177540"/>
                    </a:xfrm>
                    <a:prstGeom prst="rect">
                      <a:avLst/>
                    </a:prstGeom>
                    <a:noFill/>
                    <a:ln>
                      <a:noFill/>
                    </a:ln>
                  </pic:spPr>
                </pic:pic>
              </a:graphicData>
            </a:graphic>
          </wp:inline>
        </w:drawing>
      </w:r>
    </w:p>
    <w:p>
      <w:pPr>
        <w:ind w:firstLine="24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rPr>
          <w:rFonts w:ascii="仿宋" w:hAnsi="仿宋" w:eastAsia="仿宋" w:cs="仿宋"/>
          <w:color w:val="000000"/>
        </w:rPr>
      </w:pPr>
      <w:r>
        <w:rPr>
          <w:rFonts w:hint="eastAsia" w:eastAsia="宋体"/>
        </w:rPr>
        <w:drawing>
          <wp:inline distT="0" distB="0" distL="0" distR="0">
            <wp:extent cx="6117590" cy="3169285"/>
            <wp:effectExtent l="0" t="0" r="16510" b="12065"/>
            <wp:docPr id="14" name="_x0000_i2059"/>
            <wp:cNvGraphicFramePr/>
            <a:graphic xmlns:a="http://schemas.openxmlformats.org/drawingml/2006/main">
              <a:graphicData uri="http://schemas.openxmlformats.org/drawingml/2006/picture">
                <pic:pic xmlns:pic="http://schemas.openxmlformats.org/drawingml/2006/picture">
                  <pic:nvPicPr>
                    <pic:cNvPr id="14" name="_x0000_i2059"/>
                    <pic:cNvPicPr/>
                  </pic:nvPicPr>
                  <pic:blipFill>
                    <a:blip r:embed="rId17"/>
                    <a:stretch>
                      <a:fillRect/>
                    </a:stretch>
                  </pic:blipFill>
                  <pic:spPr>
                    <a:xfrm>
                      <a:off x="0" y="0"/>
                      <a:ext cx="6117590" cy="3169285"/>
                    </a:xfrm>
                    <a:prstGeom prst="rect">
                      <a:avLst/>
                    </a:prstGeom>
                    <a:noFill/>
                    <a:ln>
                      <a:noFill/>
                    </a:ln>
                  </pic:spPr>
                </pic:pic>
              </a:graphicData>
            </a:graphic>
          </wp:inline>
        </w:drawing>
      </w:r>
      <w:r>
        <w:rPr>
          <w:rFonts w:ascii="仿宋" w:hAnsi="仿宋" w:eastAsia="仿宋" w:cs="仿宋"/>
          <w:color w:val="000000"/>
        </w:rPr>
        <w:br w:type="page" w:clear="all"/>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188"/>
        <w:spacing w:before="240"/>
        <w:jc w:val="both"/>
        <w:rPr>
          <w:rFonts w:ascii="仿宋" w:hAnsi="仿宋" w:eastAsia="仿宋" w:cs="Cambria Math"/>
          <w:color w:val="000000"/>
        </w:rPr>
      </w:pPr>
      <w:r>
        <w:rPr>
          <w:rFonts w:hint="eastAsia" w:ascii="仿宋" w:hAnsi="仿宋" w:eastAsia="仿宋" w:cs="Cambria Math"/>
          <w:color w:val="000000"/>
        </w:rPr>
        <w:t>致：中国人民财产保险股份有限公司资阳市分公司：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188"/>
        <w:ind w:firstLine="480"/>
        <w:jc w:val="both"/>
        <w:rPr>
          <w:rFonts w:ascii="仿宋" w:hAnsi="仿宋" w:eastAsia="仿宋" w:cs="Cambria Math"/>
          <w:color w:val="000000"/>
        </w:rPr>
      </w:pPr>
    </w:p>
    <w:p>
      <w:pPr>
        <w:pStyle w:val="188"/>
        <w:ind w:firstLine="480"/>
        <w:jc w:val="both"/>
        <w:rPr>
          <w:rFonts w:ascii="仿宋" w:hAnsi="仿宋" w:eastAsia="仿宋" w:cs="Cambria Math"/>
          <w:color w:val="000000"/>
        </w:rPr>
      </w:pPr>
      <w:r>
        <w:rPr>
          <w:rFonts w:hint="eastAsia" w:ascii="仿宋" w:hAnsi="仿宋" w:eastAsia="仿宋" w:cs="Cambria Math"/>
          <w:color w:val="000000"/>
        </w:rPr>
        <w:t>特此承诺。</w:t>
      </w:r>
    </w:p>
    <w:p>
      <w:pPr>
        <w:pStyle w:val="210"/>
        <w:ind w:firstLine="640"/>
        <w:rPr>
          <w:rFonts w:ascii="仿宋" w:hAnsi="仿宋" w:eastAsia="仿宋"/>
        </w:rPr>
      </w:pPr>
    </w:p>
    <w:p>
      <w:pPr>
        <w:pStyle w:val="210"/>
        <w:ind w:firstLine="640"/>
        <w:rPr>
          <w:rFonts w:ascii="仿宋" w:hAnsi="仿宋" w:eastAsia="仿宋"/>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197"/>
        <w:spacing w:line="360" w:lineRule="auto"/>
        <w:rPr>
          <w:rFonts w:ascii="仿宋" w:hAnsi="仿宋" w:eastAsia="仿宋" w:cs="仿宋"/>
          <w:color w:val="000000"/>
        </w:rPr>
      </w:pPr>
      <w:r>
        <w:rPr>
          <w:rFonts w:hint="eastAsia" w:ascii="仿宋" w:hAnsi="仿宋" w:eastAsia="仿宋" w:cs="仿宋"/>
          <w:color w:val="000000"/>
          <w:szCs w:val="24"/>
        </w:rPr>
        <w:br w:type="page" w:clear="all"/>
      </w:r>
    </w:p>
    <w:p>
      <w:pPr>
        <w:pStyle w:val="202"/>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209"/>
        <w:spacing w:before="240" w:after="240" w:line="360" w:lineRule="auto"/>
        <w:ind w:firstLine="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pStyle w:val="188"/>
        <w:spacing w:before="240"/>
        <w:jc w:val="both"/>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Cambria Math"/>
          <w:color w:val="000000"/>
        </w:rPr>
        <w:t>中国人民财产保险股份有限公司资阳市分公司</w:t>
      </w:r>
      <w:r>
        <w:rPr>
          <w:rFonts w:hint="eastAsia" w:ascii="仿宋" w:hAnsi="仿宋" w:eastAsia="仿宋" w:cs="宋体"/>
          <w:color w:val="000000"/>
        </w:rPr>
        <w:t>：</w:t>
      </w:r>
    </w:p>
    <w:p>
      <w:pPr>
        <w:spacing w:line="360" w:lineRule="auto"/>
        <w:ind w:left="-706" w:right="-586" w:firstLine="616"/>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u w:val="single"/>
          <w:lang w:eastAsia="zh-CN"/>
        </w:rPr>
        <w:t>人</w:t>
      </w:r>
      <w:r>
        <w:rPr>
          <w:rFonts w:hint="eastAsia" w:ascii="仿宋" w:hAnsi="仿宋" w:eastAsia="仿宋" w:cs="仿宋"/>
          <w:color w:val="000000"/>
          <w:u w:val="single"/>
        </w:rPr>
        <w:t>保财险</w:t>
      </w:r>
      <w:r>
        <w:rPr>
          <w:rFonts w:hint="eastAsia" w:ascii="仿宋" w:hAnsi="仿宋" w:eastAsia="仿宋" w:cs="仿宋"/>
          <w:color w:val="000000"/>
          <w:u w:val="single"/>
          <w:lang w:val="en-US" w:eastAsia="zh-CN"/>
        </w:rPr>
        <w:t>四川省资阳市分公司线上服务团队邮政银行播放机车险宣传采</w:t>
      </w:r>
      <w:r>
        <w:rPr>
          <w:rFonts w:hint="eastAsia" w:ascii="仿宋" w:hAnsi="仿宋" w:eastAsia="仿宋" w:cs="仿宋"/>
          <w:color w:val="000000"/>
          <w:u w:val="single"/>
        </w:rPr>
        <w:t>购项目</w:t>
      </w:r>
      <w:r>
        <w:rPr>
          <w:rFonts w:hint="eastAsia" w:ascii="仿宋" w:hAnsi="仿宋" w:eastAsia="仿宋" w:cs="Cambria Math"/>
          <w:color w:val="000000"/>
          <w:u w:val="single"/>
          <w:lang w:eastAsia="zh-CN"/>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（项目名称）的比价，根据法律法规维护投标公正性的相关规定，我方与采购人之间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8"/>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5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姓    名</w:t>
            </w:r>
          </w:p>
        </w:tc>
        <w:tc>
          <w:tcPr>
            <w:tcW w:w="53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c>
          <w:tcPr>
            <w:tcW w:w="25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身份证号</w:t>
            </w:r>
          </w:p>
        </w:tc>
        <w:tc>
          <w:tcPr>
            <w:tcW w:w="53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控股关系</w:t>
            </w:r>
          </w:p>
        </w:tc>
        <w:tc>
          <w:tcPr>
            <w:tcW w:w="25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3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c>
          <w:tcPr>
            <w:tcW w:w="25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3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w:t>
            </w:r>
          </w:p>
        </w:tc>
        <w:tc>
          <w:tcPr>
            <w:tcW w:w="25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3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c>
          <w:tcPr>
            <w:tcW w:w="25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3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备注：</w:t>
            </w:r>
          </w:p>
        </w:tc>
      </w:tr>
    </w:tbl>
    <w:p>
      <w:pPr>
        <w:spacing w:line="360" w:lineRule="auto"/>
        <w:rPr>
          <w:rFonts w:ascii="仿宋" w:hAnsi="仿宋" w:eastAsia="仿宋" w:cs="宋体"/>
          <w:color w:val="000000"/>
        </w:rPr>
      </w:pPr>
      <w:r>
        <w:rPr>
          <w:rFonts w:hint="eastAsia" w:ascii="仿宋" w:hAnsi="仿宋" w:eastAsia="仿宋" w:cs="宋体"/>
          <w:color w:val="000000"/>
        </w:rPr>
        <w:t>注：</w:t>
      </w:r>
    </w:p>
    <w:p>
      <w:pPr>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211"/>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211"/>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202"/>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8、非联合体比价响应声明</w:t>
      </w:r>
      <w:bookmarkEnd w:id="168"/>
      <w:bookmarkEnd w:id="169"/>
    </w:p>
    <w:p>
      <w:pPr>
        <w:pStyle w:val="188"/>
        <w:spacing w:before="240"/>
        <w:rPr>
          <w:rFonts w:ascii="仿宋" w:hAnsi="仿宋" w:eastAsia="仿宋" w:cs="Cambria Math"/>
          <w:b/>
          <w:bCs/>
          <w:color w:val="000000"/>
        </w:rPr>
      </w:pPr>
      <w:r>
        <w:rPr>
          <w:rFonts w:hint="eastAsia" w:ascii="仿宋" w:hAnsi="仿宋" w:eastAsia="仿宋" w:cs="Cambria Math"/>
          <w:b/>
          <w:bCs/>
          <w:color w:val="000000"/>
        </w:rPr>
        <w:t>非联合体比价响应声明</w:t>
      </w:r>
    </w:p>
    <w:p>
      <w:pPr>
        <w:spacing w:before="240" w:line="360" w:lineRule="auto"/>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lang w:eastAsia="zh-CN"/>
        </w:rPr>
        <w:t>：</w:t>
      </w:r>
      <w:r>
        <w:rPr>
          <w:rFonts w:hint="eastAsia" w:ascii="仿宋" w:hAnsi="仿宋" w:eastAsia="仿宋" w:cs="Cambria Math"/>
          <w:color w:val="000000"/>
        </w:rPr>
        <w:t>中国人民财产保险股份有限公司资阳市分公司：</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w:t>
      </w:r>
      <w:r>
        <w:rPr>
          <w:rFonts w:hint="eastAsia" w:ascii="仿宋" w:hAnsi="仿宋" w:eastAsia="仿宋" w:cs="仿宋"/>
          <w:color w:val="000000"/>
          <w:u w:val="single"/>
        </w:rPr>
        <w:t>人保财险</w:t>
      </w:r>
      <w:r>
        <w:rPr>
          <w:rFonts w:hint="eastAsia" w:ascii="仿宋" w:hAnsi="仿宋" w:eastAsia="仿宋" w:cs="仿宋"/>
          <w:color w:val="000000"/>
          <w:u w:val="single"/>
          <w:lang w:val="en-US" w:eastAsia="zh-CN"/>
        </w:rPr>
        <w:t>四川省资阳市分公司线上服务团队邮政银行播放机车险宣传采购项目</w:t>
      </w:r>
      <w:r>
        <w:rPr>
          <w:rFonts w:hint="eastAsia" w:ascii="仿宋" w:hAnsi="仿宋" w:eastAsia="仿宋" w:cs="Cambria Math"/>
          <w:color w:val="000000"/>
          <w:u w:val="single"/>
          <w:lang w:eastAsia="zh-CN"/>
        </w:rPr>
        <w:t xml:space="preserve"> </w:t>
      </w:r>
      <w:r>
        <w:rPr>
          <w:rFonts w:hint="eastAsia" w:ascii="仿宋" w:hAnsi="仿宋" w:eastAsia="仿宋" w:cs="Cambria Math"/>
          <w:color w:val="000000"/>
        </w:rPr>
        <w:t>比价响应，非联合体参与比价响应。</w:t>
      </w:r>
      <w:r>
        <w:rPr>
          <w:rFonts w:ascii="仿宋" w:hAnsi="仿宋" w:eastAsia="仿宋" w:cs="Cambria Math"/>
          <w:color w:val="000000"/>
        </w:rPr>
        <w:t xml:space="preserve"> </w:t>
      </w:r>
    </w:p>
    <w:p>
      <w:pPr>
        <w:pStyle w:val="188"/>
        <w:ind w:firstLine="480"/>
        <w:jc w:val="both"/>
        <w:rPr>
          <w:rFonts w:ascii="仿宋" w:hAnsi="仿宋" w:eastAsia="仿宋" w:cs="Cambria Math"/>
          <w:color w:val="000000"/>
        </w:rPr>
      </w:pPr>
      <w:r>
        <w:rPr>
          <w:rFonts w:hint="eastAsia" w:ascii="仿宋" w:hAnsi="仿宋" w:eastAsia="仿宋" w:cs="Cambria Math"/>
          <w:color w:val="000000"/>
        </w:rPr>
        <w:t>特此声明。</w:t>
      </w:r>
    </w:p>
    <w:p>
      <w:pPr>
        <w:pStyle w:val="210"/>
        <w:ind w:firstLine="640"/>
        <w:rPr>
          <w:rFonts w:ascii="仿宋" w:hAnsi="仿宋" w:eastAsia="仿宋"/>
        </w:rPr>
      </w:pPr>
    </w:p>
    <w:p>
      <w:pPr>
        <w:pStyle w:val="210"/>
        <w:ind w:firstLine="640"/>
        <w:rPr>
          <w:rFonts w:ascii="仿宋" w:hAnsi="仿宋" w:eastAsia="仿宋"/>
        </w:rPr>
      </w:pPr>
    </w:p>
    <w:p>
      <w:pPr>
        <w:pStyle w:val="210"/>
        <w:ind w:firstLine="640"/>
        <w:rPr>
          <w:rFonts w:ascii="仿宋" w:hAnsi="仿宋" w:eastAsia="仿宋"/>
        </w:rPr>
      </w:pPr>
    </w:p>
    <w:p>
      <w:pPr>
        <w:pStyle w:val="210"/>
        <w:ind w:firstLine="640"/>
        <w:rPr>
          <w:rFonts w:ascii="仿宋" w:hAnsi="仿宋" w:eastAsia="仿宋"/>
        </w:rPr>
      </w:pPr>
    </w:p>
    <w:p>
      <w:pPr>
        <w:pStyle w:val="210"/>
        <w:ind w:firstLine="640"/>
        <w:rPr>
          <w:rFonts w:ascii="仿宋" w:hAnsi="仿宋" w:eastAsia="仿宋"/>
        </w:rPr>
      </w:pPr>
    </w:p>
    <w:p>
      <w:pPr>
        <w:pStyle w:val="210"/>
        <w:ind w:firstLine="640"/>
        <w:rPr>
          <w:rFonts w:ascii="仿宋" w:hAnsi="仿宋" w:eastAsia="仿宋"/>
        </w:rPr>
      </w:pPr>
    </w:p>
    <w:p>
      <w:pPr>
        <w:pStyle w:val="210"/>
        <w:ind w:firstLine="640"/>
        <w:rPr>
          <w:rFonts w:ascii="仿宋" w:hAnsi="仿宋" w:eastAsia="仿宋"/>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hint="eastAsia" w:ascii="仿宋" w:hAnsi="仿宋" w:eastAsia="仿宋" w:cs="Cambria Math"/>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right"/>
        <w:rPr>
          <w:rFonts w:hint="eastAsia" w:ascii="仿宋" w:hAnsi="仿宋" w:eastAsia="仿宋" w:cs="Cambria Math"/>
          <w:color w:val="000000"/>
        </w:rPr>
      </w:pPr>
    </w:p>
    <w:p>
      <w:pPr>
        <w:spacing w:line="360" w:lineRule="auto"/>
        <w:jc w:val="both"/>
        <w:rPr>
          <w:rFonts w:hint="eastAsia" w:ascii="仿宋" w:hAnsi="仿宋" w:eastAsia="仿宋" w:cs="Cambria Math"/>
          <w:color w:val="000000"/>
        </w:rPr>
      </w:pPr>
    </w:p>
    <w:p>
      <w:pPr>
        <w:pStyle w:val="201"/>
        <w:spacing w:before="0" w:after="0" w:line="360" w:lineRule="auto"/>
        <w:rPr>
          <w:rFonts w:ascii="仿宋" w:hAnsi="仿宋" w:cs="宋体"/>
          <w:color w:val="000000"/>
          <w:szCs w:val="24"/>
        </w:rPr>
      </w:pPr>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p>
    <w:p>
      <w:pPr>
        <w:spacing w:line="360" w:lineRule="auto"/>
        <w:ind w:firstLine="211"/>
        <w:jc w:val="both"/>
        <w:rPr>
          <w:rFonts w:hint="eastAsia" w:ascii="仿宋" w:hAnsi="仿宋" w:eastAsia="仿宋" w:cs="宋体"/>
          <w:b/>
          <w:bCs/>
          <w:color w:val="000000"/>
          <w:lang w:val="en-US" w:eastAsia="zh-CN"/>
        </w:rPr>
      </w:pPr>
      <w:r>
        <w:rPr>
          <w:rFonts w:hint="eastAsia" w:ascii="仿宋" w:hAnsi="仿宋" w:eastAsia="仿宋" w:cs="宋体"/>
          <w:b/>
          <w:bCs/>
          <w:color w:val="000000"/>
        </w:rPr>
        <w:t>供应商须知应答偏离表</w:t>
      </w:r>
      <w:r>
        <w:rPr>
          <w:rFonts w:hint="eastAsia" w:ascii="仿宋" w:hAnsi="仿宋" w:eastAsia="仿宋" w:cs="仿宋"/>
          <w:color w:val="FF0000"/>
          <w:lang w:val="en-US" w:eastAsia="zh-CN"/>
        </w:rPr>
        <w:t xml:space="preserve"> </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宋体"/>
                <w:color w:val="000000"/>
                <w:szCs w:val="21"/>
              </w:rPr>
            </w:pPr>
          </w:p>
        </w:tc>
      </w:tr>
    </w:tbl>
    <w:p>
      <w:pPr>
        <w:spacing w:line="360" w:lineRule="auto"/>
        <w:ind w:left="480" w:hanging="42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注：所有偏离须在本表中列出，未在本偏离表中列出偏离，将视为供应商已完全接受比价文件要求</w:t>
      </w:r>
      <w:r>
        <w:rPr>
          <w:rFonts w:hint="eastAsia" w:ascii="仿宋" w:hAnsi="仿宋" w:eastAsia="仿宋" w:cs="宋体"/>
          <w:b/>
          <w:bCs/>
          <w:color w:val="000000"/>
        </w:rPr>
        <w:t>。如全部满足，在偏离表中应答“全部满足”即可。</w:t>
      </w:r>
    </w:p>
    <w:p>
      <w:pPr>
        <w:spacing w:line="360" w:lineRule="auto"/>
        <w:ind w:firstLine="3570"/>
        <w:jc w:val="right"/>
        <w:rPr>
          <w:rFonts w:ascii="仿宋" w:hAnsi="仿宋" w:eastAsia="仿宋" w:cs="宋体"/>
          <w:color w:val="000000"/>
        </w:rPr>
      </w:pPr>
    </w:p>
    <w:p>
      <w:pPr>
        <w:spacing w:line="360" w:lineRule="auto"/>
        <w:ind w:firstLine="3570"/>
        <w:jc w:val="right"/>
        <w:rPr>
          <w:rFonts w:ascii="仿宋" w:hAnsi="仿宋" w:eastAsia="仿宋" w:cs="宋体"/>
          <w:color w:val="000000"/>
        </w:rPr>
      </w:pPr>
    </w:p>
    <w:p>
      <w:pPr>
        <w:spacing w:line="360" w:lineRule="auto"/>
        <w:ind w:firstLine="3570"/>
        <w:jc w:val="right"/>
        <w:rPr>
          <w:rFonts w:ascii="仿宋" w:hAnsi="仿宋" w:eastAsia="仿宋" w:cs="宋体"/>
          <w:color w:val="000000"/>
        </w:rPr>
      </w:pPr>
    </w:p>
    <w:p>
      <w:pPr>
        <w:spacing w:line="360" w:lineRule="auto"/>
        <w:ind w:firstLine="357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1701" w:num="1"/>
          <w:titlePg/>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201"/>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（六）合同条款应答偏</w:t>
      </w:r>
      <w:r>
        <w:rPr>
          <w:rFonts w:ascii="仿宋" w:hAnsi="仿宋" w:eastAsia="仿宋" w:cs="仿宋"/>
          <w:color w:val="000000"/>
          <w:sz w:val="24"/>
          <w:szCs w:val="24"/>
        </w:rPr>
        <w:t>离表</w:t>
      </w:r>
    </w:p>
    <w:p>
      <w:pPr>
        <w:spacing w:line="360" w:lineRule="auto"/>
        <w:ind w:firstLine="211"/>
        <w:jc w:val="both"/>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28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49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2704"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c>
          <w:tcPr>
            <w:tcW w:w="1408"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Cambria Math"/>
                <w:color w:val="000000"/>
                <w:szCs w:val="21"/>
              </w:rPr>
            </w:pPr>
          </w:p>
        </w:tc>
      </w:tr>
    </w:tbl>
    <w:p>
      <w:pPr>
        <w:spacing w:before="240" w:line="360" w:lineRule="auto"/>
        <w:ind w:left="480" w:hanging="42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注：所有偏离必须在本表中列出，未在本偏离表中列出偏离，将视为供应商已完全接受比价文件要求；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357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201"/>
        <w:spacing w:before="0" w:after="0" w:line="360" w:lineRule="auto"/>
        <w:rPr>
          <w:rFonts w:ascii="仿宋" w:hAnsi="仿宋" w:eastAsia="仿宋" w:cs="宋体"/>
          <w:color w:val="000000"/>
          <w:sz w:val="24"/>
        </w:rPr>
        <w:sectPr>
          <w:pgSz w:w="11906" w:h="16838"/>
          <w:pgMar w:top="1417" w:right="1134" w:bottom="1134" w:left="1134" w:header="851" w:footer="992" w:gutter="0"/>
          <w:cols w:space="1701" w:num="1"/>
          <w:titlePg/>
        </w:sectPr>
      </w:pPr>
    </w:p>
    <w:p>
      <w:pPr>
        <w:rPr>
          <w:rFonts w:ascii="仿宋" w:hAnsi="仿宋" w:eastAsia="仿宋" w:cs="仿宋"/>
          <w:color w:val="000000"/>
          <w:sz w:val="24"/>
          <w:szCs w:val="24"/>
        </w:rPr>
      </w:pPr>
    </w:p>
    <w:p>
      <w:pPr>
        <w:pStyle w:val="201"/>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（七）供应商行为准则承诺书</w:t>
      </w:r>
    </w:p>
    <w:p>
      <w:pPr>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供应商行为准则承诺书</w:t>
      </w:r>
    </w:p>
    <w:p>
      <w:pPr>
        <w:spacing w:line="360" w:lineRule="auto"/>
        <w:ind w:firstLine="480"/>
        <w:rPr>
          <w:rFonts w:ascii="仿宋" w:hAnsi="仿宋" w:eastAsia="仿宋" w:cs="仿宋"/>
          <w:color w:val="000000"/>
        </w:rPr>
      </w:pPr>
    </w:p>
    <w:p>
      <w:pPr>
        <w:spacing w:line="360" w:lineRule="auto"/>
        <w:ind w:firstLine="48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电话：__________传真：__________________</w:t>
      </w:r>
    </w:p>
    <w:p>
      <w:pPr>
        <w:pStyle w:val="212"/>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201"/>
        <w:spacing w:before="0" w:after="0" w:line="360" w:lineRule="auto"/>
        <w:rPr>
          <w:rFonts w:ascii="仿宋" w:hAnsi="仿宋" w:cs="宋体"/>
          <w:color w:val="000000"/>
          <w:szCs w:val="24"/>
        </w:rPr>
      </w:pPr>
      <w:r>
        <w:rPr>
          <w:rFonts w:hint="eastAsia" w:ascii="仿宋" w:hAnsi="仿宋" w:eastAsia="仿宋" w:cs="仿宋"/>
          <w:color w:val="000000"/>
        </w:rPr>
        <w:br w:type="page" w:clear="all"/>
      </w:r>
      <w:r>
        <w:rPr>
          <w:rFonts w:hint="eastAsia" w:ascii="仿宋" w:hAnsi="仿宋" w:eastAsia="仿宋" w:cs="宋体"/>
          <w:bCs w:val="0"/>
          <w:color w:val="000000"/>
          <w:sz w:val="24"/>
          <w:szCs w:val="24"/>
        </w:rPr>
        <w:t>（八）供应商廉洁诚信承诺书</w:t>
      </w:r>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000000"/>
        </w:rPr>
      </w:pPr>
    </w:p>
    <w:p>
      <w:pPr>
        <w:tabs>
          <w:tab w:val="left" w:pos="458"/>
        </w:tabs>
        <w:spacing w:line="360" w:lineRule="auto"/>
        <w:ind w:firstLine="3578"/>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rPr>
          <w:rStyle w:val="214"/>
          <w:rFonts w:ascii="仿宋" w:hAnsi="仿宋" w:eastAsia="仿宋" w:cs="仿宋"/>
        </w:rPr>
      </w:pPr>
      <w:r>
        <w:rPr>
          <w:rFonts w:hint="eastAsia" w:ascii="仿宋" w:hAnsi="仿宋" w:eastAsia="仿宋" w:cs="仿宋"/>
          <w:color w:val="000000"/>
        </w:rPr>
        <w:t>日期：__________________________________</w:t>
      </w:r>
    </w:p>
    <w:p>
      <w:pPr>
        <w:spacing w:line="360" w:lineRule="auto"/>
        <w:ind w:firstLine="4790"/>
        <w:rPr>
          <w:rStyle w:val="214"/>
          <w:rFonts w:ascii="仿宋" w:hAnsi="仿宋" w:eastAsia="仿宋" w:cs="仿宋"/>
        </w:rPr>
      </w:pPr>
    </w:p>
    <w:p>
      <w:pPr>
        <w:spacing w:line="360" w:lineRule="auto"/>
        <w:ind w:firstLine="4790"/>
        <w:rPr>
          <w:rStyle w:val="214"/>
          <w:rFonts w:ascii="仿宋" w:hAnsi="仿宋" w:eastAsia="仿宋" w:cs="仿宋"/>
        </w:rPr>
      </w:pPr>
    </w:p>
    <w:p>
      <w:pPr>
        <w:pStyle w:val="201"/>
        <w:spacing w:before="0" w:after="0" w:line="360" w:lineRule="auto"/>
        <w:rPr>
          <w:rFonts w:ascii="仿宋" w:hAnsi="仿宋" w:eastAsia="仿宋" w:cs="宋体"/>
          <w:bCs w:val="0"/>
          <w:color w:val="000000"/>
          <w:sz w:val="21"/>
          <w:szCs w:val="24"/>
        </w:rPr>
      </w:pPr>
      <w:r>
        <w:rPr>
          <w:rFonts w:hint="eastAsia" w:ascii="仿宋" w:hAnsi="仿宋" w:eastAsia="仿宋" w:cs="宋体"/>
          <w:color w:val="000000"/>
          <w:sz w:val="24"/>
        </w:rPr>
        <w:t>（</w:t>
      </w:r>
      <w:r>
        <w:rPr>
          <w:rFonts w:hint="eastAsia" w:ascii="仿宋" w:hAnsi="仿宋" w:eastAsia="仿宋" w:cs="宋体"/>
          <w:color w:val="000000"/>
          <w:sz w:val="24"/>
          <w:lang w:eastAsia="zh-CN"/>
        </w:rPr>
        <w:t>九</w:t>
      </w:r>
      <w:r>
        <w:rPr>
          <w:rFonts w:hint="eastAsia" w:ascii="仿宋" w:hAnsi="仿宋" w:eastAsia="仿宋" w:cs="宋体"/>
          <w:color w:val="000000"/>
          <w:sz w:val="24"/>
        </w:rPr>
        <w:t>）其他材料</w:t>
      </w:r>
    </w:p>
    <w:p>
      <w:pPr>
        <w:spacing w:line="360" w:lineRule="auto"/>
        <w:rPr>
          <w:rFonts w:ascii="宋体" w:hAnsi="宋体"/>
          <w:szCs w:val="21"/>
        </w:rPr>
        <w:sectPr>
          <w:pgSz w:w="11906" w:h="16838"/>
          <w:pgMar w:top="1417" w:right="1134" w:bottom="1134" w:left="1134" w:header="851" w:footer="992" w:gutter="0"/>
          <w:cols w:space="1701" w:num="1"/>
          <w:titlePg/>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pStyle w:val="194"/>
        <w:jc w:val="both"/>
        <w:rPr>
          <w:rFonts w:ascii="仿宋" w:hAnsi="仿宋" w:eastAsia="仿宋" w:cs="仿宋"/>
          <w:color w:val="000000"/>
          <w:sz w:val="24"/>
          <w:szCs w:val="24"/>
        </w:rPr>
      </w:pPr>
      <w:r>
        <w:rPr>
          <w:rFonts w:hint="eastAsia" w:ascii="仿宋" w:hAnsi="仿宋" w:eastAsia="仿宋" w:cs="仿宋"/>
          <w:color w:val="000000"/>
          <w:sz w:val="24"/>
          <w:szCs w:val="24"/>
        </w:rPr>
        <w:t>二、技术文件</w:t>
      </w:r>
    </w:p>
    <w:p>
      <w:pPr>
        <w:jc w:val="left"/>
        <w:rPr>
          <w:rFonts w:ascii="仿宋" w:hAnsi="仿宋" w:eastAsia="仿宋" w:cs="仿宋"/>
          <w:b/>
          <w:bCs/>
        </w:rPr>
      </w:pPr>
      <w:r>
        <w:rPr>
          <w:rFonts w:hint="eastAsia" w:ascii="仿宋" w:hAnsi="仿宋" w:eastAsia="仿宋" w:cs="仿宋"/>
          <w:b/>
          <w:bCs/>
        </w:rPr>
        <w:t>详细评审索引表</w:t>
      </w:r>
    </w:p>
    <w:tbl>
      <w:tblPr>
        <w:tblStyle w:val="28"/>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45" w:hRule="atLeast"/>
          <w:jc w:val="center"/>
        </w:trPr>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69" w:hRule="atLeast"/>
          <w:jc w:val="center"/>
        </w:trPr>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rPr>
                <w:rFonts w:ascii="仿宋" w:hAnsi="仿宋" w:eastAsia="仿宋" w:cs="宋体"/>
                <w:color w:val="000000"/>
                <w:szCs w:val="21"/>
                <w:lang w:bidi="ar"/>
              </w:rPr>
            </w:pPr>
            <w:r>
              <w:rPr>
                <w:rFonts w:hint="eastAsia" w:ascii="仿宋" w:hAnsi="仿宋" w:eastAsia="仿宋" w:cs="宋体"/>
                <w:color w:val="000000"/>
                <w:szCs w:val="21"/>
              </w:rPr>
              <w:t>（XX分）</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宋体"/>
                <w:color w:val="000000"/>
                <w:szCs w:val="21"/>
              </w:rPr>
            </w:pPr>
          </w:p>
        </w:tc>
        <w:tc>
          <w:tcPr>
            <w:tcW w:w="4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Style w:val="216"/>
                <w:rFonts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69" w:hRule="atLeast"/>
          <w:jc w:val="center"/>
        </w:trPr>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宋体"/>
                <w:color w:val="000000"/>
                <w:szCs w:val="21"/>
              </w:rPr>
            </w:pPr>
          </w:p>
        </w:tc>
        <w:tc>
          <w:tcPr>
            <w:tcW w:w="4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Style w:val="216"/>
                <w:rFonts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69" w:hRule="atLeast"/>
          <w:jc w:val="center"/>
        </w:trPr>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宋体"/>
                <w:color w:val="000000"/>
                <w:szCs w:val="21"/>
              </w:rPr>
            </w:pPr>
          </w:p>
        </w:tc>
        <w:tc>
          <w:tcPr>
            <w:tcW w:w="4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Style w:val="216"/>
                <w:rFonts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69" w:hRule="atLeast"/>
          <w:jc w:val="center"/>
        </w:trPr>
        <w:tc>
          <w:tcPr>
            <w:tcW w:w="7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宋体"/>
                <w:color w:val="000000"/>
                <w:szCs w:val="21"/>
              </w:rPr>
            </w:pPr>
          </w:p>
        </w:tc>
        <w:tc>
          <w:tcPr>
            <w:tcW w:w="4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Style w:val="216"/>
                <w:rFonts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clear="all"/>
      </w:r>
    </w:p>
    <w:p>
      <w:pPr>
        <w:pStyle w:val="201"/>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（一）采购需求应答偏离表</w:t>
      </w:r>
    </w:p>
    <w:p>
      <w:pPr>
        <w:spacing w:line="360" w:lineRule="auto"/>
        <w:jc w:val="left"/>
        <w:rPr>
          <w:rFonts w:ascii="仿宋" w:hAnsi="仿宋" w:eastAsia="仿宋" w:cs="仿宋"/>
          <w:b/>
          <w:bCs/>
          <w:color w:val="000000"/>
        </w:rPr>
      </w:pPr>
      <w:r>
        <w:rPr>
          <w:rFonts w:hint="eastAsia" w:ascii="仿宋" w:hAnsi="仿宋" w:eastAsia="仿宋" w:cs="仿宋"/>
          <w:b/>
          <w:bCs/>
          <w:color w:val="000000"/>
        </w:rPr>
        <w:t>采购需求应答偏离表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8"/>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对于未列出的偏离内容视同供应商已完全接受比价文件的要求，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201"/>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r>
        <w:rPr>
          <w:rFonts w:hint="eastAsia" w:ascii="仿宋" w:hAnsi="仿宋" w:eastAsia="仿宋" w:cs="仿宋"/>
          <w:color w:val="000000"/>
          <w:sz w:val="24"/>
          <w:szCs w:val="24"/>
        </w:rPr>
        <w:t>（二）技术方案</w:t>
      </w:r>
    </w:p>
    <w:p>
      <w:pPr>
        <w:spacing w:line="360" w:lineRule="auto"/>
        <w:ind w:firstLine="48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r>
        <w:rPr>
          <w:rFonts w:hint="eastAsia" w:ascii="仿宋" w:hAnsi="仿宋" w:eastAsia="仿宋" w:cs="仿宋"/>
          <w:color w:val="000000"/>
        </w:rPr>
        <w:br w:type="page" w:clear="all"/>
      </w:r>
    </w:p>
    <w:p>
      <w:pPr>
        <w:pStyle w:val="202"/>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28"/>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8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仿宋" w:hAnsi="仿宋" w:eastAsia="仿宋" w:cs="仿宋"/>
                <w:color w:val="000000"/>
                <w:szCs w:val="21"/>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8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仿宋" w:hAnsi="仿宋" w:eastAsia="仿宋" w:cs="仿宋"/>
                <w:color w:val="000000"/>
                <w:szCs w:val="21"/>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8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仿宋" w:hAnsi="仿宋" w:eastAsia="仿宋" w:cs="仿宋"/>
                <w:color w:val="000000"/>
                <w:szCs w:val="21"/>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8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仿宋" w:hAnsi="仿宋" w:eastAsia="仿宋" w:cs="仿宋"/>
                <w:color w:val="000000"/>
                <w:szCs w:val="21"/>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8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仿宋" w:hAnsi="仿宋" w:eastAsia="仿宋" w:cs="仿宋"/>
                <w:color w:val="000000"/>
                <w:szCs w:val="21"/>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8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仿宋" w:hAnsi="仿宋" w:eastAsia="仿宋" w:cs="仿宋"/>
                <w:color w:val="000000"/>
                <w:szCs w:val="21"/>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000000"/>
                <w:szCs w:val="21"/>
              </w:rPr>
            </w:pPr>
          </w:p>
        </w:tc>
      </w:tr>
    </w:tbl>
    <w:p>
      <w:pP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clear="all"/>
      </w:r>
    </w:p>
    <w:p>
      <w:pPr>
        <w:pStyle w:val="202"/>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p>
        </w:tc>
        <w:tc>
          <w:tcPr>
            <w:tcW w:w="945" w:type="dxa"/>
            <w:gridSpan w:val="2"/>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c>
          <w:tcPr>
            <w:tcW w:w="1854" w:type="dxa"/>
            <w:gridSpan w:val="2"/>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c>
          <w:tcPr>
            <w:tcW w:w="1854" w:type="dxa"/>
            <w:gridSpan w:val="2"/>
            <w:tcBorders>
              <w:top w:val="single" w:color="auto" w:sz="4" w:space="0"/>
              <w:left w:val="single" w:color="auto" w:sz="4" w:space="0"/>
              <w:bottom w:val="single" w:color="auto" w:sz="4" w:space="0"/>
              <w:right w:val="single" w:color="auto" w:sz="4" w:space="0"/>
            </w:tcBorders>
            <w:noWrap w:val="0"/>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tcBorders>
              <w:top w:val="single" w:color="auto" w:sz="4" w:space="0"/>
              <w:left w:val="single" w:color="auto" w:sz="4" w:space="0"/>
              <w:bottom w:val="single" w:color="auto" w:sz="4" w:space="0"/>
              <w:right w:val="single" w:color="auto" w:sz="4" w:space="0"/>
            </w:tcBorders>
            <w:noWrap w:val="0"/>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c>
          <w:tcPr>
            <w:tcW w:w="283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c>
          <w:tcPr>
            <w:tcW w:w="283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tcBorders>
              <w:top w:val="single" w:color="auto" w:sz="4" w:space="0"/>
              <w:left w:val="single" w:color="auto" w:sz="4" w:space="0"/>
              <w:bottom w:val="single" w:color="auto" w:sz="4" w:space="0"/>
              <w:right w:val="single" w:color="auto" w:sz="4" w:space="0"/>
            </w:tcBorders>
            <w:noWrap w:val="0"/>
            <w:vAlign w:val="center"/>
          </w:tcPr>
          <w:p>
            <w:pPr>
              <w:ind w:firstLine="336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1" w:hRule="atLeast"/>
        </w:trPr>
        <w:tc>
          <w:tcPr>
            <w:tcW w:w="170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4536" w:type="dxa"/>
            <w:gridSpan w:val="6"/>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326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4536" w:type="dxa"/>
            <w:gridSpan w:val="6"/>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326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4536" w:type="dxa"/>
            <w:gridSpan w:val="6"/>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326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4536" w:type="dxa"/>
            <w:gridSpan w:val="6"/>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c>
          <w:tcPr>
            <w:tcW w:w="3261"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clear="all"/>
      </w:r>
    </w:p>
    <w:p>
      <w:pPr>
        <w:pStyle w:val="201"/>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（三）其他材料</w:t>
      </w:r>
    </w:p>
    <w:p>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spacing w:line="360" w:lineRule="auto"/>
        <w:rPr>
          <w:rFonts w:ascii="仿宋" w:hAnsi="仿宋" w:eastAsia="仿宋" w:cs="仿宋"/>
          <w:color w:val="000000"/>
        </w:rPr>
        <w:sectPr>
          <w:pgSz w:w="11906" w:h="16838"/>
          <w:pgMar w:top="1417" w:right="1134" w:bottom="1134" w:left="1134" w:header="964" w:footer="964" w:gutter="0"/>
          <w:cols w:space="1701" w:num="1"/>
        </w:sectPr>
      </w:pPr>
    </w:p>
    <w:p>
      <w:pPr>
        <w:pStyle w:val="194"/>
        <w:numPr>
          <w:ilvl w:val="0"/>
          <w:numId w:val="7"/>
        </w:numPr>
        <w:jc w:val="both"/>
        <w:rPr>
          <w:rFonts w:ascii="仿宋" w:hAnsi="仿宋" w:eastAsia="仿宋" w:cs="仿宋"/>
          <w:color w:val="000000"/>
          <w:sz w:val="24"/>
          <w:szCs w:val="24"/>
        </w:rPr>
      </w:pPr>
      <w:r>
        <w:rPr>
          <w:rFonts w:hint="eastAsia" w:ascii="仿宋" w:hAnsi="仿宋" w:eastAsia="仿宋" w:cs="仿宋"/>
          <w:color w:val="000000"/>
          <w:sz w:val="24"/>
          <w:szCs w:val="24"/>
        </w:rPr>
        <w:t>报价文件</w:t>
      </w:r>
    </w:p>
    <w:p>
      <w:pPr>
        <w:pStyle w:val="194"/>
        <w:numPr>
          <w:ilvl w:val="0"/>
          <w:numId w:val="0"/>
        </w:numPr>
        <w:jc w:val="both"/>
        <w:rPr>
          <w:rFonts w:hint="eastAsia" w:ascii="仿宋" w:hAnsi="仿宋" w:eastAsia="仿宋" w:cs="仿宋"/>
          <w:color w:val="000000"/>
          <w:sz w:val="24"/>
          <w:szCs w:val="24"/>
        </w:rPr>
      </w:pPr>
      <w:r>
        <w:rPr>
          <w:rFonts w:hint="eastAsia" w:ascii="仿宋" w:hAnsi="仿宋" w:eastAsia="仿宋" w:cs="仿宋"/>
          <w:color w:val="000000"/>
          <w:sz w:val="24"/>
          <w:szCs w:val="24"/>
        </w:rPr>
        <w:t>报价一览表</w:t>
      </w:r>
    </w:p>
    <w:p>
      <w:pPr>
        <w:pStyle w:val="194"/>
        <w:numPr>
          <w:ilvl w:val="0"/>
          <w:numId w:val="0"/>
        </w:numPr>
        <w:jc w:val="both"/>
        <w:rPr>
          <w:rFonts w:ascii="仿宋" w:hAnsi="仿宋" w:eastAsia="仿宋" w:cs="仿宋"/>
          <w:color w:val="000000"/>
          <w:sz w:val="24"/>
          <w:szCs w:val="24"/>
        </w:rPr>
      </w:pPr>
      <w:r>
        <w:rPr>
          <w:rFonts w:hint="eastAsia" w:ascii="仿宋" w:hAnsi="仿宋" w:eastAsia="仿宋" w:cs="仿宋"/>
          <w:b w:val="0"/>
          <w:bCs w:val="0"/>
          <w:color w:val="000000"/>
          <w:sz w:val="24"/>
          <w:szCs w:val="24"/>
        </w:rPr>
        <w:t>项目名称：</w:t>
      </w:r>
      <w:r>
        <w:rPr>
          <w:rFonts w:hint="eastAsia" w:ascii="仿宋" w:hAnsi="仿宋" w:eastAsia="仿宋" w:cs="仿宋"/>
          <w:b w:val="0"/>
          <w:bCs w:val="0"/>
          <w:color w:val="000000"/>
          <w:sz w:val="24"/>
          <w:szCs w:val="24"/>
          <w:u w:val="single"/>
        </w:rPr>
        <w:t xml:space="preserve"> 人保财险</w:t>
      </w:r>
      <w:r>
        <w:rPr>
          <w:rFonts w:hint="eastAsia" w:ascii="仿宋" w:hAnsi="仿宋" w:eastAsia="仿宋" w:cs="仿宋"/>
          <w:b w:val="0"/>
          <w:bCs w:val="0"/>
          <w:color w:val="000000"/>
          <w:sz w:val="24"/>
          <w:szCs w:val="24"/>
          <w:u w:val="single"/>
          <w:lang w:val="en-US" w:eastAsia="zh-CN"/>
        </w:rPr>
        <w:t>四川省资阳市分公司线上服务团队邮政银行播放机车险宣传采</w:t>
      </w:r>
      <w:r>
        <w:rPr>
          <w:rFonts w:hint="eastAsia" w:ascii="仿宋" w:hAnsi="仿宋" w:eastAsia="仿宋" w:cs="仿宋"/>
          <w:b w:val="0"/>
          <w:bCs w:val="0"/>
          <w:color w:val="000000"/>
          <w:sz w:val="24"/>
          <w:szCs w:val="24"/>
          <w:u w:val="single"/>
        </w:rPr>
        <w:t>购项目</w:t>
      </w:r>
      <w:r>
        <w:rPr>
          <w:rFonts w:hint="eastAsia" w:ascii="仿宋" w:hAnsi="仿宋" w:eastAsia="仿宋" w:cs="仿宋"/>
          <w:b w:val="0"/>
          <w:bCs w:val="0"/>
          <w:color w:val="000000"/>
          <w:sz w:val="24"/>
          <w:szCs w:val="24"/>
        </w:rPr>
        <w:t xml:space="preserve">    </w:t>
      </w:r>
      <w:r>
        <w:rPr>
          <w:rFonts w:hint="eastAsia" w:ascii="仿宋" w:hAnsi="仿宋" w:eastAsia="仿宋" w:cs="仿宋"/>
          <w:b w:val="0"/>
          <w:bCs w:val="0"/>
          <w:color w:val="000000"/>
          <w:sz w:val="24"/>
          <w:szCs w:val="24"/>
          <w:u w:val="single"/>
        </w:rPr>
        <w:t xml:space="preserve"> </w:t>
      </w:r>
      <w:r>
        <w:rPr>
          <w:rFonts w:hint="eastAsia" w:ascii="仿宋" w:hAnsi="仿宋" w:eastAsia="仿宋" w:cs="仿宋"/>
          <w:b w:val="0"/>
          <w:bCs w:val="0"/>
          <w:color w:val="000000"/>
          <w:sz w:val="24"/>
          <w:szCs w:val="24"/>
        </w:rPr>
        <w:t xml:space="preserve"> </w:t>
      </w:r>
      <w:r>
        <w:rPr>
          <w:rFonts w:hint="eastAsia" w:ascii="仿宋" w:hAnsi="仿宋" w:eastAsia="仿宋" w:cs="仿宋"/>
          <w:color w:val="000000"/>
          <w:sz w:val="24"/>
          <w:szCs w:val="24"/>
        </w:rPr>
        <w:t xml:space="preserve"> </w:t>
      </w:r>
    </w:p>
    <w:p>
      <w:pPr>
        <w:pStyle w:val="196"/>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rPr>
          <w:rFonts w:ascii="仿宋" w:hAnsi="仿宋" w:eastAsia="仿宋" w:cs="仿宋"/>
          <w:color w:val="000000"/>
          <w:szCs w:val="21"/>
          <w:lang w:bidi="ar"/>
        </w:rPr>
      </w:pPr>
    </w:p>
    <w:tbl>
      <w:tblPr>
        <w:tblStyle w:val="28"/>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w:t>
            </w:r>
            <w:r>
              <w:rPr>
                <w:rFonts w:hint="eastAsia" w:ascii="仿宋" w:hAnsi="仿宋" w:eastAsia="仿宋" w:cs="宋体"/>
                <w:b/>
                <w:bCs/>
                <w:color w:val="000000"/>
                <w:szCs w:val="21"/>
                <w:lang w:eastAsia="zh-CN"/>
              </w:rPr>
              <w:t>单</w:t>
            </w:r>
            <w:r>
              <w:rPr>
                <w:rFonts w:hint="eastAsia" w:ascii="仿宋" w:hAnsi="仿宋" w:eastAsia="仿宋" w:cs="宋体"/>
                <w:b/>
                <w:bCs/>
                <w:color w:val="000000"/>
                <w:szCs w:val="21"/>
              </w:rPr>
              <w:t>价</w:t>
            </w:r>
            <w:r>
              <w:rPr>
                <w:rFonts w:hint="eastAsia" w:ascii="仿宋" w:hAnsi="仿宋" w:eastAsia="仿宋" w:cs="宋体"/>
                <w:b/>
                <w:color w:val="000000"/>
                <w:szCs w:val="21"/>
              </w:rPr>
              <w:t>（元/月/台）</w:t>
            </w:r>
          </w:p>
        </w:tc>
        <w:tc>
          <w:tcPr>
            <w:tcW w:w="91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不含税单价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noWrap w:val="0"/>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209"/>
        <w:spacing w:line="360" w:lineRule="auto"/>
        <w:ind w:firstLine="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209"/>
        <w:spacing w:line="360" w:lineRule="auto"/>
        <w:ind w:firstLine="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209"/>
        <w:spacing w:line="360" w:lineRule="auto"/>
        <w:ind w:firstLine="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209"/>
        <w:spacing w:line="360" w:lineRule="auto"/>
        <w:ind w:firstLine="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8"/>
        </w:numPr>
        <w:spacing w:line="440" w:lineRule="exact"/>
        <w:jc w:val="right"/>
        <w:rPr>
          <w:rFonts w:ascii="仿宋" w:hAnsi="仿宋" w:eastAsia="仿宋" w:cs="宋体"/>
          <w:color w:val="000000"/>
        </w:rPr>
      </w:pPr>
    </w:p>
    <w:p>
      <w:pPr>
        <w:widowControl w:val="0"/>
        <w:numPr>
          <w:ilvl w:val="0"/>
          <w:numId w:val="8"/>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8"/>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8"/>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
    <w:sectPr>
      <w:headerReference r:id="rId12" w:type="default"/>
      <w:footerReference r:id="rId13" w:type="default"/>
      <w:pgSz w:w="11906" w:h="16838"/>
      <w:pgMar w:top="1418" w:right="1555" w:bottom="1418" w:left="1531" w:header="851" w:footer="992" w:gutter="0"/>
      <w:pgNumType w:start="1"/>
      <w:cols w:space="1701"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86"/>
    <w:family w:val="auto"/>
    <w:pitch w:val="default"/>
    <w:sig w:usb0="E0002AFF" w:usb1="C0007843" w:usb2="00000009" w:usb3="00000000" w:csb0="400001FF" w:csb1="FFFF0000"/>
  </w:font>
  <w:font w:name="华文中宋">
    <w:altName w:val="宋体"/>
    <w:panose1 w:val="02010600030101010101"/>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Cambria Math">
    <w:panose1 w:val="02040503050406030204"/>
    <w:charset w:val="00"/>
    <w:family w:val="auto"/>
    <w:pitch w:val="default"/>
    <w:sig w:usb0="E00002FF" w:usb1="420024FF" w:usb2="00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Monaco">
    <w:altName w:val="Courier New"/>
    <w:panose1 w:val="0002060004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Arial">
    <w:panose1 w:val="020B0604020202020204"/>
    <w:charset w:val="00"/>
    <w:family w:val="auto"/>
    <w:pitch w:val="default"/>
    <w:sig w:usb0="E0002AFF" w:usb1="C0007843" w:usb2="00000009" w:usb3="00000000" w:csb0="400001FF" w:csb1="FFFF0000"/>
  </w:font>
  <w:font w:name="Segoe UI">
    <w:panose1 w:val="020B0502040204020203"/>
    <w:charset w:val="00"/>
    <w:family w:val="auto"/>
    <w:pitch w:val="default"/>
    <w:sig w:usb0="E10022FF" w:usb1="C000E47F" w:usb2="00000029" w:usb3="00000000" w:csb0="200001DF" w:csb1="20000000"/>
  </w:font>
  <w:font w:name="Courier New">
    <w:panose1 w:val="020703090202050204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1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204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zSVju0AAAAAUBAAAPAAAAAAAAAAEAIAAAACIAAABkcnMvZG93&#10;bnJldi54bWxQSwECFAAUAAAACACHTuJAvV2CMc8BAACxAwAADgAAAAAAAAABACAAAAAfAQAAZHJz&#10;L2Uyb0RvYy54bWxQSwUGAAAAAAYABgBZAQAAYAUAAAAA&#10;">
              <v:fill on="f" focussize="0,0"/>
              <v:stroke on="f" weight="0.5pt"/>
              <v:imagedata o:title=""/>
              <o:lock v:ext="edit" aspectratio="f"/>
              <v:textbox inset="0mm,0mm,0mm,0mm" style="mso-fit-shape-to-text:t;">
                <w:txbxContent>
                  <w:p>
                    <w:pPr>
                      <w:pStyle w:val="21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framePr w:wrap="around" w:vAnchor="text" w:hAnchor="margin" w:xAlign="center" w:y="1"/>
      <w:rPr>
        <w:rStyle w:val="218"/>
      </w:rPr>
    </w:pPr>
    <w:r>
      <w:fldChar w:fldCharType="begin"/>
    </w:r>
    <w:r>
      <w:rPr>
        <w:rStyle w:val="218"/>
      </w:rPr>
      <w:instrText xml:space="preserve">PAGE  </w:instrText>
    </w:r>
    <w:r>
      <w:fldChar w:fldCharType="end"/>
    </w:r>
  </w:p>
  <w:p>
    <w:pPr>
      <w:pStyle w:val="2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17"/>
                          </w:pPr>
                          <w:r>
                            <w:fldChar w:fldCharType="begin"/>
                          </w:r>
                          <w:r>
                            <w:instrText xml:space="preserve"> PAGE  \* MERGEFORMAT </w:instrText>
                          </w:r>
                          <w:r>
                            <w:fldChar w:fldCharType="separate"/>
                          </w:r>
                          <w:r>
                            <w:t>4</w:t>
                          </w:r>
                          <w:r>
                            <w:fldChar w:fldCharType="end"/>
                          </w:r>
                          <w:r>
                            <w:t xml:space="preserve"> / </w:t>
                          </w:r>
                          <w:r>
                            <w:fldChar w:fldCharType="begin"/>
                          </w:r>
                          <w:r>
                            <w:instrText xml:space="preserve"> NUMPAGES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205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zSVju0AAAAAUBAAAPAAAAAAAAAAEAIAAAACIAAABkcnMvZG93&#10;bnJldi54bWxQSwECFAAUAAAACACHTuJA3xTA6c8BAACxAwAADgAAAAAAAAABACAAAAAfAQAAZHJz&#10;L2Uyb0RvYy54bWxQSwUGAAAAAAYABgBZAQAAYAUAAAAA&#10;">
              <v:fill on="f" focussize="0,0"/>
              <v:stroke on="f" weight="0.5pt"/>
              <v:imagedata o:title=""/>
              <o:lock v:ext="edit" aspectratio="f"/>
              <v:textbox inset="0mm,0mm,0mm,0mm" style="mso-fit-shape-to-text:t;">
                <w:txbxContent>
                  <w:p>
                    <w:pPr>
                      <w:pStyle w:val="217"/>
                    </w:pPr>
                    <w:r>
                      <w:fldChar w:fldCharType="begin"/>
                    </w:r>
                    <w:r>
                      <w:instrText xml:space="preserve"> PAGE  \* MERGEFORMAT </w:instrText>
                    </w:r>
                    <w:r>
                      <w:fldChar w:fldCharType="separate"/>
                    </w:r>
                    <w:r>
                      <w:t>4</w:t>
                    </w:r>
                    <w:r>
                      <w:fldChar w:fldCharType="end"/>
                    </w:r>
                    <w:r>
                      <w:t xml:space="preserve"> / </w:t>
                    </w:r>
                    <w:r>
                      <w:fldChar w:fldCharType="begin"/>
                    </w:r>
                    <w:r>
                      <w:instrText xml:space="preserve"> NUMPAGES  \* MERGEFORMAT </w:instrText>
                    </w:r>
                    <w:r>
                      <w:fldChar w:fldCharType="separate"/>
                    </w:r>
                    <w:r>
                      <w:t>74</w:t>
                    </w:r>
                    <w:r>
                      <w:fldChar w:fldCharType="end"/>
                    </w:r>
                  </w:p>
                </w:txbxContent>
              </v:textbox>
            </v:shape>
          </w:pict>
        </mc:Fallback>
      </mc:AlternateContent>
    </w:r>
  </w:p>
  <w:p>
    <w:pPr>
      <w:pStyle w:val="2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1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205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zSVju0AAAAAUBAAAPAAAAAAAAAAEAIAAAACIAAABkcnMvZG93&#10;bnJldi54bWxQSwECFAAUAAAACACHTuJAi/RPE88BAACxAwAADgAAAAAAAAABACAAAAAfAQAAZHJz&#10;L2Uyb0RvYy54bWxQSwUGAAAAAAYABgBZAQAAYAUAAAAA&#10;">
              <v:fill on="f" focussize="0,0"/>
              <v:stroke on="f" weight="0.5pt"/>
              <v:imagedata o:title=""/>
              <o:lock v:ext="edit" aspectratio="f"/>
              <v:textbox inset="0mm,0mm,0mm,0mm" style="mso-fit-shape-to-text:t;">
                <w:txbxContent>
                  <w:p>
                    <w:pPr>
                      <w:pStyle w:val="21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5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17"/>
                            <w:jc w:val="center"/>
                          </w:pPr>
                          <w:r>
                            <w:fldChar w:fldCharType="begin"/>
                          </w:r>
                          <w:r>
                            <w:instrText xml:space="preserve"> PAGE  \* MERGEFORMAT </w:instrText>
                          </w:r>
                          <w:r>
                            <w:fldChar w:fldCharType="separate"/>
                          </w:r>
                          <w:r>
                            <w:t>26</w:t>
                          </w:r>
                          <w:r>
                            <w:fldChar w:fldCharType="end"/>
                          </w:r>
                          <w:r>
                            <w:t xml:space="preserve"> / </w:t>
                          </w:r>
                          <w:r>
                            <w:fldChar w:fldCharType="begin"/>
                          </w:r>
                          <w:r>
                            <w:instrText xml:space="preserve"> NUMPAGES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205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z9WWW8cBAACoAwAADgAAAAAAAAABACAAAAAeAQAAZHJzL2Uyb0RvYy54&#10;bWxQSwUGAAAAAAYABgBZAQAAVwUAAAAA&#10;">
              <v:fill on="f" focussize="0,0"/>
              <v:stroke on="f"/>
              <v:imagedata o:title=""/>
              <o:lock v:ext="edit" aspectratio="f"/>
              <v:textbox inset="0mm,0mm,0mm,0mm" style="mso-fit-shape-to-text:t;">
                <w:txbxContent>
                  <w:p>
                    <w:pPr>
                      <w:pStyle w:val="217"/>
                      <w:jc w:val="center"/>
                    </w:pPr>
                    <w:r>
                      <w:fldChar w:fldCharType="begin"/>
                    </w:r>
                    <w:r>
                      <w:instrText xml:space="preserve"> PAGE  \* MERGEFORMAT </w:instrText>
                    </w:r>
                    <w:r>
                      <w:fldChar w:fldCharType="separate"/>
                    </w:r>
                    <w:r>
                      <w:t>26</w:t>
                    </w:r>
                    <w:r>
                      <w:fldChar w:fldCharType="end"/>
                    </w:r>
                    <w:r>
                      <w:t xml:space="preserve"> / </w:t>
                    </w:r>
                    <w:r>
                      <w:fldChar w:fldCharType="begin"/>
                    </w:r>
                    <w:r>
                      <w:instrText xml:space="preserve"> NUMPAGES  \* MERGEFORMAT </w:instrText>
                    </w:r>
                    <w:r>
                      <w:fldChar w:fldCharType="separate"/>
                    </w:r>
                    <w:r>
                      <w:t>74</w:t>
                    </w:r>
                    <w:r>
                      <w:fldChar w:fldCharType="end"/>
                    </w:r>
                  </w:p>
                </w:txbxContent>
              </v:textbox>
            </v:shape>
          </w:pict>
        </mc:Fallback>
      </mc:AlternateContent>
    </w:r>
  </w:p>
  <w:p>
    <w:pPr>
      <w:pStyle w:val="21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_x0000_s205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17"/>
                          </w:pPr>
                          <w:r>
                            <w:fldChar w:fldCharType="begin"/>
                          </w:r>
                          <w:r>
                            <w:instrText xml:space="preserve"> PAGE  \* MERGEFORMAT </w:instrText>
                          </w:r>
                          <w:r>
                            <w:fldChar w:fldCharType="separate"/>
                          </w:r>
                          <w:r>
                            <w:t>41</w:t>
                          </w:r>
                          <w:r>
                            <w:fldChar w:fldCharType="end"/>
                          </w:r>
                          <w:r>
                            <w:t xml:space="preserve"> / </w:t>
                          </w:r>
                          <w:r>
                            <w:fldChar w:fldCharType="begin"/>
                          </w:r>
                          <w:r>
                            <w:instrText xml:space="preserve"> NUMPAGES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205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PBpTTHQAQAAsQMAAA4AAAAAAAAAAQAgAAAAHwEAAGRy&#10;cy9lMm9Eb2MueG1sUEsFBgAAAAAGAAYAWQEAAGEFAAAAAA==&#10;">
              <v:fill on="f" focussize="0,0"/>
              <v:stroke on="f" weight="0.5pt"/>
              <v:imagedata o:title=""/>
              <o:lock v:ext="edit" aspectratio="f"/>
              <v:textbox inset="0mm,0mm,0mm,0mm" style="mso-fit-shape-to-text:t;">
                <w:txbxContent>
                  <w:p>
                    <w:pPr>
                      <w:pStyle w:val="217"/>
                    </w:pPr>
                    <w:r>
                      <w:fldChar w:fldCharType="begin"/>
                    </w:r>
                    <w:r>
                      <w:instrText xml:space="preserve"> PAGE  \* MERGEFORMAT </w:instrText>
                    </w:r>
                    <w:r>
                      <w:fldChar w:fldCharType="separate"/>
                    </w:r>
                    <w:r>
                      <w:t>41</w:t>
                    </w:r>
                    <w:r>
                      <w:fldChar w:fldCharType="end"/>
                    </w:r>
                    <w:r>
                      <w:t xml:space="preserve"> / </w:t>
                    </w:r>
                    <w:r>
                      <w:fldChar w:fldCharType="begin"/>
                    </w:r>
                    <w:r>
                      <w:instrText xml:space="preserve"> NUMPAGES  \* MERGEFORMAT </w:instrText>
                    </w:r>
                    <w:r>
                      <w:fldChar w:fldCharType="separate"/>
                    </w:r>
                    <w:r>
                      <w:t>74</w:t>
                    </w:r>
                    <w:r>
                      <w:fldChar w:fldCharType="end"/>
                    </w:r>
                  </w:p>
                </w:txbxContent>
              </v:textbox>
            </v:shape>
          </w:pict>
        </mc:Fallback>
      </mc:AlternateContent>
    </w:r>
  </w:p>
  <w:p>
    <w:pPr>
      <w:pStyle w:val="21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_x0000_s205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1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205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NJWO7QAAAABQEAAA8AAAAAAAAAAQAgAAAAIgAAAGRycy9kb3du&#10;cmV2LnhtbFBLAQIUABQAAAAIAIdO4kCNAsPVzgEAALEDAAAOAAAAAAAAAAEAIAAAAB8BAABkcnMv&#10;ZTJvRG9jLnhtbFBLBQYAAAAABgAGAFkBAABfBQAAAAA=&#10;">
              <v:fill on="f" focussize="0,0"/>
              <v:stroke on="f" weight="0.5pt"/>
              <v:imagedata o:title=""/>
              <o:lock v:ext="edit" aspectratio="f"/>
              <v:textbox inset="0mm,0mm,0mm,0mm" style="mso-fit-shape-to-text:t;">
                <w:txbxContent>
                  <w:p>
                    <w:pPr>
                      <w:pStyle w:val="217"/>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pBdr>
        <w:bottom w:val="none" w:color="000000" w:sz="0" w:space="0"/>
      </w:pBdr>
      <w:jc w:val="both"/>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pBdr>
        <w:bottom w:val="none" w:color="000000" w:sz="0" w:space="0"/>
      </w:pBdr>
      <w:jc w:val="both"/>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0053208E"/>
    <w:multiLevelType w:val="multilevel"/>
    <w:tmpl w:val="0053208E"/>
    <w:lvl w:ilvl="0" w:tentative="0">
      <w:start w:val="2"/>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4">
    <w:nsid w:val="03D62ECE"/>
    <w:multiLevelType w:val="multilevel"/>
    <w:tmpl w:val="03D62ECE"/>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25B654F3"/>
    <w:multiLevelType w:val="multilevel"/>
    <w:tmpl w:val="25B654F3"/>
    <w:lvl w:ilvl="0" w:tentative="0">
      <w:start w:val="3"/>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6">
    <w:nsid w:val="59ADCABA"/>
    <w:multiLevelType w:val="multilevel"/>
    <w:tmpl w:val="59ADCABA"/>
    <w:lvl w:ilvl="0" w:tentative="0">
      <w:start w:val="4"/>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7">
    <w:nsid w:val="72183CF9"/>
    <w:multiLevelType w:val="multilevel"/>
    <w:tmpl w:val="72183CF9"/>
    <w:lvl w:ilvl="0" w:tentative="0">
      <w:start w:val="1"/>
      <w:numFmt w:val="decimal"/>
      <w:lvlText w:val=""/>
      <w:lvlJc w:val="left"/>
      <w:pPr>
        <w:tabs>
          <w:tab w:val="left" w:pos="432"/>
        </w:tabs>
        <w:ind w:left="432" w:hanging="432"/>
      </w:pPr>
      <w:rPr>
        <w:rFonts w:hint="eastAsia"/>
      </w:rPr>
    </w:lvl>
    <w:lvl w:ilvl="1" w:tentative="0">
      <w:start w:val="1"/>
      <w:numFmt w:val="decimal"/>
      <w:lvlText w:val=" "/>
      <w:lvlJc w:val="left"/>
      <w:pPr>
        <w:tabs>
          <w:tab w:val="left" w:pos="576"/>
        </w:tabs>
        <w:ind w:left="576" w:hanging="576"/>
      </w:pPr>
      <w:rPr>
        <w:rFonts w:hint="eastAsia"/>
      </w:rPr>
    </w:lvl>
    <w:lvl w:ilvl="2" w:tentative="0">
      <w:start w:val="1"/>
      <w:numFmt w:val="decimal"/>
      <w:lvlText w:val=""/>
      <w:lvlJc w:val="left"/>
      <w:pPr>
        <w:tabs>
          <w:tab w:val="left" w:pos="720"/>
        </w:tabs>
        <w:ind w:left="720" w:hanging="720"/>
      </w:pPr>
      <w:rPr>
        <w:rFonts w:hint="eastAsia"/>
      </w:rPr>
    </w:lvl>
    <w:lvl w:ilvl="3" w:tentative="0">
      <w:start w:val="1"/>
      <w:numFmt w:val="decimal"/>
      <w:lvlText w:val="    "/>
      <w:lvlJc w:val="left"/>
      <w:pPr>
        <w:tabs>
          <w:tab w:val="left" w:pos="864"/>
        </w:tabs>
        <w:ind w:left="864" w:hanging="864"/>
      </w:pPr>
      <w:rPr>
        <w:rFonts w:hint="eastAsia"/>
      </w:rPr>
    </w:lvl>
    <w:lvl w:ilvl="4" w:tentative="0">
      <w:start w:val="1"/>
      <w:numFmt w:val="decimal"/>
      <w:lvlText w:val="      "/>
      <w:lvlJc w:val="left"/>
      <w:pPr>
        <w:tabs>
          <w:tab w:val="left" w:pos="1008"/>
        </w:tabs>
        <w:ind w:left="1008" w:hanging="1008"/>
      </w:pPr>
      <w:rPr>
        <w:rFonts w:hint="eastAsia"/>
      </w:rPr>
    </w:lvl>
    <w:lvl w:ilvl="5" w:tentative="0">
      <w:start w:val="1"/>
      <w:numFmt w:val="decimal"/>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B53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8"/>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162"/>
    <w:qFormat/>
    <w:uiPriority w:val="9"/>
    <w:pPr>
      <w:keepNext/>
      <w:keepLines/>
      <w:spacing w:before="360" w:after="80"/>
      <w:outlineLvl w:val="0"/>
    </w:pPr>
    <w:rPr>
      <w:rFonts w:ascii="Arial" w:hAnsi="Arial" w:eastAsia="Arial" w:cs="Arial"/>
      <w:color w:val="2E75B6" w:themeColor="accent1" w:themeShade="BF"/>
      <w:sz w:val="40"/>
      <w:szCs w:val="40"/>
    </w:rPr>
  </w:style>
  <w:style w:type="paragraph" w:styleId="3">
    <w:name w:val="heading 2"/>
    <w:basedOn w:val="1"/>
    <w:next w:val="1"/>
    <w:link w:val="163"/>
    <w:unhideWhenUsed/>
    <w:qFormat/>
    <w:uiPriority w:val="9"/>
    <w:pPr>
      <w:keepNext/>
      <w:keepLines/>
      <w:spacing w:before="160" w:after="80"/>
      <w:outlineLvl w:val="1"/>
    </w:pPr>
    <w:rPr>
      <w:rFonts w:ascii="Arial" w:hAnsi="Arial" w:eastAsia="Arial" w:cs="Arial"/>
      <w:color w:val="2E75B6" w:themeColor="accent1" w:themeShade="BF"/>
      <w:sz w:val="32"/>
      <w:szCs w:val="32"/>
    </w:rPr>
  </w:style>
  <w:style w:type="paragraph" w:styleId="4">
    <w:name w:val="heading 3"/>
    <w:basedOn w:val="1"/>
    <w:next w:val="1"/>
    <w:link w:val="164"/>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styleId="5">
    <w:name w:val="heading 4"/>
    <w:basedOn w:val="1"/>
    <w:next w:val="1"/>
    <w:link w:val="165"/>
    <w:unhideWhenUsed/>
    <w:qFormat/>
    <w:uiPriority w:val="9"/>
    <w:pPr>
      <w:keepNext/>
      <w:keepLines/>
      <w:spacing w:before="80" w:after="40"/>
      <w:outlineLvl w:val="3"/>
    </w:pPr>
    <w:rPr>
      <w:rFonts w:ascii="Arial" w:hAnsi="Arial" w:eastAsia="Arial" w:cs="Arial"/>
      <w:i/>
      <w:iCs/>
      <w:color w:val="2E75B6" w:themeColor="accent1" w:themeShade="BF"/>
    </w:rPr>
  </w:style>
  <w:style w:type="paragraph" w:styleId="6">
    <w:name w:val="heading 5"/>
    <w:basedOn w:val="1"/>
    <w:next w:val="1"/>
    <w:link w:val="166"/>
    <w:unhideWhenUsed/>
    <w:qFormat/>
    <w:uiPriority w:val="9"/>
    <w:pPr>
      <w:keepNext/>
      <w:keepLines/>
      <w:spacing w:before="80" w:after="40"/>
      <w:outlineLvl w:val="4"/>
    </w:pPr>
    <w:rPr>
      <w:rFonts w:ascii="Arial" w:hAnsi="Arial" w:eastAsia="Arial" w:cs="Arial"/>
      <w:color w:val="2E75B6" w:themeColor="accent1" w:themeShade="BF"/>
    </w:rPr>
  </w:style>
  <w:style w:type="paragraph" w:styleId="7">
    <w:name w:val="heading 6"/>
    <w:basedOn w:val="1"/>
    <w:next w:val="1"/>
    <w:link w:val="167"/>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68"/>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9"/>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0"/>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0">
    <w:name w:val="Default Paragraph Font"/>
    <w:semiHidden/>
    <w:uiPriority w:val="0"/>
  </w:style>
  <w:style w:type="table" w:default="1" w:styleId="28">
    <w:name w:val="Normal Table"/>
    <w:semiHidden/>
    <w:qFormat/>
    <w:uiPriority w:val="0"/>
    <w:tblPr>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styleId="11">
    <w:name w:val="toc 7"/>
    <w:basedOn w:val="1"/>
    <w:next w:val="1"/>
    <w:unhideWhenUsed/>
    <w:uiPriority w:val="39"/>
    <w:pPr>
      <w:spacing w:after="100"/>
      <w:ind w:left="1320"/>
    </w:pPr>
  </w:style>
  <w:style w:type="paragraph" w:styleId="12">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3">
    <w:name w:val="toc 5"/>
    <w:basedOn w:val="1"/>
    <w:next w:val="1"/>
    <w:unhideWhenUsed/>
    <w:uiPriority w:val="39"/>
    <w:pPr>
      <w:spacing w:after="100"/>
      <w:ind w:left="880"/>
    </w:pPr>
  </w:style>
  <w:style w:type="paragraph" w:styleId="14">
    <w:name w:val="toc 3"/>
    <w:basedOn w:val="1"/>
    <w:next w:val="1"/>
    <w:unhideWhenUsed/>
    <w:uiPriority w:val="39"/>
    <w:pPr>
      <w:spacing w:after="100"/>
      <w:ind w:left="440"/>
    </w:pPr>
  </w:style>
  <w:style w:type="paragraph" w:styleId="15">
    <w:name w:val="toc 8"/>
    <w:basedOn w:val="1"/>
    <w:next w:val="1"/>
    <w:unhideWhenUsed/>
    <w:uiPriority w:val="39"/>
    <w:pPr>
      <w:spacing w:after="100"/>
      <w:ind w:left="1540"/>
    </w:pPr>
  </w:style>
  <w:style w:type="paragraph" w:styleId="16">
    <w:name w:val="endnote text"/>
    <w:basedOn w:val="1"/>
    <w:link w:val="186"/>
    <w:semiHidden/>
    <w:unhideWhenUsed/>
    <w:uiPriority w:val="99"/>
    <w:pPr>
      <w:spacing w:after="0" w:line="240" w:lineRule="auto"/>
    </w:pPr>
    <w:rPr>
      <w:sz w:val="20"/>
      <w:szCs w:val="20"/>
    </w:rPr>
  </w:style>
  <w:style w:type="paragraph" w:styleId="17">
    <w:name w:val="footer"/>
    <w:basedOn w:val="1"/>
    <w:link w:val="184"/>
    <w:unhideWhenUsed/>
    <w:uiPriority w:val="99"/>
    <w:pPr>
      <w:tabs>
        <w:tab w:val="center" w:pos="4844"/>
        <w:tab w:val="right" w:pos="9689"/>
      </w:tabs>
      <w:spacing w:after="0" w:line="240" w:lineRule="auto"/>
    </w:pPr>
  </w:style>
  <w:style w:type="paragraph" w:styleId="18">
    <w:name w:val="header"/>
    <w:basedOn w:val="1"/>
    <w:link w:val="183"/>
    <w:unhideWhenUsed/>
    <w:uiPriority w:val="99"/>
    <w:pPr>
      <w:tabs>
        <w:tab w:val="center" w:pos="4844"/>
        <w:tab w:val="right" w:pos="9689"/>
      </w:tabs>
      <w:spacing w:after="0" w:line="240" w:lineRule="auto"/>
    </w:pPr>
  </w:style>
  <w:style w:type="paragraph" w:styleId="19">
    <w:name w:val="toc 1"/>
    <w:basedOn w:val="1"/>
    <w:next w:val="1"/>
    <w:unhideWhenUsed/>
    <w:uiPriority w:val="39"/>
    <w:pPr>
      <w:spacing w:after="100"/>
    </w:pPr>
  </w:style>
  <w:style w:type="paragraph" w:styleId="20">
    <w:name w:val="toc 4"/>
    <w:basedOn w:val="1"/>
    <w:next w:val="1"/>
    <w:unhideWhenUsed/>
    <w:uiPriority w:val="39"/>
    <w:pPr>
      <w:spacing w:after="100"/>
      <w:ind w:left="660"/>
    </w:pPr>
  </w:style>
  <w:style w:type="paragraph" w:styleId="21">
    <w:name w:val="Subtitle"/>
    <w:basedOn w:val="1"/>
    <w:next w:val="1"/>
    <w:link w:val="17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2">
    <w:name w:val="footnote text"/>
    <w:basedOn w:val="1"/>
    <w:link w:val="185"/>
    <w:semiHidden/>
    <w:unhideWhenUsed/>
    <w:uiPriority w:val="99"/>
    <w:pPr>
      <w:spacing w:after="0" w:line="240" w:lineRule="auto"/>
    </w:pPr>
    <w:rPr>
      <w:sz w:val="20"/>
      <w:szCs w:val="20"/>
    </w:rPr>
  </w:style>
  <w:style w:type="paragraph" w:styleId="23">
    <w:name w:val="toc 6"/>
    <w:basedOn w:val="1"/>
    <w:next w:val="1"/>
    <w:unhideWhenUsed/>
    <w:uiPriority w:val="39"/>
    <w:pPr>
      <w:spacing w:after="100"/>
      <w:ind w:left="110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100"/>
      <w:ind w:left="220"/>
    </w:pPr>
  </w:style>
  <w:style w:type="paragraph" w:styleId="26">
    <w:name w:val="toc 9"/>
    <w:basedOn w:val="1"/>
    <w:next w:val="1"/>
    <w:unhideWhenUsed/>
    <w:uiPriority w:val="39"/>
    <w:pPr>
      <w:spacing w:after="100"/>
      <w:ind w:left="1760"/>
    </w:pPr>
  </w:style>
  <w:style w:type="paragraph" w:styleId="27">
    <w:name w:val="Title"/>
    <w:basedOn w:val="1"/>
    <w:next w:val="1"/>
    <w:link w:val="171"/>
    <w:qFormat/>
    <w:uiPriority w:val="10"/>
    <w:pPr>
      <w:spacing w:after="80" w:line="240" w:lineRule="auto"/>
      <w:contextualSpacing/>
    </w:pPr>
    <w:rPr>
      <w:rFonts w:ascii="Arial" w:hAnsi="Arial" w:eastAsia="Arial" w:cs="Arial"/>
      <w:spacing w:val="-10"/>
      <w:sz w:val="56"/>
      <w:szCs w:val="56"/>
    </w:rPr>
  </w:style>
  <w:style w:type="table" w:styleId="29">
    <w:name w:val="Table Grid"/>
    <w:basedOn w:val="28"/>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styleId="31">
    <w:name w:val="Strong"/>
    <w:basedOn w:val="30"/>
    <w:qFormat/>
    <w:uiPriority w:val="22"/>
    <w:rPr>
      <w:b/>
      <w:bCs/>
    </w:rPr>
  </w:style>
  <w:style w:type="character" w:styleId="32">
    <w:name w:val="endnote reference"/>
    <w:basedOn w:val="30"/>
    <w:semiHidden/>
    <w:unhideWhenUsed/>
    <w:uiPriority w:val="99"/>
    <w:rPr>
      <w:vertAlign w:val="superscript"/>
    </w:rPr>
  </w:style>
  <w:style w:type="character" w:styleId="33">
    <w:name w:val="FollowedHyperlink"/>
    <w:basedOn w:val="30"/>
    <w:semiHidden/>
    <w:unhideWhenUsed/>
    <w:uiPriority w:val="99"/>
    <w:rPr>
      <w:color w:val="954F72" w:themeColor="followedHyperlink"/>
      <w:u w:val="single"/>
      <w14:textFill>
        <w14:solidFill>
          <w14:schemeClr w14:val="folHlink"/>
        </w14:solidFill>
      </w14:textFill>
    </w:rPr>
  </w:style>
  <w:style w:type="character" w:styleId="34">
    <w:name w:val="Emphasis"/>
    <w:basedOn w:val="30"/>
    <w:qFormat/>
    <w:uiPriority w:val="20"/>
    <w:rPr>
      <w:i/>
      <w:iCs/>
    </w:rPr>
  </w:style>
  <w:style w:type="character" w:styleId="35">
    <w:name w:val="Hyperlink"/>
    <w:basedOn w:val="30"/>
    <w:unhideWhenUsed/>
    <w:uiPriority w:val="99"/>
    <w:rPr>
      <w:color w:val="0563C1" w:themeColor="hyperlink"/>
      <w:u w:val="single"/>
      <w14:textFill>
        <w14:solidFill>
          <w14:schemeClr w14:val="hlink"/>
        </w14:solidFill>
      </w14:textFill>
    </w:rPr>
  </w:style>
  <w:style w:type="character" w:styleId="36">
    <w:name w:val="footnote reference"/>
    <w:basedOn w:val="30"/>
    <w:semiHidden/>
    <w:unhideWhenUsed/>
    <w:uiPriority w:val="99"/>
    <w:rPr>
      <w:vertAlign w:val="superscript"/>
    </w:rPr>
  </w:style>
  <w:style w:type="table" w:customStyle="1" w:styleId="37">
    <w:name w:val="Table Grid Light"/>
    <w:basedOn w:val="2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8">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themeColor="text1" w:themeTint="0D" w:fill="F1F1F1" w:themeFill="text1" w:themeFillTint="0D"/>
      </w:tcPr>
    </w:tblStylePr>
    <w:tblStylePr w:type="band2Vert">
      <w:tblPr/>
    </w:tblStylePr>
    <w:tblStylePr w:type="band1Horz">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9">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0">
    <w:name w:val="Plain Table 3"/>
    <w:basedOn w:val="28"/>
    <w:uiPriority w:val="99"/>
    <w:pPr>
      <w:spacing w:after="0" w:line="240" w:lineRule="auto"/>
    </w:pPr>
    <w:tblPr/>
    <w:tblStylePr w:type="firstRow">
      <w:rPr>
        <w:b/>
        <w:caps/>
        <w:color w:val="404040"/>
      </w:rPr>
      <w:tblPr/>
      <w:tcPr>
        <w:tcBorders>
          <w:top w:val="nil"/>
          <w:left w:val="nil"/>
          <w:bottom w:val="single" w:color="404040" w:sz="4" w:space="0"/>
          <w:right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tcBorders>
      </w:tcPr>
    </w:tblStylePr>
    <w:tblStylePr w:type="lastCol">
      <w:rPr>
        <w:b/>
        <w:caps/>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1">
    <w:name w:val="Plain Table 4"/>
    <w:basedOn w:val="28"/>
    <w:uiPriority w:val="99"/>
    <w:pPr>
      <w:spacing w:after="0" w:line="240" w:lineRule="auto"/>
    </w:pP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2">
    <w:name w:val="Plain Table 5"/>
    <w:basedOn w:val="28"/>
    <w:uiPriority w:val="99"/>
    <w:pPr>
      <w:spacing w:after="0" w:line="240" w:lineRule="auto"/>
    </w:pPr>
    <w:tblPr/>
    <w:tblStylePr w:type="firstRow">
      <w:rPr>
        <w:i/>
        <w:color w:val="404040"/>
      </w:rPr>
      <w:tblPr/>
      <w:tcPr>
        <w:tcBorders>
          <w:left w:val="nil"/>
          <w:bottom w:val="single" w:color="404040" w:sz="4" w:space="0"/>
          <w:right w:val="nil"/>
        </w:tcBorders>
        <w:shd w:val="clear" w:color="FFFFFF" w:fill="auto"/>
      </w:tcPr>
    </w:tblStylePr>
    <w:tblStylePr w:type="lastRow">
      <w:rPr>
        <w:i/>
        <w:color w:val="404040"/>
      </w:rPr>
      <w:tblPr/>
      <w:tcPr>
        <w:tcBorders>
          <w:top w:val="single" w:color="404040" w:sz="4" w:space="0"/>
          <w:left w:val="nil"/>
          <w:right w:val="nil"/>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3">
    <w:name w:val="Grid Table 1 Light"/>
    <w:basedOn w:val="2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blPr/>
      <w:tcPr>
        <w:tcBorders>
          <w:bottom w:val="single" w:color="696969" w:themeColor="tex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4">
    <w:name w:val="Grid Table 1 Light - Accent 1"/>
    <w:basedOn w:val="28"/>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blPr/>
      <w:tcPr>
        <w:tcBorders>
          <w:bottom w:val="single" w:color="9FC4E6" w:themeColor="accen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5">
    <w:name w:val="Grid Table 1 Light - Accent 2"/>
    <w:basedOn w:val="2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blPr/>
      <w:tcPr>
        <w:tcBorders>
          <w:bottom w:val="single" w:color="F4B386" w:themeColor="accent2"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6">
    <w:name w:val="Grid Table 1 Light - Accent 3"/>
    <w:basedOn w:val="2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blPr/>
      <w:tcPr>
        <w:tcBorders>
          <w:bottom w:val="single" w:color="CACACA" w:themeColor="accent3"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7">
    <w:name w:val="Grid Table 1 Light - Accent 4"/>
    <w:basedOn w:val="2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blPr/>
      <w:tcPr>
        <w:tcBorders>
          <w:bottom w:val="single" w:color="FFDA69" w:themeColor="accent4"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8">
    <w:name w:val="Grid Table 1 Light - Accent 5"/>
    <w:basedOn w:val="2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blPr/>
      <w:tcPr>
        <w:tcBorders>
          <w:bottom w:val="single" w:color="91ACDC" w:themeColor="accent5"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9">
    <w:name w:val="Grid Table 1 Light - Accent 6"/>
    <w:basedOn w:val="2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blPr/>
      <w:tcPr>
        <w:tcBorders>
          <w:bottom w:val="single" w:color="AAD190" w:themeColor="accent6"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0">
    <w:name w:val="Grid Table 2"/>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single" w:color="696969" w:themeColor="text1" w:themeTint="95" w:sz="12" w:space="0"/>
          <w:right w:val="nil"/>
        </w:tcBorders>
        <w:shd w:val="clear" w:color="FFFFFF" w:fill="auto"/>
      </w:tcPr>
    </w:tblStylePr>
    <w:tblStylePr w:type="lastRow">
      <w:rPr>
        <w:b/>
        <w:color w:val="404040"/>
      </w:rPr>
      <w:tblPr/>
      <w:tcPr>
        <w:tcBorders>
          <w:top w:val="single" w:color="696969" w:themeColor="text1" w:themeTint="9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1">
    <w:name w:val="Grid Table 2 - Accent 1"/>
    <w:basedOn w:val="2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blPr/>
      <w:tcPr>
        <w:tcBorders>
          <w:top w:val="nil"/>
          <w:left w:val="nil"/>
          <w:bottom w:val="single" w:color="68A3D8" w:themeColor="accent1" w:themeTint="EA" w:sz="12" w:space="0"/>
          <w:right w:val="nil"/>
        </w:tcBorders>
        <w:shd w:val="clear" w:color="FFFFFF" w:fill="auto"/>
      </w:tcPr>
    </w:tblStylePr>
    <w:tblStylePr w:type="lastRow">
      <w:rPr>
        <w:b/>
        <w:color w:val="404040"/>
      </w:rPr>
      <w:tblPr/>
      <w:tcPr>
        <w:tcBorders>
          <w:top w:val="single" w:color="68A3D8" w:themeColor="accent1" w:themeTint="E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DEAF6" w:themeColor="accent1" w:themeTint="34" w:fill="DDEAF6" w:themeFill="accent1" w:themeFillTint="34"/>
      </w:tcPr>
    </w:tblStylePr>
    <w:tblStylePr w:type="band2Vert">
      <w:tblPr/>
    </w:tblStylePr>
    <w:tblStylePr w:type="band1Horz">
      <w:rPr>
        <w:rFonts w:ascii="Arial" w:hAnsi="Arial"/>
        <w:color w:val="404040"/>
        <w:sz w:val="22"/>
      </w:rPr>
      <w:tblPr/>
      <w:tcPr>
        <w:shd w:val="clear" w:color="DDEAF6" w:themeColor="accent1" w:themeTint="34" w:fill="DDEAF6"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2">
    <w:name w:val="Grid Table 2 - Accent 2"/>
    <w:basedOn w:val="2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blPr/>
      <w:tcPr>
        <w:tcBorders>
          <w:top w:val="nil"/>
          <w:left w:val="nil"/>
          <w:bottom w:val="single" w:color="F4B285" w:themeColor="accent2" w:themeTint="97" w:sz="12" w:space="0"/>
          <w:right w:val="nil"/>
        </w:tcBorders>
        <w:shd w:val="clear" w:color="FFFFFF" w:fill="auto"/>
      </w:tcPr>
    </w:tblStylePr>
    <w:tblStylePr w:type="lastRow">
      <w:rPr>
        <w:b/>
        <w:color w:val="404040"/>
      </w:rPr>
      <w:tblPr/>
      <w:tcPr>
        <w:tcBorders>
          <w:top w:val="single" w:color="F4B285" w:themeColor="accent2" w:themeTint="97"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BE5D6" w:themeColor="accent2" w:themeTint="32" w:fill="FBE5D6" w:themeFill="accent2" w:themeFillTint="32"/>
      </w:tcPr>
    </w:tblStylePr>
    <w:tblStylePr w:type="band2Vert">
      <w:tblPr/>
    </w:tblStylePr>
    <w:tblStylePr w:type="band1Horz">
      <w:rPr>
        <w:rFonts w:ascii="Arial" w:hAnsi="Arial"/>
        <w:color w:val="404040"/>
        <w:sz w:val="22"/>
      </w:rPr>
      <w:tblPr/>
      <w:tcPr>
        <w:shd w:val="clear" w:color="FBE5D6" w:themeColor="accent2" w:themeTint="32" w:fill="FBE5D6"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3">
    <w:name w:val="Grid Table 2 - Accent 3"/>
    <w:basedOn w:val="2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il"/>
          <w:left w:val="nil"/>
          <w:bottom w:val="single" w:color="A5A5A5" w:themeColor="accent3" w:themeTint="FE" w:sz="12" w:space="0"/>
          <w:right w:val="nil"/>
        </w:tcBorders>
        <w:shd w:val="clear" w:color="FFFFFF" w:fill="auto"/>
      </w:tcPr>
    </w:tblStylePr>
    <w:tblStylePr w:type="lastRow">
      <w:rPr>
        <w:b/>
        <w:color w:val="404040"/>
      </w:rPr>
      <w:tblPr/>
      <w:tcPr>
        <w:tcBorders>
          <w:top w:val="single" w:color="A5A5A5" w:themeColor="accent3" w:themeTint="FE"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CECEC" w:themeColor="accent3" w:themeTint="34" w:fill="ECECEC" w:themeFill="accent3" w:themeFillTint="34"/>
      </w:tcPr>
    </w:tblStylePr>
    <w:tblStylePr w:type="band2Vert">
      <w:tblPr/>
    </w:tblStylePr>
    <w:tblStylePr w:type="band1Horz">
      <w:rPr>
        <w:rFonts w:ascii="Arial" w:hAnsi="Arial"/>
        <w:color w:val="404040"/>
        <w:sz w:val="22"/>
      </w:rPr>
      <w:tblPr/>
      <w:tcPr>
        <w:shd w:val="clear" w:color="ECECEC" w:themeColor="accent3" w:themeTint="34" w:fill="ECECEC"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4">
    <w:name w:val="Grid Table 2 - Accent 4"/>
    <w:basedOn w:val="2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blPr/>
      <w:tcPr>
        <w:tcBorders>
          <w:top w:val="nil"/>
          <w:left w:val="nil"/>
          <w:bottom w:val="single" w:color="FFD864" w:themeColor="accent4" w:themeTint="9A" w:sz="12" w:space="0"/>
          <w:right w:val="nil"/>
        </w:tcBorders>
        <w:shd w:val="clear" w:color="FFFFFF" w:fill="auto"/>
      </w:tcPr>
    </w:tblStylePr>
    <w:tblStylePr w:type="lastRow">
      <w:rPr>
        <w:b/>
        <w:color w:val="404040"/>
      </w:rPr>
      <w:tblPr/>
      <w:tcPr>
        <w:tcBorders>
          <w:top w:val="single" w:color="FFD864" w:themeColor="accent4" w:themeTint="9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EF2CA" w:themeColor="accent4" w:themeTint="34" w:fill="FEF2CA" w:themeFill="accent4" w:themeFillTint="34"/>
      </w:tcPr>
    </w:tblStylePr>
    <w:tblStylePr w:type="band2Vert">
      <w:tblPr/>
    </w:tblStylePr>
    <w:tblStylePr w:type="band1Horz">
      <w:rPr>
        <w:rFonts w:ascii="Arial" w:hAnsi="Arial"/>
        <w:color w:val="404040"/>
        <w:sz w:val="22"/>
      </w:rPr>
      <w:tblPr/>
      <w:tcPr>
        <w:shd w:val="clear" w:color="FEF2CA" w:themeColor="accent4" w:themeTint="34" w:fill="FEF2CA"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5">
    <w:name w:val="Grid Table 2 - Accent 5"/>
    <w:basedOn w:val="2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blPr/>
      <w:tcPr>
        <w:tcBorders>
          <w:top w:val="nil"/>
          <w:left w:val="nil"/>
          <w:bottom w:val="single" w:color="4472C4" w:themeColor="accent5" w:sz="12" w:space="0"/>
          <w:right w:val="nil"/>
        </w:tcBorders>
        <w:shd w:val="clear" w:color="FFFFFF" w:fill="auto"/>
      </w:tcPr>
    </w:tblStylePr>
    <w:tblStylePr w:type="lastRow">
      <w:rPr>
        <w:b/>
        <w:color w:val="404040"/>
      </w:rPr>
      <w:tblPr/>
      <w:tcPr>
        <w:tcBorders>
          <w:top w:val="single" w:color="4472C4" w:themeColor="accent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8E2F2" w:themeColor="accent5" w:themeTint="34" w:fill="D8E2F2" w:themeFill="accent5" w:themeFillTint="34"/>
      </w:tcPr>
    </w:tblStylePr>
    <w:tblStylePr w:type="band2Vert">
      <w:tblPr/>
    </w:tblStylePr>
    <w:tblStylePr w:type="band1Horz">
      <w:rPr>
        <w:rFonts w:ascii="Arial" w:hAnsi="Arial"/>
        <w:color w:val="404040"/>
        <w:sz w:val="22"/>
      </w:rPr>
      <w:tblPr/>
      <w:tcPr>
        <w:shd w:val="clear" w:color="D8E2F2" w:themeColor="accent5" w:themeTint="34" w:fill="D8E2F2"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6">
    <w:name w:val="Grid Table 2 - Accent 6"/>
    <w:basedOn w:val="2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il"/>
          <w:left w:val="nil"/>
          <w:bottom w:val="single" w:color="70AD47" w:themeColor="accent6" w:sz="12" w:space="0"/>
          <w:right w:val="nil"/>
        </w:tcBorders>
        <w:shd w:val="clear" w:color="FFFFFF" w:fill="auto"/>
      </w:tcPr>
    </w:tblStylePr>
    <w:tblStylePr w:type="lastRow">
      <w:rPr>
        <w:b/>
        <w:color w:val="404040"/>
      </w:rPr>
      <w:tblPr/>
      <w:tcPr>
        <w:tcBorders>
          <w:top w:val="single" w:color="70AD47" w:themeColor="accent6"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1EFD8" w:themeColor="accent6" w:themeTint="34" w:fill="E1EFD8" w:themeFill="accent6" w:themeFillTint="34"/>
      </w:tcPr>
    </w:tblStylePr>
    <w:tblStylePr w:type="band2Vert">
      <w:tblPr/>
    </w:tblStylePr>
    <w:tblStylePr w:type="band1Horz">
      <w:rPr>
        <w:rFonts w:ascii="Arial" w:hAnsi="Arial"/>
        <w:color w:val="404040"/>
        <w:sz w:val="22"/>
      </w:rPr>
      <w:tblPr/>
      <w:tcPr>
        <w:shd w:val="clear" w:color="E1EFD8" w:themeColor="accent6" w:themeTint="34" w:fill="E1EFD8"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7">
    <w:name w:val="Grid Table 3"/>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8">
    <w:name w:val="Grid Table 3 - Accent 1"/>
    <w:basedOn w:val="2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2Vert">
      <w:tblPr/>
    </w:tblStylePr>
    <w:tblStylePr w:type="band1Horz">
      <w:rPr>
        <w:rFonts w:ascii="Arial" w:hAnsi="Arial"/>
        <w:color w:val="404040"/>
        <w:sz w:val="22"/>
      </w:rPr>
      <w:tblPr/>
      <w:tcPr>
        <w:shd w:val="clear" w:color="DDEAF6" w:themeColor="accent1" w:themeTint="34" w:fill="DDEAF6"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9">
    <w:name w:val="Grid Table 3 - Accent 2"/>
    <w:basedOn w:val="2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2Vert">
      <w:tblPr/>
    </w:tblStylePr>
    <w:tblStylePr w:type="band1Horz">
      <w:rPr>
        <w:rFonts w:ascii="Arial" w:hAnsi="Arial"/>
        <w:color w:val="404040"/>
        <w:sz w:val="22"/>
      </w:rPr>
      <w:tblPr/>
      <w:tcPr>
        <w:shd w:val="clear" w:color="FBE5D6" w:themeColor="accent2" w:themeTint="32" w:fill="FBE5D6"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0">
    <w:name w:val="Grid Table 3 - Accent 3"/>
    <w:basedOn w:val="2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2Vert">
      <w:tblPr/>
    </w:tblStylePr>
    <w:tblStylePr w:type="band1Horz">
      <w:rPr>
        <w:rFonts w:ascii="Arial" w:hAnsi="Arial"/>
        <w:color w:val="404040"/>
        <w:sz w:val="22"/>
      </w:rPr>
      <w:tblPr/>
      <w:tcPr>
        <w:shd w:val="clear" w:color="ECECEC" w:themeColor="accent3" w:themeTint="34" w:fill="ECECEC"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1">
    <w:name w:val="Grid Table 3 - Accent 4"/>
    <w:basedOn w:val="2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A" w:themeColor="accent4" w:themeTint="34" w:fill="FEF2CA" w:themeFill="accent4" w:themeFillTint="34"/>
      </w:tcPr>
    </w:tblStylePr>
    <w:tblStylePr w:type="band2Vert">
      <w:tblPr/>
    </w:tblStylePr>
    <w:tblStylePr w:type="band1Horz">
      <w:rPr>
        <w:rFonts w:ascii="Arial" w:hAnsi="Arial"/>
        <w:color w:val="404040"/>
        <w:sz w:val="22"/>
      </w:rPr>
      <w:tblPr/>
      <w:tcPr>
        <w:shd w:val="clear" w:color="FEF2CA" w:themeColor="accent4" w:themeTint="34" w:fill="FEF2CA"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2">
    <w:name w:val="Grid Table 3 - Accent 5"/>
    <w:basedOn w:val="2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2" w:themeColor="accent5" w:themeTint="34" w:fill="D8E2F2" w:themeFill="accent5" w:themeFillTint="34"/>
      </w:tcPr>
    </w:tblStylePr>
    <w:tblStylePr w:type="band2Vert">
      <w:tblPr/>
    </w:tblStylePr>
    <w:tblStylePr w:type="band1Horz">
      <w:rPr>
        <w:rFonts w:ascii="Arial" w:hAnsi="Arial"/>
        <w:color w:val="404040"/>
        <w:sz w:val="22"/>
      </w:rPr>
      <w:tblPr/>
      <w:tcPr>
        <w:shd w:val="clear" w:color="D8E2F2" w:themeColor="accent5" w:themeTint="34" w:fill="D8E2F2"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3">
    <w:name w:val="Grid Table 3 - Accent 6"/>
    <w:basedOn w:val="2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2Vert">
      <w:tblPr/>
    </w:tblStylePr>
    <w:tblStylePr w:type="band1Horz">
      <w:rPr>
        <w:rFonts w:ascii="Arial" w:hAnsi="Arial"/>
        <w:color w:val="404040"/>
        <w:sz w:val="22"/>
      </w:rPr>
      <w:tblPr/>
      <w:tcPr>
        <w:shd w:val="clear" w:color="E1EFD8" w:themeColor="accent6" w:themeTint="34" w:fill="E1EFD8"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4">
    <w:name w:val="Grid Table 4"/>
    <w:basedOn w:val="2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5">
    <w:name w:val="Grid Table 4 - Accent 1"/>
    <w:basedOn w:val="28"/>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bl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blPr/>
      <w:tcPr>
        <w:tcBorders>
          <w:top w:val="single" w:color="68A3D8" w:themeColor="accent1" w:themeTint="E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EEBF6" w:themeColor="accent1" w:themeTint="32" w:fill="DEEBF6" w:themeFill="accent1" w:themeFillTint="32"/>
      </w:tcPr>
    </w:tblStylePr>
    <w:tblStylePr w:type="band2Vert">
      <w:tblPr/>
    </w:tblStylePr>
    <w:tblStylePr w:type="band1Horz">
      <w:rPr>
        <w:rFonts w:ascii="Arial" w:hAnsi="Arial"/>
        <w:color w:val="404040"/>
        <w:sz w:val="22"/>
      </w:rPr>
      <w:tblPr/>
      <w:tcPr>
        <w:shd w:val="clear" w:color="DEEBF6" w:themeColor="accent1" w:themeTint="32" w:fill="DEEBF6" w:themeFill="accent1"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6">
    <w:name w:val="Grid Table 4 - Accent 2"/>
    <w:basedOn w:val="28"/>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bl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blPr/>
      <w:tcPr>
        <w:tcBorders>
          <w:top w:val="single" w:color="F4B285" w:themeColor="accent2" w:themeTint="97"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BE5D6" w:themeColor="accent2" w:themeTint="32" w:fill="FBE5D6" w:themeFill="accent2" w:themeFillTint="32"/>
      </w:tcPr>
    </w:tblStylePr>
    <w:tblStylePr w:type="band2Vert">
      <w:tblPr/>
    </w:tblStylePr>
    <w:tblStylePr w:type="band1Horz">
      <w:rPr>
        <w:rFonts w:ascii="Arial" w:hAnsi="Arial"/>
        <w:color w:val="404040"/>
        <w:sz w:val="22"/>
      </w:rPr>
      <w:tblPr/>
      <w:tcPr>
        <w:shd w:val="clear" w:color="FBE5D6" w:themeColor="accent2" w:themeTint="32" w:fill="FBE5D6"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7">
    <w:name w:val="Grid Table 4 - Accent 3"/>
    <w:basedOn w:val="28"/>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bl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blPr/>
      <w:tcPr>
        <w:tcBorders>
          <w:top w:val="single" w:color="A5A5A5" w:themeColor="accent3" w:themeTint="FE"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CECEC" w:themeColor="accent3" w:themeTint="34" w:fill="ECECEC" w:themeFill="accent3" w:themeFillTint="34"/>
      </w:tcPr>
    </w:tblStylePr>
    <w:tblStylePr w:type="band2Vert">
      <w:tblPr/>
    </w:tblStylePr>
    <w:tblStylePr w:type="band1Horz">
      <w:rPr>
        <w:rFonts w:ascii="Arial" w:hAnsi="Arial"/>
        <w:color w:val="404040"/>
        <w:sz w:val="22"/>
      </w:rPr>
      <w:tblPr/>
      <w:tcPr>
        <w:shd w:val="clear" w:color="ECECEC" w:themeColor="accent3" w:themeTint="34" w:fill="ECECEC"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8">
    <w:name w:val="Grid Table 4 - Accent 4"/>
    <w:basedOn w:val="28"/>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bl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blPr/>
      <w:tcPr>
        <w:tcBorders>
          <w:top w:val="single" w:color="FFD864" w:themeColor="accent4" w:themeTint="9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EF2CA" w:themeColor="accent4" w:themeTint="34" w:fill="FEF2CA" w:themeFill="accent4" w:themeFillTint="34"/>
      </w:tcPr>
    </w:tblStylePr>
    <w:tblStylePr w:type="band2Vert">
      <w:tblPr/>
    </w:tblStylePr>
    <w:tblStylePr w:type="band1Horz">
      <w:rPr>
        <w:rFonts w:ascii="Arial" w:hAnsi="Arial"/>
        <w:color w:val="404040"/>
        <w:sz w:val="22"/>
      </w:rPr>
      <w:tblPr/>
      <w:tcPr>
        <w:shd w:val="clear" w:color="FEF2CA" w:themeColor="accent4" w:themeTint="34" w:fill="FEF2CA"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9">
    <w:name w:val="Grid Table 4 - Accent 5"/>
    <w:basedOn w:val="28"/>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blPr/>
      <w:tcPr>
        <w:tcBorders>
          <w:top w:val="single" w:color="4472C4" w:themeColor="accent5"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8E2F2" w:themeColor="accent5" w:themeTint="34" w:fill="D8E2F2" w:themeFill="accent5" w:themeFillTint="34"/>
      </w:tcPr>
    </w:tblStylePr>
    <w:tblStylePr w:type="band2Vert">
      <w:tblPr/>
    </w:tblStylePr>
    <w:tblStylePr w:type="band1Horz">
      <w:rPr>
        <w:rFonts w:ascii="Arial" w:hAnsi="Arial"/>
        <w:color w:val="404040"/>
        <w:sz w:val="22"/>
      </w:rPr>
      <w:tblPr/>
      <w:tcPr>
        <w:shd w:val="clear" w:color="D8E2F2" w:themeColor="accent5" w:themeTint="34" w:fill="D8E2F2"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0">
    <w:name w:val="Grid Table 4 - Accent 6"/>
    <w:basedOn w:val="28"/>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blPr/>
      <w:tcPr>
        <w:tcBorders>
          <w:top w:val="single" w:color="70AD47" w:themeColor="accent6"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1EFD8" w:themeColor="accent6" w:themeTint="34" w:fill="E1EFD8" w:themeFill="accent6" w:themeFillTint="34"/>
      </w:tcPr>
    </w:tblStylePr>
    <w:tblStylePr w:type="band2Vert">
      <w:tblPr/>
    </w:tblStylePr>
    <w:tblStylePr w:type="band1Horz">
      <w:rPr>
        <w:rFonts w:ascii="Arial" w:hAnsi="Arial"/>
        <w:color w:val="404040"/>
        <w:sz w:val="22"/>
      </w:rPr>
      <w:tblPr/>
      <w:tcPr>
        <w:shd w:val="clear" w:color="E1EFD8" w:themeColor="accent6" w:themeTint="34" w:fill="E1EFD8"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1">
    <w:name w:val="Grid Table 5 Dark"/>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98989" w:themeColor="text1" w:themeTint="75" w:fill="898989" w:themeFill="text1" w:themeFillTint="75"/>
      </w:tcPr>
    </w:tblStylePr>
    <w:tblStylePr w:type="band2Vert">
      <w:tblPr/>
    </w:tblStylePr>
    <w:tblStylePr w:type="band1Horz">
      <w:tblPr/>
      <w:tcPr>
        <w:shd w:val="clear" w:color="898989" w:themeColor="text1" w:themeTint="75" w:fill="898989" w:themeFill="tex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2">
    <w:name w:val="Grid Table 5 Dark- Accent 1"/>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1EB" w:themeColor="accent1" w:themeTint="75" w:fill="B3D1EB" w:themeFill="accent1" w:themeFillTint="75"/>
      </w:tcPr>
    </w:tblStylePr>
    <w:tblStylePr w:type="band2Vert">
      <w:tblPr/>
    </w:tblStylePr>
    <w:tblStylePr w:type="band1Horz">
      <w:tblPr/>
      <w:tcPr>
        <w:shd w:val="clear" w:color="B3D1EB" w:themeColor="accent1" w:themeTint="75" w:fill="B3D1EB" w:themeFill="accen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3">
    <w:name w:val="Grid Table 5 Dark - Accent 2"/>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2Vert">
      <w:tblPr/>
    </w:tblStylePr>
    <w:tblStylePr w:type="band1Horz">
      <w:tblPr/>
      <w:tcPr>
        <w:shd w:val="clear" w:color="F6C3A0" w:themeColor="accent2" w:themeTint="75" w:fill="F6C3A0" w:themeFill="accent2"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4">
    <w:name w:val="Grid Table 5 Dark - Accent 3"/>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2Vert">
      <w:tblPr/>
    </w:tblStylePr>
    <w:tblStylePr w:type="band1Horz">
      <w:tblPr/>
      <w:tcPr>
        <w:shd w:val="clear" w:color="D5D5D5" w:themeColor="accent3" w:themeTint="75" w:fill="D5D5D5" w:themeFill="accent3"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5">
    <w:name w:val="Grid Table 5 Dark- Accent 4"/>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EE289" w:themeColor="accent4" w:themeTint="75" w:fill="FEE289" w:themeFill="accent4" w:themeFillTint="75"/>
      </w:tcPr>
    </w:tblStylePr>
    <w:tblStylePr w:type="band2Vert">
      <w:tblPr/>
    </w:tblStylePr>
    <w:tblStylePr w:type="band1Horz">
      <w:tblPr/>
      <w:tcPr>
        <w:shd w:val="clear" w:color="FEE289" w:themeColor="accent4" w:themeTint="75" w:fill="FEE289" w:themeFill="accent4"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6">
    <w:name w:val="Grid Table 5 Dark - Accent 5"/>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3" w:themeColor="accent5" w:themeTint="75" w:fill="A9BEE3" w:themeFill="accent5" w:themeFillTint="75"/>
      </w:tcPr>
    </w:tblStylePr>
    <w:tblStylePr w:type="band2Vert">
      <w:tblPr/>
    </w:tblStylePr>
    <w:tblStylePr w:type="band1Horz">
      <w:tblPr/>
      <w:tcPr>
        <w:shd w:val="clear" w:color="A9BEE3" w:themeColor="accent5" w:themeTint="75" w:fill="A9BEE3" w:themeFill="accent5"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7">
    <w:name w:val="Grid Table 5 Dark - Accent 6"/>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2Vert">
      <w:tblPr/>
    </w:tblStylePr>
    <w:tblStylePr w:type="band1Horz">
      <w:tblPr/>
      <w:tcPr>
        <w:shd w:val="clear" w:color="BCDBA8" w:themeColor="accent6" w:themeTint="75" w:fill="BCDBA8" w:themeFill="accent6"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8">
    <w:name w:val="Grid Table 6 Colorful"/>
    <w:basedOn w:val="2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bl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Pr/>
    </w:tblStylePr>
    <w:tblStylePr w:type="firstCol">
      <w:rPr>
        <w:b/>
        <w:color w:val="808080" w:themeColor="text1" w:themeTint="80"/>
        <w14:textFill>
          <w14:solidFill>
            <w14:schemeClr w14:val="tx1">
              <w14:lumMod w14:val="50000"/>
              <w14:lumOff w14:val="50000"/>
            </w14:schemeClr>
          </w14:solidFill>
        </w14:textFill>
      </w:rPr>
      <w:tblPr/>
    </w:tblStylePr>
    <w:tblStylePr w:type="lastCol">
      <w:rPr>
        <w:b/>
        <w:color w:val="808080" w:themeColor="text1" w:themeTint="80"/>
        <w14:textFill>
          <w14:solidFill>
            <w14:schemeClr w14:val="tx1">
              <w14:lumMod w14:val="50000"/>
              <w14:lumOff w14:val="50000"/>
            </w14:schemeClr>
          </w14:solidFill>
        </w14:textFill>
      </w:rPr>
      <w:tblPr/>
    </w:tblStylePr>
    <w:tblStylePr w:type="band1Vert">
      <w:tblPr/>
      <w:tcPr>
        <w:shd w:val="clear" w:color="CACACA" w:themeColor="text1" w:themeTint="34" w:fill="CACACA" w:themeFill="text1" w:themeFillTint="34"/>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79">
    <w:name w:val="Grid Table 6 Colorful - Accent 1"/>
    <w:basedOn w:val="28"/>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bl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Pr/>
    </w:tblStylePr>
    <w:tblStylePr w:type="firstCol">
      <w:rPr>
        <w:b/>
        <w:color w:val="ADCDEA" w:themeColor="accent1" w:themeTint="80"/>
        <w14:textFill>
          <w14:solidFill>
            <w14:schemeClr w14:val="accent1">
              <w14:lumMod w14:val="50000"/>
              <w14:lumOff w14:val="50000"/>
            </w14:schemeClr>
          </w14:solidFill>
        </w14:textFill>
      </w:rPr>
      <w:tblPr/>
    </w:tblStylePr>
    <w:tblStylePr w:type="lastCol">
      <w:rPr>
        <w:b/>
        <w:color w:val="ADCDEA" w:themeColor="accent1" w:themeTint="80"/>
        <w14:textFill>
          <w14:solidFill>
            <w14:schemeClr w14:val="accent1">
              <w14:lumMod w14:val="50000"/>
              <w14:lumOff w14:val="50000"/>
            </w14:schemeClr>
          </w14:solidFill>
        </w14:textFill>
      </w:rPr>
      <w:tblPr/>
    </w:tblStylePr>
    <w:tblStylePr w:type="band1Vert">
      <w:tblPr/>
      <w:tcPr>
        <w:shd w:val="clear" w:color="DDEAF6" w:themeColor="accent1" w:themeTint="34" w:fill="DDEAF6" w:themeFill="accent1" w:themeFillTint="34"/>
      </w:tcPr>
    </w:tblStylePr>
    <w:tblStylePr w:type="band2Vert">
      <w:tbl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bl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0">
    <w:name w:val="Grid Table 6 Colorful - Accent 2"/>
    <w:basedOn w:val="2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bl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Pr/>
    </w:tblStylePr>
    <w:tblStylePr w:type="firstCol">
      <w:rPr>
        <w:b/>
        <w:color w:val="F4B285" w:themeColor="accent2" w:themeTint="96"/>
        <w14:textFill>
          <w14:solidFill>
            <w14:schemeClr w14:val="accent2">
              <w14:lumMod w14:val="59000"/>
              <w14:lumOff w14:val="41000"/>
            </w14:schemeClr>
          </w14:solidFill>
        </w14:textFill>
      </w:rPr>
      <w:tblPr/>
    </w:tblStylePr>
    <w:tblStylePr w:type="lastCol">
      <w:rPr>
        <w:b/>
        <w:color w:val="F4B285" w:themeColor="accent2" w:themeTint="96"/>
        <w14:textFill>
          <w14:solidFill>
            <w14:schemeClr w14:val="accent2">
              <w14:lumMod w14:val="59000"/>
              <w14:lumOff w14:val="41000"/>
            </w14:schemeClr>
          </w14:solidFill>
        </w14:textFill>
      </w:rPr>
      <w:tblPr/>
    </w:tblStylePr>
    <w:tblStylePr w:type="band1Vert">
      <w:tblPr/>
      <w:tcPr>
        <w:shd w:val="clear" w:color="FBE5D6" w:themeColor="accent2" w:themeTint="32" w:fill="FBE5D6" w:themeFill="accent2" w:themeFillTint="32"/>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1">
    <w:name w:val="Grid Table 6 Colorful - Accent 3"/>
    <w:basedOn w:val="28"/>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bl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Pr/>
    </w:tblStylePr>
    <w:tblStylePr w:type="firstCol">
      <w:rPr>
        <w:b/>
        <w:color w:val="A5A5A5" w:themeColor="accent3" w:themeTint="FF"/>
        <w14:textFill>
          <w14:solidFill>
            <w14:schemeClr w14:val="accent3">
              <w14:lumMod w14:val="100000"/>
              <w14:lumOff w14:val="0"/>
            </w14:schemeClr>
          </w14:solidFill>
        </w14:textFill>
      </w:rPr>
      <w:tblPr/>
    </w:tblStylePr>
    <w:tblStylePr w:type="lastCol">
      <w:rPr>
        <w:b/>
        <w:color w:val="A5A5A5" w:themeColor="accent3" w:themeTint="FF"/>
        <w14:textFill>
          <w14:solidFill>
            <w14:schemeClr w14:val="accent3">
              <w14:lumMod w14:val="100000"/>
              <w14:lumOff w14:val="0"/>
            </w14:schemeClr>
          </w14:solidFill>
        </w14:textFill>
      </w:rPr>
      <w:tblPr/>
    </w:tblStylePr>
    <w:tblStylePr w:type="band1Vert">
      <w:tblPr/>
      <w:tcPr>
        <w:shd w:val="clear" w:color="ECECEC" w:themeColor="accent3" w:themeTint="34" w:fill="ECECEC" w:themeFill="accent3" w:themeFillTint="34"/>
      </w:tcPr>
    </w:tblStylePr>
    <w:tblStylePr w:type="band2Vert">
      <w:tblPr/>
    </w:tblStylePr>
    <w:tblStylePr w:type="band1Horz">
      <w:rPr>
        <w:rFonts w:ascii="Arial" w:hAnsi="Arial"/>
        <w:color w:val="A5A5A5" w:themeColor="accent3" w:themeTint="FF"/>
        <w:sz w:val="22"/>
        <w14:textFill>
          <w14:solidFill>
            <w14:schemeClr w14:val="accent3">
              <w14:lumMod w14:val="100000"/>
              <w14:lumOff w14:val="0"/>
            </w14:schemeClr>
          </w14:solidFill>
        </w14:textFill>
      </w:rPr>
      <w:tbl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2">
    <w:name w:val="Grid Table 6 Colorful - Accent 4"/>
    <w:basedOn w:val="2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bl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Pr/>
    </w:tblStylePr>
    <w:tblStylePr w:type="firstCol">
      <w:rPr>
        <w:b/>
        <w:color w:val="FFD966" w:themeColor="accent4" w:themeTint="99"/>
        <w14:textFill>
          <w14:solidFill>
            <w14:schemeClr w14:val="accent4">
              <w14:lumMod w14:val="60000"/>
              <w14:lumOff w14:val="40000"/>
            </w14:schemeClr>
          </w14:solidFill>
        </w14:textFill>
      </w:rPr>
      <w:tblPr/>
    </w:tblStylePr>
    <w:tblStylePr w:type="lastCol">
      <w:rPr>
        <w:b/>
        <w:color w:val="FFD966" w:themeColor="accent4" w:themeTint="99"/>
        <w14:textFill>
          <w14:solidFill>
            <w14:schemeClr w14:val="accent4">
              <w14:lumMod w14:val="60000"/>
              <w14:lumOff w14:val="40000"/>
            </w14:schemeClr>
          </w14:solidFill>
        </w14:textFill>
      </w:rPr>
      <w:tblPr/>
    </w:tblStylePr>
    <w:tblStylePr w:type="band1Vert">
      <w:tblPr/>
      <w:tcPr>
        <w:shd w:val="clear" w:color="FEF2CA" w:themeColor="accent4" w:themeTint="34" w:fill="FEF2CA" w:themeFill="accent4" w:themeFillTint="34"/>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3">
    <w:name w:val="Grid Table 6 Colorful - Accent 5"/>
    <w:basedOn w:val="28"/>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blPr/>
      <w:tcPr>
        <w:tcBorders>
          <w:bottom w:val="single" w:color="4472C4" w:themeColor="accent5" w:sz="12" w:space="0"/>
        </w:tcBorders>
      </w:tcPr>
    </w:tblStylePr>
    <w:tblStylePr w:type="lastRow">
      <w:rPr>
        <w:b/>
        <w:color w:val="254174" w:themeColor="accent5" w:themeShade="94"/>
      </w:rPr>
      <w:tblPr/>
    </w:tblStylePr>
    <w:tblStylePr w:type="firstCol">
      <w:rPr>
        <w:b/>
        <w:color w:val="254174" w:themeColor="accent5" w:themeShade="94"/>
      </w:rPr>
      <w:tblPr/>
    </w:tblStylePr>
    <w:tblStylePr w:type="lastCol">
      <w:rPr>
        <w:b/>
        <w:color w:val="254174" w:themeColor="accent5" w:themeShade="94"/>
      </w:rPr>
      <w:tblPr/>
    </w:tblStylePr>
    <w:tblStylePr w:type="band1Vert">
      <w:tblPr/>
      <w:tcPr>
        <w:shd w:val="clear" w:color="D8E2F2" w:themeColor="accent5" w:themeTint="34" w:fill="D8E2F2" w:themeFill="accent5" w:themeFillTint="34"/>
      </w:tcPr>
    </w:tblStylePr>
    <w:tblStylePr w:type="band2Vert">
      <w:tblPr/>
    </w:tblStylePr>
    <w:tblStylePr w:type="band1Horz">
      <w:rPr>
        <w:rFonts w:ascii="Arial" w:hAnsi="Arial"/>
        <w:color w:val="254174" w:themeColor="accent5" w:themeShade="94"/>
        <w:sz w:val="22"/>
      </w:rPr>
      <w:tblPr/>
      <w:tcPr>
        <w:shd w:val="clear" w:color="D8E2F2" w:themeColor="accent5" w:themeTint="34" w:fill="D8E2F2" w:themeFill="accent5" w:themeFillTint="34"/>
      </w:tcPr>
    </w:tblStylePr>
    <w:tblStylePr w:type="band2Horz">
      <w:rPr>
        <w:rFonts w:ascii="Arial" w:hAnsi="Arial"/>
        <w:color w:val="254174"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84">
    <w:name w:val="Grid Table 6 Colorful - Accent 6"/>
    <w:basedOn w:val="28"/>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blPr/>
      <w:tcPr>
        <w:tcBorders>
          <w:bottom w:val="single" w:color="70AD47" w:themeColor="accent6" w:sz="12" w:space="0"/>
        </w:tcBorders>
      </w:tcPr>
    </w:tblStylePr>
    <w:tblStylePr w:type="lastRow">
      <w:rPr>
        <w:b/>
        <w:color w:val="254174" w:themeColor="accent5" w:themeShade="94"/>
      </w:rPr>
      <w:tblPr/>
    </w:tblStylePr>
    <w:tblStylePr w:type="firstCol">
      <w:rPr>
        <w:b/>
        <w:color w:val="254174" w:themeColor="accent5" w:themeShade="94"/>
      </w:rPr>
      <w:tblPr/>
    </w:tblStylePr>
    <w:tblStylePr w:type="lastCol">
      <w:rPr>
        <w:b/>
        <w:color w:val="254174" w:themeColor="accent5" w:themeShade="94"/>
      </w:rPr>
      <w:tblPr/>
    </w:tblStylePr>
    <w:tblStylePr w:type="band1Vert">
      <w:tblPr/>
      <w:tcPr>
        <w:shd w:val="clear" w:color="E1EFD8" w:themeColor="accent6" w:themeTint="34" w:fill="E1EFD8" w:themeFill="accent6" w:themeFillTint="34"/>
      </w:tcPr>
    </w:tblStylePr>
    <w:tblStylePr w:type="band2Vert">
      <w:tblPr/>
    </w:tblStylePr>
    <w:tblStylePr w:type="band1Horz">
      <w:rPr>
        <w:rFonts w:ascii="Arial" w:hAnsi="Arial"/>
        <w:color w:val="254174" w:themeColor="accent5" w:themeShade="94"/>
        <w:sz w:val="22"/>
      </w:rPr>
      <w:tblPr/>
      <w:tcPr>
        <w:shd w:val="clear" w:color="E1EFD8" w:themeColor="accent6" w:themeTint="34" w:fill="E1EFD8" w:themeFill="accent6" w:themeFillTint="34"/>
      </w:tcPr>
    </w:tblStylePr>
    <w:tblStylePr w:type="band2Horz">
      <w:rPr>
        <w:rFonts w:ascii="Arial" w:hAnsi="Arial"/>
        <w:color w:val="254174"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85">
    <w:name w:val="Grid Table 7 Colorful"/>
    <w:basedOn w:val="2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F1F1F1" w:themeColor="text1" w:themeTint="0D" w:fill="F1F1F1" w:themeFill="text1" w:themeFillTint="0D"/>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6">
    <w:name w:val="Grid Table 7 Colorful - Accent 1"/>
    <w:basedOn w:val="28"/>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bl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bl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bl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blPr/>
      <w:tcPr>
        <w:tcBorders>
          <w:top w:val="nil"/>
          <w:left w:val="single" w:color="ACCCE9" w:themeColor="accent1" w:themeTint="80" w:sz="4" w:space="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2Vert">
      <w:tbl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bl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7">
    <w:name w:val="Grid Table 7 Colorful - Accent 2"/>
    <w:basedOn w:val="28"/>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bl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bl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single" w:color="F4B285" w:themeColor="accent2" w:themeTint="97" w:sz="4" w:space="0"/>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8">
    <w:name w:val="Grid Table 7 Colorful - Accent 3"/>
    <w:basedOn w:val="28"/>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bl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bl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bl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blPr/>
      <w:tcPr>
        <w:tcBorders>
          <w:top w:val="nil"/>
          <w:left w:val="single" w:color="A5A5A5" w:themeColor="accent3" w:themeTint="FE" w:sz="4" w:space="0"/>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2Vert">
      <w:tblPr/>
    </w:tblStylePr>
    <w:tblStylePr w:type="band1Horz">
      <w:rPr>
        <w:rFonts w:ascii="Arial" w:hAnsi="Arial"/>
        <w:color w:val="A5A5A5" w:themeColor="accent3" w:themeTint="FF"/>
        <w:sz w:val="22"/>
        <w14:textFill>
          <w14:solidFill>
            <w14:schemeClr w14:val="accent3">
              <w14:lumMod w14:val="100000"/>
              <w14:lumOff w14:val="0"/>
            </w14:schemeClr>
          </w14:solidFill>
        </w14:textFill>
      </w:rPr>
      <w:tbl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89">
    <w:name w:val="Grid Table 7 Colorful - Accent 4"/>
    <w:basedOn w:val="28"/>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bl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bl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single" w:color="FFD864" w:themeColor="accent4" w:themeTint="9A" w:sz="4" w:space="0"/>
          <w:bottom w:val="nil"/>
          <w:right w:val="nil"/>
        </w:tcBorders>
        <w:shd w:val="clear" w:color="FFFFFF" w:fill="auto"/>
      </w:tcPr>
    </w:tblStylePr>
    <w:tblStylePr w:type="band1Vert">
      <w:tblPr/>
      <w:tcPr>
        <w:shd w:val="clear" w:color="FEF2CA" w:themeColor="accent4" w:themeTint="34" w:fill="FEF2CA" w:themeFill="accent4" w:themeFillTint="34"/>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90">
    <w:name w:val="Grid Table 7 Colorful - Accent 5"/>
    <w:basedOn w:val="28"/>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bl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bl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bl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blPr/>
      <w:tcPr>
        <w:tcBorders>
          <w:top w:val="nil"/>
          <w:left w:val="single" w:color="95AFDD" w:themeColor="accent5" w:themeTint="90" w:sz="4" w:space="0"/>
          <w:bottom w:val="nil"/>
          <w:right w:val="nil"/>
        </w:tcBorders>
        <w:shd w:val="clear" w:color="FFFFFF" w:fill="auto"/>
      </w:tcPr>
    </w:tblStylePr>
    <w:tblStylePr w:type="band1Vert">
      <w:tblPr/>
      <w:tcPr>
        <w:shd w:val="clear" w:color="D8E2F2" w:themeColor="accent5" w:themeTint="34" w:fill="D8E2F2" w:themeFill="accent5" w:themeFillTint="34"/>
      </w:tcPr>
    </w:tblStylePr>
    <w:tblStylePr w:type="band2Vert">
      <w:tblPr/>
    </w:tblStylePr>
    <w:tblStylePr w:type="band1Horz">
      <w:rPr>
        <w:rFonts w:ascii="Arial" w:hAnsi="Arial"/>
        <w:color w:val="254174" w:themeColor="accent5" w:themeShade="94"/>
        <w:sz w:val="22"/>
      </w:rPr>
      <w:tblPr/>
      <w:tcPr>
        <w:shd w:val="clear" w:color="D8E2F2" w:themeColor="accent5" w:themeTint="34" w:fill="D8E2F2" w:themeFill="accent5" w:themeFillTint="34"/>
      </w:tcPr>
    </w:tblStylePr>
    <w:tblStylePr w:type="band2Horz">
      <w:rPr>
        <w:rFonts w:ascii="Arial" w:hAnsi="Arial"/>
        <w:color w:val="254174"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91">
    <w:name w:val="Grid Table 7 Colorful - Accent 6"/>
    <w:basedOn w:val="28"/>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bl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bl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bl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blPr/>
      <w:tcPr>
        <w:tcBorders>
          <w:top w:val="nil"/>
          <w:left w:val="single" w:color="ADD394" w:themeColor="accent6" w:themeTint="90" w:sz="4" w:space="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2Vert">
      <w:tblPr/>
    </w:tblStylePr>
    <w:tblStylePr w:type="band1Horz">
      <w:rPr>
        <w:rFonts w:ascii="Arial" w:hAnsi="Arial"/>
        <w:color w:val="416429" w:themeColor="accent6" w:themeShade="94"/>
        <w:sz w:val="22"/>
      </w:rPr>
      <w:tblPr/>
      <w:tcPr>
        <w:shd w:val="clear" w:color="E1EFD8" w:themeColor="accent6" w:themeTint="34" w:fill="E1EFD8" w:themeFill="accent6" w:themeFillTint="34"/>
      </w:tcPr>
    </w:tblStylePr>
    <w:tblStylePr w:type="band2Horz">
      <w:rPr>
        <w:rFonts w:ascii="Arial" w:hAnsi="Arial"/>
        <w:color w:val="416429" w:themeColor="accent6" w:themeShade="94"/>
        <w:sz w:val="22"/>
      </w:rPr>
      <w:tblPr/>
    </w:tblStylePr>
    <w:tblStylePr w:type="neCell">
      <w:tblPr/>
    </w:tblStylePr>
    <w:tblStylePr w:type="nwCell">
      <w:tblPr/>
    </w:tblStylePr>
    <w:tblStylePr w:type="seCell">
      <w:tblPr/>
    </w:tblStylePr>
    <w:tblStylePr w:type="swCell">
      <w:tblPr/>
    </w:tblStylePr>
  </w:style>
  <w:style w:type="table" w:customStyle="1" w:styleId="92">
    <w:name w:val="List Table 1 Light"/>
    <w:basedOn w:val="28"/>
    <w:uiPriority w:val="99"/>
    <w:pPr>
      <w:spacing w:after="0" w:line="240" w:lineRule="auto"/>
    </w:pPr>
    <w:tblPr/>
    <w:tblStylePr w:type="firstRow">
      <w:rPr>
        <w:b/>
        <w:color w:val="404040"/>
      </w:rPr>
      <w:tblPr/>
      <w:tcPr>
        <w:tcBorders>
          <w:top w:val="nil"/>
          <w:left w:val="nil"/>
          <w:bottom w:val="single" w:color="000000" w:themeColor="text1" w:sz="4" w:space="0"/>
          <w:right w:val="nil"/>
        </w:tcBorders>
      </w:tcPr>
    </w:tblStylePr>
    <w:tblStylePr w:type="lastRow">
      <w:rPr>
        <w:b/>
        <w:color w:val="404040"/>
      </w:rPr>
      <w:tblPr/>
      <w:tcPr>
        <w:tcBorders>
          <w:top w:val="single" w:color="000000" w:themeColor="tex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BEBEBE" w:themeColor="text1" w:themeTint="40" w:fill="BEBEBE" w:themeFill="text1" w:themeFillTint="40"/>
      </w:tcPr>
    </w:tblStylePr>
    <w:tblStylePr w:type="band2Vert">
      <w:tblPr/>
    </w:tblStylePr>
    <w:tblStylePr w:type="band1Horz">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3">
    <w:name w:val="List Table 1 Light - Accent 1"/>
    <w:basedOn w:val="28"/>
    <w:uiPriority w:val="99"/>
    <w:pPr>
      <w:spacing w:after="0" w:line="240" w:lineRule="auto"/>
    </w:pPr>
    <w:tblPr/>
    <w:tblStylePr w:type="firstRow">
      <w:rPr>
        <w:b/>
        <w:color w:val="404040"/>
      </w:rPr>
      <w:tblPr/>
      <w:tcPr>
        <w:tcBorders>
          <w:top w:val="nil"/>
          <w:left w:val="nil"/>
          <w:bottom w:val="single" w:color="5B9BD5" w:themeColor="accent1" w:sz="4" w:space="0"/>
          <w:right w:val="nil"/>
        </w:tcBorders>
      </w:tcPr>
    </w:tblStylePr>
    <w:tblStylePr w:type="lastRow">
      <w:rPr>
        <w:b/>
        <w:color w:val="404040"/>
      </w:rPr>
      <w:tblPr/>
      <w:tcPr>
        <w:tcBorders>
          <w:top w:val="single" w:color="5B9BD5" w:themeColor="accen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5E5F4" w:themeColor="accent1" w:themeTint="40" w:fill="D5E5F4" w:themeFill="accent1" w:themeFillTint="40"/>
      </w:tcPr>
    </w:tblStylePr>
    <w:tblStylePr w:type="band2Vert">
      <w:tblPr/>
    </w:tblStylePr>
    <w:tblStylePr w:type="band1Horz">
      <w:tblPr/>
      <w:tcPr>
        <w:shd w:val="clear" w:color="D5E5F4" w:themeColor="accent1" w:themeTint="40" w:fill="D5E5F4"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4">
    <w:name w:val="List Table 1 Light - Accent 2"/>
    <w:basedOn w:val="28"/>
    <w:uiPriority w:val="99"/>
    <w:pPr>
      <w:spacing w:after="0" w:line="240" w:lineRule="auto"/>
    </w:pPr>
    <w:tblPr/>
    <w:tblStylePr w:type="firstRow">
      <w:rPr>
        <w:b/>
        <w:color w:val="404040"/>
      </w:rPr>
      <w:tblPr/>
      <w:tcPr>
        <w:tcBorders>
          <w:top w:val="nil"/>
          <w:left w:val="nil"/>
          <w:bottom w:val="single" w:color="ED7D31" w:themeColor="accent2" w:sz="4" w:space="0"/>
          <w:right w:val="nil"/>
        </w:tcBorders>
      </w:tcPr>
    </w:tblStylePr>
    <w:tblStylePr w:type="lastRow">
      <w:rPr>
        <w:b/>
        <w:color w:val="404040"/>
      </w:rPr>
      <w:tblPr/>
      <w:tcPr>
        <w:tcBorders>
          <w:top w:val="single" w:color="ED7D31" w:themeColor="accent2"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ADECB" w:themeColor="accent2" w:themeTint="40" w:fill="FADECB" w:themeFill="accent2" w:themeFillTint="40"/>
      </w:tcPr>
    </w:tblStylePr>
    <w:tblStylePr w:type="band2Vert">
      <w:tblPr/>
    </w:tblStylePr>
    <w:tblStylePr w:type="band1Horz">
      <w:tblPr/>
      <w:tcPr>
        <w:shd w:val="clear" w:color="FADECB" w:themeColor="accent2" w:themeTint="40" w:fill="FADECB"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5">
    <w:name w:val="List Table 1 Light - Accent 3"/>
    <w:basedOn w:val="28"/>
    <w:uiPriority w:val="99"/>
    <w:pPr>
      <w:spacing w:after="0" w:line="240" w:lineRule="auto"/>
    </w:pPr>
    <w:tblPr/>
    <w:tblStylePr w:type="firstRow">
      <w:rPr>
        <w:b/>
        <w:color w:val="404040"/>
      </w:rPr>
      <w:tblPr/>
      <w:tcPr>
        <w:tcBorders>
          <w:top w:val="nil"/>
          <w:left w:val="nil"/>
          <w:bottom w:val="single" w:color="A5A5A5" w:themeColor="accent3" w:sz="4" w:space="0"/>
          <w:right w:val="nil"/>
        </w:tcBorders>
      </w:tcPr>
    </w:tblStylePr>
    <w:tblStylePr w:type="lastRow">
      <w:rPr>
        <w:b/>
        <w:color w:val="404040"/>
      </w:rPr>
      <w:tblPr/>
      <w:tcPr>
        <w:tcBorders>
          <w:top w:val="single" w:color="A5A5A5" w:themeColor="accent3"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8E8E8" w:themeColor="accent3" w:themeTint="40" w:fill="E8E8E8" w:themeFill="accent3" w:themeFillTint="40"/>
      </w:tcPr>
    </w:tblStylePr>
    <w:tblStylePr w:type="band2Vert">
      <w:tblPr/>
    </w:tblStylePr>
    <w:tblStylePr w:type="band1Horz">
      <w:tblPr/>
      <w:tcPr>
        <w:shd w:val="clear" w:color="E8E8E8" w:themeColor="accent3" w:themeTint="40" w:fill="E8E8E8"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6">
    <w:name w:val="List Table 1 Light - Accent 4"/>
    <w:basedOn w:val="28"/>
    <w:uiPriority w:val="99"/>
    <w:pPr>
      <w:spacing w:after="0" w:line="240" w:lineRule="auto"/>
    </w:pPr>
    <w:tblPr/>
    <w:tblStylePr w:type="firstRow">
      <w:rPr>
        <w:b/>
        <w:color w:val="404040"/>
      </w:rPr>
      <w:tblPr/>
      <w:tcPr>
        <w:tcBorders>
          <w:top w:val="nil"/>
          <w:left w:val="nil"/>
          <w:bottom w:val="single" w:color="FFC000" w:themeColor="accent4" w:sz="4" w:space="0"/>
          <w:right w:val="nil"/>
        </w:tcBorders>
      </w:tcPr>
    </w:tblStylePr>
    <w:tblStylePr w:type="lastRow">
      <w:rPr>
        <w:b/>
        <w:color w:val="404040"/>
      </w:rPr>
      <w:tblPr/>
      <w:tcPr>
        <w:tcBorders>
          <w:top w:val="single" w:color="FFC000" w:themeColor="accent4"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FEFBE" w:themeColor="accent4" w:themeTint="40" w:fill="FFEFBE" w:themeFill="accent4" w:themeFillTint="40"/>
      </w:tcPr>
    </w:tblStylePr>
    <w:tblStylePr w:type="band2Vert">
      <w:tblPr/>
    </w:tblStylePr>
    <w:tblStylePr w:type="band1Horz">
      <w:tblPr/>
      <w:tcPr>
        <w:shd w:val="clear" w:color="FFEFBE" w:themeColor="accent4" w:themeTint="40" w:fill="FFEFBE"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7">
    <w:name w:val="List Table 1 Light - Accent 5"/>
    <w:basedOn w:val="28"/>
    <w:uiPriority w:val="99"/>
    <w:pPr>
      <w:spacing w:after="0" w:line="240" w:lineRule="auto"/>
    </w:pPr>
    <w:tblPr/>
    <w:tblStylePr w:type="firstRow">
      <w:rPr>
        <w:b/>
        <w:color w:val="404040"/>
      </w:rPr>
      <w:tblPr/>
      <w:tcPr>
        <w:tcBorders>
          <w:top w:val="nil"/>
          <w:left w:val="nil"/>
          <w:bottom w:val="single" w:color="4472C4" w:themeColor="accent5" w:sz="4" w:space="0"/>
          <w:right w:val="nil"/>
        </w:tcBorders>
      </w:tcPr>
    </w:tblStylePr>
    <w:tblStylePr w:type="lastRow">
      <w:rPr>
        <w:b/>
        <w:color w:val="404040"/>
      </w:rPr>
      <w:tblPr/>
      <w:tcPr>
        <w:tcBorders>
          <w:top w:val="single" w:color="4472C4" w:themeColor="accent5"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0DBF0" w:themeColor="accent5" w:themeTint="40" w:fill="D0DBF0" w:themeFill="accent5" w:themeFillTint="40"/>
      </w:tcPr>
    </w:tblStylePr>
    <w:tblStylePr w:type="band2Vert">
      <w:tblPr/>
    </w:tblStylePr>
    <w:tblStylePr w:type="band1Horz">
      <w:tblPr/>
      <w:tcPr>
        <w:shd w:val="clear" w:color="D0DBF0" w:themeColor="accent5" w:themeTint="40" w:fill="D0DB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8">
    <w:name w:val="List Table 1 Light - Accent 6"/>
    <w:basedOn w:val="28"/>
    <w:uiPriority w:val="99"/>
    <w:pPr>
      <w:spacing w:after="0" w:line="240" w:lineRule="auto"/>
    </w:pPr>
    <w:tblPr/>
    <w:tblStylePr w:type="firstRow">
      <w:rPr>
        <w:b/>
        <w:color w:val="404040"/>
      </w:rPr>
      <w:tblPr/>
      <w:tcPr>
        <w:tcBorders>
          <w:top w:val="nil"/>
          <w:left w:val="nil"/>
          <w:bottom w:val="single" w:color="70AD47" w:themeColor="accent6" w:sz="4" w:space="0"/>
          <w:right w:val="nil"/>
        </w:tcBorders>
      </w:tcPr>
    </w:tblStylePr>
    <w:tblStylePr w:type="lastRow">
      <w:rPr>
        <w:b/>
        <w:color w:val="404040"/>
      </w:rPr>
      <w:tblPr/>
      <w:tcPr>
        <w:tcBorders>
          <w:top w:val="single" w:color="70AD47" w:themeColor="accent6"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AEBCF" w:themeColor="accent6" w:themeTint="40" w:fill="DAEBCF" w:themeFill="accent6" w:themeFillTint="40"/>
      </w:tcPr>
    </w:tblStylePr>
    <w:tblStylePr w:type="band2Vert">
      <w:tblPr/>
    </w:tblStylePr>
    <w:tblStylePr w:type="band1Horz">
      <w:tblPr/>
      <w:tcPr>
        <w:shd w:val="clear" w:color="DAEBCF" w:themeColor="accent6" w:themeTint="40" w:fill="DAEBCF"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9">
    <w:name w:val="List Table 2"/>
    <w:basedOn w:val="2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0">
    <w:name w:val="List Table 2 - Accent 1"/>
    <w:basedOn w:val="28"/>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bl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bl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5E5F4" w:themeColor="accent1" w:themeTint="40" w:fill="D5E5F4" w:themeFill="accent1" w:themeFillTint="40"/>
      </w:tcPr>
    </w:tblStylePr>
    <w:tblStylePr w:type="band2Vert">
      <w:tblPr/>
    </w:tblStylePr>
    <w:tblStylePr w:type="band1Horz">
      <w:rPr>
        <w:rFonts w:ascii="Arial" w:hAnsi="Arial"/>
        <w:color w:val="404040"/>
        <w:sz w:val="22"/>
      </w:rPr>
      <w:tblPr/>
      <w:tcPr>
        <w:shd w:val="clear" w:color="D5E5F4" w:themeColor="accent1" w:themeTint="40" w:fill="D5E5F4"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1">
    <w:name w:val="List Table 2 - Accent 2"/>
    <w:basedOn w:val="28"/>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bl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bl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ADECB" w:themeColor="accent2" w:themeTint="40" w:fill="FADECB" w:themeFill="accent2" w:themeFillTint="40"/>
      </w:tcPr>
    </w:tblStylePr>
    <w:tblStylePr w:type="band2Vert">
      <w:tblPr/>
    </w:tblStylePr>
    <w:tblStylePr w:type="band1Horz">
      <w:rPr>
        <w:rFonts w:ascii="Arial" w:hAnsi="Arial"/>
        <w:color w:val="404040"/>
        <w:sz w:val="22"/>
      </w:rPr>
      <w:tblPr/>
      <w:tcPr>
        <w:shd w:val="clear" w:color="FADECB" w:themeColor="accent2" w:themeTint="40" w:fill="FADECB"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2">
    <w:name w:val="List Table 2 - Accent 3"/>
    <w:basedOn w:val="2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bl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bl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8E8E8" w:themeColor="accent3" w:themeTint="40" w:fill="E8E8E8" w:themeFill="accent3" w:themeFillTint="40"/>
      </w:tcPr>
    </w:tblStylePr>
    <w:tblStylePr w:type="band2Vert">
      <w:tblPr/>
    </w:tblStylePr>
    <w:tblStylePr w:type="band1Horz">
      <w:rPr>
        <w:rFonts w:ascii="Arial" w:hAnsi="Arial"/>
        <w:color w:val="404040"/>
        <w:sz w:val="22"/>
      </w:rPr>
      <w:tblPr/>
      <w:tcPr>
        <w:shd w:val="clear" w:color="E8E8E8" w:themeColor="accent3" w:themeTint="40" w:fill="E8E8E8"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3">
    <w:name w:val="List Table 2 - Accent 4"/>
    <w:basedOn w:val="2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bl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bl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FEFBE" w:themeColor="accent4" w:themeTint="40" w:fill="FFEFBE" w:themeFill="accent4" w:themeFillTint="40"/>
      </w:tcPr>
    </w:tblStylePr>
    <w:tblStylePr w:type="band2Vert">
      <w:tblPr/>
    </w:tblStylePr>
    <w:tblStylePr w:type="band1Horz">
      <w:rPr>
        <w:rFonts w:ascii="Arial" w:hAnsi="Arial"/>
        <w:color w:val="404040"/>
        <w:sz w:val="22"/>
      </w:rPr>
      <w:tblPr/>
      <w:tcPr>
        <w:shd w:val="clear" w:color="FFEFBE" w:themeColor="accent4" w:themeTint="40" w:fill="FFEFBE"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4">
    <w:name w:val="List Table 2 - Accent 5"/>
    <w:basedOn w:val="28"/>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bl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bl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0DBF0" w:themeColor="accent5" w:themeTint="40" w:fill="D0DBF0" w:themeFill="accent5" w:themeFillTint="40"/>
      </w:tcPr>
    </w:tblStylePr>
    <w:tblStylePr w:type="band2Vert">
      <w:tblPr/>
    </w:tblStylePr>
    <w:tblStylePr w:type="band1Horz">
      <w:rPr>
        <w:rFonts w:ascii="Arial" w:hAnsi="Arial"/>
        <w:color w:val="404040"/>
        <w:sz w:val="22"/>
      </w:rPr>
      <w:tblPr/>
      <w:tcPr>
        <w:shd w:val="clear" w:color="D0DBF0" w:themeColor="accent5" w:themeTint="40" w:fill="D0DB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5">
    <w:name w:val="List Table 2 - Accent 6"/>
    <w:basedOn w:val="28"/>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bl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bl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AEBCF" w:themeColor="accent6" w:themeTint="40" w:fill="DAEBCF" w:themeFill="accent6" w:themeFillTint="40"/>
      </w:tcPr>
    </w:tblStylePr>
    <w:tblStylePr w:type="band2Vert">
      <w:tblPr/>
    </w:tblStylePr>
    <w:tblStylePr w:type="band1Horz">
      <w:rPr>
        <w:rFonts w:ascii="Arial" w:hAnsi="Arial"/>
        <w:color w:val="404040"/>
        <w:sz w:val="22"/>
      </w:rPr>
      <w:tblPr/>
      <w:tcPr>
        <w:shd w:val="clear" w:color="DAEBCF" w:themeColor="accent6" w:themeTint="40" w:fill="DAEBCF"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6">
    <w:name w:val="List Table 3"/>
    <w:basedOn w:val="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2Vert">
      <w:tbl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7">
    <w:name w:val="List Table 3 - Accent 1"/>
    <w:basedOn w:val="28"/>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5B9BD5" w:themeColor="accent1" w:sz="4" w:space="0"/>
          <w:right w:val="single" w:color="5B9BD5" w:themeColor="accent1" w:sz="4" w:space="0"/>
        </w:tcBorders>
      </w:tcPr>
    </w:tblStylePr>
    <w:tblStylePr w:type="band2Vert">
      <w:tblPr/>
    </w:tblStylePr>
    <w:tblStylePr w:type="band1Horz">
      <w:rPr>
        <w:rFonts w:ascii="Arial" w:hAnsi="Arial"/>
        <w:color w:val="404040"/>
        <w:sz w:val="22"/>
      </w:rPr>
      <w:tblPr/>
      <w:tcPr>
        <w:tcBorders>
          <w:top w:val="single" w:color="5B9BD5" w:themeColor="accent1" w:sz="4" w:space="0"/>
          <w:bottom w:val="single" w:color="5B9BD5" w:themeColor="accen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8">
    <w:name w:val="List Table 3 - Accent 2"/>
    <w:basedOn w:val="2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blPr/>
      <w:tcPr>
        <w:shd w:val="clear" w:color="F4B285" w:themeColor="accent2" w:themeTint="97" w:fill="F4B285" w:themeFill="accent2" w:themeFillTint="97"/>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4B285" w:themeColor="accent2" w:themeTint="97" w:sz="4" w:space="0"/>
          <w:right w:val="single" w:color="F4B285" w:themeColor="accent2" w:themeTint="97" w:sz="4" w:space="0"/>
        </w:tcBorders>
      </w:tcPr>
    </w:tblStylePr>
    <w:tblStylePr w:type="band2Vert">
      <w:tblPr/>
    </w:tblStylePr>
    <w:tblStylePr w:type="band1Horz">
      <w:rPr>
        <w:rFonts w:ascii="Arial" w:hAnsi="Arial"/>
        <w:color w:val="404040"/>
        <w:sz w:val="22"/>
      </w:rPr>
      <w:tblPr/>
      <w:tcPr>
        <w:tcBorders>
          <w:top w:val="single" w:color="F4B285" w:themeColor="accent2" w:themeTint="97" w:sz="4" w:space="0"/>
          <w:bottom w:val="single" w:color="F4B285" w:themeColor="accent2" w:themeTint="9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9">
    <w:name w:val="List Table 3 - Accent 3"/>
    <w:basedOn w:val="28"/>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C9C9C9" w:themeColor="accent3" w:themeTint="98" w:sz="4" w:space="0"/>
          <w:right w:val="single" w:color="C9C9C9" w:themeColor="accent3" w:themeTint="98" w:sz="4" w:space="0"/>
        </w:tcBorders>
      </w:tcPr>
    </w:tblStylePr>
    <w:tblStylePr w:type="band2Vert">
      <w:tblPr/>
    </w:tblStylePr>
    <w:tblStylePr w:type="band1Horz">
      <w:rPr>
        <w:rFonts w:ascii="Arial" w:hAnsi="Arial"/>
        <w:color w:val="404040"/>
        <w:sz w:val="22"/>
      </w:rPr>
      <w:tblPr/>
      <w:tcPr>
        <w:tcBorders>
          <w:top w:val="single" w:color="C9C9C9" w:themeColor="accent3" w:themeTint="98" w:sz="4" w:space="0"/>
          <w:bottom w:val="single" w:color="C9C9C9" w:themeColor="accent3"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0">
    <w:name w:val="List Table 3 - Accent 4"/>
    <w:basedOn w:val="2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blPr/>
      <w:tcPr>
        <w:shd w:val="clear" w:color="FFD864" w:themeColor="accent4" w:themeTint="9A" w:fill="FFD864" w:themeFill="accent4"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FD864" w:themeColor="accent4" w:themeTint="9A" w:sz="4" w:space="0"/>
          <w:right w:val="single" w:color="FFD864" w:themeColor="accent4" w:themeTint="9A" w:sz="4" w:space="0"/>
        </w:tcBorders>
      </w:tcPr>
    </w:tblStylePr>
    <w:tblStylePr w:type="band2Vert">
      <w:tblPr/>
    </w:tblStylePr>
    <w:tblStylePr w:type="band1Horz">
      <w:rPr>
        <w:rFonts w:ascii="Arial" w:hAnsi="Arial"/>
        <w:color w:val="404040"/>
        <w:sz w:val="22"/>
      </w:rPr>
      <w:tblPr/>
      <w:tcPr>
        <w:tcBorders>
          <w:top w:val="single" w:color="FFD864" w:themeColor="accent4" w:themeTint="9A" w:sz="4" w:space="0"/>
          <w:bottom w:val="single" w:color="FFD864" w:themeColor="accent4"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1">
    <w:name w:val="List Table 3 - Accent 5"/>
    <w:basedOn w:val="28"/>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blPr/>
      <w:tcPr>
        <w:shd w:val="clear" w:color="8EA9DB" w:themeColor="accent5" w:themeTint="9A" w:fill="8EA9DB" w:themeFill="accent5"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8EA9DB" w:themeColor="accent5" w:themeTint="9A" w:sz="4" w:space="0"/>
          <w:right w:val="single" w:color="8EA9DB" w:themeColor="accent5" w:themeTint="9A" w:sz="4" w:space="0"/>
        </w:tcBorders>
      </w:tcPr>
    </w:tblStylePr>
    <w:tblStylePr w:type="band2Vert">
      <w:tblPr/>
    </w:tblStylePr>
    <w:tblStylePr w:type="band1Horz">
      <w:rPr>
        <w:rFonts w:ascii="Arial" w:hAnsi="Arial"/>
        <w:color w:val="404040"/>
        <w:sz w:val="22"/>
      </w:rPr>
      <w:tblPr/>
      <w:tcPr>
        <w:tcBorders>
          <w:top w:val="single" w:color="8EA9DB" w:themeColor="accent5" w:themeTint="9A" w:sz="4" w:space="0"/>
          <w:bottom w:val="single" w:color="8EA9DB" w:themeColor="accent5"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2">
    <w:name w:val="List Table 3 - Accent 6"/>
    <w:basedOn w:val="28"/>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A9D08E" w:themeColor="accent6" w:themeTint="98" w:sz="4" w:space="0"/>
          <w:right w:val="single" w:color="A9D08E" w:themeColor="accent6" w:themeTint="98" w:sz="4" w:space="0"/>
        </w:tcBorders>
      </w:tcPr>
    </w:tblStylePr>
    <w:tblStylePr w:type="band2Vert">
      <w:tblPr/>
    </w:tblStylePr>
    <w:tblStylePr w:type="band1Horz">
      <w:rPr>
        <w:rFonts w:ascii="Arial" w:hAnsi="Arial"/>
        <w:color w:val="404040"/>
        <w:sz w:val="22"/>
      </w:rPr>
      <w:tblPr/>
      <w:tcPr>
        <w:tcBorders>
          <w:top w:val="single" w:color="A9D08E" w:themeColor="accent6" w:themeTint="98" w:sz="4" w:space="0"/>
          <w:bottom w:val="single" w:color="A9D08E" w:themeColor="accent6"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3">
    <w:name w:val="List Table 4"/>
    <w:basedOn w:val="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4">
    <w:name w:val="List Table 4 - Accent 1"/>
    <w:basedOn w:val="28"/>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5E5F4" w:themeColor="accent1" w:themeTint="40" w:fill="D5E5F4" w:themeFill="accent1" w:themeFillTint="40"/>
      </w:tcPr>
    </w:tblStylePr>
    <w:tblStylePr w:type="band2Vert">
      <w:tblPr/>
    </w:tblStylePr>
    <w:tblStylePr w:type="band1Horz">
      <w:rPr>
        <w:rFonts w:ascii="Arial" w:hAnsi="Arial"/>
        <w:color w:val="404040"/>
        <w:sz w:val="22"/>
      </w:rPr>
      <w:tblPr/>
      <w:tcPr>
        <w:shd w:val="clear" w:color="D5E5F4" w:themeColor="accent1" w:themeTint="40" w:fill="D5E5F4"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5">
    <w:name w:val="List Table 4 - Accent 2"/>
    <w:basedOn w:val="28"/>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ADECB" w:themeColor="accent2" w:themeTint="40" w:fill="FADECB" w:themeFill="accent2" w:themeFillTint="40"/>
      </w:tcPr>
    </w:tblStylePr>
    <w:tblStylePr w:type="band2Vert">
      <w:tblPr/>
    </w:tblStylePr>
    <w:tblStylePr w:type="band1Horz">
      <w:rPr>
        <w:rFonts w:ascii="Arial" w:hAnsi="Arial"/>
        <w:color w:val="404040"/>
        <w:sz w:val="22"/>
      </w:rPr>
      <w:tblPr/>
      <w:tcPr>
        <w:shd w:val="clear" w:color="FADECB" w:themeColor="accent2" w:themeTint="40" w:fill="FADECB"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6">
    <w:name w:val="List Table 4 - Accent 3"/>
    <w:basedOn w:val="28"/>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8E8E8" w:themeColor="accent3" w:themeTint="40" w:fill="E8E8E8" w:themeFill="accent3" w:themeFillTint="40"/>
      </w:tcPr>
    </w:tblStylePr>
    <w:tblStylePr w:type="band2Vert">
      <w:tblPr/>
    </w:tblStylePr>
    <w:tblStylePr w:type="band1Horz">
      <w:rPr>
        <w:rFonts w:ascii="Arial" w:hAnsi="Arial"/>
        <w:color w:val="404040"/>
        <w:sz w:val="22"/>
      </w:rPr>
      <w:tblPr/>
      <w:tcPr>
        <w:shd w:val="clear" w:color="E8E8E8" w:themeColor="accent3" w:themeTint="40" w:fill="E8E8E8"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7">
    <w:name w:val="List Table 4 - Accent 4"/>
    <w:basedOn w:val="28"/>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FEFBE" w:themeColor="accent4" w:themeTint="40" w:fill="FFEFBE" w:themeFill="accent4" w:themeFillTint="40"/>
      </w:tcPr>
    </w:tblStylePr>
    <w:tblStylePr w:type="band2Vert">
      <w:tblPr/>
    </w:tblStylePr>
    <w:tblStylePr w:type="band1Horz">
      <w:rPr>
        <w:rFonts w:ascii="Arial" w:hAnsi="Arial"/>
        <w:color w:val="404040"/>
        <w:sz w:val="22"/>
      </w:rPr>
      <w:tblPr/>
      <w:tcPr>
        <w:shd w:val="clear" w:color="FFEFBE" w:themeColor="accent4" w:themeTint="40" w:fill="FFEFBE"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8">
    <w:name w:val="List Table 4 - Accent 5"/>
    <w:basedOn w:val="28"/>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0DBF0" w:themeColor="accent5" w:themeTint="40" w:fill="D0DBF0" w:themeFill="accent5" w:themeFillTint="40"/>
      </w:tcPr>
    </w:tblStylePr>
    <w:tblStylePr w:type="band2Vert">
      <w:tblPr/>
    </w:tblStylePr>
    <w:tblStylePr w:type="band1Horz">
      <w:rPr>
        <w:rFonts w:ascii="Arial" w:hAnsi="Arial"/>
        <w:color w:val="404040"/>
        <w:sz w:val="22"/>
      </w:rPr>
      <w:tblPr/>
      <w:tcPr>
        <w:shd w:val="clear" w:color="D0DBF0" w:themeColor="accent5" w:themeTint="40" w:fill="D0DB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9">
    <w:name w:val="List Table 4 - Accent 6"/>
    <w:basedOn w:val="28"/>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BCF" w:themeColor="accent6" w:themeTint="40" w:fill="DAEBCF" w:themeFill="accent6" w:themeFillTint="40"/>
      </w:tcPr>
    </w:tblStylePr>
    <w:tblStylePr w:type="band2Vert">
      <w:tblPr/>
    </w:tblStylePr>
    <w:tblStylePr w:type="band1Horz">
      <w:rPr>
        <w:rFonts w:ascii="Arial" w:hAnsi="Arial"/>
        <w:color w:val="404040"/>
        <w:sz w:val="22"/>
      </w:rPr>
      <w:tblPr/>
      <w:tcPr>
        <w:shd w:val="clear" w:color="DAEBCF" w:themeColor="accent6" w:themeTint="40" w:fill="DAEBCF"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0">
    <w:name w:val="List Table 5 Dark"/>
    <w:basedOn w:val="2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bl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7E7E7E" w:themeColor="text1" w:themeTint="80" w:sz="32" w:space="0"/>
          <w:right w:val="single" w:color="FFFFFF" w:themeColor="light1" w:sz="4" w:space="0"/>
        </w:tcBorders>
      </w:tcPr>
    </w:tblStylePr>
    <w:tblStylePr w:type="lastCol">
      <w:tblPr/>
      <w:tcPr>
        <w:tcBorders>
          <w:left w:val="single" w:color="FFFFFF" w:themeColor="light1" w:sz="4" w:space="0"/>
          <w:right w:val="single" w:color="7E7E7E"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Pr/>
    </w:tblStylePr>
    <w:tblStylePr w:type="nwCell">
      <w:tblPr/>
    </w:tblStylePr>
    <w:tblStylePr w:type="seCell">
      <w:tblPr/>
    </w:tblStylePr>
    <w:tblStylePr w:type="swCell">
      <w:tblPr/>
    </w:tblStylePr>
  </w:style>
  <w:style w:type="table" w:customStyle="1" w:styleId="121">
    <w:name w:val="List Table 5 Dark - Accent 1"/>
    <w:basedOn w:val="28"/>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bl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5B9BD5" w:themeColor="accent1" w:sz="32" w:space="0"/>
          <w:right w:val="single" w:color="FFFFFF" w:themeColor="light1" w:sz="4" w:space="0"/>
        </w:tcBorders>
      </w:tcPr>
    </w:tblStylePr>
    <w:tblStylePr w:type="lastCol">
      <w:tblPr/>
      <w:tcPr>
        <w:tcBorders>
          <w:left w:val="single" w:color="FFFFFF" w:themeColor="light1" w:sz="4" w:space="0"/>
          <w:right w:val="single" w:color="5B9BD5" w:themeColor="accent1" w:sz="32" w:space="0"/>
        </w:tcBorders>
      </w:tcPr>
    </w:tblStylePr>
    <w:tblStylePr w:type="band1Vert">
      <w:tblPr/>
      <w:tcPr>
        <w:tcBorders>
          <w:left w:val="single" w:color="FFFFFF" w:themeColor="light1" w:sz="4" w:space="0"/>
          <w:right w:val="single" w:color="FFFFFF" w:themeColor="light1" w:sz="4" w:space="0"/>
        </w:tcBorders>
        <w:shd w:val="clear" w:color="5B9BD5" w:themeColor="accent1" w:fill="5B9BD5"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5B9BD5" w:themeColor="accent1" w:fill="5B9BD5" w:themeFill="accent1"/>
      </w:tcPr>
    </w:tblStylePr>
    <w:tblStylePr w:type="band2Horz">
      <w:tblPr/>
      <w:tcPr>
        <w:tcBorders>
          <w:top w:val="single" w:color="FFFFFF" w:themeColor="light1" w:sz="4" w:space="0"/>
          <w:bottom w:val="single" w:color="FFFFFF" w:themeColor="light1" w:sz="4" w:space="0"/>
        </w:tcBorders>
        <w:shd w:val="clear" w:color="5B9BD5" w:themeColor="accent1" w:fill="5B9BD5" w:themeFill="accent1"/>
      </w:tcPr>
    </w:tblStylePr>
    <w:tblStylePr w:type="neCell">
      <w:tblPr/>
    </w:tblStylePr>
    <w:tblStylePr w:type="nwCell">
      <w:tblPr/>
    </w:tblStylePr>
    <w:tblStylePr w:type="seCell">
      <w:tblPr/>
    </w:tblStylePr>
    <w:tblStylePr w:type="swCell">
      <w:tblPr/>
    </w:tblStylePr>
  </w:style>
  <w:style w:type="table" w:customStyle="1" w:styleId="122">
    <w:name w:val="List Table 5 Dark - Accent 2"/>
    <w:basedOn w:val="28"/>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bl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F4B285" w:themeColor="accent2" w:themeTint="97" w:sz="32" w:space="0"/>
          <w:right w:val="single" w:color="FFFFFF" w:themeColor="light1" w:sz="4" w:space="0"/>
        </w:tcBorders>
      </w:tcPr>
    </w:tblStylePr>
    <w:tblStylePr w:type="lastCol">
      <w:tblPr/>
      <w:tcPr>
        <w:tcBorders>
          <w:left w:val="single" w:color="FFFFFF" w:themeColor="light1" w:sz="4" w:space="0"/>
          <w:right w:val="single" w:color="F4B28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blPr/>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Pr/>
    </w:tblStylePr>
    <w:tblStylePr w:type="nwCell">
      <w:tblPr/>
    </w:tblStylePr>
    <w:tblStylePr w:type="seCell">
      <w:tblPr/>
    </w:tblStylePr>
    <w:tblStylePr w:type="swCell">
      <w:tblPr/>
    </w:tblStylePr>
  </w:style>
  <w:style w:type="table" w:customStyle="1" w:styleId="123">
    <w:name w:val="List Table 5 Dark - Accent 3"/>
    <w:basedOn w:val="28"/>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bl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C9C9C9" w:themeColor="accent3" w:themeTint="98" w:sz="32" w:space="0"/>
          <w:right w:val="single" w:color="FFFFFF" w:themeColor="light1" w:sz="4" w:space="0"/>
        </w:tcBorders>
      </w:tcPr>
    </w:tblStylePr>
    <w:tblStylePr w:type="lastCol">
      <w:tblPr/>
      <w:tcPr>
        <w:tcBorders>
          <w:left w:val="single" w:color="FFFFFF" w:themeColor="light1" w:sz="4" w:space="0"/>
          <w:right w:val="single" w:color="C9C9C9"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blPr/>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Pr/>
    </w:tblStylePr>
    <w:tblStylePr w:type="nwCell">
      <w:tblPr/>
    </w:tblStylePr>
    <w:tblStylePr w:type="seCell">
      <w:tblPr/>
    </w:tblStylePr>
    <w:tblStylePr w:type="swCell">
      <w:tblPr/>
    </w:tblStylePr>
  </w:style>
  <w:style w:type="table" w:customStyle="1" w:styleId="124">
    <w:name w:val="List Table 5 Dark - Accent 4"/>
    <w:basedOn w:val="28"/>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bl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FFD864" w:themeColor="accent4" w:themeTint="9A" w:sz="32" w:space="0"/>
          <w:right w:val="single" w:color="FFFFFF" w:themeColor="light1" w:sz="4" w:space="0"/>
        </w:tcBorders>
      </w:tcPr>
    </w:tblStylePr>
    <w:tblStylePr w:type="lastCol">
      <w:tblPr/>
      <w:tcPr>
        <w:tcBorders>
          <w:left w:val="single" w:color="FFFFFF" w:themeColor="light1" w:sz="4" w:space="0"/>
          <w:right w:val="single" w:color="FFD864"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blPr/>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Pr/>
    </w:tblStylePr>
    <w:tblStylePr w:type="nwCell">
      <w:tblPr/>
    </w:tblStylePr>
    <w:tblStylePr w:type="seCell">
      <w:tblPr/>
    </w:tblStylePr>
    <w:tblStylePr w:type="swCell">
      <w:tblPr/>
    </w:tblStylePr>
  </w:style>
  <w:style w:type="table" w:customStyle="1" w:styleId="125">
    <w:name w:val="List Table 5 Dark - Accent 5"/>
    <w:basedOn w:val="28"/>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bl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8EA9DB" w:themeColor="accent5" w:themeTint="9A" w:sz="32" w:space="0"/>
          <w:right w:val="single" w:color="FFFFFF" w:themeColor="light1" w:sz="4" w:space="0"/>
        </w:tcBorders>
      </w:tcPr>
    </w:tblStylePr>
    <w:tblStylePr w:type="lastCol">
      <w:tblPr/>
      <w:tcPr>
        <w:tcBorders>
          <w:left w:val="single" w:color="FFFFFF" w:themeColor="light1" w:sz="4" w:space="0"/>
          <w:right w:val="single" w:color="8EA9DB"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blPr/>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Pr/>
    </w:tblStylePr>
    <w:tblStylePr w:type="nwCell">
      <w:tblPr/>
    </w:tblStylePr>
    <w:tblStylePr w:type="seCell">
      <w:tblPr/>
    </w:tblStylePr>
    <w:tblStylePr w:type="swCell">
      <w:tblPr/>
    </w:tblStylePr>
  </w:style>
  <w:style w:type="table" w:customStyle="1" w:styleId="126">
    <w:name w:val="List Table 5 Dark - Accent 6"/>
    <w:basedOn w:val="28"/>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bl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A9D08E" w:themeColor="accent6" w:themeTint="98" w:sz="32" w:space="0"/>
          <w:right w:val="single" w:color="FFFFFF" w:themeColor="light1" w:sz="4" w:space="0"/>
        </w:tcBorders>
      </w:tcPr>
    </w:tblStylePr>
    <w:tblStylePr w:type="lastCol">
      <w:tblPr/>
      <w:tcPr>
        <w:tcBorders>
          <w:left w:val="single" w:color="FFFFFF" w:themeColor="light1" w:sz="4" w:space="0"/>
          <w:right w:val="single" w:color="A9D08E"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blPr/>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Pr/>
    </w:tblStylePr>
    <w:tblStylePr w:type="nwCell">
      <w:tblPr/>
    </w:tblStylePr>
    <w:tblStylePr w:type="seCell">
      <w:tblPr/>
    </w:tblStylePr>
    <w:tblStylePr w:type="swCell">
      <w:tblPr/>
    </w:tblStylePr>
  </w:style>
  <w:style w:type="table" w:customStyle="1" w:styleId="127">
    <w:name w:val="List Table 6 Colorful"/>
    <w:basedOn w:val="28"/>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blPr/>
      <w:tcPr>
        <w:tcBorders>
          <w:bottom w:val="single" w:color="7E7E7E" w:themeColor="text1" w:themeTint="80" w:sz="4" w:space="0"/>
        </w:tcBorders>
      </w:tcPr>
    </w:tblStylePr>
    <w:tblStylePr w:type="lastRow">
      <w:rPr>
        <w:b/>
        <w:color w:val="000000" w:themeColor="text1"/>
        <w14:textFill>
          <w14:solidFill>
            <w14:schemeClr w14:val="tx1"/>
          </w14:solidFill>
        </w14:textFill>
      </w:rPr>
      <w:tblPr/>
      <w:tcPr>
        <w:tcBorders>
          <w:top w:val="single" w:color="7E7E7E" w:themeColor="text1" w:themeTint="80" w:sz="4" w:space="0"/>
        </w:tcBorders>
      </w:tcPr>
    </w:tblStylePr>
    <w:tblStylePr w:type="firstCol">
      <w:rPr>
        <w:b/>
        <w:color w:val="000000" w:themeColor="text1"/>
        <w14:textFill>
          <w14:solidFill>
            <w14:schemeClr w14:val="tx1"/>
          </w14:solidFill>
        </w14:textFill>
      </w:rPr>
      <w:tblPr/>
    </w:tblStylePr>
    <w:tblStylePr w:type="lastCol">
      <w:rPr>
        <w:b/>
        <w:color w:val="000000" w:themeColor="text1"/>
        <w14:textFill>
          <w14:solidFill>
            <w14:schemeClr w14:val="tx1"/>
          </w14:solidFill>
        </w14:textFill>
      </w:rPr>
      <w:tbl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000000" w:themeColor="text1"/>
        <w:sz w:val="22"/>
        <w14:textFill>
          <w14:solidFill>
            <w14:schemeClr w14:val="tx1"/>
          </w14:solidFill>
        </w14:textFill>
      </w:rPr>
      <w:tbl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Pr/>
    </w:tblStylePr>
    <w:tblStylePr w:type="neCell">
      <w:tblPr/>
    </w:tblStylePr>
    <w:tblStylePr w:type="nwCell">
      <w:tblPr/>
    </w:tblStylePr>
    <w:tblStylePr w:type="seCell">
      <w:tblPr/>
    </w:tblStylePr>
    <w:tblStylePr w:type="swCell">
      <w:tblPr/>
    </w:tblStylePr>
  </w:style>
  <w:style w:type="table" w:customStyle="1" w:styleId="128">
    <w:name w:val="List Table 6 Colorful - Accent 1"/>
    <w:basedOn w:val="28"/>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blPr/>
      <w:tcPr>
        <w:tcBorders>
          <w:bottom w:val="single" w:color="5B9BD5" w:themeColor="accent1" w:sz="4" w:space="0"/>
        </w:tcBorders>
      </w:tcPr>
    </w:tblStylePr>
    <w:tblStylePr w:type="lastRow">
      <w:rPr>
        <w:b/>
        <w:color w:val="245B8C" w:themeColor="accent1" w:themeShade="94"/>
      </w:rPr>
      <w:tblPr/>
      <w:tcPr>
        <w:tcBorders>
          <w:top w:val="single" w:color="5B9BD5" w:themeColor="accent1" w:sz="4" w:space="0"/>
        </w:tcBorders>
      </w:tcPr>
    </w:tblStylePr>
    <w:tblStylePr w:type="firstCol">
      <w:rPr>
        <w:b/>
        <w:color w:val="245B8C" w:themeColor="accent1" w:themeShade="94"/>
      </w:rPr>
      <w:tblPr/>
    </w:tblStylePr>
    <w:tblStylePr w:type="lastCol">
      <w:rPr>
        <w:b/>
        <w:color w:val="245B8C" w:themeColor="accent1" w:themeShade="94"/>
      </w:rPr>
      <w:tblPr/>
    </w:tblStylePr>
    <w:tblStylePr w:type="band1Vert">
      <w:tblPr/>
      <w:tcPr>
        <w:shd w:val="clear" w:color="D5E5F4" w:themeColor="accent1" w:themeTint="40" w:fill="D5E5F4" w:themeFill="accent1" w:themeFillTint="40"/>
      </w:tcPr>
    </w:tblStylePr>
    <w:tblStylePr w:type="band2Vert">
      <w:tblPr/>
    </w:tblStylePr>
    <w:tblStylePr w:type="band1Horz">
      <w:rPr>
        <w:rFonts w:ascii="Arial" w:hAnsi="Arial"/>
        <w:color w:val="245B8C" w:themeColor="accent1" w:themeShade="94"/>
        <w:sz w:val="22"/>
      </w:rPr>
      <w:tblPr/>
      <w:tcPr>
        <w:shd w:val="clear" w:color="D5E5F4" w:themeColor="accent1" w:themeTint="40" w:fill="D5E5F4" w:themeFill="accent1" w:themeFillTint="40"/>
      </w:tcPr>
    </w:tblStylePr>
    <w:tblStylePr w:type="band2Horz">
      <w:rPr>
        <w:rFonts w:ascii="Arial" w:hAnsi="Arial"/>
        <w:color w:val="245B8C"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29">
    <w:name w:val="List Table 6 Colorful - Accent 2"/>
    <w:basedOn w:val="28"/>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bl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bl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Pr/>
    </w:tblStylePr>
    <w:tblStylePr w:type="lastCol">
      <w:rPr>
        <w:b/>
        <w:color w:val="F4B285" w:themeColor="accent2" w:themeTint="96"/>
        <w14:textFill>
          <w14:solidFill>
            <w14:schemeClr w14:val="accent2">
              <w14:lumMod w14:val="59000"/>
              <w14:lumOff w14:val="41000"/>
            </w14:schemeClr>
          </w14:solidFill>
        </w14:textFill>
      </w:rPr>
      <w:tblPr/>
    </w:tblStylePr>
    <w:tblStylePr w:type="band1Vert">
      <w:tblPr/>
      <w:tcPr>
        <w:shd w:val="clear" w:color="FADECB" w:themeColor="accent2" w:themeTint="40" w:fill="FADECB" w:themeFill="accent2" w:themeFillTint="40"/>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0">
    <w:name w:val="List Table 6 Colorful - Accent 3"/>
    <w:basedOn w:val="28"/>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bl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bl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Pr/>
    </w:tblStylePr>
    <w:tblStylePr w:type="lastCol">
      <w:rPr>
        <w:b/>
        <w:color w:val="C9C9C9" w:themeColor="accent3" w:themeTint="99"/>
        <w14:textFill>
          <w14:solidFill>
            <w14:schemeClr w14:val="accent3">
              <w14:lumMod w14:val="60000"/>
              <w14:lumOff w14:val="40000"/>
            </w14:schemeClr>
          </w14:solidFill>
        </w14:textFill>
      </w:rPr>
      <w:tblPr/>
    </w:tblStylePr>
    <w:tblStylePr w:type="band1Vert">
      <w:tblPr/>
      <w:tcPr>
        <w:shd w:val="clear" w:color="E8E8E8" w:themeColor="accent3" w:themeTint="40" w:fill="E8E8E8" w:themeFill="accent3" w:themeFillTint="40"/>
      </w:tcPr>
    </w:tblStylePr>
    <w:tblStylePr w:type="band2Vert">
      <w:tbl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bl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1">
    <w:name w:val="List Table 6 Colorful - Accent 4"/>
    <w:basedOn w:val="28"/>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bl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bl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Pr/>
    </w:tblStylePr>
    <w:tblStylePr w:type="lastCol">
      <w:rPr>
        <w:b/>
        <w:color w:val="FFD966" w:themeColor="accent4" w:themeTint="99"/>
        <w14:textFill>
          <w14:solidFill>
            <w14:schemeClr w14:val="accent4">
              <w14:lumMod w14:val="60000"/>
              <w14:lumOff w14:val="40000"/>
            </w14:schemeClr>
          </w14:solidFill>
        </w14:textFill>
      </w:rPr>
      <w:tblPr/>
    </w:tblStylePr>
    <w:tblStylePr w:type="band1Vert">
      <w:tblPr/>
      <w:tcPr>
        <w:shd w:val="clear" w:color="FFEFBE" w:themeColor="accent4" w:themeTint="40" w:fill="FFEFBE" w:themeFill="accent4" w:themeFillTint="40"/>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2">
    <w:name w:val="List Table 6 Colorful - Accent 5"/>
    <w:basedOn w:val="28"/>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bl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bl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Pr/>
    </w:tblStylePr>
    <w:tblStylePr w:type="lastCol">
      <w:rPr>
        <w:b/>
        <w:color w:val="8FAADC" w:themeColor="accent5" w:themeTint="99"/>
        <w14:textFill>
          <w14:solidFill>
            <w14:schemeClr w14:val="accent5">
              <w14:lumMod w14:val="60000"/>
              <w14:lumOff w14:val="40000"/>
            </w14:schemeClr>
          </w14:solidFill>
        </w14:textFill>
      </w:rPr>
      <w:tblPr/>
    </w:tblStylePr>
    <w:tblStylePr w:type="band1Vert">
      <w:tblPr/>
      <w:tcPr>
        <w:shd w:val="clear" w:color="D0DBF0" w:themeColor="accent5" w:themeTint="40" w:fill="D0DBF0" w:themeFill="accent5" w:themeFillTint="40"/>
      </w:tcPr>
    </w:tblStylePr>
    <w:tblStylePr w:type="band2Vert">
      <w:tbl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bl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3">
    <w:name w:val="List Table 6 Colorful - Accent 6"/>
    <w:basedOn w:val="28"/>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bl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bl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Pr/>
    </w:tblStylePr>
    <w:tblStylePr w:type="lastCol">
      <w:rPr>
        <w:b/>
        <w:color w:val="A9D18E" w:themeColor="accent6" w:themeTint="99"/>
        <w14:textFill>
          <w14:solidFill>
            <w14:schemeClr w14:val="accent6">
              <w14:lumMod w14:val="60000"/>
              <w14:lumOff w14:val="40000"/>
            </w14:schemeClr>
          </w14:solidFill>
        </w14:textFill>
      </w:rPr>
      <w:tblPr/>
    </w:tblStylePr>
    <w:tblStylePr w:type="band1Vert">
      <w:tblPr/>
      <w:tcPr>
        <w:shd w:val="clear" w:color="DAEBCF" w:themeColor="accent6" w:themeTint="40" w:fill="DAEBCF" w:themeFill="accent6" w:themeFillTint="40"/>
      </w:tcPr>
    </w:tblStylePr>
    <w:tblStylePr w:type="band2Vert">
      <w:tbl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bl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4">
    <w:name w:val="List Table 7 Colorful"/>
    <w:basedOn w:val="28"/>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5">
    <w:name w:val="List Table 7 Colorful - Accent 1"/>
    <w:basedOn w:val="28"/>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bl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bl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bl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blPr/>
      <w:tcPr>
        <w:tcBorders>
          <w:top w:val="nil"/>
          <w:left w:val="single" w:color="5B9BD5" w:themeColor="accent1" w:sz="4" w:space="0"/>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2Vert">
      <w:tblPr/>
    </w:tblStylePr>
    <w:tblStylePr w:type="band1Horz">
      <w:rPr>
        <w:rFonts w:ascii="Arial" w:hAnsi="Arial"/>
        <w:color w:val="245B8C" w:themeColor="accent1" w:themeShade="94"/>
        <w:sz w:val="22"/>
      </w:rPr>
      <w:tblPr/>
      <w:tcPr>
        <w:shd w:val="clear" w:color="D5E5F4" w:themeColor="accent1" w:themeTint="40" w:fill="D5E5F4" w:themeFill="accent1" w:themeFillTint="40"/>
      </w:tcPr>
    </w:tblStylePr>
    <w:tblStylePr w:type="band2Horz">
      <w:rPr>
        <w:rFonts w:ascii="Arial" w:hAnsi="Arial"/>
        <w:color w:val="245B8C"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36">
    <w:name w:val="List Table 7 Colorful - Accent 2"/>
    <w:basedOn w:val="28"/>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bl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blPr/>
      <w:tcPr>
        <w:tcBorders>
          <w:top w:val="nil"/>
          <w:left w:val="single" w:color="F4B285" w:themeColor="accent2" w:themeTint="97" w:sz="4" w:space="0"/>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2Vert">
      <w:tbl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bl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7">
    <w:name w:val="List Table 7 Colorful - Accent 3"/>
    <w:basedOn w:val="28"/>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bl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bl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bl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blPr/>
      <w:tcPr>
        <w:tcBorders>
          <w:top w:val="nil"/>
          <w:left w:val="single" w:color="C9C9C9" w:themeColor="accent3" w:themeTint="98" w:sz="4" w:space="0"/>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2Vert">
      <w:tbl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bl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8">
    <w:name w:val="List Table 7 Colorful - Accent 4"/>
    <w:basedOn w:val="28"/>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bl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blPr/>
      <w:tcPr>
        <w:tcBorders>
          <w:top w:val="nil"/>
          <w:left w:val="single" w:color="FFD864" w:themeColor="accent4" w:themeTint="9A" w:sz="4" w:space="0"/>
          <w:bottom w:val="nil"/>
          <w:right w:val="nil"/>
        </w:tcBorders>
        <w:shd w:val="clear" w:color="FFFFFF" w:fill="auto"/>
      </w:tcPr>
    </w:tblStylePr>
    <w:tblStylePr w:type="band1Vert">
      <w:tblPr/>
      <w:tcPr>
        <w:shd w:val="clear" w:color="FFEFBE" w:themeColor="accent4" w:themeTint="40" w:fill="FFEFBE" w:themeFill="accent4" w:themeFillTint="40"/>
      </w:tcPr>
    </w:tblStylePr>
    <w:tblStylePr w:type="band2Vert">
      <w:tbl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bl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39">
    <w:name w:val="List Table 7 Colorful - Accent 5"/>
    <w:basedOn w:val="28"/>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bl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bl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bl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blPr/>
      <w:tcPr>
        <w:tcBorders>
          <w:top w:val="nil"/>
          <w:left w:val="single" w:color="8EA9DB" w:themeColor="accent5" w:themeTint="9A" w:sz="4" w:space="0"/>
          <w:bottom w:val="nil"/>
          <w:right w:val="nil"/>
        </w:tcBorders>
        <w:shd w:val="clear" w:color="FFFFFF" w:fill="auto"/>
      </w:tcPr>
    </w:tblStylePr>
    <w:tblStylePr w:type="band1Vert">
      <w:tblPr/>
      <w:tcPr>
        <w:shd w:val="clear" w:color="D0DBF0" w:themeColor="accent5" w:themeTint="40" w:fill="D0DBF0" w:themeFill="accent5" w:themeFillTint="40"/>
      </w:tcPr>
    </w:tblStylePr>
    <w:tblStylePr w:type="band2Vert">
      <w:tbl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bl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0">
    <w:name w:val="List Table 7 Colorful - Accent 6"/>
    <w:basedOn w:val="28"/>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bl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bl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bl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blPr/>
      <w:tcPr>
        <w:tcBorders>
          <w:top w:val="nil"/>
          <w:left w:val="single" w:color="A9D08E" w:themeColor="accent6" w:themeTint="98" w:sz="4" w:space="0"/>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2Vert">
      <w:tbl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bl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41">
    <w:name w:val="Lined - Accent"/>
    <w:basedOn w:val="28"/>
    <w:uiPriority w:val="99"/>
    <w:pPr>
      <w:spacing w:after="0" w:line="240" w:lineRule="auto"/>
    </w:pPr>
    <w:rPr>
      <w:color w:val="404040"/>
    </w:rP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42">
    <w:name w:val="Lined - Accent 1"/>
    <w:basedOn w:val="28"/>
    <w:uiPriority w:val="99"/>
    <w:pPr>
      <w:spacing w:after="0" w:line="240" w:lineRule="auto"/>
    </w:pPr>
    <w:rPr>
      <w:color w:val="404040"/>
    </w:rPr>
    <w:tblPr/>
    <w:tblStylePr w:type="firstRow">
      <w:rPr>
        <w:rFonts w:ascii="Arial" w:hAnsi="Arial"/>
        <w:color w:val="F2F2F2"/>
        <w:sz w:val="22"/>
      </w:rPr>
      <w:tblPr/>
      <w:tcPr>
        <w:shd w:val="clear" w:color="68A3D8" w:themeColor="accent1" w:themeTint="EA" w:fill="68A3D8" w:themeFill="accent1" w:themeFillTint="EA"/>
      </w:tcPr>
    </w:tblStylePr>
    <w:tblStylePr w:type="lastRow">
      <w:rPr>
        <w:rFonts w:ascii="Arial" w:hAnsi="Arial"/>
        <w:color w:val="F2F2F2"/>
        <w:sz w:val="22"/>
      </w:rPr>
      <w:tblPr/>
      <w:tcPr>
        <w:shd w:val="clear" w:color="68A3D8" w:themeColor="accent1" w:themeTint="EA" w:fill="68A3D8" w:themeFill="accent1" w:themeFillTint="EA"/>
      </w:tcPr>
    </w:tblStylePr>
    <w:tblStylePr w:type="firstCol">
      <w:rPr>
        <w:rFonts w:ascii="Arial" w:hAnsi="Arial"/>
        <w:color w:val="F2F2F2"/>
        <w:sz w:val="22"/>
      </w:rPr>
      <w:tblPr/>
      <w:tcPr>
        <w:shd w:val="clear" w:color="68A3D8" w:themeColor="accent1" w:themeTint="EA" w:fill="68A3D8" w:themeFill="accent1" w:themeFillTint="EA"/>
      </w:tcPr>
    </w:tblStylePr>
    <w:tblStylePr w:type="lastCol">
      <w:rPr>
        <w:rFonts w:ascii="Arial" w:hAnsi="Arial"/>
        <w:color w:val="F2F2F2"/>
        <w:sz w:val="22"/>
      </w:rPr>
      <w:tblPr/>
      <w:tcPr>
        <w:shd w:val="clear" w:color="68A3D8" w:themeColor="accent1" w:themeTint="EA" w:fill="68A3D8"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BDFF1" w:themeColor="accent1" w:themeTint="50" w:fill="CBDFF1" w:themeFill="accent1" w:themeFillTint="50"/>
      </w:tcPr>
    </w:tblStylePr>
    <w:tblStylePr w:type="neCell">
      <w:tblPr/>
    </w:tblStylePr>
    <w:tblStylePr w:type="nwCell">
      <w:tblPr/>
    </w:tblStylePr>
    <w:tblStylePr w:type="seCell">
      <w:tblPr/>
    </w:tblStylePr>
    <w:tblStylePr w:type="swCell">
      <w:tblPr/>
    </w:tblStylePr>
  </w:style>
  <w:style w:type="table" w:customStyle="1" w:styleId="143">
    <w:name w:val="Lined - Accent 2"/>
    <w:basedOn w:val="28"/>
    <w:uiPriority w:val="99"/>
    <w:pPr>
      <w:spacing w:after="0" w:line="240" w:lineRule="auto"/>
    </w:pPr>
    <w:rPr>
      <w:color w:val="404040"/>
    </w:rPr>
    <w:tblPr/>
    <w:tblStylePr w:type="firstRow">
      <w:rPr>
        <w:rFonts w:ascii="Arial" w:hAnsi="Arial"/>
        <w:color w:val="F2F2F2"/>
        <w:sz w:val="22"/>
      </w:rPr>
      <w:tblPr/>
      <w:tcPr>
        <w:shd w:val="clear" w:color="F4B285" w:themeColor="accent2" w:themeTint="97" w:fill="F4B285" w:themeFill="accent2" w:themeFillTint="97"/>
      </w:tcPr>
    </w:tblStylePr>
    <w:tblStylePr w:type="lastRow">
      <w:rPr>
        <w:rFonts w:ascii="Arial" w:hAnsi="Arial"/>
        <w:color w:val="F2F2F2"/>
        <w:sz w:val="22"/>
      </w:rPr>
      <w:tblPr/>
      <w:tcPr>
        <w:shd w:val="clear" w:color="F4B285" w:themeColor="accent2" w:themeTint="97" w:fill="F4B285" w:themeFill="accent2" w:themeFillTint="97"/>
      </w:tcPr>
    </w:tblStylePr>
    <w:tblStylePr w:type="firstCol">
      <w:rPr>
        <w:rFonts w:ascii="Arial" w:hAnsi="Arial"/>
        <w:color w:val="F2F2F2"/>
        <w:sz w:val="22"/>
      </w:rPr>
      <w:tblPr/>
      <w:tcPr>
        <w:shd w:val="clear" w:color="F4B285" w:themeColor="accent2" w:themeTint="97" w:fill="F4B285" w:themeFill="accent2" w:themeFillTint="97"/>
      </w:tcPr>
    </w:tblStylePr>
    <w:tblStylePr w:type="lastCol">
      <w:rPr>
        <w:rFonts w:ascii="Arial" w:hAnsi="Arial"/>
        <w:color w:val="F2F2F2"/>
        <w:sz w:val="22"/>
      </w:rPr>
      <w:tblPr/>
      <w:tcPr>
        <w:shd w:val="clear" w:color="F4B285" w:themeColor="accent2" w:themeTint="97" w:fill="F4B28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BE5D6" w:themeColor="accent2" w:themeTint="32" w:fill="FBE5D6" w:themeFill="accent2" w:themeFillTint="32"/>
      </w:tcPr>
    </w:tblStylePr>
    <w:tblStylePr w:type="neCell">
      <w:tblPr/>
    </w:tblStylePr>
    <w:tblStylePr w:type="nwCell">
      <w:tblPr/>
    </w:tblStylePr>
    <w:tblStylePr w:type="seCell">
      <w:tblPr/>
    </w:tblStylePr>
    <w:tblStylePr w:type="swCell">
      <w:tblPr/>
    </w:tblStylePr>
  </w:style>
  <w:style w:type="table" w:customStyle="1" w:styleId="144">
    <w:name w:val="Lined - Accent 3"/>
    <w:basedOn w:val="28"/>
    <w:uiPriority w:val="99"/>
    <w:pPr>
      <w:spacing w:after="0" w:line="240" w:lineRule="auto"/>
    </w:pPr>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CECEC" w:themeColor="accent3" w:themeTint="34" w:fill="ECECEC" w:themeFill="accent3" w:themeFillTint="34"/>
      </w:tcPr>
    </w:tblStylePr>
    <w:tblStylePr w:type="neCell">
      <w:tblPr/>
    </w:tblStylePr>
    <w:tblStylePr w:type="nwCell">
      <w:tblPr/>
    </w:tblStylePr>
    <w:tblStylePr w:type="seCell">
      <w:tblPr/>
    </w:tblStylePr>
    <w:tblStylePr w:type="swCell">
      <w:tblPr/>
    </w:tblStylePr>
  </w:style>
  <w:style w:type="table" w:customStyle="1" w:styleId="145">
    <w:name w:val="Lined - Accent 4"/>
    <w:basedOn w:val="28"/>
    <w:uiPriority w:val="99"/>
    <w:pPr>
      <w:spacing w:after="0" w:line="240" w:lineRule="auto"/>
    </w:pPr>
    <w:rPr>
      <w:color w:val="404040"/>
    </w:rPr>
    <w:tblPr/>
    <w:tblStylePr w:type="firstRow">
      <w:rPr>
        <w:rFonts w:ascii="Arial" w:hAnsi="Arial"/>
        <w:color w:val="F2F2F2"/>
        <w:sz w:val="22"/>
      </w:rPr>
      <w:tblPr/>
      <w:tcPr>
        <w:shd w:val="clear" w:color="FFD864" w:themeColor="accent4" w:themeTint="9A" w:fill="FFD864" w:themeFill="accent4" w:themeFillTint="9A"/>
      </w:tcPr>
    </w:tblStylePr>
    <w:tblStylePr w:type="lastRow">
      <w:rPr>
        <w:rFonts w:ascii="Arial" w:hAnsi="Arial"/>
        <w:color w:val="F2F2F2"/>
        <w:sz w:val="22"/>
      </w:rPr>
      <w:tblPr/>
      <w:tcPr>
        <w:shd w:val="clear" w:color="FFD864" w:themeColor="accent4" w:themeTint="9A" w:fill="FFD864" w:themeFill="accent4" w:themeFillTint="9A"/>
      </w:tcPr>
    </w:tblStylePr>
    <w:tblStylePr w:type="firstCol">
      <w:rPr>
        <w:rFonts w:ascii="Arial" w:hAnsi="Arial"/>
        <w:color w:val="F2F2F2"/>
        <w:sz w:val="22"/>
      </w:rPr>
      <w:tblPr/>
      <w:tcPr>
        <w:shd w:val="clear" w:color="FFD864" w:themeColor="accent4" w:themeTint="9A" w:fill="FFD864" w:themeFill="accent4" w:themeFillTint="9A"/>
      </w:tcPr>
    </w:tblStylePr>
    <w:tblStylePr w:type="lastCol">
      <w:rPr>
        <w:rFonts w:ascii="Arial" w:hAnsi="Arial"/>
        <w:color w:val="F2F2F2"/>
        <w:sz w:val="22"/>
      </w:rPr>
      <w:tblPr/>
      <w:tcPr>
        <w:shd w:val="clear" w:color="FFD864" w:themeColor="accent4" w:themeTint="9A" w:fill="FFD864"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FEF2CA" w:themeColor="accent4" w:themeTint="34" w:fill="FEF2CA"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EF2CA" w:themeColor="accent4" w:themeTint="34" w:fill="FEF2CA" w:themeFill="accent4" w:themeFillTint="34"/>
      </w:tcPr>
    </w:tblStylePr>
    <w:tblStylePr w:type="neCell">
      <w:tblPr/>
    </w:tblStylePr>
    <w:tblStylePr w:type="nwCell">
      <w:tblPr/>
    </w:tblStylePr>
    <w:tblStylePr w:type="seCell">
      <w:tblPr/>
    </w:tblStylePr>
    <w:tblStylePr w:type="swCell">
      <w:tblPr/>
    </w:tblStylePr>
  </w:style>
  <w:style w:type="table" w:customStyle="1" w:styleId="146">
    <w:name w:val="Lined - Accent 5"/>
    <w:basedOn w:val="28"/>
    <w:uiPriority w:val="99"/>
    <w:pPr>
      <w:spacing w:after="0" w:line="240" w:lineRule="auto"/>
    </w:pPr>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8E2F2" w:themeColor="accent5" w:themeTint="34" w:fill="D8E2F2"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8E2F2" w:themeColor="accent5" w:themeTint="34" w:fill="D8E2F2" w:themeFill="accent5" w:themeFillTint="34"/>
      </w:tcPr>
    </w:tblStylePr>
    <w:tblStylePr w:type="neCell">
      <w:tblPr/>
    </w:tblStylePr>
    <w:tblStylePr w:type="nwCell">
      <w:tblPr/>
    </w:tblStylePr>
    <w:tblStylePr w:type="seCell">
      <w:tblPr/>
    </w:tblStylePr>
    <w:tblStylePr w:type="swCell">
      <w:tblPr/>
    </w:tblStylePr>
  </w:style>
  <w:style w:type="table" w:customStyle="1" w:styleId="147">
    <w:name w:val="Lined - Accent 6"/>
    <w:basedOn w:val="28"/>
    <w:uiPriority w:val="99"/>
    <w:pPr>
      <w:spacing w:after="0" w:line="240" w:lineRule="auto"/>
    </w:pPr>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1EFD8" w:themeColor="accent6" w:themeTint="34" w:fill="E1EFD8" w:themeFill="accent6" w:themeFillTint="34"/>
      </w:tcPr>
    </w:tblStylePr>
    <w:tblStylePr w:type="neCell">
      <w:tblPr/>
    </w:tblStylePr>
    <w:tblStylePr w:type="nwCell">
      <w:tblPr/>
    </w:tblStylePr>
    <w:tblStylePr w:type="seCell">
      <w:tblPr/>
    </w:tblStylePr>
    <w:tblStylePr w:type="swCell">
      <w:tblPr/>
    </w:tblStylePr>
  </w:style>
  <w:style w:type="table" w:customStyle="1" w:styleId="148">
    <w:name w:val="Bordered &amp; Lined - Accent"/>
    <w:basedOn w:val="2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49">
    <w:name w:val="Bordered &amp; Lined - Accent 1"/>
    <w:basedOn w:val="28"/>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blPr/>
      <w:tcPr>
        <w:shd w:val="clear" w:color="68A3D8" w:themeColor="accent1" w:themeTint="EA" w:fill="68A3D8" w:themeFill="accent1" w:themeFillTint="EA"/>
      </w:tcPr>
    </w:tblStylePr>
    <w:tblStylePr w:type="lastRow">
      <w:rPr>
        <w:rFonts w:ascii="Arial" w:hAnsi="Arial"/>
        <w:color w:val="F2F2F2"/>
        <w:sz w:val="22"/>
      </w:rPr>
      <w:tblPr/>
      <w:tcPr>
        <w:shd w:val="clear" w:color="68A3D8" w:themeColor="accent1" w:themeTint="EA" w:fill="68A3D8" w:themeFill="accent1" w:themeFillTint="EA"/>
      </w:tcPr>
    </w:tblStylePr>
    <w:tblStylePr w:type="firstCol">
      <w:rPr>
        <w:rFonts w:ascii="Arial" w:hAnsi="Arial"/>
        <w:color w:val="F2F2F2"/>
        <w:sz w:val="22"/>
      </w:rPr>
      <w:tblPr/>
      <w:tcPr>
        <w:shd w:val="clear" w:color="68A3D8" w:themeColor="accent1" w:themeTint="EA" w:fill="68A3D8" w:themeFill="accent1" w:themeFillTint="EA"/>
      </w:tcPr>
    </w:tblStylePr>
    <w:tblStylePr w:type="lastCol">
      <w:rPr>
        <w:rFonts w:ascii="Arial" w:hAnsi="Arial"/>
        <w:color w:val="F2F2F2"/>
        <w:sz w:val="22"/>
      </w:rPr>
      <w:tblPr/>
      <w:tcPr>
        <w:shd w:val="clear" w:color="68A3D8" w:themeColor="accent1" w:themeTint="EA" w:fill="68A3D8"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BDFF1" w:themeColor="accent1" w:themeTint="50" w:fill="CBDFF1" w:themeFill="accent1" w:themeFillTint="50"/>
      </w:tcPr>
    </w:tblStylePr>
    <w:tblStylePr w:type="neCell">
      <w:tblPr/>
    </w:tblStylePr>
    <w:tblStylePr w:type="nwCell">
      <w:tblPr/>
    </w:tblStylePr>
    <w:tblStylePr w:type="seCell">
      <w:tblPr/>
    </w:tblStylePr>
    <w:tblStylePr w:type="swCell">
      <w:tblPr/>
    </w:tblStylePr>
  </w:style>
  <w:style w:type="table" w:customStyle="1" w:styleId="150">
    <w:name w:val="Bordered &amp; Lined - Accent 2"/>
    <w:basedOn w:val="28"/>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blPr/>
      <w:tcPr>
        <w:shd w:val="clear" w:color="F4B285" w:themeColor="accent2" w:themeTint="97" w:fill="F4B285" w:themeFill="accent2" w:themeFillTint="97"/>
      </w:tcPr>
    </w:tblStylePr>
    <w:tblStylePr w:type="lastRow">
      <w:rPr>
        <w:rFonts w:ascii="Arial" w:hAnsi="Arial"/>
        <w:color w:val="F2F2F2"/>
        <w:sz w:val="22"/>
      </w:rPr>
      <w:tblPr/>
      <w:tcPr>
        <w:shd w:val="clear" w:color="F4B285" w:themeColor="accent2" w:themeTint="97" w:fill="F4B285" w:themeFill="accent2" w:themeFillTint="97"/>
      </w:tcPr>
    </w:tblStylePr>
    <w:tblStylePr w:type="firstCol">
      <w:rPr>
        <w:rFonts w:ascii="Arial" w:hAnsi="Arial"/>
        <w:color w:val="F2F2F2"/>
        <w:sz w:val="22"/>
      </w:rPr>
      <w:tblPr/>
      <w:tcPr>
        <w:shd w:val="clear" w:color="F4B285" w:themeColor="accent2" w:themeTint="97" w:fill="F4B285" w:themeFill="accent2" w:themeFillTint="97"/>
      </w:tcPr>
    </w:tblStylePr>
    <w:tblStylePr w:type="lastCol">
      <w:rPr>
        <w:rFonts w:ascii="Arial" w:hAnsi="Arial"/>
        <w:color w:val="F2F2F2"/>
        <w:sz w:val="22"/>
      </w:rPr>
      <w:tblPr/>
      <w:tcPr>
        <w:shd w:val="clear" w:color="F4B285" w:themeColor="accent2" w:themeTint="97" w:fill="F4B28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BE5D6" w:themeColor="accent2" w:themeTint="32" w:fill="FBE5D6" w:themeFill="accent2" w:themeFillTint="32"/>
      </w:tcPr>
    </w:tblStylePr>
    <w:tblStylePr w:type="neCell">
      <w:tblPr/>
    </w:tblStylePr>
    <w:tblStylePr w:type="nwCell">
      <w:tblPr/>
    </w:tblStylePr>
    <w:tblStylePr w:type="seCell">
      <w:tblPr/>
    </w:tblStylePr>
    <w:tblStylePr w:type="swCell">
      <w:tblPr/>
    </w:tblStylePr>
  </w:style>
  <w:style w:type="table" w:customStyle="1" w:styleId="151">
    <w:name w:val="Bordered &amp; Lined - Accent 3"/>
    <w:basedOn w:val="28"/>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CECEC" w:themeColor="accent3" w:themeTint="34" w:fill="ECECEC" w:themeFill="accent3" w:themeFillTint="34"/>
      </w:tcPr>
    </w:tblStylePr>
    <w:tblStylePr w:type="neCell">
      <w:tblPr/>
    </w:tblStylePr>
    <w:tblStylePr w:type="nwCell">
      <w:tblPr/>
    </w:tblStylePr>
    <w:tblStylePr w:type="seCell">
      <w:tblPr/>
    </w:tblStylePr>
    <w:tblStylePr w:type="swCell">
      <w:tblPr/>
    </w:tblStylePr>
  </w:style>
  <w:style w:type="table" w:customStyle="1" w:styleId="152">
    <w:name w:val="Bordered &amp; Lined - Accent 4"/>
    <w:basedOn w:val="28"/>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blPr/>
      <w:tcPr>
        <w:shd w:val="clear" w:color="FFD864" w:themeColor="accent4" w:themeTint="9A" w:fill="FFD864" w:themeFill="accent4" w:themeFillTint="9A"/>
      </w:tcPr>
    </w:tblStylePr>
    <w:tblStylePr w:type="lastRow">
      <w:rPr>
        <w:rFonts w:ascii="Arial" w:hAnsi="Arial"/>
        <w:color w:val="F2F2F2"/>
        <w:sz w:val="22"/>
      </w:rPr>
      <w:tblPr/>
      <w:tcPr>
        <w:shd w:val="clear" w:color="FFD864" w:themeColor="accent4" w:themeTint="9A" w:fill="FFD864" w:themeFill="accent4" w:themeFillTint="9A"/>
      </w:tcPr>
    </w:tblStylePr>
    <w:tblStylePr w:type="firstCol">
      <w:rPr>
        <w:rFonts w:ascii="Arial" w:hAnsi="Arial"/>
        <w:color w:val="F2F2F2"/>
        <w:sz w:val="22"/>
      </w:rPr>
      <w:tblPr/>
      <w:tcPr>
        <w:shd w:val="clear" w:color="FFD864" w:themeColor="accent4" w:themeTint="9A" w:fill="FFD864" w:themeFill="accent4" w:themeFillTint="9A"/>
      </w:tcPr>
    </w:tblStylePr>
    <w:tblStylePr w:type="lastCol">
      <w:rPr>
        <w:rFonts w:ascii="Arial" w:hAnsi="Arial"/>
        <w:color w:val="F2F2F2"/>
        <w:sz w:val="22"/>
      </w:rPr>
      <w:tblPr/>
      <w:tcPr>
        <w:shd w:val="clear" w:color="FFD864" w:themeColor="accent4" w:themeTint="9A" w:fill="FFD864"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FEF2CA" w:themeColor="accent4" w:themeTint="34" w:fill="FEF2CA"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EF2CA" w:themeColor="accent4" w:themeTint="34" w:fill="FEF2CA" w:themeFill="accent4" w:themeFillTint="34"/>
      </w:tcPr>
    </w:tblStylePr>
    <w:tblStylePr w:type="neCell">
      <w:tblPr/>
    </w:tblStylePr>
    <w:tblStylePr w:type="nwCell">
      <w:tblPr/>
    </w:tblStylePr>
    <w:tblStylePr w:type="seCell">
      <w:tblPr/>
    </w:tblStylePr>
    <w:tblStylePr w:type="swCell">
      <w:tblPr/>
    </w:tblStylePr>
  </w:style>
  <w:style w:type="table" w:customStyle="1" w:styleId="153">
    <w:name w:val="Bordered &amp; Lined - Accent 5"/>
    <w:basedOn w:val="28"/>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8E2F2" w:themeColor="accent5" w:themeTint="34" w:fill="D8E2F2"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8E2F2" w:themeColor="accent5" w:themeTint="34" w:fill="D8E2F2" w:themeFill="accent5" w:themeFillTint="34"/>
      </w:tcPr>
    </w:tblStylePr>
    <w:tblStylePr w:type="neCell">
      <w:tblPr/>
    </w:tblStylePr>
    <w:tblStylePr w:type="nwCell">
      <w:tblPr/>
    </w:tblStylePr>
    <w:tblStylePr w:type="seCell">
      <w:tblPr/>
    </w:tblStylePr>
    <w:tblStylePr w:type="swCell">
      <w:tblPr/>
    </w:tblStylePr>
  </w:style>
  <w:style w:type="table" w:customStyle="1" w:styleId="154">
    <w:name w:val="Bordered &amp; Lined - Accent 6"/>
    <w:basedOn w:val="28"/>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1EFD8" w:themeColor="accent6" w:themeTint="34" w:fill="E1EFD8" w:themeFill="accent6" w:themeFillTint="34"/>
      </w:tcPr>
    </w:tblStylePr>
    <w:tblStylePr w:type="neCell">
      <w:tblPr/>
    </w:tblStylePr>
    <w:tblStylePr w:type="nwCell">
      <w:tblPr/>
    </w:tblStylePr>
    <w:tblStylePr w:type="seCell">
      <w:tblPr/>
    </w:tblStylePr>
    <w:tblStylePr w:type="swCell">
      <w:tblPr/>
    </w:tblStylePr>
  </w:style>
  <w:style w:type="table" w:customStyle="1" w:styleId="155">
    <w:name w:val="Bordered"/>
    <w:basedOn w:val="2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blPr/>
      <w:tcPr>
        <w:tcBorders>
          <w:bottom w:val="single" w:color="7E7E7E" w:themeColor="text1" w:themeTint="80" w:sz="12" w:space="0"/>
        </w:tcBorders>
      </w:tcPr>
    </w:tblStylePr>
    <w:tblStylePr w:type="lastRow">
      <w:rPr>
        <w:rFonts w:ascii="Arial" w:hAnsi="Arial"/>
        <w:color w:val="404040"/>
        <w:sz w:val="22"/>
      </w:rPr>
      <w:tblPr/>
      <w:tcPr>
        <w:tcBorders>
          <w:top w:val="single" w:color="7E7E7E" w:themeColor="text1" w:themeTint="80"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7E7E7E" w:themeColor="text1" w:themeTint="80"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6">
    <w:name w:val="Bordered - Accent 1"/>
    <w:basedOn w:val="28"/>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blPr/>
      <w:tcPr>
        <w:tcBorders>
          <w:bottom w:val="single" w:color="5B9BD5" w:themeColor="accent1" w:sz="12" w:space="0"/>
        </w:tcBorders>
      </w:tcPr>
    </w:tblStylePr>
    <w:tblStylePr w:type="lastRow">
      <w:rPr>
        <w:rFonts w:ascii="Arial" w:hAnsi="Arial"/>
        <w:color w:val="404040"/>
        <w:sz w:val="22"/>
      </w:rPr>
      <w:tblPr/>
      <w:tcPr>
        <w:tcBorders>
          <w:top w:val="single" w:color="5B9BD5" w:themeColor="accent1"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5B9BD5" w:themeColor="accent1"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7">
    <w:name w:val="Bordered - Accent 2"/>
    <w:basedOn w:val="2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blPr/>
      <w:tcPr>
        <w:tcBorders>
          <w:bottom w:val="single" w:color="F4B285" w:themeColor="accent2" w:themeTint="97" w:sz="12" w:space="0"/>
        </w:tcBorders>
      </w:tcPr>
    </w:tblStylePr>
    <w:tblStylePr w:type="lastRow">
      <w:rPr>
        <w:rFonts w:ascii="Arial" w:hAnsi="Arial"/>
        <w:color w:val="404040"/>
        <w:sz w:val="22"/>
      </w:rPr>
      <w:tblPr/>
      <w:tcPr>
        <w:tcBorders>
          <w:top w:val="single" w:color="F4B285" w:themeColor="accent2" w:themeTint="97"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4B285" w:themeColor="accent2" w:themeTint="97"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8">
    <w:name w:val="Bordered - Accent 3"/>
    <w:basedOn w:val="2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blPr/>
      <w:tcPr>
        <w:tcBorders>
          <w:bottom w:val="single" w:color="C9C9C9" w:themeColor="accent3" w:themeTint="98" w:sz="12" w:space="0"/>
        </w:tcBorders>
      </w:tcPr>
    </w:tblStylePr>
    <w:tblStylePr w:type="lastRow">
      <w:rPr>
        <w:rFonts w:ascii="Arial" w:hAnsi="Arial"/>
        <w:color w:val="404040"/>
        <w:sz w:val="22"/>
      </w:rPr>
      <w:tblPr/>
      <w:tcPr>
        <w:tcBorders>
          <w:top w:val="single" w:color="C9C9C9" w:themeColor="accent3"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C9C9C9" w:themeColor="accent3"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9">
    <w:name w:val="Bordered - Accent 4"/>
    <w:basedOn w:val="2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blPr/>
      <w:tcPr>
        <w:tcBorders>
          <w:bottom w:val="single" w:color="FFD864" w:themeColor="accent4" w:themeTint="9A" w:sz="12" w:space="0"/>
        </w:tcBorders>
      </w:tcPr>
    </w:tblStylePr>
    <w:tblStylePr w:type="lastRow">
      <w:rPr>
        <w:rFonts w:ascii="Arial" w:hAnsi="Arial"/>
        <w:color w:val="404040"/>
        <w:sz w:val="22"/>
      </w:rPr>
      <w:tblPr/>
      <w:tcPr>
        <w:tcBorders>
          <w:top w:val="single" w:color="FFD864" w:themeColor="accent4"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FD864" w:themeColor="accent4"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0">
    <w:name w:val="Bordered - Accent 5"/>
    <w:basedOn w:val="2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blPr/>
      <w:tcPr>
        <w:tcBorders>
          <w:bottom w:val="single" w:color="8EA9DB" w:themeColor="accent5" w:themeTint="9A" w:sz="12" w:space="0"/>
        </w:tcBorders>
      </w:tcPr>
    </w:tblStylePr>
    <w:tblStylePr w:type="lastRow">
      <w:rPr>
        <w:rFonts w:ascii="Arial" w:hAnsi="Arial"/>
        <w:color w:val="404040"/>
        <w:sz w:val="22"/>
      </w:rPr>
      <w:tblPr/>
      <w:tcPr>
        <w:tcBorders>
          <w:top w:val="single" w:color="8EA9DB" w:themeColor="accent5"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8EA9DB" w:themeColor="accent5"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1">
    <w:name w:val="Bordered - Accent 6"/>
    <w:basedOn w:val="2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blPr/>
      <w:tcPr>
        <w:tcBorders>
          <w:bottom w:val="single" w:color="A9D08E" w:themeColor="accent6" w:themeTint="98" w:sz="12" w:space="0"/>
        </w:tcBorders>
      </w:tcPr>
    </w:tblStylePr>
    <w:tblStylePr w:type="lastRow">
      <w:rPr>
        <w:rFonts w:ascii="Arial" w:hAnsi="Arial"/>
        <w:color w:val="404040"/>
        <w:sz w:val="22"/>
      </w:rPr>
      <w:tblPr/>
      <w:tcPr>
        <w:tcBorders>
          <w:top w:val="single" w:color="A9D08E" w:themeColor="accent6"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A9D08E" w:themeColor="accent6"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162">
    <w:name w:val="Heading 1 Char"/>
    <w:basedOn w:val="30"/>
    <w:link w:val="2"/>
    <w:uiPriority w:val="9"/>
    <w:rPr>
      <w:rFonts w:ascii="Arial" w:hAnsi="Arial" w:eastAsia="Arial" w:cs="Arial"/>
      <w:color w:val="2E75B6" w:themeColor="accent1" w:themeShade="BF"/>
      <w:sz w:val="40"/>
      <w:szCs w:val="40"/>
    </w:rPr>
  </w:style>
  <w:style w:type="character" w:customStyle="1" w:styleId="163">
    <w:name w:val="Heading 2 Char"/>
    <w:basedOn w:val="30"/>
    <w:link w:val="3"/>
    <w:uiPriority w:val="9"/>
    <w:rPr>
      <w:rFonts w:ascii="Arial" w:hAnsi="Arial" w:eastAsia="Arial" w:cs="Arial"/>
      <w:color w:val="2E75B6" w:themeColor="accent1" w:themeShade="BF"/>
      <w:sz w:val="32"/>
      <w:szCs w:val="32"/>
    </w:rPr>
  </w:style>
  <w:style w:type="character" w:customStyle="1" w:styleId="164">
    <w:name w:val="Heading 3 Char"/>
    <w:basedOn w:val="30"/>
    <w:link w:val="4"/>
    <w:uiPriority w:val="9"/>
    <w:rPr>
      <w:rFonts w:ascii="Arial" w:hAnsi="Arial" w:eastAsia="Arial" w:cs="Arial"/>
      <w:color w:val="2E75B6" w:themeColor="accent1" w:themeShade="BF"/>
      <w:sz w:val="28"/>
      <w:szCs w:val="28"/>
    </w:rPr>
  </w:style>
  <w:style w:type="character" w:customStyle="1" w:styleId="165">
    <w:name w:val="Heading 4 Char"/>
    <w:basedOn w:val="30"/>
    <w:link w:val="5"/>
    <w:uiPriority w:val="9"/>
    <w:rPr>
      <w:rFonts w:ascii="Arial" w:hAnsi="Arial" w:eastAsia="Arial" w:cs="Arial"/>
      <w:i/>
      <w:iCs/>
      <w:color w:val="2E75B6" w:themeColor="accent1" w:themeShade="BF"/>
    </w:rPr>
  </w:style>
  <w:style w:type="character" w:customStyle="1" w:styleId="166">
    <w:name w:val="Heading 5 Char"/>
    <w:basedOn w:val="30"/>
    <w:link w:val="6"/>
    <w:uiPriority w:val="9"/>
    <w:rPr>
      <w:rFonts w:ascii="Arial" w:hAnsi="Arial" w:eastAsia="Arial" w:cs="Arial"/>
      <w:color w:val="2E75B6" w:themeColor="accent1" w:themeShade="BF"/>
    </w:rPr>
  </w:style>
  <w:style w:type="character" w:customStyle="1" w:styleId="167">
    <w:name w:val="Heading 6 Char"/>
    <w:basedOn w:val="30"/>
    <w:link w:val="7"/>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8">
    <w:name w:val="Heading 7 Char"/>
    <w:basedOn w:val="30"/>
    <w:link w:val="8"/>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9">
    <w:name w:val="Heading 8 Char"/>
    <w:basedOn w:val="30"/>
    <w:link w:val="9"/>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Heading 9 Char"/>
    <w:basedOn w:val="30"/>
    <w:link w:val="10"/>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1">
    <w:name w:val="Title Char"/>
    <w:basedOn w:val="30"/>
    <w:link w:val="27"/>
    <w:uiPriority w:val="10"/>
    <w:rPr>
      <w:rFonts w:ascii="Arial" w:hAnsi="Arial" w:eastAsia="Arial" w:cs="Arial"/>
      <w:spacing w:val="-10"/>
      <w:sz w:val="56"/>
      <w:szCs w:val="56"/>
    </w:rPr>
  </w:style>
  <w:style w:type="character" w:customStyle="1" w:styleId="172">
    <w:name w:val="Subtitle Char"/>
    <w:basedOn w:val="30"/>
    <w:link w:val="21"/>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3">
    <w:name w:val="Quote"/>
    <w:basedOn w:val="1"/>
    <w:next w:val="1"/>
    <w:link w:val="17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4">
    <w:name w:val="Quote Char"/>
    <w:basedOn w:val="30"/>
    <w:link w:val="173"/>
    <w:uiPriority w:val="29"/>
    <w:rPr>
      <w:i/>
      <w:iCs/>
      <w:color w:val="404040" w:themeColor="text1" w:themeTint="BF"/>
      <w14:textFill>
        <w14:solidFill>
          <w14:schemeClr w14:val="tx1">
            <w14:lumMod w14:val="75000"/>
            <w14:lumOff w14:val="25000"/>
          </w14:schemeClr>
        </w14:solidFill>
      </w14:textFill>
    </w:rPr>
  </w:style>
  <w:style w:type="character" w:customStyle="1" w:styleId="175">
    <w:name w:val="Intense Emphasis"/>
    <w:basedOn w:val="30"/>
    <w:qFormat/>
    <w:uiPriority w:val="21"/>
    <w:rPr>
      <w:i/>
      <w:iCs/>
      <w:color w:val="2E75B6" w:themeColor="accent1" w:themeShade="BF"/>
    </w:rPr>
  </w:style>
  <w:style w:type="paragraph" w:styleId="176">
    <w:name w:val="Intense Quote"/>
    <w:basedOn w:val="1"/>
    <w:next w:val="1"/>
    <w:link w:val="17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7">
    <w:name w:val="Intense Quote Char"/>
    <w:basedOn w:val="30"/>
    <w:link w:val="176"/>
    <w:uiPriority w:val="30"/>
    <w:rPr>
      <w:i/>
      <w:iCs/>
      <w:color w:val="2E75B6" w:themeColor="accent1" w:themeShade="BF"/>
    </w:rPr>
  </w:style>
  <w:style w:type="character" w:customStyle="1" w:styleId="178">
    <w:name w:val="Intense Reference"/>
    <w:basedOn w:val="30"/>
    <w:qFormat/>
    <w:uiPriority w:val="32"/>
    <w:rPr>
      <w:b/>
      <w:bCs/>
      <w:smallCaps/>
      <w:color w:val="2E75B6" w:themeColor="accent1" w:themeShade="BF"/>
      <w:spacing w:val="5"/>
    </w:rPr>
  </w:style>
  <w:style w:type="paragraph" w:styleId="179">
    <w:name w:val="No Spacing"/>
    <w:basedOn w:val="1"/>
    <w:qFormat/>
    <w:uiPriority w:val="1"/>
    <w:pPr>
      <w:spacing w:after="0" w:line="240" w:lineRule="auto"/>
    </w:pPr>
  </w:style>
  <w:style w:type="character" w:customStyle="1" w:styleId="180">
    <w:name w:val="Subtle Emphasis"/>
    <w:basedOn w:val="30"/>
    <w:qFormat/>
    <w:uiPriority w:val="19"/>
    <w:rPr>
      <w:i/>
      <w:iCs/>
      <w:color w:val="404040" w:themeColor="text1" w:themeTint="BF"/>
      <w14:textFill>
        <w14:solidFill>
          <w14:schemeClr w14:val="tx1">
            <w14:lumMod w14:val="75000"/>
            <w14:lumOff w14:val="25000"/>
          </w14:schemeClr>
        </w14:solidFill>
      </w14:textFill>
    </w:rPr>
  </w:style>
  <w:style w:type="character" w:customStyle="1" w:styleId="181">
    <w:name w:val="Subtle Reference"/>
    <w:basedOn w:val="30"/>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2">
    <w:name w:val="Book Title"/>
    <w:basedOn w:val="30"/>
    <w:qFormat/>
    <w:uiPriority w:val="33"/>
    <w:rPr>
      <w:b/>
      <w:bCs/>
      <w:i/>
      <w:iCs/>
      <w:spacing w:val="5"/>
    </w:rPr>
  </w:style>
  <w:style w:type="character" w:customStyle="1" w:styleId="183">
    <w:name w:val="Header Char"/>
    <w:basedOn w:val="30"/>
    <w:link w:val="18"/>
    <w:uiPriority w:val="99"/>
  </w:style>
  <w:style w:type="character" w:customStyle="1" w:styleId="184">
    <w:name w:val="Footer Char"/>
    <w:basedOn w:val="30"/>
    <w:link w:val="17"/>
    <w:uiPriority w:val="99"/>
  </w:style>
  <w:style w:type="character" w:customStyle="1" w:styleId="185">
    <w:name w:val="Footnote Text Char"/>
    <w:basedOn w:val="30"/>
    <w:link w:val="22"/>
    <w:semiHidden/>
    <w:uiPriority w:val="99"/>
    <w:rPr>
      <w:sz w:val="20"/>
      <w:szCs w:val="20"/>
    </w:rPr>
  </w:style>
  <w:style w:type="character" w:customStyle="1" w:styleId="186">
    <w:name w:val="Endnote Text Char"/>
    <w:basedOn w:val="30"/>
    <w:link w:val="16"/>
    <w:semiHidden/>
    <w:uiPriority w:val="99"/>
    <w:rPr>
      <w:sz w:val="20"/>
      <w:szCs w:val="20"/>
    </w:rPr>
  </w:style>
  <w:style w:type="paragraph" w:customStyle="1" w:styleId="187">
    <w:name w:val="TOC Heading"/>
    <w:unhideWhenUsed/>
    <w:uiPriority w:val="39"/>
    <w:rPr>
      <w:rFonts w:hint="default" w:asciiTheme="minorHAnsi" w:hAnsiTheme="minorHAnsi" w:eastAsiaTheme="minorEastAsia" w:cstheme="minorBidi"/>
    </w:rPr>
  </w:style>
  <w:style w:type="paragraph" w:customStyle="1" w:styleId="188">
    <w:name w:val="正文文本1"/>
    <w:basedOn w:val="1"/>
    <w:next w:val="1"/>
    <w:qFormat/>
    <w:uiPriority w:val="99"/>
    <w:pPr>
      <w:spacing w:after="120"/>
    </w:pPr>
  </w:style>
  <w:style w:type="paragraph" w:customStyle="1" w:styleId="189">
    <w:name w:val="日期1"/>
    <w:basedOn w:val="1"/>
    <w:next w:val="1"/>
    <w:qFormat/>
    <w:uiPriority w:val="0"/>
    <w:pPr>
      <w:widowControl w:val="0"/>
      <w:ind w:left="100"/>
      <w:jc w:val="both"/>
    </w:pPr>
    <w:rPr>
      <w:rFonts w:ascii="Times New Roman" w:hAnsi="Times New Roman" w:eastAsia="宋体" w:cs="Times New Roman"/>
      <w:sz w:val="21"/>
    </w:rPr>
  </w:style>
  <w:style w:type="paragraph" w:customStyle="1" w:styleId="190">
    <w:name w:val="目录 11"/>
    <w:basedOn w:val="1"/>
    <w:next w:val="1"/>
    <w:qFormat/>
    <w:uiPriority w:val="39"/>
    <w:pPr>
      <w:spacing w:before="120" w:after="120"/>
    </w:pPr>
    <w:rPr>
      <w:b/>
      <w:bCs/>
      <w:caps/>
      <w:szCs w:val="20"/>
    </w:rPr>
  </w:style>
  <w:style w:type="paragraph" w:customStyle="1" w:styleId="191">
    <w:name w:val="目录 21"/>
    <w:basedOn w:val="1"/>
    <w:next w:val="1"/>
    <w:unhideWhenUsed/>
    <w:qFormat/>
    <w:uiPriority w:val="39"/>
    <w:pPr>
      <w:ind w:left="420"/>
    </w:pPr>
  </w:style>
  <w:style w:type="paragraph" w:customStyle="1" w:styleId="192">
    <w:name w:val="目录 31"/>
    <w:basedOn w:val="1"/>
    <w:next w:val="1"/>
    <w:unhideWhenUsed/>
    <w:qFormat/>
    <w:uiPriority w:val="39"/>
    <w:pPr>
      <w:ind w:left="840"/>
    </w:pPr>
  </w:style>
  <w:style w:type="paragraph" w:customStyle="1" w:styleId="193">
    <w:name w:val="标题 1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customStyle="1" w:styleId="194">
    <w:name w:val="标题 21"/>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customStyle="1" w:styleId="195">
    <w:name w:val="中文正文、"/>
    <w:basedOn w:val="1"/>
    <w:qFormat/>
    <w:uiPriority w:val="0"/>
    <w:pPr>
      <w:widowControl w:val="0"/>
      <w:spacing w:line="360" w:lineRule="auto"/>
      <w:ind w:firstLine="420"/>
      <w:jc w:val="both"/>
    </w:pPr>
    <w:rPr>
      <w:rFonts w:ascii="Calibri" w:hAnsi="Calibri" w:eastAsia="宋体" w:cs="Times New Roman"/>
      <w:sz w:val="21"/>
      <w:szCs w:val="21"/>
    </w:rPr>
  </w:style>
  <w:style w:type="paragraph" w:customStyle="1" w:styleId="196">
    <w:name w:val="正文缩进1"/>
    <w:basedOn w:val="1"/>
    <w:qFormat/>
    <w:uiPriority w:val="0"/>
    <w:pPr>
      <w:widowControl w:val="0"/>
      <w:ind w:firstLine="420"/>
      <w:jc w:val="both"/>
    </w:pPr>
    <w:rPr>
      <w:rFonts w:ascii="Calibri" w:hAnsi="Calibri" w:eastAsia="宋体" w:cs="Times New Roman"/>
      <w:sz w:val="20"/>
      <w:szCs w:val="20"/>
    </w:rPr>
  </w:style>
  <w:style w:type="paragraph" w:customStyle="1" w:styleId="197">
    <w:name w:val="p16"/>
    <w:basedOn w:val="1"/>
    <w:qFormat/>
    <w:uiPriority w:val="0"/>
    <w:pPr>
      <w:jc w:val="both"/>
    </w:pPr>
    <w:rPr>
      <w:rFonts w:ascii="宋体" w:hAnsi="宋体" w:eastAsia="宋体" w:cs="Times New Roman"/>
      <w:szCs w:val="20"/>
    </w:rPr>
  </w:style>
  <w:style w:type="paragraph" w:customStyle="1" w:styleId="198">
    <w:name w:val="p0"/>
    <w:basedOn w:val="1"/>
    <w:qFormat/>
    <w:uiPriority w:val="0"/>
    <w:pPr>
      <w:jc w:val="both"/>
    </w:pPr>
    <w:rPr>
      <w:rFonts w:ascii="宋体" w:hAnsi="宋体" w:eastAsia="宋体" w:cs="宋体"/>
      <w:sz w:val="21"/>
      <w:szCs w:val="21"/>
    </w:rPr>
  </w:style>
  <w:style w:type="paragraph" w:customStyle="1" w:styleId="199">
    <w:name w:val="正文文本 31"/>
    <w:basedOn w:val="1"/>
    <w:qFormat/>
    <w:uiPriority w:val="0"/>
    <w:pPr>
      <w:widowControl w:val="0"/>
      <w:jc w:val="both"/>
    </w:pPr>
    <w:rPr>
      <w:rFonts w:ascii="宋体" w:hAnsi="Times New Roman" w:eastAsia="宋体" w:cs="Times New Roman"/>
    </w:rPr>
  </w:style>
  <w:style w:type="paragraph" w:customStyle="1" w:styleId="200">
    <w:name w:val="Table Paragraph"/>
    <w:basedOn w:val="1"/>
    <w:qFormat/>
    <w:uiPriority w:val="1"/>
    <w:pPr>
      <w:widowControl w:val="0"/>
    </w:pPr>
    <w:rPr>
      <w:rFonts w:ascii="宋体" w:hAnsi="宋体" w:cs="宋体"/>
      <w:sz w:val="22"/>
      <w:szCs w:val="22"/>
      <w:lang w:eastAsia="en-US"/>
    </w:rPr>
  </w:style>
  <w:style w:type="paragraph" w:customStyle="1" w:styleId="201">
    <w:name w:val="标题 31"/>
    <w:basedOn w:val="1"/>
    <w:next w:val="1"/>
    <w:link w:val="214"/>
    <w:unhideWhenUsed/>
    <w:qFormat/>
    <w:uiPriority w:val="0"/>
    <w:pPr>
      <w:keepNext/>
      <w:keepLines/>
      <w:spacing w:before="260" w:after="260" w:line="416" w:lineRule="auto"/>
      <w:outlineLvl w:val="2"/>
    </w:pPr>
    <w:rPr>
      <w:b/>
      <w:bCs/>
      <w:sz w:val="32"/>
      <w:szCs w:val="32"/>
    </w:rPr>
  </w:style>
  <w:style w:type="paragraph" w:customStyle="1" w:styleId="202">
    <w:name w:val="标题 41"/>
    <w:basedOn w:val="1"/>
    <w:next w:val="1"/>
    <w:unhideWhenUsed/>
    <w:qFormat/>
    <w:uiPriority w:val="0"/>
    <w:pPr>
      <w:keepNext/>
      <w:keepLines/>
      <w:spacing w:before="280" w:after="290" w:line="376" w:lineRule="auto"/>
      <w:outlineLvl w:val="3"/>
    </w:pPr>
    <w:rPr>
      <w:rFonts w:ascii="Calibri Light" w:hAnsi="Calibri Light" w:eastAsia="宋体" w:cs="Times New Roman"/>
      <w:b/>
      <w:bCs/>
      <w:sz w:val="28"/>
      <w:szCs w:val="28"/>
    </w:rPr>
  </w:style>
  <w:style w:type="paragraph" w:customStyle="1" w:styleId="203">
    <w:name w:val="正文文本 33"/>
    <w:basedOn w:val="1"/>
    <w:qFormat/>
    <w:uiPriority w:val="0"/>
    <w:pPr>
      <w:widowControl w:val="0"/>
      <w:jc w:val="both"/>
    </w:pPr>
    <w:rPr>
      <w:rFonts w:ascii="宋体" w:hAnsi="Times New Roman" w:eastAsia="宋体" w:cs="Times New Roman"/>
    </w:rPr>
  </w:style>
  <w:style w:type="paragraph" w:customStyle="1" w:styleId="204">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05">
    <w:name w:val="彩色列表 - 着色 11"/>
    <w:basedOn w:val="1"/>
    <w:qFormat/>
    <w:uiPriority w:val="0"/>
    <w:pPr>
      <w:ind w:firstLine="420"/>
      <w:jc w:val="both"/>
    </w:pPr>
    <w:rPr>
      <w:sz w:val="21"/>
    </w:rPr>
  </w:style>
  <w:style w:type="paragraph" w:customStyle="1" w:styleId="206">
    <w:name w:val="无间隔1"/>
    <w:qFormat/>
    <w:uiPriority w:val="0"/>
    <w:rPr>
      <w:rFonts w:hint="default" w:ascii="Tahoma" w:hAnsi="Tahoma" w:eastAsia="微软雅黑" w:cs="Times New Roman"/>
      <w:sz w:val="22"/>
      <w:szCs w:val="22"/>
      <w:lang w:val="en-US" w:eastAsia="zh-CN" w:bidi="ar-SA"/>
    </w:rPr>
  </w:style>
  <w:style w:type="paragraph" w:customStyle="1" w:styleId="207">
    <w:name w:val="列出段落1"/>
    <w:basedOn w:val="1"/>
    <w:qFormat/>
    <w:uiPriority w:val="99"/>
    <w:pPr>
      <w:ind w:firstLine="420"/>
    </w:pPr>
  </w:style>
  <w:style w:type="paragraph" w:customStyle="1" w:styleId="208">
    <w:name w:val="批注框文本1"/>
    <w:basedOn w:val="1"/>
    <w:qFormat/>
    <w:uiPriority w:val="0"/>
    <w:rPr>
      <w:sz w:val="18"/>
      <w:szCs w:val="18"/>
    </w:rPr>
  </w:style>
  <w:style w:type="paragraph" w:styleId="209">
    <w:name w:val="List Paragraph"/>
    <w:basedOn w:val="1"/>
    <w:unhideWhenUsed/>
    <w:qFormat/>
    <w:uiPriority w:val="34"/>
    <w:pPr>
      <w:ind w:firstLine="420"/>
    </w:pPr>
  </w:style>
  <w:style w:type="paragraph" w:customStyle="1" w:styleId="210">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11">
    <w:name w:val="_Style 160"/>
    <w:basedOn w:val="1"/>
    <w:next w:val="209"/>
    <w:qFormat/>
    <w:uiPriority w:val="0"/>
    <w:pPr>
      <w:widowControl w:val="0"/>
      <w:pBdr>
        <w:bottom w:val="single" w:color="000000" w:sz="6" w:space="1"/>
      </w:pBdr>
      <w:jc w:val="center"/>
    </w:pPr>
    <w:rPr>
      <w:rFonts w:ascii="Arial" w:hAnsi="Times New Roman" w:eastAsia="宋体" w:cs="Times New Roman"/>
      <w:vanish/>
      <w:sz w:val="16"/>
    </w:rPr>
  </w:style>
  <w:style w:type="paragraph" w:customStyle="1" w:styleId="212">
    <w:name w:val="1"/>
    <w:basedOn w:val="1"/>
    <w:next w:val="213"/>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13">
    <w:name w:val="正文文本缩进 21"/>
    <w:basedOn w:val="1"/>
    <w:unhideWhenUsed/>
    <w:qFormat/>
    <w:uiPriority w:val="0"/>
    <w:pPr>
      <w:spacing w:after="120" w:line="480" w:lineRule="auto"/>
      <w:ind w:left="420"/>
    </w:pPr>
  </w:style>
  <w:style w:type="character" w:customStyle="1" w:styleId="214">
    <w:name w:val="标题 3 Char"/>
    <w:basedOn w:val="215"/>
    <w:link w:val="201"/>
    <w:qFormat/>
    <w:uiPriority w:val="0"/>
    <w:rPr>
      <w:b/>
      <w:bCs/>
      <w:sz w:val="32"/>
      <w:szCs w:val="32"/>
    </w:rPr>
  </w:style>
  <w:style w:type="character" w:customStyle="1" w:styleId="215">
    <w:name w:val="默认段落字体1"/>
    <w:link w:val="1"/>
    <w:semiHidden/>
    <w:qFormat/>
    <w:uiPriority w:val="0"/>
    <w:rPr>
      <w:rFonts w:hint="default" w:ascii="Calibri" w:hAnsi="Calibri" w:eastAsia="宋体" w:cs="Times New Roman"/>
      <w:sz w:val="21"/>
      <w:szCs w:val="24"/>
      <w:lang w:val="en-US" w:eastAsia="zh-CN" w:bidi="ar-SA"/>
    </w:rPr>
  </w:style>
  <w:style w:type="character" w:customStyle="1" w:styleId="216">
    <w:name w:val="font11"/>
    <w:link w:val="1"/>
    <w:qFormat/>
    <w:uiPriority w:val="0"/>
    <w:rPr>
      <w:rFonts w:hint="eastAsia" w:ascii="仿宋" w:hAnsi="仿宋" w:eastAsia="仿宋" w:cs="仿宋"/>
      <w:color w:val="FF0000"/>
      <w:sz w:val="20"/>
      <w:szCs w:val="20"/>
      <w:u w:val="none"/>
      <w:lang w:val="en-US" w:eastAsia="zh-CN" w:bidi="ar-SA"/>
    </w:rPr>
  </w:style>
  <w:style w:type="paragraph" w:customStyle="1" w:styleId="217">
    <w:name w:val="页脚1"/>
    <w:basedOn w:val="1"/>
    <w:qFormat/>
    <w:uiPriority w:val="99"/>
    <w:pPr>
      <w:tabs>
        <w:tab w:val="center" w:pos="4153"/>
        <w:tab w:val="right" w:pos="8306"/>
      </w:tabs>
    </w:pPr>
    <w:rPr>
      <w:sz w:val="18"/>
      <w:szCs w:val="18"/>
    </w:rPr>
  </w:style>
  <w:style w:type="character" w:customStyle="1" w:styleId="218">
    <w:name w:val="页码1"/>
    <w:basedOn w:val="215"/>
    <w:link w:val="1"/>
    <w:qFormat/>
    <w:uiPriority w:val="0"/>
  </w:style>
  <w:style w:type="paragraph" w:customStyle="1" w:styleId="219">
    <w:name w:val="页眉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ScaleCrop>false</ScaleCrop>
  <LinksUpToDate>false</LinksUpToDate>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2026-05-09T08:34:00Z</dcterms:created>
  <dc:creator>Administrator</dc:creator>
  <cp:lastModifiedBy>尚金凤</cp:lastModifiedBy>
  <dcterms:modified xsi:type="dcterms:W3CDTF">2026-06-17T06:19:49Z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FBF0ADDA5CB84B05B57095ED93D7DEFD</vt:lpwstr>
  </property>
</Properties>
</file>