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color w:val="auto"/>
          <w:sz w:val="28"/>
          <w:szCs w:val="28"/>
        </w:rPr>
      </w:pPr>
    </w:p>
    <w:p>
      <w:pPr>
        <w:jc w:val="center"/>
        <w:rPr>
          <w:rFonts w:hint="eastAsia" w:ascii="仿宋_GB2312" w:eastAsia="仿宋_GB2312"/>
          <w:color w:val="auto"/>
          <w:sz w:val="72"/>
          <w:szCs w:val="72"/>
          <w:lang w:eastAsia="zh-CN"/>
        </w:rPr>
      </w:pPr>
      <w:r>
        <w:rPr>
          <w:rFonts w:hint="eastAsia" w:ascii="仿宋_GB2312" w:hAnsi="宋体" w:eastAsia="仿宋_GB2312"/>
          <w:b/>
          <w:color w:val="auto"/>
          <w:sz w:val="36"/>
          <w:szCs w:val="36"/>
          <w:lang w:eastAsia="zh-CN"/>
        </w:rPr>
        <w:t>人保财险四川省泸州市分公司车内视频宣传采购项目</w:t>
      </w:r>
    </w:p>
    <w:p>
      <w:pPr>
        <w:jc w:val="center"/>
        <w:rPr>
          <w:rFonts w:ascii="仿宋_GB2312" w:eastAsia="仿宋_GB2312"/>
          <w:color w:val="auto"/>
          <w:sz w:val="72"/>
          <w:szCs w:val="72"/>
        </w:rPr>
      </w:pPr>
    </w:p>
    <w:p>
      <w:pPr>
        <w:jc w:val="center"/>
        <w:rPr>
          <w:rFonts w:ascii="仿宋_GB2312" w:eastAsia="仿宋_GB2312"/>
          <w:color w:val="auto"/>
          <w:sz w:val="72"/>
          <w:szCs w:val="72"/>
        </w:rPr>
      </w:pPr>
      <w:r>
        <w:rPr>
          <w:rFonts w:hint="eastAsia" w:ascii="仿宋_GB2312" w:eastAsia="仿宋_GB2312"/>
          <w:color w:val="auto"/>
          <w:sz w:val="72"/>
          <w:szCs w:val="72"/>
        </w:rPr>
        <w:t>比</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选</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文</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件</w:t>
      </w:r>
    </w:p>
    <w:p>
      <w:pPr>
        <w:pStyle w:val="2"/>
        <w:rPr>
          <w:color w:val="auto"/>
        </w:rPr>
      </w:pPr>
    </w:p>
    <w:p>
      <w:pPr>
        <w:jc w:val="center"/>
        <w:rPr>
          <w:rFonts w:ascii="仿宋_GB2312" w:hAnsi="宋体" w:eastAsia="仿宋_GB2312"/>
          <w:color w:val="auto"/>
          <w:sz w:val="28"/>
          <w:szCs w:val="28"/>
        </w:rPr>
      </w:pPr>
    </w:p>
    <w:p>
      <w:pPr>
        <w:jc w:val="center"/>
        <w:rPr>
          <w:rFonts w:ascii="仿宋_GB2312" w:hAnsi="宋体" w:eastAsia="仿宋_GB2312"/>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16"/>
        <w:ind w:left="113" w:leftChars="47"/>
        <w:jc w:val="center"/>
        <w:rPr>
          <w:rFonts w:ascii="仿宋_GB2312" w:hAnsi="宋体" w:eastAsia="仿宋_GB2312"/>
          <w:b/>
          <w:color w:val="auto"/>
          <w:sz w:val="28"/>
          <w:szCs w:val="28"/>
        </w:rPr>
      </w:pPr>
      <w:r>
        <w:rPr>
          <w:rFonts w:ascii="仿宋_GB2312" w:hAnsi="宋体" w:eastAsia="仿宋_GB2312"/>
          <w:b/>
          <w:color w:val="auto"/>
          <w:sz w:val="28"/>
          <w:szCs w:val="28"/>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6</w:t>
      </w:r>
      <w:r>
        <w:rPr>
          <w:rFonts w:hint="eastAsia" w:ascii="仿宋_GB2312" w:hAnsi="宋体" w:eastAsia="仿宋_GB2312"/>
          <w:b/>
          <w:color w:val="auto"/>
          <w:sz w:val="28"/>
          <w:szCs w:val="28"/>
        </w:rPr>
        <w:t>月</w:t>
      </w:r>
    </w:p>
    <w:p>
      <w:pPr>
        <w:spacing w:line="360" w:lineRule="auto"/>
        <w:jc w:val="center"/>
        <w:rPr>
          <w:rFonts w:ascii="仿宋_GB2312" w:hAnsi="宋体" w:eastAsia="仿宋_GB2312"/>
          <w:b/>
          <w:color w:val="auto"/>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pPr>
        <w:pStyle w:val="21"/>
        <w:tabs>
          <w:tab w:val="right" w:leader="dot" w:pos="9638"/>
        </w:tabs>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_Toc32145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_Toc32145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_Toc28168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_Toc28168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_Toc31610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_Toc31610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_Toc13779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_Toc13779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_Toc8495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_Toc8495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_Toc2199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_Toc2199 \h </w:instrText>
      </w:r>
      <w:r>
        <w:fldChar w:fldCharType="separate"/>
      </w:r>
      <w:r>
        <w:t>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_Toc11226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_Toc11226 \h </w:instrText>
      </w:r>
      <w:r>
        <w:fldChar w:fldCharType="separate"/>
      </w:r>
      <w:r>
        <w:t>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_Toc29651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_Toc29651 \h </w:instrText>
      </w:r>
      <w:r>
        <w:fldChar w:fldCharType="separate"/>
      </w:r>
      <w:r>
        <w:t>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_Toc3086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_Toc3086 \h </w:instrText>
      </w:r>
      <w:r>
        <w:fldChar w:fldCharType="separate"/>
      </w:r>
      <w:r>
        <w:t>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_Toc8853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_Toc8853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_Toc29259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_Toc29259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_Toc30331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_Toc30331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_Toc18530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_Toc18530 \h </w:instrText>
      </w:r>
      <w:r>
        <w:fldChar w:fldCharType="separate"/>
      </w:r>
      <w:r>
        <w:t>10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_Toc19962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_Toc19962 \h </w:instrText>
      </w:r>
      <w:r>
        <w:fldChar w:fldCharType="separate"/>
      </w:r>
      <w:r>
        <w:t>12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_Toc18233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_Toc18233 \h </w:instrText>
      </w:r>
      <w:r>
        <w:fldChar w:fldCharType="separate"/>
      </w:r>
      <w:r>
        <w:t>12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_Toc2459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_Toc2459 \h </w:instrText>
      </w:r>
      <w:r>
        <w:fldChar w:fldCharType="separate"/>
      </w:r>
      <w:r>
        <w:t>15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_Toc4997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_Toc4997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_Toc12359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_Toc12359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_Toc24942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_Toc24942 \h </w:instrText>
      </w:r>
      <w:r>
        <w:fldChar w:fldCharType="separate"/>
      </w:r>
      <w:r>
        <w:t>17</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_Toc21218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_Toc21218 \h </w:instrText>
      </w:r>
      <w:r>
        <w:fldChar w:fldCharType="separate"/>
      </w:r>
      <w:r>
        <w:t>18</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_Toc24124 </w:instrText>
      </w:r>
      <w:r>
        <w:rPr>
          <w:rFonts w:hint="eastAsia" w:ascii="仿宋_GB2312" w:hAnsi="宋体" w:eastAsia="仿宋_GB2312"/>
          <w:bCs w:val="0"/>
        </w:rPr>
        <w:fldChar w:fldCharType="separate"/>
      </w:r>
      <w:r>
        <w:rPr>
          <w:rFonts w:hint="eastAsia" w:ascii="仿宋" w:hAnsi="仿宋" w:eastAsia="仿宋" w:cs="仿宋"/>
          <w:bCs/>
          <w:szCs w:val="28"/>
        </w:rPr>
        <w:t>第四章 合同条款</w:t>
      </w:r>
      <w:r>
        <w:tab/>
      </w:r>
      <w:r>
        <w:fldChar w:fldCharType="begin"/>
      </w:r>
      <w:r>
        <w:instrText xml:space="preserve"> PAGEREF _Toc24124 \h </w:instrText>
      </w:r>
      <w:r>
        <w:fldChar w:fldCharType="separate"/>
      </w:r>
      <w:r>
        <w:t>20</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_Toc4541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_Toc4541 \h </w:instrText>
      </w:r>
      <w:r>
        <w:fldChar w:fldCharType="separate"/>
      </w:r>
      <w:r>
        <w:t>34</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_Toc22651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_Toc22651 \h </w:instrText>
      </w:r>
      <w:r>
        <w:fldChar w:fldCharType="separate"/>
      </w:r>
      <w:r>
        <w:t>35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_Toc31406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_Toc31406 \h </w:instrText>
      </w:r>
      <w:r>
        <w:fldChar w:fldCharType="separate"/>
      </w:r>
      <w:r>
        <w:t>36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_Toc8764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_Toc8764 \h </w:instrText>
      </w:r>
      <w:r>
        <w:fldChar w:fldCharType="separate"/>
      </w:r>
      <w:r>
        <w:t>37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_Toc27853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_Toc27853 \h </w:instrText>
      </w:r>
      <w:r>
        <w:fldChar w:fldCharType="separate"/>
      </w:r>
      <w:r>
        <w:t>38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_Toc18010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_Toc18010 \h </w:instrText>
      </w:r>
      <w:r>
        <w:fldChar w:fldCharType="separate"/>
      </w:r>
      <w:r>
        <w:t>39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_Toc22307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_Toc22307 \h </w:instrText>
      </w:r>
      <w:r>
        <w:fldChar w:fldCharType="separate"/>
      </w:r>
      <w:r>
        <w:t>40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_Toc12525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_Toc12525 \h </w:instrText>
      </w:r>
      <w:r>
        <w:fldChar w:fldCharType="separate"/>
      </w:r>
      <w:r>
        <w:t>47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_Toc4561 </w:instrText>
      </w:r>
      <w:r>
        <w:rPr>
          <w:rFonts w:hint="eastAsia" w:ascii="仿宋_GB2312" w:hAnsi="宋体" w:eastAsia="仿宋_GB2312"/>
          <w:bCs w:val="0"/>
        </w:rPr>
        <w:fldChar w:fldCharType="separate"/>
      </w:r>
      <w:r>
        <w:rPr>
          <w:rFonts w:hint="eastAsia" w:ascii="仿宋" w:hAnsi="仿宋" w:eastAsia="仿宋" w:cs="仿宋"/>
          <w:szCs w:val="24"/>
        </w:rPr>
        <w:t>（六）合同条款应答偏</w:t>
      </w:r>
      <w:r>
        <w:rPr>
          <w:rFonts w:ascii="仿宋" w:hAnsi="仿宋" w:eastAsia="仿宋" w:cs="仿宋"/>
          <w:szCs w:val="24"/>
        </w:rPr>
        <w:t>离表</w:t>
      </w:r>
      <w:r>
        <w:tab/>
      </w:r>
      <w:r>
        <w:fldChar w:fldCharType="begin"/>
      </w:r>
      <w:r>
        <w:instrText xml:space="preserve"> PAGEREF _Toc4561 \h </w:instrText>
      </w:r>
      <w:r>
        <w:fldChar w:fldCharType="separate"/>
      </w:r>
      <w:r>
        <w:t>48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_Toc11345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_Toc11345 \h </w:instrText>
      </w:r>
      <w:r>
        <w:fldChar w:fldCharType="separate"/>
      </w:r>
      <w:r>
        <w:t>49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_Toc19835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_Toc19835 \h </w:instrText>
      </w:r>
      <w:r>
        <w:fldChar w:fldCharType="separate"/>
      </w:r>
      <w:r>
        <w:t>51</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_Toc24429 </w:instrText>
      </w:r>
      <w:r>
        <w:rPr>
          <w:rFonts w:hint="eastAsia" w:ascii="仿宋_GB2312" w:hAnsi="宋体" w:eastAsia="仿宋_GB2312"/>
          <w:bCs w:val="0"/>
        </w:rPr>
        <w:fldChar w:fldCharType="separate"/>
      </w:r>
      <w:r>
        <w:rPr>
          <w:rFonts w:hint="eastAsia" w:ascii="仿宋" w:hAnsi="仿宋" w:eastAsia="仿宋" w:cs="宋体"/>
        </w:rPr>
        <w:t>（九）其他材料</w:t>
      </w:r>
      <w:r>
        <w:tab/>
      </w:r>
      <w:r>
        <w:fldChar w:fldCharType="begin"/>
      </w:r>
      <w:r>
        <w:instrText xml:space="preserve"> PAGEREF _Toc24429 \h </w:instrText>
      </w:r>
      <w:r>
        <w:fldChar w:fldCharType="separate"/>
      </w:r>
      <w:r>
        <w:t>54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_Toc13049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_Toc13049 \h </w:instrText>
      </w:r>
      <w:r>
        <w:fldChar w:fldCharType="separate"/>
      </w:r>
      <w:r>
        <w:t>55</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_Toc7961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_Toc7961 \h </w:instrText>
      </w:r>
      <w:r>
        <w:fldChar w:fldCharType="separate"/>
      </w:r>
      <w:r>
        <w:t>55</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_Toc23964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_Toc23964 \h </w:instrText>
      </w:r>
      <w:r>
        <w:fldChar w:fldCharType="separate"/>
      </w:r>
      <w:r>
        <w:t>56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_Toc13272 </w:instrText>
      </w:r>
      <w:r>
        <w:rPr>
          <w:rFonts w:hint="eastAsia" w:ascii="仿宋_GB2312" w:hAnsi="宋体" w:eastAsia="仿宋_GB2312"/>
          <w:bCs w:val="0"/>
        </w:rPr>
        <w:fldChar w:fldCharType="separate"/>
      </w:r>
      <w:r>
        <w:rPr>
          <w:rFonts w:hint="eastAsia" w:ascii="仿宋" w:hAnsi="仿宋" w:eastAsia="仿宋" w:cs="仿宋"/>
          <w:szCs w:val="24"/>
        </w:rPr>
        <w:t>（三） 其他材料</w:t>
      </w:r>
      <w:r>
        <w:tab/>
      </w:r>
      <w:r>
        <w:fldChar w:fldCharType="begin"/>
      </w:r>
      <w:r>
        <w:instrText xml:space="preserve"> PAGEREF _Toc13272 \h </w:instrText>
      </w:r>
      <w:r>
        <w:fldChar w:fldCharType="separate"/>
      </w:r>
      <w:r>
        <w:t>57</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_Toc27784 </w:instrText>
      </w:r>
      <w:r>
        <w:rPr>
          <w:rFonts w:hint="eastAsia" w:ascii="仿宋_GB2312" w:hAnsi="宋体" w:eastAsia="仿宋_GB2312"/>
          <w:bCs w:val="0"/>
        </w:rPr>
        <w:fldChar w:fldCharType="separate"/>
      </w:r>
      <w:r>
        <w:rPr>
          <w:rFonts w:hint="eastAsia" w:ascii="仿宋" w:hAnsi="仿宋" w:eastAsia="仿宋" w:cs="仿宋"/>
          <w:szCs w:val="24"/>
          <w:lang w:val="en-US" w:eastAsia="zh-CN"/>
        </w:rPr>
        <w:t>三</w:t>
      </w:r>
      <w:r>
        <w:rPr>
          <w:rFonts w:hint="eastAsia" w:ascii="仿宋" w:hAnsi="仿宋" w:eastAsia="仿宋" w:cs="仿宋"/>
          <w:szCs w:val="24"/>
        </w:rPr>
        <w:t>、</w:t>
      </w:r>
      <w:r>
        <w:rPr>
          <w:rFonts w:hint="eastAsia" w:ascii="仿宋" w:hAnsi="仿宋" w:eastAsia="仿宋" w:cs="仿宋"/>
          <w:szCs w:val="24"/>
          <w:lang w:val="en-US" w:eastAsia="zh-CN"/>
        </w:rPr>
        <w:t>报价</w:t>
      </w:r>
      <w:r>
        <w:rPr>
          <w:rFonts w:hint="eastAsia" w:ascii="仿宋" w:hAnsi="仿宋" w:eastAsia="仿宋" w:cs="仿宋"/>
          <w:szCs w:val="24"/>
        </w:rPr>
        <w:t>文件</w:t>
      </w:r>
      <w:r>
        <w:tab/>
      </w:r>
      <w:r>
        <w:fldChar w:fldCharType="begin"/>
      </w:r>
      <w:r>
        <w:instrText xml:space="preserve"> PAGEREF _Toc27784 \h </w:instrText>
      </w:r>
      <w:r>
        <w:fldChar w:fldCharType="separate"/>
      </w:r>
      <w:r>
        <w:t>58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_Toc32320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_Toc32320 \h </w:instrText>
      </w:r>
      <w:r>
        <w:fldChar w:fldCharType="separate"/>
      </w:r>
      <w:r>
        <w:t>58</w:t>
      </w:r>
      <w: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pgNumType w:fmt="decimal"/>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32145"/>
      <w:r>
        <w:rPr>
          <w:rFonts w:hint="eastAsia" w:ascii="仿宋_GB2312" w:hAnsi="宋体" w:eastAsia="仿宋_GB2312"/>
          <w:color w:val="auto"/>
          <w:sz w:val="28"/>
          <w:szCs w:val="28"/>
        </w:rPr>
        <w:t>第一章 比选邀请</w:t>
      </w:r>
      <w:bookmarkEnd w:id="0"/>
      <w:bookmarkEnd w:id="1"/>
    </w:p>
    <w:p>
      <w:pPr>
        <w:wordWrap w:val="0"/>
        <w:spacing w:line="360" w:lineRule="auto"/>
        <w:ind w:firstLine="480" w:firstLineChars="200"/>
        <w:textAlignment w:val="baseline"/>
        <w:rPr>
          <w:rFonts w:hint="eastAsia" w:ascii="仿宋" w:hAnsi="仿宋" w:eastAsia="仿宋" w:cs="仿宋"/>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lang w:eastAsia="zh-CN"/>
        </w:rPr>
        <w:t>人保财险四川省泸州市分公司车内视频宣传采购项目</w:t>
      </w:r>
      <w:r>
        <w:rPr>
          <w:rFonts w:hint="eastAsia" w:ascii="仿宋" w:hAnsi="仿宋" w:eastAsia="仿宋" w:cs="仿宋"/>
          <w:color w:val="auto"/>
        </w:rPr>
        <w:t>（采购项目编号：</w:t>
      </w:r>
    </w:p>
    <w:p>
      <w:pPr>
        <w:wordWrap w:val="0"/>
        <w:spacing w:line="360" w:lineRule="auto"/>
        <w:textAlignment w:val="baseline"/>
        <w:rPr>
          <w:rFonts w:ascii="仿宋" w:hAnsi="仿宋" w:eastAsia="仿宋" w:cs="Cambria Math"/>
          <w:color w:val="auto"/>
        </w:rPr>
      </w:pPr>
      <w:r>
        <w:rPr>
          <w:rFonts w:hint="eastAsia" w:ascii="仿宋" w:hAnsi="仿宋" w:eastAsia="仿宋" w:cs="仿宋"/>
          <w:color w:val="auto"/>
          <w:u w:val="single"/>
        </w:rPr>
        <w:t>XM26FSPC001927</w:t>
      </w:r>
      <w:r>
        <w:rPr>
          <w:rFonts w:hint="eastAsia" w:ascii="仿宋" w:hAnsi="仿宋" w:eastAsia="仿宋" w:cs="仿宋"/>
          <w:color w:val="auto"/>
        </w:rPr>
        <w:t>）由</w:t>
      </w:r>
      <w:r>
        <w:rPr>
          <w:rFonts w:hint="eastAsia" w:ascii="仿宋" w:hAnsi="仿宋" w:eastAsia="仿宋" w:cs="仿宋"/>
          <w:color w:val="auto"/>
          <w:u w:val="single"/>
        </w:rPr>
        <w:t>中国人民财产保险股份有限公司泸州市分公司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中国人民财产保险股份有限公司泸州市分公司</w:t>
      </w:r>
      <w:r>
        <w:rPr>
          <w:rFonts w:hint="eastAsia" w:ascii="仿宋" w:hAnsi="仿宋" w:eastAsia="仿宋" w:cs="宋体"/>
          <w:color w:val="auto"/>
        </w:rPr>
        <w:t>（以下简称“人保财险泸州市分公司”）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pPr>
        <w:pStyle w:val="4"/>
        <w:jc w:val="left"/>
        <w:rPr>
          <w:rFonts w:ascii="仿宋" w:hAnsi="仿宋" w:eastAsia="仿宋" w:cs="仿宋"/>
          <w:color w:val="auto"/>
          <w:sz w:val="24"/>
          <w:szCs w:val="24"/>
        </w:rPr>
      </w:pPr>
      <w:bookmarkStart w:id="2" w:name="_Toc21237"/>
      <w:bookmarkStart w:id="3" w:name="_Toc28168"/>
      <w:r>
        <w:rPr>
          <w:rFonts w:hint="eastAsia" w:ascii="仿宋" w:hAnsi="仿宋" w:eastAsia="仿宋" w:cs="仿宋"/>
          <w:color w:val="auto"/>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lang w:eastAsia="zh-CN"/>
        </w:rPr>
        <w:t>人保财险四川省泸州市分公司车内视频宣传采购项目</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1.2 采购范围：本项目拟采购一家有资质的公司负责</w:t>
      </w:r>
      <w:r>
        <w:rPr>
          <w:rFonts w:hint="eastAsia" w:ascii="仿宋" w:hAnsi="仿宋" w:eastAsia="仿宋" w:cs="仿宋"/>
          <w:color w:val="auto"/>
          <w:lang w:val="en-US" w:eastAsia="zh-CN"/>
        </w:rPr>
        <w:t>发布</w:t>
      </w:r>
      <w:r>
        <w:rPr>
          <w:rFonts w:hint="eastAsia" w:ascii="仿宋" w:hAnsi="仿宋" w:eastAsia="仿宋" w:cs="仿宋"/>
          <w:color w:val="auto"/>
        </w:rPr>
        <w:t>车险宣传视频，投放于泸州新时代运业部分车辆，投放</w:t>
      </w:r>
      <w:r>
        <w:rPr>
          <w:rFonts w:hint="eastAsia" w:ascii="仿宋" w:hAnsi="仿宋" w:eastAsia="仿宋" w:cs="仿宋"/>
          <w:color w:val="auto"/>
          <w:lang w:val="en-US" w:eastAsia="zh-CN"/>
        </w:rPr>
        <w:t>55</w:t>
      </w:r>
      <w:r>
        <w:rPr>
          <w:rFonts w:hint="eastAsia" w:ascii="仿宋" w:hAnsi="仿宋" w:eastAsia="仿宋" w:cs="仿宋"/>
          <w:color w:val="auto"/>
        </w:rPr>
        <w:t>辆营运客车，</w:t>
      </w:r>
      <w:r>
        <w:rPr>
          <w:rFonts w:hint="eastAsia" w:ascii="仿宋" w:hAnsi="仿宋" w:eastAsia="仿宋" w:cs="仿宋"/>
          <w:color w:val="auto"/>
          <w:lang w:val="en-US" w:eastAsia="zh-CN"/>
        </w:rPr>
        <w:t>每天播放不得低于60次</w:t>
      </w:r>
      <w:r>
        <w:rPr>
          <w:rFonts w:hint="eastAsia" w:ascii="仿宋" w:hAnsi="仿宋" w:eastAsia="仿宋" w:cs="仿宋"/>
          <w:color w:val="auto"/>
        </w:rPr>
        <w:t>，每次不低于20秒，投放时间3个月，具体技术要求详见第五章采购需求。</w:t>
      </w:r>
    </w:p>
    <w:p>
      <w:pPr>
        <w:adjustRightInd w:val="0"/>
        <w:snapToGrid w:val="0"/>
        <w:spacing w:line="360" w:lineRule="auto"/>
        <w:ind w:firstLine="480" w:firstLineChars="200"/>
        <w:rPr>
          <w:rFonts w:ascii="仿宋" w:hAnsi="仿宋" w:eastAsia="仿宋" w:cs="宋体"/>
          <w:color w:val="auto"/>
        </w:rPr>
      </w:pPr>
      <w:r>
        <w:rPr>
          <w:rFonts w:hint="eastAsia" w:ascii="仿宋" w:hAnsi="仿宋" w:eastAsia="仿宋" w:cs="仿宋"/>
          <w:color w:val="auto"/>
        </w:rPr>
        <w:t>1.3 标包划分：</w:t>
      </w:r>
      <w:r>
        <w:rPr>
          <w:rFonts w:hint="eastAsia" w:ascii="仿宋" w:hAnsi="仿宋" w:eastAsia="仿宋" w:cs="宋体"/>
          <w:color w:val="auto"/>
        </w:rPr>
        <w:t>本项目不划分标包，</w:t>
      </w:r>
    </w:p>
    <w:p>
      <w:pPr>
        <w:adjustRightInd w:val="0"/>
        <w:snapToGrid w:val="0"/>
        <w:spacing w:line="360" w:lineRule="auto"/>
        <w:ind w:firstLine="480" w:firstLineChars="20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3个月</w:t>
      </w:r>
      <w:r>
        <w:rPr>
          <w:rFonts w:hint="eastAsia" w:ascii="仿宋" w:hAnsi="仿宋" w:eastAsia="仿宋" w:cs="宋体"/>
          <w:color w:val="auto"/>
        </w:rPr>
        <w:t>。</w:t>
      </w:r>
    </w:p>
    <w:p>
      <w:pPr>
        <w:adjustRightInd w:val="0"/>
        <w:snapToGrid w:val="0"/>
        <w:spacing w:line="360" w:lineRule="auto"/>
        <w:ind w:firstLine="480" w:firstLineChars="20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w:t>
      </w:r>
      <w:r>
        <w:rPr>
          <w:rFonts w:hint="eastAsia" w:ascii="仿宋" w:hAnsi="仿宋" w:eastAsia="仿宋" w:cs="宋体"/>
          <w:color w:val="auto"/>
          <w:lang w:val="en-US" w:eastAsia="zh-CN"/>
        </w:rPr>
        <w:t>泸州市</w:t>
      </w:r>
      <w:r>
        <w:rPr>
          <w:rFonts w:hint="eastAsia" w:ascii="仿宋" w:hAnsi="仿宋" w:eastAsia="仿宋" w:cs="宋体"/>
          <w:color w:val="auto"/>
        </w:rPr>
        <w:t>。</w:t>
      </w:r>
    </w:p>
    <w:p>
      <w:pPr>
        <w:pStyle w:val="2"/>
        <w:rPr>
          <w:color w:val="auto"/>
        </w:rPr>
      </w:pPr>
      <w:r>
        <w:rPr>
          <w:rFonts w:hint="eastAsia"/>
          <w:color w:val="auto"/>
        </w:rPr>
        <w:t xml:space="preserve"> </w:t>
      </w:r>
      <w:r>
        <w:rPr>
          <w:color w:val="auto"/>
        </w:rPr>
        <w:t xml:space="preserve">   </w:t>
      </w:r>
      <w:r>
        <w:rPr>
          <w:rFonts w:ascii="仿宋" w:hAnsi="仿宋" w:eastAsia="仿宋" w:cs="仿宋"/>
          <w:color w:val="auto"/>
        </w:rPr>
        <w:t>1.7项目限价</w:t>
      </w:r>
      <w:r>
        <w:rPr>
          <w:rFonts w:hint="eastAsia" w:ascii="仿宋" w:hAnsi="仿宋" w:eastAsia="仿宋" w:cs="仿宋"/>
          <w:color w:val="auto"/>
        </w:rPr>
        <w:t>：</w:t>
      </w:r>
      <w:r>
        <w:rPr>
          <w:rFonts w:ascii="仿宋" w:hAnsi="仿宋" w:eastAsia="仿宋" w:cs="仿宋"/>
          <w:color w:val="auto"/>
        </w:rPr>
        <w:t>项目设置最高限价</w:t>
      </w:r>
      <w:r>
        <w:rPr>
          <w:rFonts w:hint="eastAsia" w:ascii="仿宋" w:hAnsi="仿宋" w:eastAsia="仿宋" w:cs="仿宋"/>
          <w:color w:val="auto"/>
        </w:rPr>
        <w:t>，</w:t>
      </w:r>
      <w:r>
        <w:rPr>
          <w:rFonts w:ascii="仿宋" w:hAnsi="仿宋" w:eastAsia="仿宋" w:cs="仿宋"/>
          <w:color w:val="auto"/>
        </w:rPr>
        <w:t>即供应商报价</w:t>
      </w:r>
      <w:r>
        <w:rPr>
          <w:rFonts w:hint="eastAsia" w:ascii="仿宋" w:hAnsi="仿宋" w:eastAsia="仿宋" w:cs="仿宋"/>
          <w:color w:val="auto"/>
          <w:lang w:val="en-US" w:eastAsia="zh-CN"/>
        </w:rPr>
        <w:t>总额</w:t>
      </w:r>
      <w:r>
        <w:rPr>
          <w:rFonts w:ascii="仿宋" w:hAnsi="仿宋" w:eastAsia="仿宋" w:cs="仿宋"/>
          <w:color w:val="auto"/>
        </w:rPr>
        <w:t>不得高于</w:t>
      </w:r>
      <w:r>
        <w:rPr>
          <w:rFonts w:hint="eastAsia" w:ascii="仿宋" w:hAnsi="仿宋" w:eastAsia="仿宋" w:cs="仿宋"/>
          <w:color w:val="auto"/>
          <w:lang w:val="en-US" w:eastAsia="zh-CN"/>
        </w:rPr>
        <w:t>49.5</w:t>
      </w:r>
      <w:r>
        <w:rPr>
          <w:rFonts w:ascii="仿宋" w:hAnsi="仿宋" w:eastAsia="仿宋" w:cs="仿宋"/>
          <w:color w:val="auto"/>
        </w:rPr>
        <w:t>万</w:t>
      </w:r>
      <w:r>
        <w:rPr>
          <w:rFonts w:hint="eastAsia" w:ascii="仿宋" w:hAnsi="仿宋" w:eastAsia="仿宋" w:cs="仿宋"/>
          <w:color w:val="auto"/>
        </w:rPr>
        <w:t>。</w:t>
      </w:r>
    </w:p>
    <w:p>
      <w:pPr>
        <w:pStyle w:val="4"/>
        <w:jc w:val="left"/>
        <w:rPr>
          <w:rFonts w:ascii="仿宋" w:hAnsi="仿宋" w:eastAsia="仿宋" w:cs="仿宋"/>
          <w:color w:val="auto"/>
          <w:sz w:val="24"/>
          <w:szCs w:val="24"/>
        </w:rPr>
      </w:pPr>
      <w:bookmarkStart w:id="4" w:name="_Toc17569"/>
      <w:bookmarkStart w:id="5" w:name="_Toc31610"/>
      <w:r>
        <w:rPr>
          <w:rFonts w:hint="eastAsia" w:ascii="仿宋" w:hAnsi="仿宋" w:eastAsia="仿宋" w:cs="仿宋"/>
          <w:color w:val="auto"/>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2</w:t>
      </w:r>
      <w:r>
        <w:rPr>
          <w:rFonts w:hint="eastAsia" w:ascii="仿宋" w:hAnsi="仿宋" w:eastAsia="仿宋" w:cs="宋体"/>
          <w:color w:val="auto"/>
        </w:rPr>
        <w:t xml:space="preserve">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w:t>
      </w:r>
      <w:r>
        <w:rPr>
          <w:rFonts w:ascii="仿宋" w:hAnsi="仿宋" w:eastAsia="仿宋" w:cs="宋体"/>
          <w:color w:val="auto"/>
        </w:rPr>
        <w:t>23</w:t>
      </w:r>
      <w:r>
        <w:rPr>
          <w:rFonts w:hint="eastAsia" w:ascii="仿宋" w:hAnsi="仿宋" w:eastAsia="仿宋" w:cs="宋体"/>
          <w:color w:val="auto"/>
        </w:rPr>
        <w:t>年1月1日至今）应具有</w:t>
      </w:r>
      <w:r>
        <w:rPr>
          <w:rFonts w:ascii="仿宋" w:hAnsi="仿宋" w:eastAsia="仿宋" w:cs="宋体"/>
          <w:color w:val="auto"/>
        </w:rPr>
        <w:t>1</w:t>
      </w:r>
      <w:r>
        <w:rPr>
          <w:rFonts w:hint="eastAsia" w:ascii="仿宋" w:hAnsi="仿宋" w:eastAsia="仿宋" w:cs="宋体"/>
          <w:color w:val="auto"/>
        </w:rPr>
        <w:t>个（含）以上同类项目实施案例，并提供符合上述要求的合同关键页作为有效的业绩证明材料。合同关键页包含但不限于合同首页、合同标的页、签署日期页及盖章页等。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b/>
          <w:bCs/>
          <w:color w:val="auto"/>
        </w:rPr>
        <w:t>供应商应经营状况良好，且近三年内（</w:t>
      </w:r>
      <w:r>
        <w:rPr>
          <w:rFonts w:ascii="仿宋" w:hAnsi="仿宋" w:eastAsia="仿宋" w:cs="宋体"/>
          <w:b/>
          <w:bCs/>
          <w:color w:val="auto"/>
        </w:rPr>
        <w:t>2023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2.</w:t>
      </w:r>
      <w:r>
        <w:rPr>
          <w:rFonts w:hint="eastAsia" w:ascii="仿宋" w:hAnsi="仿宋" w:eastAsia="仿宋" w:cs="宋体"/>
          <w:color w:val="auto"/>
          <w:lang w:val="en-US" w:eastAsia="zh-CN"/>
        </w:rPr>
        <w:t>4</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5</w:t>
      </w:r>
      <w:r>
        <w:rPr>
          <w:rFonts w:hint="eastAsia" w:ascii="仿宋" w:hAnsi="仿宋" w:eastAsia="仿宋" w:cs="宋体"/>
          <w:color w:val="auto"/>
        </w:rPr>
        <w:t>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6</w:t>
      </w:r>
      <w:r>
        <w:rPr>
          <w:rFonts w:hint="eastAsia" w:ascii="仿宋" w:hAnsi="仿宋" w:eastAsia="仿宋" w:cs="宋体"/>
          <w:color w:val="auto"/>
        </w:rPr>
        <w:t>本项目不接受联合体比选响应。提供承诺函，格式详见第六章响应文件格式。</w:t>
      </w:r>
    </w:p>
    <w:p>
      <w:pPr>
        <w:pStyle w:val="4"/>
        <w:spacing w:after="240"/>
        <w:jc w:val="left"/>
        <w:rPr>
          <w:rFonts w:ascii="仿宋" w:hAnsi="仿宋" w:eastAsia="仿宋" w:cs="仿宋"/>
          <w:color w:val="auto"/>
          <w:sz w:val="24"/>
          <w:szCs w:val="24"/>
        </w:rPr>
      </w:pPr>
      <w:bookmarkStart w:id="6" w:name="_Toc2019"/>
      <w:bookmarkStart w:id="7" w:name="_Toc13779"/>
      <w:r>
        <w:rPr>
          <w:rFonts w:hint="eastAsia" w:ascii="仿宋" w:hAnsi="仿宋" w:eastAsia="仿宋" w:cs="仿宋"/>
          <w:color w:val="auto"/>
          <w:sz w:val="24"/>
          <w:szCs w:val="24"/>
        </w:rPr>
        <w:t>三、比选文件的获取</w:t>
      </w:r>
      <w:bookmarkEnd w:id="6"/>
      <w:bookmarkEnd w:id="7"/>
    </w:p>
    <w:p>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18</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22</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17</w:t>
      </w:r>
      <w:r>
        <w:rPr>
          <w:rFonts w:hint="eastAsia" w:ascii="仿宋" w:hAnsi="仿宋" w:eastAsia="仿宋" w:cs="宋体"/>
          <w:color w:val="auto"/>
          <w:sz w:val="24"/>
          <w:szCs w:val="24"/>
        </w:rPr>
        <w:t>时（北京时间，下同）。</w:t>
      </w:r>
    </w:p>
    <w:p>
      <w:pPr>
        <w:pStyle w:val="11"/>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w:t>
      </w:r>
      <w:r>
        <w:rPr>
          <w:rFonts w:hint="eastAsia" w:ascii="仿宋" w:hAnsi="仿宋" w:eastAsia="仿宋" w:cs="宋体"/>
          <w:color w:val="auto"/>
          <w:sz w:val="24"/>
          <w:lang w:eastAsia="zh-CN"/>
        </w:rPr>
        <w:t>、金采网</w:t>
      </w:r>
      <w:r>
        <w:rPr>
          <w:rFonts w:hint="eastAsia" w:ascii="仿宋" w:hAnsi="仿宋" w:eastAsia="仿宋" w:cs="宋体"/>
          <w:color w:val="auto"/>
          <w:sz w:val="24"/>
        </w:rPr>
        <w:t>外网门户获取比选文件</w:t>
      </w:r>
      <w:r>
        <w:rPr>
          <w:rFonts w:hint="eastAsia" w:ascii="仿宋" w:hAnsi="仿宋" w:eastAsia="仿宋" w:cs="仿宋_GB2312"/>
          <w:color w:val="auto"/>
          <w:sz w:val="24"/>
          <w:szCs w:val="24"/>
        </w:rPr>
        <w:t>。</w:t>
      </w:r>
    </w:p>
    <w:p>
      <w:pPr>
        <w:pStyle w:val="4"/>
        <w:jc w:val="left"/>
        <w:rPr>
          <w:rFonts w:ascii="仿宋" w:hAnsi="仿宋" w:eastAsia="仿宋" w:cs="仿宋"/>
          <w:color w:val="auto"/>
          <w:sz w:val="24"/>
          <w:szCs w:val="24"/>
        </w:rPr>
      </w:pPr>
      <w:bookmarkStart w:id="8" w:name="_Toc32115"/>
      <w:bookmarkStart w:id="9" w:name="_Toc8495"/>
      <w:r>
        <w:rPr>
          <w:rFonts w:hint="eastAsia" w:ascii="仿宋" w:hAnsi="仿宋" w:eastAsia="仿宋" w:cs="仿宋"/>
          <w:color w:val="auto"/>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6</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10</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.2响应文件的递交：须现场递交/邮寄（泸州市江阳区江阳西路段163号1栋保险大厦901办公室），</w:t>
      </w:r>
      <w:r>
        <w:rPr>
          <w:rFonts w:hint="eastAsia" w:ascii="仿宋" w:hAnsi="仿宋" w:eastAsia="仿宋" w:cs="宋体"/>
          <w:b/>
          <w:bCs/>
          <w:color w:val="auto"/>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.3本项目将于上述同一时间、地点进行比选，采购人邀请供应商代表准时参加。</w:t>
      </w:r>
    </w:p>
    <w:p>
      <w:pPr>
        <w:spacing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未按照比选邀请要求获取比选文件的。</w:t>
      </w:r>
    </w:p>
    <w:p>
      <w:pPr>
        <w:pStyle w:val="4"/>
        <w:jc w:val="left"/>
        <w:rPr>
          <w:rFonts w:ascii="仿宋" w:hAnsi="仿宋" w:eastAsia="仿宋" w:cs="仿宋"/>
          <w:color w:val="auto"/>
          <w:sz w:val="24"/>
          <w:szCs w:val="24"/>
        </w:rPr>
      </w:pPr>
      <w:bookmarkStart w:id="10" w:name="_Toc2199"/>
      <w:bookmarkStart w:id="11" w:name="_Toc874"/>
      <w:r>
        <w:rPr>
          <w:rFonts w:hint="eastAsia" w:ascii="仿宋" w:hAnsi="仿宋" w:eastAsia="仿宋" w:cs="仿宋"/>
          <w:color w:val="auto"/>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bookmarkStart w:id="207" w:name="_GoBack"/>
      <w:bookmarkEnd w:id="207"/>
    </w:p>
    <w:p>
      <w:pPr>
        <w:pStyle w:val="4"/>
        <w:jc w:val="left"/>
        <w:rPr>
          <w:rFonts w:ascii="仿宋" w:hAnsi="仿宋" w:eastAsia="仿宋" w:cs="仿宋"/>
          <w:color w:val="auto"/>
          <w:sz w:val="24"/>
          <w:szCs w:val="24"/>
        </w:rPr>
      </w:pPr>
      <w:bookmarkStart w:id="12" w:name="_Toc11226"/>
      <w:bookmarkStart w:id="13" w:name="_Toc30596"/>
      <w:r>
        <w:rPr>
          <w:rFonts w:hint="eastAsia" w:ascii="仿宋" w:hAnsi="仿宋" w:eastAsia="仿宋" w:cs="仿宋"/>
          <w:color w:val="auto"/>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hint="eastAsia" w:ascii="仿宋" w:hAnsi="仿宋" w:eastAsia="仿宋" w:cs="仿宋"/>
          <w:b/>
          <w:bCs/>
          <w:color w:val="auto"/>
          <w:lang w:eastAsia="zh-CN"/>
        </w:rPr>
      </w:pPr>
      <w:r>
        <w:rPr>
          <w:rFonts w:hint="eastAsia" w:ascii="仿宋" w:hAnsi="仿宋" w:eastAsia="仿宋" w:cs="仿宋"/>
          <w:b/>
          <w:bCs/>
          <w:color w:val="auto"/>
        </w:rPr>
        <w:t>采购人：</w:t>
      </w:r>
      <w:r>
        <w:rPr>
          <w:rFonts w:hint="eastAsia" w:ascii="仿宋" w:hAnsi="仿宋" w:eastAsia="仿宋" w:cs="仿宋"/>
          <w:b/>
          <w:bCs/>
          <w:color w:val="auto"/>
          <w:lang w:eastAsia="zh-CN"/>
        </w:rPr>
        <w:t>中国人民财产保险股份有限公司泸州市分公司</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地址：</w:t>
      </w:r>
      <w:r>
        <w:rPr>
          <w:rFonts w:hint="eastAsia" w:ascii="仿宋" w:hAnsi="仿宋" w:eastAsia="仿宋" w:cs="宋体"/>
          <w:color w:val="auto"/>
          <w:lang w:eastAsia="zh-CN"/>
        </w:rPr>
        <w:t>泸州市江阳区江阳西路段163号1栋保险大厦901办公室</w:t>
      </w:r>
      <w:r>
        <w:rPr>
          <w:rFonts w:ascii="仿宋" w:hAnsi="仿宋" w:eastAsia="仿宋" w:cs="宋体"/>
          <w:color w:val="auto"/>
        </w:rPr>
        <w:t xml:space="preserve"> </w:t>
      </w:r>
    </w:p>
    <w:p>
      <w:pPr>
        <w:spacing w:line="360" w:lineRule="auto"/>
        <w:ind w:firstLine="420" w:firstLineChars="175"/>
        <w:rPr>
          <w:rFonts w:hint="eastAsia" w:ascii="仿宋" w:hAnsi="仿宋" w:eastAsia="仿宋" w:cs="仿宋"/>
          <w:color w:val="auto"/>
          <w:lang w:eastAsia="zh-CN"/>
        </w:rPr>
      </w:pPr>
      <w:r>
        <w:rPr>
          <w:rFonts w:hint="eastAsia" w:ascii="仿宋" w:hAnsi="仿宋" w:eastAsia="仿宋" w:cs="宋体"/>
          <w:color w:val="auto"/>
        </w:rPr>
        <w:t>联系人：</w:t>
      </w:r>
      <w:r>
        <w:rPr>
          <w:rFonts w:hint="eastAsia" w:ascii="仿宋" w:hAnsi="仿宋" w:eastAsia="仿宋" w:cs="宋体"/>
          <w:color w:val="auto"/>
          <w:lang w:eastAsia="zh-CN"/>
        </w:rPr>
        <w:t>牟艳</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电话：0830-3129155</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电子邮件：mouyan@sic.picc.com.cn</w:t>
      </w:r>
    </w:p>
    <w:p>
      <w:pPr>
        <w:spacing w:line="360" w:lineRule="auto"/>
        <w:ind w:firstLine="480" w:firstLineChars="200"/>
        <w:jc w:val="right"/>
        <w:textAlignment w:val="baseline"/>
        <w:rPr>
          <w:rFonts w:ascii="仿宋" w:hAnsi="仿宋" w:eastAsia="仿宋" w:cs="宋体"/>
          <w:color w:val="auto"/>
        </w:rPr>
      </w:pPr>
    </w:p>
    <w:p>
      <w:pPr>
        <w:pStyle w:val="2"/>
        <w:rPr>
          <w:rFonts w:ascii="仿宋" w:hAnsi="仿宋" w:eastAsia="仿宋" w:cs="宋体"/>
          <w:color w:val="auto"/>
        </w:rPr>
      </w:pPr>
    </w:p>
    <w:p>
      <w:pPr>
        <w:pStyle w:val="2"/>
        <w:rPr>
          <w:rFonts w:ascii="仿宋" w:hAnsi="仿宋" w:eastAsia="仿宋" w:cs="宋体"/>
          <w:color w:val="auto"/>
        </w:rPr>
      </w:pPr>
    </w:p>
    <w:p>
      <w:pPr>
        <w:pStyle w:val="2"/>
        <w:rPr>
          <w:rFonts w:ascii="仿宋" w:hAnsi="仿宋" w:eastAsia="仿宋" w:cs="宋体"/>
          <w:color w:val="auto"/>
        </w:rPr>
      </w:pPr>
    </w:p>
    <w:p>
      <w:pPr>
        <w:pStyle w:val="2"/>
        <w:rPr>
          <w:rFonts w:ascii="仿宋" w:hAnsi="仿宋" w:eastAsia="仿宋" w:cs="宋体"/>
          <w:color w:val="auto"/>
        </w:rPr>
      </w:pPr>
    </w:p>
    <w:p>
      <w:pPr>
        <w:spacing w:line="360" w:lineRule="auto"/>
        <w:ind w:firstLine="480" w:firstLineChars="200"/>
        <w:jc w:val="right"/>
        <w:textAlignment w:val="baseline"/>
        <w:rPr>
          <w:rFonts w:hint="eastAsia" w:ascii="仿宋" w:hAnsi="仿宋" w:eastAsia="仿宋" w:cs="宋体"/>
          <w:color w:val="auto"/>
          <w:lang w:eastAsia="zh-CN"/>
        </w:rPr>
      </w:pPr>
      <w:r>
        <w:rPr>
          <w:rFonts w:hint="eastAsia" w:ascii="仿宋" w:hAnsi="仿宋" w:eastAsia="仿宋" w:cs="宋体"/>
          <w:color w:val="auto"/>
        </w:rPr>
        <w:t>采购人：</w:t>
      </w:r>
      <w:r>
        <w:rPr>
          <w:rFonts w:hint="eastAsia" w:ascii="仿宋" w:hAnsi="仿宋" w:eastAsia="仿宋" w:cs="宋体"/>
          <w:color w:val="auto"/>
          <w:lang w:eastAsia="zh-CN"/>
        </w:rPr>
        <w:t>中国人民财产保险股份有限公司泸州市分公司</w:t>
      </w:r>
    </w:p>
    <w:p>
      <w:pPr>
        <w:spacing w:line="360" w:lineRule="auto"/>
        <w:jc w:val="right"/>
        <w:rPr>
          <w:rFonts w:hint="eastAsia" w:ascii="楷体" w:hAnsi="楷体" w:eastAsia="楷体" w:cs="仿宋_GB2312"/>
          <w:i/>
          <w:color w:val="auto"/>
          <w:szCs w:val="32"/>
          <w:lang w:eastAsia="zh-CN"/>
        </w:rPr>
      </w:pPr>
      <w:r>
        <w:rPr>
          <w:rFonts w:hint="eastAsia" w:ascii="仿宋" w:hAnsi="仿宋" w:eastAsia="仿宋" w:cs="宋体"/>
          <w:color w:val="auto"/>
          <w:lang w:eastAsia="zh-CN"/>
        </w:rPr>
        <w:t>2026年</w:t>
      </w:r>
      <w:r>
        <w:rPr>
          <w:rFonts w:hint="eastAsia" w:ascii="仿宋" w:hAnsi="仿宋" w:eastAsia="仿宋" w:cs="宋体"/>
          <w:color w:val="auto"/>
          <w:lang w:val="en-US" w:eastAsia="zh-CN"/>
        </w:rPr>
        <w:t>6</w:t>
      </w:r>
      <w:r>
        <w:rPr>
          <w:rFonts w:hint="eastAsia" w:ascii="仿宋" w:hAnsi="仿宋" w:eastAsia="仿宋" w:cs="宋体"/>
          <w:color w:val="auto"/>
          <w:lang w:eastAsia="zh-CN"/>
        </w:rPr>
        <w:t>月</w:t>
      </w:r>
      <w:r>
        <w:rPr>
          <w:rFonts w:hint="eastAsia" w:ascii="仿宋" w:hAnsi="仿宋" w:eastAsia="仿宋" w:cs="宋体"/>
          <w:color w:val="auto"/>
          <w:lang w:val="en-US" w:eastAsia="zh-CN"/>
        </w:rPr>
        <w:t>17</w:t>
      </w:r>
      <w:r>
        <w:rPr>
          <w:rFonts w:hint="eastAsia" w:ascii="仿宋" w:hAnsi="仿宋" w:eastAsia="仿宋" w:cs="宋体"/>
          <w:color w:val="auto"/>
          <w:lang w:eastAsia="zh-CN"/>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14" w:name="_Toc29651"/>
      <w:bookmarkStart w:id="15" w:name="_Toc16027"/>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color w:val="auto"/>
          <w:sz w:val="24"/>
          <w:szCs w:val="24"/>
        </w:rPr>
      </w:pPr>
      <w:bookmarkStart w:id="16" w:name="_Toc3086"/>
      <w:r>
        <w:rPr>
          <w:rFonts w:hint="eastAsia" w:ascii="仿宋" w:hAnsi="仿宋" w:eastAsia="仿宋" w:cs="仿宋"/>
          <w:color w:val="auto"/>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vAlign w:val="center"/>
          </w:tcPr>
          <w:p>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vAlign w:val="center"/>
          </w:tcPr>
          <w:p>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199" w:type="dxa"/>
            <w:vAlign w:val="center"/>
          </w:tcPr>
          <w:p>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pPr>
              <w:pStyle w:val="66"/>
              <w:spacing w:before="65" w:beforeLines="20" w:after="65"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61"/>
              <w:spacing w:before="65" w:beforeLines="20" w:after="65"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pPr>
              <w:autoSpaceDE w:val="0"/>
              <w:autoSpaceDN w:val="0"/>
              <w:rPr>
                <w:color w:val="auto"/>
              </w:rPr>
            </w:pPr>
            <w:r>
              <w:rPr>
                <w:rFonts w:hint="eastAsia" w:ascii="仿宋" w:hAnsi="仿宋" w:eastAsia="仿宋" w:cs="仿宋"/>
                <w:b/>
                <w:color w:val="auto"/>
                <w:szCs w:val="21"/>
              </w:rPr>
              <w:t>详细评审索引表</w:t>
            </w:r>
          </w:p>
          <w:p>
            <w:pPr>
              <w:pStyle w:val="61"/>
              <w:spacing w:before="65" w:beforeLines="20" w:after="65" w:afterLines="20"/>
              <w:rPr>
                <w:rFonts w:ascii="仿宋" w:hAnsi="仿宋" w:eastAsia="仿宋" w:cs="仿宋"/>
                <w:color w:val="auto"/>
              </w:rPr>
            </w:pPr>
            <w:r>
              <w:rPr>
                <w:rFonts w:hint="eastAsia" w:ascii="仿宋" w:hAnsi="仿宋" w:eastAsia="仿宋" w:cs="仿宋"/>
                <w:color w:val="auto"/>
              </w:rPr>
              <w:t>（一）响应函</w:t>
            </w:r>
          </w:p>
          <w:p>
            <w:pPr>
              <w:pStyle w:val="66"/>
              <w:spacing w:before="65" w:beforeLines="20" w:after="65"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66"/>
              <w:spacing w:before="65" w:beforeLines="20" w:after="65"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61"/>
              <w:spacing w:before="65" w:beforeLines="20" w:after="65" w:afterLines="20"/>
              <w:rPr>
                <w:rFonts w:ascii="仿宋" w:hAnsi="仿宋" w:eastAsia="仿宋" w:cs="仿宋"/>
                <w:color w:val="auto"/>
              </w:rPr>
            </w:pPr>
            <w:r>
              <w:rPr>
                <w:rFonts w:hint="eastAsia" w:ascii="仿宋" w:hAnsi="仿宋" w:eastAsia="仿宋" w:cs="仿宋"/>
                <w:color w:val="auto"/>
              </w:rPr>
              <w:t>（四）资格证明文件</w:t>
            </w:r>
          </w:p>
          <w:p>
            <w:pPr>
              <w:pStyle w:val="66"/>
              <w:spacing w:before="65" w:beforeLines="20" w:after="65"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pPr>
              <w:pStyle w:val="61"/>
              <w:spacing w:before="65" w:beforeLines="20" w:after="65" w:afterLines="20"/>
              <w:rPr>
                <w:rFonts w:ascii="仿宋" w:hAnsi="仿宋" w:eastAsia="仿宋" w:cs="仿宋"/>
                <w:color w:val="auto"/>
              </w:rPr>
            </w:pPr>
            <w:r>
              <w:rPr>
                <w:rFonts w:hint="eastAsia" w:ascii="仿宋" w:hAnsi="仿宋" w:eastAsia="仿宋" w:cs="仿宋"/>
                <w:color w:val="auto"/>
              </w:rPr>
              <w:t>（六）合同条款应答偏离表</w:t>
            </w:r>
          </w:p>
          <w:p>
            <w:pPr>
              <w:pStyle w:val="61"/>
              <w:spacing w:before="65" w:beforeLines="20" w:after="65" w:afterLines="20"/>
              <w:rPr>
                <w:rFonts w:ascii="仿宋" w:hAnsi="仿宋" w:eastAsia="仿宋" w:cs="仿宋"/>
                <w:color w:val="auto"/>
              </w:rPr>
            </w:pPr>
            <w:r>
              <w:rPr>
                <w:rFonts w:hint="eastAsia" w:ascii="仿宋" w:hAnsi="仿宋" w:eastAsia="仿宋" w:cs="仿宋"/>
                <w:color w:val="auto"/>
              </w:rPr>
              <w:t>（七）供应商行为准则承诺书</w:t>
            </w:r>
          </w:p>
          <w:p>
            <w:pPr>
              <w:pStyle w:val="61"/>
              <w:spacing w:before="65" w:beforeLines="20" w:after="65" w:afterLines="20"/>
              <w:rPr>
                <w:rFonts w:ascii="仿宋" w:hAnsi="仿宋" w:eastAsia="仿宋" w:cs="仿宋"/>
                <w:color w:val="auto"/>
              </w:rPr>
            </w:pPr>
            <w:r>
              <w:rPr>
                <w:rFonts w:hint="eastAsia" w:ascii="仿宋" w:hAnsi="仿宋" w:eastAsia="仿宋"/>
                <w:color w:val="auto"/>
              </w:rPr>
              <w:t>（八）供应商廉洁诚信承诺书</w:t>
            </w:r>
          </w:p>
          <w:p>
            <w:pPr>
              <w:pStyle w:val="61"/>
              <w:spacing w:before="65" w:beforeLines="20" w:after="65" w:afterLines="20"/>
              <w:rPr>
                <w:rFonts w:ascii="仿宋" w:hAnsi="仿宋" w:eastAsia="仿宋" w:cs="仿宋"/>
                <w:color w:val="auto"/>
              </w:rPr>
            </w:pPr>
            <w:r>
              <w:rPr>
                <w:rFonts w:hint="eastAsia" w:ascii="仿宋" w:hAnsi="仿宋" w:eastAsia="仿宋" w:cs="仿宋"/>
                <w:color w:val="auto"/>
              </w:rPr>
              <w:t>（九）其他材料</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二、技术文件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详细评审索引表</w:t>
            </w:r>
          </w:p>
          <w:p>
            <w:pPr>
              <w:autoSpaceDE w:val="0"/>
              <w:autoSpaceDN w:val="0"/>
              <w:rPr>
                <w:rFonts w:ascii="仿宋" w:hAnsi="仿宋" w:eastAsia="仿宋" w:cs="仿宋"/>
                <w:bCs/>
                <w:color w:val="auto"/>
                <w:szCs w:val="21"/>
              </w:rPr>
            </w:pPr>
            <w:r>
              <w:rPr>
                <w:rFonts w:hint="eastAsia" w:ascii="仿宋" w:hAnsi="仿宋" w:eastAsia="仿宋" w:cs="仿宋"/>
                <w:bCs/>
                <w:color w:val="auto"/>
                <w:szCs w:val="21"/>
              </w:rPr>
              <w:t>（一）采购需求应答偏离表</w:t>
            </w:r>
          </w:p>
          <w:p>
            <w:pPr>
              <w:pStyle w:val="61"/>
              <w:spacing w:before="65" w:beforeLines="20" w:after="65" w:afterLines="20"/>
              <w:rPr>
                <w:rFonts w:ascii="仿宋" w:hAnsi="仿宋" w:eastAsia="仿宋" w:cs="仿宋"/>
                <w:color w:val="auto"/>
              </w:rPr>
            </w:pPr>
            <w:r>
              <w:rPr>
                <w:rFonts w:hint="eastAsia" w:ascii="仿宋" w:hAnsi="仿宋" w:eastAsia="仿宋" w:cs="仿宋"/>
                <w:color w:val="auto"/>
              </w:rPr>
              <w:t>（二）技术方案</w:t>
            </w:r>
          </w:p>
          <w:p>
            <w:pPr>
              <w:pStyle w:val="61"/>
              <w:spacing w:before="65" w:beforeLines="20" w:after="65" w:afterLines="20"/>
              <w:rPr>
                <w:rFonts w:ascii="仿宋" w:hAnsi="仿宋" w:eastAsia="仿宋" w:cs="仿宋"/>
                <w:color w:val="auto"/>
              </w:rPr>
            </w:pPr>
            <w:r>
              <w:rPr>
                <w:rFonts w:hint="eastAsia" w:ascii="仿宋" w:hAnsi="仿宋" w:eastAsia="仿宋" w:cs="仿宋"/>
                <w:color w:val="auto"/>
              </w:rPr>
              <w:t>（三）其他材料</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pPr>
              <w:pStyle w:val="61"/>
              <w:spacing w:before="65" w:beforeLines="20" w:after="65" w:afterLines="20"/>
              <w:rPr>
                <w:rFonts w:ascii="仿宋" w:hAnsi="仿宋" w:eastAsia="仿宋" w:cs="Cambria Math"/>
                <w:color w:val="auto"/>
                <w:u w:val="single"/>
              </w:rPr>
            </w:pPr>
            <w:r>
              <w:rPr>
                <w:rFonts w:hint="eastAsia" w:ascii="仿宋" w:hAnsi="仿宋" w:eastAsia="仿宋" w:cs="仿宋"/>
                <w:color w:val="auto"/>
              </w:rPr>
              <w:t>（一）报价一览表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pPr>
              <w:pStyle w:val="66"/>
              <w:spacing w:before="65" w:beforeLines="20" w:after="65" w:afterLines="2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vAlign w:val="center"/>
          </w:tcPr>
          <w:p>
            <w:pPr>
              <w:pStyle w:val="68"/>
              <w:topLinePunct/>
              <w:spacing w:before="65" w:beforeLines="20" w:after="65"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68"/>
              <w:topLinePunct/>
              <w:spacing w:before="65" w:beforeLines="20" w:after="65"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68"/>
              <w:topLinePunct/>
              <w:spacing w:before="65" w:beforeLines="20" w:after="65"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66"/>
              <w:spacing w:before="65" w:beforeLines="20" w:after="65" w:afterLines="2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ascii="仿宋" w:hAnsi="仿宋" w:eastAsia="仿宋" w:cs="仿宋"/>
                <w:color w:val="auto"/>
                <w:u w:val="single"/>
                <w:lang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_GB2312" w:eastAsia="仿宋_GB2312"/>
                <w:color w:val="auto"/>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电子文件</w:t>
            </w:r>
            <w:r>
              <w:rPr>
                <w:rFonts w:hint="eastAsia" w:ascii="仿宋" w:hAnsi="仿宋" w:eastAsia="仿宋"/>
                <w:color w:val="auto"/>
                <w:sz w:val="21"/>
                <w:szCs w:val="21"/>
                <w:u w:val="single"/>
                <w:lang w:eastAsia="zh-CN"/>
              </w:rPr>
              <w:t>1</w:t>
            </w:r>
            <w:r>
              <w:rPr>
                <w:rFonts w:hint="eastAsia" w:ascii="仿宋" w:hAnsi="仿宋" w:eastAsia="仿宋"/>
                <w:color w:val="auto"/>
                <w:sz w:val="21"/>
                <w:szCs w:val="21"/>
                <w:lang w:eastAsia="zh-CN"/>
              </w:rPr>
              <w:t>份（U盘，注：电子文档内容应包括投标文件所有内容，签字盖章后的PDF扫描版文件）；纸质文件正本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1</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199" w:type="dxa"/>
            <w:vAlign w:val="center"/>
          </w:tcPr>
          <w:p>
            <w:pPr>
              <w:pStyle w:val="61"/>
              <w:spacing w:before="65" w:beforeLines="20" w:after="65"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2）比选小组</w:t>
            </w:r>
            <w:r>
              <w:rPr>
                <w:rFonts w:hint="eastAsia" w:ascii="仿宋" w:hAnsi="仿宋" w:eastAsia="仿宋" w:cs="仿宋"/>
                <w:color w:val="auto"/>
                <w:lang w:val="en-US" w:eastAsia="zh-CN"/>
              </w:rPr>
              <w:t>要求供应商两轮报价</w:t>
            </w:r>
            <w:r>
              <w:rPr>
                <w:rFonts w:hint="eastAsia" w:ascii="仿宋" w:hAnsi="仿宋" w:eastAsia="仿宋" w:cs="仿宋"/>
                <w:color w:val="auto"/>
                <w:lang w:eastAsia="zh-CN"/>
              </w:rPr>
              <w:t>，供应商</w:t>
            </w:r>
            <w:r>
              <w:rPr>
                <w:rFonts w:hint="eastAsia" w:ascii="仿宋" w:hAnsi="仿宋" w:eastAsia="仿宋" w:cs="仿宋"/>
                <w:color w:val="auto"/>
                <w:u w:val="single"/>
                <w:lang w:eastAsia="zh-CN"/>
              </w:rPr>
              <w:t>最后一轮比选提交的报价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vAlign w:val="center"/>
          </w:tcPr>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pPr>
              <w:rPr>
                <w:rFonts w:ascii="仿宋" w:hAnsi="仿宋" w:eastAsia="仿宋"/>
                <w:color w:val="auto"/>
                <w:sz w:val="22"/>
              </w:rPr>
            </w:pPr>
            <w:r>
              <w:rPr>
                <w:rFonts w:hint="eastAsia" w:ascii="仿宋" w:hAnsi="仿宋" w:eastAsia="仿宋" w:cs="Cambria Math"/>
                <w:color w:val="auto"/>
                <w:sz w:val="22"/>
                <w:szCs w:val="21"/>
              </w:rPr>
              <w:t>（2）外层包封具体样式如下：</w:t>
            </w:r>
          </w:p>
          <w:p>
            <w:pPr>
              <w:pStyle w:val="37"/>
              <w:snapToGrid w:val="0"/>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本项目比选小组成员人数为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szCs w:val="21"/>
              </w:rPr>
            </w:pPr>
            <w:r>
              <w:rPr>
                <w:rFonts w:hint="eastAsia" w:ascii="仿宋" w:hAnsi="仿宋" w:eastAsia="仿宋" w:cs="仿宋"/>
                <w:color w:val="auto"/>
                <w:szCs w:val="21"/>
              </w:rPr>
              <w:t>比选程序</w:t>
            </w:r>
          </w:p>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及方式</w:t>
            </w:r>
          </w:p>
        </w:tc>
        <w:tc>
          <w:tcPr>
            <w:tcW w:w="7199" w:type="dxa"/>
            <w:vAlign w:val="center"/>
          </w:tcPr>
          <w:p>
            <w:pPr>
              <w:pStyle w:val="61"/>
              <w:spacing w:before="65" w:beforeLines="20" w:after="65"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（1）比选小组将与通过初步评审的有效供应商按照</w:t>
            </w:r>
            <w:r>
              <w:rPr>
                <w:rFonts w:hint="eastAsia" w:ascii="仿宋" w:hAnsi="仿宋" w:eastAsia="仿宋" w:cs="仿宋"/>
                <w:color w:val="auto"/>
                <w:sz w:val="22"/>
                <w:szCs w:val="22"/>
                <w:u w:val="single"/>
              </w:rPr>
              <w:t>供应商随机抽取顺序</w:t>
            </w:r>
            <w:r>
              <w:rPr>
                <w:rFonts w:hint="eastAsia" w:ascii="仿宋" w:hAnsi="仿宋" w:eastAsia="仿宋" w:cs="仿宋"/>
                <w:color w:val="auto"/>
                <w:sz w:val="22"/>
                <w:szCs w:val="22"/>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auto"/>
              </w:rPr>
            </w:pPr>
            <w:r>
              <w:rPr>
                <w:rFonts w:hint="eastAsia" w:ascii="仿宋" w:hAnsi="仿宋" w:eastAsia="仿宋" w:cs="仿宋"/>
                <w:color w:val="auto"/>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报价、对采购需求的理解、技术方案、实施方案、人员配置、服务承诺、商务条款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rPr>
            </w:pPr>
            <w:r>
              <w:rPr>
                <w:rFonts w:hint="eastAsia" w:ascii="仿宋" w:hAnsi="仿宋" w:eastAsia="仿宋" w:cs="仿宋"/>
                <w:color w:val="auto"/>
              </w:rPr>
              <w:t>成交候选人</w:t>
            </w:r>
          </w:p>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技术</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61"/>
              <w:spacing w:before="65" w:beforeLines="20" w:after="65" w:afterLines="20"/>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auto"/>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不按照比选文件要求提交履约保证金</w:t>
            </w:r>
            <w:r>
              <w:rPr>
                <w:rFonts w:hint="eastAsia" w:ascii="仿宋" w:hAnsi="仿宋" w:eastAsia="仿宋" w:cs="仿宋"/>
                <w:color w:val="auto"/>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1"/>
              <w:spacing w:before="65" w:beforeLines="20" w:after="65" w:afterLines="20"/>
              <w:rPr>
                <w:rFonts w:ascii="仿宋" w:hAnsi="仿宋" w:eastAsia="仿宋" w:cs="仿宋"/>
                <w:color w:val="auto"/>
              </w:rPr>
            </w:pP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_GB2312" w:hAnsi="宋体" w:eastAsia="仿宋_GB2312"/>
                <w:color w:val="auto"/>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rPr>
              <w:t>泸州市</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实际合同签署人为采购人</w:t>
            </w:r>
            <w:r>
              <w:rPr>
                <w:rFonts w:hint="eastAsia" w:ascii="仿宋" w:hAnsi="仿宋" w:eastAsia="仿宋" w:cs="仿宋"/>
                <w:color w:val="auto"/>
                <w:sz w:val="22"/>
              </w:rPr>
              <w:t>。</w:t>
            </w:r>
          </w:p>
        </w:tc>
      </w:tr>
    </w:tbl>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4"/>
        <w:jc w:val="left"/>
        <w:rPr>
          <w:rFonts w:ascii="仿宋" w:hAnsi="仿宋" w:eastAsia="仿宋" w:cs="仿宋"/>
          <w:color w:val="auto"/>
          <w:sz w:val="24"/>
          <w:szCs w:val="24"/>
        </w:rPr>
      </w:pPr>
      <w:bookmarkStart w:id="17" w:name="_Toc444891336"/>
      <w:bookmarkStart w:id="18" w:name="_Toc20514"/>
      <w:bookmarkStart w:id="19" w:name="_Toc11071"/>
      <w:bookmarkStart w:id="20" w:name="_Toc6047"/>
      <w:bookmarkStart w:id="21" w:name="_Toc517281816"/>
      <w:bookmarkStart w:id="22" w:name="_Toc287600118"/>
      <w:bookmarkStart w:id="23" w:name="_Toc27232"/>
      <w:bookmarkStart w:id="24" w:name="_Toc19783313"/>
      <w:bookmarkStart w:id="25" w:name="_Toc27220"/>
      <w:bookmarkStart w:id="26" w:name="_Toc8853"/>
      <w:r>
        <w:rPr>
          <w:rFonts w:hint="eastAsia" w:ascii="仿宋" w:hAnsi="仿宋" w:eastAsia="仿宋" w:cs="仿宋"/>
          <w:color w:val="auto"/>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rPr>
        <w:t>正文</w:t>
      </w:r>
      <w:bookmarkEnd w:id="25"/>
      <w:bookmarkEnd w:id="26"/>
    </w:p>
    <w:p>
      <w:pPr>
        <w:pStyle w:val="5"/>
        <w:spacing w:before="0" w:after="0" w:line="360" w:lineRule="auto"/>
        <w:ind w:firstLine="482"/>
        <w:rPr>
          <w:rFonts w:ascii="仿宋" w:hAnsi="仿宋" w:eastAsia="仿宋" w:cs="仿宋"/>
          <w:color w:val="auto"/>
          <w:sz w:val="24"/>
          <w:szCs w:val="24"/>
        </w:rPr>
      </w:pPr>
      <w:bookmarkStart w:id="27" w:name="_Toc6681"/>
      <w:bookmarkStart w:id="28" w:name="_Toc517281817"/>
      <w:bookmarkStart w:id="29" w:name="_Toc287600119"/>
      <w:bookmarkStart w:id="30" w:name="_Toc444891337"/>
      <w:bookmarkStart w:id="31" w:name="_Toc3678"/>
      <w:bookmarkStart w:id="32" w:name="_Toc11851"/>
      <w:bookmarkStart w:id="33" w:name="_Toc19783314"/>
      <w:bookmarkStart w:id="34" w:name="_Toc16441"/>
      <w:bookmarkStart w:id="35" w:name="_Toc431"/>
      <w:bookmarkStart w:id="36" w:name="_Toc22969"/>
      <w:bookmarkStart w:id="37" w:name="_Toc29259"/>
      <w:r>
        <w:rPr>
          <w:rFonts w:hint="eastAsia" w:ascii="仿宋" w:hAnsi="仿宋" w:eastAsia="仿宋" w:cs="仿宋"/>
          <w:color w:val="auto"/>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pPr>
        <w:topLinePunct/>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pPr>
        <w:spacing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pPr>
        <w:pStyle w:val="5"/>
        <w:spacing w:after="0" w:line="360" w:lineRule="auto"/>
        <w:ind w:firstLine="482"/>
        <w:rPr>
          <w:rFonts w:ascii="仿宋" w:hAnsi="仿宋" w:eastAsia="仿宋" w:cs="仿宋"/>
          <w:color w:val="auto"/>
          <w:sz w:val="24"/>
          <w:szCs w:val="24"/>
        </w:rPr>
      </w:pPr>
      <w:bookmarkStart w:id="38" w:name="_Toc19783315"/>
      <w:bookmarkStart w:id="39" w:name="_Toc444891338"/>
      <w:bookmarkStart w:id="40" w:name="_Toc30331"/>
      <w:bookmarkStart w:id="41" w:name="_Toc25513"/>
      <w:bookmarkStart w:id="42" w:name="_Toc5255"/>
      <w:bookmarkStart w:id="43" w:name="_Toc287600120"/>
      <w:bookmarkStart w:id="44" w:name="_Toc14164"/>
      <w:bookmarkStart w:id="45" w:name="_Toc3016"/>
      <w:bookmarkStart w:id="46" w:name="_Toc517281818"/>
      <w:bookmarkStart w:id="47" w:name="_Toc10975"/>
      <w:bookmarkStart w:id="48" w:name="_Toc24246"/>
      <w:r>
        <w:rPr>
          <w:rFonts w:hint="eastAsia" w:ascii="仿宋" w:hAnsi="仿宋" w:eastAsia="仿宋" w:cs="仿宋"/>
          <w:color w:val="auto"/>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pPr>
        <w:spacing w:line="360" w:lineRule="auto"/>
        <w:rPr>
          <w:rFonts w:ascii="仿宋" w:hAnsi="仿宋" w:eastAsia="仿宋" w:cs="仿宋"/>
          <w:color w:val="auto"/>
        </w:rPr>
      </w:pPr>
      <w:r>
        <w:rPr>
          <w:rFonts w:hint="eastAsia" w:ascii="仿宋" w:hAnsi="仿宋" w:eastAsia="仿宋" w:cs="仿宋"/>
          <w:color w:val="auto"/>
        </w:rPr>
        <w:t>6.1比选文件包括下列内容：</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 xml:space="preserve">第一章 </w:t>
      </w:r>
      <w:r>
        <w:rPr>
          <w:rFonts w:hint="eastAsia" w:ascii="仿宋" w:hAnsi="仿宋" w:eastAsia="仿宋" w:cs="仿宋"/>
          <w:color w:val="auto"/>
          <w:sz w:val="24"/>
          <w:lang w:eastAsia="zh-CN"/>
        </w:rPr>
        <w:t>比选</w:t>
      </w:r>
      <w:r>
        <w:rPr>
          <w:rFonts w:hint="eastAsia" w:ascii="仿宋" w:hAnsi="仿宋" w:eastAsia="仿宋" w:cs="仿宋"/>
          <w:color w:val="auto"/>
          <w:sz w:val="24"/>
        </w:rPr>
        <w:t>邀请</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pPr>
        <w:pStyle w:val="16"/>
        <w:widowControl/>
        <w:spacing w:line="360" w:lineRule="auto"/>
        <w:ind w:left="0" w:leftChars="0" w:firstLine="480" w:firstLineChars="200"/>
        <w:jc w:val="left"/>
        <w:rPr>
          <w:rFonts w:hint="eastAsia" w:ascii="仿宋" w:hAnsi="仿宋" w:eastAsia="仿宋" w:cs="仿宋"/>
          <w:color w:val="auto"/>
          <w:sz w:val="24"/>
          <w:lang w:eastAsia="zh-CN"/>
        </w:rPr>
      </w:pPr>
      <w:r>
        <w:rPr>
          <w:rFonts w:hint="eastAsia" w:ascii="仿宋" w:hAnsi="仿宋" w:eastAsia="仿宋" w:cs="仿宋"/>
          <w:color w:val="auto"/>
          <w:sz w:val="24"/>
        </w:rPr>
        <w:t>第四章 合同</w:t>
      </w:r>
      <w:r>
        <w:rPr>
          <w:rFonts w:hint="eastAsia" w:ascii="仿宋" w:hAnsi="仿宋" w:eastAsia="仿宋" w:cs="仿宋"/>
          <w:color w:val="auto"/>
          <w:sz w:val="24"/>
          <w:lang w:val="en-US" w:eastAsia="zh-CN"/>
        </w:rPr>
        <w:t>条款</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pPr>
        <w:topLinePunct/>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pPr>
        <w:topLinePunct/>
        <w:spacing w:line="360" w:lineRule="auto"/>
        <w:rPr>
          <w:rFonts w:ascii="仿宋_GB2312" w:hAnsi="宋体" w:eastAsia="仿宋_GB2312"/>
          <w:color w:val="auto"/>
        </w:rPr>
      </w:pPr>
      <w:r>
        <w:rPr>
          <w:rFonts w:hint="eastAsia" w:ascii="仿宋" w:hAnsi="仿宋" w:eastAsia="仿宋" w:cs="仿宋"/>
          <w:color w:val="auto"/>
        </w:rPr>
        <w:t>7.1</w:t>
      </w:r>
      <w:r>
        <w:rPr>
          <w:rFonts w:hint="eastAsia" w:ascii="仿宋_GB2312" w:hAnsi="宋体" w:eastAsia="仿宋_GB2312"/>
          <w:color w:val="auto"/>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auto"/>
        </w:rPr>
      </w:pPr>
      <w:r>
        <w:rPr>
          <w:rFonts w:hint="eastAsia" w:ascii="仿宋_GB2312" w:hAnsi="宋体" w:eastAsia="仿宋_GB2312"/>
          <w:color w:val="auto"/>
        </w:rPr>
        <w:t>7</w:t>
      </w:r>
      <w:r>
        <w:rPr>
          <w:rFonts w:ascii="仿宋_GB2312" w:hAnsi="宋体" w:eastAsia="仿宋_GB2312"/>
          <w:color w:val="auto"/>
        </w:rPr>
        <w:t>.2</w:t>
      </w:r>
      <w:r>
        <w:rPr>
          <w:rFonts w:hint="eastAsia" w:ascii="仿宋_GB2312" w:hAnsi="宋体" w:eastAsia="仿宋_GB2312"/>
          <w:color w:val="auto"/>
        </w:rPr>
        <w:t>供应商有权要求采购人对比选文件中的有关问题进行答疑、澄清。</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7.3</w:t>
      </w:r>
      <w:r>
        <w:rPr>
          <w:rFonts w:hint="eastAsia" w:ascii="仿宋_GB2312" w:hAnsi="宋体" w:eastAsia="仿宋_GB2312"/>
          <w:color w:val="auto"/>
        </w:rPr>
        <w:t>供应商对比选文件如有疑问,应在首次响应文件递交截止时间前按比选文件</w:t>
      </w:r>
      <w:r>
        <w:rPr>
          <w:rFonts w:hint="eastAsia" w:ascii="仿宋_GB2312" w:hAnsi="宋体" w:eastAsia="仿宋_GB2312"/>
          <w:color w:val="auto"/>
          <w:spacing w:val="-3"/>
        </w:rPr>
        <w:t>中的联系方式，通知采购人。采购人将视情况采用适当方式予</w:t>
      </w:r>
      <w:r>
        <w:rPr>
          <w:rFonts w:hint="eastAsia" w:ascii="仿宋_GB2312" w:hAnsi="宋体" w:eastAsia="仿宋_GB2312"/>
          <w:color w:val="auto"/>
        </w:rPr>
        <w:t>以澄清或以书面形式予以答复。</w:t>
      </w:r>
      <w:r>
        <w:rPr>
          <w:rFonts w:hint="eastAsia" w:ascii="仿宋_GB2312" w:hAnsi="宋体" w:eastAsia="仿宋_GB2312"/>
          <w:color w:val="auto"/>
          <w:spacing w:val="-3"/>
        </w:rPr>
        <w:t>供应商在收到上述通知后，应立即向采购人回复确认。供</w:t>
      </w:r>
      <w:r>
        <w:rPr>
          <w:rFonts w:hint="eastAsia" w:ascii="仿宋_GB2312" w:hAnsi="宋体" w:eastAsia="仿宋_GB2312"/>
          <w:color w:val="auto"/>
        </w:rPr>
        <w:t>应商将被视为编制响应文件时已考虑了上述修改。</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7.4</w:t>
      </w:r>
      <w:r>
        <w:rPr>
          <w:rFonts w:hint="eastAsia" w:ascii="仿宋_GB2312" w:hAnsi="宋体" w:eastAsia="仿宋_GB2312"/>
          <w:color w:val="auto"/>
        </w:rPr>
        <w:t>对于比选文件的修改，如影响供应商响应文件编制的，</w:t>
      </w:r>
      <w:r>
        <w:rPr>
          <w:rFonts w:hint="eastAsia" w:ascii="仿宋_GB2312" w:hAnsi="宋体" w:eastAsia="仿宋_GB2312"/>
          <w:color w:val="auto"/>
          <w:spacing w:val="-3"/>
        </w:rPr>
        <w:t>采购人应推迟响应文件递交截止日期，并以书面或邮件形式通知所有已获取比选文件</w:t>
      </w:r>
      <w:r>
        <w:rPr>
          <w:rFonts w:hint="eastAsia" w:ascii="仿宋_GB2312" w:hAnsi="宋体" w:eastAsia="仿宋_GB2312"/>
          <w:color w:val="auto"/>
        </w:rPr>
        <w:t>的供应商。</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7.5</w:t>
      </w:r>
      <w:r>
        <w:rPr>
          <w:rFonts w:hint="eastAsia" w:ascii="仿宋_GB2312" w:hAnsi="宋体" w:eastAsia="仿宋_GB2312"/>
          <w:color w:val="auto"/>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pPr>
        <w:spacing w:line="360" w:lineRule="auto"/>
        <w:textAlignment w:val="baseline"/>
        <w:rPr>
          <w:rFonts w:ascii="仿宋" w:hAnsi="仿宋" w:eastAsia="仿宋" w:cs="宋体"/>
          <w:color w:val="auto"/>
          <w:u w:val="single"/>
        </w:rPr>
      </w:pPr>
      <w:r>
        <w:rPr>
          <w:rFonts w:hint="eastAsia" w:ascii="仿宋" w:hAnsi="仿宋" w:eastAsia="仿宋" w:cs="宋体"/>
          <w:color w:val="auto"/>
        </w:rPr>
        <w:t>采购人认为必要时，将召开比选响应预备会(答疑会)，公开解答潜在供应商对比选文件提出的疑问。</w:t>
      </w:r>
    </w:p>
    <w:p>
      <w:pPr>
        <w:pStyle w:val="5"/>
        <w:spacing w:after="0" w:line="360" w:lineRule="auto"/>
        <w:ind w:firstLine="482"/>
        <w:rPr>
          <w:rFonts w:hint="eastAsia" w:ascii="仿宋" w:hAnsi="仿宋" w:eastAsia="仿宋" w:cs="仿宋"/>
          <w:color w:val="auto"/>
          <w:sz w:val="24"/>
          <w:szCs w:val="24"/>
        </w:rPr>
      </w:pPr>
      <w:bookmarkStart w:id="49" w:name="_Toc287600121"/>
      <w:bookmarkStart w:id="50" w:name="_Toc27642"/>
      <w:bookmarkStart w:id="51" w:name="_Toc517281819"/>
      <w:bookmarkStart w:id="52" w:name="_Toc444891339"/>
      <w:bookmarkStart w:id="53" w:name="_Toc14308"/>
      <w:bookmarkStart w:id="54" w:name="_Toc19783316"/>
      <w:bookmarkStart w:id="55" w:name="_Toc18530"/>
      <w:bookmarkStart w:id="56" w:name="_Toc13691"/>
      <w:bookmarkStart w:id="57" w:name="_Toc31141"/>
      <w:bookmarkStart w:id="58" w:name="_Toc27563"/>
      <w:bookmarkStart w:id="59" w:name="_Toc16985"/>
      <w:r>
        <w:rPr>
          <w:rFonts w:hint="eastAsia" w:ascii="仿宋" w:hAnsi="仿宋" w:eastAsia="仿宋" w:cs="仿宋"/>
          <w:color w:val="auto"/>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60"/>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pPr>
        <w:topLinePunct/>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auto"/>
          <w:sz w:val="24"/>
          <w:szCs w:val="24"/>
        </w:rPr>
      </w:pPr>
      <w:bookmarkStart w:id="61" w:name="_Toc287600122"/>
      <w:bookmarkStart w:id="62" w:name="_Toc21600"/>
      <w:bookmarkStart w:id="63" w:name="_Toc7129"/>
      <w:bookmarkStart w:id="64" w:name="_Toc517281820"/>
      <w:bookmarkStart w:id="65" w:name="_Toc14726"/>
      <w:bookmarkStart w:id="66" w:name="_Toc444891340"/>
      <w:bookmarkStart w:id="67" w:name="_Toc19783317"/>
      <w:bookmarkStart w:id="68" w:name="_Toc4155"/>
      <w:bookmarkStart w:id="69" w:name="_Toc18673"/>
      <w:bookmarkStart w:id="70" w:name="_Toc17865"/>
      <w:bookmarkStart w:id="71" w:name="_Toc19962"/>
      <w:r>
        <w:rPr>
          <w:rFonts w:hint="eastAsia" w:ascii="仿宋" w:hAnsi="仿宋" w:eastAsia="仿宋" w:cs="仿宋"/>
          <w:color w:val="auto"/>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rPr>
        <w:t>递交</w:t>
      </w:r>
      <w:bookmarkEnd w:id="70"/>
      <w:bookmarkEnd w:id="71"/>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pPr>
        <w:pStyle w:val="2"/>
        <w:spacing w:line="360" w:lineRule="auto"/>
        <w:rPr>
          <w:color w:val="auto"/>
        </w:rPr>
      </w:pPr>
      <w:bookmarkStart w:id="72" w:name="_Toc334766948"/>
      <w:bookmarkStart w:id="73" w:name="_Toc326223561"/>
      <w:bookmarkStart w:id="74" w:name="_Toc152045558"/>
      <w:bookmarkStart w:id="75" w:name="_Toc246996945"/>
      <w:bookmarkStart w:id="76" w:name="_Toc179632576"/>
      <w:bookmarkStart w:id="77" w:name="_Toc144974526"/>
      <w:bookmarkStart w:id="78" w:name="_Toc247085716"/>
      <w:bookmarkStart w:id="79" w:name="_Toc152042334"/>
      <w:bookmarkStart w:id="80" w:name="_Toc246996202"/>
      <w:bookmarkStart w:id="81" w:name="_Toc332188194"/>
      <w:r>
        <w:rPr>
          <w:rFonts w:ascii="仿宋" w:hAnsi="仿宋" w:eastAsia="仿宋" w:cs="仿宋"/>
          <w:color w:val="auto"/>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auto"/>
          <w:sz w:val="24"/>
          <w:szCs w:val="24"/>
        </w:rPr>
      </w:pPr>
      <w:bookmarkStart w:id="82" w:name="_Toc2636"/>
      <w:bookmarkStart w:id="83" w:name="_Toc30466"/>
      <w:bookmarkStart w:id="84" w:name="_Toc287600123"/>
      <w:bookmarkStart w:id="85" w:name="_Toc444891341"/>
      <w:bookmarkStart w:id="86" w:name="_Toc2055"/>
      <w:bookmarkStart w:id="87" w:name="_Toc20741"/>
      <w:bookmarkStart w:id="88" w:name="_Toc517281821"/>
      <w:bookmarkStart w:id="89" w:name="_Toc12797"/>
      <w:bookmarkStart w:id="90" w:name="_Toc11361"/>
      <w:bookmarkStart w:id="91" w:name="_Toc18233"/>
      <w:r>
        <w:rPr>
          <w:rFonts w:hint="eastAsia" w:ascii="仿宋" w:hAnsi="仿宋" w:eastAsia="仿宋" w:cs="仿宋"/>
          <w:color w:val="auto"/>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auto"/>
          <w:sz w:val="24"/>
          <w:szCs w:val="24"/>
        </w:rPr>
      </w:pPr>
      <w:bookmarkStart w:id="92" w:name="_Toc234223229"/>
      <w:bookmarkStart w:id="9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2"/>
      <w:r>
        <w:rPr>
          <w:rFonts w:hint="eastAsia" w:ascii="仿宋" w:hAnsi="仿宋" w:eastAsia="仿宋" w:cs="仿宋"/>
          <w:color w:val="auto"/>
          <w:sz w:val="24"/>
          <w:szCs w:val="24"/>
        </w:rPr>
        <w:t>比选小组</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auto"/>
          <w:sz w:val="24"/>
          <w:szCs w:val="24"/>
        </w:rPr>
      </w:pPr>
      <w:bookmarkStart w:id="9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pPr>
        <w:topLinePunct/>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_GB2312" w:hAnsi="宋体" w:eastAsia="仿宋_GB2312"/>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rPr>
      </w:pPr>
      <w:r>
        <w:rPr>
          <w:rFonts w:ascii="仿宋" w:hAnsi="仿宋" w:eastAsia="仿宋" w:cs="仿宋"/>
          <w:color w:val="auto"/>
        </w:rPr>
        <w:t>18.</w:t>
      </w:r>
      <w:r>
        <w:rPr>
          <w:rFonts w:hint="eastAsia" w:ascii="仿宋" w:hAnsi="仿宋" w:eastAsia="仿宋" w:cs="仿宋"/>
          <w:color w:val="auto"/>
          <w:lang w:val="en-US" w:eastAsia="zh-CN"/>
        </w:rPr>
        <w:t>4</w:t>
      </w:r>
      <w:r>
        <w:rPr>
          <w:rFonts w:hint="eastAsia" w:ascii="仿宋" w:hAnsi="仿宋" w:eastAsia="仿宋" w:cs="仿宋"/>
          <w:color w:val="auto"/>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w:t>
      </w:r>
      <w:r>
        <w:rPr>
          <w:rFonts w:hint="eastAsia" w:ascii="仿宋" w:hAnsi="仿宋" w:eastAsia="仿宋" w:cs="仿宋"/>
          <w:color w:val="auto"/>
          <w:lang w:val="en-US" w:eastAsia="zh-CN"/>
        </w:rPr>
        <w:t>5</w:t>
      </w:r>
      <w:r>
        <w:rPr>
          <w:rFonts w:hint="eastAsia" w:ascii="仿宋" w:hAnsi="仿宋" w:eastAsia="仿宋" w:cs="仿宋"/>
          <w:color w:val="auto"/>
        </w:rPr>
        <w:t>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pPr>
        <w:topLinePunct/>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pPr>
        <w:snapToGrid w:val="0"/>
        <w:spacing w:line="360" w:lineRule="auto"/>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pPr>
        <w:snapToGrid w:val="0"/>
        <w:spacing w:line="360" w:lineRule="auto"/>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未在响应文件中提及和承诺，但又未明确书面提出异议的事项，按本比选邀请函的有关要求执行。</w:t>
      </w:r>
    </w:p>
    <w:p>
      <w:pPr>
        <w:snapToGrid w:val="0"/>
        <w:spacing w:line="360" w:lineRule="auto"/>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pPr>
        <w:snapToGrid w:val="0"/>
        <w:spacing w:line="360" w:lineRule="auto"/>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pPr>
        <w:snapToGrid w:val="0"/>
        <w:spacing w:line="360" w:lineRule="auto"/>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pPr>
        <w:pStyle w:val="2"/>
        <w:snapToGrid w:val="0"/>
        <w:spacing w:after="0" w:line="360" w:lineRule="auto"/>
        <w:ind w:right="-57" w:firstLine="480" w:firstLineChars="20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（1）成交候选供应商存在违法、违纪行为的；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11</w:t>
      </w:r>
      <w:r>
        <w:rPr>
          <w:rFonts w:hint="eastAsia" w:ascii="仿宋_GB2312" w:hAnsi="宋体" w:eastAsia="仿宋_GB2312"/>
          <w:color w:val="auto"/>
        </w:rPr>
        <w:t>）其他不应确定成交供应商的情形。</w:t>
      </w:r>
    </w:p>
    <w:p>
      <w:pPr>
        <w:pStyle w:val="5"/>
        <w:spacing w:before="0" w:after="0" w:line="360" w:lineRule="auto"/>
        <w:ind w:firstLine="482"/>
        <w:rPr>
          <w:rFonts w:ascii="仿宋" w:hAnsi="仿宋" w:eastAsia="仿宋" w:cs="仿宋"/>
          <w:color w:val="auto"/>
          <w:sz w:val="24"/>
          <w:szCs w:val="24"/>
        </w:rPr>
      </w:pPr>
      <w:bookmarkStart w:id="95" w:name="_Toc2322"/>
      <w:bookmarkStart w:id="96" w:name="_Toc9911"/>
      <w:bookmarkStart w:id="97" w:name="_Toc287600124"/>
      <w:bookmarkStart w:id="98" w:name="_Toc2459"/>
      <w:bookmarkStart w:id="99" w:name="_Toc234223231"/>
      <w:bookmarkStart w:id="100" w:name="_Toc444891342"/>
      <w:bookmarkStart w:id="101" w:name="_Toc28031"/>
      <w:bookmarkStart w:id="102" w:name="_Toc13936"/>
      <w:bookmarkStart w:id="103" w:name="_Toc16781"/>
      <w:bookmarkStart w:id="104" w:name="_Toc517281822"/>
      <w:bookmarkStart w:id="105" w:name="_Toc19451"/>
      <w:r>
        <w:rPr>
          <w:rFonts w:hint="eastAsia" w:ascii="仿宋" w:hAnsi="仿宋" w:eastAsia="仿宋" w:cs="仿宋"/>
          <w:color w:val="auto"/>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auto"/>
          <w:sz w:val="24"/>
          <w:szCs w:val="24"/>
        </w:rPr>
      </w:pPr>
      <w:bookmarkStart w:id="106"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6"/>
      <w:r>
        <w:rPr>
          <w:rFonts w:hint="eastAsia" w:ascii="仿宋" w:hAnsi="仿宋" w:eastAsia="仿宋" w:cs="仿宋"/>
          <w:color w:val="auto"/>
          <w:sz w:val="24"/>
          <w:szCs w:val="24"/>
        </w:rPr>
        <w:t>成交人</w:t>
      </w:r>
    </w:p>
    <w:p>
      <w:pPr>
        <w:spacing w:line="360" w:lineRule="auto"/>
        <w:rPr>
          <w:rFonts w:ascii="仿宋" w:hAnsi="仿宋" w:eastAsia="仿宋" w:cs="仿宋"/>
          <w:color w:val="auto"/>
        </w:rPr>
      </w:pPr>
      <w:r>
        <w:rPr>
          <w:rFonts w:ascii="仿宋" w:hAnsi="仿宋" w:eastAsia="仿宋" w:cs="仿宋"/>
          <w:color w:val="auto"/>
        </w:rPr>
        <w:t>2</w:t>
      </w:r>
      <w:r>
        <w:rPr>
          <w:rFonts w:hint="eastAsia" w:ascii="仿宋" w:hAnsi="仿宋" w:eastAsia="仿宋" w:cs="仿宋"/>
          <w:color w:val="auto"/>
          <w:lang w:val="en-US" w:eastAsia="zh-CN"/>
        </w:rPr>
        <w:t>2</w:t>
      </w:r>
      <w:r>
        <w:rPr>
          <w:rFonts w:ascii="仿宋" w:hAnsi="仿宋" w:eastAsia="仿宋" w:cs="仿宋"/>
          <w:color w:val="auto"/>
        </w:rPr>
        <w:t>.1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pPr>
        <w:topLinePunct/>
        <w:spacing w:line="360" w:lineRule="auto"/>
        <w:rPr>
          <w:rFonts w:ascii="仿宋" w:hAnsi="仿宋" w:eastAsia="仿宋" w:cs="宋体"/>
          <w:color w:val="auto"/>
        </w:rPr>
      </w:pPr>
      <w:r>
        <w:rPr>
          <w:rFonts w:ascii="仿宋" w:hAnsi="仿宋" w:eastAsia="仿宋" w:cs="宋体"/>
          <w:color w:val="auto"/>
        </w:rPr>
        <w:t>2</w:t>
      </w:r>
      <w:r>
        <w:rPr>
          <w:rFonts w:hint="eastAsia" w:ascii="仿宋" w:hAnsi="仿宋" w:eastAsia="仿宋" w:cs="宋体"/>
          <w:color w:val="auto"/>
          <w:lang w:val="en-US" w:eastAsia="zh-CN"/>
        </w:rPr>
        <w:t>2</w:t>
      </w:r>
      <w:r>
        <w:rPr>
          <w:rFonts w:ascii="仿宋" w:hAnsi="仿宋" w:eastAsia="仿宋" w:cs="宋体"/>
          <w:color w:val="auto"/>
        </w:rPr>
        <w:t>.</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pPr>
        <w:topLinePunct/>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pPr>
        <w:topLinePunct/>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pPr>
        <w:topLinePunct/>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pPr>
        <w:pStyle w:val="2"/>
        <w:rPr>
          <w:color w:val="auto"/>
        </w:rPr>
      </w:pPr>
    </w:p>
    <w:p>
      <w:pPr>
        <w:pStyle w:val="2"/>
        <w:rPr>
          <w:color w:val="auto"/>
        </w:rPr>
      </w:pPr>
    </w:p>
    <w:p>
      <w:pPr>
        <w:pStyle w:val="3"/>
        <w:spacing w:before="0" w:after="0"/>
        <w:jc w:val="left"/>
        <w:rPr>
          <w:rFonts w:ascii="仿宋" w:hAnsi="仿宋" w:eastAsia="仿宋" w:cs="仿宋"/>
          <w:color w:val="auto"/>
          <w:sz w:val="28"/>
          <w:szCs w:val="28"/>
        </w:rPr>
      </w:pPr>
      <w:bookmarkStart w:id="107" w:name="_Toc4997"/>
      <w:bookmarkStart w:id="108" w:name="_Toc10670"/>
      <w:bookmarkStart w:id="109" w:name="_Toc8109"/>
      <w:r>
        <w:rPr>
          <w:rFonts w:hint="eastAsia" w:ascii="仿宋" w:hAnsi="仿宋" w:eastAsia="仿宋" w:cs="仿宋"/>
          <w:color w:val="auto"/>
          <w:sz w:val="28"/>
          <w:szCs w:val="28"/>
        </w:rPr>
        <w:t>第三章 评审办法</w:t>
      </w:r>
      <w:bookmarkEnd w:id="107"/>
      <w:bookmarkEnd w:id="108"/>
    </w:p>
    <w:p>
      <w:pPr>
        <w:pStyle w:val="4"/>
        <w:jc w:val="left"/>
        <w:rPr>
          <w:rFonts w:ascii="仿宋" w:hAnsi="仿宋" w:eastAsia="仿宋" w:cs="仿宋"/>
          <w:color w:val="auto"/>
          <w:sz w:val="24"/>
          <w:szCs w:val="24"/>
        </w:rPr>
      </w:pPr>
      <w:bookmarkStart w:id="110" w:name="_Toc7201"/>
      <w:bookmarkStart w:id="111" w:name="_Toc12359"/>
      <w:bookmarkStart w:id="112" w:name="_Toc517281825"/>
      <w:bookmarkStart w:id="113" w:name="_Toc444891344"/>
      <w:bookmarkStart w:id="114" w:name="_Toc227057964"/>
      <w:bookmarkStart w:id="115" w:name="_Toc226969358"/>
      <w:r>
        <w:rPr>
          <w:rFonts w:hint="eastAsia" w:ascii="仿宋" w:hAnsi="仿宋" w:eastAsia="仿宋" w:cs="仿宋"/>
          <w:color w:val="auto"/>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1.熟悉比选文件；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（4）不符合国家或者比选文件规定的资格条件；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 xml:space="preserve">（7）响应文件未对比选文件的实质性要求和条件作出响应； </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（11）不符合比选文件中规定的其他实质性要求。</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5.通过初步评审的供应商分别进行比选；</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6.通过初步评审的供应商进行最终报价；</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7.通过初步评审的响应文件进行详细评审及打分；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8.按照综合评分由高到低的次序推荐成交候选人，提交评审结果，评审结果应包含评审情况说明、排名次序、推荐成交候选人名单及其他说明事项。</w:t>
      </w:r>
    </w:p>
    <w:p>
      <w:pPr>
        <w:pStyle w:val="4"/>
        <w:jc w:val="left"/>
        <w:rPr>
          <w:rFonts w:ascii="仿宋" w:hAnsi="仿宋" w:eastAsia="仿宋" w:cs="仿宋"/>
          <w:color w:val="auto"/>
          <w:sz w:val="24"/>
          <w:szCs w:val="24"/>
        </w:rPr>
      </w:pPr>
      <w:bookmarkStart w:id="116" w:name="_Toc32019"/>
      <w:bookmarkStart w:id="117" w:name="_Toc24942"/>
      <w:bookmarkStart w:id="118" w:name="_Toc517281826"/>
      <w:bookmarkStart w:id="119" w:name="_Toc444891345"/>
      <w:r>
        <w:rPr>
          <w:rFonts w:hint="eastAsia" w:ascii="仿宋" w:hAnsi="仿宋" w:eastAsia="仿宋" w:cs="仿宋"/>
          <w:color w:val="auto"/>
          <w:sz w:val="24"/>
          <w:szCs w:val="24"/>
        </w:rPr>
        <w:t>二、初步评审</w:t>
      </w:r>
      <w:bookmarkEnd w:id="116"/>
      <w:bookmarkEnd w:id="117"/>
      <w:bookmarkEnd w:id="118"/>
      <w:bookmarkEnd w:id="119"/>
    </w:p>
    <w:bookmarkEnd w:id="114"/>
    <w:bookmarkEnd w:id="115"/>
    <w:tbl>
      <w:tblPr>
        <w:tblStyle w:val="29"/>
        <w:tblW w:w="54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18"/>
        <w:gridCol w:w="1260"/>
        <w:gridCol w:w="2266"/>
        <w:gridCol w:w="5950"/>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618" w:type="pct"/>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111" w:type="pct"/>
            <w:vAlign w:val="center"/>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2918"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618"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11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2918" w:type="pct"/>
            <w:vAlign w:val="center"/>
          </w:tcPr>
          <w:p>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Merge w:val="continue"/>
            <w:vAlign w:val="center"/>
          </w:tcPr>
          <w:p>
            <w:pPr>
              <w:spacing w:line="360" w:lineRule="auto"/>
              <w:jc w:val="center"/>
              <w:rPr>
                <w:rFonts w:ascii="仿宋" w:hAnsi="仿宋" w:eastAsia="仿宋" w:cs="仿宋"/>
                <w:color w:val="auto"/>
                <w:szCs w:val="21"/>
              </w:rPr>
            </w:pPr>
          </w:p>
        </w:tc>
        <w:tc>
          <w:tcPr>
            <w:tcW w:w="618" w:type="pct"/>
            <w:vMerge w:val="continue"/>
          </w:tcPr>
          <w:p>
            <w:pPr>
              <w:spacing w:before="24" w:after="24" w:line="360" w:lineRule="auto"/>
              <w:jc w:val="center"/>
              <w:rPr>
                <w:rFonts w:ascii="仿宋" w:hAnsi="仿宋" w:eastAsia="仿宋" w:cs="仿宋"/>
                <w:color w:val="auto"/>
                <w:szCs w:val="21"/>
              </w:rPr>
            </w:pPr>
          </w:p>
        </w:tc>
        <w:tc>
          <w:tcPr>
            <w:tcW w:w="1111" w:type="pct"/>
            <w:vAlign w:val="center"/>
          </w:tcPr>
          <w:p>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2918" w:type="pct"/>
            <w:vAlign w:val="center"/>
          </w:tcPr>
          <w:p>
            <w:pPr>
              <w:pStyle w:val="73"/>
              <w:topLinePunct/>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pPr>
              <w:pStyle w:val="72"/>
              <w:tabs>
                <w:tab w:val="left" w:pos="630"/>
              </w:tabs>
              <w:topLinePunct/>
              <w:spacing w:before="65" w:beforeLines="20" w:after="65" w:afterLines="20"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Merge w:val="continue"/>
            <w:vAlign w:val="center"/>
          </w:tcPr>
          <w:p>
            <w:pPr>
              <w:spacing w:line="360" w:lineRule="auto"/>
              <w:jc w:val="center"/>
              <w:rPr>
                <w:rFonts w:ascii="仿宋" w:hAnsi="仿宋" w:eastAsia="仿宋" w:cs="仿宋"/>
                <w:color w:val="auto"/>
                <w:szCs w:val="21"/>
              </w:rPr>
            </w:pPr>
          </w:p>
        </w:tc>
        <w:tc>
          <w:tcPr>
            <w:tcW w:w="618" w:type="pct"/>
            <w:vMerge w:val="continue"/>
          </w:tcPr>
          <w:p>
            <w:pPr>
              <w:spacing w:before="24" w:after="24" w:line="360" w:lineRule="auto"/>
              <w:jc w:val="center"/>
              <w:rPr>
                <w:rFonts w:ascii="仿宋" w:hAnsi="仿宋" w:eastAsia="仿宋" w:cs="仿宋"/>
                <w:color w:val="auto"/>
                <w:szCs w:val="21"/>
              </w:rPr>
            </w:pPr>
          </w:p>
        </w:tc>
        <w:tc>
          <w:tcPr>
            <w:tcW w:w="111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2918" w:type="pct"/>
            <w:vAlign w:val="center"/>
          </w:tcPr>
          <w:p>
            <w:pPr>
              <w:pStyle w:val="73"/>
              <w:topLinePunct/>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pPr>
              <w:pStyle w:val="73"/>
              <w:topLinePunct/>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Merge w:val="continue"/>
            <w:vAlign w:val="center"/>
          </w:tcPr>
          <w:p>
            <w:pPr>
              <w:spacing w:line="360" w:lineRule="auto"/>
              <w:jc w:val="center"/>
              <w:rPr>
                <w:rFonts w:ascii="仿宋" w:hAnsi="仿宋" w:eastAsia="仿宋" w:cs="仿宋"/>
                <w:color w:val="auto"/>
                <w:szCs w:val="21"/>
              </w:rPr>
            </w:pPr>
          </w:p>
        </w:tc>
        <w:tc>
          <w:tcPr>
            <w:tcW w:w="618" w:type="pct"/>
            <w:vMerge w:val="continue"/>
          </w:tcPr>
          <w:p>
            <w:pPr>
              <w:spacing w:before="24" w:after="24" w:line="360" w:lineRule="auto"/>
              <w:jc w:val="center"/>
              <w:rPr>
                <w:rFonts w:ascii="仿宋" w:hAnsi="仿宋" w:eastAsia="仿宋" w:cs="仿宋"/>
                <w:color w:val="auto"/>
                <w:szCs w:val="21"/>
              </w:rPr>
            </w:pPr>
          </w:p>
        </w:tc>
        <w:tc>
          <w:tcPr>
            <w:tcW w:w="1111" w:type="pct"/>
            <w:vAlign w:val="center"/>
          </w:tcPr>
          <w:p>
            <w:pPr>
              <w:spacing w:before="24" w:after="24" w:line="276" w:lineRule="auto"/>
              <w:jc w:val="center"/>
              <w:rPr>
                <w:rFonts w:hint="eastAsia" w:ascii="仿宋" w:hAnsi="仿宋" w:eastAsia="仿宋" w:cs="仿宋"/>
                <w:color w:val="auto"/>
                <w:szCs w:val="21"/>
              </w:rPr>
            </w:pPr>
            <w:r>
              <w:rPr>
                <w:rFonts w:hint="eastAsia" w:ascii="仿宋" w:hAnsi="仿宋" w:eastAsia="仿宋" w:cs="仿宋"/>
                <w:color w:val="auto"/>
                <w:szCs w:val="21"/>
              </w:rPr>
              <w:t>响应文件签字</w:t>
            </w:r>
          </w:p>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或盖章</w:t>
            </w:r>
          </w:p>
        </w:tc>
        <w:tc>
          <w:tcPr>
            <w:tcW w:w="2918" w:type="pct"/>
            <w:vAlign w:val="center"/>
          </w:tcPr>
          <w:p>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pPr>
              <w:pStyle w:val="61"/>
              <w:spacing w:before="65" w:beforeLines="20" w:after="65" w:afterLines="20"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618"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1111" w:type="pct"/>
            <w:vAlign w:val="center"/>
          </w:tcPr>
          <w:p>
            <w:pPr>
              <w:spacing w:before="24" w:after="24" w:line="276" w:lineRule="auto"/>
              <w:jc w:val="center"/>
              <w:rPr>
                <w:rFonts w:hint="eastAsia" w:ascii="仿宋" w:hAnsi="仿宋" w:eastAsia="仿宋" w:cs="仿宋"/>
                <w:color w:val="auto"/>
                <w:sz w:val="22"/>
                <w:szCs w:val="21"/>
              </w:rPr>
            </w:pPr>
            <w:r>
              <w:rPr>
                <w:rFonts w:hint="eastAsia" w:ascii="仿宋" w:hAnsi="仿宋" w:eastAsia="仿宋" w:cs="仿宋"/>
                <w:color w:val="auto"/>
                <w:sz w:val="22"/>
                <w:szCs w:val="21"/>
              </w:rPr>
              <w:t>具有独立承担</w:t>
            </w:r>
          </w:p>
          <w:p>
            <w:pPr>
              <w:spacing w:before="24" w:after="24" w:line="276" w:lineRule="auto"/>
              <w:jc w:val="center"/>
              <w:rPr>
                <w:rFonts w:ascii="仿宋" w:hAnsi="仿宋" w:eastAsia="仿宋" w:cs="仿宋"/>
                <w:color w:val="auto"/>
                <w:sz w:val="22"/>
                <w:szCs w:val="21"/>
              </w:rPr>
            </w:pPr>
            <w:r>
              <w:rPr>
                <w:rFonts w:hint="eastAsia" w:ascii="仿宋" w:hAnsi="仿宋" w:eastAsia="仿宋" w:cs="仿宋"/>
                <w:color w:val="auto"/>
                <w:sz w:val="22"/>
                <w:szCs w:val="21"/>
              </w:rPr>
              <w:t>民事责任的能力</w:t>
            </w:r>
          </w:p>
        </w:tc>
        <w:tc>
          <w:tcPr>
            <w:tcW w:w="291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Merge w:val="continue"/>
            <w:vAlign w:val="center"/>
          </w:tcPr>
          <w:p>
            <w:pPr>
              <w:spacing w:line="360" w:lineRule="auto"/>
              <w:jc w:val="center"/>
              <w:rPr>
                <w:rFonts w:ascii="仿宋" w:hAnsi="仿宋" w:eastAsia="仿宋" w:cs="仿宋"/>
                <w:color w:val="auto"/>
                <w:szCs w:val="21"/>
              </w:rPr>
            </w:pPr>
          </w:p>
        </w:tc>
        <w:tc>
          <w:tcPr>
            <w:tcW w:w="618" w:type="pct"/>
            <w:vMerge w:val="continue"/>
            <w:vAlign w:val="center"/>
          </w:tcPr>
          <w:p>
            <w:pPr>
              <w:spacing w:before="24" w:after="24" w:line="360" w:lineRule="auto"/>
              <w:jc w:val="center"/>
              <w:rPr>
                <w:rFonts w:ascii="仿宋" w:hAnsi="仿宋" w:eastAsia="仿宋" w:cs="仿宋"/>
                <w:color w:val="auto"/>
                <w:szCs w:val="21"/>
              </w:rPr>
            </w:pPr>
          </w:p>
        </w:tc>
        <w:tc>
          <w:tcPr>
            <w:tcW w:w="1111" w:type="pct"/>
            <w:vAlign w:val="center"/>
          </w:tcPr>
          <w:p>
            <w:pPr>
              <w:spacing w:before="24" w:after="24"/>
              <w:jc w:val="center"/>
              <w:rPr>
                <w:rFonts w:ascii="仿宋" w:hAnsi="仿宋" w:eastAsia="仿宋" w:cs="仿宋"/>
                <w:color w:val="auto"/>
                <w:sz w:val="22"/>
                <w:szCs w:val="21"/>
              </w:rPr>
            </w:pPr>
            <w:r>
              <w:rPr>
                <w:rFonts w:hint="eastAsia" w:ascii="仿宋" w:hAnsi="仿宋" w:eastAsia="仿宋" w:cs="Monaco"/>
                <w:color w:val="auto"/>
                <w:sz w:val="22"/>
                <w:szCs w:val="21"/>
              </w:rPr>
              <w:t>供应商应具有履行合同所必需的设备和专业技术能力</w:t>
            </w:r>
          </w:p>
        </w:tc>
        <w:tc>
          <w:tcPr>
            <w:tcW w:w="291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Merge w:val="continue"/>
            <w:vAlign w:val="center"/>
          </w:tcPr>
          <w:p>
            <w:pPr>
              <w:spacing w:line="360" w:lineRule="auto"/>
              <w:jc w:val="center"/>
              <w:rPr>
                <w:rFonts w:ascii="仿宋" w:hAnsi="仿宋" w:eastAsia="仿宋" w:cs="仿宋"/>
                <w:color w:val="auto"/>
                <w:szCs w:val="21"/>
              </w:rPr>
            </w:pPr>
          </w:p>
        </w:tc>
        <w:tc>
          <w:tcPr>
            <w:tcW w:w="618" w:type="pct"/>
            <w:vMerge w:val="continue"/>
          </w:tcPr>
          <w:p>
            <w:pPr>
              <w:spacing w:before="24" w:after="24" w:line="360" w:lineRule="auto"/>
              <w:jc w:val="center"/>
              <w:rPr>
                <w:rFonts w:ascii="仿宋" w:hAnsi="仿宋" w:eastAsia="仿宋" w:cs="仿宋"/>
                <w:color w:val="auto"/>
                <w:szCs w:val="21"/>
              </w:rPr>
            </w:pPr>
          </w:p>
        </w:tc>
        <w:tc>
          <w:tcPr>
            <w:tcW w:w="1111" w:type="pct"/>
            <w:vAlign w:val="center"/>
          </w:tcPr>
          <w:p>
            <w:pPr>
              <w:spacing w:before="24" w:after="24"/>
              <w:jc w:val="center"/>
              <w:rPr>
                <w:rFonts w:hint="eastAsia" w:ascii="仿宋" w:hAnsi="仿宋" w:eastAsia="仿宋" w:cs="Cambria Math"/>
                <w:color w:val="auto"/>
                <w:sz w:val="22"/>
                <w:szCs w:val="21"/>
              </w:rPr>
            </w:pPr>
            <w:r>
              <w:rPr>
                <w:rFonts w:hint="eastAsia" w:ascii="仿宋" w:hAnsi="仿宋" w:eastAsia="仿宋" w:cs="Cambria Math"/>
                <w:color w:val="auto"/>
                <w:sz w:val="22"/>
                <w:szCs w:val="21"/>
              </w:rPr>
              <w:t>近三年内</w:t>
            </w:r>
          </w:p>
          <w:p>
            <w:pPr>
              <w:spacing w:before="24" w:after="24"/>
              <w:jc w:val="center"/>
              <w:rPr>
                <w:rFonts w:ascii="仿宋" w:hAnsi="仿宋" w:eastAsia="仿宋" w:cs="仿宋"/>
                <w:color w:val="auto"/>
                <w:sz w:val="22"/>
                <w:szCs w:val="21"/>
              </w:rPr>
            </w:pPr>
            <w:r>
              <w:rPr>
                <w:rFonts w:hint="eastAsia" w:ascii="仿宋" w:hAnsi="仿宋" w:eastAsia="仿宋" w:cs="Cambria Math"/>
                <w:color w:val="auto"/>
                <w:sz w:val="22"/>
                <w:szCs w:val="21"/>
              </w:rPr>
              <w:t>无违法违规记录</w:t>
            </w:r>
          </w:p>
        </w:tc>
        <w:tc>
          <w:tcPr>
            <w:tcW w:w="291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Merge w:val="continue"/>
            <w:vAlign w:val="center"/>
          </w:tcPr>
          <w:p>
            <w:pPr>
              <w:spacing w:line="360" w:lineRule="auto"/>
              <w:jc w:val="center"/>
              <w:rPr>
                <w:rFonts w:ascii="仿宋" w:hAnsi="仿宋" w:eastAsia="仿宋" w:cs="仿宋"/>
                <w:color w:val="auto"/>
                <w:szCs w:val="21"/>
              </w:rPr>
            </w:pPr>
          </w:p>
        </w:tc>
        <w:tc>
          <w:tcPr>
            <w:tcW w:w="618" w:type="pct"/>
            <w:vMerge w:val="continue"/>
          </w:tcPr>
          <w:p>
            <w:pPr>
              <w:spacing w:before="24" w:after="24" w:line="360" w:lineRule="auto"/>
              <w:jc w:val="center"/>
              <w:rPr>
                <w:rFonts w:ascii="仿宋" w:hAnsi="仿宋" w:eastAsia="仿宋" w:cs="仿宋"/>
                <w:color w:val="auto"/>
                <w:szCs w:val="21"/>
              </w:rPr>
            </w:pPr>
          </w:p>
        </w:tc>
        <w:tc>
          <w:tcPr>
            <w:tcW w:w="1111" w:type="pct"/>
            <w:vAlign w:val="center"/>
          </w:tcPr>
          <w:p>
            <w:pPr>
              <w:spacing w:before="24" w:after="24"/>
              <w:jc w:val="center"/>
              <w:rPr>
                <w:rFonts w:ascii="仿宋" w:hAnsi="仿宋" w:eastAsia="仿宋" w:cs="Cambria Math"/>
                <w:color w:val="auto"/>
                <w:sz w:val="22"/>
                <w:szCs w:val="21"/>
              </w:rPr>
            </w:pPr>
            <w:r>
              <w:rPr>
                <w:rFonts w:hint="eastAsia" w:ascii="仿宋" w:hAnsi="仿宋" w:eastAsia="仿宋" w:cs="Cambria Math"/>
                <w:color w:val="auto"/>
                <w:sz w:val="22"/>
                <w:szCs w:val="21"/>
              </w:rPr>
              <w:t>未被纳入采购人及其所隶属的中国人民保险各级机构的供应商黑名单</w:t>
            </w:r>
          </w:p>
        </w:tc>
        <w:tc>
          <w:tcPr>
            <w:tcW w:w="291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Merge w:val="continue"/>
            <w:vAlign w:val="center"/>
          </w:tcPr>
          <w:p>
            <w:pPr>
              <w:spacing w:line="360" w:lineRule="auto"/>
              <w:jc w:val="center"/>
              <w:rPr>
                <w:rFonts w:ascii="仿宋" w:hAnsi="仿宋" w:eastAsia="仿宋" w:cs="仿宋"/>
                <w:color w:val="auto"/>
                <w:szCs w:val="21"/>
              </w:rPr>
            </w:pPr>
          </w:p>
        </w:tc>
        <w:tc>
          <w:tcPr>
            <w:tcW w:w="618" w:type="pct"/>
            <w:vMerge w:val="continue"/>
          </w:tcPr>
          <w:p>
            <w:pPr>
              <w:spacing w:before="24" w:after="24" w:line="360" w:lineRule="auto"/>
              <w:jc w:val="center"/>
              <w:rPr>
                <w:rFonts w:ascii="仿宋" w:hAnsi="仿宋" w:eastAsia="仿宋" w:cs="仿宋"/>
                <w:color w:val="auto"/>
                <w:szCs w:val="21"/>
              </w:rPr>
            </w:pPr>
          </w:p>
        </w:tc>
        <w:tc>
          <w:tcPr>
            <w:tcW w:w="1111"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控股管理关系</w:t>
            </w:r>
          </w:p>
        </w:tc>
        <w:tc>
          <w:tcPr>
            <w:tcW w:w="291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Merge w:val="continue"/>
            <w:vAlign w:val="center"/>
          </w:tcPr>
          <w:p>
            <w:pPr>
              <w:spacing w:line="360" w:lineRule="auto"/>
              <w:jc w:val="center"/>
              <w:rPr>
                <w:rFonts w:ascii="仿宋" w:hAnsi="仿宋" w:eastAsia="仿宋" w:cs="仿宋"/>
                <w:color w:val="auto"/>
                <w:szCs w:val="21"/>
              </w:rPr>
            </w:pPr>
          </w:p>
        </w:tc>
        <w:tc>
          <w:tcPr>
            <w:tcW w:w="618" w:type="pct"/>
            <w:vMerge w:val="continue"/>
          </w:tcPr>
          <w:p>
            <w:pPr>
              <w:spacing w:before="24" w:after="24" w:line="360" w:lineRule="auto"/>
              <w:jc w:val="center"/>
              <w:rPr>
                <w:rFonts w:ascii="仿宋" w:hAnsi="仿宋" w:eastAsia="仿宋" w:cs="仿宋"/>
                <w:color w:val="auto"/>
                <w:szCs w:val="21"/>
              </w:rPr>
            </w:pPr>
          </w:p>
        </w:tc>
        <w:tc>
          <w:tcPr>
            <w:tcW w:w="1111"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非联合体投标</w:t>
            </w:r>
          </w:p>
        </w:tc>
        <w:tc>
          <w:tcPr>
            <w:tcW w:w="291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618" w:type="pct"/>
            <w:vMerge w:val="restart"/>
            <w:vAlign w:val="center"/>
          </w:tcPr>
          <w:p>
            <w:pPr>
              <w:spacing w:before="24" w:after="24" w:line="360" w:lineRule="auto"/>
              <w:jc w:val="center"/>
              <w:rPr>
                <w:rFonts w:hint="eastAsia" w:ascii="仿宋" w:hAnsi="仿宋" w:eastAsia="仿宋" w:cs="仿宋"/>
                <w:color w:val="auto"/>
                <w:szCs w:val="21"/>
              </w:rPr>
            </w:pPr>
            <w:r>
              <w:rPr>
                <w:rFonts w:hint="eastAsia" w:ascii="仿宋" w:hAnsi="仿宋" w:eastAsia="仿宋" w:cs="仿宋"/>
                <w:color w:val="auto"/>
                <w:szCs w:val="21"/>
              </w:rPr>
              <w:t>响应性</w:t>
            </w:r>
          </w:p>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评审标准</w:t>
            </w:r>
          </w:p>
        </w:tc>
        <w:tc>
          <w:tcPr>
            <w:tcW w:w="111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2918" w:type="pct"/>
            <w:vAlign w:val="center"/>
          </w:tcPr>
          <w:p>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Merge w:val="continue"/>
            <w:vAlign w:val="center"/>
          </w:tcPr>
          <w:p>
            <w:pPr>
              <w:spacing w:line="360" w:lineRule="auto"/>
              <w:jc w:val="center"/>
              <w:rPr>
                <w:rFonts w:ascii="仿宋" w:hAnsi="仿宋" w:eastAsia="仿宋" w:cs="仿宋"/>
                <w:color w:val="auto"/>
                <w:szCs w:val="21"/>
              </w:rPr>
            </w:pPr>
          </w:p>
        </w:tc>
        <w:tc>
          <w:tcPr>
            <w:tcW w:w="618" w:type="pct"/>
            <w:vMerge w:val="continue"/>
            <w:vAlign w:val="center"/>
          </w:tcPr>
          <w:p>
            <w:pPr>
              <w:spacing w:before="24" w:after="24" w:line="360" w:lineRule="auto"/>
              <w:jc w:val="center"/>
              <w:rPr>
                <w:rFonts w:ascii="仿宋" w:hAnsi="仿宋" w:eastAsia="仿宋" w:cs="仿宋"/>
                <w:color w:val="auto"/>
                <w:szCs w:val="21"/>
              </w:rPr>
            </w:pPr>
          </w:p>
        </w:tc>
        <w:tc>
          <w:tcPr>
            <w:tcW w:w="1111" w:type="pct"/>
            <w:vAlign w:val="center"/>
          </w:tcPr>
          <w:p>
            <w:pPr>
              <w:spacing w:before="24" w:after="24" w:line="276" w:lineRule="auto"/>
              <w:jc w:val="center"/>
              <w:rPr>
                <w:rFonts w:hint="eastAsia" w:ascii="仿宋" w:hAnsi="仿宋" w:eastAsia="仿宋" w:cs="宋体"/>
                <w:color w:val="auto"/>
                <w:szCs w:val="21"/>
              </w:rPr>
            </w:pPr>
            <w:r>
              <w:rPr>
                <w:rFonts w:hint="eastAsia" w:ascii="仿宋" w:hAnsi="仿宋" w:eastAsia="仿宋" w:cs="宋体"/>
                <w:color w:val="auto"/>
                <w:szCs w:val="21"/>
              </w:rPr>
              <w:t>供应商行为准则</w:t>
            </w:r>
          </w:p>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承诺书</w:t>
            </w:r>
          </w:p>
        </w:tc>
        <w:tc>
          <w:tcPr>
            <w:tcW w:w="2918"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Merge w:val="continue"/>
            <w:vAlign w:val="center"/>
          </w:tcPr>
          <w:p>
            <w:pPr>
              <w:spacing w:line="360" w:lineRule="auto"/>
              <w:jc w:val="center"/>
              <w:rPr>
                <w:rFonts w:ascii="仿宋" w:hAnsi="仿宋" w:eastAsia="仿宋" w:cs="仿宋"/>
                <w:color w:val="auto"/>
                <w:szCs w:val="21"/>
              </w:rPr>
            </w:pPr>
          </w:p>
        </w:tc>
        <w:tc>
          <w:tcPr>
            <w:tcW w:w="618" w:type="pct"/>
            <w:vMerge w:val="continue"/>
            <w:vAlign w:val="center"/>
          </w:tcPr>
          <w:p>
            <w:pPr>
              <w:spacing w:before="24" w:after="24" w:line="360" w:lineRule="auto"/>
              <w:jc w:val="center"/>
              <w:rPr>
                <w:rFonts w:ascii="仿宋" w:hAnsi="仿宋" w:eastAsia="仿宋" w:cs="仿宋"/>
                <w:color w:val="auto"/>
                <w:szCs w:val="21"/>
              </w:rPr>
            </w:pPr>
          </w:p>
        </w:tc>
        <w:tc>
          <w:tcPr>
            <w:tcW w:w="1111" w:type="pct"/>
            <w:vAlign w:val="center"/>
          </w:tcPr>
          <w:p>
            <w:pPr>
              <w:spacing w:before="24" w:after="24" w:line="276" w:lineRule="auto"/>
              <w:jc w:val="center"/>
              <w:rPr>
                <w:rFonts w:hint="eastAsia" w:ascii="仿宋" w:hAnsi="仿宋" w:eastAsia="仿宋" w:cs="宋体"/>
                <w:color w:val="auto"/>
                <w:szCs w:val="21"/>
              </w:rPr>
            </w:pPr>
            <w:r>
              <w:rPr>
                <w:rFonts w:hint="eastAsia" w:ascii="仿宋" w:hAnsi="仿宋" w:eastAsia="仿宋" w:cs="宋体"/>
                <w:color w:val="auto"/>
                <w:szCs w:val="21"/>
              </w:rPr>
              <w:t>供应商廉洁诚信</w:t>
            </w:r>
          </w:p>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承诺书</w:t>
            </w:r>
          </w:p>
        </w:tc>
        <w:tc>
          <w:tcPr>
            <w:tcW w:w="2918"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52" w:type="pct"/>
            <w:vMerge w:val="continue"/>
            <w:vAlign w:val="center"/>
          </w:tcPr>
          <w:p>
            <w:pPr>
              <w:spacing w:line="360" w:lineRule="auto"/>
              <w:jc w:val="center"/>
              <w:rPr>
                <w:rFonts w:ascii="仿宋" w:hAnsi="仿宋" w:eastAsia="仿宋" w:cs="仿宋"/>
                <w:color w:val="auto"/>
                <w:szCs w:val="21"/>
              </w:rPr>
            </w:pPr>
          </w:p>
        </w:tc>
        <w:tc>
          <w:tcPr>
            <w:tcW w:w="618" w:type="pct"/>
            <w:vMerge w:val="continue"/>
            <w:vAlign w:val="center"/>
          </w:tcPr>
          <w:p>
            <w:pPr>
              <w:spacing w:before="24" w:after="24" w:line="360" w:lineRule="auto"/>
              <w:jc w:val="center"/>
              <w:rPr>
                <w:rFonts w:ascii="仿宋" w:hAnsi="仿宋" w:eastAsia="仿宋" w:cs="仿宋"/>
                <w:color w:val="auto"/>
                <w:szCs w:val="21"/>
              </w:rPr>
            </w:pPr>
          </w:p>
        </w:tc>
        <w:tc>
          <w:tcPr>
            <w:tcW w:w="111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2918"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 w:val="22"/>
                <w:szCs w:val="20"/>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auto"/>
          <w:sz w:val="24"/>
          <w:szCs w:val="24"/>
        </w:rPr>
      </w:pPr>
      <w:bookmarkStart w:id="120" w:name="_Toc21218"/>
      <w:bookmarkStart w:id="121" w:name="_Toc25550"/>
      <w:r>
        <w:rPr>
          <w:rFonts w:hint="eastAsia" w:ascii="仿宋" w:hAnsi="仿宋" w:eastAsia="仿宋" w:cs="仿宋"/>
          <w:color w:val="auto"/>
          <w:sz w:val="24"/>
          <w:szCs w:val="24"/>
        </w:rPr>
        <w:t>三、详细评审</w:t>
      </w:r>
      <w:bookmarkEnd w:id="120"/>
      <w:bookmarkEnd w:id="121"/>
    </w:p>
    <w:p>
      <w:pPr>
        <w:adjustRightInd w:val="0"/>
        <w:snapToGrid w:val="0"/>
        <w:spacing w:line="360" w:lineRule="auto"/>
        <w:ind w:firstLine="480"/>
        <w:rPr>
          <w:rFonts w:hint="eastAsia" w:ascii="仿宋_GB2312" w:eastAsia="仿宋_GB2312"/>
          <w:color w:val="auto"/>
        </w:rPr>
      </w:pPr>
      <w:r>
        <w:rPr>
          <w:rFonts w:hint="eastAsia" w:ascii="仿宋_GB2312" w:eastAsia="仿宋_GB2312"/>
          <w:color w:val="auto"/>
        </w:rPr>
        <w:t>3.1本项目采用综合评分法</w:t>
      </w:r>
    </w:p>
    <w:p>
      <w:pPr>
        <w:adjustRightInd w:val="0"/>
        <w:snapToGrid w:val="0"/>
        <w:spacing w:line="360" w:lineRule="auto"/>
        <w:ind w:firstLine="480"/>
        <w:rPr>
          <w:rFonts w:hint="eastAsia" w:ascii="仿宋_GB2312" w:eastAsia="仿宋_GB2312"/>
          <w:color w:val="auto"/>
        </w:rPr>
      </w:pPr>
      <w:r>
        <w:rPr>
          <w:rFonts w:hint="eastAsia" w:ascii="仿宋_GB2312" w:eastAsia="仿宋_GB2312"/>
          <w:color w:val="auto"/>
        </w:rPr>
        <w:t>3.2 评分明细：</w:t>
      </w:r>
    </w:p>
    <w:p>
      <w:pPr>
        <w:adjustRightInd w:val="0"/>
        <w:snapToGrid w:val="0"/>
        <w:spacing w:line="360" w:lineRule="auto"/>
        <w:ind w:firstLine="480"/>
        <w:rPr>
          <w:rFonts w:hint="eastAsia" w:ascii="仿宋_GB2312" w:eastAsia="仿宋_GB2312"/>
          <w:color w:val="auto"/>
        </w:rPr>
      </w:pPr>
      <w:r>
        <w:rPr>
          <w:rFonts w:hint="eastAsia" w:ascii="仿宋_GB2312" w:eastAsia="仿宋_GB2312"/>
          <w:color w:val="auto"/>
        </w:rPr>
        <w:t>采购评审标准由项目最终报价、技术质量</w:t>
      </w:r>
      <w:r>
        <w:rPr>
          <w:rFonts w:hint="eastAsia" w:ascii="仿宋_GB2312" w:eastAsia="仿宋_GB2312"/>
          <w:color w:val="auto"/>
          <w:lang w:eastAsia="zh-CN"/>
        </w:rPr>
        <w:t>、</w:t>
      </w:r>
      <w:r>
        <w:rPr>
          <w:rFonts w:hint="eastAsia" w:ascii="仿宋_GB2312" w:eastAsia="仿宋_GB2312"/>
          <w:color w:val="auto"/>
          <w:lang w:val="en-US" w:eastAsia="zh-CN"/>
        </w:rPr>
        <w:t>商务水平和</w:t>
      </w:r>
      <w:r>
        <w:rPr>
          <w:rFonts w:hint="eastAsia" w:ascii="仿宋_GB2312" w:eastAsia="仿宋_GB2312"/>
          <w:color w:val="auto"/>
        </w:rPr>
        <w:t>服务水平</w:t>
      </w:r>
      <w:r>
        <w:rPr>
          <w:rFonts w:hint="eastAsia" w:ascii="仿宋_GB2312" w:eastAsia="仿宋_GB2312"/>
          <w:color w:val="auto"/>
          <w:lang w:val="en-US" w:eastAsia="zh-CN"/>
        </w:rPr>
        <w:t>四</w:t>
      </w:r>
      <w:r>
        <w:rPr>
          <w:rFonts w:hint="eastAsia" w:ascii="仿宋_GB2312" w:eastAsia="仿宋_GB2312"/>
          <w:color w:val="auto"/>
        </w:rPr>
        <w:t>项标准构成，评审专家将依据磋商邀请文件要求，结合项目最终报价表、技术方案、服务方案等情况进行评分。各有效供应商的综合得分为各评审专家所评分值的算术平均值，若总得分相同，以价格得分高者排序在先。将把合同授予被确定为实质上响应磋商文件要求且评标得分最高的供应商。</w:t>
      </w:r>
    </w:p>
    <w:p>
      <w:pPr>
        <w:adjustRightInd w:val="0"/>
        <w:snapToGrid w:val="0"/>
        <w:spacing w:line="360" w:lineRule="auto"/>
        <w:ind w:firstLine="480"/>
        <w:rPr>
          <w:rFonts w:ascii="楷体" w:hAnsi="楷体" w:eastAsia="楷体" w:cs="仿宋_GB2312"/>
          <w:i/>
          <w:color w:val="auto"/>
          <w:szCs w:val="32"/>
        </w:rPr>
      </w:pPr>
      <w:r>
        <w:rPr>
          <w:rFonts w:hint="eastAsia" w:ascii="仿宋_GB2312" w:eastAsia="仿宋_GB2312"/>
          <w:color w:val="auto"/>
        </w:rPr>
        <w:t>评审标准如下：</w:t>
      </w:r>
      <w:r>
        <w:rPr>
          <w:rFonts w:ascii="楷体" w:hAnsi="楷体" w:eastAsia="楷体" w:cs="仿宋_GB2312"/>
          <w:i/>
          <w:color w:val="auto"/>
          <w:szCs w:val="32"/>
        </w:rPr>
        <w:t xml:space="preserve"> </w:t>
      </w:r>
    </w:p>
    <w:tbl>
      <w:tblPr>
        <w:tblStyle w:val="29"/>
        <w:tblW w:w="91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7749"/>
        <w:gridCol w:w="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859" w:type="dxa"/>
            <w:vAlign w:val="center"/>
          </w:tcPr>
          <w:p>
            <w:pPr>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项 目</w:t>
            </w:r>
          </w:p>
        </w:tc>
        <w:tc>
          <w:tcPr>
            <w:tcW w:w="7749" w:type="dxa"/>
            <w:vAlign w:val="center"/>
          </w:tcPr>
          <w:p>
            <w:pPr>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评分内容</w:t>
            </w:r>
          </w:p>
        </w:tc>
        <w:tc>
          <w:tcPr>
            <w:tcW w:w="579" w:type="dxa"/>
            <w:vAlign w:val="center"/>
          </w:tcPr>
          <w:p>
            <w:pPr>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9187" w:type="dxa"/>
            <w:gridSpan w:val="3"/>
            <w:vAlign w:val="center"/>
          </w:tcPr>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59" w:type="dxa"/>
            <w:vAlign w:val="center"/>
          </w:tcPr>
          <w:p>
            <w:pPr>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价格</w:t>
            </w:r>
          </w:p>
          <w:p>
            <w:pPr>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得分（60）</w:t>
            </w:r>
          </w:p>
        </w:tc>
        <w:tc>
          <w:tcPr>
            <w:tcW w:w="7749" w:type="dxa"/>
            <w:vAlign w:val="center"/>
          </w:tcPr>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评</w:t>
            </w:r>
            <w:r>
              <w:rPr>
                <w:rFonts w:hint="eastAsia" w:ascii="仿宋" w:hAnsi="仿宋" w:eastAsia="仿宋" w:cs="仿宋"/>
                <w:color w:val="auto"/>
                <w:sz w:val="24"/>
                <w:szCs w:val="24"/>
              </w:rPr>
              <w:t>分法中的价格分采用低价优先法计算，即满足</w:t>
            </w:r>
            <w:r>
              <w:rPr>
                <w:rFonts w:hint="eastAsia" w:ascii="仿宋" w:hAnsi="仿宋" w:eastAsia="仿宋" w:cs="仿宋"/>
                <w:color w:val="auto"/>
                <w:sz w:val="24"/>
                <w:szCs w:val="24"/>
                <w:lang w:val="en-US" w:eastAsia="zh-CN"/>
              </w:rPr>
              <w:t>比选</w:t>
            </w:r>
            <w:r>
              <w:rPr>
                <w:rFonts w:hint="eastAsia" w:ascii="仿宋" w:hAnsi="仿宋" w:eastAsia="仿宋" w:cs="仿宋"/>
                <w:color w:val="auto"/>
                <w:sz w:val="24"/>
                <w:szCs w:val="24"/>
              </w:rPr>
              <w:t>文件要求且最低的评审价格为评标基准价，等于评标基准价得60分。其他供应商的价格分统一按照下列公式计算，精确到小数点后两位：</w:t>
            </w:r>
          </w:p>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供应商报价得分＝（评标基准价/评审价格）×60；</w:t>
            </w:r>
          </w:p>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评审价格按照如下方式定义：</w:t>
            </w:r>
          </w:p>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对于承诺提供增值税专用发票的供应商，评审价格即不含税的投标总价净价；</w:t>
            </w:r>
          </w:p>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对于不能提供增值税专用发票的供应商，评审价格是含税的投标总价。</w:t>
            </w:r>
          </w:p>
        </w:tc>
        <w:tc>
          <w:tcPr>
            <w:tcW w:w="579" w:type="dxa"/>
            <w:vAlign w:val="center"/>
          </w:tcPr>
          <w:p>
            <w:pPr>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9187" w:type="dxa"/>
            <w:gridSpan w:val="3"/>
            <w:vAlign w:val="center"/>
          </w:tcPr>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二、技术、服务、商务水平评审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59" w:type="dxa"/>
            <w:vMerge w:val="restart"/>
            <w:shd w:val="clear" w:color="auto" w:fill="auto"/>
            <w:vAlign w:val="center"/>
          </w:tcPr>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技术</w:t>
            </w:r>
          </w:p>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质量</w:t>
            </w:r>
          </w:p>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得分</w:t>
            </w:r>
          </w:p>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（20）</w:t>
            </w:r>
          </w:p>
        </w:tc>
        <w:tc>
          <w:tcPr>
            <w:tcW w:w="7749" w:type="dxa"/>
            <w:vAlign w:val="center"/>
          </w:tcPr>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根据供应商提供的</w:t>
            </w:r>
            <w:r>
              <w:rPr>
                <w:rFonts w:hint="eastAsia" w:ascii="仿宋" w:hAnsi="仿宋" w:eastAsia="仿宋" w:cs="仿宋"/>
                <w:color w:val="auto"/>
                <w:sz w:val="24"/>
                <w:szCs w:val="24"/>
                <w:lang w:val="en-US" w:eastAsia="zh-CN"/>
              </w:rPr>
              <w:t>项目方案、场景适配、画质保障等措施</w:t>
            </w:r>
            <w:r>
              <w:rPr>
                <w:rFonts w:hint="eastAsia" w:ascii="仿宋" w:hAnsi="仿宋" w:eastAsia="仿宋" w:cs="仿宋"/>
                <w:color w:val="auto"/>
                <w:sz w:val="24"/>
                <w:szCs w:val="24"/>
              </w:rPr>
              <w:t>综合评比并评分，供应商未提供则此项不得分。</w:t>
            </w:r>
          </w:p>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项目方案完全满足项目内容、可行</w:t>
            </w:r>
            <w:r>
              <w:rPr>
                <w:rFonts w:hint="eastAsia" w:ascii="仿宋" w:hAnsi="仿宋" w:eastAsia="仿宋" w:cs="仿宋"/>
                <w:color w:val="auto"/>
                <w:sz w:val="24"/>
                <w:szCs w:val="24"/>
                <w:lang w:val="en-US" w:eastAsia="zh-CN"/>
              </w:rPr>
              <w:t>性高</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车载场景适配、画质保障措施完善的，</w:t>
            </w:r>
            <w:r>
              <w:rPr>
                <w:rFonts w:hint="eastAsia" w:ascii="仿宋" w:hAnsi="仿宋" w:eastAsia="仿宋" w:cs="仿宋"/>
                <w:color w:val="auto"/>
                <w:sz w:val="24"/>
                <w:szCs w:val="24"/>
              </w:rPr>
              <w:t>得</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不含）</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（含）分；</w:t>
            </w:r>
          </w:p>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项目方案</w:t>
            </w:r>
            <w:r>
              <w:rPr>
                <w:rFonts w:hint="eastAsia" w:ascii="仿宋" w:hAnsi="仿宋" w:eastAsia="仿宋" w:cs="仿宋"/>
                <w:color w:val="auto"/>
                <w:sz w:val="24"/>
                <w:szCs w:val="24"/>
                <w:lang w:val="en-US" w:eastAsia="zh-CN"/>
              </w:rPr>
              <w:t>基本</w:t>
            </w:r>
            <w:r>
              <w:rPr>
                <w:rFonts w:hint="eastAsia" w:ascii="仿宋" w:hAnsi="仿宋" w:eastAsia="仿宋" w:cs="仿宋"/>
                <w:color w:val="auto"/>
                <w:sz w:val="24"/>
                <w:szCs w:val="24"/>
              </w:rPr>
              <w:t>满足项目内容、可行</w:t>
            </w:r>
            <w:r>
              <w:rPr>
                <w:rFonts w:hint="eastAsia" w:ascii="仿宋" w:hAnsi="仿宋" w:eastAsia="仿宋" w:cs="仿宋"/>
                <w:color w:val="auto"/>
                <w:sz w:val="24"/>
                <w:szCs w:val="24"/>
                <w:lang w:val="en-US" w:eastAsia="zh-CN"/>
              </w:rPr>
              <w:t>性较高</w:t>
            </w:r>
            <w:r>
              <w:rPr>
                <w:rFonts w:hint="eastAsia" w:ascii="仿宋" w:hAnsi="仿宋" w:eastAsia="仿宋" w:cs="仿宋"/>
                <w:color w:val="auto"/>
                <w:sz w:val="24"/>
                <w:szCs w:val="24"/>
              </w:rPr>
              <w:t>，车载场景适配、画质保障措施</w:t>
            </w:r>
            <w:r>
              <w:rPr>
                <w:rFonts w:hint="eastAsia" w:ascii="仿宋" w:hAnsi="仿宋" w:eastAsia="仿宋" w:cs="仿宋"/>
                <w:color w:val="auto"/>
                <w:sz w:val="24"/>
                <w:szCs w:val="24"/>
                <w:lang w:val="en-US" w:eastAsia="zh-CN"/>
              </w:rPr>
              <w:t>较</w:t>
            </w:r>
            <w:r>
              <w:rPr>
                <w:rFonts w:hint="eastAsia" w:ascii="仿宋" w:hAnsi="仿宋" w:eastAsia="仿宋" w:cs="仿宋"/>
                <w:color w:val="auto"/>
                <w:sz w:val="24"/>
                <w:szCs w:val="24"/>
              </w:rPr>
              <w:t>完善的，得</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不含）</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（含）分；</w:t>
            </w:r>
          </w:p>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项目方案</w:t>
            </w:r>
            <w:r>
              <w:rPr>
                <w:rFonts w:hint="eastAsia" w:ascii="仿宋" w:hAnsi="仿宋" w:eastAsia="仿宋" w:cs="仿宋"/>
                <w:color w:val="auto"/>
                <w:sz w:val="24"/>
                <w:szCs w:val="24"/>
                <w:lang w:val="en-US" w:eastAsia="zh-CN"/>
              </w:rPr>
              <w:t>不能</w:t>
            </w:r>
            <w:r>
              <w:rPr>
                <w:rFonts w:hint="eastAsia" w:ascii="仿宋" w:hAnsi="仿宋" w:eastAsia="仿宋" w:cs="仿宋"/>
                <w:color w:val="auto"/>
                <w:sz w:val="24"/>
                <w:szCs w:val="24"/>
              </w:rPr>
              <w:t>满足项目内容、可行</w:t>
            </w:r>
            <w:r>
              <w:rPr>
                <w:rFonts w:hint="eastAsia" w:ascii="仿宋" w:hAnsi="仿宋" w:eastAsia="仿宋" w:cs="仿宋"/>
                <w:color w:val="auto"/>
                <w:sz w:val="24"/>
                <w:szCs w:val="24"/>
                <w:lang w:val="en-US" w:eastAsia="zh-CN"/>
              </w:rPr>
              <w:t>性不高</w:t>
            </w:r>
            <w:r>
              <w:rPr>
                <w:rFonts w:hint="eastAsia" w:ascii="仿宋" w:hAnsi="仿宋" w:eastAsia="仿宋" w:cs="仿宋"/>
                <w:color w:val="auto"/>
                <w:sz w:val="24"/>
                <w:szCs w:val="24"/>
              </w:rPr>
              <w:t>，车载场景适配、画质保障措施</w:t>
            </w:r>
            <w:r>
              <w:rPr>
                <w:rFonts w:hint="eastAsia" w:ascii="仿宋" w:hAnsi="仿宋" w:eastAsia="仿宋" w:cs="仿宋"/>
                <w:color w:val="auto"/>
                <w:sz w:val="24"/>
                <w:szCs w:val="24"/>
                <w:lang w:val="en-US" w:eastAsia="zh-CN"/>
              </w:rPr>
              <w:t>不</w:t>
            </w:r>
            <w:r>
              <w:rPr>
                <w:rFonts w:hint="eastAsia" w:ascii="仿宋" w:hAnsi="仿宋" w:eastAsia="仿宋" w:cs="仿宋"/>
                <w:color w:val="auto"/>
                <w:sz w:val="24"/>
                <w:szCs w:val="24"/>
              </w:rPr>
              <w:t>完善的，得0（</w:t>
            </w:r>
            <w:r>
              <w:rPr>
                <w:rFonts w:hint="eastAsia" w:ascii="仿宋" w:hAnsi="仿宋" w:eastAsia="仿宋" w:cs="仿宋"/>
                <w:color w:val="auto"/>
                <w:sz w:val="24"/>
                <w:szCs w:val="24"/>
                <w:lang w:val="en-US" w:eastAsia="zh-CN"/>
              </w:rPr>
              <w:t>不</w:t>
            </w:r>
            <w:r>
              <w:rPr>
                <w:rFonts w:hint="eastAsia" w:ascii="仿宋" w:hAnsi="仿宋" w:eastAsia="仿宋" w:cs="仿宋"/>
                <w:color w:val="auto"/>
                <w:sz w:val="24"/>
                <w:szCs w:val="24"/>
              </w:rPr>
              <w:t>含）-</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（含）分。</w:t>
            </w:r>
          </w:p>
        </w:tc>
        <w:tc>
          <w:tcPr>
            <w:tcW w:w="579" w:type="dxa"/>
            <w:vAlign w:val="center"/>
          </w:tcPr>
          <w:p>
            <w:pPr>
              <w:snapToGrid w:val="0"/>
              <w:spacing w:line="32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59" w:type="dxa"/>
            <w:vMerge w:val="continue"/>
            <w:shd w:val="clear" w:color="auto" w:fill="auto"/>
            <w:vAlign w:val="center"/>
          </w:tcPr>
          <w:p>
            <w:pPr>
              <w:snapToGrid w:val="0"/>
              <w:spacing w:line="320" w:lineRule="exact"/>
              <w:jc w:val="center"/>
              <w:rPr>
                <w:rFonts w:hint="eastAsia" w:ascii="仿宋" w:hAnsi="仿宋" w:eastAsia="仿宋" w:cs="仿宋"/>
                <w:color w:val="auto"/>
                <w:sz w:val="24"/>
                <w:szCs w:val="24"/>
              </w:rPr>
            </w:pPr>
          </w:p>
        </w:tc>
        <w:tc>
          <w:tcPr>
            <w:tcW w:w="7749" w:type="dxa"/>
            <w:vAlign w:val="center"/>
          </w:tcPr>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根据供应商提供的宣传期间日常维护</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保证措施综合评比并评分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供应商未提供则此项不得分。</w:t>
            </w:r>
          </w:p>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日常维护措施很全面、有效，有针对性，得</w:t>
            </w:r>
            <w:r>
              <w:rPr>
                <w:rFonts w:hint="eastAsia" w:ascii="仿宋" w:hAnsi="仿宋" w:eastAsia="仿宋" w:cs="仿宋"/>
                <w:color w:val="auto"/>
                <w:sz w:val="24"/>
                <w:szCs w:val="24"/>
                <w:lang w:val="en-US" w:eastAsia="zh-CN"/>
              </w:rPr>
              <w:t>6(不含)</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分</w:t>
            </w:r>
            <w:r>
              <w:rPr>
                <w:rFonts w:hint="eastAsia" w:ascii="仿宋" w:hAnsi="仿宋" w:eastAsia="仿宋" w:cs="仿宋"/>
                <w:color w:val="auto"/>
                <w:sz w:val="24"/>
                <w:szCs w:val="24"/>
                <w:lang w:val="en-US" w:eastAsia="zh-CN"/>
              </w:rPr>
              <w:t>(含)</w:t>
            </w:r>
            <w:r>
              <w:rPr>
                <w:rFonts w:hint="eastAsia" w:ascii="仿宋" w:hAnsi="仿宋" w:eastAsia="仿宋" w:cs="仿宋"/>
                <w:color w:val="auto"/>
                <w:sz w:val="24"/>
                <w:szCs w:val="24"/>
              </w:rPr>
              <w:t>;</w:t>
            </w:r>
          </w:p>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日常维护措施较全面、有效，较有针对性，得</w:t>
            </w:r>
            <w:r>
              <w:rPr>
                <w:rFonts w:hint="eastAsia" w:ascii="仿宋" w:hAnsi="仿宋" w:eastAsia="仿宋" w:cs="仿宋"/>
                <w:color w:val="auto"/>
                <w:sz w:val="24"/>
                <w:szCs w:val="24"/>
                <w:lang w:val="en-US" w:eastAsia="zh-CN"/>
              </w:rPr>
              <w:t>4(不含)</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6(含)</w:t>
            </w:r>
            <w:r>
              <w:rPr>
                <w:rFonts w:hint="eastAsia" w:ascii="仿宋" w:hAnsi="仿宋" w:eastAsia="仿宋" w:cs="仿宋"/>
                <w:color w:val="auto"/>
                <w:sz w:val="24"/>
                <w:szCs w:val="24"/>
              </w:rPr>
              <w:t>分</w:t>
            </w:r>
          </w:p>
          <w:p>
            <w:pP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日常维护措施不全面，无针对性，得0</w:t>
            </w:r>
            <w:r>
              <w:rPr>
                <w:rFonts w:hint="eastAsia" w:ascii="仿宋" w:hAnsi="仿宋" w:eastAsia="仿宋" w:cs="仿宋"/>
                <w:color w:val="auto"/>
                <w:sz w:val="24"/>
                <w:szCs w:val="24"/>
                <w:lang w:val="en-US" w:eastAsia="zh-CN"/>
              </w:rPr>
              <w:t>(不含)</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4(含)</w:t>
            </w:r>
            <w:r>
              <w:rPr>
                <w:rFonts w:hint="eastAsia" w:ascii="仿宋" w:hAnsi="仿宋" w:eastAsia="仿宋" w:cs="仿宋"/>
                <w:color w:val="auto"/>
                <w:sz w:val="24"/>
                <w:szCs w:val="24"/>
              </w:rPr>
              <w:t>分。</w:t>
            </w:r>
          </w:p>
        </w:tc>
        <w:tc>
          <w:tcPr>
            <w:tcW w:w="579" w:type="dxa"/>
            <w:vAlign w:val="center"/>
          </w:tcPr>
          <w:p>
            <w:pPr>
              <w:snapToGrid w:val="0"/>
              <w:spacing w:line="32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59" w:type="dxa"/>
            <w:vMerge w:val="continue"/>
            <w:shd w:val="clear" w:color="auto" w:fill="auto"/>
            <w:vAlign w:val="center"/>
          </w:tcPr>
          <w:p>
            <w:pPr>
              <w:snapToGrid w:val="0"/>
              <w:spacing w:line="320" w:lineRule="exact"/>
              <w:jc w:val="center"/>
              <w:rPr>
                <w:rFonts w:hint="eastAsia" w:ascii="仿宋" w:hAnsi="仿宋" w:eastAsia="仿宋" w:cs="仿宋"/>
                <w:color w:val="auto"/>
                <w:sz w:val="24"/>
                <w:szCs w:val="24"/>
              </w:rPr>
            </w:pPr>
          </w:p>
        </w:tc>
        <w:tc>
          <w:tcPr>
            <w:tcW w:w="7749" w:type="dxa"/>
            <w:vAlign w:val="center"/>
          </w:tcPr>
          <w:p>
            <w:pPr>
              <w:spacing w:line="32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根据供应商是否提供泸州新时代运业的车载视频发布的佐证资料评分，提供得4分，未提供则此项不得分。</w:t>
            </w:r>
          </w:p>
          <w:p>
            <w:pPr>
              <w:spacing w:line="32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说明：“佐证资料”包含但不限于授权资料、合同等，授权范围、有效期需覆盖本项目的合同履约期，且文件真实有效。</w:t>
            </w:r>
          </w:p>
        </w:tc>
        <w:tc>
          <w:tcPr>
            <w:tcW w:w="579" w:type="dxa"/>
            <w:vAlign w:val="center"/>
          </w:tcPr>
          <w:p>
            <w:pPr>
              <w:snapToGrid w:val="0"/>
              <w:spacing w:line="32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1" w:hRule="atLeast"/>
          <w:jc w:val="center"/>
        </w:trPr>
        <w:tc>
          <w:tcPr>
            <w:tcW w:w="859" w:type="dxa"/>
            <w:shd w:val="clear" w:color="auto" w:fill="auto"/>
            <w:vAlign w:val="center"/>
          </w:tcPr>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商务</w:t>
            </w:r>
          </w:p>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水平</w:t>
            </w:r>
          </w:p>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评分  </w:t>
            </w:r>
          </w:p>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w:t>
            </w:r>
          </w:p>
        </w:tc>
        <w:tc>
          <w:tcPr>
            <w:tcW w:w="7749" w:type="dxa"/>
            <w:vAlign w:val="center"/>
          </w:tcPr>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rPr>
              <w:t>根据供应商提供的近三年</w:t>
            </w:r>
            <w:r>
              <w:rPr>
                <w:rFonts w:hint="eastAsia" w:ascii="仿宋" w:hAnsi="仿宋" w:eastAsia="仿宋" w:cs="仿宋"/>
                <w:color w:val="auto"/>
                <w:sz w:val="24"/>
                <w:szCs w:val="24"/>
                <w:lang w:eastAsia="zh-CN"/>
              </w:rPr>
              <w:t>（（2023年1月1日</w:t>
            </w:r>
            <w:r>
              <w:rPr>
                <w:rFonts w:hint="eastAsia" w:ascii="仿宋" w:hAnsi="仿宋" w:eastAsia="仿宋" w:cs="仿宋"/>
                <w:color w:val="auto"/>
                <w:sz w:val="24"/>
                <w:szCs w:val="24"/>
                <w:lang w:val="en-US" w:eastAsia="zh-CN"/>
              </w:rPr>
              <w:t>至今</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同类似项目的业绩情况进行评分，在满足资格条件要求的1个案例基础上，每增加1个得2分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未提供</w:t>
            </w:r>
            <w:r>
              <w:rPr>
                <w:rFonts w:hint="eastAsia" w:ascii="仿宋" w:hAnsi="仿宋" w:eastAsia="仿宋" w:cs="仿宋"/>
                <w:color w:val="auto"/>
                <w:sz w:val="24"/>
                <w:szCs w:val="24"/>
                <w:lang w:val="en-US" w:eastAsia="zh-CN"/>
              </w:rPr>
              <w:t>则此项</w:t>
            </w:r>
            <w:r>
              <w:rPr>
                <w:rFonts w:hint="eastAsia" w:ascii="仿宋" w:hAnsi="仿宋" w:eastAsia="仿宋" w:cs="仿宋"/>
                <w:color w:val="auto"/>
                <w:sz w:val="24"/>
                <w:szCs w:val="24"/>
              </w:rPr>
              <w:t>不得分。</w:t>
            </w:r>
          </w:p>
          <w:p>
            <w:pPr>
              <w:spacing w:line="32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说明：案例须提供合同（包括合同首页、体现项目内容页、签署日期页及盖章页）或中标通知书</w:t>
            </w:r>
            <w:r>
              <w:rPr>
                <w:rFonts w:hint="eastAsia" w:ascii="仿宋" w:hAnsi="仿宋" w:eastAsia="仿宋" w:cs="仿宋"/>
                <w:color w:val="auto"/>
                <w:sz w:val="24"/>
                <w:szCs w:val="24"/>
                <w:lang w:val="en-US" w:eastAsia="zh-CN"/>
              </w:rPr>
              <w:t>或委托函，</w:t>
            </w:r>
            <w:r>
              <w:rPr>
                <w:rFonts w:hint="eastAsia" w:ascii="仿宋" w:hAnsi="仿宋" w:eastAsia="仿宋" w:cs="仿宋"/>
                <w:color w:val="auto"/>
                <w:sz w:val="24"/>
                <w:szCs w:val="24"/>
              </w:rPr>
              <w:t>“三年内”是以签订时间为准，须提供复印件作为有效证明文件</w:t>
            </w:r>
            <w:r>
              <w:rPr>
                <w:rFonts w:hint="eastAsia" w:ascii="仿宋" w:hAnsi="仿宋" w:eastAsia="仿宋" w:cs="仿宋"/>
                <w:color w:val="auto"/>
                <w:sz w:val="24"/>
                <w:szCs w:val="24"/>
                <w:lang w:eastAsia="zh-CN"/>
              </w:rPr>
              <w:t>。</w:t>
            </w:r>
          </w:p>
        </w:tc>
        <w:tc>
          <w:tcPr>
            <w:tcW w:w="579" w:type="dxa"/>
            <w:vAlign w:val="center"/>
          </w:tcPr>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59" w:type="dxa"/>
            <w:shd w:val="clear" w:color="auto" w:fill="auto"/>
            <w:vAlign w:val="center"/>
          </w:tcPr>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服务</w:t>
            </w:r>
          </w:p>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水平</w:t>
            </w:r>
          </w:p>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评分</w:t>
            </w:r>
          </w:p>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7749" w:type="dxa"/>
            <w:vAlign w:val="center"/>
          </w:tcPr>
          <w:p>
            <w:pPr>
              <w:spacing w:line="32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根据供应商提供的需求响应措施、团队配置等综合评比并评分，供应商</w:t>
            </w:r>
            <w:r>
              <w:rPr>
                <w:rFonts w:hint="eastAsia" w:ascii="仿宋" w:hAnsi="仿宋" w:eastAsia="仿宋" w:cs="仿宋"/>
                <w:color w:val="auto"/>
                <w:sz w:val="24"/>
                <w:szCs w:val="24"/>
              </w:rPr>
              <w:t>未提供</w:t>
            </w:r>
            <w:r>
              <w:rPr>
                <w:rFonts w:hint="eastAsia" w:ascii="仿宋" w:hAnsi="仿宋" w:eastAsia="仿宋" w:cs="仿宋"/>
                <w:color w:val="auto"/>
                <w:sz w:val="24"/>
                <w:szCs w:val="24"/>
                <w:lang w:val="en-US" w:eastAsia="zh-CN"/>
              </w:rPr>
              <w:t>则此项</w:t>
            </w:r>
            <w:r>
              <w:rPr>
                <w:rFonts w:hint="eastAsia" w:ascii="仿宋" w:hAnsi="仿宋" w:eastAsia="仿宋" w:cs="仿宋"/>
                <w:color w:val="auto"/>
                <w:sz w:val="24"/>
                <w:szCs w:val="24"/>
              </w:rPr>
              <w:t>不得分</w:t>
            </w:r>
            <w:r>
              <w:rPr>
                <w:rFonts w:hint="eastAsia" w:ascii="仿宋" w:hAnsi="仿宋" w:eastAsia="仿宋" w:cs="仿宋"/>
                <w:color w:val="auto"/>
                <w:sz w:val="24"/>
                <w:szCs w:val="24"/>
                <w:lang w:val="en-US" w:eastAsia="zh-CN"/>
              </w:rPr>
              <w:t>。</w:t>
            </w:r>
          </w:p>
          <w:p>
            <w:pPr>
              <w:numPr>
                <w:ilvl w:val="0"/>
                <w:numId w:val="0"/>
              </w:num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需求的响应</w:t>
            </w:r>
            <w:r>
              <w:rPr>
                <w:rFonts w:hint="eastAsia" w:ascii="仿宋" w:hAnsi="仿宋" w:eastAsia="仿宋" w:cs="仿宋"/>
                <w:color w:val="auto"/>
                <w:sz w:val="24"/>
                <w:szCs w:val="24"/>
                <w:lang w:val="en-US" w:eastAsia="zh-CN"/>
              </w:rPr>
              <w:t>措施完善，</w:t>
            </w:r>
            <w:r>
              <w:rPr>
                <w:rFonts w:hint="eastAsia" w:ascii="仿宋" w:hAnsi="仿宋" w:eastAsia="仿宋" w:cs="仿宋"/>
                <w:color w:val="auto"/>
                <w:sz w:val="24"/>
                <w:szCs w:val="24"/>
              </w:rPr>
              <w:t>团队人员配备</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职责分工</w:t>
            </w:r>
            <w:r>
              <w:rPr>
                <w:rFonts w:hint="eastAsia" w:ascii="仿宋" w:hAnsi="仿宋" w:eastAsia="仿宋" w:cs="仿宋"/>
                <w:color w:val="auto"/>
                <w:sz w:val="24"/>
                <w:szCs w:val="24"/>
                <w:lang w:val="en-US" w:eastAsia="zh-CN"/>
              </w:rPr>
              <w:t>合理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团队人员</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工作</w:t>
            </w:r>
            <w:r>
              <w:rPr>
                <w:rFonts w:hint="eastAsia" w:ascii="仿宋" w:hAnsi="仿宋" w:eastAsia="仿宋" w:cs="仿宋"/>
                <w:color w:val="auto"/>
                <w:sz w:val="24"/>
                <w:szCs w:val="24"/>
                <w:lang w:val="en-US" w:eastAsia="zh-CN"/>
              </w:rPr>
              <w:t>经验、</w:t>
            </w:r>
            <w:r>
              <w:rPr>
                <w:rFonts w:hint="eastAsia" w:ascii="仿宋" w:hAnsi="仿宋" w:eastAsia="仿宋" w:cs="仿宋"/>
                <w:color w:val="auto"/>
                <w:sz w:val="24"/>
                <w:szCs w:val="24"/>
              </w:rPr>
              <w:t>技术能力</w:t>
            </w:r>
            <w:r>
              <w:rPr>
                <w:rFonts w:hint="eastAsia" w:ascii="仿宋" w:hAnsi="仿宋" w:eastAsia="仿宋" w:cs="仿宋"/>
                <w:color w:val="auto"/>
                <w:sz w:val="24"/>
                <w:szCs w:val="24"/>
                <w:lang w:val="en-US" w:eastAsia="zh-CN"/>
              </w:rPr>
              <w:t>能完全满足项目要求</w:t>
            </w:r>
            <w:r>
              <w:rPr>
                <w:rFonts w:hint="eastAsia" w:ascii="仿宋" w:hAnsi="仿宋" w:eastAsia="仿宋" w:cs="仿宋"/>
                <w:color w:val="auto"/>
                <w:sz w:val="24"/>
                <w:szCs w:val="24"/>
              </w:rPr>
              <w:t>，得8</w:t>
            </w:r>
            <w:r>
              <w:rPr>
                <w:rFonts w:hint="eastAsia" w:ascii="仿宋" w:hAnsi="仿宋" w:eastAsia="仿宋" w:cs="仿宋"/>
                <w:color w:val="auto"/>
                <w:sz w:val="24"/>
                <w:szCs w:val="24"/>
                <w:lang w:val="en-US" w:eastAsia="zh-CN"/>
              </w:rPr>
              <w:t>(不含)</w:t>
            </w:r>
            <w:r>
              <w:rPr>
                <w:rFonts w:hint="eastAsia" w:ascii="仿宋" w:hAnsi="仿宋" w:eastAsia="仿宋" w:cs="仿宋"/>
                <w:color w:val="auto"/>
                <w:sz w:val="24"/>
                <w:szCs w:val="24"/>
              </w:rPr>
              <w:t>-10</w:t>
            </w:r>
            <w:r>
              <w:rPr>
                <w:rFonts w:hint="eastAsia" w:ascii="仿宋" w:hAnsi="仿宋" w:eastAsia="仿宋" w:cs="仿宋"/>
                <w:color w:val="auto"/>
                <w:sz w:val="24"/>
                <w:szCs w:val="24"/>
                <w:lang w:val="en-US" w:eastAsia="zh-CN"/>
              </w:rPr>
              <w:t>(含)</w:t>
            </w:r>
            <w:r>
              <w:rPr>
                <w:rFonts w:hint="eastAsia" w:ascii="仿宋" w:hAnsi="仿宋" w:eastAsia="仿宋" w:cs="仿宋"/>
                <w:color w:val="auto"/>
                <w:sz w:val="24"/>
                <w:szCs w:val="24"/>
              </w:rPr>
              <w:t>分；</w:t>
            </w:r>
          </w:p>
          <w:p>
            <w:pPr>
              <w:spacing w:line="32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需求的响应</w:t>
            </w:r>
            <w:r>
              <w:rPr>
                <w:rFonts w:hint="eastAsia" w:ascii="仿宋" w:hAnsi="仿宋" w:eastAsia="仿宋" w:cs="仿宋"/>
                <w:color w:val="auto"/>
                <w:sz w:val="24"/>
                <w:szCs w:val="24"/>
                <w:lang w:val="en-US" w:eastAsia="zh-CN"/>
              </w:rPr>
              <w:t>措施较完善，</w:t>
            </w:r>
            <w:r>
              <w:rPr>
                <w:rFonts w:hint="eastAsia" w:ascii="仿宋" w:hAnsi="仿宋" w:eastAsia="仿宋" w:cs="仿宋"/>
                <w:color w:val="auto"/>
                <w:sz w:val="24"/>
                <w:szCs w:val="24"/>
              </w:rPr>
              <w:t>团队人员配备</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职责分工</w:t>
            </w:r>
            <w:r>
              <w:rPr>
                <w:rFonts w:hint="eastAsia" w:ascii="仿宋" w:hAnsi="仿宋" w:eastAsia="仿宋" w:cs="仿宋"/>
                <w:color w:val="auto"/>
                <w:sz w:val="24"/>
                <w:szCs w:val="24"/>
                <w:lang w:val="en-US" w:eastAsia="zh-CN"/>
              </w:rPr>
              <w:t>较合理</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团队人员</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工作</w:t>
            </w:r>
            <w:r>
              <w:rPr>
                <w:rFonts w:hint="eastAsia" w:ascii="仿宋" w:hAnsi="仿宋" w:eastAsia="仿宋" w:cs="仿宋"/>
                <w:color w:val="auto"/>
                <w:sz w:val="24"/>
                <w:szCs w:val="24"/>
                <w:lang w:val="en-US" w:eastAsia="zh-CN"/>
              </w:rPr>
              <w:t>经验</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技术能力</w:t>
            </w:r>
            <w:r>
              <w:rPr>
                <w:rFonts w:hint="eastAsia" w:ascii="仿宋" w:hAnsi="仿宋" w:eastAsia="仿宋" w:cs="仿宋"/>
                <w:color w:val="auto"/>
                <w:sz w:val="24"/>
                <w:szCs w:val="24"/>
                <w:lang w:val="en-US" w:eastAsia="zh-CN"/>
              </w:rPr>
              <w:t>能满足项目大部分要求，</w:t>
            </w:r>
            <w:r>
              <w:rPr>
                <w:rFonts w:hint="eastAsia" w:ascii="仿宋" w:hAnsi="仿宋" w:eastAsia="仿宋" w:cs="仿宋"/>
                <w:color w:val="auto"/>
                <w:sz w:val="24"/>
                <w:szCs w:val="24"/>
              </w:rPr>
              <w:t>得4</w:t>
            </w:r>
            <w:r>
              <w:rPr>
                <w:rFonts w:hint="eastAsia" w:ascii="仿宋" w:hAnsi="仿宋" w:eastAsia="仿宋" w:cs="仿宋"/>
                <w:color w:val="auto"/>
                <w:sz w:val="24"/>
                <w:szCs w:val="24"/>
                <w:lang w:val="en-US" w:eastAsia="zh-CN"/>
              </w:rPr>
              <w:t>(不含)</w:t>
            </w:r>
            <w:r>
              <w:rPr>
                <w:rFonts w:hint="eastAsia" w:ascii="仿宋" w:hAnsi="仿宋" w:eastAsia="仿宋" w:cs="仿宋"/>
                <w:color w:val="auto"/>
                <w:sz w:val="24"/>
                <w:szCs w:val="24"/>
              </w:rPr>
              <w:t>-8</w:t>
            </w:r>
            <w:r>
              <w:rPr>
                <w:rFonts w:hint="eastAsia" w:ascii="仿宋" w:hAnsi="仿宋" w:eastAsia="仿宋" w:cs="仿宋"/>
                <w:color w:val="auto"/>
                <w:sz w:val="24"/>
                <w:szCs w:val="24"/>
                <w:lang w:val="en-US" w:eastAsia="zh-CN"/>
              </w:rPr>
              <w:t>(含)</w:t>
            </w:r>
            <w:r>
              <w:rPr>
                <w:rFonts w:hint="eastAsia" w:ascii="仿宋" w:hAnsi="仿宋" w:eastAsia="仿宋" w:cs="仿宋"/>
                <w:color w:val="auto"/>
                <w:sz w:val="24"/>
                <w:szCs w:val="24"/>
              </w:rPr>
              <w:t>分；</w:t>
            </w:r>
          </w:p>
          <w:p>
            <w:pPr>
              <w:pStyle w:val="2"/>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需求的响应</w:t>
            </w:r>
            <w:r>
              <w:rPr>
                <w:rFonts w:hint="eastAsia" w:ascii="仿宋" w:hAnsi="仿宋" w:eastAsia="仿宋" w:cs="仿宋"/>
                <w:color w:val="auto"/>
                <w:sz w:val="24"/>
                <w:szCs w:val="24"/>
                <w:lang w:val="en-US" w:eastAsia="zh-CN"/>
              </w:rPr>
              <w:t>措施一般，</w:t>
            </w:r>
            <w:r>
              <w:rPr>
                <w:rFonts w:hint="eastAsia" w:ascii="仿宋" w:hAnsi="仿宋" w:eastAsia="仿宋" w:cs="仿宋"/>
                <w:color w:val="auto"/>
                <w:sz w:val="24"/>
                <w:szCs w:val="24"/>
              </w:rPr>
              <w:t>团队人员配备</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职责分工</w:t>
            </w:r>
            <w:r>
              <w:rPr>
                <w:rFonts w:hint="eastAsia" w:ascii="仿宋" w:hAnsi="仿宋" w:eastAsia="仿宋" w:cs="仿宋"/>
                <w:color w:val="auto"/>
                <w:sz w:val="24"/>
                <w:szCs w:val="24"/>
                <w:lang w:val="en-US" w:eastAsia="zh-CN"/>
              </w:rPr>
              <w:t>模糊不足</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团队人员</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工作</w:t>
            </w:r>
            <w:r>
              <w:rPr>
                <w:rFonts w:hint="eastAsia" w:ascii="仿宋" w:hAnsi="仿宋" w:eastAsia="仿宋" w:cs="仿宋"/>
                <w:color w:val="auto"/>
                <w:sz w:val="24"/>
                <w:szCs w:val="24"/>
                <w:lang w:val="en-US" w:eastAsia="zh-CN"/>
              </w:rPr>
              <w:t>经验</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技术能力</w:t>
            </w:r>
            <w:r>
              <w:rPr>
                <w:rFonts w:hint="eastAsia" w:ascii="仿宋" w:hAnsi="仿宋" w:eastAsia="仿宋" w:cs="仿宋"/>
                <w:color w:val="auto"/>
                <w:sz w:val="24"/>
                <w:szCs w:val="24"/>
                <w:lang w:val="en-US" w:eastAsia="zh-CN"/>
              </w:rPr>
              <w:t>能满足项目少部分要求，</w:t>
            </w:r>
            <w:r>
              <w:rPr>
                <w:rFonts w:hint="eastAsia" w:ascii="仿宋" w:hAnsi="仿宋" w:eastAsia="仿宋" w:cs="仿宋"/>
                <w:color w:val="auto"/>
                <w:sz w:val="24"/>
                <w:szCs w:val="24"/>
              </w:rPr>
              <w:t>得0</w:t>
            </w:r>
            <w:r>
              <w:rPr>
                <w:rFonts w:hint="eastAsia" w:ascii="仿宋" w:hAnsi="仿宋" w:eastAsia="仿宋" w:cs="仿宋"/>
                <w:color w:val="auto"/>
                <w:sz w:val="24"/>
                <w:szCs w:val="24"/>
                <w:lang w:val="en-US" w:eastAsia="zh-CN"/>
              </w:rPr>
              <w:t>(不含)</w:t>
            </w: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(含)</w:t>
            </w:r>
            <w:r>
              <w:rPr>
                <w:rFonts w:hint="eastAsia" w:ascii="仿宋" w:hAnsi="仿宋" w:eastAsia="仿宋" w:cs="仿宋"/>
                <w:color w:val="auto"/>
                <w:sz w:val="24"/>
                <w:szCs w:val="24"/>
              </w:rPr>
              <w:t>分</w:t>
            </w:r>
            <w:r>
              <w:rPr>
                <w:rFonts w:hint="eastAsia" w:ascii="仿宋" w:hAnsi="仿宋" w:eastAsia="仿宋" w:cs="仿宋"/>
                <w:color w:val="auto"/>
                <w:sz w:val="24"/>
                <w:szCs w:val="24"/>
                <w:lang w:eastAsia="zh-CN"/>
              </w:rPr>
              <w:t>。</w:t>
            </w:r>
          </w:p>
        </w:tc>
        <w:tc>
          <w:tcPr>
            <w:tcW w:w="579" w:type="dxa"/>
            <w:vAlign w:val="center"/>
          </w:tcPr>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608" w:type="dxa"/>
            <w:gridSpan w:val="2"/>
            <w:vAlign w:val="center"/>
          </w:tcPr>
          <w:p>
            <w:pPr>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合计</w:t>
            </w:r>
          </w:p>
        </w:tc>
        <w:tc>
          <w:tcPr>
            <w:tcW w:w="579" w:type="dxa"/>
            <w:vAlign w:val="center"/>
          </w:tcPr>
          <w:p>
            <w:pPr>
              <w:snapToGrid w:val="0"/>
              <w:spacing w:line="32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100</w:t>
            </w:r>
          </w:p>
        </w:tc>
      </w:tr>
    </w:tbl>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bookmarkEnd w:id="109"/>
    <w:p>
      <w:pPr>
        <w:rPr>
          <w:color w:val="auto"/>
        </w:rPr>
      </w:pPr>
      <w:bookmarkStart w:id="122" w:name="_Toc15254"/>
      <w:r>
        <w:rPr>
          <w:color w:val="auto"/>
        </w:rPr>
        <w:br w:type="page"/>
      </w:r>
    </w:p>
    <w:bookmarkEnd w:id="122"/>
    <w:p>
      <w:pPr>
        <w:pStyle w:val="3"/>
        <w:numPr>
          <w:ilvl w:val="0"/>
          <w:numId w:val="3"/>
        </w:numPr>
        <w:spacing w:before="0" w:after="0"/>
        <w:jc w:val="left"/>
        <w:rPr>
          <w:rFonts w:hint="eastAsia" w:ascii="仿宋" w:hAnsi="仿宋" w:eastAsia="仿宋" w:cs="仿宋"/>
          <w:b/>
          <w:bCs/>
          <w:color w:val="auto"/>
          <w:sz w:val="28"/>
          <w:szCs w:val="28"/>
        </w:rPr>
      </w:pPr>
      <w:bookmarkStart w:id="123" w:name="_Toc186737810"/>
      <w:bookmarkStart w:id="124" w:name="_Toc24124"/>
      <w:r>
        <w:rPr>
          <w:rFonts w:hint="eastAsia" w:ascii="仿宋" w:hAnsi="仿宋" w:eastAsia="仿宋" w:cs="仿宋"/>
          <w:b/>
          <w:bCs/>
          <w:color w:val="auto"/>
          <w:sz w:val="28"/>
          <w:szCs w:val="28"/>
        </w:rPr>
        <w:t>合同条款</w:t>
      </w:r>
      <w:bookmarkEnd w:id="123"/>
      <w:bookmarkEnd w:id="124"/>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rPr>
      </w:pPr>
      <w:r>
        <w:rPr>
          <w:rFonts w:hint="eastAsia" w:ascii="仿宋" w:hAnsi="仿宋" w:eastAsia="仿宋" w:cs="仿宋"/>
          <w:b/>
          <w:color w:val="auto"/>
        </w:rPr>
        <w:t>甲方:</w:t>
      </w:r>
      <w:r>
        <w:rPr>
          <w:rFonts w:hint="eastAsia" w:ascii="仿宋" w:hAnsi="仿宋" w:eastAsia="仿宋" w:cs="仿宋"/>
          <w:color w:val="auto"/>
        </w:rPr>
        <w:t xml:space="preserve"> 中国人民财产保险股份有限公司</w:t>
      </w:r>
      <w:r>
        <w:rPr>
          <w:rFonts w:hint="eastAsia" w:ascii="仿宋" w:hAnsi="仿宋" w:eastAsia="仿宋" w:cs="仿宋"/>
          <w:color w:val="auto"/>
          <w:lang w:val="en-US" w:eastAsia="zh-CN"/>
        </w:rPr>
        <w:t>泸州</w:t>
      </w:r>
      <w:r>
        <w:rPr>
          <w:rFonts w:hint="eastAsia" w:ascii="仿宋" w:hAnsi="仿宋" w:eastAsia="仿宋" w:cs="仿宋"/>
          <w:color w:val="auto"/>
        </w:rPr>
        <w:t>市分公司</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rPr>
      </w:pPr>
      <w:r>
        <w:rPr>
          <w:rFonts w:hint="eastAsia" w:ascii="仿宋" w:hAnsi="仿宋" w:eastAsia="仿宋" w:cs="仿宋"/>
          <w:b/>
          <w:color w:val="auto"/>
        </w:rPr>
        <w:t>地址:</w:t>
      </w:r>
      <w:r>
        <w:rPr>
          <w:rFonts w:hint="eastAsia" w:ascii="仿宋" w:hAnsi="仿宋" w:eastAsia="仿宋" w:cs="仿宋"/>
          <w:color w:val="auto"/>
        </w:rPr>
        <w:t xml:space="preserve">  四川省泸州市江阳区江阳西路段163号1栋</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rPr>
      </w:pPr>
      <w:r>
        <w:rPr>
          <w:rFonts w:hint="eastAsia" w:ascii="仿宋" w:hAnsi="仿宋" w:eastAsia="仿宋" w:cs="仿宋"/>
          <w:color w:val="auto"/>
        </w:rPr>
        <w:t xml:space="preserve">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rPr>
      </w:pPr>
      <w:r>
        <w:rPr>
          <w:rFonts w:hint="eastAsia" w:ascii="仿宋" w:hAnsi="仿宋" w:eastAsia="仿宋" w:cs="仿宋"/>
          <w:b/>
          <w:color w:val="auto"/>
        </w:rPr>
        <w:t>乙方:</w:t>
      </w:r>
      <w:r>
        <w:rPr>
          <w:rFonts w:hint="eastAsia" w:ascii="仿宋" w:hAnsi="仿宋" w:eastAsia="仿宋" w:cs="仿宋"/>
          <w:color w:val="auto"/>
        </w:rPr>
        <w:t xml:space="preserve">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b/>
          <w:color w:val="auto"/>
        </w:rPr>
      </w:pPr>
      <w:r>
        <w:rPr>
          <w:rFonts w:hint="eastAsia" w:ascii="仿宋" w:hAnsi="仿宋" w:eastAsia="仿宋" w:cs="仿宋"/>
          <w:b/>
          <w:color w:val="auto"/>
        </w:rPr>
        <w:t xml:space="preserve">地址: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rPr>
      </w:pP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rPr>
      </w:pPr>
      <w:r>
        <w:rPr>
          <w:rFonts w:hint="eastAsia" w:ascii="仿宋" w:hAnsi="仿宋" w:eastAsia="仿宋" w:cs="仿宋"/>
          <w:b/>
          <w:color w:val="auto"/>
        </w:rPr>
        <w:t>鉴于</w:t>
      </w:r>
      <w:r>
        <w:rPr>
          <w:rFonts w:hint="eastAsia" w:ascii="仿宋" w:hAnsi="仿宋" w:eastAsia="仿宋" w:cs="仿宋"/>
          <w:color w:val="auto"/>
        </w:rPr>
        <w:t>：</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 xml:space="preserve">本合同双方当事人（1）均为依照中华人民共和国法律成立并有效存续的独立民事主体，（2）并且已经获得签署本合同的相应授权，（3）具备履行本合同所必须的资质和条件。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0" w:firstLineChars="200"/>
        <w:textAlignment w:val="auto"/>
        <w:rPr>
          <w:rFonts w:hint="eastAsia" w:ascii="仿宋" w:hAnsi="仿宋" w:eastAsia="仿宋" w:cs="仿宋"/>
          <w:b/>
          <w:bCs/>
          <w:color w:val="auto"/>
          <w:sz w:val="24"/>
          <w:szCs w:val="24"/>
        </w:rPr>
      </w:pPr>
      <w:r>
        <w:rPr>
          <w:rFonts w:hint="eastAsia" w:ascii="仿宋" w:hAnsi="仿宋" w:eastAsia="仿宋" w:cs="仿宋"/>
          <w:bCs/>
          <w:color w:val="auto"/>
        </w:rPr>
        <w:t>为保障双方的合法权益，根据《中华人民共和国合同法》及相关法律法规的规定,</w:t>
      </w:r>
      <w:r>
        <w:rPr>
          <w:rFonts w:hint="eastAsia" w:ascii="仿宋" w:hAnsi="仿宋" w:eastAsia="仿宋" w:cs="仿宋"/>
          <w:color w:val="auto"/>
        </w:rPr>
        <w:t xml:space="preserve"> 甲、乙双方在平等互利、协商一致的基础上，达成协议如下，以资共同遵照执行。</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商务部分</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第一条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项目内容及要求</w:t>
      </w:r>
      <w:r>
        <w:rPr>
          <w:rFonts w:hint="eastAsia" w:ascii="仿宋" w:hAnsi="仿宋" w:eastAsia="仿宋" w:cs="仿宋"/>
          <w:color w:val="auto"/>
          <w:sz w:val="24"/>
          <w:szCs w:val="24"/>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本合同项下甲乙双方约定的项目内容及要求见本合同【附件】。</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第二条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合同价格</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（一）本合同服务费用含税总额为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元(大写</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)，不含税总额为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元(大写</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)。合同价格明细见【附件】。</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二</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rPr>
        <w:t>） 本合同付款安排见【附件】。</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eastAsia="仿宋"/>
          <w:color w:val="auto"/>
          <w:lang w:eastAsia="zh-CN"/>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四</w:t>
      </w:r>
      <w:r>
        <w:rPr>
          <w:rFonts w:hint="eastAsia" w:ascii="仿宋" w:hAnsi="仿宋" w:eastAsia="仿宋" w:cs="仿宋"/>
          <w:color w:val="auto"/>
          <w:sz w:val="24"/>
          <w:szCs w:val="24"/>
        </w:rPr>
        <w:t>） 由于乙方未提供或未及时提供足额有效的增值税专用发票，或乙方变更账户信息但未提前通知甲方而导致的付款迟延，甲方不承担任何责任。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480" w:leftChars="200" w:firstLine="0" w:firstLineChars="0"/>
        <w:jc w:val="both"/>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第三条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双方的权利和义务</w:t>
      </w:r>
      <w:r>
        <w:rPr>
          <w:rFonts w:hint="eastAsia" w:ascii="仿宋" w:hAnsi="仿宋" w:eastAsia="仿宋" w:cs="仿宋"/>
          <w:color w:val="auto"/>
          <w:sz w:val="24"/>
          <w:szCs w:val="24"/>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除本合同约定的双方的权利义务外，甲乙双方在本合同项下的其他权利和义务见【附件】的约定。</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240" w:leftChars="100" w:firstLine="241" w:firstLineChars="1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第四条</w:t>
      </w:r>
      <w:r>
        <w:rPr>
          <w:rFonts w:hint="eastAsia" w:ascii="仿宋" w:hAnsi="仿宋" w:eastAsia="仿宋" w:cs="仿宋"/>
          <w:b/>
          <w:color w:val="auto"/>
          <w:sz w:val="24"/>
          <w:szCs w:val="24"/>
          <w:lang w:val="en-US" w:eastAsia="zh-CN"/>
        </w:rPr>
        <w:t xml:space="preserve"> </w:t>
      </w:r>
      <w:r>
        <w:rPr>
          <w:rFonts w:hint="eastAsia" w:ascii="仿宋" w:hAnsi="仿宋" w:eastAsia="仿宋" w:cs="仿宋"/>
          <w:b/>
          <w:bCs/>
          <w:color w:val="auto"/>
          <w:sz w:val="24"/>
          <w:szCs w:val="24"/>
        </w:rPr>
        <w:t>违约责任</w:t>
      </w:r>
      <w:r>
        <w:rPr>
          <w:rFonts w:hint="eastAsia" w:ascii="仿宋" w:hAnsi="仿宋" w:eastAsia="仿宋" w:cs="仿宋"/>
          <w:color w:val="auto"/>
          <w:sz w:val="24"/>
          <w:szCs w:val="24"/>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甲、乙任一方或双方违约的，违约一方应当向相对方承担相应的违约责任。违约责任</w:t>
      </w:r>
      <w:r>
        <w:rPr>
          <w:rFonts w:hint="eastAsia" w:ascii="仿宋" w:hAnsi="仿宋" w:eastAsia="仿宋" w:cs="仿宋"/>
          <w:color w:val="auto"/>
          <w:sz w:val="24"/>
          <w:szCs w:val="24"/>
          <w:lang w:val="en-US" w:eastAsia="zh-CN"/>
        </w:rPr>
        <w:t>的</w:t>
      </w:r>
      <w:r>
        <w:rPr>
          <w:rFonts w:hint="eastAsia" w:ascii="仿宋" w:hAnsi="仿宋" w:eastAsia="仿宋" w:cs="仿宋"/>
          <w:color w:val="auto"/>
          <w:sz w:val="24"/>
          <w:szCs w:val="24"/>
        </w:rPr>
        <w:t>具体约定见【附件】。</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rPr>
      </w:pPr>
      <w:r>
        <w:rPr>
          <w:rFonts w:hint="eastAsia" w:ascii="仿宋" w:hAnsi="仿宋" w:eastAsia="仿宋" w:cs="仿宋"/>
          <w:b/>
          <w:bCs/>
          <w:color w:val="auto"/>
          <w:sz w:val="24"/>
          <w:szCs w:val="24"/>
        </w:rPr>
        <w:t>通用部分</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 第五条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双方的权利和义务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 甲方的权利和义务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（1）甲方有权获得本合同项下乙方应提供的全部合格的服务；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（2）甲方有权在合同期内对乙方的产品及服务进行监督；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（3）乙方未按照合同约定履行义务的，甲方有权采取相应的措施；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（4）甲方应按照合同约定向乙方支付合同价款；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（5）甲方享有其它双方约定的权利、承担其它双方约定的义务。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（二） 乙方的权利和义务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（1）乙方有权获得甲方支付的合同价款；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（2）乙方应按照合同约定向甲方提供全部合格的服务；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（3）乙方应当按照合同约定的期限及要求完成项目内容；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（5）乙方享有其它双方约定的权利、承担其它双方约定的义务。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 第六条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禁止转让</w:t>
      </w:r>
      <w:r>
        <w:rPr>
          <w:rFonts w:hint="eastAsia" w:ascii="仿宋" w:hAnsi="仿宋" w:eastAsia="仿宋" w:cs="仿宋"/>
          <w:color w:val="auto"/>
          <w:sz w:val="24"/>
          <w:szCs w:val="24"/>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未经甲方事先书面同意，乙方不得将其本合同项下之全部义务或其中一部分义务转让给第三方执行。</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68" w:leftChars="0"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第</w:t>
      </w:r>
      <w:r>
        <w:rPr>
          <w:rFonts w:hint="eastAsia" w:ascii="仿宋" w:hAnsi="仿宋" w:eastAsia="仿宋" w:cs="仿宋"/>
          <w:b/>
          <w:color w:val="auto"/>
          <w:sz w:val="24"/>
          <w:szCs w:val="24"/>
          <w:lang w:val="en-US" w:eastAsia="zh-CN"/>
        </w:rPr>
        <w:t>七</w:t>
      </w:r>
      <w:r>
        <w:rPr>
          <w:rFonts w:hint="eastAsia" w:ascii="仿宋" w:hAnsi="仿宋" w:eastAsia="仿宋" w:cs="仿宋"/>
          <w:b/>
          <w:color w:val="auto"/>
          <w:sz w:val="24"/>
          <w:szCs w:val="24"/>
        </w:rPr>
        <w:t>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权利保证</w:t>
      </w:r>
      <w:r>
        <w:rPr>
          <w:rFonts w:hint="eastAsia" w:ascii="仿宋" w:hAnsi="仿宋" w:eastAsia="仿宋" w:cs="仿宋"/>
          <w:color w:val="auto"/>
          <w:sz w:val="24"/>
          <w:szCs w:val="24"/>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68" w:leftChars="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第八条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违约责任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由于甲方原因不能按合同约定时间付款的，每延迟10个工作日，甲方按合同应付金额的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向乙方支付违约金。</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乙方延迟交付的违约责任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（1）由于乙方原因造成项目延迟的，每延迟10个工作日，乙方向甲方支付违约金为合同服务费用总额的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（2）由于乙方原因造成项目迟延，经甲方催促后乙方继续延误的，甲方有权单方面解除合同，乙方应按照合同服务费用总额的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向甲方支付违约金，并赔偿由此引起的甲方全部损失。</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验收不合格并且乙方在甲方指定期限内无法完成整改、提交合格的工作成果的，乙方应向甲方支付合同服务费用总额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的违约金，并赔偿由此引起的甲方全部损失。</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 如果乙方违反本合同约定的保密义务，乙方应向甲方支付相当于合同服务费用总额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的违约金，甲方受到的损失超出违约金的部分，由乙方继续承担赔偿责任。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 除本合同的约定外，因乙方的违约行为给甲方造成损失的，乙方应向甲方支付相当于合同服务费用总额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的违约金，如甲方受到的损失超过违约金的，超出部分由乙方继续承担赔偿责任。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第九条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保密义务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乙方在本合同中所受领的保密信息应及时返还甲方或在甲方监督下予以销毁。乙方擅自留存备份信息，视为违反保密约定。</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 无论本合同因何种原因终止，本保密条款依然有效。</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第十条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不可抗力</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 合同一方迟延履行后发生不可抗力的，不能免除其责任。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第十一条</w:t>
      </w:r>
      <w:r>
        <w:rPr>
          <w:rFonts w:hint="eastAsia" w:ascii="仿宋" w:hAnsi="仿宋" w:eastAsia="仿宋" w:cs="仿宋"/>
          <w:color w:val="auto"/>
          <w:sz w:val="24"/>
          <w:szCs w:val="24"/>
        </w:rPr>
        <w:t xml:space="preserve"> 合同变更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对本合同的任何变更或补充，须经甲乙双方协商一致，并另行签订书面补充协议。</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第十二条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合同特别终止</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 甲乙双方同意在乙方出现下列情形时，甲方可以书面形式通知乙方（或者乙方的破产清算组或相关管理人）提出终止合同而不向其提供任何补偿：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（1）乙方破产、解散（包括但不限于乙方股东会决议解散、乙方被吊销营业执照、被责令关闭、被撤销、被司法机关裁决解散等情形）；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 如果因上述原因导致本合同终止，甲方已经采取或者将要采取任何补救措施的权利不受任何影响。</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第十三条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法律适用与争议解决</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 本合同的订立、效力、解释、履行和争议的解决均适用中华人民共和国法律（不包括港澳台地区法律）。</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（二） </w:t>
      </w:r>
      <w:r>
        <w:rPr>
          <w:rFonts w:hint="eastAsia" w:ascii="仿宋" w:hAnsi="仿宋" w:eastAsia="仿宋" w:cs="仿宋"/>
          <w:b/>
          <w:bCs/>
          <w:color w:val="auto"/>
          <w:sz w:val="24"/>
          <w:szCs w:val="24"/>
        </w:rPr>
        <w:t>争议解决</w:t>
      </w:r>
      <w:r>
        <w:rPr>
          <w:rFonts w:hint="eastAsia" w:ascii="仿宋" w:hAnsi="仿宋" w:eastAsia="仿宋" w:cs="仿宋"/>
          <w:color w:val="auto"/>
          <w:sz w:val="24"/>
          <w:szCs w:val="24"/>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凡因本合同引起的或与本合同有关的任何争议，双方首先应友好协商解决。协商不成的，任何一方均可向甲方所在地有管辖权的法院提起诉讼。</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 第十四条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合同生效及其他</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本合同经甲乙双方法定代表人或授权代表签字并加盖公章后生效。</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合同期限自</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日始，至</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日止。</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本合同一式</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份，其中正本</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份，副本</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份。甲方执</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份正本，</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份副本；乙方执</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份正本，</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份副本。</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（六） 由于法律和法规、政策而导致本合同任何条款无效或无法执行，则该条款无效，但不影响剩余其他条款的效力。</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330"/>
        <w:textAlignment w:val="auto"/>
        <w:rPr>
          <w:rFonts w:hint="eastAsia" w:ascii="仿宋" w:hAnsi="仿宋" w:eastAsia="仿宋" w:cs="仿宋"/>
          <w:color w:val="auto"/>
          <w:sz w:val="24"/>
          <w:szCs w:val="24"/>
        </w:rPr>
      </w:pPr>
      <w:r>
        <w:rPr>
          <w:rFonts w:hint="eastAsia" w:ascii="仿宋" w:hAnsi="仿宋" w:eastAsia="仿宋" w:cs="仿宋"/>
          <w:b/>
          <w:color w:val="auto"/>
          <w:sz w:val="24"/>
          <w:szCs w:val="24"/>
        </w:rPr>
        <w:t>第十五条</w:t>
      </w:r>
      <w:r>
        <w:rPr>
          <w:rFonts w:hint="eastAsia" w:ascii="仿宋" w:hAnsi="仿宋" w:eastAsia="仿宋" w:cs="仿宋"/>
          <w:color w:val="auto"/>
          <w:sz w:val="24"/>
          <w:szCs w:val="24"/>
        </w:rPr>
        <w:t xml:space="preserve"> 附件的组成</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附件一、服务内容及要求</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附件二、付款</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w:t>
      </w:r>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廉洁诚信协议</w:t>
      </w:r>
    </w:p>
    <w:p>
      <w:pP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协议签字页</w:t>
      </w:r>
      <w:r>
        <w:rPr>
          <w:rFonts w:hint="eastAsia" w:ascii="仿宋" w:hAnsi="仿宋" w:eastAsia="仿宋" w:cs="仿宋"/>
          <w:color w:val="auto"/>
          <w:sz w:val="28"/>
          <w:szCs w:val="28"/>
          <w:lang w:eastAsia="zh-CN"/>
        </w:rPr>
        <w:t>）</w:t>
      </w:r>
    </w:p>
    <w:p>
      <w:pPr>
        <w:pStyle w:val="2"/>
        <w:rPr>
          <w:rFonts w:hint="eastAsia" w:ascii="仿宋" w:hAnsi="仿宋" w:eastAsia="仿宋" w:cs="仿宋"/>
          <w:color w:val="auto"/>
          <w:sz w:val="28"/>
          <w:szCs w:val="28"/>
        </w:rPr>
      </w:pPr>
    </w:p>
    <w:p>
      <w:pPr>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兹证明，各方于</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年</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月</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签订本合同。</w:t>
      </w:r>
    </w:p>
    <w:p>
      <w:pPr>
        <w:pStyle w:val="2"/>
        <w:rPr>
          <w:rFonts w:hint="eastAsia" w:ascii="仿宋" w:hAnsi="仿宋" w:eastAsia="仿宋" w:cs="仿宋"/>
          <w:color w:val="auto"/>
          <w:sz w:val="28"/>
          <w:szCs w:val="28"/>
          <w:lang w:val="en-US" w:eastAsia="zh-CN"/>
        </w:rPr>
      </w:pPr>
    </w:p>
    <w:p>
      <w:pPr>
        <w:pStyle w:val="2"/>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甲方（盖章）：中国人民财产保险股份有限公司泸州市分公司</w:t>
      </w:r>
    </w:p>
    <w:p>
      <w:pP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法定代表人/授权代表（签字）：</w:t>
      </w:r>
    </w:p>
    <w:p>
      <w:pPr>
        <w:pStyle w:val="2"/>
        <w:rPr>
          <w:rFonts w:hint="eastAsia" w:ascii="仿宋" w:hAnsi="仿宋" w:eastAsia="仿宋" w:cs="仿宋"/>
          <w:color w:val="auto"/>
          <w:sz w:val="28"/>
          <w:szCs w:val="28"/>
          <w:lang w:val="en-US" w:eastAsia="zh-CN"/>
        </w:rPr>
      </w:pPr>
    </w:p>
    <w:p>
      <w:pPr>
        <w:pStyle w:val="2"/>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乙方（盖章）：</w:t>
      </w:r>
    </w:p>
    <w:p>
      <w:pPr>
        <w:rPr>
          <w:rFonts w:hint="default"/>
          <w:color w:val="auto"/>
          <w:sz w:val="28"/>
          <w:szCs w:val="28"/>
          <w:lang w:val="en-US" w:eastAsia="zh-CN"/>
        </w:rPr>
      </w:pPr>
      <w:r>
        <w:rPr>
          <w:rFonts w:hint="eastAsia" w:ascii="仿宋" w:hAnsi="仿宋" w:eastAsia="仿宋" w:cs="仿宋"/>
          <w:color w:val="auto"/>
          <w:sz w:val="28"/>
          <w:szCs w:val="28"/>
          <w:lang w:val="en-US" w:eastAsia="zh-CN"/>
        </w:rPr>
        <w:t>法定代表人/授权代表（签字）：</w:t>
      </w:r>
    </w:p>
    <w:p>
      <w:pPr>
        <w:rPr>
          <w:color w:val="auto"/>
        </w:rPr>
      </w:pPr>
      <w:r>
        <w:rPr>
          <w:color w:val="auto"/>
        </w:rPr>
        <w:br w:type="page"/>
      </w:r>
    </w:p>
    <w:p>
      <w:pPr>
        <w:bidi w:val="0"/>
        <w:rPr>
          <w:rFonts w:hint="eastAsia" w:ascii="仿宋" w:hAnsi="仿宋" w:eastAsia="仿宋" w:cs="仿宋"/>
          <w:b/>
          <w:bCs/>
          <w:color w:val="auto"/>
          <w:sz w:val="24"/>
          <w:szCs w:val="24"/>
        </w:rPr>
      </w:pPr>
      <w:r>
        <w:rPr>
          <w:rFonts w:hint="eastAsia" w:ascii="仿宋" w:hAnsi="仿宋" w:eastAsia="仿宋" w:cs="仿宋"/>
          <w:b/>
          <w:bCs/>
          <w:color w:val="auto"/>
          <w:sz w:val="24"/>
          <w:szCs w:val="24"/>
        </w:rPr>
        <w:t>附件一</w:t>
      </w:r>
      <w:r>
        <w:rPr>
          <w:rFonts w:hint="eastAsia" w:ascii="仿宋" w:hAnsi="仿宋" w:eastAsia="仿宋" w:cs="仿宋"/>
          <w:b/>
          <w:bCs/>
          <w:color w:val="auto"/>
          <w:sz w:val="24"/>
          <w:szCs w:val="24"/>
        </w:rPr>
        <w:tab/>
      </w:r>
    </w:p>
    <w:p>
      <w:pPr>
        <w:keepNext w:val="0"/>
        <w:keepLines w:val="0"/>
        <w:pageBreakBefore w:val="0"/>
        <w:widowControl w:val="0"/>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服务内容及要求</w:t>
      </w:r>
    </w:p>
    <w:p>
      <w:pPr>
        <w:tabs>
          <w:tab w:val="left" w:pos="165"/>
          <w:tab w:val="left" w:pos="315"/>
        </w:tabs>
        <w:autoSpaceDE w:val="0"/>
        <w:autoSpaceDN w:val="0"/>
        <w:spacing w:line="360" w:lineRule="auto"/>
        <w:ind w:firstLine="470"/>
        <w:jc w:val="both"/>
        <w:rPr>
          <w:rFonts w:hint="eastAsia" w:ascii="仿宋" w:hAnsi="仿宋" w:eastAsia="仿宋" w:cs="仿宋"/>
          <w:color w:val="auto"/>
          <w:sz w:val="24"/>
          <w:szCs w:val="24"/>
          <w14:shadow w14:blurRad="38100" w14:dist="19050" w14:dir="2700000" w14:sx="100000" w14:sy="100000" w14:kx="0" w14:ky="0" w14:algn="tl">
            <w14:schemeClr w14:val="dk1">
              <w14:alpha w14:val="60000"/>
            </w14:schemeClr>
          </w14:shadow>
        </w:rPr>
      </w:pPr>
    </w:p>
    <w:p>
      <w:pPr>
        <w:autoSpaceDE w:val="0"/>
        <w:autoSpaceDN w:val="0"/>
        <w:spacing w:line="360" w:lineRule="auto"/>
        <w:ind w:firstLine="480" w:firstLineChars="200"/>
        <w:jc w:val="both"/>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1.项目名称</w:t>
      </w:r>
    </w:p>
    <w:p>
      <w:pPr>
        <w:autoSpaceDE w:val="0"/>
        <w:autoSpaceDN w:val="0"/>
        <w:spacing w:line="360" w:lineRule="auto"/>
        <w:ind w:firstLine="480" w:firstLineChars="200"/>
        <w:jc w:val="both"/>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项目名称：人保财险四川省泸州市分公司车内视频宣传采购项目。</w:t>
      </w:r>
    </w:p>
    <w:p>
      <w:pPr>
        <w:autoSpaceDE w:val="0"/>
        <w:autoSpaceDN w:val="0"/>
        <w:spacing w:line="360" w:lineRule="auto"/>
        <w:ind w:firstLine="480" w:firstLineChars="200"/>
        <w:jc w:val="both"/>
        <w:rPr>
          <w:rFonts w:hint="default"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 项目内容及要求</w:t>
      </w:r>
    </w:p>
    <w:p>
      <w:pPr>
        <w:autoSpaceDE w:val="0"/>
        <w:autoSpaceDN w:val="0"/>
        <w:spacing w:line="360" w:lineRule="auto"/>
        <w:ind w:firstLine="480" w:firstLineChars="200"/>
        <w:jc w:val="both"/>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（1）乙方向甲方提供的服务的内容：负责发布车内视频，投</w:t>
      </w:r>
      <w:r>
        <w:rPr>
          <w:rFonts w:hint="eastAsia" w:ascii="仿宋" w:hAnsi="仿宋" w:eastAsia="仿宋" w:cs="仿宋"/>
          <w:b w:val="0"/>
          <w:bCs w:val="0"/>
          <w:color w:val="auto"/>
          <w:kern w:val="0"/>
          <w:sz w:val="24"/>
          <w:szCs w:val="24"/>
          <w:u w:val="none"/>
          <w:lang w:val="en-US" w:eastAsia="zh-CN" w:bidi="ar"/>
        </w:rPr>
        <w:t>放55辆</w:t>
      </w:r>
      <w:r>
        <w:rPr>
          <w:rFonts w:hint="eastAsia" w:ascii="仿宋" w:hAnsi="仿宋" w:eastAsia="仿宋" w:cs="仿宋"/>
          <w:b w:val="0"/>
          <w:bCs w:val="0"/>
          <w:color w:val="auto"/>
          <w:kern w:val="0"/>
          <w:sz w:val="24"/>
          <w:szCs w:val="24"/>
          <w:lang w:val="en-US" w:eastAsia="zh-CN" w:bidi="ar"/>
        </w:rPr>
        <w:t>营运客车，每天播放不得低于60次，每次不低于20秒，投放时间3个月。合同价格含税</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元（大写：</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），不含税</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元（大写：</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w:t>
      </w:r>
    </w:p>
    <w:p>
      <w:pPr>
        <w:autoSpaceDE w:val="0"/>
        <w:autoSpaceDN w:val="0"/>
        <w:spacing w:line="360" w:lineRule="auto"/>
        <w:ind w:firstLine="480" w:firstLineChars="200"/>
        <w:jc w:val="both"/>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（2）宣传期：</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年</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月</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日至</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 xml:space="preserve"> 年</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月</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日。</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color w:val="auto"/>
          <w:lang w:val="en-US" w:eastAsia="zh-CN"/>
        </w:rPr>
      </w:pPr>
      <w:r>
        <w:rPr>
          <w:rFonts w:hint="eastAsia" w:ascii="仿宋" w:hAnsi="仿宋" w:eastAsia="仿宋" w:cs="仿宋"/>
          <w:b w:val="0"/>
          <w:bCs w:val="0"/>
          <w:color w:val="auto"/>
          <w:kern w:val="0"/>
          <w:sz w:val="24"/>
          <w:szCs w:val="24"/>
          <w:lang w:val="en-US" w:eastAsia="zh-CN" w:bidi="ar"/>
        </w:rPr>
        <w:t>（3）服务活动过程中使用第三方物权过程中发生的法律纠纷和经济责任由合同乙方负责。</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color w:val="auto"/>
          <w:sz w:val="24"/>
          <w:szCs w:val="24"/>
          <w:lang w:val="en-US" w:eastAsia="zh-CN"/>
        </w:rPr>
        <w:t xml:space="preserve">    </w:t>
      </w:r>
      <w:r>
        <w:rPr>
          <w:rFonts w:hint="eastAsia" w:ascii="仿宋" w:hAnsi="仿宋" w:eastAsia="仿宋" w:cs="仿宋"/>
          <w:b w:val="0"/>
          <w:bCs w:val="0"/>
          <w:color w:val="auto"/>
          <w:kern w:val="0"/>
          <w:sz w:val="24"/>
          <w:szCs w:val="24"/>
          <w:lang w:val="en-US" w:eastAsia="zh-CN" w:bidi="ar"/>
        </w:rPr>
        <w:t>3.告知</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80" w:firstLineChars="2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甲乙双方同意涉及本合同的一切事宜均以书面形式提交，双方应及时响应。</w:t>
      </w:r>
    </w:p>
    <w:p>
      <w:pPr>
        <w:keepNext w:val="0"/>
        <w:keepLines w:val="0"/>
        <w:pageBreakBefore w:val="0"/>
        <w:widowControl w:val="0"/>
        <w:tabs>
          <w:tab w:val="left" w:pos="315"/>
        </w:tabs>
        <w:kinsoku/>
        <w:wordWrap/>
        <w:overflowPunct/>
        <w:topLinePunct w:val="0"/>
        <w:autoSpaceDE w:val="0"/>
        <w:autoSpaceDN w:val="0"/>
        <w:bidi w:val="0"/>
        <w:adjustRightInd/>
        <w:snapToGrid/>
        <w:spacing w:line="460" w:lineRule="exact"/>
        <w:ind w:firstLine="468" w:firstLineChars="195"/>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4.问题项目处理</w:t>
      </w:r>
    </w:p>
    <w:p>
      <w:pPr>
        <w:keepNext w:val="0"/>
        <w:keepLines w:val="0"/>
        <w:pageBreakBefore w:val="0"/>
        <w:widowControl w:val="0"/>
        <w:kinsoku/>
        <w:wordWrap/>
        <w:overflowPunct/>
        <w:topLinePunct w:val="0"/>
        <w:bidi w:val="0"/>
        <w:adjustRightInd/>
        <w:snapToGrid/>
        <w:spacing w:line="460" w:lineRule="exact"/>
        <w:textAlignment w:val="auto"/>
        <w:rPr>
          <w:rFonts w:hint="default" w:ascii="仿宋" w:hAnsi="仿宋" w:eastAsia="仿宋" w:cs="仿宋"/>
          <w:color w:val="auto"/>
          <w:sz w:val="24"/>
          <w:szCs w:val="24"/>
          <w:lang w:val="en-US" w:eastAsia="zh-CN"/>
        </w:rPr>
        <w:sectPr>
          <w:footerReference r:id="rId7" w:type="default"/>
          <w:pgSz w:w="11906" w:h="16838"/>
          <w:pgMar w:top="1361" w:right="1418" w:bottom="1361" w:left="1418" w:header="851" w:footer="992" w:gutter="0"/>
          <w:pgNumType w:fmt="decimal"/>
          <w:cols w:space="720" w:num="1"/>
          <w:docGrid w:type="lines" w:linePitch="312" w:charSpace="0"/>
        </w:sectPr>
      </w:pPr>
      <w:r>
        <w:rPr>
          <w:rFonts w:hint="eastAsia" w:ascii="仿宋" w:hAnsi="仿宋" w:eastAsia="仿宋" w:cs="仿宋"/>
          <w:b w:val="0"/>
          <w:bCs w:val="0"/>
          <w:color w:val="auto"/>
          <w:kern w:val="0"/>
          <w:sz w:val="24"/>
          <w:szCs w:val="24"/>
          <w:lang w:val="en-US" w:eastAsia="zh-CN" w:bidi="ar"/>
        </w:rPr>
        <w:t xml:space="preserve">    问题项目的处理应按照甲方项目管理规范的要求进行。在项目实施过程中，如因乙方原因造成项目出现异常且在3天内乙方未改变问题项目现状，则甲方有权终止该项目，并拒绝支付全部款项，甲方有权要求乙方退回已收取的合同费用，并保留向乙方追偿损失的权利。</w:t>
      </w:r>
    </w:p>
    <w:p>
      <w:pPr>
        <w:bidi w:val="0"/>
        <w:rPr>
          <w:rFonts w:hint="eastAsia" w:ascii="仿宋" w:hAnsi="仿宋" w:eastAsia="仿宋" w:cs="仿宋"/>
          <w:b/>
          <w:bCs/>
          <w:color w:val="auto"/>
          <w:sz w:val="24"/>
          <w:szCs w:val="24"/>
        </w:rPr>
      </w:pPr>
      <w:r>
        <w:rPr>
          <w:rFonts w:hint="eastAsia" w:ascii="仿宋" w:hAnsi="仿宋" w:eastAsia="仿宋" w:cs="仿宋"/>
          <w:b/>
          <w:bCs/>
          <w:color w:val="auto"/>
          <w:sz w:val="24"/>
          <w:szCs w:val="24"/>
        </w:rPr>
        <w:t>附件二</w:t>
      </w:r>
    </w:p>
    <w:p>
      <w:pPr>
        <w:rPr>
          <w:rFonts w:hint="eastAsia" w:ascii="楷体" w:hAnsi="楷体" w:eastAsia="楷体" w:cs="楷体"/>
          <w:b/>
          <w:color w:val="auto"/>
          <w:sz w:val="24"/>
          <w:szCs w:val="24"/>
          <w:shd w:val="clear" w:color="auto" w:fill="FFFFFF"/>
        </w:rPr>
      </w:pP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080" w:firstLineChars="17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付款</w:t>
      </w:r>
    </w:p>
    <w:p>
      <w:pPr>
        <w:pStyle w:val="2"/>
        <w:pageBreakBefore w:val="0"/>
        <w:kinsoku/>
        <w:wordWrap/>
        <w:overflowPunct/>
        <w:topLinePunct w:val="0"/>
        <w:bidi w:val="0"/>
        <w:adjustRightInd/>
        <w:snapToGrid/>
        <w:spacing w:line="460" w:lineRule="exact"/>
        <w:textAlignment w:val="auto"/>
        <w:rPr>
          <w:rFonts w:hint="eastAsia" w:ascii="仿宋" w:hAnsi="仿宋" w:eastAsia="仿宋" w:cs="仿宋"/>
          <w:color w:val="auto"/>
          <w:sz w:val="24"/>
          <w:szCs w:val="24"/>
          <w:lang w:val="en-US" w:eastAsia="zh-CN"/>
        </w:rPr>
      </w:pP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1.本合同使用货币种类为人民币。</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2.付款方式：双方采用转账方式付款，甲方应向乙方以下账户进行支付：</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乙方：</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开户行：</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账户名称：</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账号：</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乙方如需改变上述账户，应提前10日以书面通知甲方。</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3.付款安排</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本合同服务费用为人民币______元（大写：__________）。费用分两期结算：</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首次结算为乙方完成视频发布，甲方根据项目约定的服务内容、数量及规格验收无误后，乙方向甲方提供合规有效的增值税专用发票，甲方在收到合格发票后，支付总费用的70%，对应金额______元；</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第二次结算为宣传期2个月后，乙方向甲方提供合规有效的增值税专用发票，甲方在收到合格发票后，支付总费用剩余的30%，对应金额______元。    </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4.增值税专用发票的相关约定</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（1）乙方应向甲方开具增值税专用发票，甲方开票信息如下： </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公司名称：中国人民财产保险股份有限公司泸州市分公司</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纳税识别号：915105009047030323</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银行账号：2304342109023100136</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开户银行：中国工商银行泸州市大山坪支行</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开票地址：四川省泸州市江阳区江阳西路段163号1栋</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开票电话： 0830-3198644</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（2）乙方同时向甲方公司及其分支机构提供产品及服务的，双方应在合同中约定甲方的分支机构和对应的价款。乙方应分别对清单中的费用承担方开具相应金额的增值税专用发票；</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（3）多次分批的增值税专用发票的开具、提交以及双方收付款，乙方开具并提交甲方的增值税专用发票的价税合计金额应与甲方已经支付的价税合计款项保持一致； </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pageBreakBefore w:val="0"/>
        <w:kinsoku/>
        <w:wordWrap/>
        <w:overflowPunct/>
        <w:topLinePunct w:val="0"/>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b w:val="0"/>
          <w:bCs w:val="0"/>
          <w:color w:val="auto"/>
          <w:kern w:val="0"/>
          <w:sz w:val="24"/>
          <w:szCs w:val="24"/>
          <w:lang w:val="en-US" w:eastAsia="zh-CN" w:bidi="ar"/>
        </w:rPr>
        <w:t xml:space="preserve">   （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rPr>
          <w:rFonts w:hint="eastAsia" w:ascii="仿宋" w:hAnsi="仿宋" w:eastAsia="仿宋" w:cs="仿宋"/>
          <w:b/>
          <w:bCs/>
          <w:color w:val="auto"/>
          <w:sz w:val="24"/>
          <w:szCs w:val="24"/>
        </w:rPr>
      </w:pPr>
    </w:p>
    <w:p>
      <w:pPr>
        <w:rPr>
          <w:rFonts w:hint="eastAsia" w:ascii="仿宋" w:hAnsi="仿宋" w:eastAsia="仿宋" w:cs="仿宋"/>
          <w:b/>
          <w:bCs/>
          <w:color w:val="auto"/>
          <w:sz w:val="24"/>
          <w:szCs w:val="24"/>
        </w:rPr>
      </w:pPr>
      <w:r>
        <w:rPr>
          <w:rFonts w:hint="eastAsia" w:ascii="仿宋" w:hAnsi="仿宋" w:eastAsia="仿宋" w:cs="仿宋"/>
          <w:b/>
          <w:bCs/>
          <w:color w:val="auto"/>
          <w:sz w:val="24"/>
          <w:szCs w:val="24"/>
        </w:rPr>
        <w:br w:type="page"/>
      </w:r>
    </w:p>
    <w:p>
      <w:pP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rPr>
        <w:t>附件</w:t>
      </w:r>
      <w:r>
        <w:rPr>
          <w:rFonts w:hint="eastAsia" w:ascii="仿宋" w:hAnsi="仿宋" w:eastAsia="仿宋" w:cs="仿宋"/>
          <w:b/>
          <w:bCs/>
          <w:color w:val="auto"/>
          <w:sz w:val="24"/>
          <w:szCs w:val="24"/>
          <w:lang w:val="en-US" w:eastAsia="zh-CN"/>
        </w:rPr>
        <w:t>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left="0" w:right="0"/>
        <w:jc w:val="center"/>
        <w:outlineLvl w:val="9"/>
        <w:rPr>
          <w:rFonts w:hint="eastAsia" w:ascii="仿宋" w:hAnsi="仿宋" w:eastAsia="仿宋" w:cs="仿宋"/>
          <w:b/>
          <w:bCs/>
          <w:color w:val="auto"/>
          <w:spacing w:val="20"/>
          <w:sz w:val="28"/>
          <w:szCs w:val="28"/>
          <w:lang w:val="en-US"/>
        </w:rPr>
      </w:pPr>
      <w:r>
        <w:rPr>
          <w:rFonts w:hint="eastAsia" w:ascii="仿宋" w:hAnsi="仿宋" w:eastAsia="仿宋" w:cs="仿宋"/>
          <w:b/>
          <w:bCs/>
          <w:color w:val="auto"/>
          <w:spacing w:val="20"/>
          <w:kern w:val="2"/>
          <w:sz w:val="28"/>
          <w:szCs w:val="28"/>
          <w:lang w:val="en-US" w:eastAsia="zh-CN" w:bidi="ar"/>
        </w:rPr>
        <w:t>廉洁诚信协议</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right="0" w:firstLine="480" w:firstLineChars="200"/>
        <w:jc w:val="both"/>
        <w:textAlignment w:val="baseline"/>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第一条  总则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1.3本协议所称相关主体，对任何一方而言，包括但不限于以下单位或者个人：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（1）一方或其关联方之工作人员；</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（2）受一方委托办理相关事务的单位或者个人；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（3）利用职权或者影响力影响交易的单位或者个人；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（4）前述相关人员的亲属；</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（5）与前述相关主体存在利害关系的其他单位或者人员。</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乙方相关主体实施违反本协议约定之行为的，均应视为乙方实施行为。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第二条  商业贿赂</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2.3本条第1款所称其他形式，包括但不限于：</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（1）以任何方式实施商业贿赂或违规提供回扣、折扣、宴请与游玩活动或其他不正当利益；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（2）为甲方或甲方相关主体安排有可能影响公平、公正交易的宴请、健身、娱乐等活动；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（3）为甲方或甲方相关主体投资入股、个人借款或买卖股票、债券等提供方便；</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（4）为甲方或甲方相关主体购买或装修住房、婚丧嫁娶、配偶子女上学或工作安排以及出国出境、旅游等提供方便；</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（5）违反规定为甲方或甲方相关主体在乙方相关企业工作、挂名兼职、合伙经营、介绍承揽业务等提供方便；</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（6）向甲方或甲方相关主体提供借款、融资、担保等；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（7）给予或承诺给予其不正当利益的其他行为；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（8）其他违反国家法律法规或商业道德准则的影响公正交易的行为。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第三条  回扣</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3.3乙方在账外暗中给予甲方相关主体回扣的，视为实施商业贿赂行为。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第四条  折扣</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4.4乙方违反本条约定的，视为实施商业贿赂行为。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第五条  宴请与游玩活动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5.2乙方不得为甲方相关主体提供各种形式的旅游、健身、KTV、酒吧、按摩、赌博、色情等娱乐休闲活动。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5.3乙方违反本条约定的，视为实施商业贿赂行为。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第六条  禁止行为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双方一致同意双方或双方相关主体的如下行为是应当禁止的营私舞弊或腐败行为：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6.1甲方及甲方相关主体向乙方索要或收受财物或其他形式的财产性利益、非财产性利益。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6.2乙方及乙方相关主体向甲方或甲方相关主体提供财物或其他形式的财产性利益、非财产性利益，包括但不限于：</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（1）报销甲方相关主体的私人费用；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（2）提供超过宴请标准的宴请或娱乐活动；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（3）介绍甲方相关主体亲友到乙方处工作；</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（4）提出、邀请或事实上接受甲方相关主体在乙方参股或参与乙方经营活动；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（5）组织或向甲方相关主体提供旅游等代偿活动利益；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（6）向甲方相关主体提供借款、融资、担保等；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（7）给予或承诺给予甲方相关主体不正当利益的其他行为；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（8）其他违反本协议约定、国家法律法规或商业道德准则的影响公正交易的行为。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第七条  乙方承诺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乙方承诺在双方的商务接洽、合同关系、交易过程中遵守如下要求：</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7.1 避免利害关系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7.2 恪守廉洁自律原则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7.3 恪守诚实信用原则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7.3.3严格遵守甲方的供应商行为准则、合作协议、保密承诺书等政策文件中的相关规定。</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7.3.5严格遵守国家相关法律法规及甲方的管理规定，不参与任何违法活动。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7.3.6承诺实事求是，不对内部或社会传递任何虚假信息，严格遵守保密协议，不透露任何甲方的商业机密。</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7.3.7未经甲方同意，不向任何新闻媒体、第三方述及有关甲方工作人员恪守商业道德方面的评价、信息。</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7.4 确保信息公开透明</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7.4.1主动向甲方披露与采购项目相关的信息，包括乙方真实情况、产品价格、技术参数、服务团队信息、履约情况等。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7.4.2不利用非法手段向甲方及甲方相关主体打探有关涉及甲方及甲方相关主体的商业秘密、人员信息、采购信息等。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7.5 积极配合监督举报</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7.6 加强内部廉洁管理</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7.6.2设立监督机制：通过专门的监督机构或人员，对乙方的业务活动进行实时监督，确保员工行为的合规性。</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7.6.3建立举报制度：鼓励员工积极举报违规行为，对举报人予以保护并给予奖励。</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第八条  违约责任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8.3 如乙方违反本协议任何约定或承诺，</w:t>
      </w:r>
      <w:r>
        <w:rPr>
          <w:rFonts w:hint="eastAsia" w:ascii="仿宋" w:hAnsi="仿宋" w:eastAsia="仿宋" w:cs="仿宋"/>
          <w:b/>
          <w:bCs/>
          <w:color w:val="auto"/>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8.4</w:t>
      </w:r>
      <w:r>
        <w:rPr>
          <w:rFonts w:hint="eastAsia" w:ascii="仿宋" w:hAnsi="仿宋" w:eastAsia="仿宋" w:cs="仿宋"/>
          <w:b/>
          <w:bCs/>
          <w:color w:val="auto"/>
          <w:kern w:val="2"/>
          <w:sz w:val="24"/>
          <w:szCs w:val="24"/>
          <w:lang w:val="en-US" w:eastAsia="zh-CN" w:bidi="ar"/>
        </w:rPr>
        <w:t>甲方及甲方子公司按照前述条款要求乙方承担赔偿责任的，</w:t>
      </w:r>
      <w:r>
        <w:rPr>
          <w:rFonts w:hint="eastAsia" w:ascii="仿宋" w:hAnsi="仿宋" w:eastAsia="仿宋" w:cs="仿宋"/>
          <w:color w:val="auto"/>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8.5乙方知悉并同意，对于上述情形的处理甲方有完全的判断权和自主权。</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第九条  附则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kern w:val="2"/>
          <w:sz w:val="24"/>
          <w:szCs w:val="24"/>
          <w:lang w:val="en-US" w:eastAsia="zh-CN" w:bidi="ar"/>
        </w:rPr>
      </w:pPr>
      <w:r>
        <w:rPr>
          <w:rFonts w:hint="eastAsia" w:ascii="仿宋" w:hAnsi="仿宋" w:eastAsia="仿宋" w:cs="仿宋"/>
          <w:color w:val="auto"/>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color w:val="auto"/>
          <w:sz w:val="24"/>
          <w:szCs w:val="24"/>
          <w:lang w:val="en-US" w:eastAsia="zh-CN"/>
        </w:rPr>
      </w:pPr>
      <w:r>
        <w:rPr>
          <w:rFonts w:hint="eastAsia" w:ascii="仿宋" w:hAnsi="仿宋" w:eastAsia="仿宋" w:cs="仿宋"/>
          <w:color w:val="auto"/>
          <w:kern w:val="2"/>
          <w:sz w:val="24"/>
          <w:szCs w:val="24"/>
          <w:lang w:val="en-US" w:eastAsia="zh-CN" w:bidi="ar"/>
        </w:rPr>
        <w:t>9.5本协议长期有效。</w:t>
      </w:r>
    </w:p>
    <w:p>
      <w:pPr>
        <w:pStyle w:val="3"/>
        <w:pageBreakBefore/>
        <w:ind w:left="240" w:leftChars="100" w:firstLine="3373" w:firstLineChars="1200"/>
        <w:jc w:val="left"/>
        <w:rPr>
          <w:rFonts w:ascii="仿宋_GB2312" w:hAnsi="宋体" w:eastAsia="仿宋_GB2312"/>
          <w:color w:val="auto"/>
          <w:sz w:val="28"/>
          <w:szCs w:val="28"/>
        </w:rPr>
      </w:pPr>
      <w:bookmarkStart w:id="125" w:name="_Toc4181"/>
      <w:bookmarkStart w:id="126" w:name="_Toc4541"/>
      <w:r>
        <w:rPr>
          <w:rFonts w:hint="eastAsia" w:ascii="仿宋_GB2312" w:hAnsi="宋体" w:eastAsia="仿宋_GB2312"/>
          <w:color w:val="auto"/>
          <w:sz w:val="28"/>
          <w:szCs w:val="28"/>
        </w:rPr>
        <w:t>第五章 采购</w:t>
      </w:r>
      <w:bookmarkEnd w:id="125"/>
      <w:r>
        <w:rPr>
          <w:rFonts w:hint="eastAsia" w:ascii="仿宋_GB2312" w:hAnsi="宋体" w:eastAsia="仿宋_GB2312"/>
          <w:color w:val="auto"/>
          <w:sz w:val="28"/>
          <w:szCs w:val="28"/>
        </w:rPr>
        <w:t>需求</w:t>
      </w:r>
      <w:bookmarkEnd w:id="126"/>
    </w:p>
    <w:p>
      <w:pPr>
        <w:spacing w:line="360" w:lineRule="auto"/>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一、采购项目背景</w:t>
      </w:r>
    </w:p>
    <w:p>
      <w:pPr>
        <w:spacing w:line="360" w:lineRule="auto"/>
        <w:ind w:firstLine="480" w:firstLineChars="200"/>
        <w:rPr>
          <w:rFonts w:hint="eastAsia" w:ascii="仿宋" w:hAnsi="仿宋" w:eastAsia="仿宋" w:cs="仿宋"/>
          <w:color w:val="auto"/>
          <w:szCs w:val="32"/>
        </w:rPr>
      </w:pPr>
      <w:r>
        <w:rPr>
          <w:rFonts w:hint="eastAsia" w:ascii="仿宋" w:hAnsi="仿宋" w:eastAsia="仿宋" w:cs="仿宋"/>
          <w:color w:val="auto"/>
          <w:szCs w:val="32"/>
        </w:rPr>
        <w:t>为促进业务更好发展，</w:t>
      </w:r>
      <w:r>
        <w:rPr>
          <w:rFonts w:hint="eastAsia" w:ascii="仿宋" w:hAnsi="仿宋" w:eastAsia="仿宋" w:cs="仿宋"/>
          <w:color w:val="auto"/>
          <w:szCs w:val="32"/>
          <w:lang w:eastAsia="zh-CN"/>
        </w:rPr>
        <w:t>泸州市分公司</w:t>
      </w:r>
      <w:r>
        <w:rPr>
          <w:rFonts w:hint="eastAsia" w:ascii="仿宋" w:hAnsi="仿宋" w:eastAsia="仿宋" w:cs="仿宋"/>
          <w:color w:val="auto"/>
          <w:szCs w:val="32"/>
        </w:rPr>
        <w:t>拟在龙马潭区域</w:t>
      </w:r>
      <w:r>
        <w:rPr>
          <w:rFonts w:hint="eastAsia" w:ascii="仿宋" w:hAnsi="仿宋" w:eastAsia="仿宋" w:cs="仿宋"/>
          <w:color w:val="auto"/>
          <w:szCs w:val="32"/>
          <w:lang w:eastAsia="zh-CN"/>
        </w:rPr>
        <w:t>，</w:t>
      </w:r>
      <w:r>
        <w:rPr>
          <w:rFonts w:hint="eastAsia" w:ascii="仿宋" w:hAnsi="仿宋" w:eastAsia="仿宋" w:cs="仿宋"/>
          <w:color w:val="auto"/>
          <w:szCs w:val="32"/>
          <w:lang w:val="en-US" w:eastAsia="zh-CN"/>
        </w:rPr>
        <w:t>通过</w:t>
      </w:r>
      <w:r>
        <w:rPr>
          <w:rFonts w:hint="eastAsia" w:ascii="仿宋" w:hAnsi="仿宋" w:eastAsia="仿宋" w:cs="仿宋"/>
          <w:color w:val="auto"/>
          <w:szCs w:val="32"/>
        </w:rPr>
        <w:t>泸州新时代运业</w:t>
      </w:r>
      <w:r>
        <w:rPr>
          <w:rFonts w:hint="eastAsia" w:ascii="仿宋" w:hAnsi="仿宋" w:eastAsia="仿宋" w:cs="仿宋"/>
          <w:color w:val="auto"/>
          <w:szCs w:val="32"/>
          <w:lang w:val="en-US" w:eastAsia="zh-CN"/>
        </w:rPr>
        <w:t>营运客车的车内视频</w:t>
      </w:r>
      <w:r>
        <w:rPr>
          <w:rFonts w:hint="eastAsia" w:ascii="仿宋" w:hAnsi="仿宋" w:eastAsia="仿宋" w:cs="仿宋"/>
          <w:color w:val="auto"/>
          <w:szCs w:val="32"/>
        </w:rPr>
        <w:t>投放</w:t>
      </w:r>
      <w:r>
        <w:rPr>
          <w:rFonts w:hint="eastAsia" w:ascii="仿宋" w:hAnsi="仿宋" w:eastAsia="仿宋" w:cs="仿宋"/>
          <w:color w:val="auto"/>
          <w:szCs w:val="32"/>
          <w:lang w:val="en-US" w:eastAsia="zh-CN"/>
        </w:rPr>
        <w:t>车险</w:t>
      </w:r>
      <w:r>
        <w:rPr>
          <w:rFonts w:hint="eastAsia" w:ascii="仿宋" w:hAnsi="仿宋" w:eastAsia="仿宋" w:cs="仿宋"/>
          <w:color w:val="auto"/>
          <w:szCs w:val="32"/>
        </w:rPr>
        <w:t>宣传服务，吸引目标客户群体来我司进行车险投保。</w:t>
      </w:r>
    </w:p>
    <w:p>
      <w:pPr>
        <w:spacing w:line="360" w:lineRule="auto"/>
        <w:ind w:firstLine="482" w:firstLineChars="200"/>
        <w:rPr>
          <w:rFonts w:hint="eastAsia" w:ascii="仿宋" w:hAnsi="仿宋" w:eastAsia="仿宋" w:cs="仿宋"/>
          <w:color w:val="auto"/>
          <w:szCs w:val="32"/>
        </w:rPr>
      </w:pPr>
      <w:r>
        <w:rPr>
          <w:rFonts w:hint="eastAsia" w:ascii="仿宋" w:hAnsi="仿宋" w:eastAsia="仿宋" w:cs="仿宋"/>
          <w:b/>
          <w:bCs/>
          <w:color w:val="auto"/>
          <w:szCs w:val="32"/>
        </w:rPr>
        <w:t>二、采购内容</w:t>
      </w:r>
    </w:p>
    <w:p>
      <w:pPr>
        <w:spacing w:line="360" w:lineRule="auto"/>
        <w:ind w:firstLine="480" w:firstLineChars="200"/>
        <w:rPr>
          <w:rFonts w:hint="eastAsia" w:ascii="仿宋" w:hAnsi="仿宋" w:eastAsia="仿宋" w:cs="仿宋"/>
          <w:color w:val="auto"/>
          <w:szCs w:val="32"/>
          <w:lang w:eastAsia="zh-CN"/>
        </w:rPr>
      </w:pPr>
      <w:r>
        <w:rPr>
          <w:rFonts w:hint="eastAsia" w:ascii="仿宋" w:hAnsi="仿宋" w:eastAsia="仿宋" w:cs="仿宋"/>
          <w:color w:val="auto"/>
          <w:szCs w:val="32"/>
        </w:rPr>
        <w:t>本项目拟采购一家有资质的</w:t>
      </w:r>
      <w:r>
        <w:rPr>
          <w:rFonts w:hint="eastAsia" w:ascii="仿宋" w:hAnsi="仿宋" w:eastAsia="仿宋" w:cs="仿宋"/>
          <w:color w:val="auto"/>
          <w:szCs w:val="32"/>
          <w:lang w:val="en-US" w:eastAsia="zh-CN"/>
        </w:rPr>
        <w:t>供应商，</w:t>
      </w:r>
      <w:r>
        <w:rPr>
          <w:rFonts w:hint="eastAsia" w:ascii="仿宋" w:hAnsi="仿宋" w:eastAsia="仿宋" w:cs="仿宋"/>
          <w:color w:val="auto"/>
          <w:szCs w:val="32"/>
        </w:rPr>
        <w:t>负责</w:t>
      </w:r>
      <w:r>
        <w:rPr>
          <w:rFonts w:hint="eastAsia" w:ascii="仿宋" w:hAnsi="仿宋" w:eastAsia="仿宋" w:cs="仿宋"/>
          <w:color w:val="auto"/>
          <w:szCs w:val="32"/>
          <w:lang w:val="en-US" w:eastAsia="zh-CN"/>
        </w:rPr>
        <w:t>发布</w:t>
      </w:r>
      <w:r>
        <w:rPr>
          <w:rFonts w:hint="eastAsia" w:ascii="仿宋" w:hAnsi="仿宋" w:eastAsia="仿宋" w:cs="仿宋"/>
          <w:color w:val="auto"/>
          <w:szCs w:val="32"/>
        </w:rPr>
        <w:t>车险宣传视频，</w:t>
      </w:r>
      <w:r>
        <w:rPr>
          <w:rFonts w:hint="eastAsia" w:ascii="仿宋" w:hAnsi="仿宋" w:eastAsia="仿宋" w:cs="仿宋"/>
          <w:color w:val="auto"/>
          <w:szCs w:val="32"/>
          <w:lang w:val="en-US" w:eastAsia="zh-CN"/>
        </w:rPr>
        <w:t>并</w:t>
      </w:r>
      <w:r>
        <w:rPr>
          <w:rFonts w:hint="eastAsia" w:ascii="仿宋" w:hAnsi="仿宋" w:eastAsia="仿宋" w:cs="仿宋"/>
          <w:color w:val="auto"/>
          <w:szCs w:val="32"/>
        </w:rPr>
        <w:t>投放于泸州新时代运业</w:t>
      </w:r>
      <w:r>
        <w:rPr>
          <w:rFonts w:hint="eastAsia" w:ascii="仿宋" w:hAnsi="仿宋" w:eastAsia="仿宋" w:cs="仿宋"/>
          <w:color w:val="auto"/>
          <w:szCs w:val="32"/>
          <w:lang w:val="en-US" w:eastAsia="zh-CN"/>
        </w:rPr>
        <w:t>的</w:t>
      </w:r>
      <w:r>
        <w:rPr>
          <w:rFonts w:hint="eastAsia" w:ascii="仿宋" w:hAnsi="仿宋" w:eastAsia="仿宋" w:cs="仿宋"/>
          <w:color w:val="auto"/>
          <w:szCs w:val="32"/>
        </w:rPr>
        <w:t>营运客车</w:t>
      </w:r>
      <w:r>
        <w:rPr>
          <w:rFonts w:hint="eastAsia" w:ascii="仿宋" w:hAnsi="仿宋" w:eastAsia="仿宋" w:cs="仿宋"/>
          <w:color w:val="auto"/>
          <w:szCs w:val="32"/>
          <w:lang w:eastAsia="zh-CN"/>
        </w:rPr>
        <w:t>。</w:t>
      </w:r>
    </w:p>
    <w:p>
      <w:pPr>
        <w:spacing w:line="360" w:lineRule="auto"/>
        <w:ind w:firstLine="480" w:firstLineChars="200"/>
        <w:rPr>
          <w:rFonts w:hint="eastAsia" w:ascii="仿宋" w:hAnsi="仿宋" w:eastAsia="仿宋" w:cs="仿宋"/>
          <w:color w:val="auto"/>
          <w:szCs w:val="32"/>
          <w:lang w:val="en-US" w:eastAsia="zh-CN"/>
        </w:rPr>
      </w:pPr>
      <w:r>
        <w:rPr>
          <w:rFonts w:hint="eastAsia" w:ascii="仿宋" w:hAnsi="仿宋" w:eastAsia="仿宋" w:cs="仿宋"/>
          <w:color w:val="auto"/>
          <w:szCs w:val="32"/>
          <w:lang w:val="en-US" w:eastAsia="zh-CN"/>
        </w:rPr>
        <w:t>投放车辆数：55辆营运客车。</w:t>
      </w:r>
    </w:p>
    <w:p>
      <w:pPr>
        <w:spacing w:line="360" w:lineRule="auto"/>
        <w:ind w:firstLine="480" w:firstLineChars="200"/>
        <w:rPr>
          <w:rFonts w:hint="eastAsia" w:ascii="仿宋" w:hAnsi="仿宋" w:eastAsia="仿宋" w:cs="仿宋"/>
          <w:color w:val="auto"/>
          <w:szCs w:val="32"/>
          <w:lang w:val="en-US" w:eastAsia="zh-CN"/>
        </w:rPr>
      </w:pPr>
      <w:r>
        <w:rPr>
          <w:rFonts w:hint="eastAsia" w:ascii="仿宋" w:hAnsi="仿宋" w:eastAsia="仿宋" w:cs="仿宋"/>
          <w:color w:val="auto"/>
          <w:szCs w:val="32"/>
          <w:lang w:val="en-US" w:eastAsia="zh-CN"/>
        </w:rPr>
        <w:t>播放频次：单辆车每日播放不低于60次</w:t>
      </w:r>
    </w:p>
    <w:p>
      <w:pPr>
        <w:spacing w:line="360" w:lineRule="auto"/>
        <w:ind w:firstLine="480" w:firstLineChars="200"/>
        <w:rPr>
          <w:rFonts w:hint="eastAsia" w:ascii="仿宋" w:hAnsi="仿宋" w:eastAsia="仿宋" w:cs="仿宋"/>
          <w:color w:val="auto"/>
          <w:szCs w:val="32"/>
          <w:lang w:val="en-US" w:eastAsia="zh-CN"/>
        </w:rPr>
      </w:pPr>
      <w:r>
        <w:rPr>
          <w:rFonts w:hint="eastAsia" w:ascii="仿宋" w:hAnsi="仿宋" w:eastAsia="仿宋" w:cs="仿宋"/>
          <w:color w:val="auto"/>
          <w:szCs w:val="32"/>
          <w:lang w:val="en-US" w:eastAsia="zh-CN"/>
        </w:rPr>
        <w:t>单次时长：不低于20秒</w:t>
      </w:r>
    </w:p>
    <w:p>
      <w:pPr>
        <w:spacing w:line="360" w:lineRule="auto"/>
        <w:ind w:firstLine="480" w:firstLineChars="200"/>
        <w:rPr>
          <w:rFonts w:hint="eastAsia" w:ascii="仿宋" w:hAnsi="仿宋" w:eastAsia="仿宋" w:cs="仿宋"/>
          <w:color w:val="auto"/>
          <w:szCs w:val="32"/>
          <w:lang w:eastAsia="zh-CN"/>
        </w:rPr>
      </w:pPr>
      <w:r>
        <w:rPr>
          <w:rFonts w:hint="eastAsia" w:ascii="仿宋" w:hAnsi="仿宋" w:eastAsia="仿宋" w:cs="仿宋"/>
          <w:color w:val="auto"/>
          <w:szCs w:val="32"/>
          <w:lang w:val="en-US" w:eastAsia="zh-CN"/>
        </w:rPr>
        <w:t>投放周期：3个月</w:t>
      </w:r>
    </w:p>
    <w:p>
      <w:pPr>
        <w:spacing w:line="360" w:lineRule="auto"/>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三、采购数量</w:t>
      </w:r>
    </w:p>
    <w:p>
      <w:pPr>
        <w:spacing w:line="360" w:lineRule="auto"/>
        <w:ind w:firstLine="480" w:firstLineChars="200"/>
        <w:rPr>
          <w:rFonts w:hint="default"/>
          <w:lang w:val="en-US" w:eastAsia="zh-CN"/>
        </w:rPr>
      </w:pPr>
      <w:r>
        <w:rPr>
          <w:rFonts w:hint="eastAsia" w:ascii="仿宋" w:hAnsi="仿宋" w:eastAsia="仿宋" w:cs="仿宋"/>
          <w:color w:val="auto"/>
          <w:szCs w:val="32"/>
          <w:lang w:val="en-US" w:eastAsia="zh-CN"/>
        </w:rPr>
        <w:t>本次采购预估投放55辆营运客车，播放频次、时长、周期按第二条约定执行。</w:t>
      </w:r>
    </w:p>
    <w:p>
      <w:pPr>
        <w:spacing w:line="360" w:lineRule="auto"/>
        <w:ind w:firstLine="482" w:firstLineChars="200"/>
        <w:rPr>
          <w:rFonts w:hint="eastAsia" w:ascii="仿宋" w:hAnsi="仿宋" w:eastAsia="仿宋" w:cs="仿宋"/>
          <w:b/>
          <w:bCs/>
          <w:color w:val="auto"/>
          <w:szCs w:val="32"/>
        </w:rPr>
      </w:pPr>
      <w:r>
        <w:rPr>
          <w:rFonts w:hint="eastAsia" w:ascii="仿宋" w:hAnsi="仿宋" w:eastAsia="仿宋" w:cs="仿宋"/>
          <w:b/>
          <w:bCs/>
          <w:color w:val="auto"/>
          <w:szCs w:val="32"/>
        </w:rPr>
        <w:t>四、付款方式</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本合同服务费用为人民币______元（大写：__________）。费用分两期结算：</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首次结算为供应商完成视频发布，采购人根据项目约定的服务内容、数量及规格验收无误后，供应商向采购人提供合规有效的增值税专用发票，采购人在收到合格发票后，支付总费用的70%，对应金额______元；</w:t>
      </w:r>
    </w:p>
    <w:p>
      <w:pPr>
        <w:spacing w:line="360" w:lineRule="auto"/>
        <w:ind w:firstLine="480" w:firstLineChars="200"/>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第二次结算为宣传期2个月后，供应商向采购人提供合规有效的增值税专用发票，采购人在收到合格发票后，支付总费用剩余的30%，对应金额______元。</w:t>
      </w:r>
    </w:p>
    <w:p>
      <w:pPr>
        <w:spacing w:line="360" w:lineRule="auto"/>
        <w:ind w:firstLine="480" w:firstLineChars="200"/>
        <w:rPr>
          <w:color w:val="auto"/>
        </w:rPr>
      </w:pPr>
      <w:r>
        <w:rPr>
          <w:color w:val="auto"/>
        </w:rPr>
        <w:t xml:space="preserve"> </w:t>
      </w: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3"/>
        <w:spacing w:before="0" w:after="0"/>
        <w:jc w:val="left"/>
        <w:rPr>
          <w:rFonts w:ascii="仿宋" w:hAnsi="仿宋" w:eastAsia="仿宋" w:cs="仿宋"/>
          <w:color w:val="auto"/>
          <w:sz w:val="28"/>
          <w:szCs w:val="28"/>
        </w:rPr>
      </w:pPr>
      <w:bookmarkStart w:id="127" w:name="_Toc3675"/>
      <w:bookmarkStart w:id="128" w:name="_Toc22651"/>
      <w:bookmarkStart w:id="129" w:name="_Toc9891"/>
      <w:r>
        <w:rPr>
          <w:rFonts w:hint="eastAsia" w:ascii="仿宋" w:hAnsi="仿宋" w:eastAsia="仿宋" w:cs="仿宋"/>
          <w:color w:val="auto"/>
          <w:sz w:val="28"/>
          <w:szCs w:val="28"/>
        </w:rPr>
        <w:t>第六章 响应文件格式</w:t>
      </w:r>
      <w:bookmarkEnd w:id="127"/>
      <w:bookmarkEnd w:id="128"/>
    </w:p>
    <w:p>
      <w:pPr>
        <w:spacing w:line="360" w:lineRule="auto"/>
        <w:rPr>
          <w:rFonts w:ascii="仿宋" w:hAnsi="仿宋" w:eastAsia="仿宋" w:cs="仿宋"/>
          <w:b/>
          <w:color w:val="auto"/>
        </w:rPr>
      </w:pPr>
      <w:r>
        <w:rPr>
          <w:rFonts w:hint="eastAsia" w:ascii="仿宋" w:hAnsi="仿宋" w:eastAsia="仿宋" w:cs="宋体"/>
          <w:b/>
          <w:color w:val="auto"/>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pPr>
              <w:pStyle w:val="61"/>
              <w:spacing w:before="156" w:after="312"/>
              <w:ind w:right="-284"/>
              <w:jc w:val="center"/>
              <w:rPr>
                <w:rFonts w:ascii="仿宋" w:hAnsi="仿宋" w:eastAsia="仿宋" w:cs="仿宋"/>
                <w:color w:val="auto"/>
                <w:sz w:val="32"/>
              </w:rPr>
            </w:pPr>
            <w:r>
              <w:rPr>
                <w:rFonts w:hint="eastAsia" w:ascii="仿宋" w:hAnsi="仿宋" w:eastAsia="仿宋" w:cs="仿宋"/>
                <w:color w:val="auto"/>
                <w:sz w:val="32"/>
                <w:lang w:eastAsia="zh-CN"/>
              </w:rPr>
              <w:t>人保财险四川省泸州市分公司车内视频宣传采购项目</w:t>
            </w:r>
          </w:p>
          <w:p>
            <w:pPr>
              <w:pStyle w:val="61"/>
              <w:ind w:right="-284" w:firstLine="2240"/>
              <w:rPr>
                <w:rFonts w:ascii="仿宋" w:hAnsi="仿宋" w:eastAsia="仿宋" w:cs="仿宋"/>
                <w:color w:val="auto"/>
                <w:sz w:val="28"/>
                <w:u w:val="single"/>
              </w:rPr>
            </w:pPr>
          </w:p>
          <w:p>
            <w:pPr>
              <w:pStyle w:val="61"/>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pPr>
              <w:pStyle w:val="61"/>
              <w:spacing w:before="624" w:after="156" w:line="160" w:lineRule="atLeast"/>
              <w:ind w:right="-284"/>
              <w:jc w:val="center"/>
              <w:rPr>
                <w:rFonts w:ascii="仿宋" w:hAnsi="仿宋" w:eastAsia="仿宋" w:cs="仿宋"/>
                <w:color w:val="auto"/>
                <w:sz w:val="52"/>
              </w:rPr>
            </w:pPr>
          </w:p>
          <w:p>
            <w:pPr>
              <w:pStyle w:val="61"/>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pPr>
              <w:pStyle w:val="61"/>
              <w:spacing w:before="1560" w:line="400" w:lineRule="atLeast"/>
              <w:ind w:right="-284" w:firstLine="2520" w:firstLineChars="105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61"/>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pPr>
              <w:pStyle w:val="61"/>
              <w:spacing w:after="624"/>
              <w:ind w:right="-284"/>
              <w:jc w:val="center"/>
              <w:rPr>
                <w:rFonts w:ascii="仿宋" w:hAnsi="仿宋" w:eastAsia="仿宋" w:cs="仿宋"/>
                <w:color w:val="auto"/>
                <w:sz w:val="24"/>
              </w:rPr>
            </w:pPr>
          </w:p>
          <w:p>
            <w:pPr>
              <w:pStyle w:val="61"/>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975"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pPr>
        <w:rPr>
          <w:rFonts w:ascii="仿宋" w:hAnsi="仿宋" w:eastAsia="仿宋" w:cs="仿宋"/>
          <w:color w:val="auto"/>
          <w:szCs w:val="21"/>
        </w:rPr>
      </w:pPr>
    </w:p>
    <w:p>
      <w:pPr>
        <w:pStyle w:val="4"/>
        <w:jc w:val="both"/>
        <w:rPr>
          <w:rFonts w:ascii="仿宋" w:hAnsi="仿宋" w:eastAsia="仿宋" w:cs="仿宋"/>
          <w:color w:val="auto"/>
          <w:sz w:val="24"/>
          <w:szCs w:val="24"/>
        </w:rPr>
      </w:pPr>
      <w:bookmarkStart w:id="130" w:name="_Toc31406"/>
      <w:bookmarkStart w:id="131" w:name="_Toc3936"/>
      <w:bookmarkStart w:id="132" w:name="_Toc17191"/>
      <w:bookmarkStart w:id="133" w:name="_Toc25957"/>
      <w:bookmarkStart w:id="134" w:name="_Toc517281836"/>
      <w:bookmarkStart w:id="135" w:name="_Toc11783"/>
      <w:bookmarkStart w:id="136" w:name="_Toc21280"/>
      <w:bookmarkStart w:id="137" w:name="_Toc19783362"/>
      <w:bookmarkStart w:id="138" w:name="_Toc287600131"/>
      <w:bookmarkStart w:id="139" w:name="_Toc444891353"/>
      <w:bookmarkStart w:id="140" w:name="_Toc19910"/>
      <w:bookmarkStart w:id="141" w:name="_Toc287600129"/>
      <w:bookmarkStart w:id="142" w:name="_Toc19783360"/>
      <w:r>
        <w:rPr>
          <w:rFonts w:hint="eastAsia" w:ascii="仿宋" w:hAnsi="仿宋" w:eastAsia="仿宋" w:cs="仿宋"/>
          <w:color w:val="auto"/>
          <w:sz w:val="24"/>
          <w:szCs w:val="24"/>
        </w:rPr>
        <w:t>一、商务文件</w:t>
      </w:r>
      <w:bookmarkEnd w:id="130"/>
      <w:bookmarkEnd w:id="131"/>
      <w:bookmarkEnd w:id="132"/>
    </w:p>
    <w:p>
      <w:pPr>
        <w:jc w:val="center"/>
        <w:rPr>
          <w:color w:val="auto"/>
        </w:rPr>
      </w:pPr>
      <w:bookmarkStart w:id="143" w:name="_Toc26744"/>
      <w:r>
        <w:rPr>
          <w:rFonts w:hint="eastAsia" w:ascii="仿宋" w:hAnsi="仿宋" w:eastAsia="仿宋" w:cs="仿宋"/>
          <w:b/>
          <w:bCs/>
          <w:color w:val="auto"/>
        </w:rPr>
        <w:t>初步评审索引表</w:t>
      </w:r>
      <w:bookmarkEnd w:id="143"/>
    </w:p>
    <w:tbl>
      <w:tblPr>
        <w:tblStyle w:val="29"/>
        <w:tblW w:w="495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4"/>
        <w:gridCol w:w="1701"/>
        <w:gridCol w:w="3339"/>
        <w:gridCol w:w="390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r>
              <w:rPr>
                <w:rFonts w:hint="eastAsia" w:ascii="仿宋" w:hAnsi="仿宋" w:eastAsia="仿宋" w:cs="仿宋"/>
                <w:b/>
                <w:color w:val="000000"/>
                <w:szCs w:val="21"/>
              </w:rPr>
              <w:t>序号</w:t>
            </w:r>
          </w:p>
        </w:tc>
        <w:tc>
          <w:tcPr>
            <w:tcW w:w="1701"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r>
              <w:rPr>
                <w:rFonts w:hint="eastAsia" w:ascii="仿宋" w:hAnsi="仿宋" w:eastAsia="仿宋" w:cs="仿宋"/>
                <w:b/>
                <w:color w:val="000000"/>
                <w:szCs w:val="21"/>
              </w:rPr>
              <w:t>评审环节</w:t>
            </w:r>
          </w:p>
        </w:tc>
        <w:tc>
          <w:tcPr>
            <w:tcW w:w="3340"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r>
              <w:rPr>
                <w:rFonts w:hint="eastAsia" w:ascii="仿宋" w:hAnsi="仿宋" w:eastAsia="仿宋" w:cs="仿宋"/>
                <w:b/>
                <w:color w:val="000000"/>
                <w:szCs w:val="21"/>
              </w:rPr>
              <w:t>评审因素</w:t>
            </w:r>
          </w:p>
        </w:tc>
        <w:tc>
          <w:tcPr>
            <w:tcW w:w="390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r>
              <w:rPr>
                <w:rFonts w:hint="eastAsia" w:ascii="仿宋" w:hAnsi="仿宋" w:eastAsia="仿宋" w:cs="仿宋"/>
                <w:b/>
                <w:color w:val="000000"/>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Merge w:val="restart"/>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r>
              <w:rPr>
                <w:rFonts w:hint="eastAsia" w:ascii="仿宋" w:hAnsi="仿宋" w:eastAsia="仿宋" w:cs="仿宋"/>
                <w:color w:val="000000"/>
                <w:szCs w:val="21"/>
              </w:rPr>
              <w:t>1</w:t>
            </w:r>
          </w:p>
        </w:tc>
        <w:tc>
          <w:tcPr>
            <w:tcW w:w="1701" w:type="dxa"/>
            <w:vMerge w:val="restart"/>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r>
              <w:rPr>
                <w:rFonts w:hint="eastAsia" w:ascii="仿宋" w:hAnsi="仿宋" w:eastAsia="仿宋" w:cs="仿宋"/>
                <w:color w:val="000000"/>
                <w:szCs w:val="21"/>
              </w:rPr>
              <w:t>形式</w:t>
            </w:r>
          </w:p>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r>
              <w:rPr>
                <w:rFonts w:hint="eastAsia" w:ascii="仿宋" w:hAnsi="仿宋" w:eastAsia="仿宋" w:cs="仿宋"/>
                <w:color w:val="000000"/>
                <w:szCs w:val="21"/>
              </w:rPr>
              <w:t>评审</w:t>
            </w:r>
          </w:p>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r>
              <w:rPr>
                <w:rFonts w:hint="eastAsia" w:ascii="仿宋" w:hAnsi="仿宋" w:eastAsia="仿宋" w:cs="仿宋"/>
                <w:color w:val="000000"/>
                <w:szCs w:val="21"/>
              </w:rPr>
              <w:t>标准</w:t>
            </w:r>
          </w:p>
        </w:tc>
        <w:tc>
          <w:tcPr>
            <w:tcW w:w="3340"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供应商名称</w:t>
            </w:r>
          </w:p>
        </w:tc>
        <w:tc>
          <w:tcPr>
            <w:tcW w:w="3904"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r>
              <w:rPr>
                <w:rFonts w:hint="eastAsia" w:ascii="仿宋" w:hAnsi="仿宋" w:eastAsia="仿宋" w:cs="仿宋"/>
                <w:color w:val="000000"/>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p>
        </w:tc>
        <w:tc>
          <w:tcPr>
            <w:tcW w:w="1701" w:type="dxa"/>
            <w:vMerge w:val="continue"/>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p>
        </w:tc>
        <w:tc>
          <w:tcPr>
            <w:tcW w:w="3340"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法定代表人（负责人）身份证明</w:t>
            </w:r>
          </w:p>
        </w:tc>
        <w:tc>
          <w:tcPr>
            <w:tcW w:w="3904" w:type="dxa"/>
            <w:vAlign w:val="center"/>
          </w:tcPr>
          <w:p>
            <w:pPr>
              <w:pStyle w:val="72"/>
              <w:keepNext w:val="0"/>
              <w:keepLines w:val="0"/>
              <w:pageBreakBefore w:val="0"/>
              <w:widowControl/>
              <w:tabs>
                <w:tab w:val="left" w:pos="630"/>
              </w:tabs>
              <w:kinsoku/>
              <w:wordWrap/>
              <w:overflowPunct/>
              <w:topLinePunct w:val="0"/>
              <w:autoSpaceDE/>
              <w:autoSpaceDN/>
              <w:bidi w:val="0"/>
              <w:adjustRightInd/>
              <w:snapToGrid/>
              <w:spacing w:before="48" w:beforeLines="20" w:after="48" w:afterLines="20" w:line="240" w:lineRule="auto"/>
              <w:jc w:val="center"/>
              <w:textAlignment w:val="auto"/>
              <w:rPr>
                <w:rFonts w:hint="eastAsia"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p>
        </w:tc>
        <w:tc>
          <w:tcPr>
            <w:tcW w:w="1701" w:type="dxa"/>
            <w:vMerge w:val="continue"/>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p>
        </w:tc>
        <w:tc>
          <w:tcPr>
            <w:tcW w:w="3340"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 w:val="21"/>
                <w:szCs w:val="21"/>
              </w:rPr>
            </w:pPr>
            <w:r>
              <w:rPr>
                <w:rFonts w:hint="eastAsia" w:ascii="仿宋" w:hAnsi="仿宋" w:eastAsia="仿宋" w:cs="仿宋"/>
                <w:color w:val="000000"/>
                <w:sz w:val="21"/>
                <w:szCs w:val="21"/>
              </w:rPr>
              <w:t>法定代表人（负责人）授权委托书</w:t>
            </w:r>
          </w:p>
        </w:tc>
        <w:tc>
          <w:tcPr>
            <w:tcW w:w="3904" w:type="dxa"/>
            <w:vAlign w:val="center"/>
          </w:tcPr>
          <w:p>
            <w:pPr>
              <w:pStyle w:val="72"/>
              <w:keepNext w:val="0"/>
              <w:keepLines w:val="0"/>
              <w:pageBreakBefore w:val="0"/>
              <w:widowControl/>
              <w:tabs>
                <w:tab w:val="left" w:pos="630"/>
              </w:tabs>
              <w:kinsoku/>
              <w:wordWrap/>
              <w:overflowPunct/>
              <w:topLinePunct w:val="0"/>
              <w:autoSpaceDE/>
              <w:autoSpaceDN/>
              <w:bidi w:val="0"/>
              <w:adjustRightInd/>
              <w:snapToGrid/>
              <w:spacing w:before="48" w:beforeLines="20" w:after="48" w:afterLines="20" w:line="240" w:lineRule="auto"/>
              <w:jc w:val="center"/>
              <w:textAlignment w:val="auto"/>
              <w:rPr>
                <w:rFonts w:hint="eastAsia" w:ascii="仿宋" w:hAnsi="仿宋" w:eastAsia="仿宋" w:cs="仿宋"/>
                <w:color w:val="000000"/>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p>
        </w:tc>
        <w:tc>
          <w:tcPr>
            <w:tcW w:w="1701" w:type="dxa"/>
            <w:vMerge w:val="continue"/>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p>
        </w:tc>
        <w:tc>
          <w:tcPr>
            <w:tcW w:w="3340"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pacing w:val="-4"/>
                <w:sz w:val="21"/>
                <w:szCs w:val="21"/>
              </w:rPr>
            </w:pPr>
            <w:r>
              <w:rPr>
                <w:rFonts w:hint="eastAsia" w:ascii="仿宋" w:hAnsi="仿宋" w:eastAsia="仿宋" w:cs="仿宋"/>
                <w:color w:val="000000"/>
                <w:sz w:val="21"/>
                <w:szCs w:val="21"/>
              </w:rPr>
              <w:t>响应文件签字或盖章</w:t>
            </w:r>
          </w:p>
        </w:tc>
        <w:tc>
          <w:tcPr>
            <w:tcW w:w="3904" w:type="dxa"/>
            <w:vAlign w:val="center"/>
          </w:tcPr>
          <w:p>
            <w:pPr>
              <w:pStyle w:val="61"/>
              <w:keepNext w:val="0"/>
              <w:keepLines w:val="0"/>
              <w:pageBreakBefore w:val="0"/>
              <w:widowControl/>
              <w:kinsoku/>
              <w:wordWrap/>
              <w:overflowPunct/>
              <w:topLinePunct w:val="0"/>
              <w:autoSpaceDE/>
              <w:autoSpaceDN/>
              <w:bidi w:val="0"/>
              <w:adjustRightInd/>
              <w:snapToGrid/>
              <w:spacing w:before="48" w:beforeLines="20" w:after="48" w:afterLines="20" w:line="240" w:lineRule="auto"/>
              <w:jc w:val="center"/>
              <w:textAlignment w:val="auto"/>
              <w:rPr>
                <w:rFonts w:hint="eastAsia" w:ascii="仿宋" w:hAnsi="仿宋" w:eastAsia="仿宋" w:cs="仿宋"/>
                <w:color w:val="000000"/>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Merge w:val="restart"/>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r>
              <w:rPr>
                <w:rFonts w:hint="eastAsia" w:ascii="仿宋" w:hAnsi="仿宋" w:eastAsia="仿宋" w:cs="仿宋"/>
                <w:color w:val="000000"/>
                <w:szCs w:val="21"/>
              </w:rPr>
              <w:t>2</w:t>
            </w:r>
          </w:p>
        </w:tc>
        <w:tc>
          <w:tcPr>
            <w:tcW w:w="1701" w:type="dxa"/>
            <w:vMerge w:val="restart"/>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r>
              <w:rPr>
                <w:rFonts w:hint="eastAsia" w:ascii="仿宋" w:hAnsi="仿宋" w:eastAsia="仿宋" w:cs="仿宋"/>
                <w:color w:val="000000"/>
                <w:szCs w:val="21"/>
              </w:rPr>
              <w:t>资格</w:t>
            </w:r>
          </w:p>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r>
              <w:rPr>
                <w:rFonts w:hint="eastAsia" w:ascii="仿宋" w:hAnsi="仿宋" w:eastAsia="仿宋" w:cs="仿宋"/>
                <w:color w:val="000000"/>
                <w:szCs w:val="21"/>
              </w:rPr>
              <w:t>评审</w:t>
            </w:r>
          </w:p>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r>
              <w:rPr>
                <w:rFonts w:hint="eastAsia" w:ascii="仿宋" w:hAnsi="仿宋" w:eastAsia="仿宋" w:cs="仿宋"/>
                <w:color w:val="000000"/>
                <w:szCs w:val="21"/>
              </w:rPr>
              <w:t>标准</w:t>
            </w:r>
          </w:p>
        </w:tc>
        <w:tc>
          <w:tcPr>
            <w:tcW w:w="3340" w:type="dxa"/>
            <w:vAlign w:val="center"/>
          </w:tcPr>
          <w:p>
            <w:pPr>
              <w:spacing w:before="24" w:after="24" w:line="276" w:lineRule="auto"/>
              <w:jc w:val="center"/>
              <w:rPr>
                <w:rFonts w:hint="eastAsia" w:ascii="仿宋" w:hAnsi="仿宋" w:eastAsia="仿宋" w:cs="仿宋"/>
                <w:color w:val="000000"/>
                <w:sz w:val="21"/>
                <w:szCs w:val="21"/>
                <w:lang w:val="en-US" w:eastAsia="zh-CN" w:bidi="ar-SA"/>
              </w:rPr>
            </w:pPr>
            <w:r>
              <w:rPr>
                <w:rFonts w:hint="eastAsia" w:ascii="仿宋" w:hAnsi="仿宋" w:eastAsia="仿宋" w:cs="仿宋"/>
                <w:color w:val="auto"/>
                <w:sz w:val="22"/>
                <w:szCs w:val="21"/>
              </w:rPr>
              <w:t>具有独立承担民事责任的能力</w:t>
            </w:r>
          </w:p>
        </w:tc>
        <w:tc>
          <w:tcPr>
            <w:tcW w:w="3904"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 w:val="22"/>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p>
        </w:tc>
        <w:tc>
          <w:tcPr>
            <w:tcW w:w="1701" w:type="dxa"/>
            <w:vMerge w:val="continue"/>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p>
        </w:tc>
        <w:tc>
          <w:tcPr>
            <w:tcW w:w="3340" w:type="dxa"/>
            <w:vAlign w:val="center"/>
          </w:tcPr>
          <w:p>
            <w:pPr>
              <w:spacing w:before="24" w:after="24"/>
              <w:jc w:val="center"/>
              <w:rPr>
                <w:rFonts w:hint="eastAsia" w:ascii="仿宋" w:hAnsi="仿宋" w:eastAsia="仿宋" w:cs="仿宋"/>
                <w:color w:val="000000"/>
                <w:sz w:val="21"/>
                <w:szCs w:val="21"/>
                <w:lang w:val="en-US" w:eastAsia="zh-CN" w:bidi="ar-SA"/>
              </w:rPr>
            </w:pPr>
            <w:r>
              <w:rPr>
                <w:rFonts w:hint="eastAsia" w:ascii="仿宋" w:hAnsi="仿宋" w:eastAsia="仿宋" w:cs="Monaco"/>
                <w:color w:val="auto"/>
                <w:sz w:val="22"/>
                <w:szCs w:val="21"/>
              </w:rPr>
              <w:t>供应商应具有履行合同所必需的设备和专业技术能力</w:t>
            </w:r>
          </w:p>
        </w:tc>
        <w:tc>
          <w:tcPr>
            <w:tcW w:w="3904"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 w:val="22"/>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p>
        </w:tc>
        <w:tc>
          <w:tcPr>
            <w:tcW w:w="1701" w:type="dxa"/>
            <w:vMerge w:val="continue"/>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p>
        </w:tc>
        <w:tc>
          <w:tcPr>
            <w:tcW w:w="3340" w:type="dxa"/>
            <w:vAlign w:val="center"/>
          </w:tcPr>
          <w:p>
            <w:pPr>
              <w:spacing w:before="24" w:after="24"/>
              <w:jc w:val="center"/>
              <w:rPr>
                <w:rFonts w:hint="eastAsia" w:ascii="仿宋" w:hAnsi="仿宋" w:eastAsia="仿宋" w:cs="仿宋"/>
                <w:color w:val="FF0000"/>
                <w:sz w:val="21"/>
                <w:szCs w:val="21"/>
                <w:lang w:val="en-US" w:eastAsia="zh-CN" w:bidi="ar-SA"/>
              </w:rPr>
            </w:pPr>
            <w:r>
              <w:rPr>
                <w:rFonts w:hint="eastAsia" w:ascii="仿宋" w:hAnsi="仿宋" w:eastAsia="仿宋" w:cs="Cambria Math"/>
                <w:color w:val="auto"/>
                <w:sz w:val="22"/>
                <w:szCs w:val="21"/>
              </w:rPr>
              <w:t>近三年内无违法违规记录</w:t>
            </w:r>
          </w:p>
        </w:tc>
        <w:tc>
          <w:tcPr>
            <w:tcW w:w="3904"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FF0000"/>
                <w:sz w:val="22"/>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p>
        </w:tc>
        <w:tc>
          <w:tcPr>
            <w:tcW w:w="1701" w:type="dxa"/>
            <w:vMerge w:val="continue"/>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p>
        </w:tc>
        <w:tc>
          <w:tcPr>
            <w:tcW w:w="3340" w:type="dxa"/>
            <w:vAlign w:val="center"/>
          </w:tcPr>
          <w:p>
            <w:pPr>
              <w:spacing w:before="24" w:after="24"/>
              <w:jc w:val="center"/>
              <w:rPr>
                <w:rFonts w:hint="eastAsia" w:ascii="仿宋" w:hAnsi="仿宋" w:eastAsia="仿宋" w:cs="仿宋"/>
                <w:color w:val="FF0000"/>
                <w:sz w:val="21"/>
                <w:szCs w:val="21"/>
                <w:lang w:val="en-US" w:eastAsia="zh-CN" w:bidi="ar-SA"/>
              </w:rPr>
            </w:pPr>
            <w:r>
              <w:rPr>
                <w:rFonts w:hint="eastAsia" w:ascii="仿宋" w:hAnsi="仿宋" w:eastAsia="仿宋" w:cs="Cambria Math"/>
                <w:color w:val="auto"/>
                <w:sz w:val="22"/>
                <w:szCs w:val="21"/>
              </w:rPr>
              <w:t>未被纳入采购人及其所隶属的中国人民保险各级机构的供应商黑名单</w:t>
            </w:r>
          </w:p>
        </w:tc>
        <w:tc>
          <w:tcPr>
            <w:tcW w:w="3904"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FF0000"/>
                <w:sz w:val="22"/>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p>
        </w:tc>
        <w:tc>
          <w:tcPr>
            <w:tcW w:w="1701" w:type="dxa"/>
            <w:vMerge w:val="continue"/>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p>
        </w:tc>
        <w:tc>
          <w:tcPr>
            <w:tcW w:w="3340" w:type="dxa"/>
            <w:vAlign w:val="center"/>
          </w:tcPr>
          <w:p>
            <w:pPr>
              <w:spacing w:before="24" w:after="24" w:line="276" w:lineRule="auto"/>
              <w:jc w:val="center"/>
              <w:rPr>
                <w:rFonts w:hint="eastAsia" w:ascii="仿宋" w:hAnsi="仿宋" w:eastAsia="仿宋" w:cs="仿宋"/>
                <w:color w:val="FF0000"/>
                <w:sz w:val="21"/>
                <w:szCs w:val="21"/>
                <w:lang w:val="en-US" w:eastAsia="zh-CN" w:bidi="ar-SA"/>
              </w:rPr>
            </w:pPr>
            <w:r>
              <w:rPr>
                <w:rFonts w:hint="eastAsia" w:ascii="仿宋" w:hAnsi="仿宋" w:eastAsia="仿宋" w:cs="Cambria Math"/>
                <w:color w:val="auto"/>
                <w:sz w:val="22"/>
                <w:szCs w:val="21"/>
              </w:rPr>
              <w:t>控股管理关系</w:t>
            </w:r>
          </w:p>
        </w:tc>
        <w:tc>
          <w:tcPr>
            <w:tcW w:w="3904"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FF0000"/>
                <w:sz w:val="22"/>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p>
        </w:tc>
        <w:tc>
          <w:tcPr>
            <w:tcW w:w="1701" w:type="dxa"/>
            <w:vMerge w:val="continue"/>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p>
        </w:tc>
        <w:tc>
          <w:tcPr>
            <w:tcW w:w="3340" w:type="dxa"/>
            <w:vAlign w:val="center"/>
          </w:tcPr>
          <w:p>
            <w:pPr>
              <w:spacing w:before="24" w:after="24" w:line="276" w:lineRule="auto"/>
              <w:jc w:val="center"/>
              <w:rPr>
                <w:rFonts w:hint="eastAsia" w:ascii="仿宋" w:hAnsi="仿宋" w:eastAsia="仿宋" w:cs="仿宋"/>
                <w:color w:val="FF0000"/>
                <w:sz w:val="21"/>
                <w:szCs w:val="21"/>
                <w:lang w:val="en-US" w:eastAsia="zh-CN" w:bidi="ar-SA"/>
              </w:rPr>
            </w:pPr>
            <w:r>
              <w:rPr>
                <w:rFonts w:hint="eastAsia" w:ascii="仿宋" w:hAnsi="仿宋" w:eastAsia="仿宋" w:cs="Cambria Math"/>
                <w:color w:val="auto"/>
                <w:sz w:val="22"/>
                <w:szCs w:val="21"/>
              </w:rPr>
              <w:t>非联合体投标</w:t>
            </w:r>
          </w:p>
        </w:tc>
        <w:tc>
          <w:tcPr>
            <w:tcW w:w="3904"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FF0000"/>
                <w:sz w:val="22"/>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Merge w:val="restart"/>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r>
              <w:rPr>
                <w:rFonts w:hint="eastAsia" w:ascii="仿宋" w:hAnsi="仿宋" w:eastAsia="仿宋" w:cs="仿宋"/>
                <w:color w:val="000000"/>
                <w:szCs w:val="21"/>
              </w:rPr>
              <w:t>3</w:t>
            </w:r>
          </w:p>
        </w:tc>
        <w:tc>
          <w:tcPr>
            <w:tcW w:w="1701" w:type="dxa"/>
            <w:vMerge w:val="restart"/>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r>
              <w:rPr>
                <w:rFonts w:hint="eastAsia" w:ascii="仿宋" w:hAnsi="仿宋" w:eastAsia="仿宋" w:cs="仿宋"/>
                <w:color w:val="000000"/>
                <w:szCs w:val="21"/>
              </w:rPr>
              <w:t>响应性</w:t>
            </w:r>
          </w:p>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r>
              <w:rPr>
                <w:rFonts w:hint="eastAsia" w:ascii="仿宋" w:hAnsi="仿宋" w:eastAsia="仿宋" w:cs="仿宋"/>
                <w:color w:val="000000"/>
                <w:szCs w:val="21"/>
              </w:rPr>
              <w:t>评审</w:t>
            </w:r>
          </w:p>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r>
              <w:rPr>
                <w:rFonts w:hint="eastAsia" w:ascii="仿宋" w:hAnsi="仿宋" w:eastAsia="仿宋" w:cs="仿宋"/>
                <w:color w:val="000000"/>
                <w:szCs w:val="21"/>
              </w:rPr>
              <w:t>标准</w:t>
            </w:r>
          </w:p>
        </w:tc>
        <w:tc>
          <w:tcPr>
            <w:tcW w:w="3340"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rPr>
              <w:t>响应函</w:t>
            </w:r>
          </w:p>
        </w:tc>
        <w:tc>
          <w:tcPr>
            <w:tcW w:w="3904"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 w:val="22"/>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p>
        </w:tc>
        <w:tc>
          <w:tcPr>
            <w:tcW w:w="1701" w:type="dxa"/>
            <w:vMerge w:val="continue"/>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p>
        </w:tc>
        <w:tc>
          <w:tcPr>
            <w:tcW w:w="3340"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rPr>
              <w:t>供应商行为准则承诺书</w:t>
            </w:r>
          </w:p>
        </w:tc>
        <w:tc>
          <w:tcPr>
            <w:tcW w:w="3904"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 w:val="22"/>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p>
        </w:tc>
        <w:tc>
          <w:tcPr>
            <w:tcW w:w="1701" w:type="dxa"/>
            <w:vMerge w:val="continue"/>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p>
        </w:tc>
        <w:tc>
          <w:tcPr>
            <w:tcW w:w="3340"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rPr>
              <w:t>供应商廉洁诚信承诺书</w:t>
            </w:r>
          </w:p>
        </w:tc>
        <w:tc>
          <w:tcPr>
            <w:tcW w:w="3904"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 w:val="22"/>
                <w:szCs w:val="22"/>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14" w:type="dxa"/>
            <w:vMerge w:val="continue"/>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000000"/>
                <w:szCs w:val="21"/>
              </w:rPr>
            </w:pPr>
          </w:p>
        </w:tc>
        <w:tc>
          <w:tcPr>
            <w:tcW w:w="1701" w:type="dxa"/>
            <w:vMerge w:val="continue"/>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color w:val="000000"/>
                <w:szCs w:val="21"/>
              </w:rPr>
            </w:pPr>
          </w:p>
        </w:tc>
        <w:tc>
          <w:tcPr>
            <w:tcW w:w="3340"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sz w:val="21"/>
                <w:szCs w:val="21"/>
                <w:lang w:val="en-US" w:eastAsia="zh-CN" w:bidi="ar-SA"/>
              </w:rPr>
            </w:pPr>
            <w:r>
              <w:rPr>
                <w:rFonts w:hint="eastAsia" w:ascii="仿宋" w:hAnsi="仿宋" w:eastAsia="仿宋" w:cs="仿宋"/>
                <w:sz w:val="21"/>
                <w:szCs w:val="21"/>
              </w:rPr>
              <w:t>供应商偏离应答</w:t>
            </w:r>
          </w:p>
        </w:tc>
        <w:tc>
          <w:tcPr>
            <w:tcW w:w="3904" w:type="dxa"/>
            <w:vAlign w:val="center"/>
          </w:tcPr>
          <w:p>
            <w:pPr>
              <w:keepNext w:val="0"/>
              <w:keepLines w:val="0"/>
              <w:pageBreakBefore w:val="0"/>
              <w:widowControl/>
              <w:kinsoku/>
              <w:wordWrap/>
              <w:overflowPunct/>
              <w:topLinePunct w:val="0"/>
              <w:autoSpaceDE/>
              <w:autoSpaceDN/>
              <w:bidi w:val="0"/>
              <w:adjustRightInd/>
              <w:snapToGrid/>
              <w:spacing w:before="24" w:after="24" w:line="240" w:lineRule="auto"/>
              <w:jc w:val="center"/>
              <w:textAlignment w:val="auto"/>
              <w:rPr>
                <w:rFonts w:hint="eastAsia" w:ascii="仿宋" w:hAnsi="仿宋" w:eastAsia="仿宋" w:cs="仿宋"/>
                <w:sz w:val="22"/>
                <w:szCs w:val="22"/>
                <w:lang w:val="en-US" w:eastAsia="zh-CN" w:bidi="ar-SA"/>
              </w:rPr>
            </w:pPr>
          </w:p>
        </w:tc>
      </w:tr>
    </w:tbl>
    <w:p>
      <w:pPr>
        <w:rPr>
          <w:rFonts w:ascii="宋体" w:hAnsi="宋体"/>
          <w:color w:val="auto"/>
          <w:szCs w:val="21"/>
        </w:rPr>
      </w:pPr>
    </w:p>
    <w:p>
      <w:pPr>
        <w:pStyle w:val="2"/>
        <w:sectPr>
          <w:footerReference r:id="rId8" w:type="default"/>
          <w:pgSz w:w="11906" w:h="16838"/>
          <w:pgMar w:top="1417" w:right="1134" w:bottom="1134" w:left="1134" w:header="964" w:footer="964" w:gutter="0"/>
          <w:pgNumType w:fmt="decimal"/>
          <w:cols w:space="720" w:num="1"/>
          <w:docGrid w:linePitch="312" w:charSpace="0"/>
        </w:sectPr>
      </w:pPr>
    </w:p>
    <w:bookmarkEnd w:id="133"/>
    <w:bookmarkEnd w:id="134"/>
    <w:bookmarkEnd w:id="135"/>
    <w:bookmarkEnd w:id="136"/>
    <w:bookmarkEnd w:id="137"/>
    <w:bookmarkEnd w:id="138"/>
    <w:bookmarkEnd w:id="139"/>
    <w:bookmarkEnd w:id="140"/>
    <w:p>
      <w:pPr>
        <w:pStyle w:val="5"/>
        <w:spacing w:before="0" w:line="440" w:lineRule="exact"/>
        <w:rPr>
          <w:rFonts w:ascii="仿宋" w:hAnsi="仿宋" w:eastAsia="仿宋" w:cs="仿宋"/>
          <w:color w:val="auto"/>
          <w:sz w:val="24"/>
          <w:szCs w:val="24"/>
        </w:rPr>
      </w:pPr>
      <w:bookmarkStart w:id="144" w:name="_Toc27958"/>
      <w:bookmarkStart w:id="145" w:name="_Toc8764"/>
      <w:bookmarkStart w:id="146" w:name="_Toc27799"/>
      <w:bookmarkStart w:id="147" w:name="_Toc25121"/>
      <w:bookmarkStart w:id="148" w:name="_Toc7202"/>
      <w:bookmarkStart w:id="149" w:name="_Toc444891354"/>
      <w:bookmarkStart w:id="150" w:name="_Toc517281837"/>
      <w:bookmarkStart w:id="151" w:name="_Toc12140"/>
      <w:r>
        <w:rPr>
          <w:rFonts w:hint="eastAsia" w:ascii="仿宋" w:hAnsi="仿宋" w:eastAsia="仿宋" w:cs="仿宋"/>
          <w:color w:val="auto"/>
          <w:sz w:val="24"/>
          <w:szCs w:val="24"/>
        </w:rPr>
        <w:t>（一）响应函</w:t>
      </w:r>
      <w:bookmarkEnd w:id="144"/>
      <w:bookmarkEnd w:id="145"/>
    </w:p>
    <w:p>
      <w:pPr>
        <w:pStyle w:val="61"/>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致：</w:t>
      </w:r>
      <w:r>
        <w:rPr>
          <w:rFonts w:hint="eastAsia" w:ascii="仿宋" w:hAnsi="仿宋" w:eastAsia="仿宋" w:cs="Cambria Math"/>
          <w:color w:val="auto"/>
          <w:sz w:val="24"/>
          <w:szCs w:val="24"/>
          <w:u w:val="single"/>
          <w:lang w:eastAsia="zh-CN"/>
        </w:rPr>
        <w:t>中国人民财产保险股份有限公司泸州市分公司</w:t>
      </w:r>
      <w:r>
        <w:rPr>
          <w:rFonts w:hint="eastAsia" w:ascii="仿宋" w:hAnsi="仿宋" w:eastAsia="仿宋" w:cs="Cambria Math"/>
          <w:color w:val="auto"/>
          <w:sz w:val="24"/>
          <w:szCs w:val="24"/>
          <w:u w:val="single"/>
        </w:rPr>
        <w:t xml:space="preserve">     </w:t>
      </w:r>
    </w:p>
    <w:p>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lang w:eastAsia="zh-CN"/>
        </w:rPr>
        <w:t>人保财险四川省泸州市分公司车内视频宣传采购项目</w:t>
      </w:r>
      <w:r>
        <w:rPr>
          <w:rFonts w:hint="eastAsia" w:ascii="仿宋" w:hAnsi="仿宋" w:eastAsia="仿宋" w:cs="Cambria Math"/>
          <w:color w:val="auto"/>
          <w:u w:val="single"/>
        </w:rPr>
        <w:t xml:space="preserve">    </w:t>
      </w:r>
      <w:r>
        <w:rPr>
          <w:rFonts w:hint="eastAsia" w:ascii="仿宋" w:hAnsi="仿宋" w:eastAsia="仿宋" w:cs="Cambria Math"/>
          <w:color w:val="auto"/>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ascii="仿宋" w:hAnsi="仿宋" w:eastAsia="仿宋" w:cs="Cambria Math"/>
          <w:color w:val="auto"/>
          <w:u w:val="single"/>
        </w:rPr>
        <w:t>180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（2）我方承诺按照比选文件规定递交履约保证金。</w:t>
      </w:r>
    </w:p>
    <w:p>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（3）我方承诺按照比选文件的规定及合同约定履行相关责任和义务。</w:t>
      </w:r>
    </w:p>
    <w:p>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141"/>
      <w:bookmarkEnd w:id="142"/>
      <w:bookmarkEnd w:id="146"/>
      <w:bookmarkEnd w:id="147"/>
      <w:bookmarkEnd w:id="148"/>
      <w:bookmarkEnd w:id="149"/>
      <w:bookmarkEnd w:id="150"/>
      <w:bookmarkEnd w:id="151"/>
      <w:bookmarkStart w:id="152" w:name="_Toc13983"/>
      <w:bookmarkStart w:id="153" w:name="_Toc27853"/>
      <w:r>
        <w:rPr>
          <w:rFonts w:hint="eastAsia" w:ascii="仿宋" w:hAnsi="仿宋" w:eastAsia="仿宋" w:cs="仿宋"/>
          <w:color w:val="auto"/>
          <w:sz w:val="24"/>
          <w:szCs w:val="24"/>
        </w:rPr>
        <w:t>（二）法定代表人（负责人）身份证明书</w:t>
      </w:r>
      <w:bookmarkEnd w:id="152"/>
      <w:bookmarkEnd w:id="153"/>
      <w:r>
        <w:rPr>
          <w:rFonts w:hint="eastAsia" w:ascii="仿宋" w:hAnsi="仿宋" w:eastAsia="仿宋" w:cs="仿宋"/>
          <w:color w:val="auto"/>
          <w:sz w:val="24"/>
          <w:szCs w:val="24"/>
        </w:rPr>
        <w:tab/>
      </w:r>
    </w:p>
    <w:p>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pPr>
        <w:spacing w:line="360" w:lineRule="auto"/>
        <w:rPr>
          <w:rFonts w:ascii="仿宋" w:hAnsi="仿宋" w:eastAsia="仿宋" w:cs="仿宋"/>
          <w:b/>
          <w:color w:val="auto"/>
        </w:rPr>
      </w:pPr>
    </w:p>
    <w:p>
      <w:pPr>
        <w:topLinePunct/>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opLinePunct/>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pPr>
        <w:topLinePunct/>
        <w:spacing w:line="360" w:lineRule="auto"/>
        <w:rPr>
          <w:rFonts w:ascii="仿宋" w:hAnsi="仿宋" w:eastAsia="仿宋" w:cs="仿宋"/>
          <w:color w:val="auto"/>
        </w:rPr>
      </w:pPr>
      <w:r>
        <w:rPr>
          <w:rFonts w:hint="eastAsia" w:ascii="仿宋" w:hAnsi="仿宋" w:eastAsia="仿宋" w:cs="仿宋"/>
          <w:color w:val="auto"/>
        </w:rPr>
        <w:t>特此证明。</w:t>
      </w:r>
    </w:p>
    <w:p>
      <w:pPr>
        <w:topLinePunct/>
        <w:spacing w:line="360" w:lineRule="auto"/>
        <w:rPr>
          <w:rFonts w:ascii="仿宋" w:hAnsi="仿宋" w:eastAsia="仿宋" w:cs="仿宋"/>
          <w:color w:val="auto"/>
        </w:rPr>
      </w:pPr>
    </w:p>
    <w:p>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spacing w:line="360" w:lineRule="auto"/>
        <w:ind w:firstLine="610"/>
        <w:rPr>
          <w:rFonts w:ascii="仿宋" w:hAnsi="仿宋" w:eastAsia="仿宋" w:cs="仿宋"/>
          <w:color w:val="auto"/>
        </w:rPr>
      </w:pPr>
    </w:p>
    <w:p>
      <w:pPr>
        <w:tabs>
          <w:tab w:val="left" w:pos="720"/>
          <w:tab w:val="left" w:pos="900"/>
        </w:tabs>
        <w:spacing w:line="360" w:lineRule="auto"/>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wordWrap w:val="0"/>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720"/>
          <w:tab w:val="left" w:pos="900"/>
        </w:tabs>
        <w:spacing w:line="360" w:lineRule="auto"/>
        <w:ind w:left="1078"/>
        <w:rPr>
          <w:rFonts w:ascii="仿宋" w:hAnsi="仿宋" w:eastAsia="仿宋" w:cs="仿宋"/>
          <w:color w:val="auto"/>
        </w:rPr>
      </w:pPr>
    </w:p>
    <w:p>
      <w:pPr>
        <w:tabs>
          <w:tab w:val="left" w:pos="720"/>
          <w:tab w:val="left" w:pos="900"/>
        </w:tabs>
        <w:spacing w:line="360" w:lineRule="auto"/>
        <w:ind w:left="1078"/>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54" w:name="_Toc444891355"/>
      <w:bookmarkStart w:id="155" w:name="_Toc19783361"/>
      <w:bookmarkStart w:id="156" w:name="_Toc26267"/>
      <w:bookmarkStart w:id="157" w:name="_Toc5582"/>
      <w:bookmarkStart w:id="158" w:name="_Toc18010"/>
      <w:bookmarkStart w:id="159" w:name="_Toc24788"/>
      <w:bookmarkStart w:id="160" w:name="_Toc4426"/>
      <w:bookmarkStart w:id="161" w:name="_Toc517281838"/>
      <w:bookmarkStart w:id="162" w:name="_Toc20707"/>
      <w:bookmarkStart w:id="163" w:name="_Toc287600130"/>
      <w:r>
        <w:rPr>
          <w:rFonts w:hint="eastAsia" w:ascii="仿宋" w:hAnsi="仿宋" w:eastAsia="仿宋" w:cs="仿宋"/>
          <w:color w:val="auto"/>
          <w:sz w:val="24"/>
          <w:szCs w:val="24"/>
        </w:rPr>
        <w:t>（三）法定代表人（负责人）授权委托书</w:t>
      </w:r>
      <w:bookmarkEnd w:id="154"/>
      <w:bookmarkEnd w:id="155"/>
      <w:bookmarkEnd w:id="156"/>
      <w:bookmarkEnd w:id="157"/>
      <w:bookmarkEnd w:id="158"/>
      <w:bookmarkEnd w:id="159"/>
      <w:bookmarkEnd w:id="160"/>
      <w:bookmarkEnd w:id="161"/>
      <w:bookmarkEnd w:id="162"/>
      <w:bookmarkEnd w:id="163"/>
    </w:p>
    <w:p>
      <w:pPr>
        <w:pStyle w:val="61"/>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pPr>
        <w:pStyle w:val="61"/>
        <w:topLinePunct/>
        <w:spacing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lang w:eastAsia="zh-CN"/>
        </w:rPr>
        <w:t>人保财险四川省泸州市分公司车内视频宣传采购项目</w:t>
      </w:r>
      <w:r>
        <w:rPr>
          <w:rFonts w:hint="eastAsia" w:ascii="仿宋" w:hAnsi="仿宋" w:eastAsia="仿宋" w:cs="Cambria Math"/>
          <w:color w:val="auto"/>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pPr>
        <w:pStyle w:val="61"/>
        <w:spacing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61"/>
        <w:spacing w:line="360" w:lineRule="auto"/>
        <w:ind w:firstLine="482" w:firstLineChars="200"/>
        <w:rPr>
          <w:rFonts w:ascii="仿宋" w:hAnsi="仿宋" w:eastAsia="仿宋" w:cs="Cambria Math"/>
          <w:b/>
          <w:bCs/>
          <w:color w:val="auto"/>
          <w:sz w:val="24"/>
          <w:szCs w:val="24"/>
        </w:rPr>
      </w:pPr>
    </w:p>
    <w:p>
      <w:pPr>
        <w:pStyle w:val="61"/>
        <w:spacing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61"/>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spacing w:line="360" w:lineRule="auto"/>
        <w:ind w:left="720"/>
        <w:rPr>
          <w:rFonts w:ascii="仿宋" w:hAnsi="仿宋" w:eastAsia="仿宋" w:cs="仿宋"/>
          <w:b/>
          <w:color w:val="auto"/>
        </w:rPr>
      </w:pPr>
    </w:p>
    <w:p>
      <w:pPr>
        <w:tabs>
          <w:tab w:val="left" w:pos="540"/>
        </w:tabs>
        <w:rPr>
          <w:rFonts w:ascii="仿宋" w:hAnsi="仿宋" w:eastAsia="仿宋" w:cs="仿宋"/>
          <w:color w:val="auto"/>
          <w:szCs w:val="21"/>
        </w:rPr>
      </w:pPr>
      <w:r>
        <w:rPr>
          <w:rFonts w:hint="eastAsia" w:ascii="仿宋" w:hAnsi="仿宋" w:eastAsia="仿宋" w:cs="仿宋"/>
          <w:color w:val="auto"/>
          <w:szCs w:val="21"/>
        </w:rPr>
        <w:tab/>
      </w: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spacing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pPr>
        <w:pStyle w:val="61"/>
        <w:wordWrap w:val="0"/>
        <w:spacing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pPr>
        <w:wordWrap w:val="0"/>
        <w:spacing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tabs>
          <w:tab w:val="left" w:pos="540"/>
        </w:tabs>
        <w:rPr>
          <w:rFonts w:ascii="仿宋" w:hAnsi="仿宋" w:eastAsia="仿宋" w:cs="仿宋"/>
          <w:color w:val="auto"/>
          <w:szCs w:val="21"/>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auto"/>
          <w:sz w:val="24"/>
          <w:szCs w:val="24"/>
        </w:rPr>
      </w:pPr>
      <w:bookmarkStart w:id="164" w:name="_Toc22307"/>
      <w:bookmarkStart w:id="165" w:name="_Toc30551"/>
      <w:bookmarkStart w:id="166" w:name="_Toc517281841"/>
      <w:r>
        <w:rPr>
          <w:rFonts w:hint="eastAsia" w:ascii="仿宋" w:hAnsi="仿宋" w:eastAsia="仿宋" w:cs="仿宋"/>
          <w:color w:val="auto"/>
          <w:sz w:val="24"/>
          <w:szCs w:val="24"/>
        </w:rPr>
        <w:t>（四）资格证明文件</w:t>
      </w:r>
      <w:bookmarkEnd w:id="164"/>
      <w:bookmarkEnd w:id="165"/>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61"/>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auto"/>
              </w:rPr>
            </w:pPr>
            <w:r>
              <w:rPr>
                <w:rFonts w:hint="eastAsia" w:ascii="仿宋" w:hAnsi="仿宋" w:eastAsia="仿宋" w:cs="仿宋"/>
                <w:color w:val="auto"/>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bl>
    <w:p>
      <w:pPr>
        <w:pStyle w:val="61"/>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spacing w:line="360" w:lineRule="auto"/>
        <w:ind w:firstLine="480" w:firstLineChars="200"/>
        <w:textAlignment w:val="baseline"/>
        <w:rPr>
          <w:rFonts w:ascii="仿宋" w:hAnsi="仿宋" w:eastAsia="仿宋" w:cs="仿宋"/>
          <w:color w:val="auto"/>
        </w:rPr>
      </w:pPr>
      <w:r>
        <w:rPr>
          <w:rFonts w:hint="eastAsia" w:ascii="仿宋" w:hAnsi="仿宋" w:cs="仿宋"/>
          <w:color w:val="auto"/>
        </w:rPr>
        <w:br w:type="page"/>
      </w:r>
    </w:p>
    <w:p>
      <w:pPr>
        <w:pStyle w:val="6"/>
        <w:spacing w:before="0" w:after="0" w:line="360" w:lineRule="auto"/>
        <w:rPr>
          <w:rFonts w:ascii="仿宋" w:hAnsi="仿宋" w:eastAsia="仿宋" w:cs="仿宋"/>
          <w:b w:val="0"/>
          <w:bCs w:val="0"/>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、同类项目实施经验</w:t>
      </w:r>
      <w:r>
        <w:rPr>
          <w:rFonts w:hint="eastAsia" w:ascii="仿宋" w:hAnsi="仿宋" w:eastAsia="仿宋" w:cs="仿宋"/>
          <w:b w:val="0"/>
          <w:bCs w:val="0"/>
          <w:color w:val="auto"/>
          <w:sz w:val="24"/>
          <w:szCs w:val="24"/>
        </w:rPr>
        <w:t xml:space="preserve"> </w:t>
      </w:r>
    </w:p>
    <w:p>
      <w:pPr>
        <w:rPr>
          <w:color w:val="auto"/>
        </w:rPr>
      </w:pP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w:t>
            </w:r>
          </w:p>
        </w:tc>
        <w:tc>
          <w:tcPr>
            <w:tcW w:w="82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bl>
    <w:p>
      <w:pPr>
        <w:spacing w:line="360" w:lineRule="auto"/>
        <w:rPr>
          <w:rFonts w:ascii="仿宋" w:hAnsi="仿宋" w:eastAsia="仿宋" w:cs="仿宋"/>
          <w:b/>
          <w:bCs/>
          <w:color w:val="auto"/>
        </w:rPr>
      </w:pPr>
      <w:r>
        <w:rPr>
          <w:rFonts w:hint="eastAsia" w:ascii="仿宋" w:hAnsi="仿宋" w:eastAsia="仿宋" w:cs="仿宋"/>
          <w:b/>
          <w:bCs/>
          <w:color w:val="auto"/>
        </w:rPr>
        <w:t>备注：</w:t>
      </w:r>
    </w:p>
    <w:p>
      <w:pPr>
        <w:spacing w:line="360" w:lineRule="auto"/>
        <w:textAlignment w:val="baseline"/>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pPr>
        <w:spacing w:line="360" w:lineRule="auto"/>
        <w:textAlignment w:val="baseline"/>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rPr>
      </w:pPr>
    </w:p>
    <w:p>
      <w:pPr>
        <w:spacing w:line="360" w:lineRule="auto"/>
        <w:ind w:firstLine="480" w:firstLineChars="20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hint="eastAsia" w:ascii="仿宋" w:hAnsi="仿宋" w:eastAsia="仿宋" w:cs="仿宋"/>
          <w:b/>
          <w:bCs/>
          <w:color w:val="auto"/>
          <w:sz w:val="24"/>
          <w:szCs w:val="24"/>
          <w:lang w:val="en-US" w:eastAsia="zh-CN" w:bidi="ar-SA"/>
        </w:rPr>
      </w:pPr>
      <w:r>
        <w:rPr>
          <w:color w:val="auto"/>
        </w:rPr>
        <w:br w:type="page"/>
      </w:r>
      <w:r>
        <w:rPr>
          <w:rFonts w:hint="eastAsia" w:ascii="仿宋" w:hAnsi="仿宋" w:eastAsia="仿宋" w:cs="仿宋"/>
          <w:b/>
          <w:bCs/>
          <w:color w:val="auto"/>
          <w:sz w:val="24"/>
          <w:szCs w:val="24"/>
          <w:lang w:val="en-US" w:eastAsia="zh-CN" w:bidi="ar-SA"/>
        </w:rPr>
        <w:t>3、无违法违规记录查询截图</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pPr>
        <w:spacing w:line="360" w:lineRule="auto"/>
        <w:textAlignment w:val="baseline"/>
        <w:rPr>
          <w:color w:val="auto"/>
        </w:rPr>
      </w:pPr>
      <w:r>
        <w:rPr>
          <w:rFonts w:hint="eastAsia" w:ascii="仿宋" w:hAnsi="仿宋" w:eastAsia="仿宋" w:cs="Cambria Math"/>
          <w:color w:val="auto"/>
        </w:rPr>
        <w:t>（1）失信被执行人查询截图范例：</w:t>
      </w:r>
    </w:p>
    <w:p>
      <w:pPr>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pPr>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pPr>
        <w:ind w:firstLine="240" w:firstLineChars="100"/>
        <w:rPr>
          <w:rFonts w:hint="eastAsia" w:ascii="仿宋" w:hAnsi="仿宋" w:eastAsia="仿宋" w:cs="仿宋"/>
          <w:b/>
          <w:bCs/>
          <w:color w:val="auto"/>
          <w:sz w:val="24"/>
          <w:szCs w:val="24"/>
          <w:lang w:val="en-US" w:eastAsia="zh-CN" w:bidi="ar-SA"/>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r>
      <w:r>
        <w:rPr>
          <w:rFonts w:hint="eastAsia" w:ascii="仿宋" w:hAnsi="仿宋" w:eastAsia="仿宋" w:cs="仿宋"/>
          <w:color w:val="auto"/>
          <w:lang w:val="en-US" w:eastAsia="zh-CN"/>
        </w:rPr>
        <w:t>4</w:t>
      </w:r>
      <w:r>
        <w:rPr>
          <w:rFonts w:hint="eastAsia" w:ascii="仿宋" w:hAnsi="仿宋" w:eastAsia="仿宋" w:cs="仿宋"/>
          <w:b/>
          <w:bCs/>
          <w:color w:val="auto"/>
          <w:sz w:val="24"/>
          <w:szCs w:val="24"/>
          <w:lang w:val="en-US" w:eastAsia="zh-CN" w:bidi="ar-SA"/>
        </w:rPr>
        <w:t>、未列入供应商黑名单且未在禁入期承诺函</w:t>
      </w:r>
    </w:p>
    <w:p>
      <w:pPr>
        <w:pStyle w:val="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lang w:eastAsia="zh-CN"/>
        </w:rPr>
        <w:t>中国人民财产保险股份有限公司泸州市分公司</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auto"/>
        </w:rPr>
      </w:pP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6"/>
        <w:spacing w:line="360" w:lineRule="auto"/>
        <w:rPr>
          <w:rFonts w:ascii="仿宋" w:hAnsi="仿宋" w:eastAsia="仿宋" w:cs="仿宋"/>
          <w:color w:val="auto"/>
        </w:rPr>
      </w:pPr>
      <w:r>
        <w:rPr>
          <w:rFonts w:hint="eastAsia" w:ascii="仿宋" w:hAnsi="仿宋" w:eastAsia="仿宋" w:cs="仿宋"/>
          <w:color w:val="auto"/>
          <w:szCs w:val="24"/>
        </w:rPr>
        <w:br w:type="page"/>
      </w:r>
    </w:p>
    <w:p>
      <w:pPr>
        <w:pStyle w:val="6"/>
        <w:spacing w:before="0" w:after="0" w:line="360" w:lineRule="auto"/>
        <w:rPr>
          <w:rFonts w:ascii="仿宋" w:hAnsi="仿宋" w:eastAsia="仿宋" w:cs="仿宋"/>
          <w:color w:val="auto"/>
          <w:sz w:val="24"/>
          <w:szCs w:val="24"/>
        </w:rPr>
      </w:pPr>
      <w:bookmarkStart w:id="167" w:name="_Hlk69983040"/>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pPr>
        <w:keepNext w:val="0"/>
        <w:keepLines w:val="0"/>
        <w:pageBreakBefore w:val="0"/>
        <w:widowControl/>
        <w:kinsoku/>
        <w:wordWrap/>
        <w:overflowPunct/>
        <w:topLinePunct w:val="0"/>
        <w:autoSpaceDE/>
        <w:autoSpaceDN/>
        <w:bidi w:val="0"/>
        <w:adjustRightInd w:val="0"/>
        <w:snapToGrid w:val="0"/>
        <w:spacing w:line="360" w:lineRule="auto"/>
        <w:ind w:left="-89" w:leftChars="-295" w:hanging="619" w:hangingChars="258"/>
        <w:jc w:val="both"/>
        <w:textAlignment w:val="auto"/>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w:t>
      </w:r>
      <w:r>
        <w:rPr>
          <w:rFonts w:hint="eastAsia" w:ascii="仿宋" w:hAnsi="仿宋" w:eastAsia="仿宋" w:cs="宋体"/>
          <w:color w:val="auto"/>
          <w:u w:val="single"/>
          <w:lang w:eastAsia="zh-CN"/>
        </w:rPr>
        <w:t>中国人民财产保险股份有限公司泸州市分公司</w:t>
      </w:r>
      <w:r>
        <w:rPr>
          <w:rFonts w:hint="eastAsia" w:ascii="仿宋" w:hAnsi="仿宋" w:eastAsia="仿宋" w:cs="宋体"/>
          <w:color w:val="auto"/>
          <w:u w:val="single"/>
        </w:rPr>
        <w:t xml:space="preserve">  </w:t>
      </w:r>
      <w:r>
        <w:rPr>
          <w:rFonts w:hint="eastAsia" w:ascii="仿宋" w:hAnsi="仿宋" w:eastAsia="仿宋" w:cs="宋体"/>
          <w:color w:val="auto"/>
        </w:rPr>
        <w:t>：</w:t>
      </w:r>
    </w:p>
    <w:p>
      <w:pPr>
        <w:keepNext w:val="0"/>
        <w:keepLines w:val="0"/>
        <w:pageBreakBefore w:val="0"/>
        <w:widowControl/>
        <w:kinsoku/>
        <w:wordWrap/>
        <w:overflowPunct/>
        <w:topLinePunct w:val="0"/>
        <w:autoSpaceDE/>
        <w:autoSpaceDN/>
        <w:bidi w:val="0"/>
        <w:adjustRightInd w:val="0"/>
        <w:snapToGrid w:val="0"/>
        <w:spacing w:line="360" w:lineRule="auto"/>
        <w:ind w:left="-706" w:leftChars="-294" w:right="-586" w:rightChars="-244" w:firstLine="616" w:firstLineChars="257"/>
        <w:jc w:val="both"/>
        <w:textAlignment w:val="auto"/>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lang w:eastAsia="zh-CN"/>
        </w:rPr>
        <w:t>人保财险四川省泸州市分公司车内视频宣传采购项目</w:t>
      </w:r>
      <w:r>
        <w:rPr>
          <w:rFonts w:hint="eastAsia" w:ascii="仿宋" w:hAnsi="仿宋" w:eastAsia="仿宋" w:cs="宋体"/>
          <w:color w:val="auto"/>
        </w:rPr>
        <w:t>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姓    名</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身份证号</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备注：</w:t>
            </w:r>
          </w:p>
        </w:tc>
      </w:tr>
    </w:tbl>
    <w:p>
      <w:pPr>
        <w:adjustRightInd w:val="0"/>
        <w:snapToGrid w:val="0"/>
        <w:spacing w:line="360" w:lineRule="auto"/>
        <w:rPr>
          <w:rFonts w:ascii="仿宋" w:hAnsi="仿宋" w:eastAsia="仿宋" w:cs="宋体"/>
          <w:color w:val="auto"/>
        </w:rPr>
      </w:pPr>
      <w:r>
        <w:rPr>
          <w:rFonts w:hint="eastAsia" w:ascii="仿宋" w:hAnsi="仿宋" w:eastAsia="仿宋" w:cs="宋体"/>
          <w:color w:val="auto"/>
        </w:rPr>
        <w:t>注：</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pPr>
        <w:pStyle w:val="78"/>
        <w:adjustRightInd w:val="0"/>
        <w:snapToGrid w:val="0"/>
        <w:spacing w:line="360" w:lineRule="auto"/>
        <w:jc w:val="left"/>
        <w:rPr>
          <w:rFonts w:ascii="仿宋" w:hAnsi="仿宋" w:eastAsia="仿宋" w:cs="宋体"/>
          <w:color w:val="auto"/>
          <w:sz w:val="24"/>
        </w:rPr>
      </w:pPr>
      <w:r>
        <w:rPr>
          <w:rFonts w:hint="eastAsia" w:ascii="仿宋" w:hAnsi="仿宋" w:eastAsia="仿宋" w:cs="宋体"/>
          <w:color w:val="auto"/>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auto"/>
          <w:sz w:val="24"/>
        </w:rPr>
      </w:pPr>
      <w:r>
        <w:rPr>
          <w:rFonts w:hint="eastAsia" w:ascii="仿宋" w:hAnsi="仿宋" w:eastAsia="仿宋" w:cs="宋体"/>
          <w:color w:val="auto"/>
          <w:sz w:val="24"/>
        </w:rPr>
        <w:t>3.如未有相关情况，请在相应栏填写“无”。</w:t>
      </w:r>
    </w:p>
    <w:p>
      <w:pPr>
        <w:spacing w:line="360" w:lineRule="auto"/>
        <w:ind w:left="480" w:hanging="480" w:hangingChars="200"/>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hint="eastAsia" w:ascii="仿宋" w:hAnsi="仿宋" w:eastAsia="仿宋" w:cs="仿宋"/>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r>
        <w:rPr>
          <w:rFonts w:hint="eastAsia" w:ascii="仿宋" w:hAnsi="仿宋" w:eastAsia="仿宋" w:cs="仿宋"/>
          <w:color w:val="auto"/>
        </w:rPr>
        <w:br w:type="page"/>
      </w:r>
    </w:p>
    <w:p>
      <w:pPr>
        <w:pStyle w:val="6"/>
        <w:spacing w:before="0" w:after="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6、非联合体比选响应声明</w:t>
      </w:r>
    </w:p>
    <w:bookmarkEnd w:id="166"/>
    <w:bookmarkEnd w:id="167"/>
    <w:p>
      <w:pPr>
        <w:pStyle w:val="2"/>
        <w:spacing w:before="240"/>
        <w:rPr>
          <w:rFonts w:ascii="仿宋" w:hAnsi="仿宋" w:eastAsia="仿宋" w:cs="Cambria Math"/>
          <w:b/>
          <w:bCs/>
          <w:color w:val="auto"/>
        </w:rPr>
      </w:pPr>
      <w:bookmarkStart w:id="168" w:name="_Toc71192048"/>
      <w:r>
        <w:rPr>
          <w:rFonts w:hint="eastAsia" w:ascii="仿宋" w:hAnsi="仿宋" w:eastAsia="仿宋" w:cs="Cambria Math"/>
          <w:b/>
          <w:bCs/>
          <w:color w:val="auto"/>
        </w:rPr>
        <w:t>非联合体比选响应声明</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rPr>
        <w:t>中国人民财产保险股份有限公司泸州市分公司</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w:t>
      </w:r>
      <w:r>
        <w:rPr>
          <w:rFonts w:hint="eastAsia" w:ascii="仿宋" w:hAnsi="仿宋" w:eastAsia="仿宋" w:cs="Cambria Math"/>
          <w:color w:val="auto"/>
          <w:u w:val="single"/>
          <w:lang w:eastAsia="zh-CN"/>
        </w:rPr>
        <w:t>人保财险四川省泸州市分公司车内视频宣传采购项目</w:t>
      </w:r>
      <w:r>
        <w:rPr>
          <w:rFonts w:ascii="仿宋" w:hAnsi="仿宋" w:eastAsia="仿宋" w:cs="Cambria Math"/>
          <w:color w:val="auto"/>
          <w:u w:val="single"/>
        </w:rPr>
        <w:t xml:space="preserve">  </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rFonts w:ascii="仿宋" w:hAnsi="仿宋" w:eastAsia="仿宋" w:cs="仿宋"/>
          <w:color w:val="auto"/>
        </w:rPr>
        <w:br w:type="page"/>
      </w:r>
    </w:p>
    <w:p>
      <w:pPr>
        <w:pStyle w:val="5"/>
        <w:spacing w:before="0" w:after="0" w:line="360" w:lineRule="auto"/>
        <w:rPr>
          <w:rFonts w:ascii="仿宋" w:hAnsi="仿宋" w:cs="宋体"/>
          <w:color w:val="auto"/>
          <w:szCs w:val="24"/>
        </w:rPr>
      </w:pPr>
      <w:bookmarkStart w:id="169" w:name="_Toc15130"/>
      <w:bookmarkStart w:id="170" w:name="_Toc144139212"/>
      <w:bookmarkStart w:id="171" w:name="_Toc112068411"/>
      <w:bookmarkStart w:id="172" w:name="_Toc65683009"/>
      <w:bookmarkStart w:id="173" w:name="_Toc12525"/>
      <w:bookmarkStart w:id="174" w:name="_Toc18208"/>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69"/>
      <w:bookmarkEnd w:id="170"/>
      <w:bookmarkEnd w:id="171"/>
      <w:bookmarkEnd w:id="172"/>
      <w:bookmarkEnd w:id="173"/>
      <w:bookmarkEnd w:id="174"/>
    </w:p>
    <w:p>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bl>
    <w:p>
      <w:pPr>
        <w:spacing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宋体"/>
          <w:color w:val="auto"/>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pStyle w:val="5"/>
        <w:spacing w:before="0" w:after="0" w:line="360" w:lineRule="auto"/>
        <w:rPr>
          <w:rFonts w:ascii="仿宋" w:hAnsi="仿宋" w:eastAsia="仿宋" w:cs="仿宋"/>
          <w:color w:val="auto"/>
          <w:sz w:val="24"/>
          <w:szCs w:val="24"/>
        </w:rPr>
      </w:pPr>
      <w:bookmarkStart w:id="175" w:name="_Toc4561"/>
      <w:r>
        <w:rPr>
          <w:rFonts w:hint="eastAsia" w:ascii="仿宋" w:hAnsi="仿宋" w:eastAsia="仿宋" w:cs="仿宋"/>
          <w:color w:val="auto"/>
          <w:sz w:val="24"/>
          <w:szCs w:val="24"/>
        </w:rPr>
        <w:t>（六）合同条款应答偏</w:t>
      </w:r>
      <w:r>
        <w:rPr>
          <w:rFonts w:ascii="仿宋" w:hAnsi="仿宋" w:eastAsia="仿宋" w:cs="仿宋"/>
          <w:color w:val="auto"/>
          <w:sz w:val="24"/>
          <w:szCs w:val="24"/>
        </w:rPr>
        <w:t>离表</w:t>
      </w:r>
      <w:bookmarkEnd w:id="175"/>
    </w:p>
    <w:p>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bl>
    <w:p>
      <w:pPr>
        <w:spacing w:before="24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600" w:lineRule="exact"/>
        <w:rPr>
          <w:rFonts w:ascii="仿宋" w:hAnsi="仿宋" w:eastAsia="仿宋" w:cs="仿宋"/>
          <w:color w:val="auto"/>
          <w:szCs w:val="21"/>
        </w:rPr>
      </w:pPr>
    </w:p>
    <w:p>
      <w:pPr>
        <w:spacing w:line="360" w:lineRule="auto"/>
        <w:ind w:firstLine="42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p>
    <w:p>
      <w:pPr>
        <w:pStyle w:val="5"/>
        <w:spacing w:before="0" w:after="0" w:line="360" w:lineRule="auto"/>
        <w:rPr>
          <w:rFonts w:ascii="仿宋" w:hAnsi="仿宋" w:eastAsia="仿宋" w:cs="宋体"/>
          <w:color w:val="auto"/>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auto"/>
          <w:sz w:val="24"/>
          <w:szCs w:val="24"/>
        </w:rPr>
        <w:br w:type="page"/>
      </w:r>
    </w:p>
    <w:p>
      <w:pPr>
        <w:pStyle w:val="5"/>
        <w:spacing w:before="0" w:after="0" w:line="360" w:lineRule="auto"/>
        <w:rPr>
          <w:rFonts w:ascii="仿宋" w:hAnsi="仿宋" w:eastAsia="仿宋" w:cs="仿宋"/>
          <w:color w:val="auto"/>
          <w:sz w:val="24"/>
          <w:szCs w:val="24"/>
        </w:rPr>
      </w:pPr>
      <w:bookmarkStart w:id="176" w:name="_Toc17890"/>
      <w:bookmarkStart w:id="177" w:name="_Toc11345"/>
      <w:r>
        <w:rPr>
          <w:rFonts w:hint="eastAsia" w:ascii="仿宋" w:hAnsi="仿宋" w:eastAsia="仿宋" w:cs="仿宋"/>
          <w:color w:val="auto"/>
          <w:sz w:val="24"/>
          <w:szCs w:val="24"/>
        </w:rPr>
        <w:t>（七）供应商行为准则承诺书</w:t>
      </w:r>
      <w:bookmarkEnd w:id="176"/>
      <w:bookmarkEnd w:id="177"/>
    </w:p>
    <w:p>
      <w:pPr>
        <w:jc w:val="center"/>
        <w:rPr>
          <w:rFonts w:ascii="仿宋" w:hAnsi="仿宋" w:eastAsia="仿宋" w:cs="宋体"/>
          <w:b/>
          <w:bCs/>
          <w:color w:val="auto"/>
          <w:sz w:val="28"/>
          <w:szCs w:val="28"/>
        </w:rPr>
      </w:pPr>
      <w:bookmarkStart w:id="178" w:name="_Toc15599"/>
      <w:r>
        <w:rPr>
          <w:rFonts w:hint="eastAsia" w:ascii="仿宋" w:hAnsi="仿宋" w:eastAsia="仿宋" w:cs="宋体"/>
          <w:b/>
          <w:bCs/>
          <w:color w:val="auto"/>
          <w:sz w:val="28"/>
          <w:szCs w:val="28"/>
        </w:rPr>
        <w:t>供应商行为准则承诺书</w:t>
      </w:r>
    </w:p>
    <w:p>
      <w:pPr>
        <w:spacing w:line="360" w:lineRule="auto"/>
        <w:ind w:firstLine="480" w:firstLineChars="200"/>
        <w:rPr>
          <w:rFonts w:ascii="仿宋" w:hAnsi="仿宋" w:eastAsia="仿宋" w:cs="仿宋"/>
          <w:color w:val="auto"/>
        </w:rPr>
      </w:pP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法定代表人（负责人）姓名、职务：__________________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邮编：__________地址：__________________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电话：__________传真：__________________</w:t>
      </w:r>
    </w:p>
    <w:p>
      <w:pPr>
        <w:pStyle w:val="77"/>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pPr>
        <w:pStyle w:val="5"/>
        <w:spacing w:before="0" w:after="0" w:line="360" w:lineRule="auto"/>
        <w:rPr>
          <w:rFonts w:ascii="仿宋" w:hAnsi="仿宋" w:cs="宋体"/>
          <w:color w:val="auto"/>
          <w:szCs w:val="24"/>
        </w:rPr>
      </w:pPr>
      <w:r>
        <w:rPr>
          <w:rFonts w:hint="eastAsia" w:ascii="仿宋" w:hAnsi="仿宋" w:eastAsia="仿宋" w:cs="仿宋"/>
          <w:color w:val="auto"/>
        </w:rPr>
        <w:br w:type="page"/>
      </w:r>
      <w:bookmarkStart w:id="179" w:name="_Toc8068"/>
      <w:bookmarkStart w:id="180" w:name="_Toc19835"/>
      <w:r>
        <w:rPr>
          <w:rFonts w:hint="eastAsia" w:ascii="仿宋" w:hAnsi="仿宋" w:eastAsia="仿宋" w:cs="宋体"/>
          <w:bCs w:val="0"/>
          <w:color w:val="auto"/>
          <w:sz w:val="24"/>
          <w:szCs w:val="24"/>
        </w:rPr>
        <w:t>（八）供应商廉洁诚信承诺书</w:t>
      </w:r>
      <w:bookmarkEnd w:id="178"/>
      <w:bookmarkEnd w:id="179"/>
      <w:bookmarkEnd w:id="180"/>
    </w:p>
    <w:p>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rPr>
      </w:pPr>
    </w:p>
    <w:p>
      <w:pPr>
        <w:tabs>
          <w:tab w:val="left" w:pos="458"/>
        </w:tabs>
        <w:spacing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pPr>
        <w:spacing w:line="360" w:lineRule="auto"/>
        <w:ind w:firstLine="3578" w:firstLineChars="1491"/>
        <w:rPr>
          <w:rStyle w:val="58"/>
          <w:rFonts w:hint="eastAsia" w:ascii="仿宋" w:hAnsi="仿宋" w:eastAsia="仿宋" w:cs="仿宋"/>
          <w:b w:val="0"/>
          <w:bCs w:val="0"/>
          <w:color w:val="auto"/>
          <w:sz w:val="24"/>
          <w:szCs w:val="24"/>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p>
      <w:pPr>
        <w:pStyle w:val="5"/>
        <w:spacing w:before="0" w:after="0" w:line="360" w:lineRule="auto"/>
        <w:rPr>
          <w:rFonts w:ascii="仿宋" w:hAnsi="仿宋" w:eastAsia="仿宋" w:cs="宋体"/>
          <w:bCs w:val="0"/>
          <w:color w:val="auto"/>
          <w:sz w:val="21"/>
          <w:szCs w:val="24"/>
        </w:rPr>
      </w:pPr>
      <w:bookmarkStart w:id="181" w:name="_Toc24429"/>
      <w:r>
        <w:rPr>
          <w:rFonts w:hint="eastAsia" w:ascii="仿宋" w:hAnsi="仿宋" w:eastAsia="仿宋" w:cs="宋体"/>
          <w:color w:val="auto"/>
          <w:sz w:val="24"/>
        </w:rPr>
        <w:t>（九）其他材料</w:t>
      </w:r>
      <w:bookmarkEnd w:id="181"/>
    </w:p>
    <w:p>
      <w:pPr>
        <w:spacing w:line="360" w:lineRule="auto"/>
        <w:rPr>
          <w:rFonts w:ascii="宋体" w:hAnsi="宋体"/>
          <w:color w:val="auto"/>
          <w:szCs w:val="21"/>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bookmarkEnd w:id="168"/>
    <w:p>
      <w:pPr>
        <w:pStyle w:val="4"/>
        <w:jc w:val="both"/>
        <w:rPr>
          <w:rFonts w:ascii="仿宋" w:hAnsi="仿宋" w:eastAsia="仿宋" w:cs="仿宋"/>
          <w:color w:val="auto"/>
          <w:sz w:val="24"/>
          <w:szCs w:val="24"/>
        </w:rPr>
      </w:pPr>
      <w:bookmarkStart w:id="182" w:name="_Toc13049"/>
      <w:bookmarkStart w:id="183" w:name="_Toc28698"/>
      <w:r>
        <w:rPr>
          <w:rFonts w:hint="eastAsia" w:ascii="仿宋" w:hAnsi="仿宋" w:eastAsia="仿宋" w:cs="仿宋"/>
          <w:color w:val="auto"/>
          <w:sz w:val="24"/>
          <w:szCs w:val="24"/>
        </w:rPr>
        <w:t>二、技术文件</w:t>
      </w:r>
      <w:bookmarkEnd w:id="182"/>
      <w:bookmarkEnd w:id="183"/>
    </w:p>
    <w:p>
      <w:pPr>
        <w:pStyle w:val="5"/>
        <w:spacing w:before="0" w:after="0" w:line="360" w:lineRule="auto"/>
        <w:rPr>
          <w:rFonts w:ascii="仿宋" w:hAnsi="仿宋" w:eastAsia="仿宋" w:cs="仿宋"/>
          <w:color w:val="auto"/>
          <w:sz w:val="24"/>
          <w:szCs w:val="24"/>
        </w:rPr>
      </w:pPr>
      <w:bookmarkStart w:id="184" w:name="_Toc7961"/>
      <w:bookmarkStart w:id="185" w:name="_Toc17302"/>
      <w:bookmarkStart w:id="186" w:name="_Toc23108"/>
      <w:r>
        <w:rPr>
          <w:rFonts w:hint="eastAsia" w:ascii="仿宋" w:hAnsi="仿宋" w:eastAsia="仿宋" w:cs="仿宋"/>
          <w:color w:val="auto"/>
          <w:sz w:val="24"/>
          <w:szCs w:val="24"/>
        </w:rPr>
        <w:t>（一）采购需求应答偏离表</w:t>
      </w:r>
      <w:bookmarkEnd w:id="184"/>
      <w:bookmarkEnd w:id="185"/>
      <w:bookmarkEnd w:id="186"/>
    </w:p>
    <w:p>
      <w:pPr>
        <w:spacing w:line="360" w:lineRule="auto"/>
        <w:jc w:val="center"/>
        <w:rPr>
          <w:rFonts w:ascii="仿宋" w:hAnsi="仿宋" w:eastAsia="仿宋" w:cs="仿宋"/>
          <w:b/>
          <w:bCs/>
          <w:color w:val="auto"/>
        </w:rPr>
      </w:pPr>
      <w:bookmarkStart w:id="187" w:name="_Toc125771198"/>
      <w:bookmarkStart w:id="188" w:name="_Toc293297544"/>
      <w:bookmarkStart w:id="189" w:name="_Toc125561188"/>
      <w:r>
        <w:rPr>
          <w:rFonts w:hint="eastAsia" w:ascii="仿宋" w:hAnsi="仿宋" w:eastAsia="仿宋" w:cs="仿宋"/>
          <w:b/>
          <w:bCs/>
          <w:color w:val="auto"/>
        </w:rPr>
        <w:t>采购需求应答偏离表</w:t>
      </w:r>
      <w:bookmarkEnd w:id="187"/>
      <w:bookmarkEnd w:id="188"/>
      <w:bookmarkEnd w:id="189"/>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auto"/>
                <w:szCs w:val="21"/>
              </w:rPr>
            </w:pPr>
          </w:p>
        </w:tc>
      </w:tr>
    </w:tbl>
    <w:p>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对于未列出的偏离内容视同供应商已完全接受比选文件的要求，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360" w:lineRule="auto"/>
        <w:ind w:left="480" w:hanging="480" w:hangingChars="200"/>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90" w:name="_Toc8284"/>
      <w:bookmarkStart w:id="191" w:name="_Toc23964"/>
      <w:r>
        <w:rPr>
          <w:rFonts w:hint="eastAsia" w:ascii="仿宋" w:hAnsi="仿宋" w:eastAsia="仿宋" w:cs="仿宋"/>
          <w:color w:val="auto"/>
          <w:sz w:val="24"/>
          <w:szCs w:val="24"/>
        </w:rPr>
        <w:t>（二）技术方案</w:t>
      </w:r>
      <w:bookmarkEnd w:id="190"/>
      <w:bookmarkEnd w:id="191"/>
    </w:p>
    <w:p>
      <w:pPr>
        <w:spacing w:line="360" w:lineRule="auto"/>
        <w:ind w:firstLine="480" w:firstLineChars="200"/>
        <w:rPr>
          <w:rFonts w:ascii="仿宋" w:hAnsi="仿宋" w:eastAsia="仿宋" w:cs="仿宋"/>
          <w:color w:val="auto"/>
        </w:rPr>
      </w:pPr>
      <w:r>
        <w:rPr>
          <w:rFonts w:hint="eastAsia" w:ascii="仿宋" w:hAnsi="仿宋" w:eastAsia="仿宋" w:cs="仿宋"/>
          <w:color w:val="auto"/>
        </w:rPr>
        <w:t xml:space="preserve">供应商应根据采购需求的要求，提供相应的文件内容以及证明材料。 </w:t>
      </w:r>
      <w:bookmarkStart w:id="192" w:name="_Toc444891358"/>
      <w:bookmarkStart w:id="193" w:name="_Toc517281860"/>
      <w:r>
        <w:rPr>
          <w:rFonts w:hint="eastAsia" w:ascii="仿宋" w:hAnsi="仿宋" w:eastAsia="仿宋" w:cs="仿宋"/>
          <w:color w:val="auto"/>
        </w:rPr>
        <w:br w:type="page"/>
      </w:r>
    </w:p>
    <w:bookmarkEnd w:id="192"/>
    <w:bookmarkEnd w:id="193"/>
    <w:p>
      <w:pPr>
        <w:pStyle w:val="5"/>
        <w:numPr>
          <w:ilvl w:val="0"/>
          <w:numId w:val="4"/>
        </w:numPr>
        <w:spacing w:before="0" w:after="0" w:line="360" w:lineRule="auto"/>
        <w:rPr>
          <w:rFonts w:hint="eastAsia" w:ascii="仿宋" w:hAnsi="仿宋" w:eastAsia="仿宋" w:cs="仿宋"/>
          <w:color w:val="auto"/>
          <w:sz w:val="24"/>
          <w:szCs w:val="24"/>
        </w:rPr>
      </w:pPr>
      <w:bookmarkStart w:id="194" w:name="_Toc13272"/>
      <w:bookmarkStart w:id="195" w:name="_Toc20365"/>
      <w:r>
        <w:rPr>
          <w:rFonts w:hint="eastAsia" w:ascii="仿宋" w:hAnsi="仿宋" w:eastAsia="仿宋" w:cs="仿宋"/>
          <w:color w:val="auto"/>
          <w:sz w:val="24"/>
          <w:szCs w:val="24"/>
        </w:rPr>
        <w:t>其他材料</w:t>
      </w:r>
      <w:bookmarkEnd w:id="194"/>
      <w:bookmarkEnd w:id="195"/>
    </w:p>
    <w:p>
      <w:pPr>
        <w:rPr>
          <w:rFonts w:hint="eastAsia" w:ascii="仿宋" w:hAnsi="仿宋" w:eastAsia="仿宋" w:cs="仿宋"/>
          <w:b w:val="0"/>
          <w:bCs w:val="0"/>
          <w:color w:val="auto"/>
          <w:sz w:val="24"/>
          <w:szCs w:val="24"/>
          <w:lang w:val="en-US" w:eastAsia="zh-CN" w:bidi="ar-SA"/>
        </w:rPr>
      </w:pPr>
      <w:r>
        <w:rPr>
          <w:rFonts w:hint="eastAsia" w:ascii="仿宋" w:hAnsi="仿宋" w:eastAsia="仿宋" w:cs="仿宋"/>
          <w:color w:val="auto"/>
        </w:rPr>
        <w:t>供应商认为需提供的其他材料</w:t>
      </w:r>
      <w:r>
        <w:rPr>
          <w:rFonts w:hint="eastAsia" w:ascii="仿宋" w:hAnsi="仿宋" w:eastAsia="仿宋" w:cs="仿宋"/>
          <w:color w:val="auto"/>
          <w:lang w:eastAsia="zh-CN"/>
        </w:rPr>
        <w:t>。</w:t>
      </w:r>
      <w:r>
        <w:rPr>
          <w:rFonts w:hint="eastAsia" w:ascii="仿宋" w:hAnsi="仿宋" w:eastAsia="仿宋" w:cs="仿宋"/>
          <w:b w:val="0"/>
          <w:bCs w:val="0"/>
          <w:color w:val="auto"/>
          <w:sz w:val="24"/>
          <w:szCs w:val="24"/>
          <w:lang w:val="en-US" w:eastAsia="zh-CN" w:bidi="ar-SA"/>
        </w:rPr>
        <w:br w:type="page"/>
      </w:r>
      <w:bookmarkStart w:id="196" w:name="_Toc20443"/>
    </w:p>
    <w:p>
      <w:pPr>
        <w:pStyle w:val="4"/>
        <w:jc w:val="both"/>
        <w:rPr>
          <w:rFonts w:ascii="仿宋" w:hAnsi="仿宋" w:eastAsia="仿宋" w:cs="仿宋"/>
          <w:color w:val="auto"/>
          <w:sz w:val="24"/>
          <w:szCs w:val="24"/>
        </w:rPr>
      </w:pPr>
      <w:bookmarkStart w:id="197" w:name="_Toc27784"/>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报价</w:t>
      </w:r>
      <w:r>
        <w:rPr>
          <w:rFonts w:hint="eastAsia" w:ascii="仿宋" w:hAnsi="仿宋" w:eastAsia="仿宋" w:cs="仿宋"/>
          <w:color w:val="auto"/>
          <w:sz w:val="24"/>
          <w:szCs w:val="24"/>
        </w:rPr>
        <w:t>文件</w:t>
      </w:r>
      <w:bookmarkEnd w:id="197"/>
    </w:p>
    <w:bookmarkEnd w:id="196"/>
    <w:p>
      <w:pPr>
        <w:pStyle w:val="5"/>
        <w:spacing w:before="0" w:after="0" w:line="360" w:lineRule="auto"/>
        <w:rPr>
          <w:rFonts w:ascii="仿宋" w:hAnsi="仿宋" w:eastAsia="仿宋" w:cs="仿宋"/>
          <w:color w:val="auto"/>
          <w:sz w:val="24"/>
          <w:szCs w:val="24"/>
        </w:rPr>
      </w:pPr>
      <w:bookmarkStart w:id="198" w:name="_Toc511726864"/>
      <w:bookmarkStart w:id="199" w:name="_Toc18942"/>
      <w:bookmarkStart w:id="200" w:name="_Toc32320"/>
      <w:r>
        <w:rPr>
          <w:rFonts w:hint="eastAsia" w:ascii="仿宋" w:hAnsi="仿宋" w:eastAsia="仿宋" w:cs="仿宋"/>
          <w:color w:val="auto"/>
          <w:sz w:val="24"/>
          <w:szCs w:val="24"/>
        </w:rPr>
        <w:t>（一）报价</w:t>
      </w:r>
      <w:bookmarkEnd w:id="198"/>
      <w:r>
        <w:rPr>
          <w:rFonts w:hint="eastAsia" w:ascii="仿宋" w:hAnsi="仿宋" w:eastAsia="仿宋" w:cs="仿宋"/>
          <w:color w:val="auto"/>
          <w:sz w:val="24"/>
          <w:szCs w:val="24"/>
        </w:rPr>
        <w:t>一览表</w:t>
      </w:r>
      <w:bookmarkEnd w:id="199"/>
      <w:bookmarkEnd w:id="200"/>
    </w:p>
    <w:p>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人保财险四川省泸州市分公司车内视频宣传采购项目    </w:t>
      </w:r>
      <w:r>
        <w:rPr>
          <w:rFonts w:hint="eastAsia" w:ascii="仿宋" w:hAnsi="仿宋" w:eastAsia="仿宋" w:cs="仿宋"/>
          <w:color w:val="auto"/>
          <w:sz w:val="24"/>
          <w:szCs w:val="24"/>
        </w:rPr>
        <w:t xml:space="preserve">  </w:t>
      </w:r>
    </w:p>
    <w:p>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p>
      <w:pPr>
        <w:jc w:val="center"/>
        <w:textAlignment w:val="center"/>
        <w:rPr>
          <w:rFonts w:ascii="仿宋" w:hAnsi="仿宋" w:eastAsia="仿宋" w:cs="仿宋"/>
          <w:color w:val="auto"/>
          <w:szCs w:val="21"/>
          <w:lang w:bidi="ar"/>
        </w:rPr>
      </w:pPr>
    </w:p>
    <w:tbl>
      <w:tblPr>
        <w:tblStyle w:val="29"/>
        <w:tblW w:w="4010" w:type="pct"/>
        <w:jc w:val="center"/>
        <w:tblLayout w:type="autofit"/>
        <w:tblCellMar>
          <w:top w:w="0" w:type="dxa"/>
          <w:left w:w="108" w:type="dxa"/>
          <w:bottom w:w="0" w:type="dxa"/>
          <w:right w:w="108" w:type="dxa"/>
        </w:tblCellMar>
      </w:tblPr>
      <w:tblGrid>
        <w:gridCol w:w="2279"/>
        <w:gridCol w:w="4968"/>
      </w:tblGrid>
      <w:tr>
        <w:tblPrEx>
          <w:tblCellMar>
            <w:top w:w="0" w:type="dxa"/>
            <w:left w:w="108" w:type="dxa"/>
            <w:bottom w:w="0" w:type="dxa"/>
            <w:right w:w="108" w:type="dxa"/>
          </w:tblCellMar>
        </w:tblPrEx>
        <w:trPr>
          <w:trHeight w:val="567" w:hRule="atLeast"/>
          <w:jc w:val="center"/>
        </w:trPr>
        <w:tc>
          <w:tcPr>
            <w:tcW w:w="1572"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宋体"/>
                <w:b/>
                <w:bCs/>
                <w:color w:val="auto"/>
                <w:szCs w:val="21"/>
              </w:rPr>
              <w:t>报价内容</w:t>
            </w:r>
          </w:p>
        </w:tc>
        <w:tc>
          <w:tcPr>
            <w:tcW w:w="342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b/>
                <w:bCs/>
                <w:color w:val="auto"/>
                <w:szCs w:val="21"/>
              </w:rPr>
            </w:pPr>
            <w:r>
              <w:rPr>
                <w:rFonts w:hint="eastAsia" w:ascii="仿宋" w:hAnsi="仿宋" w:eastAsia="仿宋" w:cs="仿宋"/>
                <w:color w:val="auto"/>
                <w:lang w:val="en-US" w:eastAsia="zh-CN"/>
              </w:rPr>
              <w:t>车内视频宣传</w:t>
            </w:r>
          </w:p>
        </w:tc>
      </w:tr>
      <w:tr>
        <w:tblPrEx>
          <w:tblCellMar>
            <w:top w:w="0" w:type="dxa"/>
            <w:left w:w="108" w:type="dxa"/>
            <w:bottom w:w="0" w:type="dxa"/>
            <w:right w:w="108" w:type="dxa"/>
          </w:tblCellMar>
        </w:tblPrEx>
        <w:trPr>
          <w:trHeight w:val="567" w:hRule="atLeast"/>
          <w:jc w:val="center"/>
        </w:trPr>
        <w:tc>
          <w:tcPr>
            <w:tcW w:w="157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bCs/>
                <w:color w:val="000000"/>
                <w:sz w:val="24"/>
                <w:szCs w:val="21"/>
                <w:lang w:val="en-US" w:eastAsia="zh-CN" w:bidi="ar-SA"/>
              </w:rPr>
            </w:pPr>
            <w:r>
              <w:rPr>
                <w:rFonts w:hint="eastAsia" w:ascii="仿宋" w:hAnsi="仿宋" w:eastAsia="仿宋" w:cs="宋体"/>
                <w:b/>
                <w:bCs/>
                <w:color w:val="000000"/>
                <w:szCs w:val="21"/>
                <w:lang w:val="en-US" w:eastAsia="zh-CN"/>
              </w:rPr>
              <w:t>数量（辆）</w:t>
            </w:r>
          </w:p>
        </w:tc>
        <w:tc>
          <w:tcPr>
            <w:tcW w:w="3427" w:type="pct"/>
            <w:tcBorders>
              <w:top w:val="single" w:color="auto" w:sz="4" w:space="0"/>
              <w:left w:val="single" w:color="auto" w:sz="4" w:space="0"/>
              <w:bottom w:val="single" w:color="auto" w:sz="4" w:space="0"/>
              <w:right w:val="single" w:color="auto" w:sz="4" w:space="0"/>
            </w:tcBorders>
            <w:vAlign w:val="center"/>
          </w:tcPr>
          <w:p>
            <w:pPr>
              <w:jc w:val="center"/>
              <w:rPr>
                <w:rFonts w:hint="default" w:ascii="仿宋" w:hAnsi="仿宋" w:eastAsia="仿宋" w:cs="宋体"/>
                <w:color w:val="auto"/>
                <w:szCs w:val="21"/>
                <w:lang w:val="en-US" w:eastAsia="zh-CN"/>
              </w:rPr>
            </w:pPr>
            <w:r>
              <w:rPr>
                <w:rFonts w:hint="eastAsia" w:ascii="仿宋" w:hAnsi="仿宋" w:eastAsia="仿宋" w:cs="宋体"/>
                <w:color w:val="auto"/>
                <w:szCs w:val="21"/>
                <w:lang w:val="en-US" w:eastAsia="zh-CN"/>
              </w:rPr>
              <w:t>55</w:t>
            </w:r>
          </w:p>
        </w:tc>
      </w:tr>
      <w:tr>
        <w:tblPrEx>
          <w:tblCellMar>
            <w:top w:w="0" w:type="dxa"/>
            <w:left w:w="108" w:type="dxa"/>
            <w:bottom w:w="0" w:type="dxa"/>
            <w:right w:w="108" w:type="dxa"/>
          </w:tblCellMar>
        </w:tblPrEx>
        <w:trPr>
          <w:trHeight w:val="567" w:hRule="atLeast"/>
          <w:jc w:val="center"/>
        </w:trPr>
        <w:tc>
          <w:tcPr>
            <w:tcW w:w="157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b/>
                <w:bCs/>
                <w:color w:val="auto"/>
                <w:szCs w:val="21"/>
                <w:lang w:val="en-US" w:eastAsia="zh-CN"/>
              </w:rPr>
            </w:pPr>
            <w:r>
              <w:rPr>
                <w:rFonts w:hint="eastAsia" w:ascii="仿宋" w:hAnsi="仿宋" w:eastAsia="仿宋" w:cs="宋体"/>
                <w:b/>
                <w:bCs/>
                <w:color w:val="auto"/>
                <w:szCs w:val="21"/>
                <w:lang w:val="en-US" w:eastAsia="zh-CN"/>
              </w:rPr>
              <w:t>宣传期</w:t>
            </w:r>
          </w:p>
        </w:tc>
        <w:tc>
          <w:tcPr>
            <w:tcW w:w="3427" w:type="pct"/>
            <w:tcBorders>
              <w:top w:val="single" w:color="auto" w:sz="4" w:space="0"/>
              <w:left w:val="single" w:color="auto" w:sz="4" w:space="0"/>
              <w:bottom w:val="single" w:color="auto" w:sz="4" w:space="0"/>
              <w:right w:val="single" w:color="auto" w:sz="4" w:space="0"/>
            </w:tcBorders>
            <w:vAlign w:val="center"/>
          </w:tcPr>
          <w:p>
            <w:pPr>
              <w:jc w:val="center"/>
              <w:rPr>
                <w:rFonts w:hint="default" w:ascii="仿宋" w:hAnsi="仿宋" w:eastAsia="仿宋" w:cs="宋体"/>
                <w:color w:val="auto"/>
                <w:szCs w:val="21"/>
                <w:lang w:val="en-US" w:eastAsia="zh-CN"/>
              </w:rPr>
            </w:pPr>
            <w:r>
              <w:rPr>
                <w:rFonts w:hint="eastAsia" w:ascii="仿宋" w:hAnsi="仿宋" w:eastAsia="仿宋" w:cs="宋体"/>
                <w:color w:val="auto"/>
                <w:szCs w:val="21"/>
                <w:lang w:val="en-US" w:eastAsia="zh-CN"/>
              </w:rPr>
              <w:t>3个月</w:t>
            </w:r>
          </w:p>
        </w:tc>
      </w:tr>
      <w:tr>
        <w:tblPrEx>
          <w:tblCellMar>
            <w:top w:w="0" w:type="dxa"/>
            <w:left w:w="108" w:type="dxa"/>
            <w:bottom w:w="0" w:type="dxa"/>
            <w:right w:w="108" w:type="dxa"/>
          </w:tblCellMar>
        </w:tblPrEx>
        <w:trPr>
          <w:trHeight w:val="567" w:hRule="atLeast"/>
          <w:jc w:val="center"/>
        </w:trPr>
        <w:tc>
          <w:tcPr>
            <w:tcW w:w="1572" w:type="pct"/>
            <w:tcBorders>
              <w:top w:val="single" w:color="auto" w:sz="4" w:space="0"/>
              <w:left w:val="single" w:color="auto" w:sz="4" w:space="0"/>
              <w:bottom w:val="single" w:color="auto" w:sz="4" w:space="0"/>
              <w:right w:val="single" w:color="auto" w:sz="4" w:space="0"/>
            </w:tcBorders>
            <w:vAlign w:val="center"/>
          </w:tcPr>
          <w:p>
            <w:pPr>
              <w:jc w:val="center"/>
              <w:rPr>
                <w:rFonts w:hint="default" w:ascii="仿宋" w:hAnsi="仿宋" w:eastAsia="仿宋" w:cs="宋体"/>
                <w:bCs/>
                <w:color w:val="auto"/>
                <w:szCs w:val="21"/>
                <w:lang w:val="en-US" w:eastAsia="zh-CN"/>
              </w:rPr>
            </w:pPr>
            <w:r>
              <w:rPr>
                <w:rFonts w:hint="eastAsia" w:ascii="仿宋" w:hAnsi="仿宋" w:eastAsia="仿宋" w:cs="宋体"/>
                <w:b/>
                <w:bCs/>
                <w:color w:val="auto"/>
                <w:szCs w:val="21"/>
              </w:rPr>
              <w:t>含税总价</w:t>
            </w:r>
            <w:r>
              <w:rPr>
                <w:rFonts w:hint="eastAsia" w:ascii="仿宋" w:hAnsi="仿宋" w:eastAsia="仿宋" w:cs="宋体"/>
                <w:b/>
                <w:color w:val="auto"/>
                <w:szCs w:val="21"/>
              </w:rPr>
              <w:t>（元）</w:t>
            </w:r>
          </w:p>
        </w:tc>
        <w:tc>
          <w:tcPr>
            <w:tcW w:w="342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r>
      <w:tr>
        <w:tblPrEx>
          <w:tblCellMar>
            <w:top w:w="0" w:type="dxa"/>
            <w:left w:w="108" w:type="dxa"/>
            <w:bottom w:w="0" w:type="dxa"/>
            <w:right w:w="108" w:type="dxa"/>
          </w:tblCellMar>
        </w:tblPrEx>
        <w:trPr>
          <w:trHeight w:val="794" w:hRule="atLeast"/>
          <w:jc w:val="center"/>
        </w:trPr>
        <w:tc>
          <w:tcPr>
            <w:tcW w:w="157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宋体"/>
                <w:b/>
                <w:bCs/>
                <w:color w:val="auto"/>
                <w:szCs w:val="21"/>
              </w:rPr>
            </w:pPr>
            <w:r>
              <w:rPr>
                <w:rFonts w:hint="eastAsia" w:ascii="仿宋" w:hAnsi="仿宋" w:eastAsia="仿宋" w:cs="宋体"/>
                <w:b/>
                <w:bCs/>
                <w:color w:val="auto"/>
                <w:szCs w:val="21"/>
              </w:rPr>
              <w:t>增值发票类型</w:t>
            </w:r>
          </w:p>
          <w:p>
            <w:pPr>
              <w:jc w:val="center"/>
              <w:rPr>
                <w:rFonts w:hint="eastAsia" w:ascii="仿宋" w:hAnsi="仿宋" w:eastAsia="仿宋" w:cs="仿宋"/>
                <w:color w:val="auto"/>
                <w:lang w:val="en-US" w:eastAsia="zh-CN"/>
              </w:rPr>
            </w:pPr>
            <w:r>
              <w:rPr>
                <w:rFonts w:hint="eastAsia" w:ascii="仿宋" w:hAnsi="仿宋" w:eastAsia="仿宋" w:cs="宋体"/>
                <w:b/>
                <w:bCs/>
                <w:color w:val="auto"/>
                <w:szCs w:val="21"/>
              </w:rPr>
              <w:t>（专票/普票）</w:t>
            </w:r>
          </w:p>
        </w:tc>
        <w:tc>
          <w:tcPr>
            <w:tcW w:w="342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157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lang w:val="en-US" w:eastAsia="zh-CN"/>
              </w:rPr>
            </w:pPr>
            <w:r>
              <w:rPr>
                <w:rFonts w:hint="eastAsia" w:ascii="仿宋" w:hAnsi="仿宋" w:eastAsia="仿宋" w:cs="宋体"/>
                <w:b/>
                <w:bCs/>
                <w:color w:val="auto"/>
                <w:szCs w:val="21"/>
              </w:rPr>
              <w:t>税率（%）</w:t>
            </w:r>
          </w:p>
        </w:tc>
        <w:tc>
          <w:tcPr>
            <w:tcW w:w="342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r>
      <w:tr>
        <w:tblPrEx>
          <w:tblCellMar>
            <w:top w:w="0" w:type="dxa"/>
            <w:left w:w="108" w:type="dxa"/>
            <w:bottom w:w="0" w:type="dxa"/>
            <w:right w:w="108" w:type="dxa"/>
          </w:tblCellMar>
        </w:tblPrEx>
        <w:trPr>
          <w:trHeight w:val="567" w:hRule="atLeast"/>
          <w:jc w:val="center"/>
        </w:trPr>
        <w:tc>
          <w:tcPr>
            <w:tcW w:w="157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仿宋" w:hAnsi="仿宋" w:eastAsia="仿宋" w:cs="仿宋"/>
                <w:color w:val="auto"/>
                <w:lang w:val="en-US" w:eastAsia="zh-CN"/>
              </w:rPr>
            </w:pPr>
            <w:r>
              <w:rPr>
                <w:rFonts w:hint="eastAsia" w:ascii="仿宋" w:hAnsi="仿宋" w:eastAsia="仿宋" w:cs="宋体"/>
                <w:b/>
                <w:bCs/>
                <w:color w:val="auto"/>
                <w:szCs w:val="21"/>
              </w:rPr>
              <w:t>不含税</w:t>
            </w:r>
            <w:r>
              <w:rPr>
                <w:rFonts w:hint="eastAsia" w:ascii="仿宋" w:hAnsi="仿宋" w:eastAsia="仿宋" w:cs="宋体"/>
                <w:b/>
                <w:bCs/>
                <w:color w:val="auto"/>
                <w:szCs w:val="21"/>
                <w:lang w:val="en-US" w:eastAsia="zh-CN"/>
              </w:rPr>
              <w:t>总价</w:t>
            </w:r>
            <w:r>
              <w:rPr>
                <w:rFonts w:hint="eastAsia" w:ascii="仿宋" w:hAnsi="仿宋" w:eastAsia="仿宋" w:cs="宋体"/>
                <w:b/>
                <w:color w:val="auto"/>
                <w:szCs w:val="21"/>
              </w:rPr>
              <w:t>（元）</w:t>
            </w:r>
          </w:p>
        </w:tc>
        <w:tc>
          <w:tcPr>
            <w:tcW w:w="3427" w:type="pct"/>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宋体"/>
                <w:color w:val="auto"/>
                <w:szCs w:val="21"/>
              </w:rPr>
            </w:pPr>
          </w:p>
        </w:tc>
      </w:tr>
    </w:tbl>
    <w:p>
      <w:pPr>
        <w:spacing w:line="360" w:lineRule="auto"/>
        <w:rPr>
          <w:rFonts w:ascii="仿宋" w:hAnsi="仿宋" w:eastAsia="仿宋" w:cs="仿宋"/>
          <w:bCs/>
          <w:color w:val="auto"/>
        </w:rPr>
      </w:pPr>
    </w:p>
    <w:p>
      <w:pPr>
        <w:spacing w:line="360" w:lineRule="auto"/>
        <w:rPr>
          <w:rFonts w:ascii="仿宋" w:hAnsi="仿宋" w:eastAsia="仿宋" w:cs="仿宋"/>
          <w:bCs/>
          <w:color w:val="auto"/>
        </w:rPr>
      </w:pPr>
      <w:r>
        <w:rPr>
          <w:rFonts w:hint="eastAsia" w:ascii="仿宋" w:hAnsi="仿宋" w:eastAsia="仿宋" w:cs="仿宋"/>
          <w:bCs/>
          <w:color w:val="auto"/>
        </w:rPr>
        <w:t>备注：</w:t>
      </w:r>
    </w:p>
    <w:p>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调整。</w:t>
      </w:r>
    </w:p>
    <w:p>
      <w:pPr>
        <w:spacing w:line="360" w:lineRule="auto"/>
        <w:rPr>
          <w:rFonts w:ascii="仿宋" w:hAnsi="仿宋" w:eastAsia="仿宋" w:cs="仿宋"/>
          <w:color w:val="auto"/>
        </w:rPr>
      </w:pPr>
    </w:p>
    <w:p>
      <w:pPr>
        <w:widowControl w:val="0"/>
        <w:numPr>
          <w:ilvl w:val="0"/>
          <w:numId w:val="1"/>
        </w:numPr>
        <w:spacing w:line="440" w:lineRule="exact"/>
        <w:jc w:val="right"/>
        <w:rPr>
          <w:rFonts w:ascii="仿宋" w:hAnsi="仿宋" w:eastAsia="仿宋" w:cs="宋体"/>
          <w:color w:val="auto"/>
        </w:rPr>
      </w:pPr>
      <w:bookmarkStart w:id="201" w:name="_Toc517281864"/>
      <w:bookmarkStart w:id="202" w:name="_Toc530319762"/>
      <w:bookmarkStart w:id="203" w:name="_Toc2267055"/>
      <w:bookmarkStart w:id="204" w:name="_Toc16591840"/>
      <w:bookmarkStart w:id="205" w:name="_Toc518302646"/>
      <w:bookmarkStart w:id="206" w:name="_Toc482180015"/>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u w:val="single"/>
          <w:lang w:val="en-US" w:eastAsia="zh-CN"/>
        </w:rPr>
        <w:t xml:space="preserve">  </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bookmarkEnd w:id="129"/>
    <w:bookmarkEnd w:id="201"/>
    <w:bookmarkEnd w:id="202"/>
    <w:bookmarkEnd w:id="203"/>
    <w:bookmarkEnd w:id="204"/>
    <w:bookmarkEnd w:id="205"/>
    <w:bookmarkEnd w:id="206"/>
    <w:p>
      <w:pPr>
        <w:pStyle w:val="5"/>
        <w:numPr>
          <w:ilvl w:val="5"/>
          <w:numId w:val="0"/>
        </w:numPr>
        <w:spacing w:line="360" w:lineRule="auto"/>
        <w:jc w:val="both"/>
        <w:rPr>
          <w:rFonts w:hint="eastAsia" w:ascii="仿宋_GB2312" w:hAnsi="宋体" w:eastAsia="仿宋_GB2312" w:cs="宋体"/>
          <w:color w:val="auto"/>
          <w:sz w:val="28"/>
          <w:szCs w:val="28"/>
        </w:rPr>
      </w:pPr>
    </w:p>
    <w:sectPr>
      <w:headerReference r:id="rId9" w:type="default"/>
      <w:footerReference r:id="rId10"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D3464"/>
    <w:multiLevelType w:val="singleLevel"/>
    <w:tmpl w:val="D1BD3464"/>
    <w:lvl w:ilvl="0" w:tentative="0">
      <w:start w:val="4"/>
      <w:numFmt w:val="chineseCounting"/>
      <w:suff w:val="space"/>
      <w:lvlText w:val="第%1章"/>
      <w:lvlJc w:val="left"/>
      <w:rPr>
        <w:rFonts w:hint="eastAsia"/>
      </w:rPr>
    </w:lvl>
  </w:abstractNum>
  <w:abstractNum w:abstractNumId="1">
    <w:nsid w:val="E53555DB"/>
    <w:multiLevelType w:val="singleLevel"/>
    <w:tmpl w:val="E53555DB"/>
    <w:lvl w:ilvl="0" w:tentative="0">
      <w:start w:val="3"/>
      <w:numFmt w:val="chineseCounting"/>
      <w:suff w:val="nothing"/>
      <w:lvlText w:val="（%1）"/>
      <w:lvlJc w:val="left"/>
      <w:rPr>
        <w:rFonts w:hint="eastAsia"/>
      </w:rPr>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3">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206"/>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04E7"/>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E79C3"/>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0669"/>
    <w:rsid w:val="00405876"/>
    <w:rsid w:val="004104D4"/>
    <w:rsid w:val="004105E1"/>
    <w:rsid w:val="00415084"/>
    <w:rsid w:val="00420EFC"/>
    <w:rsid w:val="004217B3"/>
    <w:rsid w:val="004220A2"/>
    <w:rsid w:val="00422902"/>
    <w:rsid w:val="00426605"/>
    <w:rsid w:val="00430A81"/>
    <w:rsid w:val="004312EF"/>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1271"/>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05A9"/>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48B9"/>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6C21"/>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AF5880"/>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111B"/>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789A"/>
    <w:rsid w:val="00C83097"/>
    <w:rsid w:val="00C8351F"/>
    <w:rsid w:val="00C83AD9"/>
    <w:rsid w:val="00C84318"/>
    <w:rsid w:val="00C84C4C"/>
    <w:rsid w:val="00C94094"/>
    <w:rsid w:val="00CA01C9"/>
    <w:rsid w:val="00CA1225"/>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3BF7"/>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0B7"/>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07D1B"/>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827CF2"/>
    <w:rsid w:val="019361DA"/>
    <w:rsid w:val="026D4C89"/>
    <w:rsid w:val="029A22D5"/>
    <w:rsid w:val="02FF48A7"/>
    <w:rsid w:val="031A1560"/>
    <w:rsid w:val="037D4AC6"/>
    <w:rsid w:val="039B3DC0"/>
    <w:rsid w:val="03CA6EF6"/>
    <w:rsid w:val="03DA73DE"/>
    <w:rsid w:val="043B1A01"/>
    <w:rsid w:val="0569312B"/>
    <w:rsid w:val="059341B1"/>
    <w:rsid w:val="05AC7218"/>
    <w:rsid w:val="05C5721E"/>
    <w:rsid w:val="05F7542E"/>
    <w:rsid w:val="06A70CF1"/>
    <w:rsid w:val="0709089A"/>
    <w:rsid w:val="0A081A83"/>
    <w:rsid w:val="0A141145"/>
    <w:rsid w:val="0ACB4877"/>
    <w:rsid w:val="0C2D1E06"/>
    <w:rsid w:val="0C3E7B22"/>
    <w:rsid w:val="0C4F651E"/>
    <w:rsid w:val="0D5D37FD"/>
    <w:rsid w:val="0F3F2E01"/>
    <w:rsid w:val="0FAB3042"/>
    <w:rsid w:val="0FD15480"/>
    <w:rsid w:val="103F5AB4"/>
    <w:rsid w:val="11802297"/>
    <w:rsid w:val="12325617"/>
    <w:rsid w:val="123371E8"/>
    <w:rsid w:val="12355DE0"/>
    <w:rsid w:val="12781EDB"/>
    <w:rsid w:val="13371973"/>
    <w:rsid w:val="133C745E"/>
    <w:rsid w:val="13AE7229"/>
    <w:rsid w:val="13AF731E"/>
    <w:rsid w:val="13B40768"/>
    <w:rsid w:val="145402E0"/>
    <w:rsid w:val="14EF0366"/>
    <w:rsid w:val="158717DE"/>
    <w:rsid w:val="1588725F"/>
    <w:rsid w:val="15E20BF3"/>
    <w:rsid w:val="160939A2"/>
    <w:rsid w:val="167C2E82"/>
    <w:rsid w:val="17334565"/>
    <w:rsid w:val="176667F0"/>
    <w:rsid w:val="178772D7"/>
    <w:rsid w:val="18146217"/>
    <w:rsid w:val="18215304"/>
    <w:rsid w:val="188411C6"/>
    <w:rsid w:val="192A00D8"/>
    <w:rsid w:val="19332BB1"/>
    <w:rsid w:val="19501B94"/>
    <w:rsid w:val="19BA37C2"/>
    <w:rsid w:val="19E52D6D"/>
    <w:rsid w:val="1A0B053B"/>
    <w:rsid w:val="1AB31AB0"/>
    <w:rsid w:val="1BCF2EAD"/>
    <w:rsid w:val="1CB532CD"/>
    <w:rsid w:val="1D237383"/>
    <w:rsid w:val="1D465F04"/>
    <w:rsid w:val="1D6C3651"/>
    <w:rsid w:val="1D790CEA"/>
    <w:rsid w:val="1E4836C8"/>
    <w:rsid w:val="1F5171F9"/>
    <w:rsid w:val="1F9138D8"/>
    <w:rsid w:val="1FB91219"/>
    <w:rsid w:val="20844288"/>
    <w:rsid w:val="209E3AB9"/>
    <w:rsid w:val="21431591"/>
    <w:rsid w:val="216C6661"/>
    <w:rsid w:val="21D86594"/>
    <w:rsid w:val="232457F5"/>
    <w:rsid w:val="23CF1F9C"/>
    <w:rsid w:val="243F28C1"/>
    <w:rsid w:val="24932711"/>
    <w:rsid w:val="24CF4FC0"/>
    <w:rsid w:val="25164BFC"/>
    <w:rsid w:val="25803B05"/>
    <w:rsid w:val="25A450EF"/>
    <w:rsid w:val="25F74556"/>
    <w:rsid w:val="26E31456"/>
    <w:rsid w:val="27896EEB"/>
    <w:rsid w:val="282178B4"/>
    <w:rsid w:val="287637EC"/>
    <w:rsid w:val="28A353F4"/>
    <w:rsid w:val="292532D4"/>
    <w:rsid w:val="29C27A8F"/>
    <w:rsid w:val="29EC1882"/>
    <w:rsid w:val="2ACC37C5"/>
    <w:rsid w:val="2AEF71FD"/>
    <w:rsid w:val="2B4A75CB"/>
    <w:rsid w:val="2BC7145E"/>
    <w:rsid w:val="2C57084D"/>
    <w:rsid w:val="2C745303"/>
    <w:rsid w:val="2D64751E"/>
    <w:rsid w:val="2DF81ACA"/>
    <w:rsid w:val="2E1F6CFC"/>
    <w:rsid w:val="2E205942"/>
    <w:rsid w:val="2E3461D7"/>
    <w:rsid w:val="2E4140F1"/>
    <w:rsid w:val="2E922BF6"/>
    <w:rsid w:val="2E924476"/>
    <w:rsid w:val="2FA271EB"/>
    <w:rsid w:val="2FD977A9"/>
    <w:rsid w:val="30653DF6"/>
    <w:rsid w:val="30A87D63"/>
    <w:rsid w:val="30B441B8"/>
    <w:rsid w:val="30C418AA"/>
    <w:rsid w:val="30E5141E"/>
    <w:rsid w:val="30F545DF"/>
    <w:rsid w:val="327970DE"/>
    <w:rsid w:val="32FA3A2F"/>
    <w:rsid w:val="330E4C4E"/>
    <w:rsid w:val="332B5D17"/>
    <w:rsid w:val="334D3839"/>
    <w:rsid w:val="33881F42"/>
    <w:rsid w:val="33933FAE"/>
    <w:rsid w:val="342F4A66"/>
    <w:rsid w:val="343A21BD"/>
    <w:rsid w:val="34425E22"/>
    <w:rsid w:val="354229F0"/>
    <w:rsid w:val="356C4541"/>
    <w:rsid w:val="35A042B7"/>
    <w:rsid w:val="362819E9"/>
    <w:rsid w:val="362C1207"/>
    <w:rsid w:val="36FE593A"/>
    <w:rsid w:val="37915A99"/>
    <w:rsid w:val="37B336EE"/>
    <w:rsid w:val="380C0CD1"/>
    <w:rsid w:val="385F16AE"/>
    <w:rsid w:val="38605B4B"/>
    <w:rsid w:val="38B43F3D"/>
    <w:rsid w:val="38D834D0"/>
    <w:rsid w:val="39180BF4"/>
    <w:rsid w:val="397D76E1"/>
    <w:rsid w:val="3AAA24A0"/>
    <w:rsid w:val="3B822220"/>
    <w:rsid w:val="3BC10995"/>
    <w:rsid w:val="3CB54804"/>
    <w:rsid w:val="3D114E3F"/>
    <w:rsid w:val="3D8B30C0"/>
    <w:rsid w:val="3DE04FBE"/>
    <w:rsid w:val="3E092DA3"/>
    <w:rsid w:val="3E4800C5"/>
    <w:rsid w:val="3ED96F6F"/>
    <w:rsid w:val="40515239"/>
    <w:rsid w:val="40721429"/>
    <w:rsid w:val="408908EE"/>
    <w:rsid w:val="40EE0612"/>
    <w:rsid w:val="412A3CB5"/>
    <w:rsid w:val="413D2902"/>
    <w:rsid w:val="427E7075"/>
    <w:rsid w:val="43507DFC"/>
    <w:rsid w:val="43C151CE"/>
    <w:rsid w:val="43C311A0"/>
    <w:rsid w:val="441C339E"/>
    <w:rsid w:val="44BD3BD6"/>
    <w:rsid w:val="45765517"/>
    <w:rsid w:val="46DD3253"/>
    <w:rsid w:val="47F30315"/>
    <w:rsid w:val="47F6211F"/>
    <w:rsid w:val="47FB07A5"/>
    <w:rsid w:val="481C7C54"/>
    <w:rsid w:val="48483E3E"/>
    <w:rsid w:val="49994D4E"/>
    <w:rsid w:val="49AA71E7"/>
    <w:rsid w:val="4A767D68"/>
    <w:rsid w:val="4AA94F45"/>
    <w:rsid w:val="4AFD6B52"/>
    <w:rsid w:val="4B4B1160"/>
    <w:rsid w:val="4C6E5771"/>
    <w:rsid w:val="4CF55FA7"/>
    <w:rsid w:val="4D0F691A"/>
    <w:rsid w:val="4D53256B"/>
    <w:rsid w:val="4DE6535D"/>
    <w:rsid w:val="4DF31E75"/>
    <w:rsid w:val="4DF970E3"/>
    <w:rsid w:val="4E61315E"/>
    <w:rsid w:val="4E9A5E98"/>
    <w:rsid w:val="4F14474A"/>
    <w:rsid w:val="4F2E52F4"/>
    <w:rsid w:val="4F925019"/>
    <w:rsid w:val="4FAA2D7A"/>
    <w:rsid w:val="4FAF6995"/>
    <w:rsid w:val="4FCC3EF9"/>
    <w:rsid w:val="4FE415A0"/>
    <w:rsid w:val="51093901"/>
    <w:rsid w:val="51474ADC"/>
    <w:rsid w:val="515371F8"/>
    <w:rsid w:val="51AC540D"/>
    <w:rsid w:val="52533AEF"/>
    <w:rsid w:val="525B32AE"/>
    <w:rsid w:val="52B922A0"/>
    <w:rsid w:val="53350A12"/>
    <w:rsid w:val="53882A1B"/>
    <w:rsid w:val="539358F2"/>
    <w:rsid w:val="54440BD0"/>
    <w:rsid w:val="54FE72D7"/>
    <w:rsid w:val="55134720"/>
    <w:rsid w:val="5563420B"/>
    <w:rsid w:val="558127D5"/>
    <w:rsid w:val="55FE463F"/>
    <w:rsid w:val="56257777"/>
    <w:rsid w:val="564D31A3"/>
    <w:rsid w:val="56D20E7E"/>
    <w:rsid w:val="573E482D"/>
    <w:rsid w:val="574D53FB"/>
    <w:rsid w:val="59943F04"/>
    <w:rsid w:val="59D13D69"/>
    <w:rsid w:val="59EE791A"/>
    <w:rsid w:val="5A5E55CA"/>
    <w:rsid w:val="5AE1183E"/>
    <w:rsid w:val="5B7D6727"/>
    <w:rsid w:val="5B9A01BB"/>
    <w:rsid w:val="5BB65DB4"/>
    <w:rsid w:val="5C3E76E6"/>
    <w:rsid w:val="5C576F8B"/>
    <w:rsid w:val="5C5D0552"/>
    <w:rsid w:val="5CB141A2"/>
    <w:rsid w:val="5D8D2786"/>
    <w:rsid w:val="5DDE2947"/>
    <w:rsid w:val="5DE86A07"/>
    <w:rsid w:val="5DEC23C3"/>
    <w:rsid w:val="5E2A3FA3"/>
    <w:rsid w:val="5EF4412F"/>
    <w:rsid w:val="5F4872DE"/>
    <w:rsid w:val="5F4A27E1"/>
    <w:rsid w:val="5FA079E7"/>
    <w:rsid w:val="604A72F7"/>
    <w:rsid w:val="60D45F50"/>
    <w:rsid w:val="60E4448C"/>
    <w:rsid w:val="626C0ED5"/>
    <w:rsid w:val="62B30922"/>
    <w:rsid w:val="63253DB6"/>
    <w:rsid w:val="637A6657"/>
    <w:rsid w:val="63936F88"/>
    <w:rsid w:val="63BF1430"/>
    <w:rsid w:val="63D22FD5"/>
    <w:rsid w:val="63F14784"/>
    <w:rsid w:val="6402249F"/>
    <w:rsid w:val="64415807"/>
    <w:rsid w:val="64A97036"/>
    <w:rsid w:val="65274800"/>
    <w:rsid w:val="6573061C"/>
    <w:rsid w:val="65A84023"/>
    <w:rsid w:val="65F43F54"/>
    <w:rsid w:val="660470C2"/>
    <w:rsid w:val="664726D9"/>
    <w:rsid w:val="67787F05"/>
    <w:rsid w:val="67F500C6"/>
    <w:rsid w:val="68501FB8"/>
    <w:rsid w:val="68505CFD"/>
    <w:rsid w:val="68B45FB2"/>
    <w:rsid w:val="6936651F"/>
    <w:rsid w:val="6949028F"/>
    <w:rsid w:val="69912E82"/>
    <w:rsid w:val="6A775937"/>
    <w:rsid w:val="6AA43C2C"/>
    <w:rsid w:val="6B1854C0"/>
    <w:rsid w:val="6B981A12"/>
    <w:rsid w:val="6BE31711"/>
    <w:rsid w:val="6D535020"/>
    <w:rsid w:val="6D73789E"/>
    <w:rsid w:val="6DBC0F97"/>
    <w:rsid w:val="6F082DD5"/>
    <w:rsid w:val="6FD51606"/>
    <w:rsid w:val="6FFD27CB"/>
    <w:rsid w:val="7075590D"/>
    <w:rsid w:val="71147D94"/>
    <w:rsid w:val="72BF7DD0"/>
    <w:rsid w:val="732E0084"/>
    <w:rsid w:val="7423420D"/>
    <w:rsid w:val="746305B1"/>
    <w:rsid w:val="74862811"/>
    <w:rsid w:val="758955A8"/>
    <w:rsid w:val="760D536B"/>
    <w:rsid w:val="76C215A8"/>
    <w:rsid w:val="76F11AA7"/>
    <w:rsid w:val="772B54F6"/>
    <w:rsid w:val="78200EA8"/>
    <w:rsid w:val="7830541A"/>
    <w:rsid w:val="78B31A15"/>
    <w:rsid w:val="7913570D"/>
    <w:rsid w:val="794D013F"/>
    <w:rsid w:val="7B8C0E3D"/>
    <w:rsid w:val="7C432EB1"/>
    <w:rsid w:val="7C994F2D"/>
    <w:rsid w:val="7CAA477B"/>
    <w:rsid w:val="7CBC06BF"/>
    <w:rsid w:val="7D4A6C3D"/>
    <w:rsid w:val="7DFA443A"/>
    <w:rsid w:val="7DFD53BF"/>
    <w:rsid w:val="7E2E4C94"/>
    <w:rsid w:val="7F842F5E"/>
    <w:rsid w:val="7F967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1D8FFA-DCD7-4526-8124-B2EF0A7770B4}">
  <ds:schemaRefs/>
</ds:datastoreItem>
</file>

<file path=docProps/app.xml><?xml version="1.0" encoding="utf-8"?>
<Properties xmlns="http://schemas.openxmlformats.org/officeDocument/2006/extended-properties" xmlns:vt="http://schemas.openxmlformats.org/officeDocument/2006/docPropsVTypes">
  <Template>0.docx</Template>
  <Company>Lenovo</Company>
  <Pages>62</Pages>
  <Words>4370</Words>
  <Characters>24914</Characters>
  <Lines>207</Lines>
  <Paragraphs>58</Paragraphs>
  <TotalTime>5</TotalTime>
  <ScaleCrop>false</ScaleCrop>
  <LinksUpToDate>false</LinksUpToDate>
  <CharactersWithSpaces>29226</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2026-01-26T06:47:00Z</dcterms:created>
  <dc:creator>Administrator</dc:creator>
  <cp:lastModifiedBy>牟艳</cp:lastModifiedBy>
  <cp:lastPrinted>2019-12-03T09:03:00Z</cp:lastPrinted>
  <dcterms:modified xsi:type="dcterms:W3CDTF">2026-06-17T09:48:32Z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83DBBCE8940249638137C791228A7BCD</vt:lpwstr>
  </property>
</Properties>
</file>