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D3765E">
      <w:pPr>
        <w:pStyle w:val="7"/>
        <w:ind w:firstLine="883"/>
        <w:jc w:val="center"/>
        <w:outlineLvl w:val="0"/>
        <w:rPr>
          <w:rFonts w:hint="eastAsia" w:eastAsia="宋体"/>
          <w:b/>
          <w:sz w:val="44"/>
          <w:szCs w:val="44"/>
          <w:lang w:eastAsia="zh-CN"/>
        </w:rPr>
      </w:pPr>
      <w:bookmarkStart w:id="0" w:name="_Toc421032040"/>
      <w:bookmarkStart w:id="1" w:name="_Toc421042642"/>
      <w:bookmarkStart w:id="2" w:name="_Toc19039757"/>
      <w:bookmarkStart w:id="3" w:name="_Toc18928242"/>
      <w:r>
        <w:rPr>
          <w:b/>
          <w:sz w:val="44"/>
          <w:szCs w:val="44"/>
        </w:rPr>
        <w:t xml:space="preserve"> </w:t>
      </w:r>
      <w:bookmarkEnd w:id="0"/>
      <w:bookmarkEnd w:id="1"/>
      <w:r>
        <w:rPr>
          <w:rFonts w:hint="eastAsia"/>
          <w:b/>
          <w:sz w:val="44"/>
          <w:szCs w:val="44"/>
          <w:lang w:eastAsia="zh-CN"/>
        </w:rPr>
        <w:t>比选采购</w:t>
      </w:r>
      <w:bookmarkEnd w:id="2"/>
      <w:bookmarkEnd w:id="3"/>
      <w:r>
        <w:rPr>
          <w:rFonts w:hint="eastAsia"/>
          <w:b/>
          <w:sz w:val="44"/>
          <w:szCs w:val="44"/>
          <w:lang w:val="en-US" w:eastAsia="zh-CN"/>
        </w:rPr>
        <w:t>公告</w:t>
      </w:r>
    </w:p>
    <w:p w14:paraId="0DD537B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right="0"/>
        <w:jc w:val="left"/>
        <w:rPr>
          <w:rFonts w:hint="eastAsia" w:ascii="仿宋" w:hAnsi="仿宋" w:eastAsia="仿宋" w:cs="仿宋"/>
          <w:b/>
          <w:bCs/>
          <w:i w:val="0"/>
          <w:iCs w:val="0"/>
          <w:caps w:val="0"/>
          <w:color w:val="13161E"/>
          <w:spacing w:val="0"/>
          <w:sz w:val="32"/>
          <w:szCs w:val="32"/>
        </w:rPr>
      </w:pPr>
      <w:r>
        <w:rPr>
          <w:rFonts w:hint="eastAsia" w:ascii="仿宋" w:hAnsi="仿宋" w:eastAsia="仿宋" w:cs="仿宋"/>
          <w:b/>
          <w:bCs/>
          <w:i w:val="0"/>
          <w:iCs w:val="0"/>
          <w:caps w:val="0"/>
          <w:color w:val="13161E"/>
          <w:spacing w:val="0"/>
          <w:kern w:val="0"/>
          <w:sz w:val="32"/>
          <w:szCs w:val="32"/>
          <w:shd w:val="clear" w:fill="FFFFFF"/>
          <w:lang w:val="en-US" w:eastAsia="zh-CN" w:bidi="ar"/>
        </w:rPr>
        <w:t>一、项目基本情况</w:t>
      </w:r>
    </w:p>
    <w:p w14:paraId="4C6B908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640"/>
        <w:jc w:val="left"/>
        <w:rPr>
          <w:rFonts w:hint="eastAsia" w:ascii="仿宋" w:hAnsi="仿宋" w:eastAsia="仿宋" w:cs="仿宋"/>
          <w:b w:val="0"/>
          <w:bCs w:val="0"/>
          <w:i w:val="0"/>
          <w:iCs w:val="0"/>
          <w:caps w:val="0"/>
          <w:color w:val="13161E"/>
          <w:spacing w:val="0"/>
          <w:sz w:val="32"/>
          <w:szCs w:val="32"/>
          <w:u w:val="none"/>
        </w:rPr>
      </w:pPr>
      <w:r>
        <w:rPr>
          <w:rFonts w:hint="eastAsia" w:ascii="仿宋" w:hAnsi="仿宋" w:eastAsia="仿宋" w:cs="仿宋"/>
          <w:i w:val="0"/>
          <w:iCs w:val="0"/>
          <w:caps w:val="0"/>
          <w:color w:val="13161E"/>
          <w:spacing w:val="0"/>
          <w:kern w:val="0"/>
          <w:sz w:val="32"/>
          <w:szCs w:val="32"/>
          <w:shd w:val="clear" w:fill="FFFFFF"/>
          <w:lang w:val="en-US" w:eastAsia="zh-CN" w:bidi="ar"/>
        </w:rPr>
        <w:t>项目名称：</w:t>
      </w:r>
      <w:r>
        <w:rPr>
          <w:rFonts w:hint="eastAsia" w:ascii="仿宋" w:hAnsi="仿宋" w:eastAsia="仿宋" w:cs="仿宋"/>
          <w:b w:val="0"/>
          <w:bCs w:val="0"/>
          <w:i w:val="0"/>
          <w:iCs w:val="0"/>
          <w:caps w:val="0"/>
          <w:color w:val="606266"/>
          <w:spacing w:val="0"/>
          <w:sz w:val="32"/>
          <w:szCs w:val="32"/>
          <w:u w:val="none"/>
          <w:shd w:val="clear" w:fill="FFFFFF"/>
        </w:rPr>
        <w:t>人保运营河南分公司商丘保洁及维修外包服务供应商采购项目</w:t>
      </w:r>
    </w:p>
    <w:p w14:paraId="22BE6C1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采购方式：比选</w:t>
      </w:r>
    </w:p>
    <w:p w14:paraId="345E44F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项目预算：</w:t>
      </w:r>
      <w:r>
        <w:rPr>
          <w:rFonts w:hint="eastAsia" w:ascii="仿宋" w:hAnsi="仿宋" w:eastAsia="仿宋" w:cs="仿宋"/>
          <w:i w:val="0"/>
          <w:iCs w:val="0"/>
          <w:caps w:val="0"/>
          <w:color w:val="13161E"/>
          <w:spacing w:val="0"/>
          <w:kern w:val="0"/>
          <w:sz w:val="32"/>
          <w:szCs w:val="32"/>
          <w:u w:val="single"/>
          <w:shd w:val="clear" w:fill="FFFFFF"/>
          <w:lang w:val="en-US" w:eastAsia="zh-CN" w:bidi="ar"/>
        </w:rPr>
        <w:t> 15.22万元</w:t>
      </w:r>
    </w:p>
    <w:p w14:paraId="290DCEB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采购需求：本次服务范围为人保财险商丘市分公司保洁及维修服务事项</w:t>
      </w:r>
    </w:p>
    <w:tbl>
      <w:tblPr>
        <w:tblStyle w:val="4"/>
        <w:tblW w:w="10425" w:type="dxa"/>
        <w:tblInd w:w="-862"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750"/>
        <w:gridCol w:w="1886"/>
        <w:gridCol w:w="946"/>
        <w:gridCol w:w="3505"/>
        <w:gridCol w:w="3338"/>
      </w:tblGrid>
      <w:tr w14:paraId="5CE38F7C">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15" w:type="dxa"/>
            <w:left w:w="15" w:type="dxa"/>
            <w:bottom w:w="15" w:type="dxa"/>
            <w:right w:w="15" w:type="dxa"/>
          </w:tblCellMar>
        </w:tblPrEx>
        <w:tc>
          <w:tcPr>
            <w:tcW w:w="75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5E4217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序号</w:t>
            </w:r>
          </w:p>
        </w:tc>
        <w:tc>
          <w:tcPr>
            <w:tcW w:w="1886"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5EF01D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岗位名称</w:t>
            </w:r>
          </w:p>
        </w:tc>
        <w:tc>
          <w:tcPr>
            <w:tcW w:w="946"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718D93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人数</w:t>
            </w:r>
          </w:p>
        </w:tc>
        <w:tc>
          <w:tcPr>
            <w:tcW w:w="3505"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4C710E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服务项目</w:t>
            </w:r>
          </w:p>
        </w:tc>
        <w:tc>
          <w:tcPr>
            <w:tcW w:w="3338"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3590B5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地址</w:t>
            </w:r>
          </w:p>
        </w:tc>
      </w:tr>
      <w:tr w14:paraId="2B8E93E1">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15" w:type="dxa"/>
            <w:left w:w="15" w:type="dxa"/>
            <w:bottom w:w="15" w:type="dxa"/>
            <w:right w:w="15" w:type="dxa"/>
          </w:tblCellMar>
        </w:tblPrEx>
        <w:trPr>
          <w:trHeight w:val="450" w:hRule="atLeast"/>
        </w:trPr>
        <w:tc>
          <w:tcPr>
            <w:tcW w:w="75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336CD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1</w:t>
            </w:r>
          </w:p>
        </w:tc>
        <w:tc>
          <w:tcPr>
            <w:tcW w:w="1886"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7B819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保洁</w:t>
            </w:r>
          </w:p>
        </w:tc>
        <w:tc>
          <w:tcPr>
            <w:tcW w:w="946"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7F6054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1</w:t>
            </w:r>
          </w:p>
        </w:tc>
        <w:tc>
          <w:tcPr>
            <w:tcW w:w="3505" w:type="dxa"/>
            <w:vMerge w:val="restart"/>
            <w:tcBorders>
              <w:top w:val="nil"/>
              <w:left w:val="single" w:color="auto" w:sz="8" w:space="0"/>
              <w:right w:val="single" w:color="auto" w:sz="8" w:space="0"/>
            </w:tcBorders>
            <w:shd w:val="clear" w:color="auto" w:fill="FFFFFF"/>
            <w:tcMar>
              <w:top w:w="0" w:type="dxa"/>
              <w:left w:w="108" w:type="dxa"/>
              <w:bottom w:w="0" w:type="dxa"/>
              <w:right w:w="108" w:type="dxa"/>
            </w:tcMar>
            <w:vAlign w:val="center"/>
          </w:tcPr>
          <w:p w14:paraId="04BF95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人保财险商丘市分公司</w:t>
            </w:r>
          </w:p>
        </w:tc>
        <w:tc>
          <w:tcPr>
            <w:tcW w:w="3338" w:type="dxa"/>
            <w:vMerge w:val="restart"/>
            <w:tcBorders>
              <w:top w:val="nil"/>
              <w:left w:val="single" w:color="auto" w:sz="8" w:space="0"/>
              <w:right w:val="single" w:color="auto" w:sz="8" w:space="0"/>
            </w:tcBorders>
            <w:shd w:val="clear" w:color="auto" w:fill="FFFFFF"/>
            <w:tcMar>
              <w:top w:w="0" w:type="dxa"/>
              <w:left w:w="108" w:type="dxa"/>
              <w:bottom w:w="0" w:type="dxa"/>
              <w:right w:w="108" w:type="dxa"/>
            </w:tcMar>
            <w:vAlign w:val="center"/>
          </w:tcPr>
          <w:p w14:paraId="004197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商丘市睢阳区南京路182号</w:t>
            </w:r>
          </w:p>
        </w:tc>
      </w:tr>
      <w:tr w14:paraId="2AE76EF2">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15" w:type="dxa"/>
            <w:left w:w="15" w:type="dxa"/>
            <w:bottom w:w="15" w:type="dxa"/>
            <w:right w:w="15" w:type="dxa"/>
          </w:tblCellMar>
        </w:tblPrEx>
        <w:trPr>
          <w:trHeight w:val="450" w:hRule="atLeast"/>
        </w:trPr>
        <w:tc>
          <w:tcPr>
            <w:tcW w:w="75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98164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default" w:ascii="仿宋" w:hAnsi="仿宋" w:eastAsia="仿宋" w:cs="仿宋"/>
                <w:i w:val="0"/>
                <w:iCs w:val="0"/>
                <w:caps w:val="0"/>
                <w:color w:val="13161E"/>
                <w:spacing w:val="0"/>
                <w:kern w:val="0"/>
                <w:sz w:val="32"/>
                <w:szCs w:val="32"/>
                <w:vertAlign w:val="baseline"/>
                <w:lang w:val="en-US" w:eastAsia="zh-CN" w:bidi="ar"/>
              </w:rPr>
            </w:pPr>
            <w:r>
              <w:rPr>
                <w:rFonts w:hint="eastAsia" w:ascii="仿宋" w:hAnsi="仿宋" w:eastAsia="仿宋" w:cs="仿宋"/>
                <w:i w:val="0"/>
                <w:iCs w:val="0"/>
                <w:caps w:val="0"/>
                <w:color w:val="13161E"/>
                <w:spacing w:val="0"/>
                <w:kern w:val="0"/>
                <w:sz w:val="32"/>
                <w:szCs w:val="32"/>
                <w:vertAlign w:val="baseline"/>
                <w:lang w:val="en-US" w:eastAsia="zh-CN" w:bidi="ar"/>
              </w:rPr>
              <w:t>2</w:t>
            </w:r>
          </w:p>
        </w:tc>
        <w:tc>
          <w:tcPr>
            <w:tcW w:w="1886"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010E9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default" w:ascii="仿宋" w:hAnsi="仿宋" w:eastAsia="仿宋" w:cs="仿宋"/>
                <w:i w:val="0"/>
                <w:iCs w:val="0"/>
                <w:caps w:val="0"/>
                <w:color w:val="13161E"/>
                <w:spacing w:val="0"/>
                <w:kern w:val="0"/>
                <w:sz w:val="32"/>
                <w:szCs w:val="32"/>
                <w:vertAlign w:val="baseline"/>
                <w:lang w:val="en-US" w:eastAsia="zh-CN" w:bidi="ar"/>
              </w:rPr>
            </w:pPr>
            <w:r>
              <w:rPr>
                <w:rFonts w:hint="eastAsia" w:ascii="仿宋" w:hAnsi="仿宋" w:eastAsia="仿宋" w:cs="仿宋"/>
                <w:i w:val="0"/>
                <w:iCs w:val="0"/>
                <w:caps w:val="0"/>
                <w:color w:val="13161E"/>
                <w:spacing w:val="0"/>
                <w:kern w:val="0"/>
                <w:sz w:val="32"/>
                <w:szCs w:val="32"/>
                <w:vertAlign w:val="baseline"/>
                <w:lang w:val="en-US" w:eastAsia="zh-CN" w:bidi="ar"/>
              </w:rPr>
              <w:t>垃圾清运</w:t>
            </w:r>
          </w:p>
        </w:tc>
        <w:tc>
          <w:tcPr>
            <w:tcW w:w="946"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1128DA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default" w:ascii="仿宋" w:hAnsi="仿宋" w:eastAsia="仿宋" w:cs="仿宋"/>
                <w:i w:val="0"/>
                <w:iCs w:val="0"/>
                <w:caps w:val="0"/>
                <w:color w:val="13161E"/>
                <w:spacing w:val="0"/>
                <w:kern w:val="0"/>
                <w:sz w:val="32"/>
                <w:szCs w:val="32"/>
                <w:vertAlign w:val="baseline"/>
                <w:lang w:val="en-US" w:eastAsia="zh-CN" w:bidi="ar"/>
              </w:rPr>
            </w:pPr>
            <w:r>
              <w:rPr>
                <w:rFonts w:hint="eastAsia" w:ascii="仿宋" w:hAnsi="仿宋" w:eastAsia="仿宋" w:cs="仿宋"/>
                <w:i w:val="0"/>
                <w:iCs w:val="0"/>
                <w:caps w:val="0"/>
                <w:color w:val="13161E"/>
                <w:spacing w:val="0"/>
                <w:kern w:val="0"/>
                <w:sz w:val="32"/>
                <w:szCs w:val="32"/>
                <w:vertAlign w:val="baseline"/>
                <w:lang w:val="en-US" w:eastAsia="zh-CN" w:bidi="ar"/>
              </w:rPr>
              <w:t>1</w:t>
            </w:r>
          </w:p>
        </w:tc>
        <w:tc>
          <w:tcPr>
            <w:tcW w:w="3505" w:type="dxa"/>
            <w:vMerge w:val="continue"/>
            <w:tcBorders>
              <w:left w:val="single" w:color="auto" w:sz="8" w:space="0"/>
              <w:right w:val="single" w:color="auto" w:sz="8" w:space="0"/>
            </w:tcBorders>
            <w:shd w:val="clear" w:color="auto" w:fill="FFFFFF"/>
            <w:tcMar>
              <w:top w:w="0" w:type="dxa"/>
              <w:left w:w="108" w:type="dxa"/>
              <w:bottom w:w="0" w:type="dxa"/>
              <w:right w:w="108" w:type="dxa"/>
            </w:tcMar>
            <w:vAlign w:val="center"/>
          </w:tcPr>
          <w:p w14:paraId="3631F5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i w:val="0"/>
                <w:iCs w:val="0"/>
                <w:caps w:val="0"/>
                <w:color w:val="13161E"/>
                <w:spacing w:val="0"/>
                <w:kern w:val="0"/>
                <w:sz w:val="32"/>
                <w:szCs w:val="32"/>
                <w:vertAlign w:val="baseline"/>
                <w:lang w:val="en-US" w:eastAsia="zh-CN" w:bidi="ar"/>
              </w:rPr>
            </w:pPr>
          </w:p>
        </w:tc>
        <w:tc>
          <w:tcPr>
            <w:tcW w:w="3338" w:type="dxa"/>
            <w:vMerge w:val="continue"/>
            <w:tcBorders>
              <w:left w:val="single" w:color="auto" w:sz="8" w:space="0"/>
              <w:right w:val="single" w:color="auto" w:sz="8" w:space="0"/>
            </w:tcBorders>
            <w:shd w:val="clear" w:color="auto" w:fill="FFFFFF"/>
            <w:tcMar>
              <w:top w:w="0" w:type="dxa"/>
              <w:left w:w="108" w:type="dxa"/>
              <w:bottom w:w="0" w:type="dxa"/>
              <w:right w:w="108" w:type="dxa"/>
            </w:tcMar>
            <w:vAlign w:val="center"/>
          </w:tcPr>
          <w:p w14:paraId="70215E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i w:val="0"/>
                <w:iCs w:val="0"/>
                <w:caps w:val="0"/>
                <w:color w:val="13161E"/>
                <w:spacing w:val="0"/>
                <w:kern w:val="0"/>
                <w:sz w:val="32"/>
                <w:szCs w:val="32"/>
                <w:vertAlign w:val="baseline"/>
                <w:lang w:val="en-US" w:eastAsia="zh-CN" w:bidi="ar"/>
              </w:rPr>
            </w:pPr>
          </w:p>
        </w:tc>
      </w:tr>
      <w:tr w14:paraId="61D6B3F0">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15" w:type="dxa"/>
            <w:left w:w="15" w:type="dxa"/>
            <w:bottom w:w="15" w:type="dxa"/>
            <w:right w:w="15" w:type="dxa"/>
          </w:tblCellMar>
        </w:tblPrEx>
        <w:trPr>
          <w:trHeight w:val="450" w:hRule="atLeast"/>
        </w:trPr>
        <w:tc>
          <w:tcPr>
            <w:tcW w:w="75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D424D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default" w:ascii="仿宋" w:hAnsi="仿宋" w:eastAsia="仿宋" w:cs="仿宋"/>
                <w:i w:val="0"/>
                <w:iCs w:val="0"/>
                <w:caps w:val="0"/>
                <w:color w:val="13161E"/>
                <w:spacing w:val="0"/>
                <w:kern w:val="0"/>
                <w:sz w:val="32"/>
                <w:szCs w:val="32"/>
                <w:vertAlign w:val="baseline"/>
                <w:lang w:val="en-US" w:eastAsia="zh-CN" w:bidi="ar"/>
              </w:rPr>
            </w:pPr>
            <w:r>
              <w:rPr>
                <w:rFonts w:hint="eastAsia" w:ascii="仿宋" w:hAnsi="仿宋" w:eastAsia="仿宋" w:cs="仿宋"/>
                <w:i w:val="0"/>
                <w:iCs w:val="0"/>
                <w:caps w:val="0"/>
                <w:color w:val="13161E"/>
                <w:spacing w:val="0"/>
                <w:kern w:val="0"/>
                <w:sz w:val="32"/>
                <w:szCs w:val="32"/>
                <w:vertAlign w:val="baseline"/>
                <w:lang w:val="en-US" w:eastAsia="zh-CN" w:bidi="ar"/>
              </w:rPr>
              <w:t>3</w:t>
            </w:r>
          </w:p>
        </w:tc>
        <w:tc>
          <w:tcPr>
            <w:tcW w:w="1886"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5307C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default" w:ascii="仿宋" w:hAnsi="仿宋" w:eastAsia="仿宋" w:cs="仿宋"/>
                <w:i w:val="0"/>
                <w:iCs w:val="0"/>
                <w:caps w:val="0"/>
                <w:color w:val="13161E"/>
                <w:spacing w:val="0"/>
                <w:kern w:val="0"/>
                <w:sz w:val="32"/>
                <w:szCs w:val="32"/>
                <w:vertAlign w:val="baseline"/>
                <w:lang w:val="en-US" w:eastAsia="zh-CN" w:bidi="ar"/>
              </w:rPr>
            </w:pPr>
            <w:r>
              <w:rPr>
                <w:rFonts w:hint="eastAsia" w:ascii="仿宋" w:hAnsi="仿宋" w:eastAsia="仿宋" w:cs="仿宋"/>
                <w:i w:val="0"/>
                <w:iCs w:val="0"/>
                <w:caps w:val="0"/>
                <w:color w:val="13161E"/>
                <w:spacing w:val="0"/>
                <w:kern w:val="0"/>
                <w:sz w:val="32"/>
                <w:szCs w:val="32"/>
                <w:vertAlign w:val="baseline"/>
                <w:lang w:val="en-US" w:eastAsia="zh-CN" w:bidi="ar"/>
              </w:rPr>
              <w:t>维修</w:t>
            </w:r>
          </w:p>
        </w:tc>
        <w:tc>
          <w:tcPr>
            <w:tcW w:w="946"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3DA1B5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default" w:ascii="仿宋" w:hAnsi="仿宋" w:eastAsia="仿宋" w:cs="仿宋"/>
                <w:i w:val="0"/>
                <w:iCs w:val="0"/>
                <w:caps w:val="0"/>
                <w:color w:val="13161E"/>
                <w:spacing w:val="0"/>
                <w:kern w:val="0"/>
                <w:sz w:val="32"/>
                <w:szCs w:val="32"/>
                <w:vertAlign w:val="baseline"/>
                <w:lang w:val="en-US" w:eastAsia="zh-CN" w:bidi="ar"/>
              </w:rPr>
            </w:pPr>
            <w:r>
              <w:rPr>
                <w:rFonts w:hint="eastAsia" w:ascii="仿宋" w:hAnsi="仿宋" w:eastAsia="仿宋" w:cs="仿宋"/>
                <w:i w:val="0"/>
                <w:iCs w:val="0"/>
                <w:caps w:val="0"/>
                <w:color w:val="13161E"/>
                <w:spacing w:val="0"/>
                <w:kern w:val="0"/>
                <w:sz w:val="32"/>
                <w:szCs w:val="32"/>
                <w:vertAlign w:val="baseline"/>
                <w:lang w:val="en-US" w:eastAsia="zh-CN" w:bidi="ar"/>
              </w:rPr>
              <w:t>1</w:t>
            </w:r>
          </w:p>
        </w:tc>
        <w:tc>
          <w:tcPr>
            <w:tcW w:w="3505" w:type="dxa"/>
            <w:vMerge w:val="continue"/>
            <w:tcBorders>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0872A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i w:val="0"/>
                <w:iCs w:val="0"/>
                <w:caps w:val="0"/>
                <w:color w:val="13161E"/>
                <w:spacing w:val="0"/>
                <w:kern w:val="0"/>
                <w:sz w:val="32"/>
                <w:szCs w:val="32"/>
                <w:vertAlign w:val="baseline"/>
                <w:lang w:val="en-US" w:eastAsia="zh-CN" w:bidi="ar"/>
              </w:rPr>
            </w:pPr>
          </w:p>
        </w:tc>
        <w:tc>
          <w:tcPr>
            <w:tcW w:w="3338" w:type="dxa"/>
            <w:vMerge w:val="continue"/>
            <w:tcBorders>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0DC54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i w:val="0"/>
                <w:iCs w:val="0"/>
                <w:caps w:val="0"/>
                <w:color w:val="13161E"/>
                <w:spacing w:val="0"/>
                <w:kern w:val="0"/>
                <w:sz w:val="32"/>
                <w:szCs w:val="32"/>
                <w:vertAlign w:val="baseline"/>
                <w:lang w:val="en-US" w:eastAsia="zh-CN" w:bidi="ar"/>
              </w:rPr>
            </w:pPr>
          </w:p>
        </w:tc>
      </w:tr>
      <w:tr w14:paraId="2649D46F">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15" w:type="dxa"/>
            <w:left w:w="15" w:type="dxa"/>
            <w:bottom w:w="15" w:type="dxa"/>
            <w:right w:w="15" w:type="dxa"/>
          </w:tblCellMar>
        </w:tblPrEx>
        <w:trPr>
          <w:trHeight w:val="227" w:hRule="atLeast"/>
        </w:trPr>
        <w:tc>
          <w:tcPr>
            <w:tcW w:w="2636" w:type="dxa"/>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65E60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总计</w:t>
            </w:r>
          </w:p>
        </w:tc>
        <w:tc>
          <w:tcPr>
            <w:tcW w:w="946"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55A4FF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3</w:t>
            </w:r>
          </w:p>
        </w:tc>
        <w:tc>
          <w:tcPr>
            <w:tcW w:w="3505"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B241E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w:t>
            </w:r>
          </w:p>
        </w:tc>
        <w:tc>
          <w:tcPr>
            <w:tcW w:w="333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46BEB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w:t>
            </w:r>
          </w:p>
        </w:tc>
      </w:tr>
    </w:tbl>
    <w:p w14:paraId="2A4DD53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eastAsia" w:ascii="仿宋" w:hAnsi="仿宋" w:eastAsia="仿宋" w:cs="仿宋"/>
          <w:i w:val="0"/>
          <w:iCs w:val="0"/>
          <w:caps w:val="0"/>
          <w:color w:val="13161E"/>
          <w:spacing w:val="0"/>
          <w:kern w:val="0"/>
          <w:sz w:val="32"/>
          <w:szCs w:val="32"/>
          <w:u w:val="single"/>
          <w:shd w:val="clear" w:fill="FFFFFF"/>
          <w:lang w:val="en-US" w:eastAsia="zh-CN" w:bidi="ar"/>
        </w:rPr>
      </w:pPr>
      <w:r>
        <w:rPr>
          <w:rFonts w:hint="eastAsia" w:ascii="仿宋" w:hAnsi="仿宋" w:eastAsia="仿宋" w:cs="仿宋"/>
          <w:i w:val="0"/>
          <w:iCs w:val="0"/>
          <w:caps w:val="0"/>
          <w:color w:val="13161E"/>
          <w:spacing w:val="0"/>
          <w:kern w:val="0"/>
          <w:sz w:val="32"/>
          <w:szCs w:val="32"/>
          <w:shd w:val="clear" w:fill="FFFFFF"/>
          <w:lang w:val="en-US" w:eastAsia="zh-CN" w:bidi="ar"/>
        </w:rPr>
        <w:t>合同履行期限：</w:t>
      </w:r>
      <w:r>
        <w:rPr>
          <w:rFonts w:hint="eastAsia" w:ascii="仿宋" w:hAnsi="仿宋" w:eastAsia="仿宋" w:cs="仿宋"/>
          <w:i w:val="0"/>
          <w:iCs w:val="0"/>
          <w:caps w:val="0"/>
          <w:color w:val="13161E"/>
          <w:spacing w:val="0"/>
          <w:kern w:val="0"/>
          <w:sz w:val="32"/>
          <w:szCs w:val="32"/>
          <w:u w:val="single"/>
          <w:shd w:val="clear" w:fill="FFFFFF"/>
          <w:lang w:val="en-US" w:eastAsia="zh-CN" w:bidi="ar"/>
        </w:rPr>
        <w:t> 自合同签订之日起二年</w:t>
      </w:r>
    </w:p>
    <w:p w14:paraId="16C1483D">
      <w:pPr>
        <w:pStyle w:val="2"/>
        <w:rPr>
          <w:rFonts w:hint="eastAsia" w:ascii="仿宋" w:hAnsi="仿宋" w:eastAsia="仿宋" w:cs="仿宋"/>
          <w:b/>
          <w:bCs/>
          <w:sz w:val="32"/>
          <w:szCs w:val="32"/>
          <w:u w:val="none"/>
          <w:lang w:val="en-US"/>
        </w:rPr>
      </w:pPr>
      <w:r>
        <w:rPr>
          <w:rFonts w:hint="eastAsia" w:ascii="仿宋" w:hAnsi="仿宋" w:eastAsia="仿宋" w:cs="仿宋"/>
          <w:b/>
          <w:bCs/>
          <w:i w:val="0"/>
          <w:iCs w:val="0"/>
          <w:caps w:val="0"/>
          <w:color w:val="13161E"/>
          <w:spacing w:val="0"/>
          <w:kern w:val="0"/>
          <w:sz w:val="32"/>
          <w:szCs w:val="32"/>
          <w:u w:val="none"/>
          <w:shd w:val="clear" w:fill="FFFFFF"/>
          <w:lang w:val="en-US" w:eastAsia="zh-CN" w:bidi="ar"/>
        </w:rPr>
        <w:t>二、供应商资格要求</w:t>
      </w:r>
    </w:p>
    <w:p w14:paraId="052B6308">
      <w:pPr>
        <w:pStyle w:val="3"/>
        <w:snapToGrid w:val="0"/>
        <w:spacing w:line="360" w:lineRule="auto"/>
        <w:rPr>
          <w:rFonts w:hint="eastAsia" w:ascii="仿宋" w:hAnsi="仿宋" w:eastAsia="仿宋" w:cs="仿宋"/>
          <w:sz w:val="32"/>
          <w:szCs w:val="32"/>
        </w:rPr>
      </w:pPr>
      <w:r>
        <w:rPr>
          <w:rFonts w:hint="eastAsia" w:ascii="仿宋" w:hAnsi="仿宋" w:eastAsia="仿宋" w:cs="仿宋"/>
          <w:sz w:val="32"/>
          <w:szCs w:val="32"/>
        </w:rPr>
        <w:t>1.项目名称：</w:t>
      </w:r>
      <w:r>
        <w:rPr>
          <w:rFonts w:hint="eastAsia" w:ascii="仿宋" w:hAnsi="仿宋" w:eastAsia="仿宋" w:cs="仿宋"/>
          <w:sz w:val="32"/>
          <w:szCs w:val="32"/>
          <w:lang w:val="en-US" w:eastAsia="zh-CN"/>
        </w:rPr>
        <w:t>人保运营河南分公司商丘保洁及维修外包服务供应商采购项目</w:t>
      </w:r>
    </w:p>
    <w:p w14:paraId="62CA9A87">
      <w:pPr>
        <w:pStyle w:val="3"/>
        <w:adjustRightInd w:val="0"/>
        <w:snapToGrid w:val="0"/>
        <w:spacing w:line="360" w:lineRule="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.采购主要内容</w:t>
      </w:r>
      <w:r>
        <w:rPr>
          <w:rFonts w:hint="eastAsia" w:ascii="仿宋" w:hAnsi="仿宋" w:eastAsia="仿宋" w:cs="仿宋"/>
          <w:sz w:val="32"/>
          <w:szCs w:val="32"/>
          <w:lang w:val="en-US" w:eastAsia="zh-CN"/>
        </w:rPr>
        <w:t>：负责人保财险商丘市分公司本部的保洁及维修服务事项。（具体采购内容及要求详见本比选采购采购文件第三章项目需求）</w:t>
      </w:r>
      <w:r>
        <w:rPr>
          <w:rFonts w:hint="eastAsia" w:ascii="仿宋" w:hAnsi="仿宋" w:eastAsia="仿宋" w:cs="仿宋"/>
          <w:sz w:val="32"/>
          <w:szCs w:val="32"/>
        </w:rPr>
        <w:t>：</w:t>
      </w:r>
    </w:p>
    <w:p w14:paraId="7FDE73B8">
      <w:pPr>
        <w:widowControl/>
        <w:shd w:val="clear" w:color="auto" w:fill="FFFFFF"/>
        <w:snapToGrid w:val="0"/>
        <w:spacing w:line="360" w:lineRule="auto"/>
        <w:jc w:val="both"/>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w:t>
      </w:r>
      <w:r>
        <w:rPr>
          <w:rFonts w:hint="eastAsia" w:ascii="仿宋" w:hAnsi="仿宋" w:eastAsia="仿宋" w:cs="仿宋"/>
          <w:sz w:val="32"/>
          <w:szCs w:val="32"/>
          <w:lang w:eastAsia="zh-CN"/>
        </w:rPr>
        <w:t>响应</w:t>
      </w:r>
      <w:r>
        <w:rPr>
          <w:rFonts w:hint="eastAsia" w:ascii="仿宋" w:hAnsi="仿宋" w:eastAsia="仿宋" w:cs="仿宋"/>
          <w:sz w:val="32"/>
          <w:szCs w:val="32"/>
        </w:rPr>
        <w:t>方的资格要求：</w:t>
      </w:r>
    </w:p>
    <w:p w14:paraId="07846896">
      <w:pPr>
        <w:pStyle w:val="9"/>
        <w:spacing w:line="360" w:lineRule="auto"/>
        <w:ind w:firstLine="0" w:firstLineChars="0"/>
        <w:contextualSpacing/>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.1响应方为</w:t>
      </w:r>
      <w:r>
        <w:rPr>
          <w:rFonts w:hint="eastAsia" w:ascii="仿宋" w:hAnsi="仿宋" w:eastAsia="仿宋" w:cs="仿宋"/>
          <w:sz w:val="32"/>
          <w:szCs w:val="32"/>
        </w:rPr>
        <w:t>在中华人民共和国境内依照《中华人民共和国公司法》注册的具有独立法人资格的企业（须在</w:t>
      </w:r>
      <w:r>
        <w:rPr>
          <w:rFonts w:hint="eastAsia" w:ascii="仿宋" w:hAnsi="仿宋" w:eastAsia="仿宋" w:cs="仿宋"/>
          <w:sz w:val="32"/>
          <w:szCs w:val="32"/>
          <w:lang w:eastAsia="zh-CN"/>
        </w:rPr>
        <w:t>响应</w:t>
      </w:r>
      <w:r>
        <w:rPr>
          <w:rFonts w:hint="eastAsia" w:ascii="仿宋" w:hAnsi="仿宋" w:eastAsia="仿宋" w:cs="仿宋"/>
          <w:sz w:val="32"/>
          <w:szCs w:val="32"/>
        </w:rPr>
        <w:t>文件中提供营业执照复印件，并加盖</w:t>
      </w:r>
      <w:r>
        <w:rPr>
          <w:rFonts w:hint="eastAsia" w:ascii="仿宋" w:hAnsi="仿宋" w:eastAsia="仿宋" w:cs="仿宋"/>
          <w:sz w:val="32"/>
          <w:szCs w:val="32"/>
          <w:lang w:eastAsia="zh-CN"/>
        </w:rPr>
        <w:t>响应</w:t>
      </w:r>
      <w:r>
        <w:rPr>
          <w:rFonts w:hint="eastAsia" w:ascii="仿宋" w:hAnsi="仿宋" w:eastAsia="仿宋" w:cs="仿宋"/>
          <w:sz w:val="32"/>
          <w:szCs w:val="32"/>
        </w:rPr>
        <w:t>方公章）；</w:t>
      </w:r>
    </w:p>
    <w:p w14:paraId="23141659">
      <w:pPr>
        <w:pStyle w:val="9"/>
        <w:spacing w:line="360" w:lineRule="auto"/>
        <w:ind w:firstLine="0" w:firstLineChars="0"/>
        <w:contextualSpacing/>
        <w:rPr>
          <w:rFonts w:hint="eastAsia" w:ascii="仿宋" w:hAnsi="仿宋" w:eastAsia="仿宋" w:cs="仿宋"/>
          <w:color w:val="auto"/>
          <w:sz w:val="32"/>
          <w:szCs w:val="32"/>
          <w:highlight w:val="none"/>
        </w:rPr>
      </w:pPr>
      <w:r>
        <w:rPr>
          <w:rFonts w:hint="eastAsia" w:ascii="仿宋" w:hAnsi="仿宋" w:eastAsia="仿宋" w:cs="仿宋"/>
          <w:color w:val="auto"/>
          <w:sz w:val="32"/>
          <w:szCs w:val="32"/>
          <w:lang w:val="en-US" w:eastAsia="zh-CN"/>
        </w:rPr>
        <w:t>3</w:t>
      </w:r>
      <w:r>
        <w:rPr>
          <w:rFonts w:hint="eastAsia" w:ascii="仿宋" w:hAnsi="仿宋" w:eastAsia="仿宋" w:cs="仿宋"/>
          <w:color w:val="auto"/>
          <w:sz w:val="32"/>
          <w:szCs w:val="32"/>
          <w:lang w:eastAsia="zh-CN"/>
        </w:rPr>
        <w:t>.2响应方银行资信证明（非存款证明，要求正本或自</w:t>
      </w:r>
      <w:r>
        <w:rPr>
          <w:rFonts w:hint="eastAsia" w:ascii="仿宋" w:hAnsi="仿宋" w:eastAsia="仿宋" w:cs="仿宋"/>
          <w:color w:val="auto"/>
          <w:sz w:val="32"/>
          <w:szCs w:val="32"/>
          <w:lang w:val="en-US" w:eastAsia="zh-CN"/>
        </w:rPr>
        <w:t>响应文件递交截止</w:t>
      </w:r>
      <w:r>
        <w:rPr>
          <w:rFonts w:hint="eastAsia" w:ascii="仿宋" w:hAnsi="仿宋" w:eastAsia="仿宋" w:cs="仿宋"/>
          <w:color w:val="auto"/>
          <w:sz w:val="32"/>
          <w:szCs w:val="32"/>
          <w:lang w:eastAsia="zh-CN"/>
        </w:rPr>
        <w:t>日起</w:t>
      </w:r>
      <w:r>
        <w:rPr>
          <w:rFonts w:hint="eastAsia" w:ascii="仿宋" w:hAnsi="仿宋" w:eastAsia="仿宋" w:cs="仿宋"/>
          <w:color w:val="auto"/>
          <w:sz w:val="32"/>
          <w:szCs w:val="32"/>
          <w:lang w:val="en-US" w:eastAsia="zh-CN"/>
        </w:rPr>
        <w:t>6</w:t>
      </w:r>
      <w:r>
        <w:rPr>
          <w:rFonts w:hint="eastAsia" w:ascii="仿宋" w:hAnsi="仿宋" w:eastAsia="仿宋" w:cs="仿宋"/>
          <w:color w:val="auto"/>
          <w:sz w:val="32"/>
          <w:szCs w:val="32"/>
          <w:lang w:eastAsia="zh-CN"/>
        </w:rPr>
        <w:t>个月内的复印件）</w:t>
      </w:r>
      <w:r>
        <w:rPr>
          <w:rFonts w:hint="eastAsia" w:ascii="仿宋" w:hAnsi="仿宋" w:eastAsia="仿宋" w:cs="仿宋"/>
          <w:b/>
          <w:bCs/>
          <w:color w:val="auto"/>
          <w:sz w:val="32"/>
          <w:szCs w:val="32"/>
          <w:lang w:eastAsia="zh-CN"/>
        </w:rPr>
        <w:t>或</w:t>
      </w:r>
      <w:r>
        <w:rPr>
          <w:rFonts w:hint="eastAsia" w:ascii="仿宋" w:hAnsi="仿宋" w:eastAsia="仿宋" w:cs="仿宋"/>
          <w:b/>
          <w:bCs/>
          <w:color w:val="auto"/>
          <w:sz w:val="32"/>
          <w:szCs w:val="32"/>
          <w:lang w:val="en-US" w:eastAsia="zh-CN"/>
        </w:rPr>
        <w:t>2024/</w:t>
      </w:r>
      <w:r>
        <w:rPr>
          <w:rFonts w:hint="eastAsia" w:ascii="仿宋" w:hAnsi="仿宋" w:eastAsia="仿宋" w:cs="仿宋"/>
          <w:color w:val="auto"/>
          <w:sz w:val="32"/>
          <w:szCs w:val="32"/>
          <w:lang w:val="en-US" w:eastAsia="zh-CN"/>
        </w:rPr>
        <w:t>2</w:t>
      </w:r>
      <w:r>
        <w:rPr>
          <w:rFonts w:hint="eastAsia" w:ascii="仿宋" w:hAnsi="仿宋" w:eastAsia="仿宋" w:cs="仿宋"/>
          <w:color w:val="auto"/>
          <w:sz w:val="32"/>
          <w:szCs w:val="32"/>
          <w:highlight w:val="none"/>
          <w:lang w:val="en-US" w:eastAsia="zh-CN"/>
        </w:rPr>
        <w:t>025</w:t>
      </w:r>
      <w:r>
        <w:rPr>
          <w:rFonts w:hint="eastAsia" w:ascii="仿宋" w:hAnsi="仿宋" w:eastAsia="仿宋" w:cs="仿宋"/>
          <w:color w:val="auto"/>
          <w:sz w:val="32"/>
          <w:szCs w:val="32"/>
          <w:highlight w:val="none"/>
          <w:lang w:eastAsia="zh-CN"/>
        </w:rPr>
        <w:t>年度经会计师事务所审计的财务报告（至少包括审计单位盖章页、资产负债表、利润表、现金流量表）复印件，相关资料须加盖响应方公章；</w:t>
      </w:r>
    </w:p>
    <w:p w14:paraId="5C6B51E1">
      <w:pPr>
        <w:pStyle w:val="9"/>
        <w:spacing w:line="360" w:lineRule="auto"/>
        <w:ind w:firstLine="0" w:firstLineChars="0"/>
        <w:contextualSpacing/>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.3响应方应经营状况良好，且近</w:t>
      </w: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年内（202</w:t>
      </w: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年</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lang w:eastAsia="zh-CN"/>
        </w:rPr>
        <w:t>月1日至</w:t>
      </w:r>
      <w:bookmarkStart w:id="4" w:name="OLE_LINK2"/>
      <w:r>
        <w:rPr>
          <w:rFonts w:hint="eastAsia" w:ascii="仿宋" w:hAnsi="仿宋" w:eastAsia="仿宋" w:cs="仿宋"/>
          <w:sz w:val="32"/>
          <w:szCs w:val="32"/>
          <w:highlight w:val="none"/>
          <w:lang w:val="en-US" w:eastAsia="zh-CN"/>
        </w:rPr>
        <w:t>响应文件递交截止</w:t>
      </w:r>
      <w:r>
        <w:rPr>
          <w:rFonts w:hint="eastAsia" w:ascii="仿宋" w:hAnsi="仿宋" w:eastAsia="仿宋" w:cs="仿宋"/>
          <w:sz w:val="32"/>
          <w:szCs w:val="32"/>
          <w:highlight w:val="none"/>
          <w:lang w:eastAsia="zh-CN"/>
        </w:rPr>
        <w:t>日</w:t>
      </w:r>
      <w:bookmarkEnd w:id="4"/>
      <w:r>
        <w:rPr>
          <w:rFonts w:hint="eastAsia" w:ascii="仿宋" w:hAnsi="仿宋" w:eastAsia="仿宋" w:cs="仿宋"/>
          <w:sz w:val="32"/>
          <w:szCs w:val="32"/>
          <w:highlight w:val="none"/>
          <w:lang w:eastAsia="zh-CN"/>
        </w:rPr>
        <w:t>）无违法违规记录。违法违规记录是指被“信用中国”列入失信被执行人、重大税收违法失信主体、政府采购严重违法失信行为记录名单。响应方需提供自招标公告发布之日至</w:t>
      </w:r>
      <w:r>
        <w:rPr>
          <w:rFonts w:hint="eastAsia" w:ascii="仿宋" w:hAnsi="仿宋" w:eastAsia="仿宋" w:cs="仿宋"/>
          <w:sz w:val="32"/>
          <w:szCs w:val="32"/>
          <w:highlight w:val="none"/>
          <w:lang w:val="en-US" w:eastAsia="zh-CN"/>
        </w:rPr>
        <w:t>响应文件递交截止</w:t>
      </w:r>
      <w:r>
        <w:rPr>
          <w:rFonts w:hint="eastAsia" w:ascii="仿宋" w:hAnsi="仿宋" w:eastAsia="仿宋" w:cs="仿宋"/>
          <w:sz w:val="32"/>
          <w:szCs w:val="32"/>
          <w:highlight w:val="none"/>
          <w:lang w:eastAsia="zh-CN"/>
        </w:rPr>
        <w:t xml:space="preserve">日期间对以上三项内容的查询截图。 </w:t>
      </w:r>
    </w:p>
    <w:p w14:paraId="05EA1F64">
      <w:pPr>
        <w:pStyle w:val="9"/>
        <w:spacing w:line="360" w:lineRule="auto"/>
        <w:ind w:firstLine="0" w:firstLineChars="0"/>
        <w:contextualSpacing/>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eastAsia="zh-CN"/>
        </w:rPr>
        <w:t>信用中国查询网址：</w:t>
      </w:r>
      <w:r>
        <w:rPr>
          <w:rFonts w:hint="eastAsia" w:ascii="仿宋" w:hAnsi="仿宋" w:eastAsia="仿宋" w:cs="仿宋"/>
          <w:sz w:val="32"/>
          <w:szCs w:val="32"/>
          <w:highlight w:val="none"/>
        </w:rPr>
        <w:t>https://www.creditchina.gov.cn/zhuanxiangchaxun/</w:t>
      </w:r>
      <w:r>
        <w:rPr>
          <w:rFonts w:hint="eastAsia" w:ascii="仿宋" w:hAnsi="仿宋" w:eastAsia="仿宋" w:cs="仿宋"/>
          <w:sz w:val="32"/>
          <w:szCs w:val="32"/>
          <w:highlight w:val="none"/>
          <w:lang w:eastAsia="zh-CN"/>
        </w:rPr>
        <w:t>。</w:t>
      </w:r>
    </w:p>
    <w:p w14:paraId="12580852">
      <w:pPr>
        <w:pStyle w:val="9"/>
        <w:spacing w:line="360" w:lineRule="auto"/>
        <w:ind w:firstLine="0" w:firstLineChars="0"/>
        <w:contextualSpacing/>
        <w:rPr>
          <w:rFonts w:hint="eastAsia" w:ascii="仿宋" w:hAnsi="仿宋" w:eastAsia="仿宋" w:cs="仿宋"/>
          <w:color w:val="000000"/>
          <w:sz w:val="32"/>
          <w:szCs w:val="32"/>
          <w:lang w:val="en-US" w:eastAsia="zh-CN"/>
        </w:rPr>
      </w:pP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.4响应方近</w:t>
      </w: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年（202</w:t>
      </w: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年</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lang w:eastAsia="zh-CN"/>
        </w:rPr>
        <w:t>月1日至</w:t>
      </w:r>
      <w:r>
        <w:rPr>
          <w:rFonts w:hint="eastAsia" w:ascii="仿宋" w:hAnsi="仿宋" w:eastAsia="仿宋" w:cs="仿宋"/>
          <w:sz w:val="32"/>
          <w:szCs w:val="32"/>
          <w:highlight w:val="none"/>
          <w:lang w:val="en-US" w:eastAsia="zh-CN"/>
        </w:rPr>
        <w:t>响应文件递交</w:t>
      </w:r>
      <w:r>
        <w:rPr>
          <w:rFonts w:hint="eastAsia" w:ascii="仿宋" w:hAnsi="仿宋" w:eastAsia="仿宋" w:cs="仿宋"/>
          <w:sz w:val="32"/>
          <w:szCs w:val="32"/>
          <w:highlight w:val="none"/>
          <w:lang w:eastAsia="zh-CN"/>
        </w:rPr>
        <w:t>截止日）具有</w:t>
      </w:r>
      <w:r>
        <w:rPr>
          <w:rFonts w:hint="eastAsia" w:ascii="仿宋" w:hAnsi="仿宋" w:eastAsia="仿宋" w:cs="仿宋"/>
          <w:sz w:val="32"/>
          <w:szCs w:val="32"/>
          <w:highlight w:val="none"/>
          <w:lang w:val="en-US" w:eastAsia="zh-CN"/>
        </w:rPr>
        <w:t>至少1个保洁或维修服务</w:t>
      </w:r>
      <w:r>
        <w:rPr>
          <w:rFonts w:hint="eastAsia" w:ascii="仿宋" w:hAnsi="仿宋" w:eastAsia="仿宋" w:cs="仿宋"/>
          <w:sz w:val="32"/>
          <w:szCs w:val="32"/>
          <w:highlight w:val="none"/>
          <w:lang w:eastAsia="zh-CN"/>
        </w:rPr>
        <w:t>类似项目成功实施案例，须提供案例合同复印件（包括合同首页、内容页/配置页、</w:t>
      </w:r>
      <w:r>
        <w:rPr>
          <w:rFonts w:hint="eastAsia" w:ascii="仿宋" w:hAnsi="仿宋" w:eastAsia="仿宋" w:cs="仿宋"/>
          <w:sz w:val="32"/>
          <w:szCs w:val="32"/>
          <w:lang w:eastAsia="zh-CN"/>
        </w:rPr>
        <w:t>签署时间及盖章页）相关资料须加盖响应方公章；</w:t>
      </w:r>
    </w:p>
    <w:p w14:paraId="4F5C3931">
      <w:pPr>
        <w:pStyle w:val="9"/>
        <w:spacing w:line="360" w:lineRule="auto"/>
        <w:ind w:firstLine="0" w:firstLineChars="0"/>
        <w:contextualSpacing/>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5</w:t>
      </w:r>
      <w:r>
        <w:rPr>
          <w:rFonts w:hint="eastAsia" w:ascii="仿宋" w:hAnsi="仿宋" w:eastAsia="仿宋" w:cs="仿宋"/>
          <w:sz w:val="32"/>
          <w:szCs w:val="32"/>
          <w:highlight w:val="none"/>
        </w:rPr>
        <w:t>法定代表人为同一个人的两个及两个以上法人，母公司、全资子公司及其控股公司，都不得在本项目中同时</w:t>
      </w:r>
      <w:r>
        <w:rPr>
          <w:rFonts w:hint="eastAsia" w:ascii="仿宋" w:hAnsi="仿宋" w:eastAsia="仿宋" w:cs="仿宋"/>
          <w:sz w:val="32"/>
          <w:szCs w:val="32"/>
          <w:highlight w:val="none"/>
          <w:lang w:eastAsia="zh-CN"/>
        </w:rPr>
        <w:t>响应</w:t>
      </w:r>
      <w:r>
        <w:rPr>
          <w:rFonts w:hint="eastAsia" w:ascii="仿宋" w:hAnsi="仿宋" w:eastAsia="仿宋" w:cs="仿宋"/>
          <w:sz w:val="32"/>
          <w:szCs w:val="32"/>
          <w:highlight w:val="none"/>
        </w:rPr>
        <w:t>。</w:t>
      </w:r>
    </w:p>
    <w:p w14:paraId="583AA9C2">
      <w:pPr>
        <w:pStyle w:val="9"/>
        <w:spacing w:line="360" w:lineRule="auto"/>
        <w:ind w:firstLine="0" w:firstLineChars="0"/>
        <w:contextualSpacing/>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6</w:t>
      </w:r>
      <w:r>
        <w:rPr>
          <w:rFonts w:hint="eastAsia" w:ascii="仿宋" w:hAnsi="仿宋" w:eastAsia="仿宋" w:cs="仿宋"/>
          <w:sz w:val="32"/>
          <w:szCs w:val="32"/>
          <w:highlight w:val="none"/>
          <w:lang w:eastAsia="zh-CN"/>
        </w:rPr>
        <w:t>响应</w:t>
      </w:r>
      <w:r>
        <w:rPr>
          <w:rFonts w:hint="eastAsia" w:ascii="仿宋" w:hAnsi="仿宋" w:eastAsia="仿宋" w:cs="仿宋"/>
          <w:sz w:val="32"/>
          <w:szCs w:val="32"/>
          <w:highlight w:val="none"/>
        </w:rPr>
        <w:t>方法定代表人参与</w:t>
      </w:r>
      <w:r>
        <w:rPr>
          <w:rFonts w:hint="eastAsia" w:ascii="仿宋" w:hAnsi="仿宋" w:eastAsia="仿宋" w:cs="仿宋"/>
          <w:sz w:val="32"/>
          <w:szCs w:val="32"/>
          <w:highlight w:val="none"/>
          <w:lang w:val="en-US" w:eastAsia="zh-CN"/>
        </w:rPr>
        <w:t>响应或</w:t>
      </w:r>
      <w:r>
        <w:rPr>
          <w:rFonts w:hint="eastAsia" w:ascii="仿宋" w:hAnsi="仿宋" w:eastAsia="仿宋" w:cs="仿宋"/>
          <w:sz w:val="32"/>
          <w:szCs w:val="32"/>
          <w:highlight w:val="none"/>
          <w:lang w:eastAsia="zh-CN"/>
        </w:rPr>
        <w:t>谈判</w:t>
      </w:r>
      <w:r>
        <w:rPr>
          <w:rFonts w:hint="eastAsia" w:ascii="仿宋" w:hAnsi="仿宋" w:eastAsia="仿宋" w:cs="仿宋"/>
          <w:sz w:val="32"/>
          <w:szCs w:val="32"/>
          <w:highlight w:val="none"/>
        </w:rPr>
        <w:t>的，须在</w:t>
      </w:r>
      <w:r>
        <w:rPr>
          <w:rFonts w:hint="eastAsia" w:ascii="仿宋" w:hAnsi="仿宋" w:eastAsia="仿宋" w:cs="仿宋"/>
          <w:sz w:val="32"/>
          <w:szCs w:val="32"/>
          <w:highlight w:val="none"/>
          <w:lang w:eastAsia="zh-CN"/>
        </w:rPr>
        <w:t>响应</w:t>
      </w:r>
      <w:r>
        <w:rPr>
          <w:rFonts w:hint="eastAsia" w:ascii="仿宋" w:hAnsi="仿宋" w:eastAsia="仿宋" w:cs="仿宋"/>
          <w:sz w:val="32"/>
          <w:szCs w:val="32"/>
          <w:highlight w:val="none"/>
        </w:rPr>
        <w:t>文件中提供法定代表人身份证明书；</w:t>
      </w:r>
      <w:r>
        <w:rPr>
          <w:rFonts w:hint="eastAsia" w:ascii="仿宋" w:hAnsi="仿宋" w:eastAsia="仿宋" w:cs="仿宋"/>
          <w:sz w:val="32"/>
          <w:szCs w:val="32"/>
          <w:highlight w:val="none"/>
          <w:lang w:eastAsia="zh-CN"/>
        </w:rPr>
        <w:t>响应</w:t>
      </w:r>
      <w:r>
        <w:rPr>
          <w:rFonts w:hint="eastAsia" w:ascii="仿宋" w:hAnsi="仿宋" w:eastAsia="仿宋" w:cs="仿宋"/>
          <w:sz w:val="32"/>
          <w:szCs w:val="32"/>
          <w:highlight w:val="none"/>
        </w:rPr>
        <w:t>方委派授权代表参与</w:t>
      </w:r>
      <w:r>
        <w:rPr>
          <w:rFonts w:hint="eastAsia" w:ascii="仿宋" w:hAnsi="仿宋" w:eastAsia="仿宋" w:cs="仿宋"/>
          <w:sz w:val="32"/>
          <w:szCs w:val="32"/>
          <w:highlight w:val="none"/>
          <w:lang w:eastAsia="zh-CN"/>
        </w:rPr>
        <w:t>谈判</w:t>
      </w:r>
      <w:r>
        <w:rPr>
          <w:rFonts w:hint="eastAsia" w:ascii="仿宋" w:hAnsi="仿宋" w:eastAsia="仿宋" w:cs="仿宋"/>
          <w:sz w:val="32"/>
          <w:szCs w:val="32"/>
          <w:highlight w:val="none"/>
        </w:rPr>
        <w:t>的，须在</w:t>
      </w:r>
      <w:r>
        <w:rPr>
          <w:rFonts w:hint="eastAsia" w:ascii="仿宋" w:hAnsi="仿宋" w:eastAsia="仿宋" w:cs="仿宋"/>
          <w:sz w:val="32"/>
          <w:szCs w:val="32"/>
          <w:highlight w:val="none"/>
          <w:lang w:eastAsia="zh-CN"/>
        </w:rPr>
        <w:t>响应</w:t>
      </w:r>
      <w:r>
        <w:rPr>
          <w:rFonts w:hint="eastAsia" w:ascii="仿宋" w:hAnsi="仿宋" w:eastAsia="仿宋" w:cs="仿宋"/>
          <w:sz w:val="32"/>
          <w:szCs w:val="32"/>
          <w:highlight w:val="none"/>
        </w:rPr>
        <w:t>文件中提供法定代表人身份证明书和法定代表人授权书。</w:t>
      </w:r>
    </w:p>
    <w:p w14:paraId="64155184">
      <w:pPr>
        <w:spacing w:line="360" w:lineRule="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w:t>
      </w:r>
      <w:r>
        <w:rPr>
          <w:rFonts w:hint="eastAsia" w:ascii="仿宋" w:hAnsi="仿宋" w:eastAsia="仿宋" w:cs="仿宋"/>
          <w:sz w:val="32"/>
          <w:szCs w:val="32"/>
          <w:lang w:val="en-US" w:eastAsia="zh-CN"/>
        </w:rPr>
        <w:t>7</w:t>
      </w:r>
      <w:r>
        <w:rPr>
          <w:rFonts w:hint="eastAsia" w:ascii="仿宋" w:hAnsi="仿宋" w:eastAsia="仿宋" w:cs="仿宋"/>
          <w:sz w:val="32"/>
          <w:szCs w:val="32"/>
          <w:lang w:eastAsia="zh-CN"/>
        </w:rPr>
        <w:t>响应</w:t>
      </w:r>
      <w:r>
        <w:rPr>
          <w:rFonts w:hint="eastAsia" w:ascii="仿宋" w:hAnsi="仿宋" w:eastAsia="仿宋" w:cs="仿宋"/>
          <w:sz w:val="32"/>
          <w:szCs w:val="32"/>
        </w:rPr>
        <w:t>方应依法缴纳税收和社会保障资金</w:t>
      </w:r>
      <w:r>
        <w:rPr>
          <w:rFonts w:hint="eastAsia" w:ascii="仿宋" w:hAnsi="仿宋" w:eastAsia="仿宋" w:cs="仿宋"/>
          <w:sz w:val="32"/>
          <w:szCs w:val="32"/>
          <w:lang w:eastAsia="zh-CN"/>
        </w:rPr>
        <w:t>，提供近</w:t>
      </w:r>
      <w:r>
        <w:rPr>
          <w:rFonts w:hint="eastAsia" w:ascii="仿宋" w:hAnsi="仿宋" w:eastAsia="仿宋" w:cs="仿宋"/>
          <w:sz w:val="32"/>
          <w:szCs w:val="32"/>
          <w:lang w:val="en-US" w:eastAsia="zh-CN"/>
        </w:rPr>
        <w:t>6</w:t>
      </w:r>
      <w:r>
        <w:rPr>
          <w:rFonts w:hint="eastAsia" w:ascii="仿宋" w:hAnsi="仿宋" w:eastAsia="仿宋" w:cs="仿宋"/>
          <w:sz w:val="32"/>
          <w:szCs w:val="32"/>
          <w:lang w:eastAsia="zh-CN"/>
        </w:rPr>
        <w:t>个月任意一个月的税收</w:t>
      </w:r>
      <w:r>
        <w:rPr>
          <w:rFonts w:hint="eastAsia" w:ascii="仿宋" w:hAnsi="仿宋" w:eastAsia="仿宋" w:cs="仿宋"/>
          <w:b/>
          <w:bCs/>
          <w:sz w:val="32"/>
          <w:szCs w:val="32"/>
          <w:highlight w:val="none"/>
          <w:lang w:eastAsia="zh-CN"/>
        </w:rPr>
        <w:t>和</w:t>
      </w:r>
      <w:r>
        <w:rPr>
          <w:rFonts w:hint="eastAsia" w:ascii="仿宋" w:hAnsi="仿宋" w:eastAsia="仿宋" w:cs="仿宋"/>
          <w:sz w:val="32"/>
          <w:szCs w:val="32"/>
          <w:lang w:eastAsia="zh-CN"/>
        </w:rPr>
        <w:t>社会保障资金缴纳凭证。</w:t>
      </w:r>
      <w:r>
        <w:rPr>
          <w:rFonts w:hint="eastAsia" w:ascii="仿宋" w:hAnsi="仿宋" w:eastAsia="仿宋" w:cs="仿宋"/>
          <w:sz w:val="32"/>
          <w:szCs w:val="32"/>
        </w:rPr>
        <w:t>（须在</w:t>
      </w:r>
      <w:r>
        <w:rPr>
          <w:rFonts w:hint="eastAsia" w:ascii="仿宋" w:hAnsi="仿宋" w:eastAsia="仿宋" w:cs="仿宋"/>
          <w:sz w:val="32"/>
          <w:szCs w:val="32"/>
          <w:lang w:eastAsia="zh-CN"/>
        </w:rPr>
        <w:t>比选采购响应</w:t>
      </w:r>
      <w:r>
        <w:rPr>
          <w:rFonts w:hint="eastAsia" w:ascii="仿宋" w:hAnsi="仿宋" w:eastAsia="仿宋" w:cs="仿宋"/>
          <w:sz w:val="32"/>
          <w:szCs w:val="32"/>
        </w:rPr>
        <w:t>文件中提供依法缴纳税收和社会保险承诺书并加盖</w:t>
      </w:r>
      <w:r>
        <w:rPr>
          <w:rFonts w:hint="eastAsia" w:ascii="仿宋" w:hAnsi="仿宋" w:eastAsia="仿宋" w:cs="仿宋"/>
          <w:sz w:val="32"/>
          <w:szCs w:val="32"/>
          <w:lang w:eastAsia="zh-CN"/>
        </w:rPr>
        <w:t>响应</w:t>
      </w:r>
      <w:r>
        <w:rPr>
          <w:rFonts w:hint="eastAsia" w:ascii="仿宋" w:hAnsi="仿宋" w:eastAsia="仿宋" w:cs="仿宋"/>
          <w:sz w:val="32"/>
          <w:szCs w:val="32"/>
        </w:rPr>
        <w:t>方公章）。</w:t>
      </w:r>
    </w:p>
    <w:p w14:paraId="43D2E29A">
      <w:pPr>
        <w:spacing w:line="360" w:lineRule="auto"/>
        <w:rPr>
          <w:rFonts w:hint="eastAsia" w:ascii="仿宋" w:hAnsi="仿宋" w:eastAsia="仿宋" w:cs="仿宋"/>
          <w:sz w:val="32"/>
          <w:szCs w:val="32"/>
          <w:u w:val="none" w:color="FF0000"/>
        </w:rPr>
      </w:pPr>
      <w:r>
        <w:rPr>
          <w:rFonts w:hint="eastAsia" w:ascii="仿宋" w:hAnsi="仿宋" w:eastAsia="仿宋" w:cs="仿宋"/>
          <w:sz w:val="32"/>
          <w:szCs w:val="32"/>
          <w:u w:val="none" w:color="FF0000"/>
          <w:lang w:val="en-US" w:eastAsia="zh-CN"/>
        </w:rPr>
        <w:t>3</w:t>
      </w:r>
      <w:r>
        <w:rPr>
          <w:rFonts w:hint="eastAsia" w:ascii="仿宋" w:hAnsi="仿宋" w:eastAsia="仿宋" w:cs="仿宋"/>
          <w:sz w:val="32"/>
          <w:szCs w:val="32"/>
          <w:u w:val="none" w:color="FF0000"/>
        </w:rPr>
        <w:t>.</w:t>
      </w:r>
      <w:r>
        <w:rPr>
          <w:rFonts w:hint="eastAsia" w:ascii="仿宋" w:hAnsi="仿宋" w:eastAsia="仿宋" w:cs="仿宋"/>
          <w:sz w:val="32"/>
          <w:szCs w:val="32"/>
          <w:u w:val="none" w:color="FF0000"/>
          <w:lang w:val="en-US" w:eastAsia="zh-CN"/>
        </w:rPr>
        <w:t>8</w:t>
      </w:r>
      <w:r>
        <w:rPr>
          <w:rFonts w:hint="eastAsia" w:ascii="仿宋" w:hAnsi="仿宋" w:eastAsia="仿宋" w:cs="仿宋"/>
          <w:sz w:val="32"/>
          <w:szCs w:val="32"/>
          <w:u w:val="none" w:color="FF0000"/>
        </w:rPr>
        <w:t>本项目不接受联合体</w:t>
      </w:r>
      <w:r>
        <w:rPr>
          <w:rFonts w:hint="eastAsia" w:ascii="仿宋" w:hAnsi="仿宋" w:eastAsia="仿宋" w:cs="仿宋"/>
          <w:sz w:val="32"/>
          <w:szCs w:val="32"/>
          <w:u w:val="none" w:color="FF0000"/>
          <w:lang w:eastAsia="zh-CN"/>
        </w:rPr>
        <w:t>响应</w:t>
      </w:r>
      <w:r>
        <w:rPr>
          <w:rFonts w:hint="eastAsia" w:ascii="仿宋" w:hAnsi="仿宋" w:eastAsia="仿宋" w:cs="仿宋"/>
          <w:sz w:val="32"/>
          <w:szCs w:val="32"/>
          <w:u w:val="none" w:color="FF0000"/>
        </w:rPr>
        <w:t>。</w:t>
      </w:r>
    </w:p>
    <w:p w14:paraId="0254282C">
      <w:pPr>
        <w:pStyle w:val="9"/>
        <w:spacing w:line="360" w:lineRule="auto"/>
        <w:ind w:firstLine="0" w:firstLineChars="0"/>
        <w:contextualSpacing/>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三、报名方式</w:t>
      </w:r>
    </w:p>
    <w:p w14:paraId="62004C7C">
      <w:pPr>
        <w:pStyle w:val="9"/>
        <w:spacing w:line="360" w:lineRule="auto"/>
        <w:ind w:firstLine="0" w:firstLineChars="0"/>
        <w:contextualSpacing/>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t>1</w:t>
      </w:r>
      <w:r>
        <w:rPr>
          <w:rFonts w:hint="eastAsia" w:ascii="仿宋" w:hAnsi="仿宋" w:eastAsia="仿宋" w:cs="仿宋"/>
          <w:color w:val="auto"/>
          <w:sz w:val="32"/>
          <w:szCs w:val="32"/>
          <w:highlight w:val="none"/>
          <w:lang w:val="en-US" w:eastAsia="zh-CN"/>
        </w:rPr>
        <w:t>.报名</w:t>
      </w:r>
      <w:r>
        <w:rPr>
          <w:rFonts w:hint="eastAsia" w:ascii="仿宋" w:hAnsi="仿宋" w:eastAsia="仿宋" w:cs="仿宋"/>
          <w:i w:val="0"/>
          <w:iCs w:val="0"/>
          <w:caps w:val="0"/>
          <w:color w:val="13161E"/>
          <w:spacing w:val="0"/>
          <w:sz w:val="32"/>
          <w:szCs w:val="32"/>
          <w:shd w:val="clear" w:fill="FFFFFF"/>
        </w:rPr>
        <w:t>截止时间：</w:t>
      </w:r>
      <w:r>
        <w:rPr>
          <w:rFonts w:hint="eastAsia" w:ascii="仿宋" w:hAnsi="仿宋" w:eastAsia="仿宋" w:cs="仿宋"/>
          <w:i w:val="0"/>
          <w:iCs w:val="0"/>
          <w:caps w:val="0"/>
          <w:color w:val="13161E"/>
          <w:spacing w:val="0"/>
          <w:sz w:val="32"/>
          <w:szCs w:val="32"/>
          <w:u w:val="single"/>
          <w:shd w:val="clear" w:fill="FFFFFF"/>
        </w:rPr>
        <w:t>2026年0</w:t>
      </w:r>
      <w:r>
        <w:rPr>
          <w:rFonts w:hint="eastAsia" w:ascii="仿宋" w:hAnsi="仿宋" w:eastAsia="仿宋" w:cs="仿宋"/>
          <w:i w:val="0"/>
          <w:iCs w:val="0"/>
          <w:caps w:val="0"/>
          <w:color w:val="13161E"/>
          <w:spacing w:val="0"/>
          <w:sz w:val="32"/>
          <w:szCs w:val="32"/>
          <w:u w:val="single"/>
          <w:shd w:val="clear" w:fill="FFFFFF"/>
          <w:lang w:val="en-US" w:eastAsia="zh-CN"/>
        </w:rPr>
        <w:t>7</w:t>
      </w:r>
      <w:r>
        <w:rPr>
          <w:rFonts w:hint="eastAsia" w:ascii="仿宋" w:hAnsi="仿宋" w:eastAsia="仿宋" w:cs="仿宋"/>
          <w:i w:val="0"/>
          <w:iCs w:val="0"/>
          <w:caps w:val="0"/>
          <w:color w:val="13161E"/>
          <w:spacing w:val="0"/>
          <w:sz w:val="32"/>
          <w:szCs w:val="32"/>
          <w:u w:val="single"/>
          <w:shd w:val="clear" w:fill="FFFFFF"/>
        </w:rPr>
        <w:t>月</w:t>
      </w:r>
      <w:r>
        <w:rPr>
          <w:rFonts w:hint="eastAsia" w:ascii="仿宋" w:hAnsi="仿宋" w:eastAsia="仿宋" w:cs="仿宋"/>
          <w:i w:val="0"/>
          <w:iCs w:val="0"/>
          <w:caps w:val="0"/>
          <w:color w:val="13161E"/>
          <w:spacing w:val="0"/>
          <w:sz w:val="32"/>
          <w:szCs w:val="32"/>
          <w:u w:val="single"/>
          <w:shd w:val="clear" w:fill="FFFFFF"/>
          <w:lang w:val="en-US" w:eastAsia="zh-CN"/>
        </w:rPr>
        <w:t>01</w:t>
      </w:r>
      <w:r>
        <w:rPr>
          <w:rFonts w:hint="eastAsia" w:ascii="仿宋" w:hAnsi="仿宋" w:eastAsia="仿宋" w:cs="仿宋"/>
          <w:i w:val="0"/>
          <w:iCs w:val="0"/>
          <w:caps w:val="0"/>
          <w:color w:val="13161E"/>
          <w:spacing w:val="0"/>
          <w:sz w:val="32"/>
          <w:szCs w:val="32"/>
          <w:u w:val="single"/>
          <w:shd w:val="clear" w:fill="FFFFFF"/>
        </w:rPr>
        <w:t>日18：00</w:t>
      </w:r>
      <w:r>
        <w:rPr>
          <w:rFonts w:hint="eastAsia" w:ascii="仿宋" w:hAnsi="仿宋" w:eastAsia="仿宋" w:cs="仿宋"/>
          <w:i w:val="0"/>
          <w:iCs w:val="0"/>
          <w:caps w:val="0"/>
          <w:color w:val="13161E"/>
          <w:spacing w:val="0"/>
          <w:sz w:val="32"/>
          <w:szCs w:val="32"/>
          <w:shd w:val="clear" w:fill="FFFFFF"/>
        </w:rPr>
        <w:t>（北京时间，法定节假日除外）</w:t>
      </w:r>
    </w:p>
    <w:p w14:paraId="3C8B0EC4">
      <w:pPr>
        <w:pStyle w:val="9"/>
        <w:spacing w:line="360" w:lineRule="auto"/>
        <w:ind w:firstLine="0" w:firstLineChars="0"/>
        <w:contextualSpacing/>
        <w:rPr>
          <w:rFonts w:hint="eastAsia" w:ascii="仿宋" w:hAnsi="仿宋" w:eastAsia="仿宋" w:cs="仿宋"/>
          <w:i w:val="0"/>
          <w:iCs w:val="0"/>
          <w:caps w:val="0"/>
          <w:color w:val="13161E"/>
          <w:spacing w:val="0"/>
          <w:sz w:val="32"/>
          <w:szCs w:val="32"/>
          <w:shd w:val="clear" w:fill="FFFFFF"/>
        </w:rPr>
      </w:pPr>
      <w:r>
        <w:rPr>
          <w:rFonts w:hint="eastAsia" w:ascii="仿宋" w:hAnsi="仿宋" w:eastAsia="仿宋" w:cs="仿宋"/>
          <w:sz w:val="32"/>
          <w:szCs w:val="32"/>
          <w:lang w:eastAsia="zh-CN"/>
        </w:rPr>
        <w:t>2</w:t>
      </w:r>
      <w:r>
        <w:rPr>
          <w:rFonts w:hint="eastAsia" w:ascii="仿宋" w:hAnsi="仿宋" w:eastAsia="仿宋" w:cs="仿宋"/>
          <w:sz w:val="32"/>
          <w:szCs w:val="32"/>
          <w:lang w:val="en-US" w:eastAsia="zh-CN"/>
        </w:rPr>
        <w:t>.报名</w:t>
      </w:r>
      <w:r>
        <w:rPr>
          <w:rFonts w:hint="eastAsia" w:ascii="仿宋" w:hAnsi="仿宋" w:eastAsia="仿宋" w:cs="仿宋"/>
          <w:i w:val="0"/>
          <w:iCs w:val="0"/>
          <w:caps w:val="0"/>
          <w:color w:val="13161E"/>
          <w:spacing w:val="0"/>
          <w:sz w:val="32"/>
          <w:szCs w:val="32"/>
          <w:shd w:val="clear" w:fill="FFFFFF"/>
        </w:rPr>
        <w:t>方式：报名供应商将公司营业执照及供应商项目报名申请表，加盖公章后通过邮件的方式发送至邮箱：shenmiao02@picc.com.cn </w:t>
      </w:r>
    </w:p>
    <w:p w14:paraId="1861F66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right="0"/>
        <w:jc w:val="left"/>
        <w:rPr>
          <w:rFonts w:hint="eastAsia" w:ascii="仿宋" w:hAnsi="仿宋" w:eastAsia="仿宋" w:cs="仿宋"/>
          <w:b/>
          <w:bCs/>
          <w:i w:val="0"/>
          <w:iCs w:val="0"/>
          <w:caps w:val="0"/>
          <w:color w:val="13161E"/>
          <w:spacing w:val="0"/>
          <w:sz w:val="32"/>
          <w:szCs w:val="32"/>
        </w:rPr>
      </w:pPr>
      <w:r>
        <w:rPr>
          <w:rFonts w:hint="eastAsia" w:ascii="仿宋" w:hAnsi="仿宋" w:eastAsia="仿宋" w:cs="仿宋"/>
          <w:b/>
          <w:bCs/>
          <w:i w:val="0"/>
          <w:iCs w:val="0"/>
          <w:caps w:val="0"/>
          <w:color w:val="13161E"/>
          <w:spacing w:val="0"/>
          <w:kern w:val="0"/>
          <w:sz w:val="32"/>
          <w:szCs w:val="32"/>
          <w:shd w:val="clear" w:fill="FFFFFF"/>
          <w:lang w:val="en-US" w:eastAsia="zh-CN" w:bidi="ar"/>
        </w:rPr>
        <w:t>四、获取采购文件</w:t>
      </w:r>
    </w:p>
    <w:p w14:paraId="16A5044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方式：电子文本获取，人保运营河南分公司将比选文件发送至参选人邮箱，请参选人收到比选文件后通过邮件方式回复确认。</w:t>
      </w:r>
    </w:p>
    <w:p w14:paraId="1B4FE5E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right="0"/>
        <w:jc w:val="left"/>
        <w:rPr>
          <w:rFonts w:hint="eastAsia" w:ascii="仿宋" w:hAnsi="仿宋" w:eastAsia="仿宋" w:cs="仿宋"/>
          <w:b/>
          <w:bCs/>
          <w:i w:val="0"/>
          <w:iCs w:val="0"/>
          <w:caps w:val="0"/>
          <w:color w:val="13161E"/>
          <w:spacing w:val="0"/>
          <w:sz w:val="32"/>
          <w:szCs w:val="32"/>
        </w:rPr>
      </w:pPr>
      <w:r>
        <w:rPr>
          <w:rFonts w:hint="eastAsia" w:ascii="仿宋" w:hAnsi="仿宋" w:eastAsia="仿宋" w:cs="仿宋"/>
          <w:b/>
          <w:bCs/>
          <w:i w:val="0"/>
          <w:iCs w:val="0"/>
          <w:caps w:val="0"/>
          <w:color w:val="13161E"/>
          <w:spacing w:val="0"/>
          <w:kern w:val="0"/>
          <w:sz w:val="32"/>
          <w:szCs w:val="32"/>
          <w:shd w:val="clear" w:fill="FFFFFF"/>
          <w:lang w:val="en-US" w:eastAsia="zh-CN" w:bidi="ar"/>
        </w:rPr>
        <w:t>五、响应文件提交</w:t>
      </w:r>
    </w:p>
    <w:p w14:paraId="72E6F1A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截止时间：</w:t>
      </w:r>
      <w:r>
        <w:rPr>
          <w:rFonts w:hint="eastAsia" w:ascii="仿宋" w:hAnsi="仿宋" w:eastAsia="仿宋" w:cs="仿宋"/>
          <w:i w:val="0"/>
          <w:iCs w:val="0"/>
          <w:caps w:val="0"/>
          <w:color w:val="13161E"/>
          <w:spacing w:val="0"/>
          <w:kern w:val="0"/>
          <w:sz w:val="32"/>
          <w:szCs w:val="32"/>
          <w:u w:val="single"/>
          <w:shd w:val="clear" w:fill="FFFFFF"/>
          <w:lang w:val="en-US" w:eastAsia="zh-CN" w:bidi="ar"/>
        </w:rPr>
        <w:t>2026年07月07日10：00</w:t>
      </w:r>
    </w:p>
    <w:p w14:paraId="475FDBA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递交方式：将响应文件在截止时间前递交至河南省郑州市金水区花园路街道黄河路116号附26号211室，0371-65832520，超过规定时间以后送达的比选文件，将原封退给供应商。</w:t>
      </w:r>
    </w:p>
    <w:p w14:paraId="71DD916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right="0"/>
        <w:jc w:val="left"/>
        <w:rPr>
          <w:rFonts w:hint="eastAsia" w:ascii="仿宋" w:hAnsi="仿宋" w:eastAsia="仿宋" w:cs="仿宋"/>
          <w:b/>
          <w:bCs/>
          <w:i w:val="0"/>
          <w:iCs w:val="0"/>
          <w:caps w:val="0"/>
          <w:color w:val="13161E"/>
          <w:spacing w:val="0"/>
          <w:sz w:val="32"/>
          <w:szCs w:val="32"/>
        </w:rPr>
      </w:pPr>
      <w:r>
        <w:rPr>
          <w:rFonts w:hint="eastAsia" w:ascii="仿宋" w:hAnsi="仿宋" w:eastAsia="仿宋" w:cs="仿宋"/>
          <w:b/>
          <w:bCs/>
          <w:i w:val="0"/>
          <w:iCs w:val="0"/>
          <w:caps w:val="0"/>
          <w:color w:val="13161E"/>
          <w:spacing w:val="0"/>
          <w:kern w:val="0"/>
          <w:sz w:val="32"/>
          <w:szCs w:val="32"/>
          <w:shd w:val="clear" w:fill="FFFFFF"/>
          <w:lang w:val="en-US" w:eastAsia="zh-CN" w:bidi="ar"/>
        </w:rPr>
        <w:t>六、开启</w:t>
      </w:r>
    </w:p>
    <w:p w14:paraId="504299C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开启时间：</w:t>
      </w:r>
      <w:r>
        <w:rPr>
          <w:rFonts w:hint="eastAsia" w:ascii="仿宋" w:hAnsi="仿宋" w:eastAsia="仿宋" w:cs="仿宋"/>
          <w:i w:val="0"/>
          <w:iCs w:val="0"/>
          <w:caps w:val="0"/>
          <w:color w:val="13161E"/>
          <w:spacing w:val="0"/>
          <w:kern w:val="0"/>
          <w:sz w:val="32"/>
          <w:szCs w:val="32"/>
          <w:u w:val="single"/>
          <w:shd w:val="clear" w:fill="FFFFFF"/>
          <w:lang w:val="en-US" w:eastAsia="zh-CN" w:bidi="ar"/>
        </w:rPr>
        <w:t>2026年07月07日10：00</w:t>
      </w:r>
    </w:p>
    <w:p w14:paraId="3408F2A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开启方式：现场开启</w:t>
      </w:r>
    </w:p>
    <w:p w14:paraId="79B76D3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right="0"/>
        <w:jc w:val="left"/>
        <w:rPr>
          <w:rFonts w:hint="eastAsia" w:ascii="仿宋" w:hAnsi="仿宋" w:eastAsia="仿宋" w:cs="仿宋"/>
          <w:b/>
          <w:bCs/>
          <w:i w:val="0"/>
          <w:iCs w:val="0"/>
          <w:caps w:val="0"/>
          <w:color w:val="13161E"/>
          <w:spacing w:val="0"/>
          <w:sz w:val="32"/>
          <w:szCs w:val="32"/>
        </w:rPr>
      </w:pPr>
      <w:r>
        <w:rPr>
          <w:rFonts w:hint="eastAsia" w:ascii="仿宋" w:hAnsi="仿宋" w:eastAsia="仿宋" w:cs="仿宋"/>
          <w:b/>
          <w:bCs/>
          <w:i w:val="0"/>
          <w:iCs w:val="0"/>
          <w:caps w:val="0"/>
          <w:color w:val="13161E"/>
          <w:spacing w:val="0"/>
          <w:kern w:val="0"/>
          <w:sz w:val="32"/>
          <w:szCs w:val="32"/>
          <w:shd w:val="clear" w:fill="FFFFFF"/>
          <w:lang w:val="en-US" w:eastAsia="zh-CN" w:bidi="ar"/>
        </w:rPr>
        <w:t>七、公告期限</w:t>
      </w:r>
    </w:p>
    <w:p w14:paraId="3A13B64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自本公告自发布之日起3个工作日</w:t>
      </w:r>
    </w:p>
    <w:p w14:paraId="1412757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right="0"/>
        <w:jc w:val="left"/>
        <w:rPr>
          <w:rFonts w:hint="eastAsia" w:ascii="仿宋" w:hAnsi="仿宋" w:eastAsia="仿宋" w:cs="仿宋"/>
          <w:b/>
          <w:bCs/>
          <w:i w:val="0"/>
          <w:iCs w:val="0"/>
          <w:caps w:val="0"/>
          <w:color w:val="13161E"/>
          <w:spacing w:val="0"/>
          <w:sz w:val="32"/>
          <w:szCs w:val="32"/>
        </w:rPr>
      </w:pPr>
      <w:r>
        <w:rPr>
          <w:rFonts w:hint="eastAsia" w:ascii="仿宋" w:hAnsi="仿宋" w:eastAsia="仿宋" w:cs="仿宋"/>
          <w:b/>
          <w:bCs/>
          <w:i w:val="0"/>
          <w:iCs w:val="0"/>
          <w:caps w:val="0"/>
          <w:color w:val="13161E"/>
          <w:spacing w:val="0"/>
          <w:kern w:val="0"/>
          <w:sz w:val="32"/>
          <w:szCs w:val="32"/>
          <w:shd w:val="clear" w:fill="FFFFFF"/>
          <w:lang w:val="en-US" w:eastAsia="zh-CN" w:bidi="ar"/>
        </w:rPr>
        <w:t>八、其他补充事宜</w:t>
      </w:r>
    </w:p>
    <w:p w14:paraId="16F2A2E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本项目通过集团内部E采门户网站（https;//ec.picc.com）公开征集供应商。</w:t>
      </w:r>
    </w:p>
    <w:p w14:paraId="2536899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right="0"/>
        <w:jc w:val="left"/>
        <w:rPr>
          <w:rFonts w:hint="eastAsia" w:ascii="仿宋" w:hAnsi="仿宋" w:eastAsia="仿宋" w:cs="仿宋"/>
          <w:b/>
          <w:bCs/>
          <w:i w:val="0"/>
          <w:iCs w:val="0"/>
          <w:caps w:val="0"/>
          <w:color w:val="13161E"/>
          <w:spacing w:val="0"/>
          <w:sz w:val="32"/>
          <w:szCs w:val="32"/>
        </w:rPr>
      </w:pPr>
      <w:r>
        <w:rPr>
          <w:rFonts w:hint="eastAsia" w:ascii="仿宋" w:hAnsi="仿宋" w:eastAsia="仿宋" w:cs="仿宋"/>
          <w:b/>
          <w:bCs/>
          <w:i w:val="0"/>
          <w:iCs w:val="0"/>
          <w:caps w:val="0"/>
          <w:color w:val="13161E"/>
          <w:spacing w:val="0"/>
          <w:kern w:val="0"/>
          <w:sz w:val="32"/>
          <w:szCs w:val="32"/>
          <w:shd w:val="clear" w:fill="FFFFFF"/>
          <w:lang w:val="en-US" w:eastAsia="zh-CN" w:bidi="ar"/>
        </w:rPr>
        <w:t>九、对本次采购提出询问，请按以下方式联系</w:t>
      </w:r>
    </w:p>
    <w:p w14:paraId="1AF74A9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采购人信息</w:t>
      </w:r>
    </w:p>
    <w:p w14:paraId="5093B9E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名  称：人保投控（北京）运营管理有限公司河南分公司</w:t>
      </w:r>
    </w:p>
    <w:p w14:paraId="7AA06A5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地  址：河南省郑州市金水区花园路街道黄河路116号附26号211室</w:t>
      </w:r>
    </w:p>
    <w:p w14:paraId="6874B1F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lang w:val="en-US"/>
        </w:rPr>
      </w:pPr>
      <w:r>
        <w:rPr>
          <w:rFonts w:hint="eastAsia" w:ascii="仿宋" w:hAnsi="仿宋" w:eastAsia="仿宋" w:cs="仿宋"/>
          <w:i w:val="0"/>
          <w:iCs w:val="0"/>
          <w:caps w:val="0"/>
          <w:color w:val="13161E"/>
          <w:spacing w:val="0"/>
          <w:kern w:val="0"/>
          <w:sz w:val="32"/>
          <w:szCs w:val="32"/>
          <w:shd w:val="clear" w:fill="FFFFFF"/>
          <w:lang w:val="en-US" w:eastAsia="zh-CN" w:bidi="ar"/>
        </w:rPr>
        <w:t>项目联系人：李铮/申淼/钟琪</w:t>
      </w:r>
    </w:p>
    <w:p w14:paraId="285EA3F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default" w:ascii="仿宋" w:hAnsi="仿宋" w:eastAsia="仿宋" w:cs="仿宋"/>
          <w:i w:val="0"/>
          <w:iCs w:val="0"/>
          <w:caps w:val="0"/>
          <w:color w:val="13161E"/>
          <w:spacing w:val="0"/>
          <w:sz w:val="32"/>
          <w:szCs w:val="32"/>
          <w:lang w:val="en-US"/>
        </w:rPr>
      </w:pPr>
      <w:r>
        <w:rPr>
          <w:rFonts w:hint="eastAsia" w:ascii="仿宋" w:hAnsi="仿宋" w:eastAsia="仿宋" w:cs="仿宋"/>
          <w:i w:val="0"/>
          <w:iCs w:val="0"/>
          <w:caps w:val="0"/>
          <w:color w:val="13161E"/>
          <w:spacing w:val="0"/>
          <w:kern w:val="0"/>
          <w:sz w:val="32"/>
          <w:szCs w:val="32"/>
          <w:shd w:val="clear" w:fill="FFFFFF"/>
          <w:lang w:val="en-US" w:eastAsia="zh-CN" w:bidi="ar"/>
        </w:rPr>
        <w:t>联系方式：</w:t>
      </w:r>
      <w:r>
        <w:rPr>
          <w:rFonts w:hint="eastAsia" w:ascii="仿宋" w:hAnsi="仿宋" w:eastAsia="仿宋" w:cs="仿宋"/>
          <w:sz w:val="32"/>
          <w:szCs w:val="32"/>
          <w:lang w:val="en-US" w:eastAsia="zh-CN"/>
        </w:rPr>
        <w:t>0371-65832520</w:t>
      </w:r>
      <w:bookmarkStart w:id="5" w:name="_GoBack"/>
      <w:bookmarkEnd w:id="5"/>
    </w:p>
    <w:p w14:paraId="42781C97">
      <w:pPr>
        <w:pStyle w:val="9"/>
        <w:spacing w:line="360" w:lineRule="auto"/>
        <w:ind w:firstLine="0" w:firstLineChars="0"/>
        <w:contextualSpacing/>
        <w:rPr>
          <w:rFonts w:hint="eastAsia" w:ascii="仿宋" w:hAnsi="仿宋" w:eastAsia="仿宋" w:cs="仿宋"/>
          <w:i w:val="0"/>
          <w:iCs w:val="0"/>
          <w:caps w:val="0"/>
          <w:color w:val="13161E"/>
          <w:spacing w:val="0"/>
          <w:sz w:val="32"/>
          <w:szCs w:val="32"/>
          <w:shd w:val="clear" w:fill="FFFFFF"/>
          <w:lang w:eastAsia="zh-CN"/>
        </w:rPr>
      </w:pPr>
    </w:p>
    <w:p w14:paraId="713BC34D">
      <w:pPr>
        <w:pStyle w:val="9"/>
        <w:spacing w:line="360" w:lineRule="auto"/>
        <w:ind w:firstLine="0" w:firstLineChars="0"/>
        <w:contextualSpacing/>
        <w:rPr>
          <w:rFonts w:hint="eastAsia" w:ascii="仿宋" w:hAnsi="仿宋" w:eastAsia="仿宋" w:cs="仿宋"/>
          <w:sz w:val="32"/>
          <w:szCs w:val="32"/>
          <w:lang w:eastAsia="zh-CN"/>
        </w:rPr>
      </w:pPr>
      <w:r>
        <w:rPr>
          <w:rFonts w:hint="eastAsia" w:ascii="仿宋" w:hAnsi="仿宋" w:eastAsia="仿宋" w:cs="仿宋"/>
          <w:sz w:val="32"/>
          <w:szCs w:val="32"/>
          <w:lang w:eastAsia="zh-CN"/>
        </w:rPr>
        <w:t>、</w:t>
      </w:r>
    </w:p>
    <w:p w14:paraId="65BC3E46">
      <w:pPr>
        <w:pStyle w:val="9"/>
        <w:spacing w:line="360" w:lineRule="auto"/>
        <w:ind w:firstLine="7360" w:firstLineChars="2300"/>
        <w:contextualSpacing/>
        <w:rPr>
          <w:rFonts w:hint="eastAsia" w:ascii="仿宋" w:hAnsi="仿宋" w:eastAsia="仿宋" w:cs="仿宋"/>
          <w:sz w:val="32"/>
          <w:szCs w:val="32"/>
        </w:rPr>
      </w:pPr>
    </w:p>
    <w:p w14:paraId="75FC6394">
      <w:pPr>
        <w:pStyle w:val="9"/>
        <w:spacing w:line="360" w:lineRule="auto"/>
        <w:ind w:firstLine="7360" w:firstLineChars="2300"/>
        <w:contextualSpacing/>
        <w:rPr>
          <w:rFonts w:hint="eastAsia" w:ascii="仿宋" w:hAnsi="仿宋" w:eastAsia="仿宋" w:cs="仿宋"/>
          <w:sz w:val="32"/>
          <w:szCs w:val="32"/>
        </w:rPr>
      </w:pPr>
    </w:p>
    <w:p w14:paraId="76B6A48D">
      <w:pPr>
        <w:pStyle w:val="9"/>
        <w:spacing w:line="360" w:lineRule="auto"/>
        <w:ind w:firstLine="7360" w:firstLineChars="2300"/>
        <w:contextualSpacing/>
        <w:rPr>
          <w:rFonts w:hint="eastAsia" w:ascii="仿宋" w:hAnsi="仿宋" w:eastAsia="仿宋" w:cs="仿宋"/>
          <w:sz w:val="32"/>
          <w:szCs w:val="32"/>
          <w:lang w:eastAsia="zh-CN"/>
        </w:rPr>
      </w:pPr>
    </w:p>
    <w:p w14:paraId="6D87B6E4">
      <w:pPr>
        <w:pStyle w:val="9"/>
        <w:spacing w:line="360" w:lineRule="auto"/>
        <w:ind w:firstLine="1920" w:firstLineChars="600"/>
        <w:contextualSpacing/>
        <w:rPr>
          <w:rFonts w:hint="eastAsia" w:ascii="仿宋" w:hAnsi="仿宋" w:eastAsia="仿宋" w:cs="仿宋"/>
          <w:sz w:val="32"/>
          <w:szCs w:val="32"/>
          <w:lang w:eastAsia="zh-CN"/>
        </w:rPr>
      </w:pPr>
      <w:r>
        <w:rPr>
          <w:rFonts w:hint="eastAsia" w:ascii="仿宋" w:hAnsi="仿宋" w:eastAsia="仿宋" w:cs="仿宋"/>
          <w:sz w:val="32"/>
          <w:szCs w:val="32"/>
          <w:lang w:eastAsia="zh-CN"/>
        </w:rPr>
        <w:t>人保投控（北京）运营管理</w:t>
      </w:r>
      <w:r>
        <w:rPr>
          <w:rFonts w:hint="eastAsia" w:ascii="仿宋" w:hAnsi="仿宋" w:eastAsia="仿宋" w:cs="仿宋"/>
          <w:sz w:val="32"/>
          <w:szCs w:val="32"/>
          <w:lang w:val="en-US" w:eastAsia="zh-CN"/>
        </w:rPr>
        <w:t>有</w:t>
      </w:r>
      <w:r>
        <w:rPr>
          <w:rFonts w:hint="eastAsia" w:ascii="仿宋" w:hAnsi="仿宋" w:eastAsia="仿宋" w:cs="仿宋"/>
          <w:sz w:val="32"/>
          <w:szCs w:val="32"/>
          <w:lang w:eastAsia="zh-CN"/>
        </w:rPr>
        <w:t>限公司</w:t>
      </w:r>
    </w:p>
    <w:p w14:paraId="4D9D3021">
      <w:pPr>
        <w:pStyle w:val="9"/>
        <w:spacing w:line="360" w:lineRule="auto"/>
        <w:ind w:firstLine="5120" w:firstLineChars="1600"/>
        <w:contextualSpacing/>
        <w:rPr>
          <w:rFonts w:hint="eastAsia" w:ascii="仿宋" w:hAnsi="仿宋" w:eastAsia="仿宋" w:cs="仿宋"/>
          <w:sz w:val="32"/>
          <w:szCs w:val="32"/>
          <w:lang w:eastAsia="zh-CN"/>
        </w:rPr>
      </w:pPr>
      <w:r>
        <w:rPr>
          <w:rFonts w:hint="eastAsia" w:ascii="仿宋" w:hAnsi="仿宋" w:eastAsia="仿宋" w:cs="仿宋"/>
          <w:sz w:val="32"/>
          <w:szCs w:val="32"/>
          <w:lang w:eastAsia="zh-CN"/>
        </w:rPr>
        <w:t>河南分公司</w:t>
      </w:r>
    </w:p>
    <w:p w14:paraId="4DA770E6">
      <w:pPr>
        <w:pStyle w:val="9"/>
        <w:spacing w:line="360" w:lineRule="auto"/>
        <w:ind w:firstLine="4800" w:firstLineChars="1500"/>
        <w:contextualSpacing/>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202</w:t>
      </w:r>
      <w:r>
        <w:rPr>
          <w:rFonts w:hint="eastAsia" w:ascii="仿宋" w:hAnsi="仿宋" w:eastAsia="仿宋" w:cs="仿宋"/>
          <w:sz w:val="32"/>
          <w:szCs w:val="32"/>
          <w:highlight w:val="none"/>
          <w:lang w:val="en-US" w:eastAsia="zh-CN"/>
        </w:rPr>
        <w:t>6</w:t>
      </w:r>
      <w:r>
        <w:rPr>
          <w:rFonts w:hint="eastAsia" w:ascii="仿宋" w:hAnsi="仿宋" w:eastAsia="仿宋" w:cs="仿宋"/>
          <w:sz w:val="32"/>
          <w:szCs w:val="32"/>
          <w:highlight w:val="none"/>
        </w:rPr>
        <w:t>年</w:t>
      </w:r>
      <w:r>
        <w:rPr>
          <w:rFonts w:hint="eastAsia" w:ascii="仿宋" w:hAnsi="仿宋" w:eastAsia="仿宋" w:cs="仿宋"/>
          <w:sz w:val="32"/>
          <w:szCs w:val="32"/>
          <w:highlight w:val="none"/>
          <w:lang w:val="en-US" w:eastAsia="zh-CN"/>
        </w:rPr>
        <w:t>6</w:t>
      </w:r>
      <w:r>
        <w:rPr>
          <w:rFonts w:hint="eastAsia" w:ascii="仿宋" w:hAnsi="仿宋" w:eastAsia="仿宋" w:cs="仿宋"/>
          <w:sz w:val="32"/>
          <w:szCs w:val="32"/>
          <w:highlight w:val="none"/>
        </w:rPr>
        <w:t>月</w:t>
      </w:r>
      <w:r>
        <w:rPr>
          <w:rFonts w:hint="eastAsia" w:ascii="仿宋" w:hAnsi="仿宋" w:eastAsia="仿宋" w:cs="仿宋"/>
          <w:sz w:val="32"/>
          <w:szCs w:val="32"/>
          <w:highlight w:val="none"/>
          <w:lang w:val="en-US" w:eastAsia="zh-CN"/>
        </w:rPr>
        <w:t>23</w:t>
      </w:r>
      <w:r>
        <w:rPr>
          <w:rFonts w:hint="eastAsia" w:ascii="仿宋" w:hAnsi="仿宋" w:eastAsia="仿宋" w:cs="仿宋"/>
          <w:sz w:val="32"/>
          <w:szCs w:val="32"/>
          <w:highlight w:val="none"/>
        </w:rPr>
        <w:t>日</w:t>
      </w:r>
    </w:p>
    <w:p w14:paraId="3FFD3527">
      <w:pPr>
        <w:rPr>
          <w:rFonts w:hint="eastAsia" w:ascii="仿宋" w:hAnsi="仿宋" w:eastAsia="仿宋" w:cs="仿宋"/>
          <w:sz w:val="32"/>
          <w:szCs w:val="32"/>
          <w:highlight w:val="none"/>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695CBB"/>
    <w:rsid w:val="2A114549"/>
    <w:rsid w:val="4AC83C08"/>
    <w:rsid w:val="74B80D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2">
    <w:name w:val="heading 5"/>
    <w:basedOn w:val="1"/>
    <w:next w:val="1"/>
    <w:qFormat/>
    <w:uiPriority w:val="9"/>
    <w:pPr>
      <w:keepNext/>
      <w:keepLines/>
      <w:spacing w:before="280" w:after="290" w:line="376" w:lineRule="atLeast"/>
      <w:outlineLvl w:val="4"/>
    </w:pPr>
    <w:rPr>
      <w:b/>
      <w:bCs/>
      <w:sz w:val="28"/>
      <w:szCs w:val="28"/>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Plain Text"/>
    <w:basedOn w:val="1"/>
    <w:qFormat/>
    <w:uiPriority w:val="0"/>
    <w:pPr>
      <w:adjustRightInd/>
      <w:spacing w:line="240" w:lineRule="auto"/>
      <w:jc w:val="both"/>
      <w:textAlignment w:val="auto"/>
    </w:pPr>
    <w:rPr>
      <w:rFonts w:ascii="宋体" w:hAnsi="Courier New"/>
      <w:kern w:val="2"/>
      <w:sz w:val="21"/>
      <w:szCs w:val="21"/>
    </w:rPr>
  </w:style>
  <w:style w:type="character" w:styleId="6">
    <w:name w:val="Hyperlink"/>
    <w:qFormat/>
    <w:uiPriority w:val="99"/>
    <w:rPr>
      <w:color w:val="0000FF"/>
      <w:u w:val="single"/>
    </w:rPr>
  </w:style>
  <w:style w:type="paragraph" w:customStyle="1" w:styleId="7">
    <w:name w:val="1 Char Char Char Char"/>
    <w:basedOn w:val="1"/>
    <w:qFormat/>
    <w:uiPriority w:val="0"/>
    <w:pPr>
      <w:adjustRightInd/>
      <w:spacing w:line="240" w:lineRule="auto"/>
      <w:jc w:val="both"/>
      <w:textAlignment w:val="auto"/>
    </w:pPr>
    <w:rPr>
      <w:rFonts w:ascii="Tahoma" w:hAnsi="Tahoma"/>
      <w:kern w:val="2"/>
    </w:rPr>
  </w:style>
  <w:style w:type="paragraph" w:customStyle="1" w:styleId="8">
    <w:name w:val="！正文"/>
    <w:basedOn w:val="1"/>
    <w:qFormat/>
    <w:uiPriority w:val="0"/>
    <w:pPr>
      <w:adjustRightInd/>
      <w:spacing w:line="360" w:lineRule="auto"/>
      <w:ind w:firstLine="560" w:firstLineChars="200"/>
      <w:textAlignment w:val="auto"/>
    </w:pPr>
    <w:rPr>
      <w:rFonts w:eastAsia="仿宋_GB2312"/>
      <w:sz w:val="28"/>
      <w:szCs w:val="28"/>
    </w:rPr>
  </w:style>
  <w:style w:type="paragraph" w:styleId="9">
    <w:name w:val="List Paragraph"/>
    <w:basedOn w:val="1"/>
    <w:qFormat/>
    <w:uiPriority w:val="34"/>
    <w:pPr>
      <w:adjustRightInd/>
      <w:spacing w:line="240" w:lineRule="auto"/>
      <w:ind w:firstLine="420" w:firstLineChars="200"/>
      <w:jc w:val="both"/>
      <w:textAlignment w:val="auto"/>
    </w:pPr>
    <w:rPr>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50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2026-06-23T01:09:00Z</dcterms:created>
  <dc:creator>PICC</dc:creator>
  <cp:lastModifiedBy>李铮</cp:lastModifiedBy>
  <dcterms:modified xsi:type="dcterms:W3CDTF">2026-06-23T03:06:23Z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eyJoZGlkIjoiMGQ2ODgzZDJlOGZjODA3NWYyOTIxMDExNTI0MzNkOWYiLCJ1c2VySWQiOiIzNzY3NDAyNzIifQ==</vt:lpwstr>
  </property>
  <property fmtid="{D5CDD505-2E9C-101B-9397-08002B2CF9AE}" pid="4" name="ICV">
    <vt:lpwstr>08957E99FFBB4A72B36FA6E1A4E7CC0E_12</vt:lpwstr>
  </property>
</Properties>
</file>