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jc w:val="center"/>
        <w:rPr>
          <w:rFonts w:ascii="仿宋_GB2312" w:hAnsi="宋体" w:eastAsia="仿宋_GB2312"/>
          <w:b/>
          <w:sz w:val="36"/>
          <w:szCs w:val="36"/>
        </w:rPr>
      </w:pPr>
    </w:p>
    <w:p>
      <w:pPr>
        <w:jc w:val="center"/>
        <w:rPr>
          <w:rFonts w:hint="eastAsia" w:ascii="仿宋_GB2312" w:hAnsi="宋体" w:eastAsia="仿宋_GB2312"/>
          <w:b/>
          <w:color w:val="auto"/>
          <w:sz w:val="36"/>
          <w:szCs w:val="36"/>
          <w:highlight w:val="none"/>
        </w:rPr>
      </w:pPr>
      <w:r>
        <w:rPr>
          <w:rFonts w:hint="eastAsia" w:ascii="仿宋_GB2312" w:hAnsi="宋体" w:eastAsia="仿宋_GB2312"/>
          <w:b/>
          <w:color w:val="auto"/>
          <w:sz w:val="36"/>
          <w:szCs w:val="36"/>
          <w:highlight w:val="none"/>
        </w:rPr>
        <w:t>人保财险</w:t>
      </w:r>
      <w:r>
        <w:rPr>
          <w:rFonts w:hint="eastAsia" w:ascii="仿宋_GB2312" w:hAnsi="宋体" w:eastAsia="仿宋_GB2312"/>
          <w:b/>
          <w:color w:val="auto"/>
          <w:sz w:val="36"/>
          <w:szCs w:val="36"/>
          <w:highlight w:val="none"/>
          <w:lang w:val="en-US" w:eastAsia="zh-CN"/>
        </w:rPr>
        <w:t>四川省</w:t>
      </w:r>
      <w:r>
        <w:rPr>
          <w:rFonts w:hint="eastAsia" w:ascii="仿宋_GB2312" w:hAnsi="宋体" w:eastAsia="仿宋_GB2312"/>
          <w:b/>
          <w:color w:val="auto"/>
          <w:sz w:val="36"/>
          <w:szCs w:val="36"/>
          <w:highlight w:val="none"/>
        </w:rPr>
        <w:t>宜宾</w:t>
      </w:r>
      <w:r>
        <w:rPr>
          <w:rFonts w:hint="eastAsia" w:ascii="仿宋_GB2312" w:hAnsi="宋体" w:eastAsia="仿宋_GB2312"/>
          <w:b/>
          <w:color w:val="auto"/>
          <w:sz w:val="36"/>
          <w:szCs w:val="36"/>
          <w:highlight w:val="none"/>
          <w:lang w:val="en-US" w:eastAsia="zh-CN"/>
        </w:rPr>
        <w:t>市</w:t>
      </w:r>
      <w:r>
        <w:rPr>
          <w:rFonts w:hint="eastAsia" w:ascii="仿宋_GB2312" w:hAnsi="宋体" w:eastAsia="仿宋_GB2312"/>
          <w:b/>
          <w:color w:val="auto"/>
          <w:sz w:val="36"/>
          <w:szCs w:val="36"/>
          <w:highlight w:val="none"/>
        </w:rPr>
        <w:t>分公司</w:t>
      </w:r>
      <w:r>
        <w:rPr>
          <w:rFonts w:hint="eastAsia" w:ascii="仿宋_GB2312" w:hAnsi="宋体" w:eastAsia="仿宋_GB2312"/>
          <w:b/>
          <w:color w:val="auto"/>
          <w:sz w:val="36"/>
          <w:szCs w:val="36"/>
          <w:highlight w:val="none"/>
          <w:lang w:val="en-US" w:eastAsia="zh-CN"/>
        </w:rPr>
        <w:t>珙县</w:t>
      </w:r>
      <w:r>
        <w:rPr>
          <w:rFonts w:hint="eastAsia" w:ascii="仿宋_GB2312" w:hAnsi="宋体" w:eastAsia="仿宋_GB2312"/>
          <w:b/>
          <w:color w:val="auto"/>
          <w:sz w:val="36"/>
          <w:szCs w:val="36"/>
          <w:highlight w:val="none"/>
        </w:rPr>
        <w:t>支公司</w:t>
      </w:r>
    </w:p>
    <w:p>
      <w:pPr>
        <w:jc w:val="center"/>
        <w:rPr>
          <w:rFonts w:hint="default" w:ascii="仿宋_GB2312" w:eastAsia="仿宋_GB2312"/>
          <w:color w:val="auto"/>
          <w:sz w:val="72"/>
          <w:szCs w:val="72"/>
          <w:highlight w:val="none"/>
          <w:lang w:val="en-US" w:eastAsia="zh-CN"/>
        </w:rPr>
      </w:pPr>
      <w:r>
        <w:rPr>
          <w:rFonts w:hint="eastAsia" w:ascii="仿宋_GB2312" w:hAnsi="宋体" w:eastAsia="仿宋_GB2312"/>
          <w:b/>
          <w:color w:val="auto"/>
          <w:sz w:val="36"/>
          <w:szCs w:val="36"/>
          <w:highlight w:val="none"/>
          <w:lang w:val="en-US" w:eastAsia="zh-CN"/>
        </w:rPr>
        <w:t>广告宣传类供应商</w:t>
      </w:r>
      <w:r>
        <w:rPr>
          <w:rFonts w:hint="eastAsia" w:ascii="仿宋_GB2312" w:hAnsi="宋体" w:eastAsia="仿宋_GB2312"/>
          <w:b/>
          <w:color w:val="auto"/>
          <w:sz w:val="36"/>
          <w:szCs w:val="36"/>
          <w:highlight w:val="none"/>
        </w:rPr>
        <w:t>采购项目</w:t>
      </w:r>
      <w:r>
        <w:rPr>
          <w:rFonts w:hint="eastAsia" w:ascii="仿宋_GB2312" w:hAnsi="宋体" w:eastAsia="仿宋_GB2312"/>
          <w:b/>
          <w:color w:val="auto"/>
          <w:sz w:val="36"/>
          <w:szCs w:val="36"/>
          <w:highlight w:val="none"/>
          <w:lang w:eastAsia="zh-CN"/>
        </w:rPr>
        <w:t>（</w:t>
      </w:r>
      <w:r>
        <w:rPr>
          <w:rFonts w:hint="eastAsia" w:ascii="仿宋_GB2312" w:hAnsi="宋体" w:eastAsia="仿宋_GB2312"/>
          <w:b/>
          <w:color w:val="auto"/>
          <w:sz w:val="36"/>
          <w:szCs w:val="36"/>
          <w:highlight w:val="none"/>
          <w:lang w:val="en-US" w:eastAsia="zh-CN"/>
        </w:rPr>
        <w:t>第二次）</w:t>
      </w:r>
      <w:bookmarkStart w:id="197" w:name="_GoBack"/>
      <w:bookmarkEnd w:id="197"/>
    </w:p>
    <w:p>
      <w:pPr>
        <w:jc w:val="center"/>
        <w:rPr>
          <w:rFonts w:ascii="仿宋_GB2312" w:eastAsia="仿宋_GB2312"/>
          <w:color w:val="auto"/>
          <w:sz w:val="72"/>
          <w:szCs w:val="72"/>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比</w:t>
      </w:r>
    </w:p>
    <w:p>
      <w:pPr>
        <w:pStyle w:val="2"/>
        <w:rPr>
          <w:color w:val="auto"/>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选</w:t>
      </w:r>
    </w:p>
    <w:p>
      <w:pPr>
        <w:pStyle w:val="2"/>
        <w:rPr>
          <w:color w:val="auto"/>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文</w:t>
      </w:r>
    </w:p>
    <w:p>
      <w:pPr>
        <w:pStyle w:val="2"/>
        <w:rPr>
          <w:color w:val="auto"/>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件</w:t>
      </w:r>
    </w:p>
    <w:p>
      <w:pPr>
        <w:pStyle w:val="2"/>
        <w:rPr>
          <w:color w:val="auto"/>
          <w:highlight w:val="none"/>
        </w:rPr>
      </w:pPr>
    </w:p>
    <w:p>
      <w:pPr>
        <w:jc w:val="center"/>
        <w:rPr>
          <w:rFonts w:ascii="仿宋_GB2312" w:hAnsi="宋体" w:eastAsia="仿宋_GB2312"/>
          <w:color w:val="auto"/>
          <w:sz w:val="28"/>
          <w:szCs w:val="28"/>
          <w:highlight w:val="none"/>
        </w:rPr>
      </w:pPr>
    </w:p>
    <w:p>
      <w:pPr>
        <w:jc w:val="center"/>
        <w:rPr>
          <w:rFonts w:ascii="仿宋_GB2312" w:hAnsi="宋体" w:eastAsia="仿宋_GB2312"/>
          <w:color w:val="auto"/>
          <w:sz w:val="28"/>
          <w:szCs w:val="28"/>
          <w:highlight w:val="none"/>
        </w:rPr>
      </w:pPr>
    </w:p>
    <w:p>
      <w:pPr>
        <w:pStyle w:val="16"/>
        <w:ind w:left="113" w:leftChars="47"/>
        <w:jc w:val="center"/>
        <w:rPr>
          <w:rFonts w:ascii="仿宋_GB2312" w:hAnsi="宋体" w:eastAsia="仿宋_GB2312"/>
          <w:b/>
          <w:color w:val="auto"/>
          <w:sz w:val="28"/>
          <w:szCs w:val="28"/>
          <w:highlight w:val="none"/>
        </w:rPr>
      </w:pPr>
    </w:p>
    <w:p>
      <w:pPr>
        <w:pStyle w:val="16"/>
        <w:ind w:left="113" w:leftChars="47"/>
        <w:jc w:val="center"/>
        <w:rPr>
          <w:rFonts w:ascii="仿宋_GB2312" w:hAnsi="宋体" w:eastAsia="仿宋_GB2312"/>
          <w:b/>
          <w:color w:val="auto"/>
          <w:sz w:val="28"/>
          <w:szCs w:val="28"/>
          <w:highlight w:val="none"/>
        </w:rPr>
      </w:pPr>
    </w:p>
    <w:p>
      <w:pPr>
        <w:pStyle w:val="16"/>
        <w:ind w:left="113" w:leftChars="47"/>
        <w:jc w:val="center"/>
        <w:rPr>
          <w:rFonts w:ascii="仿宋_GB2312" w:hAnsi="宋体" w:eastAsia="仿宋_GB2312"/>
          <w:b/>
          <w:color w:val="auto"/>
          <w:sz w:val="28"/>
          <w:szCs w:val="28"/>
          <w:highlight w:val="none"/>
        </w:rPr>
      </w:pPr>
    </w:p>
    <w:p>
      <w:pPr>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16"/>
        <w:ind w:left="113" w:leftChars="47"/>
        <w:jc w:val="center"/>
        <w:rPr>
          <w:rFonts w:ascii="仿宋_GB2312" w:hAnsi="宋体" w:eastAsia="仿宋_GB2312"/>
          <w:b/>
          <w:color w:val="auto"/>
          <w:sz w:val="28"/>
          <w:szCs w:val="28"/>
          <w:highlight w:val="none"/>
        </w:rPr>
      </w:pPr>
      <w:r>
        <w:rPr>
          <w:rFonts w:hint="eastAsia" w:ascii="仿宋_GB2312" w:hAnsi="宋体" w:eastAsia="仿宋_GB2312"/>
          <w:b/>
          <w:color w:val="auto"/>
          <w:sz w:val="28"/>
          <w:szCs w:val="28"/>
          <w:highlight w:val="none"/>
          <w:lang w:val="en-US" w:eastAsia="zh-CN"/>
        </w:rPr>
        <w:t>2026</w:t>
      </w:r>
      <w:r>
        <w:rPr>
          <w:rFonts w:hint="eastAsia" w:ascii="仿宋_GB2312" w:hAnsi="宋体" w:eastAsia="仿宋_GB2312"/>
          <w:b/>
          <w:color w:val="auto"/>
          <w:sz w:val="28"/>
          <w:szCs w:val="28"/>
          <w:highlight w:val="none"/>
        </w:rPr>
        <w:t>年</w:t>
      </w:r>
      <w:r>
        <w:rPr>
          <w:rFonts w:hint="eastAsia" w:ascii="仿宋_GB2312" w:hAnsi="宋体" w:eastAsia="仿宋_GB2312"/>
          <w:b/>
          <w:color w:val="auto"/>
          <w:sz w:val="28"/>
          <w:szCs w:val="28"/>
          <w:highlight w:val="none"/>
          <w:lang w:val="en-US" w:eastAsia="zh-CN"/>
        </w:rPr>
        <w:t>6</w:t>
      </w:r>
      <w:r>
        <w:rPr>
          <w:rFonts w:hint="eastAsia" w:ascii="仿宋_GB2312" w:hAnsi="宋体" w:eastAsia="仿宋_GB2312"/>
          <w:b/>
          <w:color w:val="auto"/>
          <w:sz w:val="28"/>
          <w:szCs w:val="28"/>
          <w:highlight w:val="none"/>
        </w:rPr>
        <w:t>月</w:t>
      </w:r>
    </w:p>
    <w:p>
      <w:pPr>
        <w:spacing w:line="360" w:lineRule="auto"/>
        <w:jc w:val="center"/>
        <w:rPr>
          <w:rFonts w:ascii="仿宋_GB2312" w:hAnsi="宋体" w:eastAsia="仿宋_GB2312"/>
          <w:b/>
          <w:color w:val="auto"/>
          <w:sz w:val="36"/>
          <w:szCs w:val="28"/>
          <w:highlight w:val="none"/>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color w:val="auto"/>
          <w:sz w:val="36"/>
          <w:szCs w:val="28"/>
          <w:highlight w:val="none"/>
        </w:rPr>
      </w:pPr>
      <w:r>
        <w:rPr>
          <w:rFonts w:hint="eastAsia" w:ascii="仿宋_GB2312" w:hAnsi="宋体" w:eastAsia="仿宋_GB2312"/>
          <w:b/>
          <w:color w:val="auto"/>
          <w:sz w:val="36"/>
          <w:szCs w:val="28"/>
          <w:highlight w:val="none"/>
        </w:rPr>
        <w:t>目     录</w:t>
      </w:r>
    </w:p>
    <w:p>
      <w:pPr>
        <w:pStyle w:val="21"/>
        <w:tabs>
          <w:tab w:val="right" w:leader="dot" w:pos="9638"/>
        </w:tabs>
      </w:pPr>
      <w:r>
        <w:rPr>
          <w:rFonts w:hint="eastAsia" w:ascii="仿宋_GB2312" w:hAnsi="宋体" w:eastAsia="仿宋_GB2312"/>
          <w:b w:val="0"/>
          <w:bCs w:val="0"/>
          <w:color w:val="auto"/>
          <w:highlight w:val="none"/>
        </w:rPr>
        <w:fldChar w:fldCharType="begin"/>
      </w:r>
      <w:r>
        <w:rPr>
          <w:rFonts w:hint="eastAsia" w:ascii="仿宋_GB2312" w:hAnsi="宋体" w:eastAsia="仿宋_GB2312"/>
          <w:b w:val="0"/>
          <w:bCs w:val="0"/>
          <w:color w:val="auto"/>
          <w:highlight w:val="none"/>
        </w:rPr>
        <w:instrText xml:space="preserve">TOC \o "1-3" \h \u </w:instrText>
      </w:r>
      <w:r>
        <w:rPr>
          <w:rFonts w:hint="eastAsia" w:ascii="仿宋_GB2312" w:hAnsi="宋体" w:eastAsia="仿宋_GB2312"/>
          <w:b w:val="0"/>
          <w:bCs w:val="0"/>
          <w:color w:val="auto"/>
          <w:highlight w:val="none"/>
        </w:rPr>
        <w:fldChar w:fldCharType="separate"/>
      </w: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_Toc6931 </w:instrText>
      </w:r>
      <w:r>
        <w:rPr>
          <w:rFonts w:hint="eastAsia" w:ascii="仿宋_GB2312" w:hAnsi="宋体" w:eastAsia="仿宋_GB2312"/>
          <w:bCs w:val="0"/>
          <w:highlight w:val="none"/>
        </w:rPr>
        <w:fldChar w:fldCharType="separate"/>
      </w:r>
      <w:r>
        <w:rPr>
          <w:rFonts w:hint="eastAsia" w:ascii="仿宋_GB2312" w:hAnsi="宋体" w:eastAsia="仿宋_GB2312"/>
          <w:szCs w:val="28"/>
          <w:highlight w:val="none"/>
        </w:rPr>
        <w:t>第一章 比选邀请</w:t>
      </w:r>
      <w:r>
        <w:tab/>
      </w:r>
      <w:r>
        <w:fldChar w:fldCharType="begin"/>
      </w:r>
      <w:r>
        <w:instrText xml:space="preserve"> PAGEREF _Toc6931 \h </w:instrText>
      </w:r>
      <w:r>
        <w:fldChar w:fldCharType="separate"/>
      </w:r>
      <w:r>
        <w:t>1</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_Toc9363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一、项目概况与采购范围</w:t>
      </w:r>
      <w:r>
        <w:tab/>
      </w:r>
      <w:r>
        <w:fldChar w:fldCharType="begin"/>
      </w:r>
      <w:r>
        <w:instrText xml:space="preserve"> PAGEREF _Toc9363 \h </w:instrText>
      </w:r>
      <w:r>
        <w:fldChar w:fldCharType="separate"/>
      </w:r>
      <w:r>
        <w:t>1</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_Toc12613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二、供应商资格要求</w:t>
      </w:r>
      <w:r>
        <w:tab/>
      </w:r>
      <w:r>
        <w:fldChar w:fldCharType="begin"/>
      </w:r>
      <w:r>
        <w:instrText xml:space="preserve"> PAGEREF _Toc12613 \h </w:instrText>
      </w:r>
      <w:r>
        <w:fldChar w:fldCharType="separate"/>
      </w:r>
      <w:r>
        <w:t>1</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_Toc29772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三、比选文件的获取</w:t>
      </w:r>
      <w:r>
        <w:tab/>
      </w:r>
      <w:r>
        <w:fldChar w:fldCharType="begin"/>
      </w:r>
      <w:r>
        <w:instrText xml:space="preserve"> PAGEREF _Toc29772 \h </w:instrText>
      </w:r>
      <w:r>
        <w:fldChar w:fldCharType="separate"/>
      </w:r>
      <w:r>
        <w:t>2</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_Toc469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_Toc469 \h </w:instrText>
      </w:r>
      <w:r>
        <w:fldChar w:fldCharType="separate"/>
      </w:r>
      <w:r>
        <w:t>2</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_Toc24467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五、发布公告的媒介</w:t>
      </w:r>
      <w:r>
        <w:tab/>
      </w:r>
      <w:r>
        <w:fldChar w:fldCharType="begin"/>
      </w:r>
      <w:r>
        <w:instrText xml:space="preserve"> PAGEREF _Toc24467 \h </w:instrText>
      </w:r>
      <w:r>
        <w:fldChar w:fldCharType="separate"/>
      </w:r>
      <w:r>
        <w:t>2</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_Toc21692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六、联系方式</w:t>
      </w:r>
      <w:r>
        <w:tab/>
      </w:r>
      <w:r>
        <w:fldChar w:fldCharType="begin"/>
      </w:r>
      <w:r>
        <w:instrText xml:space="preserve"> PAGEREF _Toc21692 \h </w:instrText>
      </w:r>
      <w:r>
        <w:fldChar w:fldCharType="separate"/>
      </w:r>
      <w:r>
        <w:t>3</w:t>
      </w:r>
      <w:r>
        <w:fldChar w:fldCharType="end"/>
      </w:r>
      <w:r>
        <w:rPr>
          <w:rFonts w:hint="eastAsia" w:ascii="仿宋_GB2312" w:hAnsi="宋体" w:eastAsia="仿宋_GB2312"/>
          <w:bCs w:val="0"/>
          <w:color w:val="auto"/>
          <w:highlight w:val="none"/>
        </w:rPr>
        <w:fldChar w:fldCharType="end"/>
      </w:r>
    </w:p>
    <w:p>
      <w:pPr>
        <w:pStyle w:val="21"/>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_Toc9671 </w:instrText>
      </w:r>
      <w:r>
        <w:rPr>
          <w:rFonts w:hint="eastAsia" w:ascii="仿宋_GB2312" w:hAnsi="宋体" w:eastAsia="仿宋_GB2312"/>
          <w:bCs w:val="0"/>
          <w:highlight w:val="none"/>
        </w:rPr>
        <w:fldChar w:fldCharType="separate"/>
      </w:r>
      <w:r>
        <w:rPr>
          <w:rFonts w:hint="eastAsia" w:ascii="仿宋_GB2312" w:hAnsi="宋体" w:eastAsia="仿宋_GB2312"/>
          <w:szCs w:val="28"/>
          <w:highlight w:val="none"/>
        </w:rPr>
        <w:t>第二章 供应商须知</w:t>
      </w:r>
      <w:r>
        <w:tab/>
      </w:r>
      <w:r>
        <w:fldChar w:fldCharType="begin"/>
      </w:r>
      <w:r>
        <w:instrText xml:space="preserve"> PAGEREF _Toc9671 \h </w:instrText>
      </w:r>
      <w:r>
        <w:fldChar w:fldCharType="separate"/>
      </w:r>
      <w:r>
        <w:t>4</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_Toc19970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一、供应商须知前附表</w:t>
      </w:r>
      <w:r>
        <w:tab/>
      </w:r>
      <w:r>
        <w:fldChar w:fldCharType="begin"/>
      </w:r>
      <w:r>
        <w:instrText xml:space="preserve"> PAGEREF _Toc19970 \h </w:instrText>
      </w:r>
      <w:r>
        <w:fldChar w:fldCharType="separate"/>
      </w:r>
      <w:r>
        <w:t>4</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_Toc15468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二、供应商须知正文</w:t>
      </w:r>
      <w:r>
        <w:tab/>
      </w:r>
      <w:r>
        <w:fldChar w:fldCharType="begin"/>
      </w:r>
      <w:r>
        <w:instrText xml:space="preserve"> PAGEREF _Toc15468 \h </w:instrText>
      </w:r>
      <w:r>
        <w:fldChar w:fldCharType="separate"/>
      </w:r>
      <w:r>
        <w:t>7</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_Toc20560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（一）总 则</w:t>
      </w:r>
      <w:r>
        <w:tab/>
      </w:r>
      <w:r>
        <w:fldChar w:fldCharType="begin"/>
      </w:r>
      <w:r>
        <w:instrText xml:space="preserve"> PAGEREF _Toc20560 \h </w:instrText>
      </w:r>
      <w:r>
        <w:fldChar w:fldCharType="separate"/>
      </w:r>
      <w:r>
        <w:t>7</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_Toc31217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（二）比选文件</w:t>
      </w:r>
      <w:r>
        <w:tab/>
      </w:r>
      <w:r>
        <w:fldChar w:fldCharType="begin"/>
      </w:r>
      <w:r>
        <w:instrText xml:space="preserve"> PAGEREF _Toc31217 \h </w:instrText>
      </w:r>
      <w:r>
        <w:fldChar w:fldCharType="separate"/>
      </w:r>
      <w:r>
        <w:t>7</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_Toc1302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（三）响应文件</w:t>
      </w:r>
      <w:r>
        <w:tab/>
      </w:r>
      <w:r>
        <w:fldChar w:fldCharType="begin"/>
      </w:r>
      <w:r>
        <w:instrText xml:space="preserve"> PAGEREF _Toc1302 \h </w:instrText>
      </w:r>
      <w:r>
        <w:fldChar w:fldCharType="separate"/>
      </w:r>
      <w:r>
        <w:t>8</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_Toc25533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_Toc25533 \h </w:instrText>
      </w:r>
      <w:r>
        <w:fldChar w:fldCharType="separate"/>
      </w:r>
      <w:r>
        <w:t>9</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_Toc16116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（五）比选和评审</w:t>
      </w:r>
      <w:r>
        <w:tab/>
      </w:r>
      <w:r>
        <w:fldChar w:fldCharType="begin"/>
      </w:r>
      <w:r>
        <w:instrText xml:space="preserve"> PAGEREF _Toc16116 \h </w:instrText>
      </w:r>
      <w:r>
        <w:fldChar w:fldCharType="separate"/>
      </w:r>
      <w:r>
        <w:t>10</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_Toc8575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（六）授予合同</w:t>
      </w:r>
      <w:r>
        <w:tab/>
      </w:r>
      <w:r>
        <w:fldChar w:fldCharType="begin"/>
      </w:r>
      <w:r>
        <w:instrText xml:space="preserve"> PAGEREF _Toc8575 \h </w:instrText>
      </w:r>
      <w:r>
        <w:fldChar w:fldCharType="separate"/>
      </w:r>
      <w:r>
        <w:t>12</w:t>
      </w:r>
      <w:r>
        <w:fldChar w:fldCharType="end"/>
      </w:r>
      <w:r>
        <w:rPr>
          <w:rFonts w:hint="eastAsia" w:ascii="仿宋_GB2312" w:hAnsi="宋体" w:eastAsia="仿宋_GB2312"/>
          <w:bCs w:val="0"/>
          <w:color w:val="auto"/>
          <w:highlight w:val="none"/>
        </w:rPr>
        <w:fldChar w:fldCharType="end"/>
      </w:r>
    </w:p>
    <w:p>
      <w:pPr>
        <w:pStyle w:val="21"/>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_Toc20541 </w:instrText>
      </w:r>
      <w:r>
        <w:rPr>
          <w:rFonts w:hint="eastAsia" w:ascii="仿宋_GB2312" w:hAnsi="宋体" w:eastAsia="仿宋_GB2312"/>
          <w:bCs w:val="0"/>
          <w:highlight w:val="none"/>
        </w:rPr>
        <w:fldChar w:fldCharType="separate"/>
      </w:r>
      <w:r>
        <w:rPr>
          <w:rFonts w:hint="eastAsia" w:ascii="仿宋" w:hAnsi="仿宋" w:eastAsia="仿宋" w:cs="仿宋"/>
          <w:szCs w:val="28"/>
          <w:highlight w:val="none"/>
        </w:rPr>
        <w:t>第三章 评审办法</w:t>
      </w:r>
      <w:r>
        <w:tab/>
      </w:r>
      <w:r>
        <w:fldChar w:fldCharType="begin"/>
      </w:r>
      <w:r>
        <w:instrText xml:space="preserve"> PAGEREF _Toc20541 \h </w:instrText>
      </w:r>
      <w:r>
        <w:fldChar w:fldCharType="separate"/>
      </w:r>
      <w:r>
        <w:t>13</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_Toc26641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一、评审程序</w:t>
      </w:r>
      <w:r>
        <w:tab/>
      </w:r>
      <w:r>
        <w:fldChar w:fldCharType="begin"/>
      </w:r>
      <w:r>
        <w:instrText xml:space="preserve"> PAGEREF _Toc26641 \h </w:instrText>
      </w:r>
      <w:r>
        <w:fldChar w:fldCharType="separate"/>
      </w:r>
      <w:r>
        <w:t>13</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_Toc32470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二、初步评审</w:t>
      </w:r>
      <w:r>
        <w:tab/>
      </w:r>
      <w:r>
        <w:fldChar w:fldCharType="begin"/>
      </w:r>
      <w:r>
        <w:instrText xml:space="preserve"> PAGEREF _Toc32470 \h </w:instrText>
      </w:r>
      <w:r>
        <w:fldChar w:fldCharType="separate"/>
      </w:r>
      <w:r>
        <w:t>15</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_Toc118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三、详细评审</w:t>
      </w:r>
      <w:r>
        <w:tab/>
      </w:r>
      <w:r>
        <w:fldChar w:fldCharType="begin"/>
      </w:r>
      <w:r>
        <w:instrText xml:space="preserve"> PAGEREF _Toc118 \h </w:instrText>
      </w:r>
      <w:r>
        <w:fldChar w:fldCharType="separate"/>
      </w:r>
      <w:r>
        <w:t>16</w:t>
      </w:r>
      <w:r>
        <w:fldChar w:fldCharType="end"/>
      </w:r>
      <w:r>
        <w:rPr>
          <w:rFonts w:hint="eastAsia" w:ascii="仿宋_GB2312" w:hAnsi="宋体" w:eastAsia="仿宋_GB2312"/>
          <w:bCs w:val="0"/>
          <w:color w:val="auto"/>
          <w:highlight w:val="none"/>
        </w:rPr>
        <w:fldChar w:fldCharType="end"/>
      </w:r>
    </w:p>
    <w:p>
      <w:pPr>
        <w:pStyle w:val="21"/>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_Toc18361 </w:instrText>
      </w:r>
      <w:r>
        <w:rPr>
          <w:rFonts w:hint="eastAsia" w:ascii="仿宋_GB2312" w:hAnsi="宋体" w:eastAsia="仿宋_GB2312"/>
          <w:bCs w:val="0"/>
          <w:highlight w:val="none"/>
        </w:rPr>
        <w:fldChar w:fldCharType="separate"/>
      </w:r>
      <w:r>
        <w:rPr>
          <w:rFonts w:hint="eastAsia" w:ascii="仿宋" w:hAnsi="仿宋" w:eastAsia="仿宋" w:cs="仿宋"/>
          <w:szCs w:val="28"/>
          <w:highlight w:val="none"/>
        </w:rPr>
        <w:t>第四章 合同条款</w:t>
      </w:r>
      <w:r>
        <w:tab/>
      </w:r>
      <w:r>
        <w:fldChar w:fldCharType="begin"/>
      </w:r>
      <w:r>
        <w:instrText xml:space="preserve"> PAGEREF _Toc18361 \h </w:instrText>
      </w:r>
      <w:r>
        <w:fldChar w:fldCharType="separate"/>
      </w:r>
      <w:r>
        <w:t>18</w:t>
      </w:r>
      <w:r>
        <w:fldChar w:fldCharType="end"/>
      </w:r>
      <w:r>
        <w:rPr>
          <w:rFonts w:hint="eastAsia" w:ascii="仿宋_GB2312" w:hAnsi="宋体" w:eastAsia="仿宋_GB2312"/>
          <w:bCs w:val="0"/>
          <w:color w:val="auto"/>
          <w:highlight w:val="none"/>
        </w:rPr>
        <w:fldChar w:fldCharType="end"/>
      </w:r>
    </w:p>
    <w:p>
      <w:pPr>
        <w:pStyle w:val="21"/>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_Toc29621 </w:instrText>
      </w:r>
      <w:r>
        <w:rPr>
          <w:rFonts w:hint="eastAsia" w:ascii="仿宋_GB2312" w:hAnsi="宋体" w:eastAsia="仿宋_GB2312"/>
          <w:bCs w:val="0"/>
          <w:highlight w:val="none"/>
        </w:rPr>
        <w:fldChar w:fldCharType="separate"/>
      </w:r>
      <w:r>
        <w:rPr>
          <w:rFonts w:hint="eastAsia" w:ascii="仿宋" w:hAnsi="仿宋" w:eastAsia="仿宋" w:cs="仿宋"/>
          <w:szCs w:val="28"/>
          <w:highlight w:val="none"/>
        </w:rPr>
        <w:t>第五章 采购需求</w:t>
      </w:r>
      <w:r>
        <w:tab/>
      </w:r>
      <w:r>
        <w:fldChar w:fldCharType="begin"/>
      </w:r>
      <w:r>
        <w:instrText xml:space="preserve"> PAGEREF _Toc29621 \h </w:instrText>
      </w:r>
      <w:r>
        <w:fldChar w:fldCharType="separate"/>
      </w:r>
      <w:r>
        <w:t>33</w:t>
      </w:r>
      <w:r>
        <w:fldChar w:fldCharType="end"/>
      </w:r>
      <w:r>
        <w:rPr>
          <w:rFonts w:hint="eastAsia" w:ascii="仿宋_GB2312" w:hAnsi="宋体" w:eastAsia="仿宋_GB2312"/>
          <w:bCs w:val="0"/>
          <w:color w:val="auto"/>
          <w:highlight w:val="none"/>
        </w:rPr>
        <w:fldChar w:fldCharType="end"/>
      </w:r>
    </w:p>
    <w:p>
      <w:pPr>
        <w:pStyle w:val="21"/>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_Toc30693 </w:instrText>
      </w:r>
      <w:r>
        <w:rPr>
          <w:rFonts w:hint="eastAsia" w:ascii="仿宋_GB2312" w:hAnsi="宋体" w:eastAsia="仿宋_GB2312"/>
          <w:bCs w:val="0"/>
          <w:highlight w:val="none"/>
        </w:rPr>
        <w:fldChar w:fldCharType="separate"/>
      </w:r>
      <w:r>
        <w:rPr>
          <w:rFonts w:hint="eastAsia" w:ascii="仿宋" w:hAnsi="仿宋" w:eastAsia="仿宋" w:cs="仿宋"/>
          <w:szCs w:val="28"/>
          <w:highlight w:val="none"/>
        </w:rPr>
        <w:t>第六章 响应文件格式</w:t>
      </w:r>
      <w:r>
        <w:tab/>
      </w:r>
      <w:r>
        <w:fldChar w:fldCharType="begin"/>
      </w:r>
      <w:r>
        <w:instrText xml:space="preserve"> PAGEREF _Toc30693 \h </w:instrText>
      </w:r>
      <w:r>
        <w:fldChar w:fldCharType="separate"/>
      </w:r>
      <w:r>
        <w:t>36</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_Toc27295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一、商务文件</w:t>
      </w:r>
      <w:r>
        <w:tab/>
      </w:r>
      <w:r>
        <w:fldChar w:fldCharType="begin"/>
      </w:r>
      <w:r>
        <w:instrText xml:space="preserve"> PAGEREF _Toc27295 \h </w:instrText>
      </w:r>
      <w:r>
        <w:fldChar w:fldCharType="separate"/>
      </w:r>
      <w:r>
        <w:t>37</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_Toc3461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（一）响应函</w:t>
      </w:r>
      <w:r>
        <w:tab/>
      </w:r>
      <w:r>
        <w:fldChar w:fldCharType="begin"/>
      </w:r>
      <w:r>
        <w:instrText xml:space="preserve"> PAGEREF _Toc3461 \h </w:instrText>
      </w:r>
      <w:r>
        <w:fldChar w:fldCharType="separate"/>
      </w:r>
      <w:r>
        <w:t>39</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_Toc2247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（二）法定代表人（负责人）身份证明书</w:t>
      </w:r>
      <w:r>
        <w:tab/>
      </w:r>
      <w:r>
        <w:fldChar w:fldCharType="begin"/>
      </w:r>
      <w:r>
        <w:instrText xml:space="preserve"> PAGEREF _Toc2247 \h </w:instrText>
      </w:r>
      <w:r>
        <w:fldChar w:fldCharType="separate"/>
      </w:r>
      <w:r>
        <w:t>40</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_Toc11153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（三）法定代表人（负责人）授权委托书</w:t>
      </w:r>
      <w:r>
        <w:tab/>
      </w:r>
      <w:r>
        <w:fldChar w:fldCharType="begin"/>
      </w:r>
      <w:r>
        <w:instrText xml:space="preserve"> PAGEREF _Toc11153 \h </w:instrText>
      </w:r>
      <w:r>
        <w:fldChar w:fldCharType="separate"/>
      </w:r>
      <w:r>
        <w:t>41</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_Toc1076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（四）资格证明文件</w:t>
      </w:r>
      <w:r>
        <w:tab/>
      </w:r>
      <w:r>
        <w:fldChar w:fldCharType="begin"/>
      </w:r>
      <w:r>
        <w:instrText xml:space="preserve"> PAGEREF _Toc1076 \h </w:instrText>
      </w:r>
      <w:r>
        <w:fldChar w:fldCharType="separate"/>
      </w:r>
      <w:r>
        <w:t>42</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_Toc31544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（五）供应商须知应答偏离表</w:t>
      </w:r>
      <w:r>
        <w:tab/>
      </w:r>
      <w:r>
        <w:fldChar w:fldCharType="begin"/>
      </w:r>
      <w:r>
        <w:instrText xml:space="preserve"> PAGEREF _Toc31544 \h </w:instrText>
      </w:r>
      <w:r>
        <w:fldChar w:fldCharType="separate"/>
      </w:r>
      <w:r>
        <w:t>50</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_Toc1936 </w:instrText>
      </w:r>
      <w:r>
        <w:rPr>
          <w:rFonts w:hint="eastAsia" w:ascii="仿宋_GB2312" w:hAnsi="宋体" w:eastAsia="仿宋_GB2312"/>
          <w:bCs w:val="0"/>
          <w:highlight w:val="none"/>
        </w:rPr>
        <w:fldChar w:fldCharType="separate"/>
      </w:r>
      <w:r>
        <w:rPr>
          <w:rFonts w:hint="eastAsia" w:ascii="仿宋" w:hAnsi="仿宋" w:eastAsia="仿宋" w:cs="仿宋"/>
          <w:bCs/>
          <w:highlight w:val="none"/>
        </w:rPr>
        <w:t>（六）合同条款应答偏离表</w:t>
      </w:r>
      <w:r>
        <w:tab/>
      </w:r>
      <w:r>
        <w:fldChar w:fldCharType="begin"/>
      </w:r>
      <w:r>
        <w:instrText xml:space="preserve"> PAGEREF _Toc1936 \h </w:instrText>
      </w:r>
      <w:r>
        <w:fldChar w:fldCharType="separate"/>
      </w:r>
      <w:r>
        <w:t>51</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_Toc29137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（七）供应商行为准则承诺书</w:t>
      </w:r>
      <w:r>
        <w:tab/>
      </w:r>
      <w:r>
        <w:fldChar w:fldCharType="begin"/>
      </w:r>
      <w:r>
        <w:instrText xml:space="preserve"> PAGEREF _Toc29137 \h </w:instrText>
      </w:r>
      <w:r>
        <w:fldChar w:fldCharType="separate"/>
      </w:r>
      <w:r>
        <w:t>52</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_Toc6880 </w:instrText>
      </w:r>
      <w:r>
        <w:rPr>
          <w:rFonts w:hint="eastAsia" w:ascii="仿宋_GB2312" w:hAnsi="宋体" w:eastAsia="仿宋_GB2312"/>
          <w:bCs w:val="0"/>
          <w:highlight w:val="none"/>
        </w:rPr>
        <w:fldChar w:fldCharType="separate"/>
      </w:r>
      <w:r>
        <w:rPr>
          <w:rFonts w:hint="eastAsia" w:ascii="仿宋" w:hAnsi="仿宋" w:eastAsia="仿宋" w:cs="仿宋"/>
          <w:bCs w:val="0"/>
          <w:szCs w:val="24"/>
          <w:highlight w:val="none"/>
        </w:rPr>
        <w:t>（八）供应商廉洁诚信承诺书</w:t>
      </w:r>
      <w:r>
        <w:tab/>
      </w:r>
      <w:r>
        <w:fldChar w:fldCharType="begin"/>
      </w:r>
      <w:r>
        <w:instrText xml:space="preserve"> PAGEREF _Toc6880 \h </w:instrText>
      </w:r>
      <w:r>
        <w:fldChar w:fldCharType="separate"/>
      </w:r>
      <w:r>
        <w:t>54</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_Toc26411 </w:instrText>
      </w:r>
      <w:r>
        <w:rPr>
          <w:rFonts w:hint="eastAsia" w:ascii="仿宋_GB2312" w:hAnsi="宋体" w:eastAsia="仿宋_GB2312"/>
          <w:bCs w:val="0"/>
          <w:highlight w:val="none"/>
        </w:rPr>
        <w:fldChar w:fldCharType="separate"/>
      </w:r>
      <w:r>
        <w:rPr>
          <w:rFonts w:hint="eastAsia" w:ascii="仿宋" w:hAnsi="仿宋" w:eastAsia="仿宋" w:cs="仿宋"/>
          <w:highlight w:val="none"/>
          <w:lang w:val="en-US" w:eastAsia="zh-CN"/>
        </w:rPr>
        <w:t>（九</w:t>
      </w:r>
      <w:r>
        <w:rPr>
          <w:rFonts w:hint="eastAsia" w:ascii="仿宋" w:hAnsi="仿宋" w:eastAsia="仿宋" w:cs="仿宋"/>
          <w:highlight w:val="none"/>
        </w:rPr>
        <w:t>）其他材料</w:t>
      </w:r>
      <w:r>
        <w:tab/>
      </w:r>
      <w:r>
        <w:fldChar w:fldCharType="begin"/>
      </w:r>
      <w:r>
        <w:instrText xml:space="preserve"> PAGEREF _Toc26411 \h </w:instrText>
      </w:r>
      <w:r>
        <w:fldChar w:fldCharType="separate"/>
      </w:r>
      <w:r>
        <w:t>57</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_Toc28436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二、技术文件</w:t>
      </w:r>
      <w:r>
        <w:tab/>
      </w:r>
      <w:r>
        <w:fldChar w:fldCharType="begin"/>
      </w:r>
      <w:r>
        <w:instrText xml:space="preserve"> PAGEREF _Toc28436 \h </w:instrText>
      </w:r>
      <w:r>
        <w:fldChar w:fldCharType="separate"/>
      </w:r>
      <w:r>
        <w:t>58</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_Toc1899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（一）采购需求应答偏离表</w:t>
      </w:r>
      <w:r>
        <w:tab/>
      </w:r>
      <w:r>
        <w:fldChar w:fldCharType="begin"/>
      </w:r>
      <w:r>
        <w:instrText xml:space="preserve"> PAGEREF _Toc1899 \h </w:instrText>
      </w:r>
      <w:r>
        <w:fldChar w:fldCharType="separate"/>
      </w:r>
      <w:r>
        <w:t>59</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_Toc2791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（二）技术方案</w:t>
      </w:r>
      <w:r>
        <w:tab/>
      </w:r>
      <w:r>
        <w:fldChar w:fldCharType="begin"/>
      </w:r>
      <w:r>
        <w:instrText xml:space="preserve"> PAGEREF _Toc2791 \h </w:instrText>
      </w:r>
      <w:r>
        <w:fldChar w:fldCharType="separate"/>
      </w:r>
      <w:r>
        <w:t>60</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_Toc17630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（三）其他材料</w:t>
      </w:r>
      <w:r>
        <w:tab/>
      </w:r>
      <w:r>
        <w:fldChar w:fldCharType="begin"/>
      </w:r>
      <w:r>
        <w:instrText xml:space="preserve"> PAGEREF _Toc17630 \h </w:instrText>
      </w:r>
      <w:r>
        <w:fldChar w:fldCharType="separate"/>
      </w:r>
      <w:r>
        <w:t>63</w:t>
      </w:r>
      <w:r>
        <w:fldChar w:fldCharType="end"/>
      </w:r>
      <w:r>
        <w:rPr>
          <w:rFonts w:hint="eastAsia" w:ascii="仿宋_GB2312" w:hAnsi="宋体" w:eastAsia="仿宋_GB2312"/>
          <w:bCs w:val="0"/>
          <w:color w:val="auto"/>
          <w:highlight w:val="none"/>
        </w:rPr>
        <w:fldChar w:fldCharType="end"/>
      </w:r>
    </w:p>
    <w:p>
      <w:pPr>
        <w:pStyle w:val="21"/>
        <w:tabs>
          <w:tab w:val="right" w:leader="dot" w:pos="9638"/>
        </w:tabs>
      </w:pPr>
    </w:p>
    <w:p>
      <w:pPr>
        <w:pStyle w:val="3"/>
        <w:ind w:left="0" w:firstLine="0"/>
        <w:rPr>
          <w:rFonts w:ascii="仿宋_GB2312" w:hAnsi="宋体" w:eastAsia="仿宋_GB2312"/>
          <w:b w:val="0"/>
          <w:bCs w:val="0"/>
          <w:color w:val="auto"/>
          <w:highlight w:val="none"/>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Cs w:val="0"/>
          <w:color w:val="auto"/>
          <w:highlight w:val="none"/>
        </w:rPr>
        <w:fldChar w:fldCharType="end"/>
      </w:r>
    </w:p>
    <w:p>
      <w:pPr>
        <w:pStyle w:val="3"/>
        <w:ind w:left="0" w:firstLine="0"/>
        <w:rPr>
          <w:rFonts w:ascii="仿宋" w:hAnsi="仿宋" w:eastAsia="仿宋" w:cs="Cambria Math"/>
          <w:b w:val="0"/>
          <w:bCs w:val="0"/>
          <w:color w:val="auto"/>
          <w:kern w:val="0"/>
          <w:sz w:val="24"/>
          <w:szCs w:val="24"/>
          <w:highlight w:val="none"/>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auto"/>
          <w:sz w:val="28"/>
          <w:szCs w:val="28"/>
          <w:highlight w:val="none"/>
        </w:rPr>
      </w:pPr>
      <w:bookmarkStart w:id="0" w:name="_Toc6931"/>
      <w:bookmarkStart w:id="1" w:name="_Toc21360"/>
      <w:r>
        <w:rPr>
          <w:rFonts w:hint="eastAsia" w:ascii="仿宋_GB2312" w:hAnsi="宋体" w:eastAsia="仿宋_GB2312"/>
          <w:color w:val="auto"/>
          <w:sz w:val="28"/>
          <w:szCs w:val="28"/>
          <w:highlight w:val="none"/>
        </w:rPr>
        <w:t>第一章 比选邀请</w:t>
      </w:r>
      <w:bookmarkEnd w:id="0"/>
      <w:bookmarkEnd w:id="1"/>
    </w:p>
    <w:p>
      <w:pPr>
        <w:wordWrap w:val="0"/>
        <w:spacing w:line="360" w:lineRule="auto"/>
        <w:ind w:firstLine="480" w:firstLineChars="200"/>
        <w:textAlignment w:val="baseline"/>
        <w:rPr>
          <w:rFonts w:ascii="仿宋" w:hAnsi="仿宋" w:eastAsia="仿宋" w:cs="Cambria Math"/>
          <w:color w:val="auto"/>
          <w:highlight w:val="none"/>
        </w:rPr>
      </w:pPr>
      <w:r>
        <w:rPr>
          <w:rFonts w:hint="eastAsia" w:ascii="仿宋_GB2312" w:hAnsi="宋体" w:eastAsia="仿宋_GB2312"/>
          <w:color w:val="auto"/>
          <w:highlight w:val="none"/>
        </w:rPr>
        <w:t xml:space="preserve">   </w:t>
      </w:r>
      <w:r>
        <w:rPr>
          <w:rFonts w:hint="eastAsia" w:ascii="仿宋" w:hAnsi="仿宋" w:eastAsia="仿宋" w:cs="仿宋"/>
          <w:color w:val="auto"/>
          <w:highlight w:val="none"/>
        </w:rPr>
        <w:t>本项目</w:t>
      </w:r>
      <w:r>
        <w:rPr>
          <w:rFonts w:hint="eastAsia" w:ascii="仿宋" w:hAnsi="仿宋" w:eastAsia="仿宋" w:cs="仿宋"/>
          <w:color w:val="auto"/>
          <w:highlight w:val="none"/>
          <w:u w:val="single"/>
          <w:lang w:eastAsia="zh-CN"/>
        </w:rPr>
        <w:t>人保财险四川省宜宾市分公司珙县支公司广告宣传类供应商采购项目（第二次）</w:t>
      </w:r>
      <w:r>
        <w:rPr>
          <w:rFonts w:hint="eastAsia" w:ascii="仿宋" w:hAnsi="仿宋" w:eastAsia="仿宋" w:cs="仿宋"/>
          <w:color w:val="auto"/>
          <w:highlight w:val="none"/>
        </w:rPr>
        <w:t>（采购项目编号：XM26FSPC001836）由</w:t>
      </w:r>
      <w:r>
        <w:rPr>
          <w:rFonts w:hint="eastAsia" w:ascii="仿宋" w:hAnsi="仿宋" w:eastAsia="仿宋" w:cs="仿宋"/>
          <w:color w:val="auto"/>
          <w:highlight w:val="none"/>
          <w:u w:val="single"/>
        </w:rPr>
        <w:t>中国人民财产保险股份有限公司宜宾</w:t>
      </w:r>
      <w:r>
        <w:rPr>
          <w:rFonts w:hint="eastAsia" w:ascii="仿宋" w:hAnsi="仿宋" w:eastAsia="仿宋" w:cs="仿宋"/>
          <w:color w:val="auto"/>
          <w:highlight w:val="none"/>
          <w:u w:val="single"/>
          <w:lang w:eastAsia="zh-CN"/>
        </w:rPr>
        <w:t>市</w:t>
      </w:r>
      <w:r>
        <w:rPr>
          <w:rFonts w:hint="eastAsia" w:ascii="仿宋" w:hAnsi="仿宋" w:eastAsia="仿宋" w:cs="仿宋"/>
          <w:color w:val="auto"/>
          <w:highlight w:val="none"/>
          <w:u w:val="single"/>
        </w:rPr>
        <w:t>分公司</w:t>
      </w:r>
      <w:r>
        <w:rPr>
          <w:rFonts w:hint="eastAsia" w:ascii="仿宋" w:hAnsi="仿宋" w:eastAsia="仿宋" w:cs="仿宋"/>
          <w:color w:val="auto"/>
          <w:highlight w:val="none"/>
        </w:rPr>
        <w:t>（以下简称“采购人”）</w:t>
      </w:r>
      <w:r>
        <w:rPr>
          <w:rFonts w:hint="eastAsia" w:ascii="仿宋" w:hAnsi="仿宋" w:eastAsia="仿宋" w:cs="Cambria Math"/>
          <w:color w:val="auto"/>
          <w:highlight w:val="none"/>
        </w:rPr>
        <w:t>批准并落实资金，组织本项目的比选工作</w:t>
      </w:r>
      <w:r>
        <w:rPr>
          <w:rFonts w:hint="eastAsia" w:ascii="仿宋" w:hAnsi="仿宋" w:eastAsia="仿宋" w:cs="仿宋"/>
          <w:color w:val="auto"/>
          <w:highlight w:val="none"/>
        </w:rPr>
        <w:t>，采购合同由</w:t>
      </w:r>
      <w:r>
        <w:rPr>
          <w:rFonts w:hint="eastAsia" w:ascii="仿宋" w:hAnsi="仿宋" w:eastAsia="仿宋" w:cs="宋体"/>
          <w:color w:val="auto"/>
          <w:highlight w:val="none"/>
          <w:u w:val="single"/>
        </w:rPr>
        <w:t>中国人民财产保险股份有限公司宜宾市分公司</w:t>
      </w:r>
      <w:r>
        <w:rPr>
          <w:rFonts w:hint="eastAsia" w:ascii="仿宋" w:hAnsi="仿宋" w:eastAsia="仿宋" w:cs="宋体"/>
          <w:color w:val="auto"/>
          <w:highlight w:val="none"/>
        </w:rPr>
        <w:t>（以下简称“人保财险</w:t>
      </w:r>
      <w:r>
        <w:rPr>
          <w:rFonts w:hint="eastAsia" w:ascii="仿宋" w:hAnsi="仿宋" w:eastAsia="仿宋" w:cs="宋体"/>
          <w:color w:val="auto"/>
          <w:highlight w:val="none"/>
          <w:lang w:eastAsia="zh-CN"/>
        </w:rPr>
        <w:t>宜宾市</w:t>
      </w:r>
      <w:r>
        <w:rPr>
          <w:rFonts w:hint="eastAsia" w:ascii="仿宋" w:hAnsi="仿宋" w:eastAsia="仿宋" w:cs="宋体"/>
          <w:color w:val="auto"/>
          <w:highlight w:val="none"/>
        </w:rPr>
        <w:t>分公司”）</w:t>
      </w:r>
      <w:r>
        <w:rPr>
          <w:rFonts w:hint="eastAsia" w:ascii="仿宋" w:hAnsi="仿宋" w:eastAsia="仿宋" w:cs="仿宋"/>
          <w:color w:val="auto"/>
          <w:highlight w:val="none"/>
        </w:rPr>
        <w:t>根据成交结果与成交人签署。现通过比选方式实施，</w:t>
      </w:r>
      <w:r>
        <w:rPr>
          <w:rFonts w:hint="eastAsia" w:ascii="仿宋" w:hAnsi="仿宋" w:eastAsia="仿宋" w:cs="Cambria Math"/>
          <w:color w:val="auto"/>
          <w:highlight w:val="none"/>
        </w:rPr>
        <w:t xml:space="preserve">有意向且具有提供标的物能力的潜在供应商（以下简称“供应商”）可前来参与比选响应。 </w:t>
      </w:r>
    </w:p>
    <w:p>
      <w:pPr>
        <w:pStyle w:val="4"/>
        <w:jc w:val="left"/>
        <w:rPr>
          <w:rFonts w:ascii="仿宋" w:hAnsi="仿宋" w:eastAsia="仿宋" w:cs="仿宋"/>
          <w:color w:val="auto"/>
          <w:sz w:val="24"/>
          <w:szCs w:val="24"/>
          <w:highlight w:val="none"/>
        </w:rPr>
      </w:pPr>
      <w:bookmarkStart w:id="2" w:name="_Toc9363"/>
      <w:bookmarkStart w:id="3" w:name="_Toc21237"/>
      <w:r>
        <w:rPr>
          <w:rFonts w:hint="eastAsia" w:ascii="仿宋" w:hAnsi="仿宋" w:eastAsia="仿宋" w:cs="仿宋"/>
          <w:color w:val="auto"/>
          <w:sz w:val="24"/>
          <w:szCs w:val="24"/>
          <w:highlight w:val="none"/>
        </w:rPr>
        <w:t>一、项目概况与采购范围</w:t>
      </w:r>
      <w:bookmarkEnd w:id="2"/>
      <w:bookmarkEnd w:id="3"/>
    </w:p>
    <w:p>
      <w:pPr>
        <w:adjustRightInd w:val="0"/>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1.1 项目名称：</w:t>
      </w:r>
      <w:r>
        <w:rPr>
          <w:rFonts w:hint="eastAsia" w:ascii="仿宋" w:hAnsi="仿宋" w:eastAsia="仿宋" w:cs="仿宋"/>
          <w:color w:val="auto"/>
          <w:highlight w:val="none"/>
          <w:u w:val="single"/>
          <w:lang w:eastAsia="zh-CN"/>
        </w:rPr>
        <w:t>人保财险四川省宜宾市分公司珙县支公司广告宣传类供应商采购项目（第二次）</w:t>
      </w:r>
      <w:r>
        <w:rPr>
          <w:rFonts w:hint="eastAsia" w:ascii="仿宋" w:hAnsi="仿宋" w:eastAsia="仿宋" w:cs="仿宋"/>
          <w:color w:val="auto"/>
          <w:highlight w:val="none"/>
        </w:rPr>
        <w:t>。</w:t>
      </w:r>
    </w:p>
    <w:p>
      <w:pPr>
        <w:adjustRightInd w:val="0"/>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1.2 采购范围：本</w:t>
      </w:r>
      <w:r>
        <w:rPr>
          <w:rFonts w:hint="eastAsia" w:ascii="仿宋" w:hAnsi="仿宋" w:eastAsia="仿宋" w:cs="仿宋"/>
          <w:color w:val="auto"/>
          <w:highlight w:val="none"/>
          <w:lang w:val="en-US" w:eastAsia="zh-CN"/>
        </w:rPr>
        <w:t>项目</w:t>
      </w:r>
      <w:r>
        <w:rPr>
          <w:rFonts w:hint="eastAsia" w:ascii="仿宋" w:hAnsi="仿宋" w:eastAsia="仿宋" w:cs="仿宋"/>
          <w:color w:val="auto"/>
          <w:highlight w:val="none"/>
        </w:rPr>
        <w:t>采购</w:t>
      </w:r>
      <w:r>
        <w:rPr>
          <w:rFonts w:hint="eastAsia" w:ascii="仿宋" w:hAnsi="仿宋" w:eastAsia="仿宋" w:cs="仿宋"/>
          <w:color w:val="auto"/>
          <w:highlight w:val="none"/>
          <w:lang w:val="en-US" w:eastAsia="zh-CN"/>
        </w:rPr>
        <w:t>广告宣传</w:t>
      </w:r>
      <w:r>
        <w:rPr>
          <w:rFonts w:hint="eastAsia" w:ascii="仿宋" w:hAnsi="仿宋" w:eastAsia="仿宋" w:cs="仿宋"/>
          <w:color w:val="auto"/>
          <w:highlight w:val="none"/>
        </w:rPr>
        <w:t>类服务供应商入围，具体技术要求详见第五章采购需求。</w:t>
      </w:r>
    </w:p>
    <w:p>
      <w:pPr>
        <w:adjustRightInd w:val="0"/>
        <w:snapToGrid w:val="0"/>
        <w:spacing w:line="360" w:lineRule="auto"/>
        <w:ind w:firstLine="480" w:firstLineChars="200"/>
        <w:rPr>
          <w:rFonts w:hint="eastAsia" w:ascii="仿宋" w:hAnsi="仿宋" w:eastAsia="仿宋" w:cs="宋体"/>
          <w:color w:val="auto"/>
          <w:highlight w:val="none"/>
          <w:lang w:eastAsia="zh-CN"/>
        </w:rPr>
      </w:pPr>
      <w:r>
        <w:rPr>
          <w:rFonts w:hint="eastAsia" w:ascii="仿宋" w:hAnsi="仿宋" w:eastAsia="仿宋" w:cs="仿宋"/>
          <w:color w:val="auto"/>
          <w:highlight w:val="none"/>
        </w:rPr>
        <w:t>1.3 标包划分：</w:t>
      </w:r>
      <w:r>
        <w:rPr>
          <w:rFonts w:hint="eastAsia" w:ascii="仿宋" w:hAnsi="仿宋" w:eastAsia="仿宋" w:cs="宋体"/>
          <w:color w:val="auto"/>
          <w:highlight w:val="none"/>
        </w:rPr>
        <w:t>本项目不划分标包</w:t>
      </w:r>
      <w:r>
        <w:rPr>
          <w:rFonts w:hint="eastAsia" w:ascii="仿宋" w:hAnsi="仿宋" w:eastAsia="仿宋" w:cs="宋体"/>
          <w:color w:val="auto"/>
          <w:highlight w:val="none"/>
          <w:lang w:eastAsia="zh-CN"/>
        </w:rPr>
        <w:t>。</w:t>
      </w:r>
    </w:p>
    <w:p>
      <w:pPr>
        <w:adjustRightInd w:val="0"/>
        <w:snapToGrid w:val="0"/>
        <w:spacing w:line="360" w:lineRule="auto"/>
        <w:ind w:firstLine="480" w:firstLineChars="200"/>
        <w:rPr>
          <w:rFonts w:ascii="仿宋" w:hAnsi="仿宋" w:eastAsia="仿宋" w:cs="仿宋"/>
          <w:color w:val="auto"/>
          <w:highlight w:val="none"/>
        </w:rPr>
      </w:pPr>
      <w:r>
        <w:rPr>
          <w:rFonts w:ascii="仿宋" w:hAnsi="仿宋" w:eastAsia="仿宋" w:cs="仿宋"/>
          <w:color w:val="auto"/>
          <w:highlight w:val="none"/>
        </w:rPr>
        <w:t>1.4</w:t>
      </w:r>
      <w:r>
        <w:rPr>
          <w:rFonts w:ascii="仿宋" w:hAnsi="仿宋" w:cs="仿宋"/>
          <w:color w:val="auto"/>
          <w:highlight w:val="none"/>
        </w:rPr>
        <w:t xml:space="preserve"> </w:t>
      </w:r>
      <w:r>
        <w:rPr>
          <w:rFonts w:hint="eastAsia" w:ascii="仿宋" w:hAnsi="仿宋" w:eastAsia="仿宋" w:cs="仿宋"/>
          <w:color w:val="auto"/>
          <w:highlight w:val="none"/>
        </w:rPr>
        <w:t>项目性质：</w:t>
      </w:r>
      <w:r>
        <w:rPr>
          <w:rFonts w:hint="eastAsia" w:ascii="仿宋" w:hAnsi="仿宋" w:eastAsia="仿宋" w:cs="宋体"/>
          <w:color w:val="auto"/>
          <w:highlight w:val="none"/>
        </w:rPr>
        <w:t>服务</w:t>
      </w:r>
      <w:r>
        <w:rPr>
          <w:rFonts w:hint="eastAsia" w:ascii="仿宋" w:hAnsi="仿宋" w:eastAsia="仿宋" w:cs="仿宋"/>
          <w:color w:val="auto"/>
          <w:highlight w:val="none"/>
        </w:rPr>
        <w:t>。</w:t>
      </w:r>
    </w:p>
    <w:p>
      <w:pPr>
        <w:adjustRightInd w:val="0"/>
        <w:snapToGrid w:val="0"/>
        <w:spacing w:line="360" w:lineRule="auto"/>
        <w:ind w:firstLine="480" w:firstLineChars="200"/>
        <w:rPr>
          <w:rFonts w:hint="eastAsia" w:ascii="仿宋" w:hAnsi="仿宋" w:eastAsia="仿宋" w:cs="宋体"/>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5</w:t>
      </w:r>
      <w:r>
        <w:rPr>
          <w:rFonts w:hint="eastAsia" w:ascii="仿宋" w:hAnsi="仿宋" w:eastAsia="仿宋" w:cs="仿宋"/>
          <w:color w:val="auto"/>
          <w:highlight w:val="none"/>
        </w:rPr>
        <w:t>服务期限：</w:t>
      </w:r>
      <w:r>
        <w:rPr>
          <w:rFonts w:hint="eastAsia" w:ascii="仿宋" w:hAnsi="仿宋" w:eastAsia="仿宋" w:cs="宋体"/>
          <w:color w:val="auto"/>
          <w:highlight w:val="none"/>
        </w:rPr>
        <w:t>自合同签订之日起1年。</w:t>
      </w:r>
    </w:p>
    <w:p>
      <w:pPr>
        <w:adjustRightInd w:val="0"/>
        <w:snapToGrid w:val="0"/>
        <w:spacing w:line="360" w:lineRule="auto"/>
        <w:ind w:firstLine="480" w:firstLineChars="200"/>
        <w:rPr>
          <w:rFonts w:ascii="仿宋" w:hAnsi="仿宋" w:eastAsia="仿宋" w:cs="宋体"/>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6</w:t>
      </w:r>
      <w:r>
        <w:rPr>
          <w:rFonts w:hint="eastAsia" w:ascii="仿宋" w:hAnsi="仿宋" w:eastAsia="仿宋" w:cs="宋体"/>
          <w:color w:val="auto"/>
          <w:highlight w:val="none"/>
        </w:rPr>
        <w:t>服务地点：</w:t>
      </w:r>
      <w:r>
        <w:rPr>
          <w:rFonts w:hint="eastAsia" w:ascii="仿宋" w:hAnsi="仿宋" w:eastAsia="仿宋" w:cs="宋体"/>
          <w:color w:val="auto"/>
          <w:highlight w:val="none"/>
          <w:lang w:val="en-US" w:eastAsia="zh-CN"/>
        </w:rPr>
        <w:t>珙县</w:t>
      </w:r>
      <w:r>
        <w:rPr>
          <w:rFonts w:hint="eastAsia" w:ascii="仿宋" w:hAnsi="仿宋" w:eastAsia="仿宋" w:cs="宋体"/>
          <w:color w:val="auto"/>
          <w:highlight w:val="none"/>
        </w:rPr>
        <w:t>县域范围。</w:t>
      </w:r>
    </w:p>
    <w:p>
      <w:pPr>
        <w:pStyle w:val="2"/>
        <w:rPr>
          <w:color w:val="auto"/>
          <w:highlight w:val="none"/>
        </w:rPr>
      </w:pPr>
      <w:r>
        <w:rPr>
          <w:rFonts w:hint="eastAsia"/>
          <w:color w:val="auto"/>
          <w:highlight w:val="none"/>
        </w:rPr>
        <w:t xml:space="preserve"> </w:t>
      </w:r>
      <w:r>
        <w:rPr>
          <w:color w:val="auto"/>
          <w:highlight w:val="none"/>
        </w:rPr>
        <w:t xml:space="preserve">   </w:t>
      </w:r>
    </w:p>
    <w:p>
      <w:pPr>
        <w:pStyle w:val="4"/>
        <w:jc w:val="left"/>
        <w:rPr>
          <w:rFonts w:ascii="仿宋" w:hAnsi="仿宋" w:eastAsia="仿宋" w:cs="仿宋"/>
          <w:color w:val="auto"/>
          <w:sz w:val="24"/>
          <w:szCs w:val="24"/>
          <w:highlight w:val="none"/>
        </w:rPr>
      </w:pPr>
      <w:bookmarkStart w:id="4" w:name="_Toc17569"/>
      <w:bookmarkStart w:id="5" w:name="_Toc12613"/>
      <w:r>
        <w:rPr>
          <w:rFonts w:hint="eastAsia" w:ascii="仿宋" w:hAnsi="仿宋" w:eastAsia="仿宋" w:cs="仿宋"/>
          <w:color w:val="auto"/>
          <w:sz w:val="24"/>
          <w:szCs w:val="24"/>
          <w:highlight w:val="none"/>
        </w:rPr>
        <w:t>二、供应商资格要求</w:t>
      </w:r>
      <w:bookmarkEnd w:id="4"/>
      <w:bookmarkEnd w:id="5"/>
    </w:p>
    <w:p>
      <w:pPr>
        <w:spacing w:line="360" w:lineRule="auto"/>
        <w:ind w:firstLine="48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2.1</w:t>
      </w:r>
      <w:r>
        <w:rPr>
          <w:rFonts w:hint="eastAsia" w:ascii="仿宋" w:hAnsi="仿宋" w:eastAsia="仿宋" w:cs="宋体"/>
          <w:b/>
          <w:bCs/>
          <w:color w:val="auto"/>
          <w:highlight w:val="none"/>
        </w:rPr>
        <w:t>在中华人民共和国境内依法登记的法人或其他组织，具有独立承担民事责任的能力，</w:t>
      </w:r>
      <w:r>
        <w:rPr>
          <w:rFonts w:hint="eastAsia" w:ascii="仿宋" w:hAnsi="仿宋" w:eastAsia="仿宋" w:cs="宋体"/>
          <w:color w:val="auto"/>
          <w:highlight w:val="none"/>
        </w:rPr>
        <w:t>供应商如为企业法人，须提供企业法人营业执照</w:t>
      </w:r>
      <w:r>
        <w:rPr>
          <w:rFonts w:hint="eastAsia" w:ascii="仿宋" w:hAnsi="仿宋" w:eastAsia="仿宋" w:cs="Monaco"/>
          <w:color w:val="auto"/>
          <w:highlight w:val="none"/>
        </w:rPr>
        <w:t>（复印件）</w:t>
      </w:r>
      <w:r>
        <w:rPr>
          <w:rFonts w:hint="eastAsia" w:ascii="仿宋" w:hAnsi="仿宋" w:eastAsia="仿宋" w:cs="宋体"/>
          <w:color w:val="auto"/>
          <w:highlight w:val="none"/>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ascii="仿宋" w:hAnsi="仿宋" w:eastAsia="仿宋" w:cs="宋体"/>
          <w:color w:val="auto"/>
          <w:highlight w:val="none"/>
        </w:rPr>
      </w:pPr>
      <w:r>
        <w:rPr>
          <w:rFonts w:hint="eastAsia" w:ascii="仿宋" w:hAnsi="仿宋" w:eastAsia="仿宋" w:cs="宋体"/>
          <w:color w:val="auto"/>
          <w:highlight w:val="none"/>
        </w:rPr>
        <w:t>2.</w:t>
      </w:r>
      <w:r>
        <w:rPr>
          <w:rFonts w:hint="eastAsia" w:ascii="仿宋" w:hAnsi="仿宋" w:eastAsia="仿宋" w:cs="宋体"/>
          <w:color w:val="auto"/>
          <w:highlight w:val="none"/>
          <w:lang w:val="en-US" w:eastAsia="zh-CN"/>
        </w:rPr>
        <w:t>2</w:t>
      </w:r>
      <w:r>
        <w:rPr>
          <w:rFonts w:hint="eastAsia" w:ascii="仿宋" w:hAnsi="仿宋" w:eastAsia="仿宋" w:cs="宋体"/>
          <w:color w:val="auto"/>
          <w:highlight w:val="none"/>
        </w:rPr>
        <w:t xml:space="preserve"> </w:t>
      </w:r>
      <w:r>
        <w:rPr>
          <w:rFonts w:hint="eastAsia" w:ascii="仿宋" w:hAnsi="仿宋" w:eastAsia="仿宋" w:cs="宋体"/>
          <w:b/>
          <w:bCs/>
          <w:color w:val="auto"/>
          <w:highlight w:val="none"/>
        </w:rPr>
        <w:t>供应商应具有履行合同所必需的设备和专业技术能力</w:t>
      </w:r>
      <w:r>
        <w:rPr>
          <w:rFonts w:hint="eastAsia" w:ascii="仿宋" w:hAnsi="仿宋" w:eastAsia="仿宋" w:cs="宋体"/>
          <w:color w:val="auto"/>
          <w:highlight w:val="none"/>
        </w:rPr>
        <w:t>，需提供承诺函</w:t>
      </w:r>
    </w:p>
    <w:p>
      <w:pPr>
        <w:spacing w:line="360" w:lineRule="auto"/>
        <w:ind w:firstLine="48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2.</w:t>
      </w:r>
      <w:r>
        <w:rPr>
          <w:rFonts w:hint="eastAsia" w:ascii="仿宋" w:hAnsi="仿宋" w:eastAsia="仿宋" w:cs="宋体"/>
          <w:color w:val="auto"/>
          <w:highlight w:val="none"/>
          <w:lang w:val="en-US" w:eastAsia="zh-CN"/>
        </w:rPr>
        <w:t>3</w:t>
      </w:r>
      <w:r>
        <w:rPr>
          <w:rFonts w:hint="eastAsia" w:ascii="仿宋" w:hAnsi="仿宋" w:eastAsia="仿宋" w:cs="宋体"/>
          <w:b/>
          <w:bCs/>
          <w:color w:val="auto"/>
          <w:highlight w:val="none"/>
        </w:rPr>
        <w:t>供应商应经营状况良好，且近三年内（</w:t>
      </w:r>
      <w:r>
        <w:rPr>
          <w:rFonts w:hint="eastAsia" w:ascii="仿宋" w:hAnsi="仿宋" w:eastAsia="仿宋" w:cs="宋体"/>
          <w:b/>
          <w:bCs/>
          <w:color w:val="auto"/>
          <w:highlight w:val="none"/>
          <w:lang w:val="en-US" w:eastAsia="zh-CN"/>
        </w:rPr>
        <w:t>2023</w:t>
      </w:r>
      <w:r>
        <w:rPr>
          <w:rFonts w:hint="eastAsia" w:ascii="仿宋" w:hAnsi="仿宋" w:eastAsia="仿宋" w:cs="宋体"/>
          <w:b/>
          <w:bCs/>
          <w:color w:val="auto"/>
          <w:highlight w:val="none"/>
        </w:rPr>
        <w:t>年1月1日至今）无违法违规记录。</w:t>
      </w:r>
      <w:r>
        <w:rPr>
          <w:rFonts w:hint="eastAsia" w:ascii="仿宋" w:hAnsi="仿宋" w:eastAsia="仿宋" w:cs="宋体"/>
          <w:color w:val="auto"/>
          <w:highlight w:val="none"/>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auto"/>
          <w:highlight w:val="none"/>
          <w:u w:val="none"/>
        </w:rPr>
      </w:pPr>
      <w:r>
        <w:rPr>
          <w:rFonts w:hint="eastAsia" w:ascii="仿宋" w:hAnsi="仿宋" w:eastAsia="仿宋" w:cs="仿宋"/>
          <w:color w:val="auto"/>
          <w:highlight w:val="none"/>
        </w:rPr>
        <w:t>信用中国查询网址：</w:t>
      </w:r>
      <w:r>
        <w:rPr>
          <w:rFonts w:hint="eastAsia" w:ascii="仿宋" w:hAnsi="仿宋" w:eastAsia="仿宋" w:cs="仿宋"/>
          <w:color w:val="auto"/>
          <w:highlight w:val="none"/>
          <w:u w:val="none"/>
        </w:rPr>
        <w:t>https://www.creditchina.gov.cn/xinxigongshi/</w:t>
      </w:r>
    </w:p>
    <w:p>
      <w:pPr>
        <w:snapToGrid w:val="0"/>
        <w:spacing w:line="360" w:lineRule="auto"/>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政府采购严重违法失信行为记录名单查询网址：</w:t>
      </w:r>
    </w:p>
    <w:p>
      <w:pPr>
        <w:snapToGrid w:val="0"/>
        <w:spacing w:line="360" w:lineRule="auto"/>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auto"/>
          <w:highlight w:val="none"/>
        </w:rPr>
      </w:pPr>
      <w:r>
        <w:rPr>
          <w:rFonts w:hint="eastAsia" w:ascii="仿宋" w:hAnsi="仿宋" w:eastAsia="仿宋" w:cs="宋体"/>
          <w:color w:val="auto"/>
          <w:highlight w:val="none"/>
        </w:rPr>
        <w:t>2.</w:t>
      </w:r>
      <w:r>
        <w:rPr>
          <w:rFonts w:hint="eastAsia" w:ascii="仿宋" w:hAnsi="仿宋" w:eastAsia="仿宋" w:cs="宋体"/>
          <w:color w:val="auto"/>
          <w:highlight w:val="none"/>
          <w:lang w:val="en-US" w:eastAsia="zh-CN"/>
        </w:rPr>
        <w:t>4</w:t>
      </w:r>
      <w:r>
        <w:rPr>
          <w:rFonts w:hint="eastAsia" w:ascii="仿宋" w:hAnsi="仿宋" w:eastAsia="仿宋" w:cs="宋体"/>
          <w:color w:val="auto"/>
          <w:highlight w:val="none"/>
        </w:rPr>
        <w:t xml:space="preserve"> </w:t>
      </w:r>
      <w:r>
        <w:rPr>
          <w:rFonts w:hint="eastAsia" w:ascii="仿宋" w:hAnsi="仿宋" w:eastAsia="仿宋" w:cs="宋体"/>
          <w:b/>
          <w:bCs/>
          <w:color w:val="auto"/>
          <w:highlight w:val="none"/>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2.</w:t>
      </w:r>
      <w:r>
        <w:rPr>
          <w:rFonts w:hint="eastAsia" w:ascii="仿宋" w:hAnsi="仿宋" w:eastAsia="仿宋" w:cs="宋体"/>
          <w:color w:val="auto"/>
          <w:highlight w:val="none"/>
          <w:lang w:val="en-US" w:eastAsia="zh-CN"/>
        </w:rPr>
        <w:t>5</w:t>
      </w:r>
      <w:r>
        <w:rPr>
          <w:rFonts w:hint="eastAsia" w:ascii="仿宋" w:hAnsi="仿宋" w:eastAsia="仿宋" w:cs="宋体"/>
          <w:color w:val="auto"/>
          <w:highlight w:val="none"/>
        </w:rPr>
        <w:t>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2.</w:t>
      </w:r>
      <w:r>
        <w:rPr>
          <w:rFonts w:hint="eastAsia" w:ascii="仿宋" w:hAnsi="仿宋" w:eastAsia="仿宋" w:cs="宋体"/>
          <w:color w:val="auto"/>
          <w:highlight w:val="none"/>
          <w:lang w:val="en-US" w:eastAsia="zh-CN"/>
        </w:rPr>
        <w:t>6</w:t>
      </w:r>
      <w:r>
        <w:rPr>
          <w:rFonts w:hint="eastAsia" w:ascii="仿宋" w:hAnsi="仿宋" w:eastAsia="仿宋" w:cs="宋体"/>
          <w:color w:val="auto"/>
          <w:highlight w:val="none"/>
        </w:rPr>
        <w:t>本项目不接受联合体比选响应。提供承诺函，格式详见第六章响应文件格式。</w:t>
      </w:r>
    </w:p>
    <w:p>
      <w:pPr>
        <w:pStyle w:val="4"/>
        <w:spacing w:after="240"/>
        <w:jc w:val="left"/>
        <w:rPr>
          <w:rFonts w:ascii="仿宋" w:hAnsi="仿宋" w:eastAsia="仿宋" w:cs="仿宋"/>
          <w:color w:val="auto"/>
          <w:sz w:val="24"/>
          <w:szCs w:val="24"/>
          <w:highlight w:val="none"/>
        </w:rPr>
      </w:pPr>
      <w:bookmarkStart w:id="6" w:name="_Toc2019"/>
      <w:bookmarkStart w:id="7" w:name="_Toc29772"/>
      <w:r>
        <w:rPr>
          <w:rFonts w:hint="eastAsia" w:ascii="仿宋" w:hAnsi="仿宋" w:eastAsia="仿宋" w:cs="仿宋"/>
          <w:color w:val="auto"/>
          <w:sz w:val="24"/>
          <w:szCs w:val="24"/>
          <w:highlight w:val="none"/>
        </w:rPr>
        <w:t>三、比选文件的获取</w:t>
      </w:r>
      <w:bookmarkEnd w:id="6"/>
      <w:bookmarkEnd w:id="7"/>
    </w:p>
    <w:p>
      <w:pPr>
        <w:pStyle w:val="65"/>
        <w:adjustRightInd w:val="0"/>
        <w:snapToGrid w:val="0"/>
        <w:ind w:firstLineChars="175"/>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.1比选文件</w:t>
      </w:r>
      <w:r>
        <w:rPr>
          <w:rFonts w:hint="eastAsia" w:ascii="仿宋" w:hAnsi="仿宋" w:eastAsia="仿宋" w:cs="宋体"/>
          <w:color w:val="auto"/>
          <w:sz w:val="24"/>
          <w:szCs w:val="24"/>
          <w:highlight w:val="none"/>
        </w:rPr>
        <w:t>获取</w:t>
      </w:r>
      <w:r>
        <w:rPr>
          <w:rFonts w:hint="eastAsia" w:ascii="仿宋" w:hAnsi="仿宋" w:eastAsia="仿宋" w:cs="仿宋"/>
          <w:color w:val="auto"/>
          <w:sz w:val="24"/>
          <w:szCs w:val="24"/>
          <w:highlight w:val="none"/>
        </w:rPr>
        <w:t>时间：</w:t>
      </w:r>
      <w:r>
        <w:rPr>
          <w:rFonts w:hint="eastAsia" w:ascii="仿宋" w:hAnsi="仿宋" w:eastAsia="仿宋" w:cs="宋体"/>
          <w:b/>
          <w:color w:val="auto"/>
          <w:sz w:val="24"/>
          <w:szCs w:val="24"/>
          <w:highlight w:val="none"/>
          <w:u w:val="single"/>
        </w:rPr>
        <w:t>2026年6月</w:t>
      </w:r>
      <w:r>
        <w:rPr>
          <w:rFonts w:hint="eastAsia" w:ascii="仿宋" w:hAnsi="仿宋" w:eastAsia="仿宋" w:cs="宋体"/>
          <w:b/>
          <w:color w:val="auto"/>
          <w:sz w:val="24"/>
          <w:szCs w:val="24"/>
          <w:highlight w:val="none"/>
          <w:u w:val="single"/>
          <w:lang w:val="en-US" w:eastAsia="zh-CN"/>
        </w:rPr>
        <w:t>25</w:t>
      </w:r>
      <w:r>
        <w:rPr>
          <w:rFonts w:hint="eastAsia" w:ascii="仿宋" w:hAnsi="仿宋" w:eastAsia="仿宋" w:cs="宋体"/>
          <w:b/>
          <w:color w:val="auto"/>
          <w:sz w:val="24"/>
          <w:szCs w:val="24"/>
          <w:highlight w:val="none"/>
          <w:u w:val="single"/>
        </w:rPr>
        <w:t>日09:00截至2026年6月</w:t>
      </w:r>
      <w:r>
        <w:rPr>
          <w:rFonts w:hint="eastAsia" w:ascii="仿宋" w:hAnsi="仿宋" w:eastAsia="仿宋" w:cs="宋体"/>
          <w:b/>
          <w:color w:val="auto"/>
          <w:sz w:val="24"/>
          <w:szCs w:val="24"/>
          <w:highlight w:val="none"/>
          <w:u w:val="single"/>
          <w:lang w:val="en-US" w:eastAsia="zh-CN"/>
        </w:rPr>
        <w:t>29</w:t>
      </w:r>
      <w:r>
        <w:rPr>
          <w:rFonts w:hint="eastAsia" w:ascii="仿宋" w:hAnsi="仿宋" w:eastAsia="仿宋" w:cs="宋体"/>
          <w:b/>
          <w:color w:val="auto"/>
          <w:sz w:val="24"/>
          <w:szCs w:val="24"/>
          <w:highlight w:val="none"/>
          <w:u w:val="single"/>
        </w:rPr>
        <w:t>日17:00</w:t>
      </w:r>
      <w:r>
        <w:rPr>
          <w:rFonts w:hint="eastAsia" w:ascii="仿宋" w:hAnsi="仿宋" w:eastAsia="仿宋" w:cs="宋体"/>
          <w:color w:val="auto"/>
          <w:sz w:val="24"/>
          <w:szCs w:val="24"/>
          <w:highlight w:val="none"/>
        </w:rPr>
        <w:t>。</w:t>
      </w:r>
    </w:p>
    <w:p>
      <w:pPr>
        <w:pStyle w:val="11"/>
        <w:spacing w:line="360" w:lineRule="auto"/>
        <w:rPr>
          <w:rFonts w:ascii="仿宋" w:hAnsi="仿宋" w:eastAsia="仿宋" w:cs="仿宋_GB2312"/>
          <w:color w:val="auto"/>
          <w:sz w:val="24"/>
          <w:szCs w:val="24"/>
          <w:highlight w:val="none"/>
        </w:rPr>
      </w:pPr>
      <w:r>
        <w:rPr>
          <w:rFonts w:ascii="仿宋" w:hAnsi="仿宋" w:eastAsia="仿宋" w:cs="宋体"/>
          <w:color w:val="auto"/>
          <w:sz w:val="24"/>
          <w:highlight w:val="none"/>
        </w:rPr>
        <w:t>3</w:t>
      </w:r>
      <w:r>
        <w:rPr>
          <w:rFonts w:hint="eastAsia" w:ascii="仿宋" w:hAnsi="仿宋" w:eastAsia="仿宋" w:cs="宋体"/>
          <w:color w:val="auto"/>
          <w:sz w:val="24"/>
          <w:highlight w:val="none"/>
        </w:rPr>
        <w:t>.2拟报名参加本项目的供应商，请通过“人保e采”外网门户获取比选文件</w:t>
      </w:r>
      <w:r>
        <w:rPr>
          <w:rFonts w:hint="eastAsia" w:ascii="仿宋" w:hAnsi="仿宋" w:eastAsia="仿宋" w:cs="仿宋_GB2312"/>
          <w:color w:val="auto"/>
          <w:sz w:val="24"/>
          <w:szCs w:val="24"/>
          <w:highlight w:val="none"/>
        </w:rPr>
        <w:t>。</w:t>
      </w:r>
    </w:p>
    <w:p>
      <w:pPr>
        <w:pStyle w:val="4"/>
        <w:jc w:val="left"/>
        <w:rPr>
          <w:rFonts w:ascii="仿宋" w:hAnsi="仿宋" w:eastAsia="仿宋" w:cs="仿宋"/>
          <w:color w:val="auto"/>
          <w:sz w:val="24"/>
          <w:szCs w:val="24"/>
          <w:highlight w:val="none"/>
        </w:rPr>
      </w:pPr>
      <w:bookmarkStart w:id="8" w:name="_Toc32115"/>
      <w:bookmarkStart w:id="9" w:name="_Toc469"/>
      <w:r>
        <w:rPr>
          <w:rFonts w:hint="eastAsia" w:ascii="仿宋" w:hAnsi="仿宋" w:eastAsia="仿宋" w:cs="仿宋"/>
          <w:color w:val="auto"/>
          <w:sz w:val="24"/>
          <w:szCs w:val="24"/>
          <w:highlight w:val="none"/>
        </w:rPr>
        <w:t>四、响应文件的递交</w:t>
      </w:r>
      <w:bookmarkEnd w:id="8"/>
      <w:bookmarkEnd w:id="9"/>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highlight w:val="none"/>
        </w:rPr>
        <w:t>.1响应文件递交截止时间：</w:t>
      </w:r>
      <w:r>
        <w:rPr>
          <w:rFonts w:hint="eastAsia" w:ascii="仿宋" w:hAnsi="仿宋" w:eastAsia="仿宋" w:cs="宋体"/>
          <w:color w:val="auto"/>
          <w:highlight w:val="none"/>
          <w:u w:val="single"/>
        </w:rPr>
        <w:t>2026年</w:t>
      </w:r>
      <w:r>
        <w:rPr>
          <w:rFonts w:hint="eastAsia" w:ascii="仿宋" w:hAnsi="仿宋" w:eastAsia="仿宋" w:cs="宋体"/>
          <w:color w:val="auto"/>
          <w:highlight w:val="none"/>
          <w:u w:val="single"/>
          <w:lang w:val="en-US" w:eastAsia="zh-CN"/>
        </w:rPr>
        <w:t>7</w:t>
      </w:r>
      <w:r>
        <w:rPr>
          <w:rFonts w:hint="eastAsia" w:ascii="仿宋" w:hAnsi="仿宋" w:eastAsia="仿宋" w:cs="宋体"/>
          <w:color w:val="auto"/>
          <w:highlight w:val="none"/>
          <w:u w:val="single"/>
        </w:rPr>
        <w:t>月</w:t>
      </w:r>
      <w:r>
        <w:rPr>
          <w:rFonts w:hint="eastAsia" w:ascii="仿宋" w:hAnsi="仿宋" w:eastAsia="仿宋" w:cs="宋体"/>
          <w:color w:val="auto"/>
          <w:highlight w:val="none"/>
          <w:u w:val="single"/>
          <w:lang w:val="en-US" w:eastAsia="zh-CN"/>
        </w:rPr>
        <w:t>3</w:t>
      </w:r>
      <w:r>
        <w:rPr>
          <w:rFonts w:hint="eastAsia" w:ascii="仿宋" w:hAnsi="仿宋" w:eastAsia="仿宋" w:cs="宋体"/>
          <w:color w:val="auto"/>
          <w:highlight w:val="none"/>
          <w:u w:val="single"/>
        </w:rPr>
        <w:t>日</w:t>
      </w:r>
      <w:r>
        <w:rPr>
          <w:rFonts w:hint="eastAsia" w:ascii="仿宋" w:hAnsi="仿宋" w:eastAsia="仿宋" w:cs="宋体"/>
          <w:color w:val="auto"/>
          <w:highlight w:val="none"/>
          <w:u w:val="single"/>
          <w:lang w:val="en-US" w:eastAsia="zh-CN"/>
        </w:rPr>
        <w:t>9</w:t>
      </w:r>
      <w:r>
        <w:rPr>
          <w:rFonts w:hint="eastAsia" w:ascii="仿宋" w:hAnsi="仿宋" w:eastAsia="仿宋" w:cs="宋体"/>
          <w:color w:val="auto"/>
          <w:highlight w:val="none"/>
          <w:u w:val="single"/>
        </w:rPr>
        <w:t>时00分00秒。</w:t>
      </w:r>
      <w:r>
        <w:rPr>
          <w:rFonts w:hint="eastAsia" w:ascii="仿宋" w:hAnsi="仿宋" w:eastAsia="仿宋" w:cs="宋体"/>
          <w:color w:val="auto"/>
          <w:highlight w:val="none"/>
        </w:rPr>
        <w:t>。</w:t>
      </w:r>
    </w:p>
    <w:p>
      <w:pPr>
        <w:spacing w:line="360" w:lineRule="auto"/>
        <w:ind w:firstLine="480" w:firstLineChars="200"/>
        <w:textAlignment w:val="baseline"/>
        <w:rPr>
          <w:color w:val="auto"/>
          <w:highlight w:val="none"/>
        </w:rPr>
      </w:pPr>
      <w:r>
        <w:rPr>
          <w:rFonts w:ascii="仿宋" w:hAnsi="仿宋" w:eastAsia="仿宋" w:cs="宋体"/>
          <w:color w:val="auto"/>
          <w:highlight w:val="none"/>
        </w:rPr>
        <w:t>4</w:t>
      </w:r>
      <w:r>
        <w:rPr>
          <w:rFonts w:hint="eastAsia" w:ascii="仿宋" w:hAnsi="仿宋" w:eastAsia="仿宋" w:cs="宋体"/>
          <w:color w:val="auto"/>
          <w:highlight w:val="none"/>
        </w:rPr>
        <w:t>.2响应文件的递交：须现场递交（</w:t>
      </w:r>
      <w:r>
        <w:rPr>
          <w:rFonts w:hint="eastAsia" w:ascii="仿宋" w:hAnsi="仿宋" w:eastAsia="仿宋" w:cs="宋体"/>
          <w:color w:val="auto"/>
          <w:highlight w:val="none"/>
          <w:u w:val="single"/>
          <w:lang w:eastAsia="zh-CN"/>
        </w:rPr>
        <w:t>宜宾</w:t>
      </w:r>
      <w:r>
        <w:rPr>
          <w:rFonts w:hint="eastAsia" w:ascii="仿宋" w:hAnsi="仿宋" w:eastAsia="仿宋" w:cs="宋体"/>
          <w:color w:val="auto"/>
          <w:highlight w:val="none"/>
          <w:u w:val="single"/>
        </w:rPr>
        <w:t>市</w:t>
      </w:r>
      <w:r>
        <w:rPr>
          <w:rFonts w:hint="eastAsia" w:ascii="仿宋" w:hAnsi="仿宋" w:eastAsia="仿宋" w:cs="宋体"/>
          <w:color w:val="auto"/>
          <w:highlight w:val="none"/>
          <w:u w:val="single"/>
          <w:lang w:eastAsia="zh-CN"/>
        </w:rPr>
        <w:t>叙州</w:t>
      </w:r>
      <w:r>
        <w:rPr>
          <w:rFonts w:hint="eastAsia" w:ascii="仿宋" w:hAnsi="仿宋" w:eastAsia="仿宋" w:cs="宋体"/>
          <w:color w:val="auto"/>
          <w:highlight w:val="none"/>
          <w:u w:val="single"/>
        </w:rPr>
        <w:t>区</w:t>
      </w:r>
      <w:r>
        <w:rPr>
          <w:rFonts w:hint="eastAsia" w:ascii="仿宋" w:hAnsi="仿宋" w:eastAsia="仿宋" w:cs="宋体"/>
          <w:color w:val="auto"/>
          <w:highlight w:val="none"/>
          <w:u w:val="single"/>
          <w:lang w:eastAsia="zh-CN"/>
        </w:rPr>
        <w:t>长江大道中段</w:t>
      </w:r>
      <w:r>
        <w:rPr>
          <w:rFonts w:hint="eastAsia" w:ascii="仿宋" w:hAnsi="仿宋" w:eastAsia="仿宋" w:cs="宋体"/>
          <w:color w:val="auto"/>
          <w:highlight w:val="none"/>
          <w:u w:val="single"/>
          <w:lang w:val="en-US" w:eastAsia="zh-CN"/>
        </w:rPr>
        <w:t>11号</w:t>
      </w:r>
      <w:r>
        <w:rPr>
          <w:rFonts w:hint="eastAsia" w:ascii="仿宋" w:hAnsi="仿宋" w:eastAsia="仿宋" w:cs="宋体"/>
          <w:color w:val="auto"/>
          <w:highlight w:val="none"/>
          <w:u w:val="single"/>
          <w:lang w:eastAsia="zh-CN"/>
        </w:rPr>
        <w:t>中国人民保险</w:t>
      </w:r>
      <w:r>
        <w:rPr>
          <w:rFonts w:hint="eastAsia" w:ascii="仿宋" w:hAnsi="仿宋" w:eastAsia="仿宋" w:cs="宋体"/>
          <w:color w:val="auto"/>
          <w:highlight w:val="none"/>
          <w:u w:val="single"/>
        </w:rPr>
        <w:t>会议室）</w:t>
      </w:r>
      <w:r>
        <w:rPr>
          <w:rFonts w:hint="eastAsia" w:ascii="仿宋" w:hAnsi="仿宋" w:eastAsia="仿宋" w:cs="宋体"/>
          <w:color w:val="auto"/>
          <w:highlight w:val="none"/>
        </w:rPr>
        <w:t>，</w:t>
      </w:r>
      <w:r>
        <w:rPr>
          <w:rFonts w:hint="eastAsia" w:ascii="仿宋" w:hAnsi="仿宋" w:eastAsia="仿宋" w:cs="宋体"/>
          <w:b/>
          <w:bCs/>
          <w:color w:val="auto"/>
          <w:highlight w:val="none"/>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.3本项目将于上述同一时间、地点进行比选，采购人邀请供应商代表准时参加。</w:t>
      </w:r>
    </w:p>
    <w:p>
      <w:pPr>
        <w:spacing w:line="360" w:lineRule="auto"/>
        <w:ind w:firstLine="480" w:firstLineChars="200"/>
        <w:textAlignment w:val="baseline"/>
        <w:rPr>
          <w:rFonts w:ascii="仿宋" w:hAnsi="仿宋" w:eastAsia="仿宋" w:cs="宋体"/>
          <w:b/>
          <w:bCs/>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w:t>
      </w:r>
      <w:r>
        <w:rPr>
          <w:rFonts w:hint="eastAsia" w:ascii="仿宋" w:hAnsi="仿宋" w:eastAsia="仿宋" w:cs="宋体"/>
          <w:b/>
          <w:bCs/>
          <w:color w:val="auto"/>
          <w:kern w:val="2"/>
          <w:highlight w:val="none"/>
        </w:rPr>
        <w:t>出现以下情形之一时，采购人不予接收投标文件：</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.4.1  逾期送达或者未送达指定地点的；</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.4.2  未按照响应文件要求密封的；</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.4.3  未按照比选邀请要求获取比选文件的。</w:t>
      </w:r>
    </w:p>
    <w:p>
      <w:pPr>
        <w:pStyle w:val="4"/>
        <w:jc w:val="left"/>
        <w:rPr>
          <w:rFonts w:ascii="仿宋" w:hAnsi="仿宋" w:eastAsia="仿宋" w:cs="仿宋"/>
          <w:color w:val="auto"/>
          <w:sz w:val="24"/>
          <w:szCs w:val="24"/>
          <w:highlight w:val="none"/>
        </w:rPr>
      </w:pPr>
      <w:bookmarkStart w:id="10" w:name="_Toc24467"/>
      <w:bookmarkStart w:id="11" w:name="_Toc874"/>
      <w:r>
        <w:rPr>
          <w:rFonts w:hint="eastAsia" w:ascii="仿宋" w:hAnsi="仿宋" w:eastAsia="仿宋" w:cs="仿宋"/>
          <w:color w:val="auto"/>
          <w:sz w:val="24"/>
          <w:szCs w:val="24"/>
          <w:highlight w:val="none"/>
        </w:rPr>
        <w:t>五、发布公告的媒介</w:t>
      </w:r>
      <w:bookmarkEnd w:id="10"/>
      <w:bookmarkEnd w:id="11"/>
    </w:p>
    <w:p>
      <w:pPr>
        <w:spacing w:line="360" w:lineRule="auto"/>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本项目比选公告同时在</w:t>
      </w:r>
      <w:r>
        <w:rPr>
          <w:rFonts w:hint="eastAsia" w:ascii="仿宋" w:hAnsi="仿宋" w:eastAsia="仿宋" w:cs="宋体"/>
          <w:color w:val="auto"/>
          <w:highlight w:val="none"/>
          <w:u w:val="single"/>
        </w:rPr>
        <w:t>“人保e采”外网门户（https://ec.picc.com/）</w:t>
      </w:r>
      <w:r>
        <w:rPr>
          <w:rFonts w:hint="eastAsia" w:ascii="仿宋" w:hAnsi="仿宋" w:eastAsia="仿宋" w:cs="仿宋"/>
          <w:color w:val="auto"/>
          <w:highlight w:val="none"/>
        </w:rPr>
        <w:t>上发布，</w:t>
      </w:r>
      <w:r>
        <w:rPr>
          <w:rFonts w:hint="eastAsia" w:ascii="仿宋" w:hAnsi="仿宋" w:eastAsia="仿宋" w:cs="宋体"/>
          <w:color w:val="auto"/>
          <w:highlight w:val="none"/>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highlight w:val="none"/>
        </w:rPr>
        <w:t>。对于非法转载、篡改采购公告信息的组织或个人，采购人保留追究其法律责任的权利。</w:t>
      </w:r>
    </w:p>
    <w:p>
      <w:pPr>
        <w:pStyle w:val="4"/>
        <w:jc w:val="left"/>
        <w:rPr>
          <w:rFonts w:ascii="仿宋" w:hAnsi="仿宋" w:eastAsia="仿宋" w:cs="仿宋"/>
          <w:color w:val="auto"/>
          <w:sz w:val="24"/>
          <w:szCs w:val="24"/>
          <w:highlight w:val="none"/>
        </w:rPr>
      </w:pPr>
      <w:bookmarkStart w:id="12" w:name="_Toc30596"/>
      <w:bookmarkStart w:id="13" w:name="_Toc21692"/>
      <w:r>
        <w:rPr>
          <w:rFonts w:hint="eastAsia" w:ascii="仿宋" w:hAnsi="仿宋" w:eastAsia="仿宋" w:cs="仿宋"/>
          <w:color w:val="auto"/>
          <w:sz w:val="24"/>
          <w:szCs w:val="24"/>
          <w:highlight w:val="none"/>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highlight w:val="none"/>
        </w:rPr>
      </w:pPr>
      <w:r>
        <w:rPr>
          <w:rFonts w:hint="eastAsia" w:ascii="仿宋" w:hAnsi="仿宋" w:eastAsia="仿宋" w:cs="仿宋"/>
          <w:b/>
          <w:bCs/>
          <w:color w:val="auto"/>
          <w:highlight w:val="none"/>
        </w:rPr>
        <w:t>采购人：中国人民财产保险股份有限公司</w:t>
      </w:r>
      <w:r>
        <w:rPr>
          <w:rFonts w:hint="eastAsia" w:ascii="仿宋" w:hAnsi="仿宋" w:eastAsia="仿宋" w:cs="仿宋"/>
          <w:b/>
          <w:bCs/>
          <w:color w:val="auto"/>
          <w:highlight w:val="none"/>
          <w:lang w:eastAsia="zh-CN"/>
        </w:rPr>
        <w:t>宜宾市</w:t>
      </w:r>
      <w:r>
        <w:rPr>
          <w:rFonts w:hint="eastAsia" w:ascii="仿宋" w:hAnsi="仿宋" w:eastAsia="仿宋" w:cs="仿宋"/>
          <w:b/>
          <w:bCs/>
          <w:color w:val="auto"/>
          <w:highlight w:val="none"/>
        </w:rPr>
        <w:t>分公司</w:t>
      </w:r>
    </w:p>
    <w:p>
      <w:pPr>
        <w:spacing w:line="360" w:lineRule="auto"/>
        <w:ind w:firstLine="420" w:firstLineChars="175"/>
        <w:rPr>
          <w:rFonts w:hint="default" w:ascii="仿宋" w:hAnsi="仿宋" w:eastAsia="仿宋" w:cs="宋体"/>
          <w:color w:val="auto"/>
          <w:highlight w:val="none"/>
          <w:lang w:val="en-US" w:eastAsia="zh-CN"/>
        </w:rPr>
      </w:pPr>
      <w:r>
        <w:rPr>
          <w:rFonts w:hint="eastAsia" w:ascii="仿宋" w:hAnsi="仿宋" w:eastAsia="仿宋" w:cs="宋体"/>
          <w:color w:val="auto"/>
          <w:highlight w:val="none"/>
        </w:rPr>
        <w:t>地址：</w:t>
      </w:r>
      <w:r>
        <w:rPr>
          <w:rFonts w:hint="eastAsia" w:ascii="仿宋" w:hAnsi="仿宋" w:eastAsia="仿宋" w:cs="宋体"/>
          <w:color w:val="auto"/>
          <w:highlight w:val="none"/>
          <w:lang w:val="en-US" w:eastAsia="zh-CN"/>
        </w:rPr>
        <w:t>宜宾市南岸长江大道中段11号</w:t>
      </w:r>
    </w:p>
    <w:p>
      <w:pPr>
        <w:spacing w:line="360" w:lineRule="auto"/>
        <w:ind w:firstLine="420" w:firstLineChars="175"/>
        <w:rPr>
          <w:rFonts w:hint="eastAsia" w:ascii="仿宋" w:hAnsi="仿宋" w:eastAsia="仿宋" w:cs="仿宋"/>
          <w:color w:val="auto"/>
          <w:highlight w:val="none"/>
          <w:lang w:eastAsia="zh-CN"/>
        </w:rPr>
      </w:pPr>
      <w:r>
        <w:rPr>
          <w:rFonts w:hint="eastAsia" w:ascii="仿宋" w:hAnsi="仿宋" w:eastAsia="仿宋" w:cs="宋体"/>
          <w:color w:val="auto"/>
          <w:highlight w:val="none"/>
        </w:rPr>
        <w:t>联系人：</w:t>
      </w:r>
      <w:r>
        <w:rPr>
          <w:rFonts w:hint="eastAsia" w:ascii="仿宋" w:hAnsi="仿宋" w:eastAsia="仿宋" w:cs="宋体"/>
          <w:color w:val="auto"/>
          <w:highlight w:val="none"/>
          <w:lang w:val="en-US" w:eastAsia="zh-CN"/>
        </w:rPr>
        <w:t>王丹</w:t>
      </w:r>
    </w:p>
    <w:p>
      <w:pPr>
        <w:spacing w:line="360" w:lineRule="auto"/>
        <w:ind w:firstLine="420" w:firstLineChars="175"/>
        <w:rPr>
          <w:rFonts w:hint="default" w:ascii="仿宋" w:hAnsi="仿宋" w:eastAsia="仿宋" w:cs="宋体"/>
          <w:color w:val="auto"/>
          <w:highlight w:val="none"/>
          <w:lang w:val="en-US" w:eastAsia="zh-CN"/>
        </w:rPr>
      </w:pPr>
      <w:r>
        <w:rPr>
          <w:rFonts w:hint="eastAsia" w:ascii="仿宋" w:hAnsi="仿宋" w:eastAsia="仿宋" w:cs="宋体"/>
          <w:color w:val="auto"/>
          <w:highlight w:val="none"/>
        </w:rPr>
        <w:t>电话：</w:t>
      </w:r>
      <w:r>
        <w:rPr>
          <w:rFonts w:hint="eastAsia" w:ascii="仿宋" w:hAnsi="仿宋" w:eastAsia="仿宋" w:cs="宋体"/>
          <w:color w:val="auto"/>
          <w:highlight w:val="none"/>
          <w:lang w:val="en-US" w:eastAsia="zh-CN"/>
        </w:rPr>
        <w:t>0831-</w:t>
      </w:r>
      <w:r>
        <w:rPr>
          <w:rFonts w:hint="eastAsia" w:ascii="仿宋" w:hAnsi="仿宋" w:eastAsia="仿宋" w:cs="宋体"/>
          <w:color w:val="auto"/>
          <w:highlight w:val="none"/>
        </w:rPr>
        <w:t>2336402</w:t>
      </w:r>
    </w:p>
    <w:p>
      <w:pPr>
        <w:spacing w:line="360" w:lineRule="auto"/>
        <w:ind w:firstLine="420" w:firstLineChars="175"/>
        <w:rPr>
          <w:rFonts w:hint="eastAsia" w:ascii="仿宋" w:hAnsi="仿宋" w:eastAsia="仿宋" w:cs="宋体"/>
          <w:color w:val="auto"/>
          <w:highlight w:val="none"/>
        </w:rPr>
      </w:pPr>
      <w:r>
        <w:rPr>
          <w:rFonts w:hint="eastAsia" w:ascii="仿宋" w:hAnsi="仿宋" w:eastAsia="仿宋" w:cs="宋体"/>
          <w:color w:val="auto"/>
          <w:highlight w:val="none"/>
        </w:rPr>
        <w:t>电子邮件：wangdan118@sic.picc.com.cn</w:t>
      </w:r>
    </w:p>
    <w:p>
      <w:pPr>
        <w:spacing w:line="360" w:lineRule="auto"/>
        <w:ind w:firstLine="480" w:firstLineChars="200"/>
        <w:jc w:val="right"/>
        <w:textAlignment w:val="baseline"/>
        <w:rPr>
          <w:rFonts w:ascii="仿宋" w:hAnsi="仿宋" w:eastAsia="仿宋" w:cs="宋体"/>
          <w:color w:val="auto"/>
          <w:highlight w:val="none"/>
        </w:rPr>
      </w:pPr>
    </w:p>
    <w:p>
      <w:pPr>
        <w:spacing w:line="360" w:lineRule="auto"/>
        <w:ind w:firstLine="480" w:firstLineChars="200"/>
        <w:jc w:val="right"/>
        <w:textAlignment w:val="baseline"/>
        <w:rPr>
          <w:rFonts w:ascii="仿宋" w:hAnsi="仿宋" w:eastAsia="仿宋" w:cs="宋体"/>
          <w:color w:val="auto"/>
          <w:highlight w:val="none"/>
        </w:rPr>
      </w:pPr>
      <w:r>
        <w:rPr>
          <w:rFonts w:hint="eastAsia" w:ascii="仿宋" w:hAnsi="仿宋" w:eastAsia="仿宋" w:cs="宋体"/>
          <w:color w:val="auto"/>
          <w:highlight w:val="none"/>
        </w:rPr>
        <w:t>采购人：中国人民财产保险股份有限公司宜宾市分公司</w:t>
      </w:r>
    </w:p>
    <w:p>
      <w:pPr>
        <w:spacing w:line="360" w:lineRule="auto"/>
        <w:jc w:val="right"/>
        <w:rPr>
          <w:rFonts w:ascii="楷体" w:hAnsi="楷体" w:eastAsia="楷体" w:cs="仿宋_GB2312"/>
          <w:i/>
          <w:color w:val="auto"/>
          <w:szCs w:val="32"/>
          <w:highlight w:val="none"/>
        </w:rPr>
      </w:pPr>
      <w:r>
        <w:rPr>
          <w:rFonts w:hint="eastAsia" w:ascii="仿宋" w:hAnsi="仿宋" w:eastAsia="仿宋" w:cs="宋体"/>
          <w:color w:val="auto"/>
          <w:highlight w:val="none"/>
        </w:rPr>
        <w:t>202</w:t>
      </w:r>
      <w:r>
        <w:rPr>
          <w:rFonts w:hint="eastAsia" w:ascii="仿宋" w:hAnsi="仿宋" w:eastAsia="仿宋" w:cs="宋体"/>
          <w:color w:val="auto"/>
          <w:highlight w:val="none"/>
          <w:lang w:val="en-US" w:eastAsia="zh-CN"/>
        </w:rPr>
        <w:t>6</w:t>
      </w:r>
      <w:r>
        <w:rPr>
          <w:rFonts w:hint="eastAsia" w:ascii="仿宋" w:hAnsi="仿宋" w:eastAsia="仿宋" w:cs="宋体"/>
          <w:color w:val="auto"/>
          <w:highlight w:val="none"/>
        </w:rPr>
        <w:t>年</w:t>
      </w:r>
      <w:r>
        <w:rPr>
          <w:rFonts w:hint="eastAsia" w:ascii="仿宋" w:hAnsi="仿宋" w:eastAsia="仿宋" w:cs="宋体"/>
          <w:color w:val="auto"/>
          <w:highlight w:val="none"/>
          <w:lang w:val="en-US" w:eastAsia="zh-CN"/>
        </w:rPr>
        <w:t>6</w:t>
      </w:r>
      <w:r>
        <w:rPr>
          <w:rFonts w:hint="eastAsia" w:ascii="仿宋" w:hAnsi="仿宋" w:eastAsia="仿宋" w:cs="宋体"/>
          <w:color w:val="auto"/>
          <w:highlight w:val="none"/>
        </w:rPr>
        <w:t>月</w:t>
      </w:r>
      <w:r>
        <w:rPr>
          <w:rFonts w:hint="eastAsia" w:ascii="仿宋" w:hAnsi="仿宋" w:eastAsia="仿宋" w:cs="宋体"/>
          <w:color w:val="auto"/>
          <w:highlight w:val="none"/>
          <w:lang w:val="en-US" w:eastAsia="zh-CN"/>
        </w:rPr>
        <w:t>24</w:t>
      </w:r>
      <w:r>
        <w:rPr>
          <w:rFonts w:hint="eastAsia" w:ascii="仿宋" w:hAnsi="仿宋" w:eastAsia="仿宋" w:cs="宋体"/>
          <w:color w:val="auto"/>
          <w:highlight w:val="none"/>
        </w:rPr>
        <w:t>日</w:t>
      </w:r>
    </w:p>
    <w:p>
      <w:pPr>
        <w:pStyle w:val="3"/>
        <w:ind w:left="0" w:firstLine="0"/>
        <w:rPr>
          <w:rFonts w:ascii="仿宋_GB2312" w:hAnsi="宋体" w:eastAsia="仿宋_GB2312"/>
          <w:color w:val="auto"/>
          <w:sz w:val="28"/>
          <w:szCs w:val="28"/>
          <w:highlight w:val="none"/>
        </w:rPr>
      </w:pPr>
      <w:r>
        <w:rPr>
          <w:rFonts w:hint="eastAsia" w:ascii="仿宋_GB2312" w:hAnsi="宋体" w:eastAsia="仿宋_GB2312"/>
          <w:color w:val="auto"/>
          <w:highlight w:val="none"/>
        </w:rPr>
        <w:br w:type="page"/>
      </w:r>
      <w:bookmarkStart w:id="14" w:name="_Toc16027"/>
      <w:bookmarkStart w:id="15" w:name="_Toc9671"/>
      <w:r>
        <w:rPr>
          <w:rFonts w:hint="eastAsia" w:ascii="仿宋_GB2312" w:hAnsi="宋体" w:eastAsia="仿宋_GB2312"/>
          <w:color w:val="auto"/>
          <w:sz w:val="28"/>
          <w:szCs w:val="28"/>
          <w:highlight w:val="none"/>
        </w:rPr>
        <w:t>第二章 供应商须知</w:t>
      </w:r>
      <w:bookmarkEnd w:id="14"/>
      <w:bookmarkEnd w:id="15"/>
    </w:p>
    <w:p>
      <w:pPr>
        <w:pStyle w:val="4"/>
        <w:adjustRightInd w:val="0"/>
        <w:snapToGrid w:val="0"/>
        <w:spacing w:before="0" w:after="0"/>
        <w:rPr>
          <w:color w:val="auto"/>
          <w:sz w:val="24"/>
          <w:szCs w:val="24"/>
          <w:highlight w:val="none"/>
        </w:rPr>
      </w:pPr>
      <w:bookmarkStart w:id="16" w:name="_Toc19970"/>
      <w:r>
        <w:rPr>
          <w:rFonts w:hint="eastAsia" w:ascii="仿宋" w:hAnsi="仿宋" w:eastAsia="仿宋" w:cs="仿宋"/>
          <w:color w:val="auto"/>
          <w:sz w:val="24"/>
          <w:szCs w:val="24"/>
          <w:highlight w:val="none"/>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841" w:type="dxa"/>
            <w:vAlign w:val="center"/>
          </w:tcPr>
          <w:p>
            <w:pP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  目</w:t>
            </w:r>
          </w:p>
        </w:tc>
        <w:tc>
          <w:tcPr>
            <w:tcW w:w="7199" w:type="dxa"/>
            <w:vAlign w:val="center"/>
          </w:tcPr>
          <w:p>
            <w:pP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2.1.1</w:t>
            </w:r>
          </w:p>
        </w:tc>
        <w:tc>
          <w:tcPr>
            <w:tcW w:w="1841" w:type="dxa"/>
            <w:vAlign w:val="center"/>
          </w:tcPr>
          <w:p>
            <w:pP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采购范围</w:t>
            </w:r>
          </w:p>
        </w:tc>
        <w:tc>
          <w:tcPr>
            <w:tcW w:w="7199" w:type="dxa"/>
            <w:vAlign w:val="center"/>
          </w:tcPr>
          <w:p>
            <w:pPr>
              <w:spacing w:line="400" w:lineRule="exact"/>
              <w:rPr>
                <w:rFonts w:hint="eastAsia" w:ascii="仿宋" w:hAnsi="仿宋" w:eastAsia="仿宋" w:cs="仿宋"/>
                <w:color w:val="auto"/>
                <w:szCs w:val="21"/>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第一章 比选邀请“一、项目概况与采购范围”</w:t>
            </w:r>
            <w:r>
              <w:rPr>
                <w:rFonts w:hint="eastAsia" w:ascii="仿宋" w:hAnsi="仿宋" w:eastAsia="仿宋" w:cs="仿宋"/>
                <w:color w:val="auto"/>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2.1.2</w:t>
            </w:r>
          </w:p>
        </w:tc>
        <w:tc>
          <w:tcPr>
            <w:tcW w:w="1841" w:type="dxa"/>
            <w:vAlign w:val="center"/>
          </w:tcPr>
          <w:p>
            <w:pP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资格审查方式及供应商应具备的资格条件</w:t>
            </w:r>
          </w:p>
        </w:tc>
        <w:tc>
          <w:tcPr>
            <w:tcW w:w="7199" w:type="dxa"/>
            <w:vAlign w:val="center"/>
          </w:tcPr>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资格后审，详见</w:t>
            </w:r>
            <w:r>
              <w:rPr>
                <w:rFonts w:hint="eastAsia" w:ascii="仿宋" w:hAnsi="仿宋" w:eastAsia="仿宋" w:cs="仿宋"/>
                <w:color w:val="auto"/>
                <w:highlight w:val="none"/>
                <w:u w:val="single"/>
              </w:rPr>
              <w:t>“二、供应商资格要求”</w:t>
            </w:r>
            <w:r>
              <w:rPr>
                <w:rFonts w:hint="eastAsia" w:ascii="仿宋" w:hAnsi="仿宋" w:eastAsia="仿宋" w:cs="仿宋"/>
                <w:color w:val="auto"/>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2.1.3</w:t>
            </w:r>
          </w:p>
        </w:tc>
        <w:tc>
          <w:tcPr>
            <w:tcW w:w="1841" w:type="dxa"/>
            <w:vAlign w:val="center"/>
          </w:tcPr>
          <w:p>
            <w:pP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★比选文件实质性要求的标识</w:t>
            </w:r>
          </w:p>
        </w:tc>
        <w:tc>
          <w:tcPr>
            <w:tcW w:w="7199" w:type="dxa"/>
            <w:vAlign w:val="center"/>
          </w:tcPr>
          <w:p>
            <w:pPr>
              <w:spacing w:line="400" w:lineRule="exact"/>
              <w:rPr>
                <w:rFonts w:hint="eastAsia" w:ascii="仿宋" w:hAnsi="仿宋" w:eastAsia="仿宋" w:cs="仿宋"/>
                <w:color w:val="auto"/>
                <w:highlight w:val="none"/>
              </w:rPr>
            </w:pPr>
            <w:r>
              <w:rPr>
                <w:rFonts w:hint="eastAsia" w:ascii="仿宋" w:hAnsi="仿宋" w:eastAsia="仿宋" w:cs="仿宋"/>
                <w:color w:val="auto"/>
                <w:sz w:val="21"/>
                <w:szCs w:val="21"/>
                <w:highlight w:val="none"/>
                <w:u w:val="single"/>
              </w:rPr>
              <w:t>比选文件中标识“★”条款、注明“比选响应将被否决”、“对其响应做否决处理”等的条款</w:t>
            </w:r>
            <w:r>
              <w:rPr>
                <w:rFonts w:hint="eastAsia" w:ascii="仿宋" w:hAnsi="仿宋" w:eastAsia="仿宋" w:cs="仿宋"/>
                <w:color w:val="auto"/>
                <w:sz w:val="21"/>
                <w:szCs w:val="21"/>
                <w:highlight w:val="none"/>
              </w:rPr>
              <w:t>，均为实质性条款，</w:t>
            </w:r>
            <w:r>
              <w:rPr>
                <w:rFonts w:hint="eastAsia" w:ascii="仿宋" w:hAnsi="仿宋" w:eastAsia="仿宋" w:cs="仿宋"/>
                <w:b/>
                <w:color w:val="auto"/>
                <w:sz w:val="21"/>
                <w:szCs w:val="21"/>
                <w:highlight w:val="none"/>
              </w:rPr>
              <w:t>不满足任意一项实质性条款的响应将被否决。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1" w:hRule="exact"/>
          <w:jc w:val="center"/>
        </w:trPr>
        <w:tc>
          <w:tcPr>
            <w:tcW w:w="1142" w:type="dxa"/>
            <w:vAlign w:val="center"/>
          </w:tcPr>
          <w:p>
            <w:pP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2.1.4</w:t>
            </w:r>
          </w:p>
        </w:tc>
        <w:tc>
          <w:tcPr>
            <w:tcW w:w="1841" w:type="dxa"/>
            <w:vAlign w:val="center"/>
          </w:tcPr>
          <w:p>
            <w:pP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响应文件的组成</w:t>
            </w:r>
          </w:p>
        </w:tc>
        <w:tc>
          <w:tcPr>
            <w:tcW w:w="7199" w:type="dxa"/>
            <w:vAlign w:val="center"/>
          </w:tcPr>
          <w:p>
            <w:pPr>
              <w:pStyle w:val="66"/>
              <w:spacing w:before="62" w:beforeLines="20" w:after="62" w:afterLines="20"/>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响应文件按照以下架构顺序编制：</w:t>
            </w:r>
          </w:p>
          <w:p>
            <w:pPr>
              <w:pStyle w:val="61"/>
              <w:spacing w:before="62" w:beforeLines="20" w:after="62" w:afterLines="20"/>
              <w:rPr>
                <w:rFonts w:hint="eastAsia" w:ascii="仿宋" w:hAnsi="仿宋" w:eastAsia="仿宋" w:cs="仿宋"/>
                <w:b/>
                <w:color w:val="auto"/>
                <w:highlight w:val="none"/>
              </w:rPr>
            </w:pPr>
            <w:r>
              <w:rPr>
                <w:rFonts w:hint="eastAsia" w:ascii="仿宋" w:hAnsi="仿宋" w:eastAsia="仿宋" w:cs="仿宋"/>
                <w:b/>
                <w:color w:val="auto"/>
                <w:highlight w:val="none"/>
              </w:rPr>
              <w:t>一、</w:t>
            </w:r>
            <w:r>
              <w:rPr>
                <w:rFonts w:hint="eastAsia" w:ascii="仿宋" w:hAnsi="仿宋" w:eastAsia="仿宋" w:cs="仿宋"/>
                <w:b/>
                <w:color w:val="auto"/>
                <w:sz w:val="24"/>
                <w:highlight w:val="none"/>
              </w:rPr>
              <w:t>商务文件</w:t>
            </w:r>
          </w:p>
          <w:p>
            <w:pPr>
              <w:autoSpaceDE w:val="0"/>
              <w:autoSpaceDN w:val="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初步评审索引表</w:t>
            </w:r>
          </w:p>
          <w:p>
            <w:pPr>
              <w:autoSpaceDE w:val="0"/>
              <w:autoSpaceDN w:val="0"/>
              <w:rPr>
                <w:rFonts w:hint="eastAsia" w:ascii="仿宋" w:hAnsi="仿宋" w:eastAsia="仿宋" w:cs="仿宋"/>
                <w:color w:val="auto"/>
                <w:highlight w:val="none"/>
              </w:rPr>
            </w:pPr>
            <w:r>
              <w:rPr>
                <w:rFonts w:hint="eastAsia" w:ascii="仿宋" w:hAnsi="仿宋" w:eastAsia="仿宋" w:cs="仿宋"/>
                <w:b/>
                <w:color w:val="auto"/>
                <w:szCs w:val="21"/>
                <w:highlight w:val="none"/>
              </w:rPr>
              <w:t>详细评审索引表</w:t>
            </w:r>
          </w:p>
          <w:p>
            <w:pPr>
              <w:pStyle w:val="61"/>
              <w:spacing w:before="62" w:beforeLines="20" w:after="62" w:afterLines="20"/>
              <w:rPr>
                <w:rFonts w:hint="eastAsia" w:ascii="仿宋" w:hAnsi="仿宋" w:eastAsia="仿宋" w:cs="仿宋"/>
                <w:color w:val="auto"/>
                <w:highlight w:val="none"/>
              </w:rPr>
            </w:pPr>
            <w:r>
              <w:rPr>
                <w:rFonts w:hint="eastAsia" w:ascii="仿宋" w:hAnsi="仿宋" w:eastAsia="仿宋" w:cs="仿宋"/>
                <w:color w:val="auto"/>
                <w:highlight w:val="none"/>
              </w:rPr>
              <w:t>（一）响应函</w:t>
            </w:r>
          </w:p>
          <w:p>
            <w:pPr>
              <w:pStyle w:val="66"/>
              <w:spacing w:before="62" w:beforeLines="20" w:after="62" w:afterLines="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（二）法定代表人（负责人）身份证明</w:t>
            </w:r>
          </w:p>
          <w:p>
            <w:pPr>
              <w:pStyle w:val="66"/>
              <w:spacing w:before="62" w:beforeLines="20" w:after="62" w:afterLines="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（三）法定代表人（负责人）授权委托书</w:t>
            </w:r>
          </w:p>
          <w:p>
            <w:pPr>
              <w:pStyle w:val="61"/>
              <w:spacing w:before="62" w:beforeLines="20" w:after="62" w:afterLines="20"/>
              <w:rPr>
                <w:rFonts w:hint="eastAsia" w:ascii="仿宋" w:hAnsi="仿宋" w:eastAsia="仿宋" w:cs="仿宋"/>
                <w:color w:val="auto"/>
                <w:highlight w:val="none"/>
              </w:rPr>
            </w:pPr>
            <w:r>
              <w:rPr>
                <w:rFonts w:hint="eastAsia" w:ascii="仿宋" w:hAnsi="仿宋" w:eastAsia="仿宋" w:cs="仿宋"/>
                <w:color w:val="auto"/>
                <w:highlight w:val="none"/>
              </w:rPr>
              <w:t>（四）资格证明文件</w:t>
            </w:r>
          </w:p>
          <w:p>
            <w:pPr>
              <w:pStyle w:val="66"/>
              <w:spacing w:before="62" w:beforeLines="20" w:after="62" w:afterLines="20"/>
              <w:rPr>
                <w:rFonts w:hint="eastAsia" w:ascii="仿宋" w:hAnsi="仿宋" w:eastAsia="仿宋" w:cs="仿宋"/>
                <w:color w:val="auto"/>
                <w:highlight w:val="none"/>
              </w:rPr>
            </w:pPr>
            <w:r>
              <w:rPr>
                <w:rFonts w:hint="eastAsia" w:ascii="仿宋" w:hAnsi="仿宋" w:eastAsia="仿宋" w:cs="仿宋"/>
                <w:color w:val="auto"/>
                <w:sz w:val="21"/>
                <w:szCs w:val="21"/>
                <w:highlight w:val="none"/>
              </w:rPr>
              <w:t>（五）供应商须知应答偏离表</w:t>
            </w:r>
          </w:p>
          <w:p>
            <w:pPr>
              <w:pStyle w:val="61"/>
              <w:spacing w:before="62" w:beforeLines="20" w:after="62" w:afterLines="20"/>
              <w:rPr>
                <w:rFonts w:hint="eastAsia" w:ascii="仿宋" w:hAnsi="仿宋" w:eastAsia="仿宋" w:cs="仿宋"/>
                <w:color w:val="auto"/>
                <w:highlight w:val="none"/>
              </w:rPr>
            </w:pPr>
            <w:r>
              <w:rPr>
                <w:rFonts w:hint="eastAsia" w:ascii="仿宋" w:hAnsi="仿宋" w:eastAsia="仿宋" w:cs="仿宋"/>
                <w:color w:val="auto"/>
                <w:highlight w:val="none"/>
              </w:rPr>
              <w:t>（六）合同条款应答偏离表</w:t>
            </w:r>
          </w:p>
          <w:p>
            <w:pPr>
              <w:pStyle w:val="61"/>
              <w:spacing w:before="62" w:beforeLines="20" w:after="62" w:afterLines="20"/>
              <w:rPr>
                <w:rFonts w:hint="eastAsia" w:ascii="仿宋" w:hAnsi="仿宋" w:eastAsia="仿宋" w:cs="仿宋"/>
                <w:color w:val="auto"/>
                <w:highlight w:val="none"/>
              </w:rPr>
            </w:pPr>
            <w:r>
              <w:rPr>
                <w:rFonts w:hint="eastAsia" w:ascii="仿宋" w:hAnsi="仿宋" w:eastAsia="仿宋" w:cs="仿宋"/>
                <w:color w:val="auto"/>
                <w:highlight w:val="none"/>
              </w:rPr>
              <w:t>（七）供应商行为准则承诺书</w:t>
            </w:r>
          </w:p>
          <w:p>
            <w:pPr>
              <w:pStyle w:val="61"/>
              <w:spacing w:before="62" w:beforeLines="20" w:after="62" w:afterLines="20"/>
              <w:rPr>
                <w:rFonts w:hint="eastAsia" w:ascii="仿宋" w:hAnsi="仿宋" w:eastAsia="仿宋" w:cs="仿宋"/>
                <w:color w:val="auto"/>
                <w:highlight w:val="none"/>
              </w:rPr>
            </w:pPr>
            <w:r>
              <w:rPr>
                <w:rFonts w:hint="eastAsia" w:ascii="仿宋" w:hAnsi="仿宋" w:eastAsia="仿宋" w:cs="仿宋"/>
                <w:color w:val="auto"/>
                <w:highlight w:val="none"/>
              </w:rPr>
              <w:t>（八）供应商廉洁诚信承诺书</w:t>
            </w:r>
          </w:p>
          <w:p>
            <w:pPr>
              <w:pStyle w:val="61"/>
              <w:spacing w:before="62" w:beforeLines="20" w:after="62" w:afterLines="20"/>
              <w:rPr>
                <w:rFonts w:hint="eastAsia" w:ascii="仿宋" w:hAnsi="仿宋" w:eastAsia="仿宋" w:cs="仿宋"/>
                <w:color w:val="auto"/>
                <w:highlight w:val="none"/>
              </w:rPr>
            </w:pPr>
            <w:r>
              <w:rPr>
                <w:rFonts w:hint="eastAsia" w:ascii="仿宋" w:hAnsi="仿宋" w:eastAsia="仿宋" w:cs="仿宋"/>
                <w:color w:val="auto"/>
                <w:highlight w:val="none"/>
              </w:rPr>
              <w:t>（九）其他材料（如有）</w:t>
            </w:r>
          </w:p>
          <w:p>
            <w:pPr>
              <w:autoSpaceDE w:val="0"/>
              <w:autoSpaceDN w:val="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二、技术文件</w:t>
            </w:r>
          </w:p>
          <w:p>
            <w:pPr>
              <w:autoSpaceDE w:val="0"/>
              <w:autoSpaceDN w:val="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详细评审索引表</w:t>
            </w:r>
          </w:p>
          <w:p>
            <w:pPr>
              <w:autoSpaceDE w:val="0"/>
              <w:autoSpaceDN w:val="0"/>
              <w:rPr>
                <w:rFonts w:hint="eastAsia" w:ascii="仿宋" w:hAnsi="仿宋" w:eastAsia="仿宋" w:cs="仿宋"/>
                <w:color w:val="auto"/>
                <w:sz w:val="21"/>
                <w:szCs w:val="21"/>
                <w:highlight w:val="none"/>
                <w:lang w:val="en-US" w:eastAsia="zh-CN" w:bidi="ar-SA"/>
              </w:rPr>
            </w:pPr>
            <w:r>
              <w:rPr>
                <w:rFonts w:hint="eastAsia" w:ascii="仿宋" w:hAnsi="仿宋" w:eastAsia="仿宋" w:cs="仿宋"/>
                <w:bCs/>
                <w:color w:val="auto"/>
                <w:szCs w:val="21"/>
                <w:highlight w:val="none"/>
              </w:rPr>
              <w:t>（一）</w:t>
            </w:r>
            <w:r>
              <w:rPr>
                <w:rFonts w:hint="eastAsia" w:ascii="仿宋" w:hAnsi="仿宋" w:eastAsia="仿宋" w:cs="仿宋"/>
                <w:color w:val="auto"/>
                <w:sz w:val="21"/>
                <w:szCs w:val="21"/>
                <w:highlight w:val="none"/>
                <w:lang w:val="en-US" w:eastAsia="zh-CN" w:bidi="ar-SA"/>
              </w:rPr>
              <w:t>采购需求应答偏离表</w:t>
            </w:r>
          </w:p>
          <w:p>
            <w:pPr>
              <w:pStyle w:val="61"/>
              <w:spacing w:before="62" w:beforeLines="20" w:after="62" w:afterLines="20"/>
              <w:rPr>
                <w:rFonts w:hint="eastAsia" w:ascii="仿宋" w:hAnsi="仿宋" w:eastAsia="仿宋" w:cs="仿宋"/>
                <w:color w:val="auto"/>
                <w:highlight w:val="none"/>
              </w:rPr>
            </w:pPr>
            <w:r>
              <w:rPr>
                <w:rFonts w:hint="eastAsia" w:ascii="仿宋" w:hAnsi="仿宋" w:eastAsia="仿宋" w:cs="仿宋"/>
                <w:color w:val="auto"/>
                <w:highlight w:val="none"/>
              </w:rPr>
              <w:t>（二）技术方案</w:t>
            </w:r>
          </w:p>
          <w:p>
            <w:pPr>
              <w:pStyle w:val="61"/>
              <w:spacing w:before="62" w:beforeLines="20" w:after="62" w:afterLines="20"/>
              <w:rPr>
                <w:rFonts w:hint="eastAsia" w:ascii="仿宋" w:hAnsi="仿宋" w:eastAsia="仿宋" w:cs="仿宋"/>
                <w:color w:val="auto"/>
                <w:highlight w:val="none"/>
              </w:rPr>
            </w:pPr>
            <w:r>
              <w:rPr>
                <w:rFonts w:hint="eastAsia" w:ascii="仿宋" w:hAnsi="仿宋" w:eastAsia="仿宋" w:cs="仿宋"/>
                <w:color w:val="auto"/>
                <w:highlight w:val="none"/>
              </w:rPr>
              <w:t>（三）其他材料（如有）</w:t>
            </w:r>
          </w:p>
          <w:p>
            <w:pPr>
              <w:pStyle w:val="61"/>
              <w:spacing w:before="62" w:beforeLines="20" w:after="62" w:afterLines="20"/>
              <w:rPr>
                <w:rFonts w:hint="eastAsia" w:ascii="仿宋" w:hAnsi="仿宋" w:eastAsia="仿宋" w:cs="仿宋"/>
                <w:color w:val="auto"/>
                <w:highlight w:val="none"/>
                <w:u w:val="sing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2.1.5</w:t>
            </w:r>
          </w:p>
        </w:tc>
        <w:tc>
          <w:tcPr>
            <w:tcW w:w="1841" w:type="dxa"/>
            <w:vAlign w:val="center"/>
          </w:tcPr>
          <w:p>
            <w:pP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响应文件的递交</w:t>
            </w:r>
          </w:p>
        </w:tc>
        <w:tc>
          <w:tcPr>
            <w:tcW w:w="7199" w:type="dxa"/>
            <w:vAlign w:val="center"/>
          </w:tcPr>
          <w:p>
            <w:pPr>
              <w:pStyle w:val="66"/>
              <w:spacing w:before="62" w:beforeLines="20" w:after="62" w:afterLines="20"/>
              <w:rPr>
                <w:rFonts w:hint="eastAsia" w:ascii="仿宋" w:hAnsi="仿宋" w:eastAsia="仿宋" w:cs="仿宋"/>
                <w:b/>
                <w:color w:val="auto"/>
                <w:sz w:val="21"/>
                <w:szCs w:val="21"/>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2.1.6</w:t>
            </w:r>
          </w:p>
        </w:tc>
        <w:tc>
          <w:tcPr>
            <w:tcW w:w="1841" w:type="dxa"/>
            <w:vAlign w:val="center"/>
          </w:tcPr>
          <w:p>
            <w:pP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★响应文件的盖章或签字要求</w:t>
            </w:r>
          </w:p>
        </w:tc>
        <w:tc>
          <w:tcPr>
            <w:tcW w:w="7199" w:type="dxa"/>
            <w:vAlign w:val="center"/>
          </w:tcPr>
          <w:p>
            <w:pPr>
              <w:pStyle w:val="68"/>
              <w:topLinePunct/>
              <w:spacing w:before="62" w:beforeLines="20" w:after="62" w:afterLines="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（1）《法定代表人（负责人）身份证明》的落款处应加盖公章。</w:t>
            </w:r>
          </w:p>
          <w:p>
            <w:pPr>
              <w:pStyle w:val="68"/>
              <w:topLinePunct/>
              <w:spacing w:before="62" w:beforeLines="20" w:after="62" w:afterLines="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（2）《法定代表人（负责人）授权委托书》的落款处应加盖公章</w:t>
            </w:r>
            <w:r>
              <w:rPr>
                <w:rFonts w:hint="eastAsia" w:ascii="仿宋" w:hAnsi="仿宋" w:eastAsia="仿宋" w:cs="仿宋"/>
                <w:b/>
                <w:color w:val="auto"/>
                <w:sz w:val="21"/>
                <w:szCs w:val="21"/>
                <w:highlight w:val="none"/>
              </w:rPr>
              <w:t>并由</w:t>
            </w:r>
            <w:r>
              <w:rPr>
                <w:rFonts w:hint="eastAsia" w:ascii="仿宋" w:hAnsi="仿宋" w:eastAsia="仿宋" w:cs="仿宋"/>
                <w:color w:val="auto"/>
                <w:sz w:val="21"/>
                <w:szCs w:val="21"/>
                <w:highlight w:val="none"/>
              </w:rPr>
              <w:t>法定代表人（负责人）</w:t>
            </w:r>
            <w:r>
              <w:rPr>
                <w:rFonts w:hint="eastAsia" w:ascii="仿宋" w:hAnsi="仿宋" w:eastAsia="仿宋" w:cs="仿宋"/>
                <w:b/>
                <w:color w:val="auto"/>
                <w:sz w:val="21"/>
                <w:szCs w:val="21"/>
                <w:highlight w:val="none"/>
              </w:rPr>
              <w:t>和</w:t>
            </w:r>
            <w:r>
              <w:rPr>
                <w:rFonts w:hint="eastAsia" w:ascii="仿宋" w:hAnsi="仿宋" w:eastAsia="仿宋" w:cs="仿宋"/>
                <w:color w:val="auto"/>
                <w:sz w:val="21"/>
                <w:szCs w:val="21"/>
                <w:highlight w:val="none"/>
              </w:rPr>
              <w:t>其委托代理人</w:t>
            </w:r>
            <w:r>
              <w:rPr>
                <w:rFonts w:hint="eastAsia" w:ascii="仿宋" w:hAnsi="仿宋" w:eastAsia="仿宋" w:cs="仿宋"/>
                <w:b/>
                <w:color w:val="auto"/>
                <w:sz w:val="21"/>
                <w:szCs w:val="21"/>
                <w:highlight w:val="none"/>
              </w:rPr>
              <w:t>双方</w:t>
            </w:r>
            <w:r>
              <w:rPr>
                <w:rFonts w:hint="eastAsia" w:ascii="仿宋" w:hAnsi="仿宋" w:eastAsia="仿宋" w:cs="仿宋"/>
                <w:color w:val="auto"/>
                <w:sz w:val="21"/>
                <w:szCs w:val="21"/>
                <w:highlight w:val="none"/>
              </w:rPr>
              <w:t>签字。</w:t>
            </w:r>
          </w:p>
          <w:p>
            <w:pPr>
              <w:pStyle w:val="68"/>
              <w:topLinePunct/>
              <w:spacing w:before="62" w:beforeLines="20" w:after="62" w:afterLines="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（3）响应文件格式中其他有落款的文件，</w:t>
            </w:r>
            <w:r>
              <w:rPr>
                <w:rFonts w:hint="eastAsia" w:ascii="仿宋" w:hAnsi="仿宋" w:eastAsia="仿宋" w:cs="仿宋"/>
                <w:b/>
                <w:color w:val="auto"/>
                <w:sz w:val="21"/>
                <w:szCs w:val="21"/>
                <w:highlight w:val="none"/>
              </w:rPr>
              <w:t>均需</w:t>
            </w:r>
            <w:r>
              <w:rPr>
                <w:rFonts w:hint="eastAsia" w:ascii="仿宋" w:hAnsi="仿宋" w:eastAsia="仿宋" w:cs="仿宋"/>
                <w:color w:val="auto"/>
                <w:sz w:val="21"/>
                <w:szCs w:val="21"/>
                <w:highlight w:val="none"/>
              </w:rPr>
              <w:t>加盖公章。</w:t>
            </w:r>
          </w:p>
          <w:p>
            <w:pPr>
              <w:pStyle w:val="66"/>
              <w:spacing w:before="62" w:beforeLines="20" w:after="62" w:afterLines="20"/>
              <w:rPr>
                <w:rFonts w:hint="eastAsia" w:ascii="仿宋" w:hAnsi="仿宋" w:eastAsia="仿宋" w:cs="仿宋"/>
                <w:color w:val="auto"/>
                <w:highlight w:val="none"/>
              </w:rPr>
            </w:pPr>
            <w:r>
              <w:rPr>
                <w:rFonts w:hint="eastAsia" w:ascii="仿宋" w:hAnsi="仿宋" w:eastAsia="仿宋" w:cs="仿宋"/>
                <w:color w:val="auto"/>
                <w:sz w:val="21"/>
                <w:szCs w:val="21"/>
                <w:highlight w:val="none"/>
              </w:rPr>
              <w:t>（4）响应文件的所有签字处均指手写签字</w:t>
            </w:r>
            <w:r>
              <w:rPr>
                <w:rFonts w:hint="eastAsia" w:ascii="仿宋" w:hAnsi="仿宋" w:eastAsia="仿宋" w:cs="仿宋"/>
                <w:b/>
                <w:color w:val="auto"/>
                <w:sz w:val="21"/>
                <w:szCs w:val="21"/>
                <w:highlight w:val="none"/>
              </w:rPr>
              <w:t>或</w:t>
            </w:r>
            <w:r>
              <w:rPr>
                <w:rFonts w:hint="eastAsia" w:ascii="仿宋" w:hAnsi="仿宋" w:eastAsia="仿宋" w:cs="仿宋"/>
                <w:color w:val="auto"/>
                <w:sz w:val="21"/>
                <w:szCs w:val="21"/>
                <w:highlight w:val="none"/>
              </w:rPr>
              <w:t>签名章/印章</w:t>
            </w:r>
            <w:r>
              <w:rPr>
                <w:rFonts w:hint="eastAsia" w:ascii="仿宋" w:hAnsi="仿宋" w:eastAsia="仿宋" w:cs="仿宋"/>
                <w:b/>
                <w:bCs/>
                <w:color w:val="auto"/>
                <w:sz w:val="21"/>
                <w:szCs w:val="21"/>
                <w:highlight w:val="none"/>
              </w:rPr>
              <w:t>或</w:t>
            </w:r>
            <w:r>
              <w:rPr>
                <w:rFonts w:hint="eastAsia" w:ascii="仿宋" w:hAnsi="仿宋" w:eastAsia="仿宋" w:cs="仿宋"/>
                <w:color w:val="auto"/>
                <w:sz w:val="21"/>
                <w:szCs w:val="21"/>
                <w:highlight w:val="none"/>
              </w:rPr>
              <w:t>CA签名章，</w:t>
            </w:r>
            <w:r>
              <w:rPr>
                <w:rFonts w:hint="eastAsia" w:ascii="仿宋" w:hAnsi="仿宋" w:eastAsia="仿宋" w:cs="仿宋"/>
                <w:b/>
                <w:color w:val="auto"/>
                <w:sz w:val="21"/>
                <w:szCs w:val="21"/>
                <w:highlight w:val="none"/>
              </w:rPr>
              <w:t>不得</w:t>
            </w:r>
            <w:r>
              <w:rPr>
                <w:rFonts w:hint="eastAsia" w:ascii="仿宋" w:hAnsi="仿宋" w:eastAsia="仿宋" w:cs="仿宋"/>
                <w:color w:val="auto"/>
                <w:sz w:val="21"/>
                <w:szCs w:val="21"/>
                <w:highlight w:val="none"/>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2.1.7</w:t>
            </w:r>
          </w:p>
        </w:tc>
        <w:tc>
          <w:tcPr>
            <w:tcW w:w="1841" w:type="dxa"/>
            <w:vAlign w:val="center"/>
          </w:tcPr>
          <w:p>
            <w:pPr>
              <w:pStyle w:val="37"/>
              <w:snapToGrid w:val="0"/>
              <w:spacing w:line="300" w:lineRule="auto"/>
              <w:ind w:left="114" w:right="114"/>
              <w:jc w:val="center"/>
              <w:rPr>
                <w:rFonts w:hint="eastAsia" w:ascii="仿宋" w:hAnsi="仿宋" w:eastAsia="仿宋" w:cs="仿宋"/>
                <w:color w:val="auto"/>
                <w:sz w:val="24"/>
                <w:szCs w:val="24"/>
                <w:highlight w:val="none"/>
              </w:rPr>
            </w:pPr>
            <w:r>
              <w:rPr>
                <w:rFonts w:hint="eastAsia" w:ascii="仿宋" w:hAnsi="仿宋" w:eastAsia="仿宋" w:cs="仿宋"/>
                <w:color w:val="auto"/>
                <w:szCs w:val="21"/>
                <w:highlight w:val="none"/>
              </w:rPr>
              <w:t>★比选响应有效期</w:t>
            </w:r>
          </w:p>
        </w:tc>
        <w:tc>
          <w:tcPr>
            <w:tcW w:w="7199" w:type="dxa"/>
            <w:vAlign w:val="center"/>
          </w:tcPr>
          <w:p>
            <w:pPr>
              <w:pStyle w:val="37"/>
              <w:snapToGrid w:val="0"/>
              <w:spacing w:line="300" w:lineRule="auto"/>
              <w:ind w:left="103" w:right="-18"/>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highlight w:val="none"/>
                <w:lang w:eastAsia="zh-CN"/>
              </w:rPr>
              <w:t>比选响应有效期：</w:t>
            </w:r>
            <w:r>
              <w:rPr>
                <w:rFonts w:hint="eastAsia" w:ascii="仿宋" w:hAnsi="仿宋" w:eastAsia="仿宋" w:cs="仿宋"/>
                <w:color w:val="auto"/>
                <w:highlight w:val="none"/>
                <w:u w:val="single"/>
                <w:lang w:val="en-US" w:eastAsia="zh-CN"/>
              </w:rPr>
              <w:t>180</w:t>
            </w:r>
            <w:r>
              <w:rPr>
                <w:rFonts w:hint="eastAsia" w:ascii="仿宋" w:hAnsi="仿宋" w:eastAsia="仿宋" w:cs="仿宋"/>
                <w:color w:val="auto"/>
                <w:highlight w:val="none"/>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2.1.8</w:t>
            </w:r>
          </w:p>
        </w:tc>
        <w:tc>
          <w:tcPr>
            <w:tcW w:w="1841" w:type="dxa"/>
            <w:vAlign w:val="center"/>
          </w:tcPr>
          <w:p>
            <w:pPr>
              <w:pStyle w:val="37"/>
              <w:snapToGrid w:val="0"/>
              <w:spacing w:line="300" w:lineRule="auto"/>
              <w:ind w:left="114" w:right="1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响应文件份数</w:t>
            </w:r>
          </w:p>
        </w:tc>
        <w:tc>
          <w:tcPr>
            <w:tcW w:w="7199" w:type="dxa"/>
            <w:vAlign w:val="center"/>
          </w:tcPr>
          <w:p>
            <w:pPr>
              <w:pStyle w:val="37"/>
              <w:snapToGrid w:val="0"/>
              <w:spacing w:line="300" w:lineRule="auto"/>
              <w:ind w:left="103" w:right="-18"/>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1"/>
                <w:szCs w:val="21"/>
                <w:highlight w:val="none"/>
                <w:lang w:eastAsia="zh-CN"/>
              </w:rPr>
              <w:t>纸质文件正本</w:t>
            </w:r>
            <w:r>
              <w:rPr>
                <w:rFonts w:hint="eastAsia" w:ascii="仿宋" w:hAnsi="仿宋" w:eastAsia="仿宋" w:cs="仿宋"/>
                <w:color w:val="auto"/>
                <w:sz w:val="21"/>
                <w:szCs w:val="21"/>
                <w:highlight w:val="none"/>
                <w:u w:val="single"/>
                <w:lang w:eastAsia="zh-CN"/>
              </w:rPr>
              <w:t xml:space="preserve"> 1 </w:t>
            </w:r>
            <w:r>
              <w:rPr>
                <w:rFonts w:hint="eastAsia" w:ascii="仿宋" w:hAnsi="仿宋" w:eastAsia="仿宋" w:cs="仿宋"/>
                <w:color w:val="auto"/>
                <w:sz w:val="21"/>
                <w:szCs w:val="21"/>
                <w:highlight w:val="none"/>
                <w:lang w:eastAsia="zh-CN"/>
              </w:rPr>
              <w:t>份，副本</w:t>
            </w:r>
            <w:r>
              <w:rPr>
                <w:rFonts w:hint="eastAsia" w:ascii="仿宋" w:hAnsi="仿宋" w:eastAsia="仿宋" w:cs="仿宋"/>
                <w:color w:val="auto"/>
                <w:sz w:val="21"/>
                <w:szCs w:val="21"/>
                <w:highlight w:val="none"/>
                <w:u w:val="single"/>
                <w:lang w:eastAsia="zh-CN"/>
              </w:rPr>
              <w:t xml:space="preserve"> </w:t>
            </w:r>
            <w:r>
              <w:rPr>
                <w:rFonts w:hint="eastAsia" w:ascii="仿宋" w:hAnsi="仿宋" w:eastAsia="仿宋" w:cs="仿宋"/>
                <w:color w:val="auto"/>
                <w:sz w:val="21"/>
                <w:szCs w:val="21"/>
                <w:highlight w:val="none"/>
                <w:u w:val="single"/>
                <w:lang w:val="en-US" w:eastAsia="zh-CN"/>
              </w:rPr>
              <w:t>2</w:t>
            </w:r>
            <w:r>
              <w:rPr>
                <w:rFonts w:hint="eastAsia" w:ascii="仿宋" w:hAnsi="仿宋" w:eastAsia="仿宋" w:cs="仿宋"/>
                <w:color w:val="auto"/>
                <w:sz w:val="21"/>
                <w:szCs w:val="21"/>
                <w:highlight w:val="none"/>
                <w:lang w:eastAsia="zh-CN"/>
              </w:rPr>
              <w:t>份</w:t>
            </w:r>
            <w:r>
              <w:rPr>
                <w:rFonts w:hint="eastAsia" w:ascii="仿宋" w:hAnsi="仿宋" w:eastAsia="仿宋" w:cs="仿宋"/>
                <w:color w:val="auto"/>
                <w:szCs w:val="21"/>
                <w:highlight w:val="none"/>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2.1.</w:t>
            </w:r>
            <w:r>
              <w:rPr>
                <w:rFonts w:hint="eastAsia" w:ascii="仿宋" w:hAnsi="仿宋" w:eastAsia="仿宋" w:cs="仿宋"/>
                <w:color w:val="auto"/>
                <w:sz w:val="24"/>
                <w:szCs w:val="24"/>
                <w:highlight w:val="none"/>
                <w:lang w:val="en-US" w:eastAsia="zh-CN"/>
              </w:rPr>
              <w:t>9</w:t>
            </w:r>
          </w:p>
        </w:tc>
        <w:tc>
          <w:tcPr>
            <w:tcW w:w="1841" w:type="dxa"/>
            <w:vAlign w:val="center"/>
          </w:tcPr>
          <w:p>
            <w:pPr>
              <w:pStyle w:val="37"/>
              <w:snapToGrid w:val="0"/>
              <w:spacing w:line="300" w:lineRule="auto"/>
              <w:ind w:left="114" w:right="114"/>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Cs w:val="21"/>
                <w:highlight w:val="none"/>
                <w:lang w:eastAsia="zh-CN"/>
              </w:rPr>
              <w:t>纸质响应文件的装订、密封和标记</w:t>
            </w:r>
          </w:p>
        </w:tc>
        <w:tc>
          <w:tcPr>
            <w:tcW w:w="7199" w:type="dxa"/>
            <w:vAlign w:val="center"/>
          </w:tcPr>
          <w:p>
            <w:pPr>
              <w:spacing w:line="360" w:lineRule="auto"/>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（1）采用A4纸胶装，双面打印，密封粘接缝隙加盖供应商公章或由法定代表人（负责人）或其委托代理人签字，并分别在右上角标明“正本”和“副本”字样。</w:t>
            </w:r>
          </w:p>
          <w:p>
            <w:pPr>
              <w:spacing w:line="360" w:lineRule="auto"/>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响应文件需加盖骑缝章。未按要求密封的</w:t>
            </w:r>
            <w:r>
              <w:rPr>
                <w:rFonts w:hint="eastAsia" w:ascii="仿宋" w:hAnsi="仿宋" w:eastAsia="仿宋" w:cs="仿宋"/>
                <w:color w:val="auto"/>
                <w:sz w:val="22"/>
                <w:szCs w:val="21"/>
                <w:highlight w:val="none"/>
                <w:lang w:eastAsia="zh-Hans"/>
              </w:rPr>
              <w:t>纸质</w:t>
            </w:r>
            <w:r>
              <w:rPr>
                <w:rFonts w:hint="eastAsia" w:ascii="仿宋" w:hAnsi="仿宋" w:eastAsia="仿宋" w:cs="仿宋"/>
                <w:color w:val="auto"/>
                <w:sz w:val="22"/>
                <w:szCs w:val="21"/>
                <w:highlight w:val="none"/>
              </w:rPr>
              <w:t>响应文件不予接收。</w:t>
            </w:r>
          </w:p>
          <w:p>
            <w:pPr>
              <w:rPr>
                <w:rFonts w:hint="eastAsia" w:ascii="仿宋" w:hAnsi="仿宋" w:eastAsia="仿宋" w:cs="仿宋"/>
                <w:color w:val="auto"/>
                <w:sz w:val="22"/>
                <w:highlight w:val="none"/>
              </w:rPr>
            </w:pPr>
            <w:r>
              <w:rPr>
                <w:rFonts w:hint="eastAsia" w:ascii="仿宋" w:hAnsi="仿宋" w:eastAsia="仿宋" w:cs="仿宋"/>
                <w:color w:val="auto"/>
                <w:sz w:val="22"/>
                <w:szCs w:val="21"/>
                <w:highlight w:val="none"/>
              </w:rPr>
              <w:t>（2）外层包封具体样式如下：</w:t>
            </w:r>
          </w:p>
          <w:p>
            <w:pPr>
              <w:pStyle w:val="37"/>
              <w:snapToGrid w:val="0"/>
              <w:spacing w:line="300" w:lineRule="auto"/>
              <w:ind w:left="103" w:right="2739"/>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highlight w:val="none"/>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2.1.1</w:t>
            </w:r>
            <w:r>
              <w:rPr>
                <w:rFonts w:hint="eastAsia" w:ascii="仿宋" w:hAnsi="仿宋" w:eastAsia="仿宋" w:cs="仿宋"/>
                <w:color w:val="auto"/>
                <w:sz w:val="24"/>
                <w:szCs w:val="24"/>
                <w:highlight w:val="none"/>
                <w:lang w:val="en-US" w:eastAsia="zh-CN"/>
              </w:rPr>
              <w:t>0</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组建比选小组</w:t>
            </w:r>
          </w:p>
        </w:tc>
        <w:tc>
          <w:tcPr>
            <w:tcW w:w="7199" w:type="dxa"/>
            <w:vAlign w:val="center"/>
          </w:tcPr>
          <w:p>
            <w:pPr>
              <w:autoSpaceDE w:val="0"/>
              <w:autoSpaceDN w:val="0"/>
              <w:adjustRightInd w:val="0"/>
              <w:spacing w:line="400" w:lineRule="exact"/>
              <w:ind w:left="146" w:leftChars="61" w:firstLine="2"/>
              <w:rPr>
                <w:rFonts w:hint="eastAsia" w:ascii="仿宋" w:hAnsi="仿宋" w:eastAsia="仿宋" w:cs="仿宋"/>
                <w:color w:val="auto"/>
                <w:szCs w:val="21"/>
                <w:highlight w:val="none"/>
                <w:lang w:val="zh-CN"/>
              </w:rPr>
            </w:pPr>
            <w:r>
              <w:rPr>
                <w:rFonts w:hint="eastAsia" w:ascii="仿宋" w:hAnsi="仿宋" w:eastAsia="仿宋" w:cs="仿宋"/>
                <w:color w:val="auto"/>
                <w:sz w:val="22"/>
                <w:highlight w:val="none"/>
              </w:rPr>
              <w:t>本项目比选小组成员人数为</w:t>
            </w:r>
            <w:r>
              <w:rPr>
                <w:rFonts w:hint="eastAsia" w:ascii="仿宋" w:hAnsi="仿宋" w:eastAsia="仿宋" w:cs="仿宋"/>
                <w:color w:val="auto"/>
                <w:sz w:val="22"/>
                <w:highlight w:val="none"/>
                <w:u w:val="single"/>
                <w:lang w:val="en-US" w:eastAsia="zh-CN"/>
              </w:rPr>
              <w:t>5</w:t>
            </w:r>
            <w:r>
              <w:rPr>
                <w:rFonts w:hint="eastAsia" w:ascii="仿宋" w:hAnsi="仿宋" w:eastAsia="仿宋" w:cs="仿宋"/>
                <w:color w:val="auto"/>
                <w:sz w:val="22"/>
                <w:highlight w:val="none"/>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5"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2.1.1</w:t>
            </w:r>
            <w:r>
              <w:rPr>
                <w:rFonts w:hint="eastAsia" w:ascii="仿宋" w:hAnsi="仿宋" w:eastAsia="仿宋" w:cs="仿宋"/>
                <w:color w:val="auto"/>
                <w:sz w:val="24"/>
                <w:szCs w:val="24"/>
                <w:highlight w:val="none"/>
                <w:lang w:val="en-US" w:eastAsia="zh-CN"/>
              </w:rPr>
              <w:t>1</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比选程序及方式</w:t>
            </w:r>
          </w:p>
        </w:tc>
        <w:tc>
          <w:tcPr>
            <w:tcW w:w="7199" w:type="dxa"/>
            <w:vAlign w:val="center"/>
          </w:tcPr>
          <w:p>
            <w:pPr>
              <w:pStyle w:val="61"/>
              <w:spacing w:before="62" w:beforeLines="20" w:after="62" w:afterLines="20"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（1）比选小组将与通过初步评审的有效供应商按照</w:t>
            </w:r>
            <w:r>
              <w:rPr>
                <w:rFonts w:hint="eastAsia" w:ascii="仿宋" w:hAnsi="仿宋" w:eastAsia="仿宋" w:cs="仿宋"/>
                <w:color w:val="auto"/>
                <w:sz w:val="22"/>
                <w:szCs w:val="22"/>
                <w:highlight w:val="none"/>
                <w:u w:val="single"/>
              </w:rPr>
              <w:t>响应文件递交顺序/供应商随机抽取顺序/供应商名称首字A-Z顺序/其他方式</w:t>
            </w:r>
            <w:r>
              <w:rPr>
                <w:rFonts w:hint="eastAsia" w:ascii="仿宋" w:hAnsi="仿宋" w:eastAsia="仿宋" w:cs="仿宋"/>
                <w:color w:val="auto"/>
                <w:sz w:val="22"/>
                <w:szCs w:val="22"/>
                <w:highlight w:val="none"/>
              </w:rPr>
              <w:t>逐一进行比选，供应商至少应派法定代表人或其授权委托人准时参会。</w:t>
            </w:r>
          </w:p>
          <w:p>
            <w:pPr>
              <w:autoSpaceDE w:val="0"/>
              <w:autoSpaceDN w:val="0"/>
              <w:adjustRightInd w:val="0"/>
              <w:spacing w:line="400" w:lineRule="exact"/>
              <w:rPr>
                <w:rFonts w:hint="eastAsia" w:ascii="仿宋" w:hAnsi="仿宋" w:eastAsia="仿宋" w:cs="仿宋"/>
                <w:color w:val="auto"/>
                <w:highlight w:val="none"/>
              </w:rPr>
            </w:pPr>
            <w:r>
              <w:rPr>
                <w:rFonts w:hint="eastAsia" w:ascii="仿宋" w:hAnsi="仿宋" w:eastAsia="仿宋" w:cs="仿宋"/>
                <w:color w:val="auto"/>
                <w:sz w:val="22"/>
                <w:szCs w:val="22"/>
                <w:highlight w:val="none"/>
              </w:rPr>
              <w:t>（2）比选小组有权要求供应商对响应文件中含义不明确、同类问题表述不一致或者有明显文字错误的内容等进行澄清、说明或更正。第一轮比选结束后，供应商提交比选小组要求提供的其他文件，比选小组将视具体情况决定是否进行多轮比选。最后一轮比选结束后，供应商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2.1.1</w:t>
            </w:r>
            <w:r>
              <w:rPr>
                <w:rFonts w:hint="eastAsia" w:ascii="仿宋" w:hAnsi="仿宋" w:eastAsia="仿宋" w:cs="仿宋"/>
                <w:color w:val="auto"/>
                <w:sz w:val="24"/>
                <w:szCs w:val="24"/>
                <w:highlight w:val="none"/>
                <w:lang w:val="en-US" w:eastAsia="zh-CN"/>
              </w:rPr>
              <w:t>2</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比选内容</w:t>
            </w:r>
          </w:p>
        </w:tc>
        <w:tc>
          <w:tcPr>
            <w:tcW w:w="7199" w:type="dxa"/>
            <w:vAlign w:val="center"/>
          </w:tcPr>
          <w:p>
            <w:pPr>
              <w:autoSpaceDE w:val="0"/>
              <w:autoSpaceDN w:val="0"/>
              <w:adjustRightInd w:val="0"/>
              <w:spacing w:line="400" w:lineRule="exact"/>
              <w:ind w:left="146" w:leftChars="61" w:firstLine="2"/>
              <w:rPr>
                <w:rFonts w:hint="eastAsia" w:ascii="仿宋" w:hAnsi="仿宋" w:eastAsia="仿宋" w:cs="仿宋"/>
                <w:color w:val="auto"/>
                <w:highlight w:val="none"/>
              </w:rPr>
            </w:pPr>
            <w:r>
              <w:rPr>
                <w:rFonts w:hint="eastAsia" w:ascii="仿宋" w:hAnsi="仿宋" w:eastAsia="仿宋" w:cs="仿宋"/>
                <w:color w:val="auto"/>
                <w:sz w:val="22"/>
                <w:highlight w:val="none"/>
              </w:rPr>
              <w:t>包含但不仅限于</w:t>
            </w:r>
            <w:r>
              <w:rPr>
                <w:rFonts w:hint="eastAsia" w:ascii="仿宋" w:hAnsi="仿宋" w:eastAsia="仿宋" w:cs="仿宋"/>
                <w:color w:val="auto"/>
                <w:sz w:val="22"/>
                <w:highlight w:val="none"/>
                <w:u w:val="single"/>
              </w:rPr>
              <w:t>对采购需求的理解、</w:t>
            </w:r>
            <w:r>
              <w:rPr>
                <w:rFonts w:hint="eastAsia" w:ascii="仿宋" w:hAnsi="仿宋" w:eastAsia="仿宋" w:cs="仿宋"/>
                <w:color w:val="auto"/>
                <w:sz w:val="22"/>
                <w:highlight w:val="none"/>
                <w:u w:val="single"/>
                <w:lang w:eastAsia="zh-CN"/>
              </w:rPr>
              <w:t>资源覆盖、</w:t>
            </w:r>
            <w:r>
              <w:rPr>
                <w:rFonts w:hint="eastAsia" w:ascii="仿宋" w:hAnsi="仿宋" w:eastAsia="仿宋" w:cs="仿宋"/>
                <w:color w:val="auto"/>
                <w:sz w:val="22"/>
                <w:highlight w:val="none"/>
                <w:u w:val="single"/>
              </w:rPr>
              <w:t>技术方案、实施方案、人员配置、服务承诺、商务条款</w:t>
            </w:r>
            <w:r>
              <w:rPr>
                <w:rFonts w:hint="eastAsia" w:ascii="仿宋" w:hAnsi="仿宋" w:eastAsia="仿宋" w:cs="仿宋"/>
                <w:color w:val="auto"/>
                <w:sz w:val="22"/>
                <w:highlight w:val="none"/>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2.1.1</w:t>
            </w:r>
            <w:r>
              <w:rPr>
                <w:rFonts w:hint="eastAsia" w:ascii="仿宋" w:hAnsi="仿宋" w:eastAsia="仿宋" w:cs="仿宋"/>
                <w:color w:val="auto"/>
                <w:sz w:val="24"/>
                <w:szCs w:val="24"/>
                <w:highlight w:val="none"/>
                <w:lang w:val="en-US" w:eastAsia="zh-CN"/>
              </w:rPr>
              <w:t>3</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auto"/>
                <w:szCs w:val="21"/>
                <w:highlight w:val="none"/>
              </w:rPr>
            </w:pPr>
            <w:r>
              <w:rPr>
                <w:rFonts w:hint="eastAsia" w:ascii="仿宋" w:hAnsi="仿宋" w:eastAsia="仿宋" w:cs="仿宋"/>
                <w:color w:val="auto"/>
                <w:highlight w:val="none"/>
              </w:rPr>
              <w:t>成交候选人推荐原则</w:t>
            </w:r>
          </w:p>
        </w:tc>
        <w:tc>
          <w:tcPr>
            <w:tcW w:w="7199" w:type="dxa"/>
            <w:vAlign w:val="center"/>
          </w:tcPr>
          <w:p>
            <w:pPr>
              <w:autoSpaceDE w:val="0"/>
              <w:autoSpaceDN w:val="0"/>
              <w:adjustRightInd w:val="0"/>
              <w:spacing w:line="400" w:lineRule="exact"/>
              <w:ind w:left="146" w:leftChars="61" w:firstLine="2"/>
              <w:rPr>
                <w:rFonts w:hint="eastAsia" w:ascii="仿宋" w:hAnsi="仿宋" w:eastAsia="仿宋" w:cs="仿宋"/>
                <w:color w:val="auto"/>
                <w:highlight w:val="none"/>
              </w:rPr>
            </w:pPr>
            <w:r>
              <w:rPr>
                <w:rFonts w:hint="eastAsia" w:ascii="仿宋" w:hAnsi="仿宋" w:eastAsia="仿宋" w:cs="仿宋"/>
                <w:color w:val="auto"/>
                <w:sz w:val="22"/>
                <w:highlight w:val="none"/>
              </w:rPr>
              <w:t>比选小组根据有效供应商综合得分由高至低排出的名次，顺序推荐</w:t>
            </w:r>
            <w:r>
              <w:rPr>
                <w:rFonts w:hint="eastAsia" w:ascii="仿宋" w:hAnsi="仿宋" w:eastAsia="仿宋" w:cs="仿宋"/>
                <w:color w:val="auto"/>
                <w:sz w:val="22"/>
                <w:highlight w:val="none"/>
                <w:u w:val="single"/>
              </w:rPr>
              <w:t>综合得分前</w:t>
            </w:r>
            <w:r>
              <w:rPr>
                <w:rFonts w:hint="eastAsia" w:ascii="仿宋" w:hAnsi="仿宋" w:eastAsia="仿宋" w:cs="仿宋"/>
                <w:color w:val="auto"/>
                <w:sz w:val="22"/>
                <w:szCs w:val="22"/>
                <w:highlight w:val="none"/>
                <w:u w:val="single"/>
                <w:lang w:val="en-US" w:eastAsia="zh-CN"/>
              </w:rPr>
              <w:t>2</w:t>
            </w:r>
            <w:r>
              <w:rPr>
                <w:rFonts w:hint="eastAsia" w:ascii="仿宋" w:hAnsi="仿宋" w:eastAsia="仿宋" w:cs="仿宋"/>
                <w:color w:val="auto"/>
                <w:sz w:val="22"/>
                <w:highlight w:val="none"/>
                <w:u w:val="single"/>
              </w:rPr>
              <w:t>名</w:t>
            </w:r>
            <w:r>
              <w:rPr>
                <w:rFonts w:hint="eastAsia" w:ascii="仿宋" w:hAnsi="仿宋" w:eastAsia="仿宋" w:cs="仿宋"/>
                <w:color w:val="auto"/>
                <w:sz w:val="22"/>
                <w:highlight w:val="none"/>
              </w:rPr>
              <w:t>为成交候选人。综合得分相同时，</w:t>
            </w:r>
            <w:r>
              <w:rPr>
                <w:rFonts w:hint="eastAsia" w:ascii="仿宋" w:hAnsi="仿宋" w:eastAsia="仿宋" w:cs="仿宋"/>
                <w:color w:val="auto"/>
                <w:sz w:val="22"/>
                <w:highlight w:val="none"/>
                <w:lang w:eastAsia="zh-CN"/>
              </w:rPr>
              <w:t>资源覆盖</w:t>
            </w:r>
            <w:r>
              <w:rPr>
                <w:rFonts w:hint="eastAsia" w:ascii="仿宋" w:hAnsi="仿宋" w:eastAsia="仿宋" w:cs="仿宋"/>
                <w:color w:val="auto"/>
                <w:sz w:val="22"/>
                <w:highlight w:val="none"/>
              </w:rPr>
              <w:t>得分高者排名</w:t>
            </w:r>
            <w:r>
              <w:rPr>
                <w:rFonts w:hint="eastAsia" w:ascii="仿宋" w:hAnsi="仿宋" w:eastAsia="仿宋" w:cs="仿宋"/>
                <w:color w:val="auto"/>
                <w:highlight w:val="none"/>
              </w:rPr>
              <w:t>优先；</w:t>
            </w:r>
            <w:r>
              <w:rPr>
                <w:rFonts w:hint="eastAsia" w:ascii="仿宋" w:hAnsi="仿宋" w:eastAsia="仿宋" w:cs="仿宋"/>
                <w:color w:val="auto"/>
                <w:sz w:val="22"/>
                <w:highlight w:val="none"/>
                <w:lang w:eastAsia="zh-CN"/>
              </w:rPr>
              <w:t>资源覆盖</w:t>
            </w:r>
            <w:r>
              <w:rPr>
                <w:rFonts w:hint="eastAsia" w:ascii="仿宋" w:hAnsi="仿宋" w:eastAsia="仿宋" w:cs="仿宋"/>
                <w:color w:val="auto"/>
                <w:highlight w:val="none"/>
              </w:rPr>
              <w:t>得分也相同时，</w:t>
            </w:r>
            <w:r>
              <w:rPr>
                <w:rFonts w:hint="eastAsia" w:ascii="仿宋" w:hAnsi="仿宋" w:eastAsia="仿宋" w:cs="仿宋"/>
                <w:color w:val="auto"/>
                <w:highlight w:val="none"/>
                <w:u w:val="single"/>
                <w:lang w:eastAsia="zh-CN"/>
              </w:rPr>
              <w:t>服务</w:t>
            </w:r>
            <w:r>
              <w:rPr>
                <w:rFonts w:hint="eastAsia" w:ascii="仿宋" w:hAnsi="仿宋" w:eastAsia="仿宋" w:cs="仿宋"/>
                <w:color w:val="auto"/>
                <w:highlight w:val="none"/>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2.1.1</w:t>
            </w:r>
            <w:r>
              <w:rPr>
                <w:rFonts w:hint="eastAsia" w:ascii="仿宋" w:hAnsi="仿宋" w:eastAsia="仿宋" w:cs="仿宋"/>
                <w:color w:val="auto"/>
                <w:sz w:val="24"/>
                <w:szCs w:val="24"/>
                <w:highlight w:val="none"/>
                <w:lang w:val="en-US" w:eastAsia="zh-CN"/>
              </w:rPr>
              <w:t>4</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auto"/>
                <w:szCs w:val="21"/>
                <w:highlight w:val="none"/>
              </w:rPr>
            </w:pPr>
            <w:r>
              <w:rPr>
                <w:rFonts w:hint="eastAsia" w:ascii="仿宋" w:hAnsi="仿宋" w:eastAsia="仿宋" w:cs="仿宋"/>
                <w:color w:val="auto"/>
                <w:highlight w:val="none"/>
              </w:rPr>
              <w:t>成交人数量</w:t>
            </w:r>
          </w:p>
        </w:tc>
        <w:tc>
          <w:tcPr>
            <w:tcW w:w="7199" w:type="dxa"/>
            <w:vAlign w:val="center"/>
          </w:tcPr>
          <w:p>
            <w:pPr>
              <w:pStyle w:val="61"/>
              <w:spacing w:before="62" w:beforeLines="20" w:after="62" w:afterLines="20"/>
              <w:rPr>
                <w:rFonts w:hint="eastAsia" w:ascii="仿宋" w:hAnsi="仿宋" w:eastAsia="仿宋" w:cs="仿宋"/>
                <w:color w:val="auto"/>
                <w:sz w:val="22"/>
                <w:szCs w:val="22"/>
                <w:highlight w:val="none"/>
                <w:u w:val="single"/>
              </w:rPr>
            </w:pPr>
            <w:r>
              <w:rPr>
                <w:rFonts w:hint="eastAsia" w:ascii="仿宋" w:hAnsi="仿宋" w:eastAsia="仿宋" w:cs="仿宋"/>
                <w:color w:val="auto"/>
                <w:sz w:val="22"/>
                <w:szCs w:val="22"/>
                <w:highlight w:val="none"/>
              </w:rPr>
              <w:t>成交人数量：</w:t>
            </w:r>
            <w:r>
              <w:rPr>
                <w:rFonts w:hint="eastAsia" w:ascii="仿宋" w:hAnsi="仿宋" w:eastAsia="仿宋" w:cs="仿宋"/>
                <w:color w:val="auto"/>
                <w:sz w:val="22"/>
                <w:szCs w:val="22"/>
                <w:highlight w:val="none"/>
                <w:u w:val="single"/>
                <w:lang w:val="en-US" w:eastAsia="zh-CN"/>
              </w:rPr>
              <w:t>2</w:t>
            </w:r>
            <w:r>
              <w:rPr>
                <w:rFonts w:hint="eastAsia" w:ascii="仿宋" w:hAnsi="仿宋" w:eastAsia="仿宋" w:cs="仿宋"/>
                <w:color w:val="auto"/>
                <w:sz w:val="22"/>
                <w:szCs w:val="22"/>
                <w:highlight w:val="none"/>
                <w:u w:val="single"/>
              </w:rPr>
              <w:t>家</w:t>
            </w:r>
          </w:p>
          <w:p>
            <w:pPr>
              <w:autoSpaceDE w:val="0"/>
              <w:autoSpaceDN w:val="0"/>
              <w:adjustRightInd w:val="0"/>
              <w:spacing w:line="400" w:lineRule="exact"/>
              <w:rPr>
                <w:rFonts w:hint="eastAsia" w:ascii="仿宋" w:hAnsi="仿宋" w:eastAsia="仿宋" w:cs="仿宋"/>
                <w:color w:val="auto"/>
                <w:highlight w:val="none"/>
              </w:rPr>
            </w:pPr>
            <w:r>
              <w:rPr>
                <w:rFonts w:hint="eastAsia" w:ascii="仿宋" w:hAnsi="仿宋" w:eastAsia="仿宋" w:cs="仿宋"/>
                <w:color w:val="auto"/>
                <w:sz w:val="22"/>
                <w:szCs w:val="22"/>
                <w:highlight w:val="none"/>
                <w:u w:val="single"/>
              </w:rPr>
              <w:t>综合排名前</w:t>
            </w:r>
            <w:r>
              <w:rPr>
                <w:rFonts w:hint="eastAsia" w:ascii="仿宋" w:hAnsi="仿宋" w:eastAsia="仿宋" w:cs="仿宋"/>
                <w:color w:val="auto"/>
                <w:sz w:val="22"/>
                <w:szCs w:val="22"/>
                <w:highlight w:val="none"/>
                <w:u w:val="single"/>
                <w:lang w:val="en-US" w:eastAsia="zh-CN"/>
              </w:rPr>
              <w:t>2</w:t>
            </w:r>
            <w:r>
              <w:rPr>
                <w:rFonts w:hint="eastAsia" w:ascii="仿宋" w:hAnsi="仿宋" w:eastAsia="仿宋" w:cs="仿宋"/>
                <w:color w:val="auto"/>
                <w:sz w:val="22"/>
                <w:szCs w:val="22"/>
                <w:highlight w:val="none"/>
                <w:u w:val="single"/>
              </w:rPr>
              <w:t>位中的某一个</w:t>
            </w:r>
            <w:r>
              <w:rPr>
                <w:rFonts w:hint="eastAsia" w:ascii="仿宋" w:hAnsi="仿宋" w:eastAsia="仿宋" w:cs="仿宋"/>
                <w:color w:val="auto"/>
                <w:sz w:val="22"/>
                <w:szCs w:val="22"/>
                <w:highlight w:val="none"/>
              </w:rPr>
              <w:t>成交候选人放弃成交、因不可抗力不能履行合同、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02"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2.1.1</w:t>
            </w:r>
            <w:r>
              <w:rPr>
                <w:rFonts w:hint="eastAsia" w:ascii="仿宋" w:hAnsi="仿宋" w:eastAsia="仿宋" w:cs="仿宋"/>
                <w:color w:val="auto"/>
                <w:sz w:val="24"/>
                <w:szCs w:val="24"/>
                <w:highlight w:val="none"/>
                <w:lang w:val="en-US" w:eastAsia="zh-CN"/>
              </w:rPr>
              <w:t>5</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auto"/>
                <w:highlight w:val="none"/>
              </w:rPr>
            </w:pPr>
            <w:r>
              <w:rPr>
                <w:rFonts w:hint="eastAsia" w:ascii="仿宋" w:hAnsi="仿宋" w:eastAsia="仿宋" w:cs="仿宋"/>
                <w:color w:val="auto"/>
                <w:szCs w:val="21"/>
                <w:highlight w:val="none"/>
              </w:rPr>
              <w:t>履约保证金</w:t>
            </w:r>
          </w:p>
        </w:tc>
        <w:tc>
          <w:tcPr>
            <w:tcW w:w="7199" w:type="dxa"/>
            <w:vAlign w:val="center"/>
          </w:tcPr>
          <w:p>
            <w:pPr>
              <w:pStyle w:val="61"/>
              <w:spacing w:before="62" w:beforeLines="20" w:after="62" w:afterLines="20"/>
              <w:rPr>
                <w:rFonts w:hint="eastAsia" w:ascii="仿宋" w:hAnsi="仿宋" w:eastAsia="仿宋" w:cs="仿宋"/>
                <w:color w:val="auto"/>
                <w:highlight w:val="none"/>
              </w:rPr>
            </w:pPr>
            <w:r>
              <w:rPr>
                <w:rFonts w:hint="eastAsia" w:ascii="仿宋" w:hAnsi="仿宋" w:eastAsia="仿宋" w:cs="仿宋"/>
                <w:color w:val="auto"/>
                <w:highlight w:val="none"/>
              </w:rPr>
              <w:t>□收取，形式及比例：</w:t>
            </w:r>
          </w:p>
          <w:p>
            <w:pPr>
              <w:pStyle w:val="61"/>
              <w:spacing w:before="62" w:beforeLines="20" w:after="62" w:afterLines="20"/>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2.1.1</w:t>
            </w:r>
            <w:r>
              <w:rPr>
                <w:rFonts w:hint="eastAsia" w:ascii="仿宋" w:hAnsi="仿宋" w:eastAsia="仿宋" w:cs="仿宋"/>
                <w:color w:val="auto"/>
                <w:sz w:val="24"/>
                <w:szCs w:val="24"/>
                <w:highlight w:val="none"/>
                <w:lang w:val="en-US" w:eastAsia="zh-CN"/>
              </w:rPr>
              <w:t>6</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合同签署</w:t>
            </w:r>
          </w:p>
        </w:tc>
        <w:tc>
          <w:tcPr>
            <w:tcW w:w="7199" w:type="dxa"/>
            <w:vAlign w:val="center"/>
          </w:tcPr>
          <w:p>
            <w:pPr>
              <w:autoSpaceDE w:val="0"/>
              <w:autoSpaceDN w:val="0"/>
              <w:adjustRightInd w:val="0"/>
              <w:spacing w:line="400" w:lineRule="exact"/>
              <w:ind w:left="146" w:leftChars="61" w:firstLine="2"/>
              <w:rPr>
                <w:rFonts w:hint="eastAsia" w:ascii="仿宋" w:hAnsi="仿宋" w:eastAsia="仿宋" w:cs="仿宋"/>
                <w:color w:val="auto"/>
                <w:szCs w:val="21"/>
                <w:highlight w:val="none"/>
                <w:lang w:val="zh-CN"/>
              </w:rPr>
            </w:pPr>
            <w:r>
              <w:rPr>
                <w:rFonts w:hint="eastAsia" w:ascii="仿宋" w:hAnsi="仿宋" w:eastAsia="仿宋" w:cs="仿宋"/>
                <w:color w:val="auto"/>
                <w:sz w:val="22"/>
                <w:highlight w:val="none"/>
              </w:rPr>
              <w:t>项目采购人为人保财险</w:t>
            </w:r>
            <w:r>
              <w:rPr>
                <w:rFonts w:hint="eastAsia" w:ascii="仿宋" w:hAnsi="仿宋" w:eastAsia="仿宋" w:cs="仿宋"/>
                <w:color w:val="auto"/>
                <w:sz w:val="22"/>
                <w:highlight w:val="none"/>
                <w:lang w:eastAsia="zh-CN"/>
              </w:rPr>
              <w:t>宜宾市</w:t>
            </w:r>
            <w:r>
              <w:rPr>
                <w:rFonts w:hint="eastAsia" w:ascii="仿宋" w:hAnsi="仿宋" w:eastAsia="仿宋" w:cs="仿宋"/>
                <w:color w:val="auto"/>
                <w:sz w:val="22"/>
                <w:highlight w:val="none"/>
              </w:rPr>
              <w:t>分公司，实际合同签署人为人保财险</w:t>
            </w:r>
            <w:r>
              <w:rPr>
                <w:rFonts w:hint="eastAsia" w:ascii="仿宋" w:hAnsi="仿宋" w:eastAsia="仿宋" w:cs="仿宋"/>
                <w:color w:val="auto"/>
                <w:sz w:val="22"/>
                <w:highlight w:val="none"/>
                <w:lang w:eastAsia="zh-CN"/>
              </w:rPr>
              <w:t>宜宾市</w:t>
            </w:r>
            <w:r>
              <w:rPr>
                <w:rFonts w:hint="eastAsia" w:ascii="仿宋" w:hAnsi="仿宋" w:eastAsia="仿宋" w:cs="仿宋"/>
                <w:color w:val="auto"/>
                <w:sz w:val="22"/>
                <w:highlight w:val="none"/>
              </w:rPr>
              <w:t>分公司。</w:t>
            </w:r>
          </w:p>
        </w:tc>
      </w:tr>
    </w:tbl>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4"/>
        <w:jc w:val="center"/>
        <w:rPr>
          <w:rFonts w:hint="eastAsia" w:ascii="仿宋" w:hAnsi="仿宋" w:eastAsia="仿宋" w:cs="仿宋"/>
          <w:color w:val="auto"/>
          <w:sz w:val="24"/>
          <w:szCs w:val="24"/>
          <w:highlight w:val="none"/>
        </w:rPr>
      </w:pPr>
      <w:bookmarkStart w:id="17" w:name="_Toc517281816"/>
      <w:bookmarkStart w:id="18" w:name="_Toc20514"/>
      <w:bookmarkStart w:id="19" w:name="_Toc444891336"/>
      <w:bookmarkStart w:id="20" w:name="_Toc27232"/>
      <w:bookmarkStart w:id="21" w:name="_Toc287600118"/>
      <w:bookmarkStart w:id="22" w:name="_Toc6047"/>
      <w:bookmarkStart w:id="23" w:name="_Toc19783313"/>
      <w:bookmarkStart w:id="24" w:name="_Toc11071"/>
      <w:bookmarkStart w:id="25" w:name="_Toc15468"/>
      <w:bookmarkStart w:id="26" w:name="_Toc27220"/>
      <w:r>
        <w:rPr>
          <w:rFonts w:hint="eastAsia" w:ascii="仿宋" w:hAnsi="仿宋" w:eastAsia="仿宋" w:cs="仿宋"/>
          <w:color w:val="auto"/>
          <w:sz w:val="24"/>
          <w:szCs w:val="24"/>
          <w:highlight w:val="none"/>
        </w:rPr>
        <w:t>二、供应商须知</w:t>
      </w:r>
      <w:bookmarkEnd w:id="17"/>
      <w:bookmarkEnd w:id="18"/>
      <w:bookmarkEnd w:id="19"/>
      <w:bookmarkEnd w:id="20"/>
      <w:bookmarkEnd w:id="21"/>
      <w:bookmarkEnd w:id="22"/>
      <w:bookmarkEnd w:id="23"/>
      <w:bookmarkEnd w:id="24"/>
      <w:r>
        <w:rPr>
          <w:rFonts w:hint="eastAsia" w:ascii="仿宋" w:hAnsi="仿宋" w:eastAsia="仿宋" w:cs="仿宋"/>
          <w:color w:val="auto"/>
          <w:sz w:val="24"/>
          <w:szCs w:val="24"/>
          <w:highlight w:val="none"/>
        </w:rPr>
        <w:t>正文</w:t>
      </w:r>
      <w:bookmarkEnd w:id="25"/>
      <w:bookmarkEnd w:id="26"/>
    </w:p>
    <w:p>
      <w:pPr>
        <w:pStyle w:val="5"/>
        <w:spacing w:before="0" w:after="0" w:line="360" w:lineRule="auto"/>
        <w:ind w:firstLine="482"/>
        <w:rPr>
          <w:rFonts w:hint="eastAsia" w:ascii="仿宋" w:hAnsi="仿宋" w:eastAsia="仿宋" w:cs="仿宋"/>
          <w:color w:val="auto"/>
          <w:sz w:val="24"/>
          <w:szCs w:val="24"/>
          <w:highlight w:val="none"/>
        </w:rPr>
      </w:pPr>
      <w:bookmarkStart w:id="27" w:name="_Toc444891337"/>
      <w:bookmarkStart w:id="28" w:name="_Toc22969"/>
      <w:bookmarkStart w:id="29" w:name="_Toc16441"/>
      <w:bookmarkStart w:id="30" w:name="_Toc3678"/>
      <w:bookmarkStart w:id="31" w:name="_Toc431"/>
      <w:bookmarkStart w:id="32" w:name="_Toc6681"/>
      <w:bookmarkStart w:id="33" w:name="_Toc11851"/>
      <w:bookmarkStart w:id="34" w:name="_Toc20560"/>
      <w:bookmarkStart w:id="35" w:name="_Toc19783314"/>
      <w:bookmarkStart w:id="36" w:name="_Toc287600119"/>
      <w:bookmarkStart w:id="37" w:name="_Toc517281817"/>
      <w:r>
        <w:rPr>
          <w:rFonts w:hint="eastAsia" w:ascii="仿宋" w:hAnsi="仿宋" w:eastAsia="仿宋" w:cs="仿宋"/>
          <w:color w:val="auto"/>
          <w:sz w:val="24"/>
          <w:szCs w:val="24"/>
          <w:highlight w:val="none"/>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1.项目说明</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本项目按照中华人民共和国有关法律、行政法规和部门规章以及采购人的采购管理制度，通过比选方式确定签约供应商。</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2.采购范围</w:t>
      </w:r>
    </w:p>
    <w:p>
      <w:pPr>
        <w:tabs>
          <w:tab w:val="left" w:pos="3150"/>
          <w:tab w:val="left" w:pos="3780"/>
        </w:tabs>
        <w:spacing w:line="360" w:lineRule="auto"/>
        <w:rPr>
          <w:rFonts w:hint="eastAsia" w:ascii="仿宋" w:hAnsi="仿宋" w:eastAsia="仿宋" w:cs="仿宋"/>
          <w:bCs/>
          <w:color w:val="auto"/>
          <w:highlight w:val="none"/>
        </w:rPr>
      </w:pP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rPr>
        <w:t>，</w:t>
      </w:r>
      <w:r>
        <w:rPr>
          <w:rFonts w:hint="eastAsia" w:ascii="仿宋" w:hAnsi="仿宋" w:eastAsia="仿宋" w:cs="仿宋"/>
          <w:bCs/>
          <w:color w:val="auto"/>
          <w:highlight w:val="none"/>
        </w:rPr>
        <w:t>详细内容详见第五章采购需求。</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3.资金来源</w:t>
      </w:r>
    </w:p>
    <w:p>
      <w:pPr>
        <w:tabs>
          <w:tab w:val="left" w:pos="3150"/>
          <w:tab w:val="left" w:pos="3780"/>
        </w:tabs>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资金来源于采购人或其子公司（含分支机构）自筹（比例100%），且资金已落实。</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4.资格审查</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仿宋"/>
          <w:color w:val="auto"/>
          <w:highlight w:val="none"/>
          <w:u w:val="single"/>
        </w:rPr>
        <w:t>详见本须知前附表。</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5.比选响应费用</w:t>
      </w:r>
    </w:p>
    <w:p>
      <w:pPr>
        <w:spacing w:line="360" w:lineRule="auto"/>
        <w:textAlignment w:val="baseline"/>
        <w:rPr>
          <w:rFonts w:hint="eastAsia" w:ascii="仿宋" w:hAnsi="仿宋" w:eastAsia="仿宋" w:cs="仿宋"/>
          <w:color w:val="auto"/>
          <w:highlight w:val="none"/>
        </w:rPr>
      </w:pPr>
      <w:r>
        <w:rPr>
          <w:rFonts w:hint="eastAsia" w:ascii="仿宋" w:hAnsi="仿宋" w:eastAsia="仿宋" w:cs="仿宋"/>
          <w:color w:val="auto"/>
          <w:highlight w:val="none"/>
        </w:rPr>
        <w:t>不论结果如何，供应商自行承担所有准备和参与本次比选响应的有关费用。</w:t>
      </w:r>
    </w:p>
    <w:p>
      <w:pPr>
        <w:pStyle w:val="5"/>
        <w:spacing w:after="0" w:line="360" w:lineRule="auto"/>
        <w:ind w:firstLine="482"/>
        <w:rPr>
          <w:rFonts w:hint="eastAsia" w:ascii="仿宋" w:hAnsi="仿宋" w:eastAsia="仿宋" w:cs="仿宋"/>
          <w:color w:val="auto"/>
          <w:sz w:val="24"/>
          <w:szCs w:val="24"/>
          <w:highlight w:val="none"/>
        </w:rPr>
      </w:pPr>
      <w:bookmarkStart w:id="38" w:name="_Toc24246"/>
      <w:bookmarkStart w:id="39" w:name="_Toc31217"/>
      <w:bookmarkStart w:id="40" w:name="_Toc3016"/>
      <w:bookmarkStart w:id="41" w:name="_Toc14164"/>
      <w:bookmarkStart w:id="42" w:name="_Toc5255"/>
      <w:bookmarkStart w:id="43" w:name="_Toc517281818"/>
      <w:bookmarkStart w:id="44" w:name="_Toc25513"/>
      <w:bookmarkStart w:id="45" w:name="_Toc19783315"/>
      <w:bookmarkStart w:id="46" w:name="_Toc287600120"/>
      <w:bookmarkStart w:id="47" w:name="_Toc444891338"/>
      <w:bookmarkStart w:id="48" w:name="_Toc10975"/>
      <w:r>
        <w:rPr>
          <w:rFonts w:hint="eastAsia" w:ascii="仿宋" w:hAnsi="仿宋" w:eastAsia="仿宋" w:cs="仿宋"/>
          <w:color w:val="auto"/>
          <w:sz w:val="24"/>
          <w:szCs w:val="24"/>
          <w:highlight w:val="none"/>
        </w:rPr>
        <w:t>（二）比选文件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6.比选文件的组成</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6.1比选文件包括下列内容：</w:t>
      </w:r>
    </w:p>
    <w:p>
      <w:pPr>
        <w:pStyle w:val="16"/>
        <w:widowControl/>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第一章 竞争性谈判邀请</w:t>
      </w:r>
    </w:p>
    <w:p>
      <w:pPr>
        <w:pStyle w:val="16"/>
        <w:widowControl/>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第二章 供应商须知</w:t>
      </w:r>
    </w:p>
    <w:p>
      <w:pPr>
        <w:pStyle w:val="16"/>
        <w:widowControl/>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第三章 评审办法</w:t>
      </w:r>
    </w:p>
    <w:p>
      <w:pPr>
        <w:pStyle w:val="16"/>
        <w:widowControl/>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第四章 合同格式</w:t>
      </w:r>
    </w:p>
    <w:p>
      <w:pPr>
        <w:tabs>
          <w:tab w:val="left" w:pos="540"/>
          <w:tab w:val="left" w:pos="720"/>
        </w:tabs>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第五章 采购需求</w:t>
      </w:r>
    </w:p>
    <w:p>
      <w:pPr>
        <w:tabs>
          <w:tab w:val="left" w:pos="540"/>
          <w:tab w:val="left" w:pos="720"/>
        </w:tabs>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第六章 响应文件格式</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6.2采购人在比选文件中以显著的方式标明实质性要求、条件以及不满足实质性要求和条件的响应文件将被否决的提示。实质性标识方式和具体要求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7.比选文件的修改</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7.1在响应文件递交截止时间前，无论出于何种原因，采购人可主动地或在解答供应商要求澄清的问题时对比选文件进行修改。</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7.2供应商有权要求采购人对比选文件中的有关问题进行答疑、澄清。</w:t>
      </w:r>
    </w:p>
    <w:p>
      <w:pPr>
        <w:pStyle w:val="2"/>
        <w:snapToGrid w:val="0"/>
        <w:spacing w:after="0" w:line="360" w:lineRule="auto"/>
        <w:ind w:right="-57"/>
        <w:jc w:val="both"/>
        <w:rPr>
          <w:rFonts w:hint="eastAsia" w:ascii="仿宋" w:hAnsi="仿宋" w:eastAsia="仿宋" w:cs="仿宋"/>
          <w:color w:val="auto"/>
          <w:highlight w:val="none"/>
        </w:rPr>
      </w:pPr>
      <w:r>
        <w:rPr>
          <w:rFonts w:hint="eastAsia" w:ascii="仿宋" w:hAnsi="仿宋" w:eastAsia="仿宋" w:cs="仿宋"/>
          <w:color w:val="auto"/>
          <w:highlight w:val="none"/>
        </w:rPr>
        <w:t>7.3供应商对比选文件如有疑问,应在首次响应文件递交截止时间前按比选文件</w:t>
      </w:r>
      <w:r>
        <w:rPr>
          <w:rFonts w:hint="eastAsia" w:ascii="仿宋" w:hAnsi="仿宋" w:eastAsia="仿宋" w:cs="仿宋"/>
          <w:color w:val="auto"/>
          <w:spacing w:val="-3"/>
          <w:highlight w:val="none"/>
        </w:rPr>
        <w:t>中的联系方式，通知采购人。采购人将视情况采用适当方式予</w:t>
      </w:r>
      <w:r>
        <w:rPr>
          <w:rFonts w:hint="eastAsia" w:ascii="仿宋" w:hAnsi="仿宋" w:eastAsia="仿宋" w:cs="仿宋"/>
          <w:color w:val="auto"/>
          <w:highlight w:val="none"/>
        </w:rPr>
        <w:t>以澄清或以书面形式予以答复。</w:t>
      </w:r>
      <w:r>
        <w:rPr>
          <w:rFonts w:hint="eastAsia" w:ascii="仿宋" w:hAnsi="仿宋" w:eastAsia="仿宋" w:cs="仿宋"/>
          <w:color w:val="auto"/>
          <w:spacing w:val="-3"/>
          <w:highlight w:val="none"/>
        </w:rPr>
        <w:t>供应商在收到上述通知后，应立即向采购人回复确认。供</w:t>
      </w:r>
      <w:r>
        <w:rPr>
          <w:rFonts w:hint="eastAsia" w:ascii="仿宋" w:hAnsi="仿宋" w:eastAsia="仿宋" w:cs="仿宋"/>
          <w:color w:val="auto"/>
          <w:highlight w:val="none"/>
        </w:rPr>
        <w:t>应商将被视为编制响应文件时已考虑了上述修改。</w:t>
      </w:r>
    </w:p>
    <w:p>
      <w:pPr>
        <w:pStyle w:val="2"/>
        <w:snapToGrid w:val="0"/>
        <w:spacing w:after="0" w:line="360" w:lineRule="auto"/>
        <w:ind w:right="-57"/>
        <w:jc w:val="both"/>
        <w:rPr>
          <w:rFonts w:hint="eastAsia" w:ascii="仿宋" w:hAnsi="仿宋" w:eastAsia="仿宋" w:cs="仿宋"/>
          <w:color w:val="auto"/>
          <w:highlight w:val="none"/>
        </w:rPr>
      </w:pPr>
      <w:r>
        <w:rPr>
          <w:rFonts w:hint="eastAsia" w:ascii="仿宋" w:hAnsi="仿宋" w:eastAsia="仿宋" w:cs="仿宋"/>
          <w:color w:val="auto"/>
          <w:highlight w:val="none"/>
        </w:rPr>
        <w:t>7.4对于比选文件的修改，如影响供应商响应文件编制的，</w:t>
      </w:r>
      <w:r>
        <w:rPr>
          <w:rFonts w:hint="eastAsia" w:ascii="仿宋" w:hAnsi="仿宋" w:eastAsia="仿宋" w:cs="仿宋"/>
          <w:color w:val="auto"/>
          <w:spacing w:val="-3"/>
          <w:highlight w:val="none"/>
        </w:rPr>
        <w:t>采购人应推迟响应文件递交截止日期，并以书面或邮件形式通知所有已获取比选文件</w:t>
      </w:r>
      <w:r>
        <w:rPr>
          <w:rFonts w:hint="eastAsia" w:ascii="仿宋" w:hAnsi="仿宋" w:eastAsia="仿宋" w:cs="仿宋"/>
          <w:color w:val="auto"/>
          <w:highlight w:val="none"/>
        </w:rPr>
        <w:t>的供应商。</w:t>
      </w:r>
    </w:p>
    <w:p>
      <w:pPr>
        <w:pStyle w:val="2"/>
        <w:snapToGrid w:val="0"/>
        <w:spacing w:after="0" w:line="360" w:lineRule="auto"/>
        <w:ind w:right="-57"/>
        <w:jc w:val="both"/>
        <w:rPr>
          <w:rFonts w:hint="eastAsia" w:ascii="仿宋" w:hAnsi="仿宋" w:eastAsia="仿宋" w:cs="仿宋"/>
          <w:color w:val="auto"/>
          <w:highlight w:val="none"/>
        </w:rPr>
      </w:pPr>
      <w:r>
        <w:rPr>
          <w:rFonts w:hint="eastAsia" w:ascii="仿宋" w:hAnsi="仿宋" w:eastAsia="仿宋" w:cs="仿宋"/>
          <w:color w:val="auto"/>
          <w:highlight w:val="none"/>
        </w:rPr>
        <w:t>7.5任何对比选文件的澄清均为比选文件的组成部分，并具有同等的法律效力。如比选文件的澄清与比选文件有矛盾，以日期后的为准。</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8.比选响应预备会</w:t>
      </w:r>
    </w:p>
    <w:p>
      <w:pPr>
        <w:spacing w:line="360" w:lineRule="auto"/>
        <w:textAlignment w:val="baseline"/>
        <w:rPr>
          <w:rFonts w:hint="eastAsia" w:ascii="仿宋" w:hAnsi="仿宋" w:eastAsia="仿宋" w:cs="仿宋"/>
          <w:color w:val="auto"/>
          <w:highlight w:val="none"/>
          <w:u w:val="single"/>
        </w:rPr>
      </w:pPr>
      <w:r>
        <w:rPr>
          <w:rFonts w:hint="eastAsia" w:ascii="仿宋" w:hAnsi="仿宋" w:eastAsia="仿宋" w:cs="仿宋"/>
          <w:color w:val="auto"/>
          <w:highlight w:val="none"/>
        </w:rPr>
        <w:t>采购人认为必要时，将召开比选响应预备会(答疑会)，公开解答潜在供应商对比选文件提出的疑问。</w:t>
      </w:r>
    </w:p>
    <w:p>
      <w:pPr>
        <w:pStyle w:val="5"/>
        <w:spacing w:after="0" w:line="360" w:lineRule="auto"/>
        <w:jc w:val="left"/>
        <w:rPr>
          <w:rFonts w:hint="eastAsia" w:ascii="仿宋" w:hAnsi="仿宋" w:eastAsia="仿宋" w:cs="仿宋"/>
          <w:color w:val="auto"/>
          <w:sz w:val="24"/>
          <w:szCs w:val="24"/>
          <w:highlight w:val="none"/>
        </w:rPr>
      </w:pPr>
      <w:bookmarkStart w:id="49" w:name="_Toc19783316"/>
      <w:bookmarkStart w:id="50" w:name="_Toc1302"/>
      <w:bookmarkStart w:id="51" w:name="_Toc13691"/>
      <w:bookmarkStart w:id="52" w:name="_Toc16985"/>
      <w:bookmarkStart w:id="53" w:name="_Toc31141"/>
      <w:bookmarkStart w:id="54" w:name="_Toc517281819"/>
      <w:bookmarkStart w:id="55" w:name="_Toc287600121"/>
      <w:bookmarkStart w:id="56" w:name="_Toc27563"/>
      <w:bookmarkStart w:id="57" w:name="_Toc27642"/>
      <w:bookmarkStart w:id="58" w:name="_Toc444891339"/>
      <w:bookmarkStart w:id="59" w:name="_Toc14308"/>
      <w:r>
        <w:rPr>
          <w:rFonts w:hint="eastAsia" w:ascii="仿宋" w:hAnsi="仿宋" w:eastAsia="仿宋" w:cs="仿宋"/>
          <w:color w:val="auto"/>
          <w:sz w:val="24"/>
          <w:szCs w:val="24"/>
          <w:highlight w:val="none"/>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9.响应文件的组成</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供应商应当按照供应商须知前附表的要求制作并提交响应文件，具体组成</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10.响应文件的编制</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10.3 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10.4 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10.5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10.6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w:t>
      </w:r>
      <w:bookmarkStart w:id="60" w:name="_Hlk173250545"/>
    </w:p>
    <w:bookmarkEnd w:id="60"/>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10.7除工程规范另有规定外，响应文件使用的度量衡单位，均采用中华人民共和国法定计量单位。</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.比选响应有效期</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.1 比选响应有效期从响应文件递交截止之日起算，具体时间</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.响应文件的式样、密封和标记</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.1 供应商应当编制一份响应文件“正本”和</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rPr>
        <w:t xml:space="preserve">所述份数的“副本”，副本为正本复印件。响应文件正本与副本不一致时，以正本为准。 </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.2 每份纸质文件响应文件的正本、副本应当分别装订，并于封面上明确标明“正本”“副本”字样。具体要求</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.3 对于比选文件中提及的原件或复印件要求，照片件、扫描件、影印件、截图件等与其具有同等效力（比选文件有特殊要求的除外）。</w:t>
      </w:r>
    </w:p>
    <w:p>
      <w:pPr>
        <w:pStyle w:val="5"/>
        <w:spacing w:after="0" w:line="360" w:lineRule="auto"/>
        <w:ind w:firstLine="482"/>
        <w:jc w:val="both"/>
        <w:rPr>
          <w:rFonts w:hint="eastAsia" w:ascii="仿宋" w:hAnsi="仿宋" w:eastAsia="仿宋" w:cs="仿宋"/>
          <w:color w:val="auto"/>
          <w:sz w:val="24"/>
          <w:szCs w:val="24"/>
          <w:highlight w:val="none"/>
        </w:rPr>
      </w:pPr>
      <w:bookmarkStart w:id="61" w:name="_Toc19783317"/>
      <w:bookmarkStart w:id="62" w:name="_Toc4155"/>
      <w:bookmarkStart w:id="63" w:name="_Toc287600122"/>
      <w:bookmarkStart w:id="64" w:name="_Toc21600"/>
      <w:bookmarkStart w:id="65" w:name="_Toc444891340"/>
      <w:bookmarkStart w:id="66" w:name="_Toc18673"/>
      <w:bookmarkStart w:id="67" w:name="_Toc517281820"/>
      <w:bookmarkStart w:id="68" w:name="_Toc7129"/>
      <w:bookmarkStart w:id="69" w:name="_Toc14726"/>
      <w:bookmarkStart w:id="70" w:name="_Toc17865"/>
      <w:bookmarkStart w:id="71" w:name="_Toc25533"/>
      <w:r>
        <w:rPr>
          <w:rFonts w:hint="eastAsia" w:ascii="仿宋" w:hAnsi="仿宋" w:eastAsia="仿宋" w:cs="仿宋"/>
          <w:color w:val="auto"/>
          <w:sz w:val="24"/>
          <w:szCs w:val="24"/>
          <w:highlight w:val="none"/>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auto"/>
          <w:sz w:val="24"/>
          <w:szCs w:val="24"/>
          <w:highlight w:val="none"/>
        </w:rPr>
        <w:t>递交</w:t>
      </w:r>
      <w:bookmarkEnd w:id="70"/>
      <w:bookmarkEnd w:id="71"/>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.响应文件的递交</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.1供应商应按</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rPr>
        <w:t>规定的时间、方式递交响应文件。</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.2出现下列情形之一时，</w:t>
      </w:r>
      <w:r>
        <w:rPr>
          <w:rFonts w:hint="eastAsia" w:ascii="仿宋" w:hAnsi="仿宋" w:eastAsia="仿宋" w:cs="仿宋"/>
          <w:b/>
          <w:bCs/>
          <w:color w:val="auto"/>
          <w:highlight w:val="none"/>
        </w:rPr>
        <w:t>响应文件不予接收或已经递交的响应文件无效；</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）纸质响应文件逾期递交或者未送达指定地点或者未按照比选文件要求封装的；</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）未按比选公告或者响应公告书要求获得本项目比选文件的。</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.响应文件的修改、撤回和撤销</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.1</w:t>
      </w:r>
      <w:r>
        <w:rPr>
          <w:rFonts w:hint="eastAsia" w:ascii="仿宋" w:hAnsi="仿宋" w:eastAsia="仿宋" w:cs="仿宋"/>
          <w:color w:val="auto"/>
          <w:spacing w:val="-4"/>
          <w:highlight w:val="none"/>
        </w:rPr>
        <w:t>在</w:t>
      </w:r>
      <w:r>
        <w:rPr>
          <w:rFonts w:hint="eastAsia" w:ascii="仿宋" w:hAnsi="仿宋" w:eastAsia="仿宋" w:cs="仿宋"/>
          <w:color w:val="auto"/>
          <w:highlight w:val="none"/>
        </w:rPr>
        <w:t>比选文件</w:t>
      </w:r>
      <w:r>
        <w:rPr>
          <w:rFonts w:hint="eastAsia" w:ascii="仿宋" w:hAnsi="仿宋" w:eastAsia="仿宋" w:cs="仿宋"/>
          <w:color w:val="auto"/>
          <w:spacing w:val="-4"/>
          <w:highlight w:val="none"/>
        </w:rPr>
        <w:t>规定的</w:t>
      </w:r>
      <w:r>
        <w:rPr>
          <w:rFonts w:hint="eastAsia" w:ascii="仿宋" w:hAnsi="仿宋" w:eastAsia="仿宋" w:cs="仿宋"/>
          <w:color w:val="auto"/>
          <w:highlight w:val="none"/>
        </w:rPr>
        <w:t>响应文件</w:t>
      </w:r>
      <w:r>
        <w:rPr>
          <w:rFonts w:hint="eastAsia" w:ascii="仿宋" w:hAnsi="仿宋" w:eastAsia="仿宋" w:cs="仿宋"/>
          <w:color w:val="auto"/>
          <w:spacing w:val="-4"/>
          <w:highlight w:val="none"/>
        </w:rPr>
        <w:t>递交截止时间前，</w:t>
      </w:r>
      <w:r>
        <w:rPr>
          <w:rFonts w:hint="eastAsia" w:ascii="仿宋" w:hAnsi="仿宋" w:eastAsia="仿宋" w:cs="仿宋"/>
          <w:color w:val="auto"/>
          <w:highlight w:val="none"/>
        </w:rPr>
        <w:t>可以补充、修改或撤回已提交的响应文件。补充、修改的内容为响应文件的组成部分，应当在响应文件递交截止时间前按照比选文件的规定进行递交。</w:t>
      </w:r>
    </w:p>
    <w:p>
      <w:pPr>
        <w:pStyle w:val="2"/>
        <w:spacing w:line="360" w:lineRule="auto"/>
        <w:rPr>
          <w:rFonts w:hint="eastAsia" w:ascii="仿宋" w:hAnsi="仿宋" w:eastAsia="仿宋" w:cs="仿宋"/>
          <w:color w:val="auto"/>
          <w:highlight w:val="none"/>
        </w:rPr>
      </w:pPr>
      <w:bookmarkStart w:id="72" w:name="_Toc152045558"/>
      <w:bookmarkStart w:id="73" w:name="_Toc246996202"/>
      <w:bookmarkStart w:id="74" w:name="_Toc334766948"/>
      <w:bookmarkStart w:id="75" w:name="_Toc152042334"/>
      <w:bookmarkStart w:id="76" w:name="_Toc144974526"/>
      <w:bookmarkStart w:id="77" w:name="_Toc326223561"/>
      <w:bookmarkStart w:id="78" w:name="_Toc247085716"/>
      <w:bookmarkStart w:id="79" w:name="_Toc332188194"/>
      <w:bookmarkStart w:id="80" w:name="_Toc246996945"/>
      <w:bookmarkStart w:id="81" w:name="_Toc179632576"/>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auto"/>
          <w:highlight w:val="none"/>
        </w:rPr>
        <w:t xml:space="preserve"> 响应文件递交截止时间后，供应商在响应有效期内撤销其响应文件，比选保证金不予退还。</w:t>
      </w:r>
    </w:p>
    <w:p>
      <w:pPr>
        <w:pStyle w:val="5"/>
        <w:spacing w:before="0" w:after="0" w:line="360" w:lineRule="auto"/>
        <w:ind w:firstLine="482"/>
        <w:rPr>
          <w:rFonts w:hint="eastAsia" w:ascii="仿宋" w:hAnsi="仿宋" w:eastAsia="仿宋" w:cs="仿宋"/>
          <w:color w:val="auto"/>
          <w:sz w:val="24"/>
          <w:szCs w:val="24"/>
          <w:highlight w:val="none"/>
        </w:rPr>
      </w:pPr>
      <w:bookmarkStart w:id="82" w:name="_Toc11361"/>
      <w:bookmarkStart w:id="83" w:name="_Toc2055"/>
      <w:bookmarkStart w:id="84" w:name="_Toc20741"/>
      <w:bookmarkStart w:id="85" w:name="_Toc2636"/>
      <w:bookmarkStart w:id="86" w:name="_Toc517281821"/>
      <w:bookmarkStart w:id="87" w:name="_Toc287600123"/>
      <w:bookmarkStart w:id="88" w:name="_Toc30466"/>
      <w:bookmarkStart w:id="89" w:name="_Toc12797"/>
      <w:bookmarkStart w:id="90" w:name="_Toc444891341"/>
      <w:bookmarkStart w:id="91" w:name="_Toc16116"/>
      <w:r>
        <w:rPr>
          <w:rFonts w:hint="eastAsia" w:ascii="仿宋" w:hAnsi="仿宋" w:eastAsia="仿宋" w:cs="仿宋"/>
          <w:color w:val="auto"/>
          <w:sz w:val="24"/>
          <w:szCs w:val="24"/>
          <w:highlight w:val="none"/>
        </w:rPr>
        <w:t>（五）比选和评审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hint="eastAsia" w:ascii="仿宋" w:hAnsi="仿宋" w:eastAsia="仿宋" w:cs="仿宋"/>
          <w:color w:val="auto"/>
          <w:sz w:val="24"/>
          <w:szCs w:val="24"/>
          <w:highlight w:val="none"/>
        </w:rPr>
      </w:pPr>
      <w:bookmarkStart w:id="92" w:name="_Toc234223229"/>
      <w:bookmarkStart w:id="93" w:name="_Toc234223227"/>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.组建</w:t>
      </w:r>
      <w:bookmarkEnd w:id="92"/>
      <w:r>
        <w:rPr>
          <w:rFonts w:hint="eastAsia" w:ascii="仿宋" w:hAnsi="仿宋" w:eastAsia="仿宋" w:cs="仿宋"/>
          <w:color w:val="auto"/>
          <w:sz w:val="24"/>
          <w:szCs w:val="24"/>
          <w:highlight w:val="none"/>
        </w:rPr>
        <w:t>比选小组</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.1采购人依照企业采购管理制度的相关规定组建比选小组，具体人数见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rPr>
        <w:t>，比选小组成员名单在成交结果确定前保密。</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.2比选小组成员应当按照客观、公正、审慎的原则，根据比选文件规定的评审程序、评审方法和评审标准进行独立评审。</w:t>
      </w:r>
    </w:p>
    <w:p>
      <w:pPr>
        <w:pStyle w:val="6"/>
        <w:spacing w:before="0" w:after="0" w:line="360" w:lineRule="auto"/>
        <w:rPr>
          <w:rFonts w:hint="eastAsia" w:ascii="仿宋" w:hAnsi="仿宋" w:eastAsia="仿宋" w:cs="仿宋"/>
          <w:color w:val="auto"/>
          <w:sz w:val="24"/>
          <w:szCs w:val="24"/>
          <w:highlight w:val="none"/>
        </w:rPr>
      </w:pPr>
      <w:bookmarkStart w:id="94" w:name="_Toc234223228"/>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.初步评审</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.1比选小组按照第三章评审办法中初步评审的内容及要求，对响应文件进行初步评审。未通过初步评审的供应商，其比选响应将被否决，不进入详细评审等后续环节。</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2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hint="eastAsia" w:ascii="仿宋" w:hAnsi="仿宋" w:eastAsia="仿宋" w:cs="仿宋"/>
          <w:b/>
          <w:bCs/>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.3比选小组对供应商递交的澄清、说明或补正有疑问的，可以要求供应商进一步澄清、说明或者补正，直至满足比选小组的要求。拒不按要求进行澄清、说明或者补正的供应商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highlight w:val="none"/>
        </w:rPr>
        <w:t>，比选小组有权对其响应做否决处理。</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.4比选小组必要时可以要求供应商提交有关证明和证件的原件，以便核验。拒不按要求提供原件的供应商，</w:t>
      </w:r>
      <w:r>
        <w:rPr>
          <w:rFonts w:hint="eastAsia" w:ascii="仿宋" w:hAnsi="仿宋" w:eastAsia="仿宋" w:cs="仿宋"/>
          <w:b/>
          <w:bCs/>
          <w:color w:val="auto"/>
          <w:highlight w:val="none"/>
        </w:rPr>
        <w:t>比选小组有权对其响应做否决处理。</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.比选程序</w:t>
      </w:r>
    </w:p>
    <w:p>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highlight w:val="none"/>
          <w:u w:val="single"/>
        </w:rPr>
        <w:t>详见本须知前附表。</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.2比选小组与供应商就比选文件中的</w:t>
      </w:r>
      <w:r>
        <w:rPr>
          <w:rFonts w:hint="eastAsia" w:ascii="仿宋" w:hAnsi="仿宋" w:eastAsia="仿宋" w:cs="仿宋"/>
          <w:color w:val="auto"/>
          <w:highlight w:val="none"/>
          <w:lang w:eastAsia="zh-CN"/>
        </w:rPr>
        <w:t>资源覆盖</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服务</w:t>
      </w:r>
      <w:r>
        <w:rPr>
          <w:rFonts w:hint="eastAsia" w:ascii="仿宋" w:hAnsi="仿宋" w:eastAsia="仿宋" w:cs="仿宋"/>
          <w:color w:val="auto"/>
          <w:highlight w:val="none"/>
        </w:rPr>
        <w:t>内容、技术内容或有待供应商进一步明确的内容等进行一对一比选。具体比选内容详见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rPr>
        <w:t>。</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.3比选过程中可能实质性变动的内容：供应商</w:t>
      </w:r>
      <w:r>
        <w:rPr>
          <w:rFonts w:hint="eastAsia" w:ascii="仿宋" w:hAnsi="仿宋" w:eastAsia="仿宋" w:cs="仿宋"/>
          <w:color w:val="auto"/>
          <w:highlight w:val="none"/>
          <w:lang w:eastAsia="zh-CN"/>
        </w:rPr>
        <w:t>资源覆盖、</w:t>
      </w:r>
      <w:r>
        <w:rPr>
          <w:rFonts w:hint="eastAsia" w:ascii="仿宋" w:hAnsi="仿宋" w:eastAsia="仿宋" w:cs="仿宋"/>
          <w:color w:val="auto"/>
          <w:highlight w:val="none"/>
        </w:rPr>
        <w:t>服务方案、承诺。采购需求中的商务</w:t>
      </w:r>
      <w:r>
        <w:rPr>
          <w:rFonts w:hint="eastAsia" w:ascii="仿宋" w:hAnsi="仿宋" w:eastAsia="仿宋" w:cs="仿宋"/>
          <w:color w:val="auto"/>
          <w:highlight w:val="none"/>
          <w:lang w:eastAsia="zh-CN"/>
        </w:rPr>
        <w:t>、技术、</w:t>
      </w:r>
      <w:r>
        <w:rPr>
          <w:rFonts w:hint="eastAsia" w:ascii="仿宋" w:hAnsi="仿宋" w:eastAsia="仿宋" w:cs="仿宋"/>
          <w:color w:val="auto"/>
          <w:highlight w:val="none"/>
        </w:rPr>
        <w:t>服务要求以及合同草案条款等。实质性变动的内容，须经比选小组提出，最终涉及变动事项，供应商应授权代表人进行最终确认，签字或盖章有效。</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比选小组可视情况要求供应商进行多轮比选。比选中，任何一方不得向第三方透露与比选有关的任何信息。</w:t>
      </w:r>
    </w:p>
    <w:bookmarkEnd w:id="93"/>
    <w:bookmarkEnd w:id="94"/>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.详细评审</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.1比选小组采用综合评分法对提交最终</w:t>
      </w:r>
      <w:r>
        <w:rPr>
          <w:rFonts w:hint="eastAsia" w:ascii="仿宋" w:hAnsi="仿宋" w:eastAsia="仿宋" w:cs="仿宋"/>
          <w:color w:val="auto"/>
          <w:highlight w:val="none"/>
          <w:lang w:eastAsia="zh-CN"/>
        </w:rPr>
        <w:t>比选响应</w:t>
      </w:r>
      <w:r>
        <w:rPr>
          <w:rFonts w:hint="eastAsia" w:ascii="仿宋" w:hAnsi="仿宋" w:eastAsia="仿宋" w:cs="仿宋"/>
          <w:color w:val="auto"/>
          <w:highlight w:val="none"/>
        </w:rPr>
        <w:t>的供应商的响应文件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.2发生以下情形之一的，原则上做终止采购处理：</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（1）出现影响采购公正的违法、违规行为的；</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 xml:space="preserve">）成交人为1家的项目，有效供应商少于2家（不含本数）；成交人为N家（N＞1）的项目，有效供应商少于N+2家（不含本数）； </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）因重大变故，采购任务取消。</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.3成交候选人推荐原则</w:t>
      </w: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19</w:t>
      </w:r>
      <w:r>
        <w:rPr>
          <w:rFonts w:hint="eastAsia" w:ascii="仿宋" w:hAnsi="仿宋" w:eastAsia="仿宋" w:cs="仿宋"/>
          <w:color w:val="auto"/>
          <w:sz w:val="24"/>
          <w:szCs w:val="24"/>
          <w:highlight w:val="none"/>
        </w:rPr>
        <w:t>．特别声明</w:t>
      </w:r>
    </w:p>
    <w:p>
      <w:pPr>
        <w:snapToGrid w:val="0"/>
        <w:spacing w:line="360" w:lineRule="auto"/>
        <w:ind w:right="-57"/>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19</w:t>
      </w:r>
      <w:r>
        <w:rPr>
          <w:rFonts w:hint="eastAsia" w:ascii="仿宋" w:hAnsi="仿宋" w:eastAsia="仿宋" w:cs="仿宋"/>
          <w:color w:val="auto"/>
          <w:highlight w:val="none"/>
        </w:rPr>
        <w:t>.1供应商提供虚假材料或文件的，自动丧失参加资格。</w:t>
      </w:r>
    </w:p>
    <w:p>
      <w:pPr>
        <w:snapToGrid w:val="0"/>
        <w:spacing w:line="360" w:lineRule="auto"/>
        <w:ind w:right="-57"/>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19</w:t>
      </w:r>
      <w:r>
        <w:rPr>
          <w:rFonts w:hint="eastAsia" w:ascii="仿宋" w:hAnsi="仿宋" w:eastAsia="仿宋" w:cs="仿宋"/>
          <w:color w:val="auto"/>
          <w:highlight w:val="none"/>
        </w:rPr>
        <w:t>.2供应商未在响应文件中提及和承诺，但又未明确书面提出异议的事项，按本比选比选邀请函的有关要求执行。</w:t>
      </w:r>
    </w:p>
    <w:p>
      <w:pPr>
        <w:snapToGrid w:val="0"/>
        <w:spacing w:line="360" w:lineRule="auto"/>
        <w:ind w:right="-57"/>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19</w:t>
      </w:r>
      <w:r>
        <w:rPr>
          <w:rFonts w:hint="eastAsia" w:ascii="仿宋" w:hAnsi="仿宋" w:eastAsia="仿宋" w:cs="仿宋"/>
          <w:color w:val="auto"/>
          <w:highlight w:val="none"/>
        </w:rPr>
        <w:t>.3供应商不应将本次采购理解为政府采购与招标。</w:t>
      </w:r>
    </w:p>
    <w:p>
      <w:pPr>
        <w:snapToGrid w:val="0"/>
        <w:spacing w:line="360" w:lineRule="auto"/>
        <w:ind w:right="-57"/>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19</w:t>
      </w:r>
      <w:r>
        <w:rPr>
          <w:rFonts w:hint="eastAsia" w:ascii="仿宋" w:hAnsi="仿宋" w:eastAsia="仿宋" w:cs="仿宋"/>
          <w:color w:val="auto"/>
          <w:highlight w:val="none"/>
        </w:rPr>
        <w:t>.4供应商没有按规定时间和内容提供材料的，视为放弃。</w:t>
      </w:r>
    </w:p>
    <w:p>
      <w:pPr>
        <w:snapToGrid w:val="0"/>
        <w:spacing w:line="360" w:lineRule="auto"/>
        <w:ind w:right="-57"/>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19</w:t>
      </w:r>
      <w:r>
        <w:rPr>
          <w:rFonts w:hint="eastAsia" w:ascii="仿宋" w:hAnsi="仿宋" w:eastAsia="仿宋" w:cs="仿宋"/>
          <w:color w:val="auto"/>
          <w:highlight w:val="none"/>
        </w:rPr>
        <w:t>.5比选文件及附件之著作权受中国法律保护，所有文件仅限于供应商参加本次采购比选使用，任何用于其他目的之复制或引用均应事先获得采购方书面许可。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．确定成交供应商</w:t>
      </w:r>
    </w:p>
    <w:p>
      <w:pPr>
        <w:pStyle w:val="2"/>
        <w:snapToGrid w:val="0"/>
        <w:spacing w:after="0" w:line="360" w:lineRule="auto"/>
        <w:ind w:right="-57"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hint="eastAsia" w:ascii="仿宋" w:hAnsi="仿宋" w:eastAsia="仿宋" w:cs="仿宋"/>
          <w:color w:val="auto"/>
          <w:highlight w:val="none"/>
        </w:rPr>
      </w:pPr>
      <w:r>
        <w:rPr>
          <w:rFonts w:hint="eastAsia" w:ascii="仿宋" w:hAnsi="仿宋" w:eastAsia="仿宋" w:cs="仿宋"/>
          <w:color w:val="auto"/>
          <w:highlight w:val="none"/>
        </w:rPr>
        <w:t>（1）成交候选供应商存在违法、违纪行为的；</w:t>
      </w:r>
    </w:p>
    <w:p>
      <w:pPr>
        <w:pStyle w:val="2"/>
        <w:snapToGrid w:val="0"/>
        <w:spacing w:after="0" w:line="360" w:lineRule="auto"/>
        <w:ind w:right="-57" w:firstLine="424" w:firstLineChars="177"/>
        <w:rPr>
          <w:rFonts w:hint="eastAsia" w:ascii="仿宋" w:hAnsi="仿宋" w:eastAsia="仿宋" w:cs="仿宋"/>
          <w:color w:val="auto"/>
          <w:highlight w:val="none"/>
        </w:rPr>
      </w:pPr>
      <w:r>
        <w:rPr>
          <w:rFonts w:hint="eastAsia" w:ascii="仿宋" w:hAnsi="仿宋" w:eastAsia="仿宋" w:cs="仿宋"/>
          <w:color w:val="auto"/>
          <w:highlight w:val="none"/>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hint="eastAsia" w:ascii="仿宋" w:hAnsi="仿宋" w:eastAsia="仿宋" w:cs="仿宋"/>
          <w:color w:val="auto"/>
          <w:highlight w:val="none"/>
        </w:rPr>
      </w:pPr>
      <w:r>
        <w:rPr>
          <w:rFonts w:hint="eastAsia" w:ascii="仿宋" w:hAnsi="仿宋" w:eastAsia="仿宋" w:cs="仿宋"/>
          <w:color w:val="auto"/>
          <w:highlight w:val="none"/>
        </w:rPr>
        <w:t>（3）成交候选供应商书面自愿放弃成交，且无其他非法目的的；</w:t>
      </w:r>
    </w:p>
    <w:p>
      <w:pPr>
        <w:pStyle w:val="2"/>
        <w:snapToGrid w:val="0"/>
        <w:spacing w:after="0" w:line="360" w:lineRule="auto"/>
        <w:ind w:right="-57" w:firstLine="424" w:firstLineChars="177"/>
        <w:rPr>
          <w:rFonts w:hint="eastAsia" w:ascii="仿宋" w:hAnsi="仿宋" w:eastAsia="仿宋" w:cs="仿宋"/>
          <w:color w:val="auto"/>
          <w:highlight w:val="none"/>
        </w:rPr>
      </w:pPr>
      <w:r>
        <w:rPr>
          <w:rFonts w:hint="eastAsia" w:ascii="仿宋" w:hAnsi="仿宋" w:eastAsia="仿宋" w:cs="仿宋"/>
          <w:color w:val="auto"/>
          <w:highlight w:val="none"/>
        </w:rPr>
        <w:t>（4）成交候选供应商在提交响应文件截止时间后撤回响应文件的；</w:t>
      </w:r>
    </w:p>
    <w:p>
      <w:pPr>
        <w:pStyle w:val="2"/>
        <w:snapToGrid w:val="0"/>
        <w:spacing w:after="0" w:line="360" w:lineRule="auto"/>
        <w:ind w:right="-57" w:firstLine="424" w:firstLineChars="177"/>
        <w:rPr>
          <w:rFonts w:hint="eastAsia" w:ascii="仿宋" w:hAnsi="仿宋" w:eastAsia="仿宋" w:cs="仿宋"/>
          <w:color w:val="auto"/>
          <w:highlight w:val="none"/>
        </w:rPr>
      </w:pPr>
      <w:r>
        <w:rPr>
          <w:rFonts w:hint="eastAsia" w:ascii="仿宋" w:hAnsi="仿宋" w:eastAsia="仿宋" w:cs="仿宋"/>
          <w:color w:val="auto"/>
          <w:highlight w:val="none"/>
        </w:rPr>
        <w:t>（5）成交候选供应商在响应文件中提供虚假材料的；</w:t>
      </w:r>
    </w:p>
    <w:p>
      <w:pPr>
        <w:pStyle w:val="2"/>
        <w:snapToGrid w:val="0"/>
        <w:spacing w:after="0" w:line="360" w:lineRule="auto"/>
        <w:ind w:right="-57" w:firstLine="424" w:firstLineChars="177"/>
        <w:rPr>
          <w:rFonts w:hint="eastAsia" w:ascii="仿宋" w:hAnsi="仿宋" w:eastAsia="仿宋" w:cs="仿宋"/>
          <w:color w:val="auto"/>
          <w:highlight w:val="none"/>
        </w:rPr>
      </w:pPr>
      <w:r>
        <w:rPr>
          <w:rFonts w:hint="eastAsia" w:ascii="仿宋" w:hAnsi="仿宋" w:eastAsia="仿宋" w:cs="仿宋"/>
          <w:color w:val="auto"/>
          <w:highlight w:val="none"/>
        </w:rPr>
        <w:t>（6）除因不可抗力或比选文件认可的情形以外，成交供应商不与采购人签订合同的；</w:t>
      </w:r>
    </w:p>
    <w:p>
      <w:pPr>
        <w:pStyle w:val="2"/>
        <w:snapToGrid w:val="0"/>
        <w:spacing w:after="0" w:line="360" w:lineRule="auto"/>
        <w:ind w:right="-57" w:firstLine="424" w:firstLineChars="177"/>
        <w:rPr>
          <w:rFonts w:hint="eastAsia" w:ascii="仿宋" w:hAnsi="仿宋" w:eastAsia="仿宋" w:cs="仿宋"/>
          <w:color w:val="auto"/>
          <w:highlight w:val="none"/>
        </w:rPr>
      </w:pPr>
      <w:r>
        <w:rPr>
          <w:rFonts w:hint="eastAsia" w:ascii="仿宋" w:hAnsi="仿宋" w:eastAsia="仿宋" w:cs="仿宋"/>
          <w:color w:val="auto"/>
          <w:highlight w:val="none"/>
        </w:rPr>
        <w:t>（7）成交候选供应商与采购人或者其他供应商恶意串通的；</w:t>
      </w:r>
    </w:p>
    <w:p>
      <w:pPr>
        <w:pStyle w:val="2"/>
        <w:snapToGrid w:val="0"/>
        <w:spacing w:after="0" w:line="360" w:lineRule="auto"/>
        <w:ind w:right="-57" w:firstLine="424" w:firstLineChars="177"/>
        <w:rPr>
          <w:rFonts w:hint="eastAsia" w:ascii="仿宋" w:hAnsi="仿宋" w:eastAsia="仿宋" w:cs="仿宋"/>
          <w:color w:val="auto"/>
          <w:highlight w:val="none"/>
        </w:rPr>
      </w:pPr>
      <w:r>
        <w:rPr>
          <w:rFonts w:hint="eastAsia" w:ascii="仿宋" w:hAnsi="仿宋" w:eastAsia="仿宋" w:cs="仿宋"/>
          <w:color w:val="auto"/>
          <w:highlight w:val="none"/>
        </w:rPr>
        <w:t>（8）成交供应商在签订合同时向采购人提出附加条件或要求变更实质性合同条款的；</w:t>
      </w:r>
    </w:p>
    <w:p>
      <w:pPr>
        <w:pStyle w:val="2"/>
        <w:snapToGrid w:val="0"/>
        <w:spacing w:after="0" w:line="360" w:lineRule="auto"/>
        <w:ind w:right="-57" w:firstLine="424" w:firstLineChars="177"/>
        <w:rPr>
          <w:rFonts w:hint="eastAsia" w:ascii="仿宋" w:hAnsi="仿宋" w:eastAsia="仿宋" w:cs="仿宋"/>
          <w:color w:val="auto"/>
          <w:highlight w:val="none"/>
          <w:lang w:bidi="ar"/>
        </w:rPr>
      </w:pPr>
      <w:r>
        <w:rPr>
          <w:rFonts w:hint="eastAsia" w:ascii="仿宋" w:hAnsi="仿宋" w:eastAsia="仿宋" w:cs="仿宋"/>
          <w:color w:val="auto"/>
          <w:highlight w:val="none"/>
        </w:rPr>
        <w:t>（9）</w:t>
      </w:r>
      <w:r>
        <w:rPr>
          <w:rFonts w:hint="eastAsia" w:ascii="仿宋" w:hAnsi="仿宋" w:eastAsia="仿宋" w:cs="仿宋"/>
          <w:color w:val="auto"/>
          <w:highlight w:val="none"/>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0</w:t>
      </w:r>
      <w:r>
        <w:rPr>
          <w:rFonts w:hint="eastAsia" w:ascii="仿宋" w:hAnsi="仿宋" w:eastAsia="仿宋" w:cs="仿宋"/>
          <w:color w:val="auto"/>
          <w:highlight w:val="none"/>
        </w:rPr>
        <w:t>）其他不应确定成交供应商的情形。</w:t>
      </w:r>
    </w:p>
    <w:p>
      <w:pPr>
        <w:pStyle w:val="5"/>
        <w:spacing w:before="0" w:after="0" w:line="360" w:lineRule="auto"/>
        <w:ind w:firstLine="482"/>
        <w:jc w:val="left"/>
        <w:rPr>
          <w:rFonts w:hint="eastAsia" w:ascii="仿宋" w:hAnsi="仿宋" w:eastAsia="仿宋" w:cs="仿宋"/>
          <w:color w:val="auto"/>
          <w:sz w:val="24"/>
          <w:szCs w:val="24"/>
          <w:highlight w:val="none"/>
        </w:rPr>
      </w:pPr>
      <w:bookmarkStart w:id="95" w:name="_Toc287600124"/>
      <w:bookmarkStart w:id="96" w:name="_Toc2322"/>
      <w:bookmarkStart w:id="97" w:name="_Toc8575"/>
      <w:bookmarkStart w:id="98" w:name="_Toc9911"/>
      <w:bookmarkStart w:id="99" w:name="_Toc517281822"/>
      <w:bookmarkStart w:id="100" w:name="_Toc28031"/>
      <w:bookmarkStart w:id="101" w:name="_Toc234223231"/>
      <w:bookmarkStart w:id="102" w:name="_Toc444891342"/>
      <w:bookmarkStart w:id="103" w:name="_Toc16781"/>
      <w:bookmarkStart w:id="104" w:name="_Toc19451"/>
      <w:bookmarkStart w:id="105" w:name="_Toc13936"/>
      <w:r>
        <w:rPr>
          <w:rFonts w:hint="eastAsia" w:ascii="仿宋" w:hAnsi="仿宋" w:eastAsia="仿宋" w:cs="仿宋"/>
          <w:color w:val="auto"/>
          <w:sz w:val="24"/>
          <w:szCs w:val="24"/>
          <w:highlight w:val="none"/>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hint="eastAsia" w:ascii="仿宋" w:hAnsi="仿宋" w:eastAsia="仿宋" w:cs="仿宋"/>
          <w:color w:val="auto"/>
          <w:sz w:val="24"/>
          <w:szCs w:val="24"/>
          <w:highlight w:val="none"/>
        </w:rPr>
      </w:pPr>
      <w:bookmarkStart w:id="106" w:name="_Toc234223232"/>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.确定</w:t>
      </w:r>
      <w:bookmarkEnd w:id="106"/>
      <w:r>
        <w:rPr>
          <w:rFonts w:hint="eastAsia" w:ascii="仿宋" w:hAnsi="仿宋" w:eastAsia="仿宋" w:cs="仿宋"/>
          <w:color w:val="auto"/>
          <w:sz w:val="24"/>
          <w:szCs w:val="24"/>
          <w:highlight w:val="none"/>
        </w:rPr>
        <w:t>成交人</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.1采购人依据比选小组推荐的成交候选人名单确定成交人，成交人数量</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.签订合同</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.1采购人与成交人按照比选文件和成交人的响应文件订立书面合同。合同的标的、</w:t>
      </w:r>
      <w:r>
        <w:rPr>
          <w:rFonts w:hint="eastAsia" w:ascii="仿宋" w:hAnsi="仿宋" w:eastAsia="仿宋" w:cs="仿宋"/>
          <w:color w:val="auto"/>
          <w:highlight w:val="none"/>
          <w:lang w:eastAsia="zh-CN"/>
        </w:rPr>
        <w:t>服务、</w:t>
      </w:r>
      <w:r>
        <w:rPr>
          <w:rFonts w:hint="eastAsia" w:ascii="仿宋" w:hAnsi="仿宋" w:eastAsia="仿宋" w:cs="仿宋"/>
          <w:color w:val="auto"/>
          <w:highlight w:val="none"/>
        </w:rPr>
        <w:t>质量、履行期限等主要条款应当与比选文件和成交人的响应文件的内容一致。</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.2 成交人无正当理由不与采购人订立合同，在签订合同时向采购人提出附加条件，将取消其成交资格。给采购人造成损失的，成交人应当予以赔偿。</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.3比选文件要求成交人提交履约保证金的，成交人应当按照</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rPr>
        <w:t>要求的金额和方式递交。成交人如不按要求提交履约保证金，将取消其成交资格。</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.4成交供应商不履行与采购人订立的合同的，履约保证金不予退还，给采购人造成的损失超过履约保证金数额的，还应当对超过部分予以赔偿；没有提交履约保证金的，应当对采购人的损失承担赔偿责任。</w:t>
      </w: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3"/>
        <w:spacing w:before="0" w:after="0"/>
        <w:jc w:val="left"/>
        <w:rPr>
          <w:rFonts w:hint="eastAsia" w:ascii="仿宋" w:hAnsi="仿宋" w:eastAsia="仿宋" w:cs="仿宋"/>
          <w:color w:val="auto"/>
          <w:sz w:val="28"/>
          <w:szCs w:val="28"/>
          <w:highlight w:val="none"/>
        </w:rPr>
      </w:pPr>
      <w:bookmarkStart w:id="107" w:name="_Toc10670"/>
      <w:bookmarkStart w:id="108" w:name="_Toc20541"/>
      <w:bookmarkStart w:id="109" w:name="_Toc8109"/>
      <w:r>
        <w:rPr>
          <w:rFonts w:hint="eastAsia" w:ascii="仿宋" w:hAnsi="仿宋" w:eastAsia="仿宋" w:cs="仿宋"/>
          <w:color w:val="auto"/>
          <w:sz w:val="28"/>
          <w:szCs w:val="28"/>
          <w:highlight w:val="none"/>
        </w:rPr>
        <w:t>第三章 评审办法</w:t>
      </w:r>
      <w:bookmarkEnd w:id="107"/>
      <w:bookmarkEnd w:id="108"/>
    </w:p>
    <w:p>
      <w:pPr>
        <w:pStyle w:val="4"/>
        <w:jc w:val="left"/>
        <w:rPr>
          <w:rFonts w:hint="eastAsia" w:ascii="仿宋" w:hAnsi="仿宋" w:eastAsia="仿宋" w:cs="仿宋"/>
          <w:color w:val="auto"/>
          <w:sz w:val="24"/>
          <w:szCs w:val="24"/>
          <w:highlight w:val="none"/>
        </w:rPr>
      </w:pPr>
      <w:bookmarkStart w:id="110" w:name="_Toc517281825"/>
      <w:bookmarkStart w:id="111" w:name="_Toc7201"/>
      <w:bookmarkStart w:id="112" w:name="_Toc26641"/>
      <w:bookmarkStart w:id="113" w:name="_Toc444891344"/>
      <w:bookmarkStart w:id="114" w:name="_Toc226969358"/>
      <w:bookmarkStart w:id="115" w:name="_Toc227057964"/>
      <w:r>
        <w:rPr>
          <w:rFonts w:hint="eastAsia" w:ascii="仿宋" w:hAnsi="仿宋" w:eastAsia="仿宋" w:cs="仿宋"/>
          <w:color w:val="auto"/>
          <w:sz w:val="24"/>
          <w:szCs w:val="24"/>
          <w:highlight w:val="none"/>
        </w:rPr>
        <w:t>一、评审程序</w:t>
      </w:r>
      <w:bookmarkEnd w:id="110"/>
      <w:bookmarkEnd w:id="111"/>
      <w:bookmarkEnd w:id="112"/>
      <w:bookmarkEnd w:id="113"/>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比选小组对响应文件中的相关内容进行评审。评审按照以下程序进行：</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1.熟悉比选文件；</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2.对响应文件进行初步评审，检查响应文件是否满足比选文件的初审要求；初步评审中不符合评审标准的，将做否决比选响应处理；</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3.供应商有以下情形之一的，比选小组应当否决其比选响应：</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（1）未按比选公告要求递交纸质响应文件；</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（2）响应文件未经供应商盖章和单位负责人签字；</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（3）允许联合体响应的，联合体没有递交共同响应协议；</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（4）不符合国家或者比选文件规定的资格条件；</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（5）同一供应商提交两个以上不同的响应文件或者响应报价，但比选文件要求提交备选文件的除外；</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 xml:space="preserve">）响应文件未对比选文件的实质性要求和条件作出响应； </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）供应商有串通投标、弄虚作假、行贿等违法行为；</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）响应文件附有采购人不能接受的条件；</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9</w:t>
      </w:r>
      <w:r>
        <w:rPr>
          <w:rFonts w:hint="eastAsia" w:ascii="仿宋" w:hAnsi="仿宋" w:eastAsia="仿宋" w:cs="仿宋"/>
          <w:color w:val="auto"/>
          <w:highlight w:val="none"/>
        </w:rPr>
        <w:t>）不符合比选文件中规定的其他实质性要求。</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4.初步评审</w:t>
      </w:r>
      <w:r>
        <w:rPr>
          <w:rFonts w:hint="eastAsia" w:ascii="仿宋" w:hAnsi="仿宋" w:eastAsia="仿宋" w:cs="仿宋"/>
          <w:color w:val="auto"/>
          <w:highlight w:val="none"/>
          <w:lang w:val="zh-CN"/>
        </w:rPr>
        <w:t>内容允许在比选过程中按比选小组规定的时间内补充，若未在规定时间内补充则将导致响应无效。</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5.通过初步评审的供应商分别进行比选；</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.通过初步评审的响应文件进行详细评审及打分；</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.按照综合评分由高到低的次序推荐成交候选人，提交评审结果，评审结果应包含评审情况说明、排名次序、推荐成交候选人名单及其他说明事项。</w:t>
      </w:r>
    </w:p>
    <w:p>
      <w:pPr>
        <w:pStyle w:val="4"/>
        <w:jc w:val="left"/>
        <w:rPr>
          <w:rFonts w:hint="eastAsia" w:ascii="仿宋" w:hAnsi="仿宋" w:eastAsia="仿宋" w:cs="仿宋"/>
          <w:color w:val="auto"/>
          <w:sz w:val="24"/>
          <w:szCs w:val="24"/>
          <w:highlight w:val="none"/>
        </w:rPr>
      </w:pPr>
      <w:bookmarkStart w:id="116" w:name="_Toc444891345"/>
      <w:bookmarkStart w:id="117" w:name="_Toc517281826"/>
      <w:r>
        <w:rPr>
          <w:rFonts w:hint="eastAsia" w:ascii="仿宋" w:hAnsi="仿宋" w:eastAsia="仿宋" w:cs="仿宋"/>
          <w:color w:val="auto"/>
          <w:sz w:val="24"/>
          <w:szCs w:val="24"/>
          <w:highlight w:val="none"/>
        </w:rPr>
        <w:br w:type="page"/>
      </w:r>
      <w:bookmarkStart w:id="118" w:name="_Toc32470"/>
      <w:bookmarkStart w:id="119" w:name="_Toc32019"/>
      <w:r>
        <w:rPr>
          <w:rFonts w:hint="eastAsia" w:ascii="仿宋" w:hAnsi="仿宋" w:eastAsia="仿宋" w:cs="仿宋"/>
          <w:color w:val="auto"/>
          <w:sz w:val="24"/>
          <w:szCs w:val="24"/>
          <w:highlight w:val="none"/>
        </w:rPr>
        <w:t>二、初步评审</w:t>
      </w:r>
      <w:bookmarkEnd w:id="116"/>
      <w:bookmarkEnd w:id="117"/>
      <w:bookmarkEnd w:id="118"/>
      <w:bookmarkEnd w:id="119"/>
    </w:p>
    <w:bookmarkEnd w:id="114"/>
    <w:bookmarkEnd w:id="115"/>
    <w:tbl>
      <w:tblPr>
        <w:tblStyle w:val="29"/>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3"/>
        <w:gridCol w:w="1338"/>
        <w:gridCol w:w="2405"/>
        <w:gridCol w:w="677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Align w:val="center"/>
          </w:tcPr>
          <w:p>
            <w:pPr>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593" w:type="pct"/>
          </w:tcPr>
          <w:p>
            <w:pPr>
              <w:spacing w:before="24" w:after="24"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评审环节</w:t>
            </w:r>
          </w:p>
        </w:tc>
        <w:tc>
          <w:tcPr>
            <w:tcW w:w="1066" w:type="pct"/>
            <w:vAlign w:val="center"/>
          </w:tcPr>
          <w:p>
            <w:pPr>
              <w:spacing w:before="24" w:after="24"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评审因素</w:t>
            </w:r>
          </w:p>
        </w:tc>
        <w:tc>
          <w:tcPr>
            <w:tcW w:w="3002" w:type="pct"/>
            <w:vAlign w:val="center"/>
          </w:tcPr>
          <w:p>
            <w:pPr>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593" w:type="pct"/>
            <w:vMerge w:val="restart"/>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形式评审标准</w:t>
            </w:r>
          </w:p>
        </w:tc>
        <w:tc>
          <w:tcPr>
            <w:tcW w:w="1066" w:type="pct"/>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供应商名称</w:t>
            </w:r>
          </w:p>
        </w:tc>
        <w:tc>
          <w:tcPr>
            <w:tcW w:w="3002" w:type="pct"/>
            <w:vAlign w:val="center"/>
          </w:tcPr>
          <w:p>
            <w:pPr>
              <w:spacing w:before="24" w:after="24"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hint="eastAsia" w:ascii="仿宋" w:hAnsi="仿宋" w:eastAsia="仿宋" w:cs="仿宋"/>
                <w:color w:val="auto"/>
                <w:szCs w:val="21"/>
                <w:highlight w:val="none"/>
              </w:rPr>
            </w:pPr>
          </w:p>
        </w:tc>
        <w:tc>
          <w:tcPr>
            <w:tcW w:w="593" w:type="pct"/>
            <w:vMerge w:val="continue"/>
          </w:tcPr>
          <w:p>
            <w:pPr>
              <w:spacing w:before="24" w:after="24" w:line="360" w:lineRule="auto"/>
              <w:jc w:val="center"/>
              <w:rPr>
                <w:rFonts w:hint="eastAsia" w:ascii="仿宋" w:hAnsi="仿宋" w:eastAsia="仿宋" w:cs="仿宋"/>
                <w:color w:val="auto"/>
                <w:szCs w:val="21"/>
                <w:highlight w:val="none"/>
              </w:rPr>
            </w:pPr>
          </w:p>
        </w:tc>
        <w:tc>
          <w:tcPr>
            <w:tcW w:w="1066" w:type="pct"/>
            <w:vAlign w:val="center"/>
          </w:tcPr>
          <w:p>
            <w:pPr>
              <w:spacing w:before="24" w:after="24" w:line="276" w:lineRule="auto"/>
              <w:jc w:val="center"/>
              <w:rPr>
                <w:rFonts w:hint="eastAsia" w:ascii="仿宋" w:hAnsi="仿宋" w:eastAsia="仿宋" w:cs="仿宋"/>
                <w:color w:val="auto"/>
                <w:spacing w:val="-4"/>
                <w:szCs w:val="21"/>
                <w:highlight w:val="none"/>
              </w:rPr>
            </w:pPr>
            <w:r>
              <w:rPr>
                <w:rFonts w:hint="eastAsia" w:ascii="仿宋" w:hAnsi="仿宋" w:eastAsia="仿宋" w:cs="仿宋"/>
                <w:color w:val="auto"/>
                <w:szCs w:val="21"/>
                <w:highlight w:val="none"/>
              </w:rPr>
              <w:t>法定代表人（负责人）身份证明</w:t>
            </w:r>
          </w:p>
        </w:tc>
        <w:tc>
          <w:tcPr>
            <w:tcW w:w="3002" w:type="pct"/>
            <w:vAlign w:val="center"/>
          </w:tcPr>
          <w:p>
            <w:pPr>
              <w:pStyle w:val="73"/>
              <w:topLinePun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1、提供法定代表人（负责人）身份证复印件。</w:t>
            </w:r>
          </w:p>
          <w:p>
            <w:pPr>
              <w:pStyle w:val="72"/>
              <w:tabs>
                <w:tab w:val="left" w:pos="630"/>
              </w:tabs>
              <w:topLinePunct/>
              <w:spacing w:before="62" w:beforeLines="20" w:after="62" w:afterLines="20"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2"/>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hint="eastAsia" w:ascii="仿宋" w:hAnsi="仿宋" w:eastAsia="仿宋" w:cs="仿宋"/>
                <w:color w:val="auto"/>
                <w:szCs w:val="21"/>
                <w:highlight w:val="none"/>
              </w:rPr>
            </w:pPr>
          </w:p>
        </w:tc>
        <w:tc>
          <w:tcPr>
            <w:tcW w:w="593" w:type="pct"/>
            <w:vMerge w:val="continue"/>
          </w:tcPr>
          <w:p>
            <w:pPr>
              <w:spacing w:before="24" w:after="24" w:line="360" w:lineRule="auto"/>
              <w:jc w:val="center"/>
              <w:rPr>
                <w:rFonts w:hint="eastAsia" w:ascii="仿宋" w:hAnsi="仿宋" w:eastAsia="仿宋" w:cs="仿宋"/>
                <w:color w:val="auto"/>
                <w:szCs w:val="21"/>
                <w:highlight w:val="none"/>
              </w:rPr>
            </w:pPr>
          </w:p>
        </w:tc>
        <w:tc>
          <w:tcPr>
            <w:tcW w:w="1066" w:type="pct"/>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法定代表人（负责人）授权委托书</w:t>
            </w:r>
          </w:p>
        </w:tc>
        <w:tc>
          <w:tcPr>
            <w:tcW w:w="3002" w:type="pct"/>
            <w:vAlign w:val="center"/>
          </w:tcPr>
          <w:p>
            <w:pPr>
              <w:pStyle w:val="73"/>
              <w:topLinePunct/>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1、提供委托代理人身份证复印件。</w:t>
            </w:r>
          </w:p>
          <w:p>
            <w:pPr>
              <w:pStyle w:val="73"/>
              <w:topLinePunct/>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2"/>
                <w:highlight w:val="none"/>
              </w:rPr>
              <w:t>2、落款</w:t>
            </w:r>
            <w:r>
              <w:rPr>
                <w:rFonts w:hint="eastAsia" w:ascii="仿宋" w:hAnsi="仿宋" w:eastAsia="仿宋" w:cs="仿宋"/>
                <w:bCs/>
                <w:color w:val="auto"/>
                <w:sz w:val="22"/>
                <w:highlight w:val="none"/>
              </w:rPr>
              <w:t>加盖公章</w:t>
            </w:r>
            <w:r>
              <w:rPr>
                <w:rFonts w:hint="eastAsia" w:ascii="仿宋" w:hAnsi="仿宋" w:eastAsia="仿宋" w:cs="仿宋"/>
                <w:b/>
                <w:bCs/>
                <w:color w:val="auto"/>
                <w:sz w:val="22"/>
                <w:highlight w:val="none"/>
              </w:rPr>
              <w:t>并由</w:t>
            </w:r>
            <w:r>
              <w:rPr>
                <w:rFonts w:hint="eastAsia" w:ascii="仿宋" w:hAnsi="仿宋" w:eastAsia="仿宋" w:cs="仿宋"/>
                <w:color w:val="auto"/>
                <w:sz w:val="22"/>
                <w:highlight w:val="none"/>
              </w:rPr>
              <w:t>法定代表人（负责人）签字</w:t>
            </w:r>
            <w:r>
              <w:rPr>
                <w:rFonts w:hint="eastAsia" w:ascii="仿宋" w:hAnsi="仿宋" w:eastAsia="仿宋" w:cs="仿宋"/>
                <w:b/>
                <w:bCs/>
                <w:color w:val="auto"/>
                <w:sz w:val="22"/>
                <w:highlight w:val="none"/>
              </w:rPr>
              <w:t>和</w:t>
            </w:r>
            <w:r>
              <w:rPr>
                <w:rFonts w:hint="eastAsia" w:ascii="仿宋" w:hAnsi="仿宋" w:eastAsia="仿宋" w:cs="仿宋"/>
                <w:color w:val="auto"/>
                <w:sz w:val="22"/>
                <w:highlight w:val="none"/>
              </w:rPr>
              <w:t>其委托代理人</w:t>
            </w:r>
            <w:r>
              <w:rPr>
                <w:rFonts w:hint="eastAsia" w:ascii="仿宋" w:hAnsi="仿宋" w:eastAsia="仿宋" w:cs="仿宋"/>
                <w:b/>
                <w:bCs/>
                <w:color w:val="auto"/>
                <w:sz w:val="22"/>
                <w:highlight w:val="none"/>
              </w:rPr>
              <w:t>双方</w:t>
            </w:r>
            <w:r>
              <w:rPr>
                <w:rFonts w:hint="eastAsia" w:ascii="仿宋" w:hAnsi="仿宋" w:eastAsia="仿宋" w:cs="仿宋"/>
                <w:bCs/>
                <w:color w:val="auto"/>
                <w:sz w:val="22"/>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hint="eastAsia" w:ascii="仿宋" w:hAnsi="仿宋" w:eastAsia="仿宋" w:cs="仿宋"/>
                <w:color w:val="auto"/>
                <w:szCs w:val="21"/>
                <w:highlight w:val="none"/>
              </w:rPr>
            </w:pPr>
          </w:p>
        </w:tc>
        <w:tc>
          <w:tcPr>
            <w:tcW w:w="593" w:type="pct"/>
            <w:vMerge w:val="continue"/>
          </w:tcPr>
          <w:p>
            <w:pPr>
              <w:spacing w:before="24" w:after="24" w:line="360" w:lineRule="auto"/>
              <w:jc w:val="center"/>
              <w:rPr>
                <w:rFonts w:hint="eastAsia" w:ascii="仿宋" w:hAnsi="仿宋" w:eastAsia="仿宋" w:cs="仿宋"/>
                <w:color w:val="auto"/>
                <w:szCs w:val="21"/>
                <w:highlight w:val="none"/>
              </w:rPr>
            </w:pPr>
          </w:p>
        </w:tc>
        <w:tc>
          <w:tcPr>
            <w:tcW w:w="1066" w:type="pct"/>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响应文件签字或盖章</w:t>
            </w:r>
          </w:p>
        </w:tc>
        <w:tc>
          <w:tcPr>
            <w:tcW w:w="3002" w:type="pct"/>
            <w:vAlign w:val="center"/>
          </w:tcPr>
          <w:p>
            <w:pPr>
              <w:spacing w:before="24" w:after="24"/>
              <w:rPr>
                <w:rFonts w:hint="eastAsia" w:ascii="仿宋" w:hAnsi="仿宋" w:eastAsia="仿宋" w:cs="仿宋"/>
                <w:color w:val="auto"/>
                <w:szCs w:val="21"/>
                <w:highlight w:val="none"/>
              </w:rPr>
            </w:pPr>
            <w:r>
              <w:rPr>
                <w:rFonts w:hint="eastAsia" w:ascii="仿宋" w:hAnsi="仿宋" w:eastAsia="仿宋" w:cs="仿宋"/>
                <w:color w:val="auto"/>
                <w:szCs w:val="21"/>
                <w:highlight w:val="none"/>
              </w:rPr>
              <w:t>1、上述两款以外的响应文件格式中有落款的文件，</w:t>
            </w:r>
            <w:r>
              <w:rPr>
                <w:rFonts w:hint="eastAsia" w:ascii="仿宋" w:hAnsi="仿宋" w:eastAsia="仿宋" w:cs="仿宋"/>
                <w:b/>
                <w:color w:val="auto"/>
                <w:szCs w:val="21"/>
                <w:highlight w:val="none"/>
              </w:rPr>
              <w:t>均需</w:t>
            </w:r>
            <w:r>
              <w:rPr>
                <w:rFonts w:hint="eastAsia" w:ascii="仿宋" w:hAnsi="仿宋" w:eastAsia="仿宋" w:cs="仿宋"/>
                <w:color w:val="auto"/>
                <w:szCs w:val="21"/>
                <w:highlight w:val="none"/>
              </w:rPr>
              <w:t>加盖公章</w:t>
            </w:r>
            <w:r>
              <w:rPr>
                <w:rFonts w:hint="eastAsia" w:ascii="仿宋" w:hAnsi="仿宋" w:eastAsia="仿宋" w:cs="仿宋"/>
                <w:b/>
                <w:color w:val="auto"/>
                <w:szCs w:val="21"/>
                <w:highlight w:val="none"/>
              </w:rPr>
              <w:t>或</w:t>
            </w:r>
            <w:r>
              <w:rPr>
                <w:rFonts w:hint="eastAsia" w:ascii="仿宋" w:hAnsi="仿宋" w:eastAsia="仿宋" w:cs="仿宋"/>
                <w:color w:val="auto"/>
                <w:szCs w:val="21"/>
                <w:highlight w:val="none"/>
              </w:rPr>
              <w:t>由法定代表人（负责人）签字</w:t>
            </w:r>
            <w:r>
              <w:rPr>
                <w:rFonts w:hint="eastAsia" w:ascii="仿宋" w:hAnsi="仿宋" w:eastAsia="仿宋" w:cs="仿宋"/>
                <w:b/>
                <w:color w:val="auto"/>
                <w:szCs w:val="21"/>
                <w:highlight w:val="none"/>
              </w:rPr>
              <w:t>或</w:t>
            </w:r>
            <w:r>
              <w:rPr>
                <w:rFonts w:hint="eastAsia" w:ascii="仿宋" w:hAnsi="仿宋" w:eastAsia="仿宋" w:cs="仿宋"/>
                <w:color w:val="auto"/>
                <w:szCs w:val="21"/>
                <w:highlight w:val="none"/>
              </w:rPr>
              <w:t>其委托代理人签字。</w:t>
            </w:r>
          </w:p>
          <w:p>
            <w:pPr>
              <w:pStyle w:val="61"/>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2、响应文件的所有签字处均指手写签字</w:t>
            </w:r>
            <w:r>
              <w:rPr>
                <w:rFonts w:hint="eastAsia" w:ascii="仿宋" w:hAnsi="仿宋" w:eastAsia="仿宋" w:cs="仿宋"/>
                <w:b/>
                <w:color w:val="auto"/>
                <w:highlight w:val="none"/>
              </w:rPr>
              <w:t>或</w:t>
            </w:r>
            <w:r>
              <w:rPr>
                <w:rFonts w:hint="eastAsia" w:ascii="仿宋" w:hAnsi="仿宋" w:eastAsia="仿宋" w:cs="仿宋"/>
                <w:color w:val="auto"/>
                <w:highlight w:val="none"/>
              </w:rPr>
              <w:t>签名章/印章</w:t>
            </w:r>
            <w:r>
              <w:rPr>
                <w:rFonts w:hint="eastAsia" w:ascii="仿宋" w:hAnsi="仿宋" w:eastAsia="仿宋" w:cs="仿宋"/>
                <w:b/>
                <w:bCs/>
                <w:color w:val="auto"/>
                <w:highlight w:val="none"/>
              </w:rPr>
              <w:t>或</w:t>
            </w:r>
            <w:r>
              <w:rPr>
                <w:rFonts w:hint="eastAsia" w:ascii="仿宋" w:hAnsi="仿宋" w:eastAsia="仿宋" w:cs="仿宋"/>
                <w:color w:val="auto"/>
                <w:highlight w:val="none"/>
              </w:rPr>
              <w:t>CA签名章，</w:t>
            </w:r>
            <w:r>
              <w:rPr>
                <w:rFonts w:hint="eastAsia" w:ascii="仿宋" w:hAnsi="仿宋" w:eastAsia="仿宋" w:cs="仿宋"/>
                <w:b/>
                <w:color w:val="auto"/>
                <w:highlight w:val="none"/>
              </w:rPr>
              <w:t>不得</w:t>
            </w:r>
            <w:r>
              <w:rPr>
                <w:rFonts w:hint="eastAsia" w:ascii="仿宋" w:hAnsi="仿宋" w:eastAsia="仿宋" w:cs="仿宋"/>
                <w:color w:val="auto"/>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593" w:type="pct"/>
            <w:vMerge w:val="restart"/>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资格评审标准</w:t>
            </w:r>
          </w:p>
        </w:tc>
        <w:tc>
          <w:tcPr>
            <w:tcW w:w="1066" w:type="pct"/>
            <w:vAlign w:val="center"/>
          </w:tcPr>
          <w:p>
            <w:pPr>
              <w:spacing w:before="24" w:after="24" w:line="276" w:lineRule="auto"/>
              <w:jc w:val="center"/>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具有独立承担民事责任的能力</w:t>
            </w:r>
          </w:p>
        </w:tc>
        <w:tc>
          <w:tcPr>
            <w:tcW w:w="3002" w:type="pct"/>
            <w:vAlign w:val="center"/>
          </w:tcPr>
          <w:p>
            <w:pPr>
              <w:spacing w:before="24" w:after="24"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符合第一章“比选邀请”规定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hint="eastAsia" w:ascii="仿宋" w:hAnsi="仿宋" w:eastAsia="仿宋" w:cs="仿宋"/>
                <w:color w:val="auto"/>
                <w:szCs w:val="21"/>
                <w:highlight w:val="none"/>
              </w:rPr>
            </w:pPr>
          </w:p>
        </w:tc>
        <w:tc>
          <w:tcPr>
            <w:tcW w:w="593" w:type="pct"/>
            <w:vMerge w:val="continue"/>
            <w:vAlign w:val="center"/>
          </w:tcPr>
          <w:p>
            <w:pPr>
              <w:spacing w:before="24" w:after="24" w:line="360" w:lineRule="auto"/>
              <w:jc w:val="center"/>
              <w:rPr>
                <w:rFonts w:hint="eastAsia" w:ascii="仿宋" w:hAnsi="仿宋" w:eastAsia="仿宋" w:cs="仿宋"/>
                <w:color w:val="auto"/>
                <w:szCs w:val="21"/>
                <w:highlight w:val="none"/>
              </w:rPr>
            </w:pPr>
          </w:p>
        </w:tc>
        <w:tc>
          <w:tcPr>
            <w:tcW w:w="1066" w:type="pct"/>
            <w:vAlign w:val="center"/>
          </w:tcPr>
          <w:p>
            <w:pPr>
              <w:spacing w:before="24" w:after="24"/>
              <w:jc w:val="center"/>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供应商应具有履行合同所必需的设备和专业技术能力</w:t>
            </w:r>
          </w:p>
        </w:tc>
        <w:tc>
          <w:tcPr>
            <w:tcW w:w="3002" w:type="pct"/>
            <w:vAlign w:val="center"/>
          </w:tcPr>
          <w:p>
            <w:pPr>
              <w:spacing w:before="24" w:after="24"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符合第一章“比选邀请”规定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hint="eastAsia" w:ascii="仿宋" w:hAnsi="仿宋" w:eastAsia="仿宋" w:cs="仿宋"/>
                <w:color w:val="auto"/>
                <w:szCs w:val="21"/>
                <w:highlight w:val="none"/>
              </w:rPr>
            </w:pPr>
          </w:p>
        </w:tc>
        <w:tc>
          <w:tcPr>
            <w:tcW w:w="593" w:type="pct"/>
            <w:vMerge w:val="continue"/>
          </w:tcPr>
          <w:p>
            <w:pPr>
              <w:spacing w:before="24" w:after="24" w:line="360" w:lineRule="auto"/>
              <w:jc w:val="center"/>
              <w:rPr>
                <w:rFonts w:hint="eastAsia" w:ascii="仿宋" w:hAnsi="仿宋" w:eastAsia="仿宋" w:cs="仿宋"/>
                <w:color w:val="auto"/>
                <w:szCs w:val="21"/>
                <w:highlight w:val="none"/>
              </w:rPr>
            </w:pPr>
          </w:p>
        </w:tc>
        <w:tc>
          <w:tcPr>
            <w:tcW w:w="1066" w:type="pct"/>
            <w:vAlign w:val="center"/>
          </w:tcPr>
          <w:p>
            <w:pPr>
              <w:spacing w:before="24" w:after="24"/>
              <w:jc w:val="center"/>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近三年内无违法违规记录</w:t>
            </w:r>
          </w:p>
        </w:tc>
        <w:tc>
          <w:tcPr>
            <w:tcW w:w="3002" w:type="pct"/>
            <w:vAlign w:val="center"/>
          </w:tcPr>
          <w:p>
            <w:pPr>
              <w:spacing w:before="24" w:after="24"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符合第一章“比选邀请”规定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hint="eastAsia" w:ascii="仿宋" w:hAnsi="仿宋" w:eastAsia="仿宋" w:cs="仿宋"/>
                <w:color w:val="auto"/>
                <w:szCs w:val="21"/>
                <w:highlight w:val="none"/>
              </w:rPr>
            </w:pPr>
          </w:p>
        </w:tc>
        <w:tc>
          <w:tcPr>
            <w:tcW w:w="593" w:type="pct"/>
            <w:vMerge w:val="continue"/>
          </w:tcPr>
          <w:p>
            <w:pPr>
              <w:spacing w:before="24" w:after="24" w:line="360" w:lineRule="auto"/>
              <w:jc w:val="center"/>
              <w:rPr>
                <w:rFonts w:hint="eastAsia" w:ascii="仿宋" w:hAnsi="仿宋" w:eastAsia="仿宋" w:cs="仿宋"/>
                <w:color w:val="auto"/>
                <w:szCs w:val="21"/>
                <w:highlight w:val="none"/>
              </w:rPr>
            </w:pPr>
          </w:p>
        </w:tc>
        <w:tc>
          <w:tcPr>
            <w:tcW w:w="1066" w:type="pct"/>
            <w:vAlign w:val="center"/>
          </w:tcPr>
          <w:p>
            <w:pPr>
              <w:spacing w:before="24" w:after="24"/>
              <w:jc w:val="center"/>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未被纳入采购人及其所隶属的中国人民保险各级机构的供应商黑名单</w:t>
            </w:r>
          </w:p>
        </w:tc>
        <w:tc>
          <w:tcPr>
            <w:tcW w:w="3002" w:type="pct"/>
            <w:vAlign w:val="center"/>
          </w:tcPr>
          <w:p>
            <w:pPr>
              <w:spacing w:before="24" w:after="24"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符合第一章“比选邀请”规定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hint="eastAsia" w:ascii="仿宋" w:hAnsi="仿宋" w:eastAsia="仿宋" w:cs="仿宋"/>
                <w:color w:val="auto"/>
                <w:szCs w:val="21"/>
                <w:highlight w:val="none"/>
              </w:rPr>
            </w:pPr>
          </w:p>
        </w:tc>
        <w:tc>
          <w:tcPr>
            <w:tcW w:w="593" w:type="pct"/>
            <w:vMerge w:val="continue"/>
          </w:tcPr>
          <w:p>
            <w:pPr>
              <w:spacing w:before="24" w:after="24" w:line="360" w:lineRule="auto"/>
              <w:jc w:val="center"/>
              <w:rPr>
                <w:rFonts w:hint="eastAsia" w:ascii="仿宋" w:hAnsi="仿宋" w:eastAsia="仿宋" w:cs="仿宋"/>
                <w:color w:val="auto"/>
                <w:szCs w:val="21"/>
                <w:highlight w:val="none"/>
              </w:rPr>
            </w:pPr>
          </w:p>
        </w:tc>
        <w:tc>
          <w:tcPr>
            <w:tcW w:w="1066" w:type="pct"/>
            <w:vAlign w:val="center"/>
          </w:tcPr>
          <w:p>
            <w:pPr>
              <w:spacing w:before="24" w:after="24" w:line="276" w:lineRule="auto"/>
              <w:jc w:val="center"/>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控股管理关系</w:t>
            </w:r>
          </w:p>
        </w:tc>
        <w:tc>
          <w:tcPr>
            <w:tcW w:w="3002" w:type="pct"/>
            <w:vAlign w:val="center"/>
          </w:tcPr>
          <w:p>
            <w:pPr>
              <w:spacing w:before="24" w:after="24"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符合第一章“比选邀请”规定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hint="eastAsia" w:ascii="仿宋" w:hAnsi="仿宋" w:eastAsia="仿宋" w:cs="仿宋"/>
                <w:color w:val="auto"/>
                <w:szCs w:val="21"/>
                <w:highlight w:val="none"/>
              </w:rPr>
            </w:pPr>
          </w:p>
        </w:tc>
        <w:tc>
          <w:tcPr>
            <w:tcW w:w="593" w:type="pct"/>
            <w:vMerge w:val="continue"/>
          </w:tcPr>
          <w:p>
            <w:pPr>
              <w:spacing w:before="24" w:after="24" w:line="360" w:lineRule="auto"/>
              <w:jc w:val="center"/>
              <w:rPr>
                <w:rFonts w:hint="eastAsia" w:ascii="仿宋" w:hAnsi="仿宋" w:eastAsia="仿宋" w:cs="仿宋"/>
                <w:color w:val="auto"/>
                <w:szCs w:val="21"/>
                <w:highlight w:val="none"/>
              </w:rPr>
            </w:pPr>
          </w:p>
        </w:tc>
        <w:tc>
          <w:tcPr>
            <w:tcW w:w="1066" w:type="pct"/>
            <w:vAlign w:val="center"/>
          </w:tcPr>
          <w:p>
            <w:pPr>
              <w:spacing w:before="24" w:after="24" w:line="276" w:lineRule="auto"/>
              <w:jc w:val="center"/>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非联合体投标</w:t>
            </w:r>
          </w:p>
        </w:tc>
        <w:tc>
          <w:tcPr>
            <w:tcW w:w="3002" w:type="pct"/>
            <w:vAlign w:val="center"/>
          </w:tcPr>
          <w:p>
            <w:pPr>
              <w:spacing w:before="24" w:after="24"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符合第一章“比选邀请”规定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593" w:type="pct"/>
            <w:vMerge w:val="restart"/>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响应性评审标准</w:t>
            </w:r>
          </w:p>
        </w:tc>
        <w:tc>
          <w:tcPr>
            <w:tcW w:w="1066" w:type="pct"/>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响应函</w:t>
            </w:r>
          </w:p>
        </w:tc>
        <w:tc>
          <w:tcPr>
            <w:tcW w:w="3002" w:type="pct"/>
            <w:vAlign w:val="center"/>
          </w:tcPr>
          <w:p>
            <w:pPr>
              <w:spacing w:before="24" w:after="24"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除填写双方名称、项目名称外，未修改原文内容。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hint="eastAsia" w:ascii="仿宋" w:hAnsi="仿宋" w:eastAsia="仿宋" w:cs="仿宋"/>
                <w:color w:val="auto"/>
                <w:szCs w:val="21"/>
                <w:highlight w:val="none"/>
              </w:rPr>
            </w:pPr>
          </w:p>
        </w:tc>
        <w:tc>
          <w:tcPr>
            <w:tcW w:w="593" w:type="pct"/>
            <w:vMerge w:val="continue"/>
            <w:vAlign w:val="center"/>
          </w:tcPr>
          <w:p>
            <w:pPr>
              <w:spacing w:before="24" w:after="24" w:line="360" w:lineRule="auto"/>
              <w:jc w:val="center"/>
              <w:rPr>
                <w:rFonts w:hint="eastAsia" w:ascii="仿宋" w:hAnsi="仿宋" w:eastAsia="仿宋" w:cs="仿宋"/>
                <w:color w:val="auto"/>
                <w:szCs w:val="21"/>
                <w:highlight w:val="none"/>
              </w:rPr>
            </w:pPr>
          </w:p>
        </w:tc>
        <w:tc>
          <w:tcPr>
            <w:tcW w:w="1066" w:type="pct"/>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供应商行为准则承诺书</w:t>
            </w:r>
          </w:p>
        </w:tc>
        <w:tc>
          <w:tcPr>
            <w:tcW w:w="3002" w:type="pct"/>
            <w:vAlign w:val="center"/>
          </w:tcPr>
          <w:p>
            <w:pPr>
              <w:spacing w:before="24" w:after="24"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hint="eastAsia" w:ascii="仿宋" w:hAnsi="仿宋" w:eastAsia="仿宋" w:cs="仿宋"/>
                <w:color w:val="auto"/>
                <w:szCs w:val="21"/>
                <w:highlight w:val="none"/>
              </w:rPr>
            </w:pPr>
          </w:p>
        </w:tc>
        <w:tc>
          <w:tcPr>
            <w:tcW w:w="593" w:type="pct"/>
            <w:vMerge w:val="continue"/>
            <w:vAlign w:val="center"/>
          </w:tcPr>
          <w:p>
            <w:pPr>
              <w:spacing w:before="24" w:after="24" w:line="360" w:lineRule="auto"/>
              <w:jc w:val="center"/>
              <w:rPr>
                <w:rFonts w:hint="eastAsia" w:ascii="仿宋" w:hAnsi="仿宋" w:eastAsia="仿宋" w:cs="仿宋"/>
                <w:color w:val="auto"/>
                <w:szCs w:val="21"/>
                <w:highlight w:val="none"/>
              </w:rPr>
            </w:pPr>
          </w:p>
        </w:tc>
        <w:tc>
          <w:tcPr>
            <w:tcW w:w="1066" w:type="pct"/>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供应商廉洁诚信承诺书</w:t>
            </w:r>
          </w:p>
        </w:tc>
        <w:tc>
          <w:tcPr>
            <w:tcW w:w="3002" w:type="pct"/>
            <w:vAlign w:val="center"/>
          </w:tcPr>
          <w:p>
            <w:pPr>
              <w:spacing w:before="24" w:after="24"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hint="eastAsia" w:ascii="仿宋" w:hAnsi="仿宋" w:eastAsia="仿宋" w:cs="仿宋"/>
                <w:color w:val="auto"/>
                <w:szCs w:val="21"/>
                <w:highlight w:val="none"/>
              </w:rPr>
            </w:pPr>
          </w:p>
        </w:tc>
        <w:tc>
          <w:tcPr>
            <w:tcW w:w="593" w:type="pct"/>
            <w:vMerge w:val="continue"/>
            <w:vAlign w:val="center"/>
          </w:tcPr>
          <w:p>
            <w:pPr>
              <w:spacing w:before="24" w:after="24" w:line="360" w:lineRule="auto"/>
              <w:jc w:val="center"/>
              <w:rPr>
                <w:rFonts w:hint="eastAsia" w:ascii="仿宋" w:hAnsi="仿宋" w:eastAsia="仿宋" w:cs="仿宋"/>
                <w:color w:val="auto"/>
                <w:szCs w:val="21"/>
                <w:highlight w:val="none"/>
              </w:rPr>
            </w:pPr>
          </w:p>
        </w:tc>
        <w:tc>
          <w:tcPr>
            <w:tcW w:w="1066" w:type="pct"/>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供应商偏离应答</w:t>
            </w:r>
          </w:p>
        </w:tc>
        <w:tc>
          <w:tcPr>
            <w:tcW w:w="3002" w:type="pct"/>
            <w:vAlign w:val="center"/>
          </w:tcPr>
          <w:p>
            <w:pPr>
              <w:spacing w:before="24" w:after="24"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《供应商须知应答偏离表》、《合同条款应答偏离表》、《采购需求应答偏离表》》进行了符合第二章“供应商须知”的应答</w:t>
            </w:r>
          </w:p>
        </w:tc>
      </w:tr>
    </w:tbl>
    <w:p>
      <w:pPr>
        <w:pStyle w:val="4"/>
        <w:ind w:firstLine="482" w:firstLineChars="200"/>
        <w:jc w:val="left"/>
        <w:rPr>
          <w:rFonts w:hint="eastAsia" w:ascii="仿宋" w:hAnsi="仿宋" w:eastAsia="仿宋" w:cs="仿宋"/>
          <w:color w:val="auto"/>
          <w:sz w:val="24"/>
          <w:szCs w:val="24"/>
          <w:highlight w:val="none"/>
        </w:rPr>
      </w:pPr>
      <w:bookmarkStart w:id="120" w:name="_Toc118"/>
      <w:bookmarkStart w:id="121" w:name="_Toc25550"/>
      <w:r>
        <w:rPr>
          <w:rFonts w:hint="eastAsia" w:ascii="仿宋" w:hAnsi="仿宋" w:eastAsia="仿宋" w:cs="仿宋"/>
          <w:color w:val="auto"/>
          <w:sz w:val="24"/>
          <w:szCs w:val="24"/>
          <w:highlight w:val="none"/>
        </w:rPr>
        <w:t>三、详细评审</w:t>
      </w:r>
      <w:bookmarkEnd w:id="120"/>
      <w:bookmarkEnd w:id="121"/>
    </w:p>
    <w:p>
      <w:pPr>
        <w:pStyle w:val="2"/>
        <w:snapToGrid w:val="0"/>
        <w:spacing w:after="0" w:line="360" w:lineRule="auto"/>
        <w:ind w:left="141" w:right="223" w:firstLine="480"/>
        <w:jc w:val="both"/>
        <w:rPr>
          <w:rFonts w:hint="eastAsia" w:ascii="仿宋" w:hAnsi="仿宋" w:eastAsia="仿宋" w:cs="仿宋"/>
          <w:color w:val="auto"/>
          <w:highlight w:val="none"/>
        </w:rPr>
      </w:pPr>
      <w:r>
        <w:rPr>
          <w:rFonts w:hint="eastAsia" w:ascii="仿宋" w:hAnsi="仿宋" w:eastAsia="仿宋" w:cs="仿宋"/>
          <w:color w:val="auto"/>
          <w:highlight w:val="none"/>
        </w:rPr>
        <w:t>3.1本项目采用综合评分法</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3.2 评分明细：</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采购评审标准由项目</w:t>
      </w:r>
      <w:r>
        <w:rPr>
          <w:rFonts w:hint="eastAsia" w:ascii="仿宋" w:hAnsi="仿宋" w:eastAsia="仿宋" w:cs="仿宋"/>
          <w:i/>
          <w:color w:val="auto"/>
          <w:szCs w:val="32"/>
          <w:highlight w:val="none"/>
        </w:rPr>
        <w:t>资源覆盖、服务经验、技术质量、服务水平和增值服务</w:t>
      </w:r>
      <w:r>
        <w:rPr>
          <w:rFonts w:hint="eastAsia" w:ascii="仿宋" w:hAnsi="仿宋" w:eastAsia="仿宋" w:cs="仿宋"/>
          <w:color w:val="auto"/>
          <w:highlight w:val="none"/>
          <w:lang w:eastAsia="zh-CN"/>
        </w:rPr>
        <w:t>五</w:t>
      </w:r>
      <w:r>
        <w:rPr>
          <w:rFonts w:hint="eastAsia" w:ascii="仿宋" w:hAnsi="仿宋" w:eastAsia="仿宋" w:cs="仿宋"/>
          <w:color w:val="auto"/>
          <w:highlight w:val="none"/>
        </w:rPr>
        <w:t>项标准构成，评审专家将依据比选邀请文件要求，结合项目</w:t>
      </w:r>
      <w:r>
        <w:rPr>
          <w:rFonts w:hint="eastAsia" w:ascii="仿宋" w:hAnsi="仿宋" w:eastAsia="仿宋" w:cs="仿宋"/>
          <w:color w:val="auto"/>
          <w:highlight w:val="none"/>
          <w:lang w:eastAsia="zh-CN"/>
        </w:rPr>
        <w:t>资源覆盖</w:t>
      </w:r>
      <w:r>
        <w:rPr>
          <w:rFonts w:hint="eastAsia" w:ascii="仿宋" w:hAnsi="仿宋" w:eastAsia="仿宋" w:cs="仿宋"/>
          <w:color w:val="auto"/>
          <w:highlight w:val="none"/>
        </w:rPr>
        <w:t>、技术方案、服务方案等情况进行评分。各有效供应商的综合得分为各评审专家所评分值的算术平均值，若总得分相同，以</w:t>
      </w:r>
      <w:r>
        <w:rPr>
          <w:rFonts w:hint="eastAsia" w:ascii="仿宋" w:hAnsi="仿宋" w:eastAsia="仿宋" w:cs="仿宋"/>
          <w:color w:val="auto"/>
          <w:highlight w:val="none"/>
          <w:lang w:eastAsia="zh-CN"/>
        </w:rPr>
        <w:t>资源覆盖得分</w:t>
      </w:r>
      <w:r>
        <w:rPr>
          <w:rFonts w:hint="eastAsia" w:ascii="仿宋" w:hAnsi="仿宋" w:eastAsia="仿宋" w:cs="仿宋"/>
          <w:color w:val="auto"/>
          <w:highlight w:val="none"/>
        </w:rPr>
        <w:t>高者排序在先。将把合同授予被确定为实质上响应比选文件要求且评标得分最高的供应商。</w:t>
      </w:r>
    </w:p>
    <w:p>
      <w:pPr>
        <w:pStyle w:val="2"/>
        <w:snapToGrid w:val="0"/>
        <w:spacing w:after="0" w:line="360" w:lineRule="auto"/>
        <w:ind w:left="141" w:right="223" w:firstLine="480"/>
        <w:jc w:val="both"/>
        <w:rPr>
          <w:rFonts w:hint="eastAsia" w:ascii="仿宋" w:hAnsi="仿宋" w:eastAsia="仿宋" w:cs="仿宋"/>
          <w:color w:val="auto"/>
          <w:highlight w:val="none"/>
        </w:rPr>
      </w:pPr>
      <w:r>
        <w:rPr>
          <w:rFonts w:hint="eastAsia" w:ascii="仿宋" w:hAnsi="仿宋" w:eastAsia="仿宋" w:cs="仿宋"/>
          <w:color w:val="auto"/>
          <w:highlight w:val="none"/>
        </w:rPr>
        <w:t>评审标准如下：</w:t>
      </w:r>
    </w:p>
    <w:tbl>
      <w:tblPr>
        <w:tblStyle w:val="29"/>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537"/>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noWrap w:val="0"/>
            <w:vAlign w:val="center"/>
          </w:tcPr>
          <w:p>
            <w:pPr>
              <w:spacing w:line="320" w:lineRule="exact"/>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项 目</w:t>
            </w:r>
          </w:p>
        </w:tc>
        <w:tc>
          <w:tcPr>
            <w:tcW w:w="6537" w:type="dxa"/>
            <w:noWrap w:val="0"/>
            <w:vAlign w:val="center"/>
          </w:tcPr>
          <w:p>
            <w:pPr>
              <w:spacing w:line="320" w:lineRule="exact"/>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评分内容</w:t>
            </w:r>
          </w:p>
        </w:tc>
        <w:tc>
          <w:tcPr>
            <w:tcW w:w="1005" w:type="dxa"/>
            <w:noWrap w:val="0"/>
            <w:vAlign w:val="center"/>
          </w:tcPr>
          <w:p>
            <w:pPr>
              <w:spacing w:line="320" w:lineRule="exact"/>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noWrap w:val="0"/>
            <w:vAlign w:val="center"/>
          </w:tcPr>
          <w:p>
            <w:pPr>
              <w:spacing w:line="320" w:lineRule="exact"/>
              <w:jc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资源覆盖能力（35）</w:t>
            </w:r>
          </w:p>
        </w:tc>
        <w:tc>
          <w:tcPr>
            <w:tcW w:w="6537" w:type="dxa"/>
            <w:noWrap w:val="0"/>
            <w:vAlign w:val="center"/>
          </w:tcPr>
          <w:p>
            <w:pPr>
              <w:spacing w:line="320" w:lineRule="exact"/>
              <w:jc w:val="left"/>
              <w:rPr>
                <w:rFonts w:hint="eastAsia" w:ascii="仿宋" w:hAnsi="仿宋" w:eastAsia="仿宋" w:cs="仿宋"/>
                <w:i/>
                <w:color w:val="auto"/>
                <w:szCs w:val="32"/>
                <w:highlight w:val="none"/>
                <w:lang w:val="en-US"/>
              </w:rPr>
            </w:pPr>
            <w:r>
              <w:rPr>
                <w:rFonts w:hint="eastAsia" w:ascii="仿宋" w:hAnsi="仿宋" w:eastAsia="仿宋" w:cs="仿宋"/>
                <w:i w:val="0"/>
                <w:iCs w:val="0"/>
                <w:color w:val="auto"/>
                <w:kern w:val="0"/>
                <w:sz w:val="21"/>
                <w:szCs w:val="21"/>
                <w:highlight w:val="none"/>
                <w:u w:val="none"/>
                <w:lang w:val="en-US" w:eastAsia="zh-CN" w:bidi="ar"/>
              </w:rPr>
              <w:t>在选定区域内的资源覆盖能力，供应商需提供可用资源的充分依据。1.基础得分：按照第五章采购需求第二条服务项目（除第6条），每个服务项目需分别提供资源依据</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（授权书或场地协议、点位权属证明等）</w:t>
            </w:r>
            <w:r>
              <w:rPr>
                <w:rFonts w:hint="eastAsia" w:ascii="仿宋" w:hAnsi="仿宋" w:eastAsia="仿宋" w:cs="仿宋"/>
                <w:i w:val="0"/>
                <w:iCs w:val="0"/>
                <w:color w:val="auto"/>
                <w:kern w:val="0"/>
                <w:sz w:val="21"/>
                <w:szCs w:val="21"/>
                <w:highlight w:val="none"/>
                <w:u w:val="none"/>
                <w:lang w:val="en-US" w:eastAsia="zh-CN" w:bidi="ar"/>
              </w:rPr>
              <w:t>1个，全部提供得25分，提供4个得20分，提供3个得15分，提供2个得10分，提供1-0个不得分。                                       2.增量得分：按照第五章采购需求第二条服务项目（除第6条），每另增加提供一个资源依据，得5分，最高10分。                                资源依据：</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注：资源证明需载明点位地址、服务类型、授权期限、盖章/签字</w:t>
            </w:r>
            <w:r>
              <w:rPr>
                <w:rFonts w:hint="eastAsia" w:ascii="仿宋" w:hAnsi="仿宋" w:eastAsia="仿宋" w:cs="仿宋"/>
                <w:i w:val="0"/>
                <w:iCs w:val="0"/>
                <w:color w:val="auto"/>
                <w:kern w:val="0"/>
                <w:sz w:val="21"/>
                <w:szCs w:val="21"/>
                <w:highlight w:val="none"/>
                <w:u w:val="none"/>
                <w:lang w:val="en-US" w:eastAsia="zh-CN" w:bidi="ar"/>
              </w:rPr>
              <w:t xml:space="preserve">                               </w:t>
            </w:r>
          </w:p>
        </w:tc>
        <w:tc>
          <w:tcPr>
            <w:tcW w:w="1005" w:type="dxa"/>
            <w:noWrap w:val="0"/>
            <w:vAlign w:val="center"/>
          </w:tcPr>
          <w:p>
            <w:pPr>
              <w:spacing w:line="320" w:lineRule="exact"/>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noWrap w:val="0"/>
            <w:vAlign w:val="center"/>
          </w:tcPr>
          <w:p>
            <w:pPr>
              <w:spacing w:line="320" w:lineRule="exact"/>
              <w:jc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服务经验（20）</w:t>
            </w:r>
          </w:p>
        </w:tc>
        <w:tc>
          <w:tcPr>
            <w:tcW w:w="6537" w:type="dxa"/>
            <w:noWrap w:val="0"/>
            <w:vAlign w:val="center"/>
          </w:tcPr>
          <w:p>
            <w:pPr>
              <w:spacing w:line="320" w:lineRule="exact"/>
              <w:jc w:val="left"/>
              <w:rPr>
                <w:rFonts w:hint="eastAsia" w:ascii="仿宋" w:hAnsi="仿宋" w:eastAsia="仿宋" w:cs="仿宋"/>
                <w:i/>
                <w:color w:val="auto"/>
                <w:szCs w:val="32"/>
                <w:highlight w:val="none"/>
              </w:rPr>
            </w:pPr>
            <w:r>
              <w:rPr>
                <w:rFonts w:hint="eastAsia" w:ascii="仿宋" w:hAnsi="仿宋" w:eastAsia="仿宋" w:cs="仿宋"/>
                <w:i w:val="0"/>
                <w:iCs w:val="0"/>
                <w:color w:val="auto"/>
                <w:kern w:val="0"/>
                <w:sz w:val="21"/>
                <w:szCs w:val="21"/>
                <w:highlight w:val="none"/>
                <w:u w:val="none"/>
                <w:lang w:val="en-US" w:eastAsia="zh-CN" w:bidi="ar"/>
              </w:rPr>
              <w:t>投标人近三年（2023年1月1日至开标日），每提供1个非本项目宣传服务类的其他类型项目案例，得5分；按照第五章采购需求第二条服务项目，每提供1个与本项目同类的宣传服务案例（合同金额2万元及以上，不限区域），得10分，本项最多得20分。。</w:t>
            </w:r>
          </w:p>
        </w:tc>
        <w:tc>
          <w:tcPr>
            <w:tcW w:w="1005" w:type="dxa"/>
            <w:noWrap w:val="0"/>
            <w:vAlign w:val="center"/>
          </w:tcPr>
          <w:p>
            <w:pPr>
              <w:spacing w:line="320" w:lineRule="exact"/>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noWrap w:val="0"/>
            <w:vAlign w:val="center"/>
          </w:tcPr>
          <w:p>
            <w:pPr>
              <w:spacing w:line="320" w:lineRule="exact"/>
              <w:jc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技术质量</w:t>
            </w:r>
          </w:p>
          <w:p>
            <w:pPr>
              <w:spacing w:line="320" w:lineRule="exact"/>
              <w:jc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得分</w:t>
            </w:r>
          </w:p>
          <w:p>
            <w:pPr>
              <w:spacing w:line="320" w:lineRule="exact"/>
              <w:jc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（20）</w:t>
            </w:r>
          </w:p>
        </w:tc>
        <w:tc>
          <w:tcPr>
            <w:tcW w:w="6537" w:type="dxa"/>
            <w:noWrap w:val="0"/>
            <w:vAlign w:val="center"/>
          </w:tcPr>
          <w:p>
            <w:pPr>
              <w:keepNext w:val="0"/>
              <w:keepLines w:val="0"/>
              <w:pageBreakBefore w:val="0"/>
              <w:widowControl/>
              <w:bidi w:val="0"/>
              <w:spacing w:line="360" w:lineRule="atLeast"/>
              <w:jc w:val="left"/>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根据投标人针对本项目制定的服务方案完整性、全面性、对需求响应的契合度等方面的理解程度及解决办法、服务计划、应急方案等方面进行综合评审。</w:t>
            </w:r>
          </w:p>
          <w:p>
            <w:pPr>
              <w:pBdr>
                <w:top w:val="none" w:color="auto" w:sz="0" w:space="0"/>
                <w:left w:val="none" w:color="auto" w:sz="0" w:space="0"/>
                <w:bottom w:val="none" w:color="auto" w:sz="0" w:space="0"/>
                <w:right w:val="none" w:color="auto" w:sz="0" w:space="0"/>
              </w:pBdr>
              <w:spacing w:line="360" w:lineRule="atLeast"/>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1.方案完整性（8分）：方案完整覆盖服务项目，投放策略、执行流程、质量标准齐全的，横向比较赋分：最优得6-8分，良得3-5分，一般得0-2分。</w:t>
            </w:r>
          </w:p>
          <w:p>
            <w:pPr>
              <w:pBdr>
                <w:top w:val="none" w:color="auto" w:sz="0" w:space="0"/>
                <w:left w:val="none" w:color="auto" w:sz="0" w:space="0"/>
                <w:bottom w:val="none" w:color="auto" w:sz="0" w:space="0"/>
                <w:right w:val="none" w:color="auto" w:sz="0" w:space="0"/>
              </w:pBdr>
              <w:spacing w:line="360" w:lineRule="atLeast"/>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2.设计与制作（6分）：具备合规设计、制作、安装规范的，横向比较赋分：最优得5-6分，良得3-4分，一般得0-2分。</w:t>
            </w:r>
          </w:p>
          <w:p>
            <w:pPr>
              <w:pBdr>
                <w:top w:val="none" w:color="auto" w:sz="0" w:space="0"/>
                <w:left w:val="none" w:color="auto" w:sz="0" w:space="0"/>
                <w:bottom w:val="none" w:color="auto" w:sz="0" w:space="0"/>
                <w:right w:val="none" w:color="auto" w:sz="0" w:space="0"/>
              </w:pBdr>
              <w:spacing w:line="360" w:lineRule="atLeast"/>
              <w:rPr>
                <w:rFonts w:hint="eastAsia" w:ascii="仿宋" w:hAnsi="仿宋" w:eastAsia="仿宋" w:cs="仿宋"/>
                <w:color w:val="auto"/>
                <w:sz w:val="21"/>
                <w:szCs w:val="21"/>
                <w:highlight w:val="none"/>
                <w:lang w:bidi="ar"/>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3.维护与应急（6分）：有故障处置、日常巡检、突发保障机制完善的，横向比较赋分：最优得5-6分，良得3-4分，一般得0-2分。 </w:t>
            </w:r>
          </w:p>
        </w:tc>
        <w:tc>
          <w:tcPr>
            <w:tcW w:w="1005" w:type="dxa"/>
            <w:noWrap w:val="0"/>
            <w:vAlign w:val="center"/>
          </w:tcPr>
          <w:p>
            <w:pPr>
              <w:spacing w:line="320" w:lineRule="exact"/>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5" w:hRule="atLeast"/>
          <w:jc w:val="center"/>
        </w:trPr>
        <w:tc>
          <w:tcPr>
            <w:tcW w:w="1340" w:type="dxa"/>
            <w:noWrap w:val="0"/>
            <w:vAlign w:val="center"/>
          </w:tcPr>
          <w:p>
            <w:pPr>
              <w:spacing w:line="320" w:lineRule="exact"/>
              <w:jc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服务水平</w:t>
            </w:r>
          </w:p>
          <w:p>
            <w:pPr>
              <w:spacing w:line="320" w:lineRule="exact"/>
              <w:jc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评分</w:t>
            </w:r>
          </w:p>
          <w:p>
            <w:pPr>
              <w:spacing w:line="320" w:lineRule="exact"/>
              <w:jc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（20）</w:t>
            </w:r>
          </w:p>
        </w:tc>
        <w:tc>
          <w:tcPr>
            <w:tcW w:w="6537" w:type="dxa"/>
            <w:noWrap w:val="0"/>
            <w:vAlign w:val="center"/>
          </w:tcPr>
          <w:p>
            <w:pPr>
              <w:spacing w:line="320" w:lineRule="exact"/>
              <w:jc w:val="left"/>
              <w:rPr>
                <w:rFonts w:hint="eastAsia" w:ascii="仿宋" w:hAnsi="仿宋" w:eastAsia="仿宋" w:cs="仿宋"/>
                <w:i/>
                <w:color w:val="auto"/>
                <w:szCs w:val="32"/>
                <w:highlight w:val="none"/>
              </w:rPr>
            </w:pPr>
            <w:r>
              <w:rPr>
                <w:rFonts w:hint="eastAsia" w:ascii="仿宋" w:hAnsi="仿宋" w:eastAsia="仿宋" w:cs="仿宋"/>
                <w:color w:val="000000" w:themeColor="text1"/>
                <w:sz w:val="21"/>
                <w:szCs w:val="21"/>
                <w:lang w:bidi="ar"/>
                <w14:textFill>
                  <w14:solidFill>
                    <w14:schemeClr w14:val="tx1"/>
                  </w14:solidFill>
                </w14:textFill>
              </w:rPr>
              <w:t>为全面衡量供应商的服务保障能力、响应效率及质量管控水平，确保项目实施过程高效、规范、可控，本次评审从服务团队配置、响应时效保障、质量管控机制等方面对供应商服务水平进行横向对比综合评分，具体如下：最优得</w:t>
            </w:r>
            <w:r>
              <w:rPr>
                <w:rFonts w:hint="eastAsia" w:ascii="仿宋" w:hAnsi="仿宋" w:eastAsia="仿宋" w:cs="仿宋"/>
                <w:color w:val="000000" w:themeColor="text1"/>
                <w:sz w:val="21"/>
                <w:szCs w:val="21"/>
                <w:lang w:val="en-US" w:eastAsia="zh-CN" w:bidi="ar"/>
                <w14:textFill>
                  <w14:solidFill>
                    <w14:schemeClr w14:val="tx1"/>
                  </w14:solidFill>
                </w14:textFill>
              </w:rPr>
              <w:t>20</w:t>
            </w:r>
            <w:r>
              <w:rPr>
                <w:rFonts w:hint="eastAsia" w:ascii="仿宋" w:hAnsi="仿宋" w:eastAsia="仿宋" w:cs="仿宋"/>
                <w:color w:val="000000" w:themeColor="text1"/>
                <w:sz w:val="21"/>
                <w:szCs w:val="21"/>
                <w:lang w:bidi="ar"/>
                <w14:textFill>
                  <w14:solidFill>
                    <w14:schemeClr w14:val="tx1"/>
                  </w14:solidFill>
                </w14:textFill>
              </w:rPr>
              <w:t>-1</w:t>
            </w:r>
            <w:r>
              <w:rPr>
                <w:rFonts w:hint="eastAsia" w:ascii="仿宋" w:hAnsi="仿宋" w:eastAsia="仿宋" w:cs="仿宋"/>
                <w:color w:val="000000" w:themeColor="text1"/>
                <w:sz w:val="21"/>
                <w:szCs w:val="21"/>
                <w:lang w:val="en-US" w:eastAsia="zh-CN" w:bidi="ar"/>
                <w14:textFill>
                  <w14:solidFill>
                    <w14:schemeClr w14:val="tx1"/>
                  </w14:solidFill>
                </w14:textFill>
              </w:rPr>
              <w:t>5</w:t>
            </w:r>
            <w:r>
              <w:rPr>
                <w:rFonts w:hint="eastAsia" w:ascii="仿宋" w:hAnsi="仿宋" w:eastAsia="仿宋" w:cs="仿宋"/>
                <w:color w:val="000000" w:themeColor="text1"/>
                <w:sz w:val="21"/>
                <w:szCs w:val="21"/>
                <w:lang w:bidi="ar"/>
                <w14:textFill>
                  <w14:solidFill>
                    <w14:schemeClr w14:val="tx1"/>
                  </w14:solidFill>
                </w14:textFill>
              </w:rPr>
              <w:t>分，良得</w:t>
            </w:r>
            <w:r>
              <w:rPr>
                <w:rFonts w:hint="eastAsia" w:ascii="仿宋" w:hAnsi="仿宋" w:eastAsia="仿宋" w:cs="仿宋"/>
                <w:color w:val="000000" w:themeColor="text1"/>
                <w:sz w:val="21"/>
                <w:szCs w:val="21"/>
                <w:lang w:val="en-US" w:eastAsia="zh-CN" w:bidi="ar"/>
                <w14:textFill>
                  <w14:solidFill>
                    <w14:schemeClr w14:val="tx1"/>
                  </w14:solidFill>
                </w14:textFill>
              </w:rPr>
              <w:t>8</w:t>
            </w:r>
            <w:r>
              <w:rPr>
                <w:rFonts w:hint="eastAsia" w:ascii="仿宋" w:hAnsi="仿宋" w:eastAsia="仿宋" w:cs="仿宋"/>
                <w:color w:val="000000" w:themeColor="text1"/>
                <w:sz w:val="21"/>
                <w:szCs w:val="21"/>
                <w:lang w:bidi="ar"/>
                <w14:textFill>
                  <w14:solidFill>
                    <w14:schemeClr w14:val="tx1"/>
                  </w14:solidFill>
                </w14:textFill>
              </w:rPr>
              <w:t>-1</w:t>
            </w:r>
            <w:r>
              <w:rPr>
                <w:rFonts w:hint="eastAsia" w:ascii="仿宋" w:hAnsi="仿宋" w:eastAsia="仿宋" w:cs="仿宋"/>
                <w:color w:val="000000" w:themeColor="text1"/>
                <w:sz w:val="21"/>
                <w:szCs w:val="21"/>
                <w:lang w:val="en-US" w:eastAsia="zh-CN" w:bidi="ar"/>
                <w14:textFill>
                  <w14:solidFill>
                    <w14:schemeClr w14:val="tx1"/>
                  </w14:solidFill>
                </w14:textFill>
              </w:rPr>
              <w:t>4</w:t>
            </w:r>
            <w:r>
              <w:rPr>
                <w:rFonts w:hint="eastAsia" w:ascii="仿宋" w:hAnsi="仿宋" w:eastAsia="仿宋" w:cs="仿宋"/>
                <w:color w:val="000000" w:themeColor="text1"/>
                <w:sz w:val="21"/>
                <w:szCs w:val="21"/>
                <w:lang w:bidi="ar"/>
                <w14:textFill>
                  <w14:solidFill>
                    <w14:schemeClr w14:val="tx1"/>
                  </w14:solidFill>
                </w14:textFill>
              </w:rPr>
              <w:t>分，一般得0-</w:t>
            </w:r>
            <w:r>
              <w:rPr>
                <w:rFonts w:hint="eastAsia" w:ascii="仿宋" w:hAnsi="仿宋" w:eastAsia="仿宋" w:cs="仿宋"/>
                <w:color w:val="000000" w:themeColor="text1"/>
                <w:sz w:val="21"/>
                <w:szCs w:val="21"/>
                <w:lang w:val="en-US" w:eastAsia="zh-CN" w:bidi="ar"/>
                <w14:textFill>
                  <w14:solidFill>
                    <w14:schemeClr w14:val="tx1"/>
                  </w14:solidFill>
                </w14:textFill>
              </w:rPr>
              <w:t>7</w:t>
            </w:r>
            <w:r>
              <w:rPr>
                <w:rFonts w:hint="eastAsia" w:ascii="仿宋" w:hAnsi="仿宋" w:eastAsia="仿宋" w:cs="仿宋"/>
                <w:color w:val="000000" w:themeColor="text1"/>
                <w:sz w:val="21"/>
                <w:szCs w:val="21"/>
                <w:lang w:bidi="ar"/>
                <w14:textFill>
                  <w14:solidFill>
                    <w14:schemeClr w14:val="tx1"/>
                  </w14:solidFill>
                </w14:textFill>
              </w:rPr>
              <w:t>分。</w:t>
            </w:r>
          </w:p>
        </w:tc>
        <w:tc>
          <w:tcPr>
            <w:tcW w:w="1005" w:type="dxa"/>
            <w:noWrap w:val="0"/>
            <w:vAlign w:val="center"/>
          </w:tcPr>
          <w:p>
            <w:pPr>
              <w:spacing w:line="320" w:lineRule="exact"/>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340" w:type="dxa"/>
            <w:noWrap w:val="0"/>
            <w:vAlign w:val="center"/>
          </w:tcPr>
          <w:p>
            <w:pPr>
              <w:spacing w:line="320" w:lineRule="exact"/>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增值服务（5）</w:t>
            </w:r>
          </w:p>
        </w:tc>
        <w:tc>
          <w:tcPr>
            <w:tcW w:w="6537" w:type="dxa"/>
            <w:noWrap w:val="0"/>
            <w:vAlign w:val="center"/>
          </w:tcPr>
          <w:p>
            <w:pPr>
              <w:keepNext w:val="0"/>
              <w:keepLines w:val="0"/>
              <w:pageBreakBefore w:val="0"/>
              <w:widowControl/>
              <w:bidi w:val="0"/>
              <w:spacing w:line="360" w:lineRule="atLeast"/>
              <w:rPr>
                <w:rFonts w:hint="eastAsia" w:ascii="仿宋" w:hAnsi="仿宋" w:eastAsia="仿宋" w:cs="仿宋"/>
                <w:color w:val="000000" w:themeColor="text1"/>
                <w:sz w:val="21"/>
                <w:szCs w:val="21"/>
                <w:lang w:bidi="ar"/>
                <w14:textFill>
                  <w14:solidFill>
                    <w14:schemeClr w14:val="tx1"/>
                  </w14:solidFill>
                </w14:textFill>
              </w:rPr>
            </w:pPr>
            <w:r>
              <w:rPr>
                <w:rFonts w:hint="eastAsia" w:ascii="仿宋" w:hAnsi="仿宋" w:eastAsia="仿宋" w:cs="仿宋"/>
                <w:color w:val="000000" w:themeColor="text1"/>
                <w:sz w:val="21"/>
                <w:szCs w:val="21"/>
                <w:lang w:bidi="ar"/>
                <w14:textFill>
                  <w14:solidFill>
                    <w14:schemeClr w14:val="tx1"/>
                  </w14:solidFill>
                </w14:textFill>
              </w:rPr>
              <w:t>根据供应商提供的增值服务赋分。</w:t>
            </w:r>
          </w:p>
          <w:p>
            <w:pPr>
              <w:spacing w:line="320" w:lineRule="exac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提供免费设计、点位优化、效果复盘、额外宣传渠道等增值服务并附方案，</w:t>
            </w:r>
            <w:r>
              <w:rPr>
                <w:rFonts w:hint="eastAsia" w:ascii="仿宋" w:hAnsi="仿宋" w:eastAsia="仿宋" w:cs="仿宋"/>
                <w:i w:val="0"/>
                <w:iCs w:val="0"/>
                <w:color w:val="auto"/>
                <w:sz w:val="21"/>
                <w:szCs w:val="21"/>
                <w:highlight w:val="none"/>
                <w:u w:val="none"/>
                <w:lang w:val="en-US" w:eastAsia="zh-CN" w:bidi="ar"/>
              </w:rPr>
              <w:t>横向比较赋分，最优得4-5分，良得2-3分，一般得0-1分。</w:t>
            </w:r>
          </w:p>
        </w:tc>
        <w:tc>
          <w:tcPr>
            <w:tcW w:w="1005" w:type="dxa"/>
            <w:noWrap w:val="0"/>
            <w:vAlign w:val="center"/>
          </w:tcPr>
          <w:p>
            <w:pPr>
              <w:spacing w:line="320" w:lineRule="exact"/>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5</w:t>
            </w:r>
          </w:p>
        </w:tc>
      </w:tr>
    </w:tbl>
    <w:p>
      <w:pPr>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bookmarkEnd w:id="109"/>
    <w:p>
      <w:pPr>
        <w:pStyle w:val="3"/>
        <w:spacing w:before="0" w:after="0"/>
        <w:ind w:left="0" w:leftChars="0" w:firstLine="0" w:firstLineChars="0"/>
        <w:jc w:val="both"/>
        <w:rPr>
          <w:rFonts w:hint="eastAsia" w:ascii="仿宋" w:hAnsi="仿宋" w:eastAsia="仿宋" w:cs="仿宋"/>
          <w:color w:val="auto"/>
          <w:sz w:val="28"/>
          <w:szCs w:val="28"/>
          <w:highlight w:val="none"/>
        </w:rPr>
      </w:pPr>
      <w:bookmarkStart w:id="122" w:name="_Toc15254"/>
    </w:p>
    <w:p>
      <w:pPr>
        <w:pStyle w:val="3"/>
        <w:spacing w:before="0" w:after="0"/>
        <w:ind w:left="0" w:leftChars="0" w:firstLine="0" w:firstLineChars="0"/>
        <w:jc w:val="center"/>
        <w:rPr>
          <w:rStyle w:val="34"/>
          <w:rFonts w:hint="eastAsia" w:ascii="仿宋" w:hAnsi="仿宋" w:eastAsia="仿宋" w:cs="仿宋"/>
          <w:b w:val="0"/>
          <w:bCs w:val="0"/>
          <w:color w:val="auto"/>
          <w:kern w:val="0"/>
          <w:szCs w:val="24"/>
          <w:highlight w:val="none"/>
        </w:rPr>
      </w:pPr>
      <w:bookmarkStart w:id="123" w:name="_Toc18361"/>
      <w:r>
        <w:rPr>
          <w:rFonts w:hint="eastAsia" w:ascii="仿宋" w:hAnsi="仿宋" w:eastAsia="仿宋" w:cs="仿宋"/>
          <w:color w:val="auto"/>
          <w:sz w:val="28"/>
          <w:szCs w:val="28"/>
          <w:highlight w:val="none"/>
        </w:rPr>
        <w:t>第四章 合同条</w:t>
      </w:r>
      <w:bookmarkEnd w:id="122"/>
      <w:r>
        <w:rPr>
          <w:rFonts w:hint="eastAsia" w:ascii="仿宋" w:hAnsi="仿宋" w:eastAsia="仿宋" w:cs="仿宋"/>
          <w:color w:val="auto"/>
          <w:sz w:val="28"/>
          <w:szCs w:val="28"/>
          <w:highlight w:val="none"/>
        </w:rPr>
        <w:t>款</w:t>
      </w:r>
      <w:bookmarkEnd w:id="123"/>
    </w:p>
    <w:p>
      <w:pPr>
        <w:rPr>
          <w:rFonts w:hint="eastAsia" w:ascii="仿宋" w:hAnsi="仿宋" w:eastAsia="仿宋" w:cs="仿宋"/>
          <w:color w:val="auto"/>
          <w:highlight w:val="none"/>
        </w:rPr>
      </w:pPr>
    </w:p>
    <w:p>
      <w:pPr>
        <w:pStyle w:val="2"/>
        <w:snapToGrid w:val="0"/>
        <w:spacing w:after="0" w:line="360" w:lineRule="auto"/>
        <w:ind w:left="138" w:right="228" w:firstLine="480"/>
        <w:jc w:val="center"/>
        <w:rPr>
          <w:rFonts w:hint="eastAsia" w:ascii="仿宋" w:hAnsi="仿宋" w:eastAsia="仿宋" w:cs="仿宋"/>
          <w:color w:val="auto"/>
          <w:highlight w:val="none"/>
        </w:rPr>
      </w:pPr>
      <w:r>
        <w:rPr>
          <w:rFonts w:hint="eastAsia" w:ascii="仿宋" w:hAnsi="仿宋" w:eastAsia="仿宋" w:cs="仿宋"/>
          <w:color w:val="auto"/>
          <w:highlight w:val="none"/>
        </w:rPr>
        <w:t>商务部分</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第一条 项目内容及要求</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（一） 本协议下项目内容及要求详见【附件】。</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（二） ......</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第二条 双方的权利和义务</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（一） ......</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                                通用部分</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第三条 合作原则</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（一） 平等自愿原则。甲乙双方自愿选择对方作为合作伙伴，互相支持、共同发展。</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（二） 依法合规原则。甲乙双方的合作应遵守并执行国家法律法规、监管机构的监管规定，同时符合国家宏观经济政策、产业政策和保险监管政策。</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（三） 合作共赢原则。甲乙双方充分发挥各自优势，以相应资源和优质服务积极支持对方的业务发展。</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（四） ......</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第四条 合作模式</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合作模式</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（一）为积极落实本协议，保持双方间的业务信息畅通，甲乙双方应指定责任部门和人员负责日常联络，及时沟通业务合作进展情况。</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（二）甲、乙双方根据工作需要，就合作内容、方式等进行不定期会议，讨论双方合作规划，分析双方合作背景及市场变化，并实施相应的调整策略，不断对本协议的其它方面进行补充、完善和修改。</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（三）甲乙双方将采用项目合作推进模式，各自授权有关部门或下属公司商洽双方具体的合作事项。合作协议需要扩展到下属公司的，需由下属公司组织实施。</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（四）本协议不能取代、替换甲乙双方或其下属公司另行签订的具体业务协议，具体合作事项均以具体业务协议为准。</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第五条 双方的权利和义务</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双方的权利和义务</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（一）甲乙双方的合作应以符合法律法规及监管规定为前提。</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（二）甲乙双方应以长期合作为出发点，就上述合作进行及时、友好沟通与交流，并应对方的合理要求提供协助，包括但不限于提供与交易有关的真实、完整的文件、资料和信息。</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三）甲乙双方开展任何模式项下的具体业务时，将根据业务需求进行协商，确认交易结构，并另行签署相关具体业务协议等法律文件，就各项具体合作业务的合作方式以及双方的权利义务作出详细规定。该具体业务协议中对甲乙双方权利义务的规定与本协议规定不一致的，应以具体业务协议为准。</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（四）双方合作期间，未经甲方书面同意，乙方不得使用甲方的品牌标识、名称及商标开展任何宣传活动。</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（五）本协议之签署不影响任何一方在本协议有效期内与本协议以外的第三方进行合作。</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第六条 违约责任</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违约责任</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在本协议有效期间内，如果因任何一方发生违约行为，给对方造成经济损失的，违约方应对守约方因此而遭受的全部经济损失承担赔偿责任。</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第七条 商标使用</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商标使用</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未经甲方书面许可，乙方不得将甲方的商标、公司名称、标识等用于宣传和/或展示。</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第八条 不可抗力</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（一） 本协议任何一方因不可抗力不能履行本协议约定的全部或部分义务，应尽快通知另一方，并应在不可抗力发生后3日内以书面形式向对方提供详细情况报告及不可抗力对履行本协议影响程度的说明。甲、乙双方应根据不可抗力对协议履行的影响程度，协商确定是否终止协议，或继续履行本协议。</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（二） 本协议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（三） 协议一方迟延履行后发生不可抗力的，不能免除其责任。</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第九条 保密条款</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（一） 乙方应保证对本协议的所有相关内容及其因履行本协议所获知的各种甲方的具有保密性质的信息（包括但不限于经营、管理、商务、技术、营销、发展规划等）负有保密义务，未经甲方事前书面许可，不得将上述信息用于本协议目的之外；除为履行其职责而确有必要知悉保密资料的乙方工作人员或其他第三方外，乙方不向其他任何人披露上述信息，且乙方应确保上述人员承担与本协议约定同等严格的保密义务。</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（二） 乙方在本协议中所受领的保密信息应及时返还甲方或在甲方监督下予以销毁。乙方擅自留存备份信息，视为违反保密约定。</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（三） 无论本协议因何种原因终止，本保密条款依然有效。</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第十条 协议的变更和解除</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协议的变更和解除</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（一） 协议变更</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对本协议的任何变更或补充，须经甲乙双方协商一致，并另行签订书面补充协议。</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（二） 协议解除</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在本协议的履行过程中，任何一方如果拒绝按照本协议原则和精神开展合作，或严重违反本协议内容损害另一方在合作中的利益，或违法违规经营，或有其他严重损害客户利益的行为时，守约方可以书面通知违约方解除本协议，本协议在守约方解除协议书面通知到达违约方之日起解除。</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第十一条 法律适用与争议解决</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（一） 本协议的订立、效力、解释、履行和争议的解决均适用中华人民共和国法律（不包括港澳台地区法律）。</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（二） 凡因本合同引起的或与本合同有关的任何争议，双方首先应友好协商解决。协商不成的，任何一方均可向甲方所在地有管辖权的法院提起诉讼。 </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第十二条 协议生效及其他</w:t>
      </w: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（一） 本协议有效期_______年，自协议生效之日起计算。</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（二） 本协议为甲、乙双方加强合作而订立的框架性文件，是对双方权利义务的原则性约定，不构成双方具体合作业务项下法律上的权利义务。双方另行签订的具体业务协议，应在符合国家政策和法律、法规且符合双方业务审批条件和办理程序的前提下进行。如有与本协议冲突之条款，以具体业务协议为准。本协议自甲、乙双方授权代表签字并盖章之日起生效。</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（三） 本协议一式_______份，其中正本_______份，副本_______份。甲方执_______份正本，_______份副本；乙方执_______份正本，_______份副本。</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r>
        <w:rPr>
          <w:rFonts w:hint="eastAsia" w:ascii="仿宋" w:hAnsi="仿宋" w:eastAsia="仿宋" w:cs="仿宋"/>
          <w:color w:val="auto"/>
          <w:highlight w:val="none"/>
        </w:rPr>
        <w:t>第十三条 附件的组成</w:t>
      </w: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napToGrid w:val="0"/>
        <w:spacing w:after="0" w:line="360" w:lineRule="auto"/>
        <w:ind w:left="138" w:right="228" w:firstLine="480"/>
        <w:jc w:val="both"/>
        <w:rPr>
          <w:rFonts w:hint="eastAsia" w:ascii="仿宋" w:hAnsi="仿宋" w:eastAsia="仿宋" w:cs="仿宋"/>
          <w:color w:val="auto"/>
          <w:highlight w:val="none"/>
        </w:rPr>
      </w:pP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bookmarkStart w:id="124" w:name="_Toc4181"/>
      <w:r>
        <w:rPr>
          <w:rFonts w:hint="eastAsia" w:ascii="仿宋" w:hAnsi="仿宋" w:eastAsia="仿宋" w:cs="仿宋"/>
          <w:color w:val="000000" w:themeColor="text1"/>
          <w14:textFill>
            <w14:solidFill>
              <w14:schemeClr w14:val="tx1"/>
            </w14:solidFill>
          </w14:textFill>
        </w:rPr>
        <w:t>附件一</w:t>
      </w:r>
    </w:p>
    <w:p>
      <w:pPr>
        <w:pStyle w:val="2"/>
        <w:spacing w:after="0" w:line="360" w:lineRule="auto"/>
        <w:ind w:left="138" w:right="228" w:firstLine="480"/>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服务内容及要求</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一、服务项目与范围</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乙方为甲方在</w:t>
      </w:r>
      <w:r>
        <w:rPr>
          <w:rFonts w:hint="eastAsia" w:ascii="仿宋" w:hAnsi="仿宋" w:eastAsia="仿宋" w:cs="仿宋"/>
          <w:color w:val="000000" w:themeColor="text1"/>
          <w:lang w:val="en-US" w:eastAsia="zh-CN"/>
          <w14:textFill>
            <w14:solidFill>
              <w14:schemeClr w14:val="tx1"/>
            </w14:solidFill>
          </w14:textFill>
        </w:rPr>
        <w:t>珙县</w:t>
      </w:r>
      <w:r>
        <w:rPr>
          <w:rFonts w:hint="eastAsia" w:ascii="仿宋" w:hAnsi="仿宋" w:eastAsia="仿宋" w:cs="仿宋"/>
          <w:color w:val="000000" w:themeColor="text1"/>
          <w:lang w:eastAsia="zh-CN"/>
          <w14:textFill>
            <w14:solidFill>
              <w14:schemeClr w14:val="tx1"/>
            </w14:solidFill>
          </w14:textFill>
        </w:rPr>
        <w:t>县域范围内提供以下</w:t>
      </w:r>
      <w:r>
        <w:rPr>
          <w:rFonts w:hint="eastAsia" w:ascii="仿宋" w:hAnsi="仿宋" w:eastAsia="仿宋" w:cs="仿宋"/>
          <w:color w:val="000000" w:themeColor="text1"/>
          <w:lang w:val="en-US" w:eastAsia="zh-CN"/>
          <w14:textFill>
            <w14:solidFill>
              <w14:schemeClr w14:val="tx1"/>
            </w14:solidFill>
          </w14:textFill>
        </w:rPr>
        <w:t>广告宣传</w:t>
      </w:r>
      <w:r>
        <w:rPr>
          <w:rFonts w:hint="eastAsia" w:ascii="仿宋" w:hAnsi="仿宋" w:eastAsia="仿宋" w:cs="仿宋"/>
          <w:color w:val="000000" w:themeColor="text1"/>
          <w:lang w:eastAsia="zh-CN"/>
          <w14:textFill>
            <w14:solidFill>
              <w14:schemeClr w14:val="tx1"/>
            </w14:solidFill>
          </w14:textFill>
        </w:rPr>
        <w:t>服务，服务内容、执行标准、质量要求均严格遵照本合同及甲方正式订单执行：</w:t>
      </w:r>
    </w:p>
    <w:p>
      <w:pPr>
        <w:pStyle w:val="2"/>
        <w:spacing w:after="0" w:line="360" w:lineRule="auto"/>
        <w:ind w:left="138" w:right="228" w:firstLine="480"/>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1.加油站宣传服务：选取县域内加油站，摆放宣传物料，配置具有保险知识的宣传人员开展宣传；</w:t>
      </w:r>
    </w:p>
    <w:p>
      <w:pPr>
        <w:pStyle w:val="2"/>
        <w:spacing w:after="0" w:line="360" w:lineRule="auto"/>
        <w:ind w:left="138" w:right="228" w:firstLine="480"/>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2.工业园区、车辆检测站宣传服务：在珙县工业园区、车辆检测站安装宣传画、摆放宣传物料，配置具有保险知识的宣传人员开展宣传；</w:t>
      </w:r>
    </w:p>
    <w:p>
      <w:pPr>
        <w:pStyle w:val="2"/>
        <w:spacing w:after="0" w:line="360" w:lineRule="auto"/>
        <w:ind w:left="138" w:right="228" w:firstLine="480"/>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3.小区、商业体宣传服务：选取县域城区内优质小区、商业体的电梯、停车场出入口、墙体等点位制作宣传物料开展宣传；</w:t>
      </w:r>
    </w:p>
    <w:p>
      <w:pPr>
        <w:pStyle w:val="2"/>
        <w:spacing w:after="0" w:line="360" w:lineRule="auto"/>
        <w:ind w:left="138" w:right="228" w:firstLine="480"/>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4.小区、超市、社区地推宣传服务：选取县域城区内优质小区、超市，摆放宣传物料，配置具有保险知识的宣传人员开展宣传；</w:t>
      </w:r>
    </w:p>
    <w:p>
      <w:pPr>
        <w:pStyle w:val="2"/>
        <w:spacing w:after="0" w:line="360" w:lineRule="auto"/>
        <w:ind w:left="138" w:right="228" w:firstLine="480"/>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5.村委会宣传服务：选取县域人口规模较大的乡镇村委会，摆放宣传物料，配置具有保险知识的宣传人员开展宣传，或利用村委会LED屏等开展宣传；</w:t>
      </w:r>
    </w:p>
    <w:p>
      <w:pPr>
        <w:pStyle w:val="2"/>
        <w:spacing w:after="0" w:line="360" w:lineRule="auto"/>
        <w:ind w:left="138" w:right="228" w:firstLine="480"/>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6.单独制作宣传广告物料。</w:t>
      </w:r>
    </w:p>
    <w:p>
      <w:pPr>
        <w:pStyle w:val="2"/>
        <w:spacing w:after="0" w:line="360" w:lineRule="auto"/>
        <w:ind w:left="138" w:right="228" w:firstLine="480"/>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宣传广告投放将围绕服务业务发展开展，进行业务宣传及产品推广，助力提升公司产品渗透率，支持基层一线业务发展。需选聘 2家有宣传广告资质代理机构，提供珙县支公司宣传广告资源代理服务、创意和设计制作服务、策划执行服务、优质的服务团队。</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二、服务期限</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自合同签订之日起1年。</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三、服务总体要求</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1.乙方须具备合法广告经营资质，配备专业设计、制作、执行、维护团队，满足甲方全流程宣传需求。</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2.乙方承诺宣传内容与形式符合《中华人民共和国广告法》及</w:t>
      </w:r>
      <w:r>
        <w:rPr>
          <w:rFonts w:hint="eastAsia" w:ascii="仿宋" w:hAnsi="仿宋" w:eastAsia="仿宋" w:cs="仿宋"/>
          <w:color w:val="000000" w:themeColor="text1"/>
          <w:lang w:val="en-US" w:eastAsia="zh-CN"/>
          <w14:textFill>
            <w14:solidFill>
              <w14:schemeClr w14:val="tx1"/>
            </w14:solidFill>
          </w14:textFill>
        </w:rPr>
        <w:t>珙</w:t>
      </w:r>
      <w:r>
        <w:rPr>
          <w:rFonts w:hint="eastAsia" w:ascii="仿宋" w:hAnsi="仿宋" w:eastAsia="仿宋" w:cs="仿宋"/>
          <w:color w:val="000000" w:themeColor="text1"/>
          <w:lang w:eastAsia="zh-CN"/>
          <w14:textFill>
            <w14:solidFill>
              <w14:schemeClr w14:val="tx1"/>
            </w14:solidFill>
          </w14:textFill>
        </w:rPr>
        <w:t>县当地管理规定，因违规产生的法律责任与经济损失由乙方全额承担。</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3.甲方不对服务总量作出承诺，实际服务范围、规模、频次以合同执行期间甲方下达的正式订单为准。</w:t>
      </w:r>
    </w:p>
    <w:p>
      <w:pPr>
        <w:pStyle w:val="2"/>
        <w:spacing w:after="0" w:line="360" w:lineRule="auto"/>
        <w:ind w:left="138" w:right="228" w:firstLine="480"/>
        <w:jc w:val="both"/>
        <w:rPr>
          <w:rFonts w:hint="eastAsia"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4.单次宣传广告服务实施前，甲方向成交供应商发送明确的执行需求，包括但不限于：宣传形式、点位要求、服务周期、物料规格、明细报价、付款方式、报价截止时间及密封报价递交方式等。供应商按要求递交密封报价文件后，甲方组织现场拆封，按“价低者得”原则确定当次服务的执行供应商，并签订项目补充协议，确保采购过程高效、透明、合规。</w:t>
      </w:r>
    </w:p>
    <w:p>
      <w:pPr>
        <w:pStyle w:val="2"/>
        <w:snapToGrid w:val="0"/>
        <w:spacing w:after="0" w:line="360" w:lineRule="auto"/>
        <w:ind w:left="138" w:right="228" w:firstLine="480"/>
        <w:jc w:val="both"/>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5.若在合同期内甲方因制度调整（包括但不限于公司经营目标体系改变，甲方上级公司统一集中采购）等因素，需重新实施宣传广告类的集中采购时，可终止本项目合同执行。</w:t>
      </w:r>
    </w:p>
    <w:p>
      <w:pPr>
        <w:pStyle w:val="2"/>
        <w:spacing w:after="0" w:line="360" w:lineRule="auto"/>
        <w:ind w:left="138" w:right="228" w:firstLine="480"/>
        <w:jc w:val="both"/>
        <w:rPr>
          <w:rFonts w:hint="eastAsia" w:ascii="仿宋" w:hAnsi="仿宋" w:eastAsia="仿宋" w:cs="仿宋"/>
          <w:color w:val="000000" w:themeColor="text1"/>
          <w:lang w:val="en-US" w:eastAsia="zh-CN"/>
          <w14:textFill>
            <w14:solidFill>
              <w14:schemeClr w14:val="tx1"/>
            </w14:solidFill>
          </w14:textFill>
        </w:rPr>
      </w:pP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p>
    <w:p>
      <w:pPr>
        <w:pStyle w:val="2"/>
        <w:spacing w:after="0" w:line="360" w:lineRule="auto"/>
        <w:ind w:right="228"/>
        <w:jc w:val="both"/>
        <w:rPr>
          <w:rFonts w:hint="eastAsia" w:ascii="仿宋" w:hAnsi="仿宋" w:eastAsia="仿宋" w:cs="仿宋"/>
          <w:color w:val="000000" w:themeColor="text1"/>
          <w14:textFill>
            <w14:solidFill>
              <w14:schemeClr w14:val="tx1"/>
            </w14:solidFill>
          </w14:textFill>
        </w:rPr>
      </w:pP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附件二                           </w:t>
      </w:r>
    </w:p>
    <w:p>
      <w:pPr>
        <w:pStyle w:val="2"/>
        <w:spacing w:after="0" w:line="360" w:lineRule="auto"/>
        <w:ind w:left="138" w:right="228" w:firstLine="480"/>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服务方案及验收</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一、设计要求</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1.乙方配备专属专业设计团队，根据甲方宣传需求设计宣传物料。</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2.设计修改次数不限，直至甲方书面确认满意；设计稿经甲方审核通过后方可制作投放。</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3.设计成果知识产权归甲方所有，乙方不得擅自使用或泄露。</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二、制作与物料要求</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1.所有宣传物料符合国家质量标准及户外使用要求，具备防水、防晒、耐用、不褪色、不脱胶、无破损特性。</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2</w:t>
      </w:r>
      <w:r>
        <w:rPr>
          <w:rFonts w:hint="eastAsia" w:ascii="仿宋" w:hAnsi="仿宋" w:eastAsia="仿宋" w:cs="仿宋"/>
          <w:color w:val="000000" w:themeColor="text1"/>
          <w14:textFill>
            <w14:solidFill>
              <w14:schemeClr w14:val="tx1"/>
            </w14:solidFill>
          </w14:textFill>
        </w:rPr>
        <w:t>.LED宣传画面色彩准确、清晰，尺寸适配；展架牢固稳定，印刷清晰无误、无错别字。</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3.物料材质、规格须提前报甲方确认，未经同意不得擅自变更。</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三、执行要求</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1.乙方按甲方指定时间、地点、频次完成上刊/落地执行，提前做好场地协调、物料准备、人员安排。</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2.安排专人负责现场执行，确保宣传活动安全、有序、合规开展。</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3.因特殊情况需调整执行方案，须提前24小时书面告知甲方并征得书面同意。</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四、售后与维护要求</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1.LED故障：播放期内出现卡顿、黑屏、模糊等问题，乙方须在承诺时限内到场维修并恢复正常。</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2.物料维护：借地、墙体、电梯道闸等宣传物料出现破损、脱落、丢失，乙方须在24小时内免费更换、修复。</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3.安全隐患：展位、展架、安装点位出现松动、损坏等安全风险，乙方须立即处置，消除隐患并承担全部责任。</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五、验收流程</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1.宣传布置完成后，乙方立即提请甲方现场验收。</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2.验收合格，双方签署验收单，宣传期限自验收合格之日起计算。</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3.验收不合格，乙方须在甲方要求时限内整改完毕并重新报验，因此产生的费用与延误责任由乙方承担。 </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附件三</w:t>
      </w:r>
    </w:p>
    <w:p>
      <w:pPr>
        <w:pStyle w:val="2"/>
        <w:spacing w:after="0" w:line="360" w:lineRule="auto"/>
        <w:ind w:left="138" w:right="228" w:firstLine="480"/>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付款</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1.本合同使用货币种类为人民币。</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2.付款方式：转账。双方采用转账方式付款的，甲方应向乙方以下账户进行付费：</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乙方： </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开户行：</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账户名称：</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账号：</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3.付款安排</w:t>
      </w:r>
    </w:p>
    <w:p>
      <w:pPr>
        <w:pStyle w:val="2"/>
        <w:numPr>
          <w:ilvl w:val="0"/>
          <w:numId w:val="0"/>
        </w:numPr>
        <w:spacing w:line="360" w:lineRule="auto"/>
        <w:ind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针对各单项宣传广告业务，可采取验收合格后支付、宣传周期结束后支付或分期支付等方式，成交供应商须全面予以响应。</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4.增值税专用发票的相关约定</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（1）乙方应向甲方开具增值税专用发票，甲方开票信息如下： </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公司名称：中国人民财产保险股份有限公司宜宾市分公司</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纳税识别号</w:t>
      </w:r>
      <w:r>
        <w:rPr>
          <w:rFonts w:hint="eastAsia" w:ascii="仿宋" w:hAnsi="仿宋" w:eastAsia="仿宋" w:cs="仿宋"/>
          <w:color w:val="000000" w:themeColor="text1"/>
          <w:lang w:eastAsia="zh-CN"/>
          <w14:textFill>
            <w14:solidFill>
              <w14:schemeClr w14:val="tx1"/>
            </w14:solidFill>
          </w14:textFill>
        </w:rPr>
        <w:t>：</w:t>
      </w:r>
      <w:r>
        <w:rPr>
          <w:rFonts w:hint="eastAsia" w:ascii="仿宋" w:hAnsi="仿宋" w:eastAsia="仿宋" w:cs="仿宋"/>
          <w:color w:val="000000" w:themeColor="text1"/>
          <w14:textFill>
            <w14:solidFill>
              <w14:schemeClr w14:val="tx1"/>
            </w14:solidFill>
          </w14:textFill>
        </w:rPr>
        <w:t xml:space="preserve">9151150090885070X4           </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银行账号：22470301040007752</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开户银行：中国农业银行股份有限公司宜宾南岸支行</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开票地址：宜宾市南岸长江大道中段11号</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开票电话：08312334421 </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为保证取得的发票可以及时并成功获得抵扣，乙方开具的增值税专用发票送达并经甲方签收后，若发生丢失，乙方应积极协助甲方，按照相关税收法规和文件的规定提供相应资料，并确保甲方顺利获得抵扣。</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附件四</w:t>
      </w:r>
    </w:p>
    <w:p>
      <w:pPr>
        <w:pStyle w:val="2"/>
        <w:spacing w:after="0" w:line="360" w:lineRule="auto"/>
        <w:ind w:left="138" w:right="228" w:firstLine="480"/>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双方的权利和义务</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 甲方的权利和义务：</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（1）若需要，可指派专门人员参与工作过程；</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（2）配合提供乙方完成服务所需的数据、信息、背景材料等资料；</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（3）对乙方提交的工作成果进行审定和验收；</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（4）按时对项目进行验收并支付乙方相应的服务费用；</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（5）甲方有权要求乙方在合理期限内对提交的方案、报告、设计等服务进一步完善、修改的权利，甲方并拥有最终决定权；</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（6）甲方对于乙方服务项目小组成员的服务有权提出意见并可以要求乙方整改甚至更换该小组成员；</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（7）甲方享有其它双方约定的权利、承担其它双方约定的义务。</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 乙方的权利和义务：</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（1）指派合格的执行人员提供本合同约定的服务；</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（2）在服务过程中，提出适合甲方实际情况的合理化建议和要求；</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（3）发现问题，及时反馈并提供相关建议；</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（4）乙方根据合同规定的周期按时提交成果，全面配合甲方行动，服务需符合甲方的整体市场、发展策划、策略，并按照甲方提出的意见及要求调整及修改至甲方认可，甲方签字确认后乙方方可执行；</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（5）保证提供优质的服务；</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（6）保证所有经甲方采纳的文案创意和视觉设计的知识产权归属甲方所有；</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（7）保证为甲方提供的文案创意和视觉设计不会侵犯任何第三人的专利权、著作权、其他知识产权和其他民事权利；甲方在宣传过程中享有署名权；</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（8）针对各阶段服务工作及时向甲方提交效果分析报告；</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（9）乙方享有其它双方约定的权利、承担其它双方约定的义务。</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附件五</w:t>
      </w:r>
    </w:p>
    <w:p>
      <w:pPr>
        <w:pStyle w:val="2"/>
        <w:spacing w:after="0" w:line="360" w:lineRule="auto"/>
        <w:ind w:left="138" w:right="228" w:firstLine="480"/>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廉洁诚信协议</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第一条  总则</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1.1甲乙双方均应当严格遵守国家法律法规和甲方集中采购管理、供应商管理的相关要求，不从事任何违法违规违纪行为。坚持诚实守信原则，恪守商业道德和职业道德，规范商务人员廉洁从业行为。</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1.3本协议所称相关主体，对任何一方而言，包括但不限于以下单位或者个人：</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（1）一方或其关联方之工作人员；</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（2）受一方委托办理相关事务的单位或者个人；</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（3）利用职权或者影响力影响交易的单位或者个人；</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（4）前述相关人员的亲属；</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（5）与前述相关主体存在利害关系的其他单位或者人员。</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乙方相关主体实施违反本协议约定之行为的，均应视为乙方实施行为。</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1.4一方监督发现对方相关主体在业务合作中存在违规行为的，应当及时提醒并有权向对方纪检部门举报。情节严重构成犯罪的，任何一方均有权向司法机关报案，追究相关单位或者人员的刑事责任。</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第二条  商业贿赂</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2.1本协议所称商业贿赂，是指乙方或乙方相关主体为获取或意图获取交易机会或者竞争优势，采用财物或者其他形式贿赂甲方或甲方相关主体的行为。</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2.3本条第1款所称其他形式，包括但不限于：</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（1）以任何方式实施商业贿赂或违规提供回扣、折扣、宴请与游玩活动或其他不正当利益；</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（2）为甲方或甲方相关主体安排有可能影响公平、公正交易的宴请、健身、娱乐等活动；</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（3）为甲方或甲方相关主体投资入股、个人借款或买卖股票、债券等提供方便；</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（4）为甲方或甲方相关主体购买或装修住房、婚丧嫁娶、配偶子女上学或工作安排以及出国出境、旅游等提供方便；</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（5）违反规定为甲方或甲方相关主体在乙方相关企业工作、挂名兼职、合伙经营、介绍承揽业务等提供方便；</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（6）向甲方或甲方相关主体提供借款、融资、担保等；</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（7）给予或承诺给予其不正当利益的其他行为；</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（8）其他违反国家法律法规或商业道德准则的影响公正交易的行为。</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第三条  回扣</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3.1本协议所称回扣，是指乙方促成合作时在账外暗中以现金、实物或者其他方式退给甲方或甲方相关主体一定比例的商品或服务价款。</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3.2本条第1款所称账外，是指未在依法设立的反映其生产经营活动或者行政事业经费收支的财务账上按照财务会计制度规定明确如实记载，包括不记入财务账、转入其他财务账或者做假账等。</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3.3乙方在账外暗中给予甲方相关主体回扣的，视为实施商业贿赂行为。</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第四条  折扣</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4.2乙方提供的商品或服务，可以以明示方式给予甲方折扣。乙方给予甲方折扣的，必须在采购协议中予以明确并如实入账。</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4.3本条第1款所称如实入账，是指根据采购或合作协议约定的金额和支付方式，在依法设立的反映甲方生产经营活动收支的财务账上按照财务会计制度规定明确如实记载。</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4.4乙方违反本条约定的，视为实施商业贿赂行为。</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第五条  宴请与游玩活动</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5.2乙方不得为甲方相关主体提供各种形式的旅游、健身、KTV、酒吧、按摩、赌博、色情等娱乐休闲活动。</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5.3乙方违反本条约定的，视为实施商业贿赂行为。</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第六条  禁止行为</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双方一致同意双方或双方相关主体的如下行为是应当禁止的营私舞弊或腐败行为：</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6.1甲方及甲方相关主体向乙方索要或收受财物或其他形式的财产性利益、非财产性利益。</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6.2乙方及乙方相关主体向甲方或甲方相关主体提供财物或其他形式的财产性利益、非财产性利益，包括但不限于：</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（1）报销甲方相关主体的私人费用；</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（2）提供超过宴请标准的宴请或娱乐活动；</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（3）介绍甲方相关主体亲友到乙方处工作；</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（4）提出、邀请或事实上接受甲方相关主体在乙方参股或参与乙方经营活动；</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（5）组织或向甲方相关主体提供旅游等代偿活动利益；</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（6）向甲方相关主体提供借款、融资、担保等；</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（7）给予或承诺给予甲方相关主体不正当利益的其他行为；</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（8）其他违反本协议约定、国家法律法规或商业道德准则的影响公正交易的行为。</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第七条  乙方承诺</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乙方承诺在双方的商务接洽、合同关系、交易过程中遵守如下要求：</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7.1 避免利害关系</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7.2 恪守廉洁自律原则</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7.2.2支持甲方的廉洁诚信建设，承诺承担实名举报的义务，若乙方或乙方相关主体对甲方或甲方相关主体的索贿行为不拒绝、不申报，并满足其要求的，则该行为视同乙方实施商业贿赂行为。</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7.3 恪守诚实信用原则</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7.3.2严格遵守向甲方做出的承诺、双方签署的合同、协议和备忘录等，确保产品质量和服务质量，不隐瞒任何可能对甲方利益造成影响的信息，积极配合甲方的审计。</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7.3.3严格遵守甲方的供应商行为准则、合作协议、保密承诺书等政策文件中的相关规定。</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7.3.4严格遵守甲方的品牌管理的相关规定，未经甲方授权不擅自使用甲方字样、授权合作伙伴等类似容易对外产生混淆的字样。</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7.3.5严格遵守国家相关法律法规及甲方的管理规定，不参与任何违法活动。</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7.3.6承诺实事求是，不对内部或社会传递任何虚假信息，严格遵守保密协议，不透露任何甲方的商业机密。</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7.3.7未经甲方同意，不向任何新闻媒体、第三方述及有关甲方工作人员恪守商业道德方面的评价、信息。</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7.4 确保信息公开透明</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7.4.1主动向甲方披露与采购项目相关的信息，包括乙方真实情况、产品价格、技术参数、服务团队信息、履约情况等。</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7.4.2不利用非法手段向甲方及甲方相关主体打探有关涉及甲方及甲方相关主体的商业秘密、人员信息、采购信息等。</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7.5 积极配合监督举报</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7.5.2如乙方有知悉或怀疑甲方相关主体有违反上述约定的，应及时采取措施并有权向甲方纪检部门举报。甲方会对所有信息提供者及所提供的全部资料严格保密。</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7.6 加强内部廉洁管理</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7.6.1加强内部管理：加强对员工的廉洁教育和培训，提高员工的道德素质和法律意识，建立健全内部管理制度，确保员工行为的合规性和廉洁性。</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7.6.2设立监督机制：通过专门的监督机构或人员，对乙方的业务活动进行实时监督，确保员工行为的合规性。</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7.6.3建立举报制度：鼓励员工积极举报违规行为，对举报人予以保护并给予奖励。</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第八条  违约责任</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8.1若甲方人员违反本协议第六条规定的，按照甲方内部管理权限，依据有关法律和规定给予处分或组织处理，涉嫌犯罪的，移交司法机关追究刑事责任。</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8.2如乙方违反本协议任何约定或承诺，甲方有权依据甲方采购管理、供应商管理和采购文件相关要求，对乙方进行严肃处理，相关处罚结果记入供应商诚信档案。</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8.3 如乙方违反本协议任何约定或承诺，甲方及甲方子公司有权根据情节严重程度选择单方全面终止与乙方的合同及合作，且无需承担任何责任。乙方给甲方造成损失的，甲方有权要求乙方承担全部赔偿责任。</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8.4甲方及甲方子公司按照前述条款要求乙方承担赔偿责任的，乙方应于甲方发出赔偿通知之日起【10】个工作日内支付，如未及时支付，甲方及甲方子公司有权从主合同款项中直接扣除。</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8.5乙方知悉并同意，对于上述情形的处理甲方有完全的判断权和自主权。</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第九条  附则</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9.1本协议的标题及各条款的标题仅为检索方便而设置，具体内容应当以各条款的具体规定为准，而不应参考该标题进行解释。</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9.5本协议长期有效。</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sectPr>
          <w:footerReference r:id="rId8" w:type="first"/>
          <w:footerReference r:id="rId7" w:type="default"/>
          <w:pgSz w:w="11906" w:h="16838"/>
          <w:pgMar w:top="1417" w:right="1134" w:bottom="1134" w:left="1134" w:header="851" w:footer="992" w:gutter="0"/>
          <w:pgNumType w:fmt="decimal" w:start="1"/>
          <w:cols w:space="720" w:num="1"/>
          <w:titlePg/>
        </w:sectPr>
      </w:pPr>
    </w:p>
    <w:p>
      <w:pPr>
        <w:pStyle w:val="3"/>
        <w:pageBreakBefore/>
        <w:ind w:left="0" w:firstLine="3064" w:firstLineChars="1090"/>
        <w:jc w:val="left"/>
        <w:rPr>
          <w:rFonts w:hint="eastAsia" w:ascii="仿宋" w:hAnsi="仿宋" w:eastAsia="仿宋" w:cs="仿宋"/>
          <w:color w:val="auto"/>
          <w:sz w:val="28"/>
          <w:szCs w:val="28"/>
          <w:highlight w:val="none"/>
        </w:rPr>
      </w:pPr>
      <w:bookmarkStart w:id="125" w:name="_Toc29621"/>
      <w:r>
        <w:rPr>
          <w:rFonts w:hint="eastAsia" w:ascii="仿宋" w:hAnsi="仿宋" w:eastAsia="仿宋" w:cs="仿宋"/>
          <w:color w:val="auto"/>
          <w:sz w:val="28"/>
          <w:szCs w:val="28"/>
          <w:highlight w:val="none"/>
        </w:rPr>
        <w:t>第五章 采购</w:t>
      </w:r>
      <w:bookmarkEnd w:id="124"/>
      <w:r>
        <w:rPr>
          <w:rFonts w:hint="eastAsia" w:ascii="仿宋" w:hAnsi="仿宋" w:eastAsia="仿宋" w:cs="仿宋"/>
          <w:color w:val="auto"/>
          <w:sz w:val="28"/>
          <w:szCs w:val="28"/>
          <w:highlight w:val="none"/>
        </w:rPr>
        <w:t>需求</w:t>
      </w:r>
      <w:bookmarkEnd w:id="125"/>
    </w:p>
    <w:p>
      <w:pPr>
        <w:numPr>
          <w:ilvl w:val="0"/>
          <w:numId w:val="0"/>
        </w:numPr>
        <w:spacing w:line="360" w:lineRule="auto"/>
        <w:ind w:firstLine="480" w:firstLineChars="200"/>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一、采购项目背景</w:t>
      </w:r>
    </w:p>
    <w:p>
      <w:pPr>
        <w:pStyle w:val="2"/>
        <w:snapToGrid w:val="0"/>
        <w:spacing w:after="0" w:line="360" w:lineRule="auto"/>
        <w:ind w:left="138" w:right="228" w:firstLine="480"/>
        <w:jc w:val="both"/>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为进一步提升公司品牌形象与宣传工作质效，拓宽宣传渠道、强化市场推广力度，满足公司年度品牌建设、业务推广、活动宣传等常态化工作需求，规范广告宣传服务采购管理，优化供应商资源配置，保障服务质量与供应稳定性，拟采购2家供应商入库，为人保财险珙县支公司提供为期一年的广告宣传服务，确保各项宣传工作高效、有序开展。本采购项目由人保财险宜宾市分公司批准并落实资金，组织本项目的相关采购工作，采购合同由人保财险宜宾市分公司根据入围结果与入围供应商签署。</w:t>
      </w:r>
    </w:p>
    <w:p>
      <w:pPr>
        <w:numPr>
          <w:ilvl w:val="0"/>
          <w:numId w:val="0"/>
        </w:numPr>
        <w:spacing w:line="360" w:lineRule="auto"/>
        <w:ind w:leftChars="200"/>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二、服务项目及供应商数量</w:t>
      </w:r>
    </w:p>
    <w:p>
      <w:pPr>
        <w:pStyle w:val="2"/>
        <w:snapToGrid w:val="0"/>
        <w:spacing w:after="0" w:line="360" w:lineRule="auto"/>
        <w:ind w:left="138" w:right="228" w:firstLine="480"/>
        <w:jc w:val="both"/>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按照采购人需求，在珙县县域范围内开展宣传服务，宣传服务内容涉及：</w:t>
      </w:r>
    </w:p>
    <w:p>
      <w:pPr>
        <w:pStyle w:val="2"/>
        <w:snapToGrid w:val="0"/>
        <w:spacing w:after="0" w:line="360" w:lineRule="auto"/>
        <w:ind w:left="138" w:right="228" w:firstLine="480"/>
        <w:jc w:val="both"/>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1.加油站宣传服务：选取县域内加油站，摆放宣传物料，配置具有保险知识的宣传人员开展宣传；</w:t>
      </w:r>
    </w:p>
    <w:p>
      <w:pPr>
        <w:pStyle w:val="2"/>
        <w:snapToGrid w:val="0"/>
        <w:spacing w:after="0" w:line="360" w:lineRule="auto"/>
        <w:ind w:left="138" w:right="228" w:firstLine="480"/>
        <w:jc w:val="both"/>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2.工业园区、车辆检测站宣传服务：在珙县工业园区、车辆检测站安装宣传画、摆放宣传物料，配置具有保险知识的宣传人员开展宣传；</w:t>
      </w:r>
    </w:p>
    <w:p>
      <w:pPr>
        <w:pStyle w:val="2"/>
        <w:snapToGrid w:val="0"/>
        <w:spacing w:after="0" w:line="360" w:lineRule="auto"/>
        <w:ind w:left="138" w:right="228" w:firstLine="480"/>
        <w:jc w:val="both"/>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3.小区、商业体宣传服务：选取县域城区内优质小区、商业体的电梯、停车场出入口、墙体等点位制作宣传物料开展宣传；</w:t>
      </w:r>
    </w:p>
    <w:p>
      <w:pPr>
        <w:pStyle w:val="2"/>
        <w:snapToGrid w:val="0"/>
        <w:spacing w:after="0" w:line="360" w:lineRule="auto"/>
        <w:ind w:left="138" w:right="228" w:firstLine="480"/>
        <w:jc w:val="both"/>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4.小区、超市、社区地推宣传服务：选取县域城区内优质小区、超市，摆放宣传物料，配置具有保险知识的宣传人员开展宣传；</w:t>
      </w:r>
    </w:p>
    <w:p>
      <w:pPr>
        <w:pStyle w:val="2"/>
        <w:snapToGrid w:val="0"/>
        <w:spacing w:after="0" w:line="360" w:lineRule="auto"/>
        <w:ind w:left="138" w:right="228" w:firstLine="480"/>
        <w:jc w:val="both"/>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5.村委会宣传服务：选取县域人口规模较大的乡镇村委会，摆放宣传物料，配置具有保险知识的宣传人员开展宣传，或利用村委会LED屏等开展宣传；</w:t>
      </w:r>
    </w:p>
    <w:p>
      <w:pPr>
        <w:pStyle w:val="2"/>
        <w:snapToGrid w:val="0"/>
        <w:spacing w:after="0" w:line="360" w:lineRule="auto"/>
        <w:ind w:left="138" w:right="228" w:firstLine="480"/>
        <w:jc w:val="both"/>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6.单独制作宣传广告物料。</w:t>
      </w:r>
    </w:p>
    <w:p>
      <w:pPr>
        <w:pStyle w:val="2"/>
        <w:snapToGrid w:val="0"/>
        <w:spacing w:after="0" w:line="360" w:lineRule="auto"/>
        <w:ind w:left="138" w:right="228" w:firstLine="480"/>
        <w:jc w:val="both"/>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宣传广告投放将围绕服务业务发展开展，进行业务宣传及产品推广，助力提升公司产品渗透率，支持基层一线业务发展。需选聘 2家有宣传广告资质代理机构，提供珙县支公司宣传广告资源代理服务、创意和设计制作服务、策划执行服务、优质的服务团队。</w:t>
      </w:r>
    </w:p>
    <w:p>
      <w:pPr>
        <w:pStyle w:val="2"/>
        <w:ind w:firstLine="480" w:firstLineChars="200"/>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三、服务要求</w:t>
      </w:r>
    </w:p>
    <w:p>
      <w:pPr>
        <w:pStyle w:val="2"/>
        <w:snapToGrid w:val="0"/>
        <w:spacing w:after="0" w:line="360" w:lineRule="auto"/>
        <w:ind w:left="138" w:right="228" w:firstLine="480"/>
        <w:jc w:val="both"/>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1.资源代理要求：根据采购人投放策略安排，能够获取相应宣传广告项目投放所需资源。</w:t>
      </w:r>
    </w:p>
    <w:p>
      <w:pPr>
        <w:pStyle w:val="2"/>
        <w:snapToGrid w:val="0"/>
        <w:spacing w:after="0" w:line="360" w:lineRule="auto"/>
        <w:ind w:left="138" w:right="228" w:firstLine="480"/>
        <w:jc w:val="both"/>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2.设计要求：供应商需配备专业团队，安排专业设计人员，根据采购方宣传需求设计宣传物料，设计稿需经采购方审核通过后方可制作投放，修改次数不限，直至采购方满意。</w:t>
      </w:r>
    </w:p>
    <w:p>
      <w:pPr>
        <w:numPr>
          <w:ilvl w:val="0"/>
          <w:numId w:val="0"/>
        </w:numPr>
        <w:spacing w:line="360" w:lineRule="auto"/>
        <w:ind w:firstLine="480" w:firstLineChars="200"/>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3.制作要求：所有宣传物料材质需符合国家相关质量标准及户外使用要求，具备防水、防晒、耐用等特性，无褪色、脱胶、破损等问题；LED宣传色彩准确、画面清晰，适配对应LED屏尺寸；借地宣传展架（门形展架、X展架等）需牢固稳定，海报、DM单等印刷清晰、内容准确，无错别字、模糊不清等问题。</w:t>
      </w:r>
    </w:p>
    <w:p>
      <w:pPr>
        <w:numPr>
          <w:ilvl w:val="0"/>
          <w:numId w:val="0"/>
        </w:numPr>
        <w:spacing w:line="360" w:lineRule="auto"/>
        <w:ind w:firstLine="480" w:firstLineChars="200"/>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4.执行要求：供应商需按采购方所要求的时间、地点、频次完成宣传服务，提前做好各项准备工作，安排专人负责现场执行，确保宣传活动顺利开展；如遇特殊情况需调整的，需提前24小时书面告知采购方并征得同意。</w:t>
      </w:r>
    </w:p>
    <w:p>
      <w:pPr>
        <w:numPr>
          <w:ilvl w:val="0"/>
          <w:numId w:val="0"/>
        </w:numPr>
        <w:spacing w:line="360" w:lineRule="auto"/>
        <w:ind w:firstLine="480" w:firstLineChars="200"/>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5.合规要求：供应商保证宣传内容、宣传形式符合《广告法》等国家相关法律法规，以及珙县当地政府部门的规定，因宣传内容或形式违规造成的一切法律责任和损失，均由供应商自行承担。</w:t>
      </w:r>
    </w:p>
    <w:p>
      <w:pPr>
        <w:numPr>
          <w:ilvl w:val="0"/>
          <w:numId w:val="0"/>
        </w:numPr>
        <w:spacing w:line="360" w:lineRule="auto"/>
        <w:ind w:firstLine="480" w:firstLineChars="200"/>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6.售后要求：供应商需对宣传服务进行全程跟踪维护，LED屏体在播放期内出现故障的（如卡顿、黑屏、画面模糊等），需在指定时间内到场维修，确保恢复正常使用；借地宣传服务及墙体广告宣传服务：宣传物料出现破损、脱落、丢失等情况，成交供应商需在24小时内完成更换、修复；展位出现松动、损坏等安全隐患，需立即处理并消除风险。</w:t>
      </w:r>
    </w:p>
    <w:p>
      <w:pPr>
        <w:numPr>
          <w:ilvl w:val="0"/>
          <w:numId w:val="0"/>
        </w:numPr>
        <w:spacing w:line="360" w:lineRule="auto"/>
        <w:ind w:firstLine="480" w:firstLineChars="200"/>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四、采购要求</w:t>
      </w:r>
    </w:p>
    <w:p>
      <w:pPr>
        <w:pStyle w:val="2"/>
        <w:snapToGrid w:val="0"/>
        <w:spacing w:after="0" w:line="360" w:lineRule="auto"/>
        <w:ind w:left="138" w:right="228" w:firstLine="480"/>
        <w:jc w:val="both"/>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1.采购人不承诺服务规模，最终服务规模以合同期内订单为准。</w:t>
      </w:r>
    </w:p>
    <w:p>
      <w:pPr>
        <w:pStyle w:val="2"/>
        <w:snapToGrid w:val="0"/>
        <w:spacing w:after="0" w:line="360" w:lineRule="auto"/>
        <w:ind w:left="138" w:right="228" w:firstLine="480"/>
        <w:jc w:val="both"/>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2.由于成交人放弃成交、明示或暗示不与采购人签订合同的，将禁止该成交人在自取消其成交资格之日起3年内，参加采购人所有采购项目；并保留追究其法律责任的权利。同时采购人按响应人供应商须知前附表中的规定确定其他响应人作为成交人。</w:t>
      </w:r>
    </w:p>
    <w:p>
      <w:pPr>
        <w:pStyle w:val="2"/>
        <w:snapToGrid w:val="0"/>
        <w:spacing w:after="0" w:line="360" w:lineRule="auto"/>
        <w:ind w:left="138" w:right="228" w:firstLine="480"/>
        <w:jc w:val="both"/>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3.若在合同期内采购人因制度调整（包括但不限于公司经营目标体系改变，采购人上级公司统一集中采购）等因素，需重新实施宣传广告类的集中采购时，可终止本项目合同执行。</w:t>
      </w:r>
    </w:p>
    <w:p>
      <w:pPr>
        <w:numPr>
          <w:ilvl w:val="0"/>
          <w:numId w:val="0"/>
        </w:numPr>
        <w:spacing w:line="360" w:lineRule="auto"/>
        <w:ind w:firstLine="480" w:firstLineChars="200"/>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五、成交供应商使用规则</w:t>
      </w:r>
    </w:p>
    <w:p>
      <w:pPr>
        <w:spacing w:line="360" w:lineRule="auto"/>
        <w:ind w:firstLine="480" w:firstLineChars="200"/>
        <w:jc w:val="both"/>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1.需求发布：单次宣传广告服务开展前，采购人向所有成交人发送具体需求事项，包括宣传形式、宣传点位、明细报价单（含单价的最高限价）、付款方式、报价截止时间、报价传递方式等。</w:t>
      </w:r>
    </w:p>
    <w:p>
      <w:pPr>
        <w:spacing w:line="360" w:lineRule="auto"/>
        <w:ind w:firstLine="480" w:firstLineChars="200"/>
        <w:jc w:val="both"/>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2.报价要求：成交人按第二章供应商须知前附表中“2.1.9纸质响应文件的装订、密封和标记”的密封要求，递交符合要求的密封报价单后，采购人组织人员现场开价，由总价报价低的供应商开展当次宣传服务，并签订具体项目补充协议。</w:t>
      </w:r>
    </w:p>
    <w:p>
      <w:pPr>
        <w:numPr>
          <w:ilvl w:val="0"/>
          <w:numId w:val="0"/>
        </w:numPr>
        <w:spacing w:line="360" w:lineRule="auto"/>
        <w:ind w:leftChars="200"/>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六、付款方式</w:t>
      </w:r>
    </w:p>
    <w:p>
      <w:pPr>
        <w:pStyle w:val="2"/>
        <w:numPr>
          <w:ilvl w:val="0"/>
          <w:numId w:val="0"/>
        </w:numPr>
        <w:spacing w:line="360" w:lineRule="auto"/>
        <w:ind w:firstLine="480" w:firstLineChars="200"/>
        <w:jc w:val="both"/>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依据具体宣传广告事项，付款方式为验收合格付款、宣传期结束后付款，或分期付款。供应商需充分响应。</w:t>
      </w:r>
    </w:p>
    <w:p>
      <w:pPr>
        <w:pStyle w:val="2"/>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3"/>
        <w:spacing w:before="0" w:after="0"/>
        <w:jc w:val="left"/>
        <w:rPr>
          <w:rFonts w:hint="eastAsia" w:ascii="仿宋" w:hAnsi="仿宋" w:eastAsia="仿宋" w:cs="仿宋"/>
          <w:color w:val="auto"/>
          <w:sz w:val="28"/>
          <w:szCs w:val="28"/>
          <w:highlight w:val="none"/>
        </w:rPr>
      </w:pPr>
      <w:bookmarkStart w:id="126" w:name="_Toc30693"/>
      <w:bookmarkStart w:id="127" w:name="_Toc3675"/>
      <w:bookmarkStart w:id="128" w:name="_Toc9891"/>
      <w:r>
        <w:rPr>
          <w:rFonts w:hint="eastAsia" w:ascii="仿宋" w:hAnsi="仿宋" w:eastAsia="仿宋" w:cs="仿宋"/>
          <w:color w:val="auto"/>
          <w:sz w:val="28"/>
          <w:szCs w:val="28"/>
          <w:highlight w:val="none"/>
        </w:rPr>
        <w:t>第六章 响应文件格式</w:t>
      </w:r>
      <w:bookmarkEnd w:id="126"/>
      <w:bookmarkEnd w:id="127"/>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hint="eastAsia" w:ascii="仿宋" w:hAnsi="仿宋" w:eastAsia="仿宋" w:cs="仿宋"/>
                <w:color w:val="auto"/>
                <w:sz w:val="32"/>
                <w:highlight w:val="none"/>
              </w:rPr>
            </w:pPr>
            <w:r>
              <w:rPr>
                <w:rFonts w:hint="eastAsia" w:ascii="仿宋" w:hAnsi="仿宋" w:eastAsia="仿宋" w:cs="仿宋"/>
                <w:color w:val="auto"/>
                <w:sz w:val="32"/>
                <w:highlight w:val="none"/>
              </w:rPr>
              <w:t>正本/副本</w:t>
            </w:r>
          </w:p>
          <w:p>
            <w:pPr>
              <w:pStyle w:val="61"/>
              <w:spacing w:before="156" w:after="312"/>
              <w:ind w:right="-284"/>
              <w:jc w:val="center"/>
              <w:rPr>
                <w:rFonts w:hint="eastAsia" w:ascii="仿宋" w:hAnsi="仿宋" w:eastAsia="仿宋" w:cs="仿宋"/>
                <w:color w:val="auto"/>
                <w:sz w:val="32"/>
                <w:highlight w:val="none"/>
              </w:rPr>
            </w:pPr>
            <w:r>
              <w:rPr>
                <w:rFonts w:hint="eastAsia" w:ascii="仿宋" w:hAnsi="仿宋" w:eastAsia="仿宋" w:cs="仿宋"/>
                <w:color w:val="auto"/>
                <w:sz w:val="32"/>
                <w:highlight w:val="none"/>
              </w:rPr>
              <w:t>（项目名称）项目</w:t>
            </w:r>
          </w:p>
          <w:p>
            <w:pPr>
              <w:pStyle w:val="61"/>
              <w:ind w:right="-284" w:firstLine="2240"/>
              <w:rPr>
                <w:rFonts w:hint="eastAsia" w:ascii="仿宋" w:hAnsi="仿宋" w:eastAsia="仿宋" w:cs="仿宋"/>
                <w:color w:val="auto"/>
                <w:sz w:val="28"/>
                <w:highlight w:val="none"/>
                <w:u w:val="single"/>
              </w:rPr>
            </w:pPr>
          </w:p>
          <w:p>
            <w:pPr>
              <w:pStyle w:val="61"/>
              <w:spacing w:before="624" w:after="156" w:line="160" w:lineRule="atLeast"/>
              <w:ind w:right="-284"/>
              <w:jc w:val="center"/>
              <w:rPr>
                <w:rFonts w:hint="eastAsia" w:ascii="仿宋" w:hAnsi="仿宋" w:eastAsia="仿宋" w:cs="仿宋"/>
                <w:color w:val="auto"/>
                <w:sz w:val="52"/>
                <w:highlight w:val="none"/>
              </w:rPr>
            </w:pPr>
            <w:r>
              <w:rPr>
                <w:rFonts w:hint="eastAsia" w:ascii="仿宋" w:hAnsi="仿宋" w:eastAsia="仿宋" w:cs="仿宋"/>
                <w:color w:val="auto"/>
                <w:sz w:val="52"/>
                <w:highlight w:val="none"/>
              </w:rPr>
              <w:t>比选响应文件</w:t>
            </w:r>
          </w:p>
          <w:p>
            <w:pPr>
              <w:pStyle w:val="61"/>
              <w:spacing w:before="624" w:after="156" w:line="160" w:lineRule="atLeast"/>
              <w:ind w:right="-284"/>
              <w:jc w:val="center"/>
              <w:rPr>
                <w:rFonts w:hint="eastAsia" w:ascii="仿宋" w:hAnsi="仿宋" w:eastAsia="仿宋" w:cs="仿宋"/>
                <w:color w:val="auto"/>
                <w:sz w:val="52"/>
                <w:highlight w:val="none"/>
              </w:rPr>
            </w:pPr>
          </w:p>
          <w:p>
            <w:pPr>
              <w:pStyle w:val="61"/>
              <w:spacing w:before="624" w:after="156" w:line="240" w:lineRule="atLeast"/>
              <w:jc w:val="center"/>
              <w:rPr>
                <w:rFonts w:hint="eastAsia" w:ascii="仿宋" w:hAnsi="仿宋" w:eastAsia="仿宋" w:cs="仿宋"/>
                <w:color w:val="auto"/>
                <w:sz w:val="40"/>
                <w:highlight w:val="none"/>
              </w:rPr>
            </w:pPr>
            <w:r>
              <w:rPr>
                <w:rFonts w:hint="eastAsia" w:ascii="仿宋" w:hAnsi="仿宋" w:eastAsia="仿宋" w:cs="仿宋"/>
                <w:color w:val="auto"/>
                <w:sz w:val="40"/>
                <w:highlight w:val="none"/>
              </w:rPr>
              <w:t>（商务文件/技术文件）</w:t>
            </w:r>
          </w:p>
          <w:p>
            <w:pPr>
              <w:pStyle w:val="61"/>
              <w:spacing w:before="1560" w:line="400" w:lineRule="atLeast"/>
              <w:ind w:right="-284" w:firstLine="2520" w:firstLineChars="105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（盖章）</w:t>
            </w:r>
          </w:p>
          <w:p>
            <w:pPr>
              <w:pStyle w:val="61"/>
              <w:spacing w:after="156" w:line="400" w:lineRule="atLeast"/>
              <w:ind w:right="-284"/>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法定代表人或其委托的代理人：（签字或盖章）</w:t>
            </w:r>
          </w:p>
          <w:p>
            <w:pPr>
              <w:pStyle w:val="61"/>
              <w:spacing w:after="624"/>
              <w:ind w:right="-284"/>
              <w:jc w:val="center"/>
              <w:rPr>
                <w:rFonts w:hint="eastAsia" w:ascii="仿宋" w:hAnsi="仿宋" w:eastAsia="仿宋" w:cs="仿宋"/>
                <w:color w:val="auto"/>
                <w:sz w:val="24"/>
                <w:highlight w:val="none"/>
              </w:rPr>
            </w:pPr>
          </w:p>
          <w:p>
            <w:pPr>
              <w:pStyle w:val="61"/>
              <w:spacing w:after="624"/>
              <w:ind w:right="-284"/>
              <w:jc w:val="center"/>
              <w:rPr>
                <w:rFonts w:hint="eastAsia" w:ascii="仿宋" w:hAnsi="仿宋" w:eastAsia="仿宋" w:cs="仿宋"/>
                <w:color w:val="auto"/>
                <w:highlight w:val="none"/>
              </w:rPr>
            </w:pPr>
            <w:r>
              <w:rPr>
                <w:rFonts w:hint="eastAsia" w:ascii="仿宋" w:hAnsi="仿宋" w:eastAsia="仿宋" w:cs="仿宋"/>
                <w:color w:val="auto"/>
                <w:sz w:val="24"/>
                <w:highlight w:val="none"/>
              </w:rPr>
              <w:t>年     月      日</w:t>
            </w:r>
          </w:p>
        </w:tc>
      </w:tr>
    </w:tbl>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hint="eastAsia" w:ascii="仿宋" w:hAnsi="仿宋" w:eastAsia="仿宋" w:cs="仿宋"/>
                <w:b/>
                <w:color w:val="auto"/>
                <w:highlight w:val="none"/>
              </w:rPr>
            </w:pPr>
            <w:r>
              <w:rPr>
                <w:rFonts w:hint="eastAsia" w:ascii="仿宋" w:hAnsi="仿宋" w:eastAsia="仿宋" w:cs="仿宋"/>
                <w:b/>
                <w:color w:val="auto"/>
                <w:highlight w:val="none"/>
              </w:rPr>
              <w:t>-------------于年月日时分之前不准启封（公章）------------</w:t>
            </w:r>
          </w:p>
        </w:tc>
      </w:tr>
    </w:tbl>
    <w:p>
      <w:pPr>
        <w:rPr>
          <w:rFonts w:hint="eastAsia" w:ascii="仿宋" w:hAnsi="仿宋" w:eastAsia="仿宋" w:cs="仿宋"/>
          <w:color w:val="auto"/>
          <w:szCs w:val="21"/>
          <w:highlight w:val="none"/>
        </w:rPr>
      </w:pPr>
    </w:p>
    <w:p>
      <w:pPr>
        <w:pStyle w:val="4"/>
        <w:jc w:val="both"/>
        <w:rPr>
          <w:rFonts w:hint="eastAsia" w:ascii="仿宋" w:hAnsi="仿宋" w:eastAsia="仿宋" w:cs="仿宋"/>
          <w:color w:val="auto"/>
          <w:sz w:val="24"/>
          <w:szCs w:val="24"/>
          <w:highlight w:val="none"/>
        </w:rPr>
      </w:pPr>
      <w:bookmarkStart w:id="129" w:name="_Toc3936"/>
      <w:bookmarkStart w:id="130" w:name="_Toc444891353"/>
      <w:bookmarkStart w:id="131" w:name="_Toc517281836"/>
      <w:bookmarkStart w:id="132" w:name="_Toc25957"/>
      <w:bookmarkStart w:id="133" w:name="_Toc19783362"/>
      <w:bookmarkStart w:id="134" w:name="_Toc19910"/>
      <w:bookmarkStart w:id="135" w:name="_Toc287600131"/>
      <w:bookmarkStart w:id="136" w:name="_Toc21280"/>
      <w:bookmarkStart w:id="137" w:name="_Toc11783"/>
      <w:bookmarkStart w:id="138" w:name="_Toc19783360"/>
      <w:bookmarkStart w:id="139" w:name="_Toc287600129"/>
      <w:r>
        <w:rPr>
          <w:rFonts w:hint="eastAsia" w:ascii="仿宋" w:hAnsi="仿宋" w:eastAsia="仿宋" w:cs="仿宋"/>
          <w:color w:val="auto"/>
          <w:sz w:val="24"/>
          <w:szCs w:val="24"/>
          <w:highlight w:val="none"/>
        </w:rPr>
        <w:br w:type="page"/>
      </w:r>
      <w:bookmarkStart w:id="140" w:name="_Toc27295"/>
      <w:bookmarkStart w:id="141" w:name="_Toc17191"/>
      <w:r>
        <w:rPr>
          <w:rFonts w:hint="eastAsia" w:ascii="仿宋" w:hAnsi="仿宋" w:eastAsia="仿宋" w:cs="仿宋"/>
          <w:color w:val="auto"/>
          <w:sz w:val="24"/>
          <w:szCs w:val="24"/>
          <w:highlight w:val="none"/>
        </w:rPr>
        <w:t>一、商务文件</w:t>
      </w:r>
      <w:bookmarkEnd w:id="129"/>
      <w:bookmarkEnd w:id="140"/>
      <w:bookmarkEnd w:id="141"/>
    </w:p>
    <w:p>
      <w:pPr>
        <w:jc w:val="center"/>
        <w:rPr>
          <w:rFonts w:hint="eastAsia" w:ascii="仿宋" w:hAnsi="仿宋" w:eastAsia="仿宋" w:cs="仿宋"/>
          <w:color w:val="auto"/>
          <w:highlight w:val="none"/>
        </w:rPr>
      </w:pPr>
      <w:bookmarkStart w:id="142" w:name="_Toc26744"/>
      <w:r>
        <w:rPr>
          <w:rFonts w:hint="eastAsia" w:ascii="仿宋" w:hAnsi="仿宋" w:eastAsia="仿宋" w:cs="仿宋"/>
          <w:b/>
          <w:bCs/>
          <w:color w:val="auto"/>
          <w:highlight w:val="none"/>
        </w:rPr>
        <w:t>初步评审索引表</w:t>
      </w:r>
      <w:bookmarkEnd w:id="142"/>
      <w:r>
        <w:rPr>
          <w:rFonts w:hint="eastAsia" w:ascii="仿宋" w:hAnsi="仿宋" w:eastAsia="仿宋" w:cs="仿宋"/>
          <w:color w:val="auto"/>
          <w:highlight w:val="none"/>
        </w:rPr>
        <w:t>（可以根据项目实际情况选择是否设置）</w:t>
      </w:r>
    </w:p>
    <w:tbl>
      <w:tblPr>
        <w:tblStyle w:val="29"/>
        <w:tblW w:w="50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8"/>
        <w:gridCol w:w="4215"/>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序号</w:t>
            </w:r>
          </w:p>
        </w:tc>
        <w:tc>
          <w:tcPr>
            <w:tcW w:w="1701" w:type="dxa"/>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评审环节</w:t>
            </w:r>
          </w:p>
        </w:tc>
        <w:tc>
          <w:tcPr>
            <w:tcW w:w="3299" w:type="dxa"/>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评审因素</w:t>
            </w:r>
          </w:p>
        </w:tc>
        <w:tc>
          <w:tcPr>
            <w:tcW w:w="4216"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701" w:type="dxa"/>
            <w:vMerge w:val="restart"/>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形式评审标准</w:t>
            </w:r>
          </w:p>
        </w:tc>
        <w:tc>
          <w:tcPr>
            <w:tcW w:w="3299"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供应商名称</w:t>
            </w:r>
          </w:p>
        </w:tc>
        <w:tc>
          <w:tcPr>
            <w:tcW w:w="4216" w:type="dxa"/>
            <w:vAlign w:val="center"/>
          </w:tcPr>
          <w:p>
            <w:pPr>
              <w:spacing w:before="24" w:after="24"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法定代表人（负责人）身份证明</w:t>
            </w:r>
          </w:p>
        </w:tc>
        <w:tc>
          <w:tcPr>
            <w:tcW w:w="4216" w:type="dxa"/>
            <w:vAlign w:val="center"/>
          </w:tcPr>
          <w:p>
            <w:pPr>
              <w:pStyle w:val="72"/>
              <w:tabs>
                <w:tab w:val="left" w:pos="630"/>
              </w:tabs>
              <w:topLinePunct/>
              <w:spacing w:before="48" w:beforeLines="20" w:after="48" w:afterLines="20"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法定代表人（负责人）授权委托书</w:t>
            </w:r>
          </w:p>
        </w:tc>
        <w:tc>
          <w:tcPr>
            <w:tcW w:w="4216" w:type="dxa"/>
            <w:vAlign w:val="center"/>
          </w:tcPr>
          <w:p>
            <w:pPr>
              <w:pStyle w:val="72"/>
              <w:tabs>
                <w:tab w:val="left" w:pos="630"/>
              </w:tabs>
              <w:topLinePunct/>
              <w:spacing w:before="48" w:beforeLines="20" w:after="48" w:afterLines="20"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line="276" w:lineRule="auto"/>
              <w:jc w:val="center"/>
              <w:rPr>
                <w:rFonts w:hint="eastAsia" w:ascii="仿宋" w:hAnsi="仿宋" w:eastAsia="仿宋" w:cs="仿宋"/>
                <w:color w:val="auto"/>
                <w:spacing w:val="-4"/>
                <w:szCs w:val="21"/>
                <w:highlight w:val="none"/>
              </w:rPr>
            </w:pPr>
            <w:r>
              <w:rPr>
                <w:rFonts w:hint="eastAsia" w:ascii="仿宋" w:hAnsi="仿宋" w:eastAsia="仿宋" w:cs="仿宋"/>
                <w:color w:val="auto"/>
                <w:szCs w:val="21"/>
                <w:highlight w:val="none"/>
              </w:rPr>
              <w:t>响应文件签字或盖章</w:t>
            </w:r>
          </w:p>
        </w:tc>
        <w:tc>
          <w:tcPr>
            <w:tcW w:w="4216" w:type="dxa"/>
            <w:vAlign w:val="center"/>
          </w:tcPr>
          <w:p>
            <w:pPr>
              <w:pStyle w:val="61"/>
              <w:spacing w:before="48" w:beforeLines="20" w:after="48" w:afterLines="20" w:line="276" w:lineRule="auto"/>
              <w:rPr>
                <w:rFonts w:hint="eastAsia" w:ascii="仿宋" w:hAnsi="仿宋" w:eastAsia="仿宋" w:cs="仿宋"/>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701" w:type="dxa"/>
            <w:vMerge w:val="restart"/>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资格评审标准</w:t>
            </w:r>
          </w:p>
        </w:tc>
        <w:tc>
          <w:tcPr>
            <w:tcW w:w="3299" w:type="dxa"/>
            <w:vAlign w:val="center"/>
          </w:tcPr>
          <w:p>
            <w:pPr>
              <w:spacing w:before="24" w:after="24"/>
              <w:jc w:val="center"/>
              <w:rPr>
                <w:rFonts w:hint="eastAsia" w:ascii="仿宋" w:hAnsi="仿宋" w:eastAsia="仿宋" w:cs="仿宋"/>
                <w:color w:val="auto"/>
                <w:szCs w:val="21"/>
                <w:highlight w:val="none"/>
              </w:rPr>
            </w:pPr>
            <w:r>
              <w:rPr>
                <w:rFonts w:hint="eastAsia" w:ascii="仿宋" w:hAnsi="仿宋" w:eastAsia="仿宋" w:cs="仿宋"/>
                <w:color w:val="auto"/>
                <w:sz w:val="22"/>
                <w:szCs w:val="21"/>
                <w:highlight w:val="none"/>
              </w:rPr>
              <w:t>具有独立承担民事责任的能力</w:t>
            </w:r>
          </w:p>
        </w:tc>
        <w:tc>
          <w:tcPr>
            <w:tcW w:w="4216" w:type="dxa"/>
            <w:vAlign w:val="center"/>
          </w:tcPr>
          <w:p>
            <w:pPr>
              <w:spacing w:before="24" w:after="24"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vAlign w:val="center"/>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jc w:val="center"/>
              <w:rPr>
                <w:rFonts w:hint="eastAsia" w:ascii="仿宋" w:hAnsi="仿宋" w:eastAsia="仿宋" w:cs="仿宋"/>
                <w:color w:val="auto"/>
                <w:szCs w:val="21"/>
                <w:highlight w:val="none"/>
              </w:rPr>
            </w:pPr>
            <w:r>
              <w:rPr>
                <w:rFonts w:hint="eastAsia" w:ascii="仿宋" w:hAnsi="仿宋" w:eastAsia="仿宋" w:cs="仿宋"/>
                <w:color w:val="auto"/>
                <w:sz w:val="22"/>
                <w:szCs w:val="21"/>
                <w:highlight w:val="none"/>
              </w:rPr>
              <w:t>供应商应具有履行合同所必需的设备和专业技术能力</w:t>
            </w:r>
          </w:p>
        </w:tc>
        <w:tc>
          <w:tcPr>
            <w:tcW w:w="4216" w:type="dxa"/>
            <w:vAlign w:val="center"/>
          </w:tcPr>
          <w:p>
            <w:pPr>
              <w:spacing w:before="24" w:after="24"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jc w:val="center"/>
              <w:rPr>
                <w:rFonts w:hint="eastAsia" w:ascii="仿宋" w:hAnsi="仿宋" w:eastAsia="仿宋" w:cs="仿宋"/>
                <w:color w:val="auto"/>
                <w:szCs w:val="21"/>
                <w:highlight w:val="none"/>
              </w:rPr>
            </w:pPr>
            <w:r>
              <w:rPr>
                <w:rFonts w:hint="eastAsia" w:ascii="仿宋" w:hAnsi="仿宋" w:eastAsia="仿宋" w:cs="仿宋"/>
                <w:color w:val="auto"/>
                <w:sz w:val="22"/>
                <w:szCs w:val="21"/>
                <w:highlight w:val="none"/>
              </w:rPr>
              <w:t>近三年内无违法违规记录</w:t>
            </w:r>
          </w:p>
        </w:tc>
        <w:tc>
          <w:tcPr>
            <w:tcW w:w="4216" w:type="dxa"/>
            <w:vAlign w:val="center"/>
          </w:tcPr>
          <w:p>
            <w:pPr>
              <w:spacing w:before="24" w:after="24"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jc w:val="center"/>
              <w:rPr>
                <w:rFonts w:hint="eastAsia" w:ascii="仿宋" w:hAnsi="仿宋" w:eastAsia="仿宋" w:cs="仿宋"/>
                <w:color w:val="auto"/>
                <w:szCs w:val="21"/>
                <w:highlight w:val="none"/>
              </w:rPr>
            </w:pPr>
            <w:r>
              <w:rPr>
                <w:rFonts w:hint="eastAsia" w:ascii="仿宋" w:hAnsi="仿宋" w:eastAsia="仿宋" w:cs="仿宋"/>
                <w:color w:val="auto"/>
                <w:sz w:val="22"/>
                <w:szCs w:val="21"/>
                <w:highlight w:val="none"/>
              </w:rPr>
              <w:t>未被纳入采购人及其所隶属的中国人民保险各级机构的供应商黑名单</w:t>
            </w:r>
          </w:p>
        </w:tc>
        <w:tc>
          <w:tcPr>
            <w:tcW w:w="4216" w:type="dxa"/>
            <w:vAlign w:val="center"/>
          </w:tcPr>
          <w:p>
            <w:pPr>
              <w:spacing w:before="24" w:after="24"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jc w:val="center"/>
              <w:rPr>
                <w:rFonts w:hint="eastAsia" w:ascii="仿宋" w:hAnsi="仿宋" w:eastAsia="仿宋" w:cs="仿宋"/>
                <w:color w:val="auto"/>
                <w:szCs w:val="21"/>
                <w:highlight w:val="none"/>
              </w:rPr>
            </w:pPr>
            <w:r>
              <w:rPr>
                <w:rFonts w:hint="eastAsia" w:ascii="仿宋" w:hAnsi="仿宋" w:eastAsia="仿宋" w:cs="仿宋"/>
                <w:color w:val="auto"/>
                <w:sz w:val="22"/>
                <w:szCs w:val="21"/>
                <w:highlight w:val="none"/>
              </w:rPr>
              <w:t>控股管理关系</w:t>
            </w:r>
          </w:p>
        </w:tc>
        <w:tc>
          <w:tcPr>
            <w:tcW w:w="4216" w:type="dxa"/>
            <w:vAlign w:val="center"/>
          </w:tcPr>
          <w:p>
            <w:pPr>
              <w:spacing w:before="24" w:after="24"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jc w:val="center"/>
              <w:rPr>
                <w:rFonts w:hint="eastAsia" w:ascii="仿宋" w:hAnsi="仿宋" w:eastAsia="仿宋" w:cs="仿宋"/>
                <w:color w:val="auto"/>
                <w:szCs w:val="21"/>
                <w:highlight w:val="none"/>
              </w:rPr>
            </w:pPr>
            <w:r>
              <w:rPr>
                <w:rFonts w:hint="eastAsia" w:ascii="仿宋" w:hAnsi="仿宋" w:eastAsia="仿宋" w:cs="仿宋"/>
                <w:color w:val="auto"/>
                <w:sz w:val="22"/>
                <w:szCs w:val="21"/>
                <w:highlight w:val="none"/>
              </w:rPr>
              <w:t>非联合体投标</w:t>
            </w:r>
          </w:p>
        </w:tc>
        <w:tc>
          <w:tcPr>
            <w:tcW w:w="4216" w:type="dxa"/>
            <w:vAlign w:val="center"/>
          </w:tcPr>
          <w:p>
            <w:pPr>
              <w:spacing w:before="24" w:after="24"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701" w:type="dxa"/>
            <w:vMerge w:val="restart"/>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响应性评审标准</w:t>
            </w:r>
          </w:p>
        </w:tc>
        <w:tc>
          <w:tcPr>
            <w:tcW w:w="3299"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响应函</w:t>
            </w:r>
          </w:p>
        </w:tc>
        <w:tc>
          <w:tcPr>
            <w:tcW w:w="4216" w:type="dxa"/>
            <w:vAlign w:val="center"/>
          </w:tcPr>
          <w:p>
            <w:pPr>
              <w:spacing w:before="24" w:after="24"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vAlign w:val="center"/>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供应商行为准则承诺书</w:t>
            </w:r>
          </w:p>
        </w:tc>
        <w:tc>
          <w:tcPr>
            <w:tcW w:w="4216" w:type="dxa"/>
            <w:vAlign w:val="center"/>
          </w:tcPr>
          <w:p>
            <w:pPr>
              <w:spacing w:before="24" w:after="24"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vAlign w:val="center"/>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供应商廉洁诚信承诺书</w:t>
            </w:r>
          </w:p>
        </w:tc>
        <w:tc>
          <w:tcPr>
            <w:tcW w:w="4216" w:type="dxa"/>
            <w:vAlign w:val="center"/>
          </w:tcPr>
          <w:p>
            <w:pPr>
              <w:spacing w:before="24" w:after="24"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hint="eastAsia" w:ascii="仿宋" w:hAnsi="仿宋" w:eastAsia="仿宋" w:cs="仿宋"/>
                <w:color w:val="auto"/>
                <w:szCs w:val="21"/>
                <w:highlight w:val="none"/>
              </w:rPr>
            </w:pPr>
          </w:p>
        </w:tc>
        <w:tc>
          <w:tcPr>
            <w:tcW w:w="1701" w:type="dxa"/>
            <w:vMerge w:val="continue"/>
            <w:vAlign w:val="center"/>
          </w:tcPr>
          <w:p>
            <w:pPr>
              <w:spacing w:before="24" w:after="24" w:line="360" w:lineRule="auto"/>
              <w:jc w:val="center"/>
              <w:rPr>
                <w:rFonts w:hint="eastAsia" w:ascii="仿宋" w:hAnsi="仿宋" w:eastAsia="仿宋" w:cs="仿宋"/>
                <w:color w:val="auto"/>
                <w:szCs w:val="21"/>
                <w:highlight w:val="none"/>
              </w:rPr>
            </w:pPr>
          </w:p>
        </w:tc>
        <w:tc>
          <w:tcPr>
            <w:tcW w:w="3299"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供应商偏离应答</w:t>
            </w:r>
          </w:p>
        </w:tc>
        <w:tc>
          <w:tcPr>
            <w:tcW w:w="4216" w:type="dxa"/>
            <w:vAlign w:val="center"/>
          </w:tcPr>
          <w:p>
            <w:pPr>
              <w:spacing w:before="24" w:after="24" w:line="276" w:lineRule="auto"/>
              <w:rPr>
                <w:rFonts w:hint="eastAsia" w:ascii="仿宋" w:hAnsi="仿宋" w:eastAsia="仿宋" w:cs="仿宋"/>
                <w:color w:val="auto"/>
                <w:szCs w:val="21"/>
                <w:highlight w:val="none"/>
              </w:rPr>
            </w:pPr>
          </w:p>
        </w:tc>
      </w:tr>
    </w:tbl>
    <w:p>
      <w:pPr>
        <w:rPr>
          <w:rFonts w:hint="eastAsia" w:ascii="仿宋" w:hAnsi="仿宋" w:eastAsia="仿宋" w:cs="仿宋"/>
          <w:color w:val="auto"/>
          <w:szCs w:val="21"/>
          <w:highlight w:val="none"/>
        </w:rPr>
        <w:sectPr>
          <w:footerReference r:id="rId9" w:type="default"/>
          <w:pgSz w:w="11906" w:h="16838"/>
          <w:pgMar w:top="1417" w:right="1134" w:bottom="1134" w:left="1134" w:header="964" w:footer="964" w:gutter="0"/>
          <w:pgNumType w:fmt="decimal"/>
          <w:cols w:space="720" w:num="1"/>
          <w:docGrid w:linePitch="312" w:charSpace="0"/>
        </w:sectPr>
      </w:pPr>
    </w:p>
    <w:bookmarkEnd w:id="130"/>
    <w:bookmarkEnd w:id="131"/>
    <w:bookmarkEnd w:id="132"/>
    <w:bookmarkEnd w:id="133"/>
    <w:bookmarkEnd w:id="134"/>
    <w:bookmarkEnd w:id="135"/>
    <w:bookmarkEnd w:id="136"/>
    <w:bookmarkEnd w:id="137"/>
    <w:p>
      <w:pPr>
        <w:jc w:val="center"/>
        <w:rPr>
          <w:rFonts w:hint="eastAsia" w:ascii="仿宋" w:hAnsi="仿宋" w:eastAsia="仿宋" w:cs="仿宋"/>
          <w:b/>
          <w:bCs/>
          <w:color w:val="auto"/>
          <w:highlight w:val="none"/>
        </w:rPr>
      </w:pPr>
      <w:bookmarkStart w:id="143" w:name="_Toc12140"/>
      <w:bookmarkStart w:id="144" w:name="_Toc517281837"/>
      <w:bookmarkStart w:id="145" w:name="_Toc7202"/>
      <w:bookmarkStart w:id="146" w:name="_Toc25121"/>
      <w:bookmarkStart w:id="147" w:name="_Toc444891354"/>
      <w:bookmarkStart w:id="148" w:name="_Toc27799"/>
      <w:r>
        <w:rPr>
          <w:rFonts w:hint="eastAsia" w:ascii="仿宋" w:hAnsi="仿宋" w:eastAsia="仿宋" w:cs="仿宋"/>
          <w:b/>
          <w:bCs/>
          <w:color w:val="auto"/>
          <w:highlight w:val="none"/>
        </w:rPr>
        <w:t>详细评审索引表</w:t>
      </w:r>
      <w:r>
        <w:rPr>
          <w:rFonts w:hint="eastAsia" w:ascii="仿宋" w:hAnsi="仿宋" w:eastAsia="仿宋" w:cs="仿宋"/>
          <w:color w:val="auto"/>
          <w:highlight w:val="none"/>
        </w:rPr>
        <w:t>（可以根据项目实际情况选择是否设置）</w:t>
      </w:r>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bidi="ar"/>
              </w:rPr>
              <w:t>序号</w:t>
            </w:r>
          </w:p>
        </w:tc>
        <w:tc>
          <w:tcPr>
            <w:tcW w:w="1696" w:type="dxa"/>
            <w:tcMar>
              <w:top w:w="15" w:type="dxa"/>
              <w:left w:w="15" w:type="dxa"/>
              <w:right w:w="15" w:type="dxa"/>
            </w:tcMar>
            <w:vAlign w:val="center"/>
          </w:tcPr>
          <w:p>
            <w:pPr>
              <w:jc w:val="center"/>
              <w:rPr>
                <w:rFonts w:hint="eastAsia" w:ascii="仿宋" w:hAnsi="仿宋" w:eastAsia="仿宋" w:cs="仿宋"/>
                <w:b/>
                <w:color w:val="auto"/>
                <w:szCs w:val="21"/>
                <w:highlight w:val="none"/>
                <w:lang w:bidi="ar"/>
              </w:rPr>
            </w:pPr>
            <w:r>
              <w:rPr>
                <w:rFonts w:hint="eastAsia" w:ascii="仿宋" w:hAnsi="仿宋" w:eastAsia="仿宋" w:cs="仿宋"/>
                <w:b/>
                <w:bCs/>
                <w:color w:val="auto"/>
                <w:szCs w:val="21"/>
                <w:highlight w:val="none"/>
              </w:rPr>
              <w:t>评审项</w:t>
            </w:r>
          </w:p>
        </w:tc>
        <w:tc>
          <w:tcPr>
            <w:tcW w:w="2268" w:type="dxa"/>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bidi="ar"/>
              </w:rPr>
              <w:t>评审因素</w:t>
            </w:r>
          </w:p>
        </w:tc>
        <w:tc>
          <w:tcPr>
            <w:tcW w:w="4820" w:type="dxa"/>
            <w:tcMar>
              <w:top w:w="15" w:type="dxa"/>
              <w:left w:w="15" w:type="dxa"/>
              <w:right w:w="15" w:type="dxa"/>
            </w:tcMar>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1</w:t>
            </w:r>
          </w:p>
        </w:tc>
        <w:tc>
          <w:tcPr>
            <w:tcW w:w="1696" w:type="dxa"/>
            <w:vMerge w:val="restart"/>
            <w:tcMar>
              <w:top w:w="15" w:type="dxa"/>
              <w:left w:w="15" w:type="dxa"/>
              <w:right w:w="15" w:type="dxa"/>
            </w:tcMar>
            <w:vAlign w:val="center"/>
          </w:tcPr>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商务得分</w:t>
            </w:r>
          </w:p>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（XX分）</w:t>
            </w:r>
          </w:p>
        </w:tc>
        <w:tc>
          <w:tcPr>
            <w:tcW w:w="2268" w:type="dxa"/>
            <w:vAlign w:val="center"/>
          </w:tcPr>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综合实力</w:t>
            </w:r>
          </w:p>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（XX分）</w:t>
            </w:r>
          </w:p>
        </w:tc>
        <w:tc>
          <w:tcPr>
            <w:tcW w:w="4820" w:type="dxa"/>
            <w:tcMar>
              <w:top w:w="15" w:type="dxa"/>
              <w:left w:w="15" w:type="dxa"/>
              <w:right w:w="15" w:type="dxa"/>
            </w:tcMar>
            <w:vAlign w:val="center"/>
          </w:tcPr>
          <w:p>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说明：XX</w:t>
            </w:r>
          </w:p>
          <w:p>
            <w:pPr>
              <w:rPr>
                <w:rStyle w:val="75"/>
                <w:rFonts w:hint="eastAsia" w:ascii="仿宋" w:hAnsi="仿宋" w:eastAsia="仿宋" w:cs="仿宋"/>
                <w:color w:val="auto"/>
                <w:highlight w:val="none"/>
                <w:lang w:bidi="ar"/>
              </w:rPr>
            </w:pPr>
            <w:r>
              <w:rPr>
                <w:rFonts w:hint="eastAsia" w:ascii="仿宋" w:hAnsi="仿宋" w:eastAsia="仿宋" w:cs="仿宋"/>
                <w:color w:val="auto"/>
                <w:szCs w:val="21"/>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2</w:t>
            </w:r>
          </w:p>
        </w:tc>
        <w:tc>
          <w:tcPr>
            <w:tcW w:w="1696" w:type="dxa"/>
            <w:vMerge w:val="continue"/>
            <w:tcMar>
              <w:top w:w="15" w:type="dxa"/>
              <w:left w:w="15" w:type="dxa"/>
              <w:right w:w="15" w:type="dxa"/>
            </w:tcMar>
            <w:vAlign w:val="center"/>
          </w:tcPr>
          <w:p>
            <w:pPr>
              <w:jc w:val="center"/>
              <w:textAlignment w:val="center"/>
              <w:rPr>
                <w:rFonts w:hint="eastAsia" w:ascii="仿宋" w:hAnsi="仿宋" w:eastAsia="仿宋" w:cs="仿宋"/>
                <w:color w:val="auto"/>
                <w:szCs w:val="21"/>
                <w:highlight w:val="none"/>
                <w:lang w:bidi="ar"/>
              </w:rPr>
            </w:pPr>
          </w:p>
        </w:tc>
        <w:tc>
          <w:tcPr>
            <w:tcW w:w="2268" w:type="dxa"/>
            <w:vAlign w:val="center"/>
          </w:tcPr>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同类业绩</w:t>
            </w:r>
          </w:p>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（XX分）</w:t>
            </w:r>
          </w:p>
        </w:tc>
        <w:tc>
          <w:tcPr>
            <w:tcW w:w="4820" w:type="dxa"/>
            <w:tcMar>
              <w:top w:w="15" w:type="dxa"/>
              <w:left w:w="15" w:type="dxa"/>
              <w:right w:w="15" w:type="dxa"/>
            </w:tcMar>
            <w:vAlign w:val="center"/>
          </w:tcPr>
          <w:p>
            <w:pPr>
              <w:rPr>
                <w:rStyle w:val="75"/>
                <w:rFonts w:hint="eastAsia" w:ascii="仿宋" w:hAnsi="仿宋" w:eastAsia="仿宋" w:cs="仿宋"/>
                <w:color w:val="auto"/>
                <w:highlight w:val="none"/>
                <w:lang w:bidi="ar"/>
              </w:rPr>
            </w:pPr>
          </w:p>
        </w:tc>
      </w:tr>
    </w:tbl>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pStyle w:val="5"/>
        <w:spacing w:before="0" w:line="440" w:lineRule="exact"/>
        <w:rPr>
          <w:rFonts w:hint="eastAsia" w:ascii="仿宋" w:hAnsi="仿宋" w:eastAsia="仿宋" w:cs="仿宋"/>
          <w:color w:val="auto"/>
          <w:sz w:val="24"/>
          <w:szCs w:val="24"/>
          <w:highlight w:val="none"/>
        </w:rPr>
      </w:pPr>
      <w:bookmarkStart w:id="149" w:name="_Toc3461"/>
      <w:bookmarkStart w:id="150" w:name="_Toc27958"/>
      <w:r>
        <w:rPr>
          <w:rFonts w:hint="eastAsia" w:ascii="仿宋" w:hAnsi="仿宋" w:eastAsia="仿宋" w:cs="仿宋"/>
          <w:color w:val="auto"/>
          <w:sz w:val="24"/>
          <w:szCs w:val="24"/>
          <w:highlight w:val="none"/>
        </w:rPr>
        <w:t>（一）响应函</w:t>
      </w:r>
      <w:bookmarkEnd w:id="149"/>
      <w:bookmarkEnd w:id="150"/>
    </w:p>
    <w:p>
      <w:pPr>
        <w:pStyle w:val="61"/>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致：（采购人名称）     </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   （供应商名称）   </w:t>
      </w:r>
      <w:r>
        <w:rPr>
          <w:rFonts w:hint="eastAsia" w:ascii="仿宋" w:hAnsi="仿宋" w:eastAsia="仿宋" w:cs="仿宋"/>
          <w:color w:val="auto"/>
          <w:highlight w:val="none"/>
        </w:rPr>
        <w:t>（以下称“我方”）已仔细研究了</w:t>
      </w:r>
      <w:r>
        <w:rPr>
          <w:rFonts w:hint="eastAsia" w:ascii="仿宋" w:hAnsi="仿宋" w:eastAsia="仿宋" w:cs="仿宋"/>
          <w:color w:val="auto"/>
          <w:highlight w:val="none"/>
          <w:u w:val="single"/>
        </w:rPr>
        <w:t xml:space="preserve">  （项目名称）    </w:t>
      </w:r>
      <w:r>
        <w:rPr>
          <w:rFonts w:hint="eastAsia" w:ascii="仿宋" w:hAnsi="仿宋" w:eastAsia="仿宋" w:cs="仿宋"/>
          <w:color w:val="auto"/>
          <w:highlight w:val="none"/>
        </w:rPr>
        <w:t>比选文件的全部内容，包括澄清或者修改文件以及有关附件，我方将严格按照比选文件要求递交符合要求的全部比选响应文件。</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现我方承诺如下内容：</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1. 本响应函及比选响应文件自比选响应文件提交截止日起有效期为</w:t>
      </w:r>
      <w:r>
        <w:rPr>
          <w:rFonts w:hint="eastAsia" w:ascii="仿宋" w:hAnsi="仿宋" w:eastAsia="仿宋" w:cs="仿宋"/>
          <w:color w:val="auto"/>
          <w:highlight w:val="none"/>
          <w:u w:val="single"/>
        </w:rPr>
        <w:t>180天</w:t>
      </w:r>
      <w:r>
        <w:rPr>
          <w:rFonts w:hint="eastAsia" w:ascii="仿宋" w:hAnsi="仿宋" w:eastAsia="仿宋" w:cs="仿宋"/>
          <w:color w:val="auto"/>
          <w:highlight w:val="none"/>
        </w:rPr>
        <w:t>，我方承诺在响应有效期内不修改、撤销比选响应文件。</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2. 我方承诺提供比选过程中可能要求的澄清、说明、补正或者算术性错误修正确认，并同意我方提供的以上材料构成我方响应文件的组成部分。</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3. 我方同意提供贵方可能要求的与我方响应文件有关的一切数据、资料、证明原件、证件原件，并完全理解贵方不一定接受最低价的响应。</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4．我方承诺对在本次采购活动过程中所获知贵方一切商业秘密保密，不会向任何第三方泄露，不会用于本次采购活动之外的任何其他目的。</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5．我方承诺对所递交的响应文件及有关材料的真实性、合法性、完整性、准确性承担法律责任。如有弄虚作假、串通投标、行贿等违法违规行为，将承担相应的法律责任，并赔偿由此给贵方造成的一切损失。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6. 如我方成交：</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（1）我方承诺在收到成交通知书后，在成交通知书规定的期限内与贵方签订合同。</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）我方承诺按照比选文件的规定及合同约定履行相关责任和义务。</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）我方在此承诺，双方合作后可开具增值税专用发票。</w:t>
      </w:r>
    </w:p>
    <w:p>
      <w:pPr>
        <w:spacing w:line="440" w:lineRule="exact"/>
        <w:ind w:firstLine="4080" w:firstLineChars="1700"/>
        <w:jc w:val="right"/>
        <w:rPr>
          <w:rFonts w:hint="eastAsia" w:ascii="仿宋" w:hAnsi="仿宋" w:eastAsia="仿宋" w:cs="仿宋"/>
          <w:color w:val="auto"/>
          <w:highlight w:val="none"/>
        </w:rPr>
      </w:pPr>
    </w:p>
    <w:p>
      <w:pPr>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End w:id="138"/>
      <w:bookmarkEnd w:id="139"/>
      <w:bookmarkEnd w:id="143"/>
      <w:bookmarkEnd w:id="144"/>
      <w:bookmarkEnd w:id="145"/>
      <w:bookmarkEnd w:id="146"/>
      <w:bookmarkEnd w:id="147"/>
      <w:bookmarkEnd w:id="148"/>
      <w:bookmarkStart w:id="151" w:name="_Toc2247"/>
      <w:bookmarkStart w:id="152" w:name="_Toc13983"/>
      <w:r>
        <w:rPr>
          <w:rFonts w:hint="eastAsia" w:ascii="仿宋" w:hAnsi="仿宋" w:eastAsia="仿宋" w:cs="仿宋"/>
          <w:color w:val="auto"/>
          <w:sz w:val="24"/>
          <w:szCs w:val="24"/>
          <w:highlight w:val="none"/>
        </w:rPr>
        <w:t>（二）法定代表人（负责人）身份证明书</w:t>
      </w:r>
      <w:bookmarkEnd w:id="151"/>
      <w:bookmarkEnd w:id="152"/>
      <w:r>
        <w:rPr>
          <w:rFonts w:hint="eastAsia" w:ascii="仿宋" w:hAnsi="仿宋" w:eastAsia="仿宋" w:cs="仿宋"/>
          <w:color w:val="auto"/>
          <w:sz w:val="24"/>
          <w:szCs w:val="24"/>
          <w:highlight w:val="none"/>
        </w:rPr>
        <w:tab/>
      </w:r>
    </w:p>
    <w:p>
      <w:pPr>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法定代表人（负责人）身份证明书</w:t>
      </w:r>
      <w:r>
        <w:rPr>
          <w:rFonts w:hint="eastAsia" w:ascii="仿宋" w:hAnsi="仿宋" w:eastAsia="仿宋" w:cs="仿宋"/>
          <w:b/>
          <w:color w:val="auto"/>
          <w:highlight w:val="none"/>
        </w:rPr>
        <w:tab/>
      </w:r>
    </w:p>
    <w:p>
      <w:pPr>
        <w:spacing w:line="360" w:lineRule="auto"/>
        <w:rPr>
          <w:rFonts w:hint="eastAsia" w:ascii="仿宋" w:hAnsi="仿宋" w:eastAsia="仿宋" w:cs="仿宋"/>
          <w:b/>
          <w:color w:val="auto"/>
          <w:highlight w:val="none"/>
        </w:rPr>
      </w:pPr>
    </w:p>
    <w:p>
      <w:pPr>
        <w:topLinePunct/>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成立时间：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opLinePunct/>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姓名：</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性别：</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年龄：</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职务：</w:t>
      </w:r>
      <w:r>
        <w:rPr>
          <w:rFonts w:hint="eastAsia" w:ascii="仿宋" w:hAnsi="仿宋" w:eastAsia="仿宋" w:cs="仿宋"/>
          <w:color w:val="auto"/>
          <w:highlight w:val="none"/>
          <w:u w:val="single"/>
        </w:rPr>
        <w:t xml:space="preserve">         </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系</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（供应商名称）的法定代表人（负责人）。</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特此证明。</w:t>
      </w:r>
    </w:p>
    <w:p>
      <w:pPr>
        <w:topLinePunct/>
        <w:spacing w:line="360" w:lineRule="auto"/>
        <w:rPr>
          <w:rFonts w:hint="eastAsia" w:ascii="仿宋" w:hAnsi="仿宋" w:eastAsia="仿宋" w:cs="仿宋"/>
          <w:color w:val="auto"/>
          <w:highlight w:val="none"/>
        </w:rPr>
      </w:pPr>
    </w:p>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附：法定代表人（负责人）身份证复印件（需同时提供正面及背面）。</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2336;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3360;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hint="eastAsia" w:ascii="仿宋" w:hAnsi="仿宋" w:eastAsia="仿宋" w:cs="仿宋"/>
          <w:color w:val="auto"/>
          <w:highlight w:val="none"/>
        </w:rPr>
      </w:pPr>
    </w:p>
    <w:p>
      <w:pPr>
        <w:pStyle w:val="61"/>
        <w:spacing w:line="440" w:lineRule="atLeast"/>
        <w:ind w:firstLine="480"/>
        <w:jc w:val="left"/>
        <w:rPr>
          <w:rFonts w:hint="eastAsia" w:ascii="仿宋" w:hAnsi="仿宋" w:eastAsia="仿宋" w:cs="仿宋"/>
          <w:color w:val="auto"/>
          <w:highlight w:val="none"/>
        </w:rPr>
      </w:pPr>
    </w:p>
    <w:p>
      <w:pPr>
        <w:pStyle w:val="61"/>
        <w:spacing w:line="440" w:lineRule="atLeast"/>
        <w:ind w:firstLine="480"/>
        <w:jc w:val="left"/>
        <w:rPr>
          <w:rFonts w:hint="eastAsia" w:ascii="仿宋" w:hAnsi="仿宋" w:eastAsia="仿宋" w:cs="仿宋"/>
          <w:color w:val="auto"/>
          <w:highlight w:val="none"/>
        </w:rPr>
      </w:pPr>
    </w:p>
    <w:p>
      <w:pPr>
        <w:spacing w:line="360" w:lineRule="auto"/>
        <w:ind w:firstLine="610"/>
        <w:rPr>
          <w:rFonts w:hint="eastAsia" w:ascii="仿宋" w:hAnsi="仿宋" w:eastAsia="仿宋" w:cs="仿宋"/>
          <w:color w:val="auto"/>
          <w:highlight w:val="none"/>
        </w:rPr>
      </w:pPr>
    </w:p>
    <w:p>
      <w:pPr>
        <w:tabs>
          <w:tab w:val="left" w:pos="720"/>
          <w:tab w:val="left" w:pos="900"/>
        </w:tabs>
        <w:spacing w:line="360" w:lineRule="auto"/>
        <w:rPr>
          <w:rFonts w:hint="eastAsia" w:ascii="仿宋" w:hAnsi="仿宋" w:eastAsia="仿宋" w:cs="仿宋"/>
          <w:color w:val="auto"/>
          <w:highlight w:val="none"/>
        </w:rPr>
      </w:pPr>
    </w:p>
    <w:p>
      <w:pPr>
        <w:spacing w:line="440" w:lineRule="exact"/>
        <w:ind w:firstLine="4080" w:firstLineChars="1700"/>
        <w:jc w:val="right"/>
        <w:rPr>
          <w:rFonts w:hint="eastAsia" w:ascii="仿宋" w:hAnsi="仿宋" w:eastAsia="仿宋" w:cs="仿宋"/>
          <w:color w:val="auto"/>
          <w:highlight w:val="none"/>
        </w:rPr>
      </w:pPr>
    </w:p>
    <w:p>
      <w:pPr>
        <w:wordWrap w:val="0"/>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abs>
          <w:tab w:val="left" w:pos="720"/>
          <w:tab w:val="left" w:pos="900"/>
        </w:tabs>
        <w:spacing w:line="360" w:lineRule="auto"/>
        <w:ind w:left="1078"/>
        <w:rPr>
          <w:rFonts w:hint="eastAsia" w:ascii="仿宋" w:hAnsi="仿宋" w:eastAsia="仿宋" w:cs="仿宋"/>
          <w:color w:val="auto"/>
          <w:highlight w:val="none"/>
        </w:rPr>
      </w:pPr>
    </w:p>
    <w:p>
      <w:pPr>
        <w:tabs>
          <w:tab w:val="left" w:pos="720"/>
          <w:tab w:val="left" w:pos="900"/>
        </w:tabs>
        <w:spacing w:line="360" w:lineRule="auto"/>
        <w:ind w:left="1078"/>
        <w:rPr>
          <w:rFonts w:hint="eastAsia" w:ascii="仿宋" w:hAnsi="仿宋" w:eastAsia="仿宋" w:cs="仿宋"/>
          <w:color w:val="auto"/>
          <w:highlight w:val="none"/>
        </w:rPr>
      </w:pPr>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153" w:name="_Toc517281838"/>
      <w:bookmarkStart w:id="154" w:name="_Toc24788"/>
      <w:bookmarkStart w:id="155" w:name="_Toc444891355"/>
      <w:bookmarkStart w:id="156" w:name="_Toc11153"/>
      <w:bookmarkStart w:id="157" w:name="_Toc4426"/>
      <w:bookmarkStart w:id="158" w:name="_Toc5582"/>
      <w:bookmarkStart w:id="159" w:name="_Toc26267"/>
      <w:bookmarkStart w:id="160" w:name="_Toc20707"/>
      <w:bookmarkStart w:id="161" w:name="_Toc287600130"/>
      <w:bookmarkStart w:id="162" w:name="_Toc19783361"/>
      <w:r>
        <w:rPr>
          <w:rFonts w:hint="eastAsia" w:ascii="仿宋" w:hAnsi="仿宋" w:eastAsia="仿宋" w:cs="仿宋"/>
          <w:color w:val="auto"/>
          <w:sz w:val="24"/>
          <w:szCs w:val="24"/>
          <w:highlight w:val="none"/>
        </w:rPr>
        <w:t>（三）法定代表人（负责人）授权委托书</w:t>
      </w:r>
      <w:bookmarkEnd w:id="153"/>
      <w:bookmarkEnd w:id="154"/>
      <w:bookmarkEnd w:id="155"/>
      <w:bookmarkEnd w:id="156"/>
      <w:bookmarkEnd w:id="157"/>
      <w:bookmarkEnd w:id="158"/>
      <w:bookmarkEnd w:id="159"/>
      <w:bookmarkEnd w:id="160"/>
      <w:bookmarkEnd w:id="161"/>
      <w:bookmarkEnd w:id="162"/>
    </w:p>
    <w:p>
      <w:pPr>
        <w:pStyle w:val="61"/>
        <w:spacing w:before="240" w:after="240"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法定代表人（负责人）授权委托书</w:t>
      </w:r>
    </w:p>
    <w:p>
      <w:pPr>
        <w:pStyle w:val="61"/>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（供应商名称）</w:t>
      </w:r>
      <w:r>
        <w:rPr>
          <w:rFonts w:hint="eastAsia" w:ascii="仿宋" w:hAnsi="仿宋" w:eastAsia="仿宋" w:cs="仿宋"/>
          <w:color w:val="auto"/>
          <w:sz w:val="24"/>
          <w:highlight w:val="none"/>
        </w:rPr>
        <w:t>的法定代表人</w:t>
      </w:r>
      <w:r>
        <w:rPr>
          <w:rFonts w:hint="eastAsia" w:ascii="仿宋" w:hAnsi="仿宋" w:eastAsia="仿宋" w:cs="仿宋"/>
          <w:color w:val="auto"/>
          <w:sz w:val="24"/>
          <w:szCs w:val="24"/>
          <w:highlight w:val="none"/>
        </w:rPr>
        <w:t>（负责人）</w:t>
      </w:r>
      <w:r>
        <w:rPr>
          <w:rFonts w:hint="eastAsia" w:ascii="仿宋" w:hAnsi="仿宋" w:eastAsia="仿宋" w:cs="仿宋"/>
          <w:color w:val="auto"/>
          <w:sz w:val="24"/>
          <w:highlight w:val="none"/>
        </w:rPr>
        <w:t>，现授权委托</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为我方代理人。</w:t>
      </w:r>
      <w:r>
        <w:rPr>
          <w:rFonts w:hint="eastAsia" w:ascii="仿宋" w:hAnsi="仿宋" w:eastAsia="仿宋" w:cs="仿宋"/>
          <w:color w:val="auto"/>
          <w:sz w:val="24"/>
          <w:szCs w:val="24"/>
          <w:highlight w:val="none"/>
        </w:rPr>
        <w:t>代理人根据授权，以我方名义签署、澄清、说明、补正、递交、撤回、修改</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比选响应文件、签订合同和处理有关事宜，其法律后果由我方承担。</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委托期限：</w:t>
      </w:r>
      <w:r>
        <w:rPr>
          <w:rFonts w:hint="eastAsia" w:ascii="仿宋" w:hAnsi="仿宋" w:eastAsia="仿宋" w:cs="仿宋"/>
          <w:color w:val="auto"/>
          <w:highlight w:val="none"/>
          <w:u w:val="single"/>
        </w:rPr>
        <w:t xml:space="preserve"> 自本委托书签字盖章生效之日起至比选响应有效期到期之日为止 </w:t>
      </w:r>
      <w:r>
        <w:rPr>
          <w:rFonts w:hint="eastAsia" w:ascii="仿宋" w:hAnsi="仿宋" w:eastAsia="仿宋" w:cs="仿宋"/>
          <w:color w:val="auto"/>
          <w:highlight w:val="none"/>
        </w:rPr>
        <w:t>。</w:t>
      </w:r>
    </w:p>
    <w:p>
      <w:pPr>
        <w:pStyle w:val="61"/>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代理人无转委托权。</w:t>
      </w:r>
    </w:p>
    <w:p>
      <w:pPr>
        <w:pStyle w:val="61"/>
        <w:spacing w:line="360" w:lineRule="auto"/>
        <w:ind w:firstLine="482" w:firstLineChars="200"/>
        <w:rPr>
          <w:rFonts w:hint="eastAsia" w:ascii="仿宋" w:hAnsi="仿宋" w:eastAsia="仿宋" w:cs="仿宋"/>
          <w:b/>
          <w:bCs/>
          <w:color w:val="auto"/>
          <w:sz w:val="24"/>
          <w:szCs w:val="24"/>
          <w:highlight w:val="none"/>
        </w:rPr>
      </w:pPr>
    </w:p>
    <w:p>
      <w:pPr>
        <w:pStyle w:val="61"/>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附：委托代理人身份证复印件（需同时提供正面及背面）</w:t>
      </w:r>
      <w:r>
        <w:rPr>
          <w:rFonts w:hint="eastAsia" w:ascii="仿宋" w:hAnsi="仿宋" w:eastAsia="仿宋" w:cs="仿宋"/>
          <w:color w:val="auto"/>
          <w:sz w:val="24"/>
          <w:szCs w:val="24"/>
          <w:highlight w:val="none"/>
        </w:rPr>
        <w:t>。</w:t>
      </w:r>
    </w:p>
    <w:p>
      <w:pPr>
        <w:pStyle w:val="61"/>
        <w:spacing w:line="440" w:lineRule="atLeast"/>
        <w:ind w:firstLine="480"/>
        <w:jc w:val="left"/>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5408;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4384;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1"/>
        <w:spacing w:line="440" w:lineRule="atLeast"/>
        <w:ind w:firstLine="480"/>
        <w:jc w:val="left"/>
        <w:rPr>
          <w:rFonts w:hint="eastAsia" w:ascii="仿宋" w:hAnsi="仿宋" w:eastAsia="仿宋" w:cs="仿宋"/>
          <w:color w:val="auto"/>
          <w:highlight w:val="none"/>
        </w:rPr>
      </w:pPr>
    </w:p>
    <w:p>
      <w:pPr>
        <w:spacing w:line="360" w:lineRule="auto"/>
        <w:ind w:left="720"/>
        <w:rPr>
          <w:rFonts w:hint="eastAsia" w:ascii="仿宋" w:hAnsi="仿宋" w:eastAsia="仿宋" w:cs="仿宋"/>
          <w:b/>
          <w:color w:val="auto"/>
          <w:highlight w:val="none"/>
        </w:rPr>
      </w:pPr>
    </w:p>
    <w:p>
      <w:pPr>
        <w:tabs>
          <w:tab w:val="left" w:pos="540"/>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ab/>
      </w:r>
    </w:p>
    <w:p>
      <w:pPr>
        <w:pStyle w:val="2"/>
        <w:rPr>
          <w:rFonts w:hint="eastAsia" w:ascii="仿宋" w:hAnsi="仿宋" w:eastAsia="仿宋" w:cs="仿宋"/>
          <w:color w:val="auto"/>
          <w:szCs w:val="21"/>
          <w:highlight w:val="none"/>
        </w:rPr>
      </w:pPr>
    </w:p>
    <w:p>
      <w:pPr>
        <w:pStyle w:val="2"/>
        <w:rPr>
          <w:rFonts w:hint="eastAsia" w:ascii="仿宋" w:hAnsi="仿宋" w:eastAsia="仿宋" w:cs="仿宋"/>
          <w:color w:val="auto"/>
          <w:szCs w:val="21"/>
          <w:highlight w:val="none"/>
        </w:rPr>
      </w:pPr>
    </w:p>
    <w:p>
      <w:pPr>
        <w:pStyle w:val="2"/>
        <w:rPr>
          <w:rFonts w:hint="eastAsia" w:ascii="仿宋" w:hAnsi="仿宋" w:eastAsia="仿宋" w:cs="仿宋"/>
          <w:color w:val="auto"/>
          <w:szCs w:val="21"/>
          <w:highlight w:val="none"/>
        </w:rPr>
      </w:pPr>
    </w:p>
    <w:p>
      <w:pPr>
        <w:spacing w:line="360" w:lineRule="auto"/>
        <w:ind w:right="420" w:firstLine="4200" w:firstLineChars="1750"/>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ind w:right="420" w:firstLine="3120" w:firstLineChars="1300"/>
        <w:rPr>
          <w:rFonts w:hint="eastAsia" w:ascii="仿宋" w:hAnsi="仿宋" w:eastAsia="仿宋" w:cs="仿宋"/>
          <w:color w:val="auto"/>
          <w:highlight w:val="none"/>
        </w:rPr>
      </w:pPr>
      <w:r>
        <w:rPr>
          <w:rFonts w:hint="eastAsia" w:ascii="仿宋" w:hAnsi="仿宋" w:eastAsia="仿宋" w:cs="仿宋"/>
          <w:color w:val="auto"/>
          <w:highlight w:val="none"/>
        </w:rPr>
        <w:t>法定代表人（负责人）：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（签字或盖章）</w:t>
      </w:r>
    </w:p>
    <w:p>
      <w:pPr>
        <w:pStyle w:val="61"/>
        <w:wordWrap w:val="0"/>
        <w:spacing w:line="360" w:lineRule="auto"/>
        <w:ind w:right="105" w:firstLine="4200" w:firstLineChars="17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r>
        <w:rPr>
          <w:rFonts w:hint="eastAsia" w:ascii="仿宋" w:hAnsi="仿宋" w:eastAsia="仿宋" w:cs="仿宋"/>
          <w:color w:val="auto"/>
          <w:sz w:val="24"/>
          <w:highlight w:val="none"/>
        </w:rPr>
        <w:t>或盖章</w:t>
      </w:r>
      <w:r>
        <w:rPr>
          <w:rFonts w:hint="eastAsia" w:ascii="仿宋" w:hAnsi="仿宋" w:eastAsia="仿宋" w:cs="仿宋"/>
          <w:color w:val="auto"/>
          <w:sz w:val="24"/>
          <w:szCs w:val="24"/>
          <w:highlight w:val="none"/>
        </w:rPr>
        <w:t xml:space="preserve">） </w:t>
      </w:r>
    </w:p>
    <w:p>
      <w:pPr>
        <w:wordWrap w:val="0"/>
        <w:spacing w:line="360" w:lineRule="auto"/>
        <w:ind w:firstLine="4200" w:firstLineChars="1750"/>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abs>
          <w:tab w:val="left" w:pos="540"/>
        </w:tabs>
        <w:rPr>
          <w:rFonts w:hint="eastAsia" w:ascii="仿宋" w:hAnsi="仿宋" w:eastAsia="仿宋" w:cs="仿宋"/>
          <w:color w:val="auto"/>
          <w:szCs w:val="21"/>
          <w:highlight w:val="none"/>
        </w:rPr>
        <w:sectPr>
          <w:pgSz w:w="11906" w:h="16838"/>
          <w:pgMar w:top="1417" w:right="1134" w:bottom="1134" w:left="1134" w:header="851" w:footer="992" w:gutter="0"/>
          <w:pgNumType w:fmt="decimal"/>
          <w:cols w:space="720" w:num="1"/>
          <w:titlePg/>
          <w:docGrid w:type="lines" w:linePitch="312" w:charSpace="0"/>
        </w:sectPr>
      </w:pPr>
    </w:p>
    <w:p>
      <w:pPr>
        <w:pStyle w:val="5"/>
        <w:spacing w:before="0" w:after="0" w:line="360" w:lineRule="auto"/>
        <w:rPr>
          <w:rFonts w:hint="eastAsia" w:ascii="仿宋" w:hAnsi="仿宋" w:eastAsia="仿宋" w:cs="仿宋"/>
          <w:color w:val="auto"/>
          <w:sz w:val="24"/>
          <w:szCs w:val="24"/>
          <w:highlight w:val="none"/>
        </w:rPr>
      </w:pPr>
      <w:bookmarkStart w:id="163" w:name="_Toc1076"/>
      <w:bookmarkStart w:id="164" w:name="_Toc30551"/>
      <w:bookmarkStart w:id="165" w:name="_Toc517281841"/>
      <w:r>
        <w:rPr>
          <w:rFonts w:hint="eastAsia" w:ascii="仿宋" w:hAnsi="仿宋" w:eastAsia="仿宋" w:cs="仿宋"/>
          <w:color w:val="auto"/>
          <w:sz w:val="24"/>
          <w:szCs w:val="24"/>
          <w:highlight w:val="none"/>
        </w:rPr>
        <w:t>（四）资格证明文件</w:t>
      </w:r>
      <w:bookmarkEnd w:id="163"/>
      <w:bookmarkEnd w:id="164"/>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1、供应商基本情况信息表</w:t>
      </w:r>
    </w:p>
    <w:p>
      <w:pPr>
        <w:pStyle w:val="61"/>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hint="eastAsia" w:ascii="仿宋" w:hAnsi="仿宋" w:eastAsia="仿宋" w:cs="仿宋"/>
                <w:color w:val="auto"/>
                <w:szCs w:val="21"/>
                <w:highlight w:val="none"/>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c>
          <w:tcPr>
            <w:tcW w:w="985" w:type="dxa"/>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hint="eastAsia" w:ascii="仿宋" w:hAnsi="仿宋" w:eastAsia="仿宋" w:cs="仿宋"/>
                <w:color w:val="auto"/>
                <w:highlight w:val="none"/>
              </w:rPr>
            </w:pPr>
            <w:r>
              <w:rPr>
                <w:rFonts w:hint="eastAsia" w:ascii="仿宋" w:hAnsi="仿宋" w:eastAsia="仿宋" w:cs="仿宋"/>
                <w:color w:val="auto"/>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hint="eastAsia" w:ascii="仿宋" w:hAnsi="仿宋" w:eastAsia="仿宋" w:cs="仿宋"/>
                <w:color w:val="auto"/>
                <w:szCs w:val="21"/>
                <w:highlight w:val="none"/>
              </w:rPr>
            </w:pPr>
          </w:p>
        </w:tc>
        <w:tc>
          <w:tcPr>
            <w:tcW w:w="2646" w:type="dxa"/>
            <w:gridSpan w:val="3"/>
            <w:vMerge w:val="restart"/>
            <w:tcBorders>
              <w:top w:val="nil"/>
              <w:left w:val="nil"/>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hint="eastAsia" w:ascii="仿宋" w:hAnsi="仿宋" w:eastAsia="仿宋" w:cs="仿宋"/>
                <w:color w:val="auto"/>
                <w:szCs w:val="21"/>
                <w:highlight w:val="none"/>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hint="eastAsia" w:ascii="仿宋" w:hAnsi="仿宋" w:eastAsia="仿宋" w:cs="仿宋"/>
                <w:color w:val="auto"/>
                <w:highlight w:val="none"/>
              </w:rPr>
            </w:pPr>
            <w:r>
              <w:rPr>
                <w:rFonts w:hint="eastAsia" w:ascii="仿宋" w:hAnsi="仿宋" w:eastAsia="仿宋" w:cs="仿宋"/>
                <w:color w:val="auto"/>
                <w:highlight w:val="none"/>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hint="eastAsia" w:ascii="仿宋" w:hAnsi="仿宋" w:eastAsia="仿宋" w:cs="仿宋"/>
                <w:color w:val="auto"/>
                <w:highlight w:val="none"/>
              </w:rPr>
            </w:pPr>
          </w:p>
        </w:tc>
      </w:tr>
    </w:tbl>
    <w:p>
      <w:pPr>
        <w:pStyle w:val="61"/>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注：提供由工商部门核发的最新营业执照（正副本皆可）。</w:t>
      </w:r>
    </w:p>
    <w:p>
      <w:pPr>
        <w:pStyle w:val="61"/>
        <w:jc w:val="left"/>
        <w:rPr>
          <w:rFonts w:hint="eastAsia" w:ascii="仿宋" w:hAnsi="仿宋" w:eastAsia="仿宋" w:cs="仿宋"/>
          <w:b/>
          <w:color w:val="auto"/>
          <w:highlight w:val="none"/>
        </w:rPr>
      </w:pPr>
    </w:p>
    <w:p>
      <w:pPr>
        <w:pStyle w:val="61"/>
        <w:jc w:val="left"/>
        <w:rPr>
          <w:rFonts w:hint="eastAsia" w:ascii="仿宋" w:hAnsi="仿宋" w:eastAsia="仿宋" w:cs="仿宋"/>
          <w:b/>
          <w:color w:val="auto"/>
          <w:highlight w:val="none"/>
        </w:rPr>
      </w:pPr>
    </w:p>
    <w:p>
      <w:pPr>
        <w:pStyle w:val="61"/>
        <w:jc w:val="left"/>
        <w:rPr>
          <w:rFonts w:hint="eastAsia" w:ascii="仿宋" w:hAnsi="仿宋" w:eastAsia="仿宋" w:cs="仿宋"/>
          <w:b/>
          <w:color w:val="auto"/>
          <w:highlight w:val="none"/>
        </w:rPr>
      </w:pPr>
    </w:p>
    <w:p>
      <w:pPr>
        <w:spacing w:line="360" w:lineRule="auto"/>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6"/>
        <w:spacing w:before="0" w:after="0"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sz w:val="24"/>
          <w:szCs w:val="24"/>
          <w:highlight w:val="none"/>
          <w:lang w:val="en-US" w:eastAsia="zh-CN"/>
        </w:rPr>
        <w:t>履行合同所必需的设备和专业技术能力</w:t>
      </w:r>
    </w:p>
    <w:p>
      <w:pPr>
        <w:pStyle w:val="2"/>
        <w:spacing w:before="240"/>
        <w:rPr>
          <w:rFonts w:hint="eastAsia" w:ascii="仿宋" w:hAnsi="仿宋" w:eastAsia="仿宋" w:cs="仿宋"/>
          <w:b/>
          <w:bCs/>
          <w:color w:val="000000"/>
          <w:highlight w:val="none"/>
        </w:rPr>
      </w:pPr>
      <w:r>
        <w:rPr>
          <w:rFonts w:hint="eastAsia" w:ascii="仿宋" w:hAnsi="仿宋" w:eastAsia="仿宋" w:cs="仿宋"/>
          <w:b/>
          <w:bCs/>
          <w:color w:val="000000"/>
          <w:highlight w:val="none"/>
        </w:rPr>
        <w:t>《具有</w:t>
      </w:r>
      <w:r>
        <w:rPr>
          <w:rFonts w:hint="eastAsia" w:ascii="仿宋" w:hAnsi="仿宋" w:eastAsia="仿宋" w:cs="仿宋"/>
          <w:b/>
          <w:bCs/>
          <w:color w:val="000000"/>
          <w:highlight w:val="none"/>
          <w:lang w:val="en-US" w:eastAsia="zh-CN"/>
        </w:rPr>
        <w:t>履行合同所必需的设备和专业技术能力</w:t>
      </w:r>
      <w:r>
        <w:rPr>
          <w:rFonts w:hint="eastAsia" w:ascii="仿宋" w:hAnsi="仿宋" w:eastAsia="仿宋" w:cs="仿宋"/>
          <w:b/>
          <w:bCs/>
          <w:color w:val="000000"/>
          <w:highlight w:val="none"/>
        </w:rPr>
        <w:t>承诺书》</w:t>
      </w:r>
    </w:p>
    <w:p>
      <w:pPr>
        <w:spacing w:before="240" w:line="360" w:lineRule="auto"/>
        <w:rPr>
          <w:rFonts w:hint="eastAsia" w:ascii="仿宋" w:hAnsi="仿宋" w:eastAsia="仿宋" w:cs="仿宋"/>
          <w:color w:val="000000"/>
          <w:highlight w:val="none"/>
        </w:rPr>
      </w:pPr>
      <w:r>
        <w:rPr>
          <w:rFonts w:hint="eastAsia" w:ascii="仿宋" w:hAnsi="仿宋" w:eastAsia="仿宋" w:cs="仿宋"/>
          <w:color w:val="000000"/>
          <w:highlight w:val="none"/>
        </w:rPr>
        <w:t>致：（采购人）：</w:t>
      </w:r>
    </w:p>
    <w:p>
      <w:pPr>
        <w:spacing w:before="240" w:line="360" w:lineRule="auto"/>
        <w:ind w:firstLine="480"/>
        <w:rPr>
          <w:rFonts w:hint="eastAsia" w:ascii="仿宋" w:hAnsi="仿宋" w:eastAsia="仿宋" w:cs="仿宋"/>
          <w:color w:val="000000"/>
          <w:highlight w:val="none"/>
        </w:rPr>
      </w:pPr>
      <w:r>
        <w:rPr>
          <w:rFonts w:hint="eastAsia" w:ascii="仿宋" w:hAnsi="仿宋" w:eastAsia="仿宋" w:cs="仿宋"/>
          <w:color w:val="000000"/>
          <w:highlight w:val="none"/>
        </w:rPr>
        <w:t>我方</w:t>
      </w:r>
      <w:r>
        <w:rPr>
          <w:rFonts w:hint="eastAsia" w:ascii="仿宋" w:hAnsi="仿宋" w:eastAsia="仿宋" w:cs="仿宋"/>
          <w:color w:val="000000"/>
          <w:highlight w:val="none"/>
          <w:u w:val="single"/>
        </w:rPr>
        <w:t xml:space="preserve">      （供应商名称）   </w:t>
      </w:r>
      <w:r>
        <w:rPr>
          <w:rFonts w:hint="eastAsia" w:ascii="仿宋" w:hAnsi="仿宋" w:eastAsia="仿宋" w:cs="仿宋"/>
          <w:color w:val="000000"/>
          <w:highlight w:val="none"/>
        </w:rPr>
        <w:t>承诺符合</w:t>
      </w:r>
      <w:r>
        <w:rPr>
          <w:rFonts w:hint="eastAsia" w:ascii="仿宋" w:hAnsi="仿宋" w:eastAsia="仿宋" w:cs="仿宋"/>
          <w:color w:val="000000"/>
          <w:highlight w:val="none"/>
          <w:u w:val="single"/>
        </w:rPr>
        <w:t xml:space="preserve">    （项目名称）  </w:t>
      </w:r>
      <w:r>
        <w:rPr>
          <w:rFonts w:hint="eastAsia" w:ascii="仿宋" w:hAnsi="仿宋" w:eastAsia="仿宋" w:cs="仿宋"/>
          <w:color w:val="000000"/>
          <w:highlight w:val="none"/>
        </w:rPr>
        <w:t>资格条件中要求的具有</w:t>
      </w:r>
      <w:r>
        <w:rPr>
          <w:rFonts w:hint="eastAsia" w:ascii="仿宋" w:hAnsi="仿宋" w:eastAsia="仿宋" w:cs="仿宋"/>
          <w:color w:val="000000"/>
          <w:sz w:val="24"/>
          <w:szCs w:val="24"/>
          <w:highlight w:val="none"/>
          <w:lang w:val="en-US" w:eastAsia="zh-CN"/>
        </w:rPr>
        <w:t>履行合同所必需的设备和专业技术能力</w:t>
      </w:r>
      <w:r>
        <w:rPr>
          <w:rFonts w:hint="eastAsia" w:ascii="仿宋" w:hAnsi="仿宋" w:eastAsia="仿宋" w:cs="仿宋"/>
          <w:color w:val="000000"/>
          <w:highlight w:val="none"/>
        </w:rPr>
        <w:t xml:space="preserve">比选响应资格，并对上述承诺真实性负责。 </w:t>
      </w:r>
    </w:p>
    <w:p>
      <w:pPr>
        <w:pStyle w:val="2"/>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t>特此声明。</w:t>
      </w:r>
    </w:p>
    <w:p>
      <w:pPr>
        <w:pStyle w:val="2"/>
        <w:rPr>
          <w:rFonts w:hint="eastAsia" w:ascii="仿宋" w:hAnsi="仿宋" w:eastAsia="仿宋" w:cs="仿宋"/>
        </w:rPr>
      </w:pPr>
    </w:p>
    <w:p>
      <w:pPr>
        <w:spacing w:line="360" w:lineRule="auto"/>
        <w:ind w:firstLine="480"/>
        <w:rPr>
          <w:rFonts w:hint="eastAsia" w:ascii="仿宋" w:hAnsi="仿宋" w:eastAsia="仿宋" w:cs="仿宋"/>
          <w:color w:val="000000"/>
        </w:rPr>
      </w:pPr>
    </w:p>
    <w:p>
      <w:pPr>
        <w:spacing w:line="360" w:lineRule="auto"/>
        <w:ind w:firstLine="480"/>
        <w:rPr>
          <w:rFonts w:hint="eastAsia" w:ascii="仿宋" w:hAnsi="仿宋" w:eastAsia="仿宋" w:cs="仿宋"/>
          <w:color w:val="000000"/>
        </w:rPr>
      </w:pPr>
    </w:p>
    <w:p>
      <w:pPr>
        <w:spacing w:line="360" w:lineRule="auto"/>
        <w:ind w:firstLine="480"/>
        <w:rPr>
          <w:rFonts w:hint="eastAsia" w:ascii="仿宋" w:hAnsi="仿宋" w:eastAsia="仿宋" w:cs="仿宋"/>
          <w:color w:val="000000"/>
        </w:rPr>
      </w:pPr>
    </w:p>
    <w:p>
      <w:pPr>
        <w:spacing w:line="360" w:lineRule="auto"/>
        <w:ind w:firstLine="4080"/>
        <w:jc w:val="right"/>
        <w:rPr>
          <w:rFonts w:hint="eastAsia"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360" w:lineRule="auto"/>
        <w:jc w:val="right"/>
        <w:rPr>
          <w:rFonts w:hint="eastAsia"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6"/>
        <w:spacing w:before="0" w:after="0" w:line="360" w:lineRule="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、同类项目实施经验</w:t>
      </w:r>
      <w:r>
        <w:rPr>
          <w:rFonts w:hint="eastAsia" w:ascii="仿宋" w:hAnsi="仿宋" w:eastAsia="仿宋" w:cs="仿宋"/>
          <w:b w:val="0"/>
          <w:bCs w:val="0"/>
          <w:color w:val="000000" w:themeColor="text1"/>
          <w:sz w:val="24"/>
          <w:szCs w:val="24"/>
          <w14:textFill>
            <w14:solidFill>
              <w14:schemeClr w14:val="tx1"/>
            </w14:solidFill>
          </w14:textFill>
        </w:rPr>
        <w:t xml:space="preserve"> </w:t>
      </w:r>
      <w:r>
        <w:rPr>
          <w:rFonts w:hint="eastAsia" w:ascii="仿宋" w:hAnsi="仿宋" w:eastAsia="仿宋" w:cs="仿宋"/>
          <w:b w:val="0"/>
          <w:bCs w:val="0"/>
          <w:color w:val="000000" w:themeColor="text1"/>
          <w:sz w:val="24"/>
          <w:szCs w:val="24"/>
          <w:lang w:eastAsia="zh-CN"/>
          <w14:textFill>
            <w14:solidFill>
              <w14:schemeClr w14:val="tx1"/>
            </w14:solidFill>
          </w14:textFill>
        </w:rPr>
        <w:t>（</w:t>
      </w:r>
      <w:r>
        <w:rPr>
          <w:rFonts w:hint="eastAsia" w:ascii="仿宋" w:hAnsi="仿宋" w:eastAsia="仿宋" w:cs="仿宋"/>
          <w:b w:val="0"/>
          <w:bCs w:val="0"/>
          <w:color w:val="000000" w:themeColor="text1"/>
          <w:sz w:val="24"/>
          <w:szCs w:val="24"/>
          <w:lang w:val="en-US" w:eastAsia="zh-CN"/>
          <w14:textFill>
            <w14:solidFill>
              <w14:schemeClr w14:val="tx1"/>
            </w14:solidFill>
          </w14:textFill>
        </w:rPr>
        <w:t>若有）</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pPr>
              <w:jc w:val="cente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471" w:type="pct"/>
            <w:noWrap w:val="0"/>
            <w:vAlign w:val="center"/>
          </w:tcPr>
          <w:p>
            <w:pPr>
              <w:jc w:val="cente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合同名称</w:t>
            </w:r>
          </w:p>
        </w:tc>
        <w:tc>
          <w:tcPr>
            <w:tcW w:w="678" w:type="pct"/>
            <w:noWrap w:val="0"/>
            <w:vAlign w:val="center"/>
          </w:tcPr>
          <w:p>
            <w:pPr>
              <w:jc w:val="cente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合同签订时间</w:t>
            </w:r>
          </w:p>
        </w:tc>
        <w:tc>
          <w:tcPr>
            <w:tcW w:w="645" w:type="pct"/>
            <w:noWrap w:val="0"/>
            <w:vAlign w:val="center"/>
          </w:tcPr>
          <w:p>
            <w:pPr>
              <w:jc w:val="cente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采购内容</w:t>
            </w:r>
          </w:p>
        </w:tc>
        <w:tc>
          <w:tcPr>
            <w:tcW w:w="641" w:type="pct"/>
            <w:noWrap w:val="0"/>
            <w:vAlign w:val="center"/>
          </w:tcPr>
          <w:p>
            <w:pPr>
              <w:jc w:val="cente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合同金额（万元）</w:t>
            </w:r>
          </w:p>
        </w:tc>
        <w:tc>
          <w:tcPr>
            <w:tcW w:w="565" w:type="pct"/>
            <w:noWrap w:val="0"/>
            <w:vAlign w:val="center"/>
          </w:tcPr>
          <w:p>
            <w:pPr>
              <w:jc w:val="cente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合同甲方</w:t>
            </w:r>
          </w:p>
        </w:tc>
        <w:tc>
          <w:tcPr>
            <w:tcW w:w="821" w:type="pct"/>
            <w:noWrap w:val="0"/>
            <w:vAlign w:val="center"/>
          </w:tcPr>
          <w:p>
            <w:pPr>
              <w:jc w:val="cente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合同甲方联系人及电话</w:t>
            </w:r>
          </w:p>
        </w:tc>
        <w:tc>
          <w:tcPr>
            <w:tcW w:w="709" w:type="pct"/>
            <w:noWrap w:val="0"/>
            <w:vAlign w:val="center"/>
          </w:tcPr>
          <w:p>
            <w:pPr>
              <w:jc w:val="cente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47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78"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45"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4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565"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82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709"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p>
            <w:pPr>
              <w:jc w:val="center"/>
              <w:rPr>
                <w:rFonts w:hint="eastAsia" w:ascii="仿宋" w:hAnsi="仿宋" w:eastAsia="仿宋" w:cs="仿宋"/>
                <w:color w:val="000000" w:themeColor="text1"/>
                <w:szCs w:val="21"/>
                <w14:textFill>
                  <w14:solidFill>
                    <w14:schemeClr w14:val="tx1"/>
                  </w14:solidFill>
                </w14:textFill>
              </w:rPr>
            </w:pPr>
          </w:p>
        </w:tc>
        <w:tc>
          <w:tcPr>
            <w:tcW w:w="47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78"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45"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4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565"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82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709"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47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78"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45"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4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565"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82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709"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47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78"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45"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4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565"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82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709"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47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78"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45"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4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565"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82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709"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47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78"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45"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4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565"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82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709"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47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78"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45"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4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565"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82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709"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47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78"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45"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64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565"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821"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c>
          <w:tcPr>
            <w:tcW w:w="709" w:type="pct"/>
            <w:noWrap w:val="0"/>
            <w:vAlign w:val="center"/>
          </w:tcPr>
          <w:p>
            <w:pPr>
              <w:jc w:val="center"/>
              <w:rPr>
                <w:rFonts w:hint="eastAsia" w:ascii="仿宋" w:hAnsi="仿宋" w:eastAsia="仿宋" w:cs="仿宋"/>
                <w:color w:val="000000" w:themeColor="text1"/>
                <w:szCs w:val="21"/>
                <w14:textFill>
                  <w14:solidFill>
                    <w14:schemeClr w14:val="tx1"/>
                  </w14:solidFill>
                </w14:textFill>
              </w:rPr>
            </w:pPr>
          </w:p>
        </w:tc>
      </w:tr>
    </w:tbl>
    <w:p>
      <w:pPr>
        <w:spacing w:line="360" w:lineRule="auto"/>
        <w:rPr>
          <w:rFonts w:hint="eastAsia"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备注：</w:t>
      </w:r>
    </w:p>
    <w:p>
      <w:pPr>
        <w:spacing w:line="360" w:lineRule="auto"/>
        <w:rPr>
          <w:rFonts w:hint="eastAsia"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1）有效的业绩证明材料包含但不限于合同关键页复印件（合同首页、合同标的页、签署日期页及盖章页等），按照业绩表的项目名称，顺序排放每个项目的证明材料。</w:t>
      </w:r>
    </w:p>
    <w:p>
      <w:pPr>
        <w:spacing w:line="360" w:lineRule="auto"/>
        <w:rPr>
          <w:rFonts w:hint="eastAsia"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2）按照比选公告的资格要求提供有效的实施经验证明材料，作为资格后审的评审依据。</w:t>
      </w:r>
    </w:p>
    <w:p>
      <w:pPr>
        <w:spacing w:line="360" w:lineRule="auto"/>
        <w:rPr>
          <w:rFonts w:hint="eastAsia"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3）本业绩表及证明材料也作为详细评审中对供应商同类项目实施经验的评审及打分依据，供应商需根据详细评审标准的要求，提供符合要求的业绩证明材料。</w:t>
      </w: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、无违法违规记录查询截图</w:t>
      </w:r>
    </w:p>
    <w:p>
      <w:pPr>
        <w:snapToGrid w:val="0"/>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信用中国查询网址：https://www.creditchina.gov.cn/xinxigongshi/</w:t>
      </w:r>
    </w:p>
    <w:p>
      <w:pPr>
        <w:snapToGrid w:val="0"/>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政府采购严重违法失信行为记录名单查询网址：</w:t>
      </w:r>
    </w:p>
    <w:p>
      <w:pPr>
        <w:snapToGrid w:val="0"/>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https://www.creditchina.gov.cn/zhuanxiangchaxun/zhengfucaigouyanzhongweifashixinmingdan/</w:t>
      </w:r>
    </w:p>
    <w:p>
      <w:pPr>
        <w:spacing w:line="360" w:lineRule="auto"/>
        <w:textAlignment w:val="baseline"/>
        <w:rPr>
          <w:rFonts w:hint="eastAsia" w:ascii="仿宋" w:hAnsi="仿宋" w:eastAsia="仿宋" w:cs="仿宋"/>
          <w:color w:val="auto"/>
          <w:highlight w:val="none"/>
        </w:rPr>
      </w:pPr>
      <w:r>
        <w:rPr>
          <w:rFonts w:hint="eastAsia" w:ascii="仿宋" w:hAnsi="仿宋" w:eastAsia="仿宋" w:cs="仿宋"/>
          <w:color w:val="auto"/>
          <w:highlight w:val="none"/>
        </w:rPr>
        <w:t>（1）失信被执行人查询截图范例：</w:t>
      </w:r>
    </w:p>
    <w:p>
      <w:pPr>
        <w:ind w:firstLine="240" w:firstLineChars="100"/>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3"/>
                    <a:stretch>
                      <a:fillRect/>
                    </a:stretch>
                  </pic:blipFill>
                  <pic:spPr>
                    <a:xfrm>
                      <a:off x="0" y="0"/>
                      <a:ext cx="6117590" cy="3164840"/>
                    </a:xfrm>
                    <a:prstGeom prst="rect">
                      <a:avLst/>
                    </a:prstGeom>
                  </pic:spPr>
                </pic:pic>
              </a:graphicData>
            </a:graphic>
          </wp:inline>
        </w:drawing>
      </w:r>
    </w:p>
    <w:p>
      <w:pPr>
        <w:rPr>
          <w:rFonts w:hint="eastAsia" w:ascii="仿宋" w:hAnsi="仿宋" w:eastAsia="仿宋" w:cs="仿宋"/>
          <w:color w:val="auto"/>
          <w:szCs w:val="21"/>
          <w:highlight w:val="none"/>
        </w:rPr>
      </w:pPr>
      <w:r>
        <w:rPr>
          <w:rFonts w:hint="eastAsia" w:ascii="仿宋" w:hAnsi="仿宋" w:eastAsia="仿宋" w:cs="仿宋"/>
          <w:color w:val="auto"/>
          <w:highlight w:val="none"/>
        </w:rPr>
        <w:t>（2）重大税收违法失信主体查询截图范例：</w:t>
      </w:r>
    </w:p>
    <w:p>
      <w:pPr>
        <w:rPr>
          <w:rFonts w:hint="eastAsia" w:ascii="仿宋" w:hAnsi="仿宋" w:eastAsia="仿宋" w:cs="仿宋"/>
          <w:color w:val="auto"/>
          <w:highlight w:val="none"/>
        </w:rPr>
      </w:pPr>
      <w:r>
        <w:rPr>
          <w:rFonts w:hint="eastAsia" w:ascii="仿宋" w:hAnsi="仿宋" w:eastAsia="仿宋" w:cs="仿宋"/>
          <w:color w:val="auto"/>
          <w:szCs w:val="21"/>
          <w:highlight w:val="none"/>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4"/>
                    <a:stretch>
                      <a:fillRect/>
                    </a:stretch>
                  </pic:blipFill>
                  <pic:spPr>
                    <a:xfrm>
                      <a:off x="0" y="0"/>
                      <a:ext cx="6117590" cy="3177540"/>
                    </a:xfrm>
                    <a:prstGeom prst="rect">
                      <a:avLst/>
                    </a:prstGeom>
                  </pic:spPr>
                </pic:pic>
              </a:graphicData>
            </a:graphic>
          </wp:inline>
        </w:drawing>
      </w:r>
    </w:p>
    <w:p>
      <w:pPr>
        <w:ind w:firstLine="240" w:firstLineChars="100"/>
        <w:rPr>
          <w:rFonts w:hint="eastAsia" w:ascii="仿宋" w:hAnsi="仿宋" w:eastAsia="仿宋" w:cs="仿宋"/>
          <w:color w:val="auto"/>
          <w:highlight w:val="none"/>
        </w:rPr>
      </w:pPr>
      <w:r>
        <w:rPr>
          <w:rFonts w:hint="eastAsia" w:ascii="仿宋" w:hAnsi="仿宋" w:eastAsia="仿宋" w:cs="仿宋"/>
          <w:color w:val="auto"/>
          <w:highlight w:val="none"/>
        </w:rPr>
        <w:t>（3）政府采购严重违法失信行为记录名单查询截图范例：</w:t>
      </w:r>
    </w:p>
    <w:p>
      <w:pPr>
        <w:ind w:firstLine="240" w:firstLineChars="100"/>
        <w:rPr>
          <w:rFonts w:hint="eastAsia" w:ascii="仿宋" w:hAnsi="仿宋" w:eastAsia="仿宋" w:cs="仿宋"/>
          <w:b/>
          <w:bCs/>
          <w:color w:val="auto"/>
          <w:highlight w:val="none"/>
        </w:rPr>
      </w:pPr>
      <w:r>
        <w:rPr>
          <w:rFonts w:hint="eastAsia" w:ascii="仿宋" w:hAnsi="仿宋" w:eastAsia="仿宋" w:cs="仿宋"/>
          <w:color w:val="auto"/>
          <w:highlight w:val="none"/>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5"/>
                    <a:stretch>
                      <a:fillRect/>
                    </a:stretch>
                  </pic:blipFill>
                  <pic:spPr>
                    <a:xfrm>
                      <a:off x="0" y="0"/>
                      <a:ext cx="6117590" cy="3169285"/>
                    </a:xfrm>
                    <a:prstGeom prst="rect">
                      <a:avLst/>
                    </a:prstGeom>
                  </pic:spPr>
                </pic:pic>
              </a:graphicData>
            </a:graphic>
          </wp:inline>
        </w:drawing>
      </w:r>
      <w:r>
        <w:rPr>
          <w:rFonts w:hint="eastAsia" w:ascii="仿宋" w:hAnsi="仿宋" w:eastAsia="仿宋" w:cs="仿宋"/>
          <w:color w:val="auto"/>
          <w:highlight w:val="none"/>
        </w:rPr>
        <w:br w:type="page"/>
      </w:r>
      <w:r>
        <w:rPr>
          <w:rFonts w:hint="eastAsia" w:ascii="仿宋" w:hAnsi="仿宋" w:eastAsia="仿宋" w:cs="仿宋"/>
          <w:b/>
          <w:bCs/>
          <w:color w:val="auto"/>
          <w:highlight w:val="none"/>
          <w:lang w:val="en-US" w:eastAsia="zh-CN"/>
        </w:rPr>
        <w:t>5</w:t>
      </w:r>
      <w:r>
        <w:rPr>
          <w:rFonts w:hint="eastAsia" w:ascii="仿宋" w:hAnsi="仿宋" w:eastAsia="仿宋" w:cs="仿宋"/>
          <w:b/>
          <w:bCs/>
          <w:color w:val="auto"/>
          <w:highlight w:val="none"/>
        </w:rPr>
        <w:t>、未列入供应商黑名单且未在禁入期承诺函</w:t>
      </w:r>
    </w:p>
    <w:p>
      <w:pPr>
        <w:pStyle w:val="2"/>
        <w:spacing w:before="240"/>
        <w:jc w:val="both"/>
        <w:rPr>
          <w:rFonts w:hint="eastAsia" w:ascii="仿宋" w:hAnsi="仿宋" w:eastAsia="仿宋" w:cs="仿宋"/>
          <w:color w:val="auto"/>
          <w:highlight w:val="none"/>
        </w:rPr>
      </w:pPr>
      <w:r>
        <w:rPr>
          <w:rFonts w:hint="eastAsia" w:ascii="仿宋" w:hAnsi="仿宋" w:eastAsia="仿宋" w:cs="仿宋"/>
          <w:color w:val="auto"/>
          <w:highlight w:val="none"/>
        </w:rPr>
        <w:t>致：</w:t>
      </w:r>
      <w:r>
        <w:rPr>
          <w:rFonts w:hint="eastAsia" w:ascii="仿宋" w:hAnsi="仿宋" w:eastAsia="仿宋" w:cs="仿宋"/>
          <w:color w:val="auto"/>
          <w:highlight w:val="none"/>
          <w:u w:val="single"/>
        </w:rPr>
        <w:t>（采购人名称）</w:t>
      </w:r>
      <w:r>
        <w:rPr>
          <w:rFonts w:hint="eastAsia" w:ascii="仿宋" w:hAnsi="仿宋" w:eastAsia="仿宋" w:cs="仿宋"/>
          <w:color w:val="auto"/>
          <w:highlight w:val="none"/>
        </w:rPr>
        <w:t>：</w:t>
      </w:r>
    </w:p>
    <w:p>
      <w:pPr>
        <w:adjustRightInd w:val="0"/>
        <w:snapToGrid w:val="0"/>
        <w:spacing w:before="24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我方</w:t>
      </w:r>
      <w:r>
        <w:rPr>
          <w:rFonts w:hint="eastAsia" w:ascii="仿宋" w:hAnsi="仿宋" w:eastAsia="仿宋" w:cs="仿宋"/>
          <w:color w:val="auto"/>
          <w:highlight w:val="none"/>
          <w:u w:val="single"/>
        </w:rPr>
        <w:t xml:space="preserve">      （供应商名称）      </w:t>
      </w:r>
      <w:r>
        <w:rPr>
          <w:rFonts w:hint="eastAsia" w:ascii="仿宋" w:hAnsi="仿宋" w:eastAsia="仿宋" w:cs="仿宋"/>
          <w:color w:val="auto"/>
          <w:highlight w:val="none"/>
        </w:rPr>
        <w:t>承诺截至本项目响应文件递交截止时间，我方未被列入采购人及其所隶属的中国人民保险各级机构的供应商黑名单且未在禁入期内。</w:t>
      </w:r>
    </w:p>
    <w:p>
      <w:pPr>
        <w:pStyle w:val="2"/>
        <w:ind w:firstLine="480" w:firstLineChars="200"/>
        <w:jc w:val="both"/>
        <w:rPr>
          <w:rFonts w:hint="eastAsia" w:ascii="仿宋" w:hAnsi="仿宋" w:eastAsia="仿宋" w:cs="仿宋"/>
          <w:color w:val="auto"/>
          <w:highlight w:val="none"/>
        </w:rPr>
      </w:pPr>
    </w:p>
    <w:p>
      <w:pPr>
        <w:pStyle w:val="2"/>
        <w:ind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特此承诺。</w:t>
      </w:r>
    </w:p>
    <w:p>
      <w:pPr>
        <w:pStyle w:val="76"/>
        <w:ind w:firstLine="640"/>
        <w:rPr>
          <w:rFonts w:hint="eastAsia" w:ascii="仿宋" w:hAnsi="仿宋" w:eastAsia="仿宋" w:cs="仿宋"/>
          <w:color w:val="auto"/>
          <w:highlight w:val="none"/>
        </w:rPr>
      </w:pPr>
    </w:p>
    <w:p>
      <w:pPr>
        <w:pStyle w:val="76"/>
        <w:ind w:firstLine="640"/>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66"/>
        <w:spacing w:line="360" w:lineRule="auto"/>
        <w:rPr>
          <w:rFonts w:hint="eastAsia" w:ascii="仿宋" w:hAnsi="仿宋" w:eastAsia="仿宋" w:cs="仿宋"/>
          <w:color w:val="auto"/>
          <w:highlight w:val="none"/>
        </w:rPr>
      </w:pPr>
      <w:r>
        <w:rPr>
          <w:rFonts w:hint="eastAsia" w:ascii="仿宋" w:hAnsi="仿宋" w:eastAsia="仿宋" w:cs="仿宋"/>
          <w:color w:val="auto"/>
          <w:szCs w:val="24"/>
          <w:highlight w:val="none"/>
        </w:rPr>
        <w:br w:type="page"/>
      </w:r>
    </w:p>
    <w:p>
      <w:pPr>
        <w:pStyle w:val="6"/>
        <w:spacing w:before="0" w:after="0" w:line="360" w:lineRule="auto"/>
        <w:rPr>
          <w:rFonts w:hint="eastAsia" w:ascii="仿宋" w:hAnsi="仿宋" w:eastAsia="仿宋" w:cs="仿宋"/>
          <w:color w:val="auto"/>
          <w:sz w:val="24"/>
          <w:szCs w:val="24"/>
          <w:highlight w:val="none"/>
        </w:rPr>
      </w:pPr>
      <w:bookmarkStart w:id="166" w:name="_Hlk69983040"/>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、供应商控股及管理关系情况申报表</w:t>
      </w:r>
    </w:p>
    <w:p>
      <w:pPr>
        <w:pStyle w:val="51"/>
        <w:spacing w:before="240" w:after="240" w:line="360" w:lineRule="auto"/>
        <w:ind w:firstLine="0" w:firstLineChars="0"/>
        <w:jc w:val="center"/>
        <w:rPr>
          <w:rFonts w:hint="eastAsia" w:ascii="仿宋" w:hAnsi="仿宋" w:eastAsia="仿宋" w:cs="仿宋"/>
          <w:b/>
          <w:color w:val="auto"/>
          <w:highlight w:val="none"/>
        </w:rPr>
      </w:pPr>
      <w:r>
        <w:rPr>
          <w:rFonts w:hint="eastAsia" w:ascii="仿宋" w:hAnsi="仿宋" w:eastAsia="仿宋" w:cs="仿宋"/>
          <w:b/>
          <w:color w:val="auto"/>
          <w:highlight w:val="none"/>
        </w:rPr>
        <w:t>供应商控股及管理关系情况申报表</w:t>
      </w:r>
    </w:p>
    <w:p>
      <w:pPr>
        <w:adjustRightInd w:val="0"/>
        <w:snapToGrid w:val="0"/>
        <w:spacing w:line="360" w:lineRule="auto"/>
        <w:ind w:left="-89" w:leftChars="-295" w:hanging="619" w:hangingChars="258"/>
        <w:rPr>
          <w:rFonts w:hint="eastAsia" w:ascii="仿宋" w:hAnsi="仿宋" w:eastAsia="仿宋" w:cs="仿宋"/>
          <w:color w:val="auto"/>
          <w:highlight w:val="none"/>
        </w:rPr>
      </w:pPr>
      <w:r>
        <w:rPr>
          <w:rFonts w:hint="eastAsia" w:ascii="仿宋" w:hAnsi="仿宋" w:eastAsia="仿宋" w:cs="仿宋"/>
          <w:color w:val="auto"/>
          <w:highlight w:val="none"/>
        </w:rPr>
        <w:t>致：</w:t>
      </w:r>
      <w:r>
        <w:rPr>
          <w:rFonts w:hint="eastAsia" w:ascii="仿宋" w:hAnsi="仿宋" w:eastAsia="仿宋" w:cs="仿宋"/>
          <w:color w:val="auto"/>
          <w:highlight w:val="none"/>
          <w:u w:val="single"/>
        </w:rPr>
        <w:t xml:space="preserve">  （采购人名称）  </w:t>
      </w:r>
      <w:r>
        <w:rPr>
          <w:rFonts w:hint="eastAsia" w:ascii="仿宋" w:hAnsi="仿宋" w:eastAsia="仿宋" w:cs="仿宋"/>
          <w:color w:val="auto"/>
          <w:highlight w:val="none"/>
        </w:rPr>
        <w:t>：</w:t>
      </w:r>
    </w:p>
    <w:p>
      <w:pPr>
        <w:adjustRightInd w:val="0"/>
        <w:snapToGrid w:val="0"/>
        <w:spacing w:line="360" w:lineRule="auto"/>
        <w:ind w:left="-706" w:leftChars="-294" w:right="-586" w:rightChars="-244" w:firstLine="616" w:firstLineChars="257"/>
        <w:rPr>
          <w:rFonts w:hint="eastAsia" w:ascii="仿宋" w:hAnsi="仿宋" w:eastAsia="仿宋" w:cs="仿宋"/>
          <w:color w:val="auto"/>
          <w:highlight w:val="none"/>
        </w:rPr>
      </w:pPr>
      <w:r>
        <w:rPr>
          <w:rFonts w:hint="eastAsia" w:ascii="仿宋" w:hAnsi="仿宋" w:eastAsia="仿宋" w:cs="仿宋"/>
          <w:color w:val="auto"/>
          <w:highlight w:val="none"/>
        </w:rPr>
        <w:t>我方参加</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项目名称）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申报人名称</w:t>
            </w:r>
          </w:p>
        </w:tc>
        <w:tc>
          <w:tcPr>
            <w:tcW w:w="7926" w:type="dxa"/>
            <w:gridSpan w:val="2"/>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法定代表人/单位负责人</w:t>
            </w:r>
          </w:p>
        </w:tc>
        <w:tc>
          <w:tcPr>
            <w:tcW w:w="2434" w:type="dxa"/>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姓    名</w:t>
            </w:r>
          </w:p>
        </w:tc>
        <w:tc>
          <w:tcPr>
            <w:tcW w:w="5492" w:type="dxa"/>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hint="eastAsia" w:ascii="仿宋" w:hAnsi="仿宋" w:eastAsia="仿宋" w:cs="仿宋"/>
                <w:color w:val="auto"/>
                <w:highlight w:val="none"/>
              </w:rPr>
            </w:pPr>
          </w:p>
        </w:tc>
        <w:tc>
          <w:tcPr>
            <w:tcW w:w="2434" w:type="dxa"/>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身份证号</w:t>
            </w:r>
          </w:p>
        </w:tc>
        <w:tc>
          <w:tcPr>
            <w:tcW w:w="5492" w:type="dxa"/>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单位负责人为同一人单位名称</w:t>
            </w:r>
          </w:p>
        </w:tc>
        <w:tc>
          <w:tcPr>
            <w:tcW w:w="7926" w:type="dxa"/>
            <w:gridSpan w:val="2"/>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控股关系</w:t>
            </w:r>
          </w:p>
        </w:tc>
        <w:tc>
          <w:tcPr>
            <w:tcW w:w="2434" w:type="dxa"/>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控股股东/投资人名称及出资比例</w:t>
            </w:r>
          </w:p>
        </w:tc>
        <w:tc>
          <w:tcPr>
            <w:tcW w:w="5492" w:type="dxa"/>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hint="eastAsia" w:ascii="仿宋" w:hAnsi="仿宋" w:eastAsia="仿宋" w:cs="仿宋"/>
                <w:color w:val="auto"/>
                <w:highlight w:val="none"/>
              </w:rPr>
            </w:pPr>
          </w:p>
        </w:tc>
        <w:tc>
          <w:tcPr>
            <w:tcW w:w="2434" w:type="dxa"/>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被控股/被投资单位名称及出资比例</w:t>
            </w:r>
          </w:p>
        </w:tc>
        <w:tc>
          <w:tcPr>
            <w:tcW w:w="5492" w:type="dxa"/>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管理关系</w:t>
            </w:r>
          </w:p>
        </w:tc>
        <w:tc>
          <w:tcPr>
            <w:tcW w:w="2434" w:type="dxa"/>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管理关系单位名称</w:t>
            </w:r>
          </w:p>
        </w:tc>
        <w:tc>
          <w:tcPr>
            <w:tcW w:w="5492" w:type="dxa"/>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hint="eastAsia" w:ascii="仿宋" w:hAnsi="仿宋" w:eastAsia="仿宋" w:cs="仿宋"/>
                <w:color w:val="auto"/>
                <w:highlight w:val="none"/>
              </w:rPr>
            </w:pPr>
          </w:p>
        </w:tc>
        <w:tc>
          <w:tcPr>
            <w:tcW w:w="2434" w:type="dxa"/>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被管理关系单位名称</w:t>
            </w:r>
          </w:p>
        </w:tc>
        <w:tc>
          <w:tcPr>
            <w:tcW w:w="5492" w:type="dxa"/>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备注：</w:t>
            </w:r>
          </w:p>
        </w:tc>
      </w:tr>
    </w:tbl>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注：</w:t>
      </w:r>
    </w:p>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hint="eastAsia" w:ascii="仿宋" w:hAnsi="仿宋" w:eastAsia="仿宋" w:cs="仿宋"/>
          <w:color w:val="auto"/>
          <w:highlight w:val="none"/>
        </w:rPr>
      </w:pPr>
      <w:r>
        <w:rPr>
          <w:rFonts w:hint="eastAsia" w:ascii="仿宋" w:hAnsi="仿宋" w:eastAsia="仿宋" w:cs="仿宋"/>
          <w:color w:val="auto"/>
          <w:highlight w:val="none"/>
        </w:rPr>
        <w:t xml:space="preserve">2.管理关系单位是指与不具有出资持股关系的其他单位之间存在管理与被管理关系的单位； </w:t>
      </w:r>
    </w:p>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3.如未有相关情况，请在相应栏填写“无”。</w:t>
      </w:r>
    </w:p>
    <w:p>
      <w:pPr>
        <w:pStyle w:val="78"/>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2.管理关系单位是指与不具有出资持股关系的其他单位之间存在管理与被管理关系的单位； </w:t>
      </w:r>
    </w:p>
    <w:p>
      <w:pPr>
        <w:pStyle w:val="78"/>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3.如未有相关情况，请在相应栏填写“无”。</w:t>
      </w:r>
    </w:p>
    <w:p>
      <w:pPr>
        <w:spacing w:line="360" w:lineRule="auto"/>
        <w:ind w:left="480" w:hanging="480" w:hangingChars="200"/>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r>
        <w:rPr>
          <w:rFonts w:hint="eastAsia" w:ascii="仿宋" w:hAnsi="仿宋" w:eastAsia="仿宋" w:cs="仿宋"/>
          <w:color w:val="auto"/>
          <w:highlight w:val="none"/>
        </w:rPr>
        <w:br w:type="page"/>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、非联合体比选响应声明</w:t>
      </w:r>
    </w:p>
    <w:bookmarkEnd w:id="165"/>
    <w:bookmarkEnd w:id="166"/>
    <w:p>
      <w:pPr>
        <w:pStyle w:val="2"/>
        <w:spacing w:before="240"/>
        <w:rPr>
          <w:rFonts w:hint="eastAsia" w:ascii="仿宋" w:hAnsi="仿宋" w:eastAsia="仿宋" w:cs="仿宋"/>
          <w:b/>
          <w:bCs/>
          <w:color w:val="auto"/>
          <w:highlight w:val="none"/>
        </w:rPr>
      </w:pPr>
      <w:bookmarkStart w:id="167" w:name="_Toc71192048"/>
      <w:r>
        <w:rPr>
          <w:rFonts w:hint="eastAsia" w:ascii="仿宋" w:hAnsi="仿宋" w:eastAsia="仿宋" w:cs="仿宋"/>
          <w:b/>
          <w:bCs/>
          <w:color w:val="auto"/>
          <w:highlight w:val="none"/>
        </w:rPr>
        <w:t>非联合体比选响应声明</w:t>
      </w:r>
    </w:p>
    <w:p>
      <w:pPr>
        <w:adjustRightInd w:val="0"/>
        <w:snapToGrid w:val="0"/>
        <w:spacing w:before="240" w:line="360" w:lineRule="auto"/>
        <w:rPr>
          <w:rFonts w:hint="eastAsia" w:ascii="仿宋" w:hAnsi="仿宋" w:eastAsia="仿宋" w:cs="仿宋"/>
          <w:color w:val="auto"/>
          <w:highlight w:val="none"/>
        </w:rPr>
      </w:pPr>
      <w:r>
        <w:rPr>
          <w:rFonts w:hint="eastAsia" w:ascii="仿宋" w:hAnsi="仿宋" w:eastAsia="仿宋" w:cs="仿宋"/>
          <w:color w:val="auto"/>
          <w:highlight w:val="none"/>
        </w:rPr>
        <w:t>致：（采购人）：</w:t>
      </w:r>
    </w:p>
    <w:p>
      <w:pPr>
        <w:adjustRightInd w:val="0"/>
        <w:snapToGrid w:val="0"/>
        <w:spacing w:before="24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我方</w:t>
      </w:r>
      <w:r>
        <w:rPr>
          <w:rFonts w:hint="eastAsia" w:ascii="仿宋" w:hAnsi="仿宋" w:eastAsia="仿宋" w:cs="仿宋"/>
          <w:color w:val="auto"/>
          <w:highlight w:val="none"/>
          <w:u w:val="single"/>
        </w:rPr>
        <w:t xml:space="preserve">      （供应商名称）   </w:t>
      </w:r>
      <w:r>
        <w:rPr>
          <w:rFonts w:hint="eastAsia" w:ascii="仿宋" w:hAnsi="仿宋" w:eastAsia="仿宋" w:cs="仿宋"/>
          <w:color w:val="auto"/>
          <w:highlight w:val="none"/>
        </w:rPr>
        <w:t>独立参与</w:t>
      </w:r>
      <w:r>
        <w:rPr>
          <w:rFonts w:hint="eastAsia" w:ascii="仿宋" w:hAnsi="仿宋" w:eastAsia="仿宋" w:cs="仿宋"/>
          <w:color w:val="auto"/>
          <w:highlight w:val="none"/>
          <w:u w:val="single"/>
        </w:rPr>
        <w:t xml:space="preserve">    （项目名称）  </w:t>
      </w:r>
      <w:r>
        <w:rPr>
          <w:rFonts w:hint="eastAsia" w:ascii="仿宋" w:hAnsi="仿宋" w:eastAsia="仿宋" w:cs="仿宋"/>
          <w:color w:val="auto"/>
          <w:highlight w:val="none"/>
        </w:rPr>
        <w:t xml:space="preserve">比选响应，非联合体参与比选响应。 </w:t>
      </w:r>
    </w:p>
    <w:p>
      <w:pPr>
        <w:pStyle w:val="2"/>
        <w:ind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特此声明。</w:t>
      </w:r>
    </w:p>
    <w:p>
      <w:pPr>
        <w:pStyle w:val="76"/>
        <w:ind w:firstLine="640"/>
        <w:rPr>
          <w:rFonts w:hint="eastAsia" w:ascii="仿宋" w:hAnsi="仿宋" w:eastAsia="仿宋" w:cs="仿宋"/>
          <w:color w:val="auto"/>
          <w:highlight w:val="none"/>
        </w:rPr>
      </w:pPr>
    </w:p>
    <w:p>
      <w:pPr>
        <w:pStyle w:val="76"/>
        <w:ind w:firstLine="640"/>
        <w:rPr>
          <w:rFonts w:hint="eastAsia" w:ascii="仿宋" w:hAnsi="仿宋" w:eastAsia="仿宋" w:cs="仿宋"/>
          <w:color w:val="auto"/>
          <w:highlight w:val="none"/>
        </w:rPr>
      </w:pPr>
    </w:p>
    <w:p>
      <w:pPr>
        <w:pStyle w:val="76"/>
        <w:ind w:firstLine="640"/>
        <w:rPr>
          <w:rFonts w:hint="eastAsia" w:ascii="仿宋" w:hAnsi="仿宋" w:eastAsia="仿宋" w:cs="仿宋"/>
          <w:color w:val="auto"/>
          <w:highlight w:val="none"/>
        </w:rPr>
      </w:pPr>
    </w:p>
    <w:p>
      <w:pPr>
        <w:pStyle w:val="76"/>
        <w:ind w:firstLine="640"/>
        <w:rPr>
          <w:rFonts w:hint="eastAsia" w:ascii="仿宋" w:hAnsi="仿宋" w:eastAsia="仿宋" w:cs="仿宋"/>
          <w:color w:val="auto"/>
          <w:highlight w:val="none"/>
        </w:rPr>
      </w:pPr>
    </w:p>
    <w:p>
      <w:pPr>
        <w:pStyle w:val="76"/>
        <w:ind w:firstLine="640"/>
        <w:rPr>
          <w:rFonts w:hint="eastAsia" w:ascii="仿宋" w:hAnsi="仿宋" w:eastAsia="仿宋" w:cs="仿宋"/>
          <w:color w:val="auto"/>
          <w:highlight w:val="none"/>
        </w:rPr>
      </w:pPr>
    </w:p>
    <w:p>
      <w:pPr>
        <w:pStyle w:val="76"/>
        <w:ind w:firstLine="640"/>
        <w:rPr>
          <w:rFonts w:hint="eastAsia" w:ascii="仿宋" w:hAnsi="仿宋" w:eastAsia="仿宋" w:cs="仿宋"/>
          <w:color w:val="auto"/>
          <w:highlight w:val="none"/>
        </w:rPr>
      </w:pPr>
    </w:p>
    <w:p>
      <w:pPr>
        <w:pStyle w:val="76"/>
        <w:ind w:firstLine="640"/>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5"/>
        <w:spacing w:before="0" w:after="0" w:line="360" w:lineRule="auto"/>
        <w:rPr>
          <w:rFonts w:hint="eastAsia" w:ascii="仿宋" w:hAnsi="仿宋" w:eastAsia="仿宋" w:cs="仿宋"/>
          <w:color w:val="auto"/>
          <w:szCs w:val="24"/>
          <w:highlight w:val="none"/>
        </w:rPr>
      </w:pPr>
      <w:bookmarkStart w:id="168" w:name="_Toc18208"/>
      <w:bookmarkStart w:id="169" w:name="_Toc31544"/>
      <w:bookmarkStart w:id="170" w:name="_Toc65683009"/>
      <w:bookmarkStart w:id="171" w:name="_Toc144139212"/>
      <w:bookmarkStart w:id="172" w:name="_Toc112068411"/>
      <w:bookmarkStart w:id="173" w:name="_Toc15130"/>
      <w:r>
        <w:rPr>
          <w:rFonts w:hint="eastAsia" w:ascii="仿宋" w:hAnsi="仿宋" w:eastAsia="仿宋" w:cs="仿宋"/>
          <w:color w:val="auto"/>
          <w:sz w:val="24"/>
          <w:szCs w:val="24"/>
          <w:highlight w:val="none"/>
        </w:rPr>
        <w:t>（五）供应商须知应答偏离表</w:t>
      </w:r>
      <w:bookmarkEnd w:id="168"/>
      <w:bookmarkEnd w:id="169"/>
      <w:bookmarkEnd w:id="170"/>
      <w:bookmarkEnd w:id="171"/>
      <w:bookmarkEnd w:id="172"/>
      <w:bookmarkEnd w:id="173"/>
    </w:p>
    <w:p>
      <w:pPr>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供应商须知应答偏离表</w:t>
      </w:r>
    </w:p>
    <w:p>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285"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条目号</w:t>
            </w:r>
          </w:p>
        </w:tc>
        <w:tc>
          <w:tcPr>
            <w:tcW w:w="2495"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原文内容</w:t>
            </w:r>
          </w:p>
        </w:tc>
        <w:tc>
          <w:tcPr>
            <w:tcW w:w="2704"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应答</w:t>
            </w:r>
          </w:p>
        </w:tc>
        <w:tc>
          <w:tcPr>
            <w:tcW w:w="1408"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bl>
    <w:p>
      <w:pPr>
        <w:spacing w:line="360" w:lineRule="auto"/>
        <w:ind w:left="480" w:hanging="480" w:hangingChars="200"/>
        <w:rPr>
          <w:rFonts w:hint="eastAsia" w:ascii="仿宋" w:hAnsi="仿宋" w:eastAsia="仿宋" w:cs="仿宋"/>
          <w:b/>
          <w:bCs/>
          <w:color w:val="auto"/>
          <w:highlight w:val="none"/>
        </w:rPr>
      </w:pPr>
      <w:r>
        <w:rPr>
          <w:rFonts w:hint="eastAsia" w:ascii="仿宋" w:hAnsi="仿宋" w:eastAsia="仿宋" w:cs="仿宋"/>
          <w:color w:val="auto"/>
          <w:highlight w:val="none"/>
        </w:rPr>
        <w:t>注：所有偏离须在本表中列出，未在本偏离表中列出偏离，将视为供应商已完全接受比选文件要求</w:t>
      </w:r>
      <w:r>
        <w:rPr>
          <w:rFonts w:hint="eastAsia" w:ascii="仿宋" w:hAnsi="仿宋" w:eastAsia="仿宋" w:cs="仿宋"/>
          <w:b/>
          <w:bCs/>
          <w:color w:val="auto"/>
          <w:highlight w:val="none"/>
        </w:rPr>
        <w:t>。如全部满足，在偏离表中应答“全部满足”即可。</w:t>
      </w: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color w:val="auto"/>
          <w:highlight w:val="none"/>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outlineLvl w:val="2"/>
        <w:rPr>
          <w:rFonts w:hint="eastAsia" w:ascii="仿宋" w:hAnsi="仿宋" w:eastAsia="仿宋" w:cs="仿宋"/>
          <w:b/>
          <w:bCs/>
          <w:color w:val="auto"/>
          <w:highlight w:val="none"/>
        </w:rPr>
      </w:pPr>
      <w:bookmarkStart w:id="174" w:name="_Toc1936"/>
      <w:r>
        <w:rPr>
          <w:rFonts w:hint="eastAsia" w:ascii="仿宋" w:hAnsi="仿宋" w:eastAsia="仿宋" w:cs="仿宋"/>
          <w:b/>
          <w:bCs/>
          <w:color w:val="auto"/>
          <w:highlight w:val="none"/>
        </w:rPr>
        <w:t>（六）合同条款应答偏离表</w:t>
      </w:r>
      <w:bookmarkEnd w:id="174"/>
    </w:p>
    <w:p>
      <w:pPr>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合同条款应答偏离表</w:t>
      </w:r>
    </w:p>
    <w:p>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285"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条目号</w:t>
            </w:r>
          </w:p>
        </w:tc>
        <w:tc>
          <w:tcPr>
            <w:tcW w:w="2495"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原文内容</w:t>
            </w:r>
          </w:p>
        </w:tc>
        <w:tc>
          <w:tcPr>
            <w:tcW w:w="2704"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应答</w:t>
            </w:r>
          </w:p>
        </w:tc>
        <w:tc>
          <w:tcPr>
            <w:tcW w:w="1408" w:type="dxa"/>
            <w:vAlign w:val="center"/>
          </w:tcPr>
          <w:p>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仿宋"/>
                <w:color w:val="auto"/>
                <w:szCs w:val="21"/>
                <w:highlight w:val="none"/>
              </w:rPr>
            </w:pPr>
          </w:p>
        </w:tc>
        <w:tc>
          <w:tcPr>
            <w:tcW w:w="2285" w:type="dxa"/>
          </w:tcPr>
          <w:p>
            <w:pPr>
              <w:spacing w:line="360" w:lineRule="auto"/>
              <w:rPr>
                <w:rFonts w:hint="eastAsia" w:ascii="仿宋" w:hAnsi="仿宋" w:eastAsia="仿宋" w:cs="仿宋"/>
                <w:color w:val="auto"/>
                <w:szCs w:val="21"/>
                <w:highlight w:val="none"/>
              </w:rPr>
            </w:pPr>
          </w:p>
        </w:tc>
        <w:tc>
          <w:tcPr>
            <w:tcW w:w="2495" w:type="dxa"/>
          </w:tcPr>
          <w:p>
            <w:pPr>
              <w:spacing w:line="360" w:lineRule="auto"/>
              <w:rPr>
                <w:rFonts w:hint="eastAsia" w:ascii="仿宋" w:hAnsi="仿宋" w:eastAsia="仿宋" w:cs="仿宋"/>
                <w:color w:val="auto"/>
                <w:szCs w:val="21"/>
                <w:highlight w:val="none"/>
              </w:rPr>
            </w:pPr>
          </w:p>
        </w:tc>
        <w:tc>
          <w:tcPr>
            <w:tcW w:w="2704" w:type="dxa"/>
          </w:tcPr>
          <w:p>
            <w:pPr>
              <w:spacing w:line="360" w:lineRule="auto"/>
              <w:rPr>
                <w:rFonts w:hint="eastAsia" w:ascii="仿宋" w:hAnsi="仿宋" w:eastAsia="仿宋" w:cs="仿宋"/>
                <w:color w:val="auto"/>
                <w:szCs w:val="21"/>
                <w:highlight w:val="none"/>
              </w:rPr>
            </w:pPr>
          </w:p>
        </w:tc>
        <w:tc>
          <w:tcPr>
            <w:tcW w:w="1408" w:type="dxa"/>
          </w:tcPr>
          <w:p>
            <w:pPr>
              <w:spacing w:line="360" w:lineRule="auto"/>
              <w:rPr>
                <w:rFonts w:hint="eastAsia" w:ascii="仿宋" w:hAnsi="仿宋" w:eastAsia="仿宋" w:cs="仿宋"/>
                <w:color w:val="auto"/>
                <w:szCs w:val="21"/>
                <w:highlight w:val="none"/>
              </w:rPr>
            </w:pPr>
          </w:p>
        </w:tc>
      </w:tr>
    </w:tbl>
    <w:p>
      <w:pPr>
        <w:spacing w:before="240" w:line="360" w:lineRule="auto"/>
        <w:ind w:left="480" w:hanging="480" w:hangingChars="200"/>
        <w:rPr>
          <w:rFonts w:hint="eastAsia" w:ascii="仿宋" w:hAnsi="仿宋" w:eastAsia="仿宋" w:cs="仿宋"/>
          <w:color w:val="auto"/>
          <w:highlight w:val="none"/>
        </w:rPr>
      </w:pPr>
      <w:r>
        <w:rPr>
          <w:rFonts w:hint="eastAsia" w:ascii="仿宋" w:hAnsi="仿宋" w:eastAsia="仿宋" w:cs="仿宋"/>
          <w:color w:val="auto"/>
          <w:highlight w:val="none"/>
        </w:rPr>
        <w:t>注：所有偏离必须在本表中列出，未在本偏离表中列出偏离，将视为供应商已完全接受比选文件要求；</w:t>
      </w:r>
      <w:r>
        <w:rPr>
          <w:rFonts w:hint="eastAsia" w:ascii="仿宋" w:hAnsi="仿宋" w:eastAsia="仿宋" w:cs="仿宋"/>
          <w:b/>
          <w:bCs/>
          <w:color w:val="auto"/>
          <w:highlight w:val="none"/>
        </w:rPr>
        <w:t>如全部满足，在偏离表中应答“全部满足”即可</w:t>
      </w:r>
      <w:r>
        <w:rPr>
          <w:rFonts w:hint="eastAsia" w:ascii="仿宋" w:hAnsi="仿宋" w:eastAsia="仿宋" w:cs="仿宋"/>
          <w:color w:val="auto"/>
          <w:highlight w:val="none"/>
        </w:rPr>
        <w:t>。</w:t>
      </w:r>
    </w:p>
    <w:p>
      <w:pPr>
        <w:spacing w:line="600" w:lineRule="exact"/>
        <w:rPr>
          <w:rFonts w:hint="eastAsia" w:ascii="仿宋" w:hAnsi="仿宋" w:eastAsia="仿宋" w:cs="仿宋"/>
          <w:color w:val="auto"/>
          <w:szCs w:val="21"/>
          <w:highlight w:val="none"/>
        </w:rPr>
      </w:pPr>
    </w:p>
    <w:p>
      <w:pPr>
        <w:spacing w:line="360" w:lineRule="auto"/>
        <w:ind w:firstLine="420"/>
        <w:jc w:val="right"/>
        <w:rPr>
          <w:rFonts w:hint="eastAsia" w:ascii="仿宋" w:hAnsi="仿宋" w:eastAsia="仿宋" w:cs="仿宋"/>
          <w:color w:val="auto"/>
          <w:highlight w:val="none"/>
        </w:rPr>
      </w:pPr>
    </w:p>
    <w:p>
      <w:pPr>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rPr>
          <w:rFonts w:hint="eastAsia" w:ascii="仿宋" w:hAnsi="仿宋" w:eastAsia="仿宋" w:cs="仿宋"/>
          <w:color w:val="auto"/>
          <w:highlight w:val="none"/>
          <w:u w:val="single"/>
        </w:rPr>
      </w:pPr>
    </w:p>
    <w:p>
      <w:pPr>
        <w:pStyle w:val="5"/>
        <w:spacing w:before="0" w:after="0" w:line="360" w:lineRule="auto"/>
        <w:rPr>
          <w:rFonts w:hint="eastAsia" w:ascii="仿宋" w:hAnsi="仿宋" w:eastAsia="仿宋" w:cs="仿宋"/>
          <w:color w:val="auto"/>
          <w:sz w:val="24"/>
          <w:highlight w:val="none"/>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仿宋"/>
          <w:color w:val="auto"/>
          <w:sz w:val="24"/>
          <w:szCs w:val="24"/>
          <w:highlight w:val="none"/>
        </w:rPr>
        <w:br w:type="page"/>
      </w:r>
    </w:p>
    <w:p>
      <w:pPr>
        <w:pStyle w:val="5"/>
        <w:spacing w:before="0" w:after="0" w:line="360" w:lineRule="auto"/>
        <w:rPr>
          <w:rFonts w:hint="eastAsia" w:ascii="仿宋" w:hAnsi="仿宋" w:eastAsia="仿宋" w:cs="仿宋"/>
          <w:color w:val="auto"/>
          <w:sz w:val="24"/>
          <w:szCs w:val="24"/>
          <w:highlight w:val="none"/>
        </w:rPr>
      </w:pPr>
      <w:bookmarkStart w:id="175" w:name="_Toc29137"/>
      <w:bookmarkStart w:id="176" w:name="_Toc17890"/>
      <w:r>
        <w:rPr>
          <w:rFonts w:hint="eastAsia" w:ascii="仿宋" w:hAnsi="仿宋" w:eastAsia="仿宋" w:cs="仿宋"/>
          <w:color w:val="auto"/>
          <w:sz w:val="24"/>
          <w:szCs w:val="24"/>
          <w:highlight w:val="none"/>
        </w:rPr>
        <w:t>（七）供应商行为准则承诺书</w:t>
      </w:r>
      <w:bookmarkEnd w:id="175"/>
      <w:bookmarkEnd w:id="176"/>
    </w:p>
    <w:p>
      <w:pPr>
        <w:jc w:val="center"/>
        <w:rPr>
          <w:rFonts w:hint="eastAsia" w:ascii="仿宋" w:hAnsi="仿宋" w:eastAsia="仿宋" w:cs="仿宋"/>
          <w:b/>
          <w:bCs/>
          <w:color w:val="auto"/>
          <w:sz w:val="28"/>
          <w:szCs w:val="28"/>
          <w:highlight w:val="none"/>
        </w:rPr>
      </w:pPr>
      <w:bookmarkStart w:id="177" w:name="_Toc15599"/>
      <w:r>
        <w:rPr>
          <w:rFonts w:hint="eastAsia" w:ascii="仿宋" w:hAnsi="仿宋" w:eastAsia="仿宋" w:cs="仿宋"/>
          <w:b/>
          <w:bCs/>
          <w:color w:val="auto"/>
          <w:sz w:val="28"/>
          <w:szCs w:val="28"/>
          <w:highlight w:val="none"/>
        </w:rPr>
        <w:t>供应商行为准则承诺书</w:t>
      </w:r>
    </w:p>
    <w:p>
      <w:pPr>
        <w:spacing w:line="360" w:lineRule="auto"/>
        <w:ind w:firstLine="480" w:firstLineChars="200"/>
        <w:rPr>
          <w:rFonts w:hint="eastAsia" w:ascii="仿宋" w:hAnsi="仿宋" w:eastAsia="仿宋" w:cs="仿宋"/>
          <w:color w:val="auto"/>
          <w:highlight w:val="none"/>
        </w:rPr>
      </w:pP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auto"/>
          <w:highlight w:val="none"/>
        </w:rPr>
      </w:pPr>
      <w:r>
        <w:rPr>
          <w:rFonts w:hint="eastAsia" w:ascii="仿宋" w:hAnsi="仿宋" w:eastAsia="仿宋" w:cs="仿宋"/>
          <w:color w:val="auto"/>
          <w:highlight w:val="none"/>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auto"/>
          <w:highlight w:val="none"/>
        </w:rPr>
      </w:pPr>
      <w:r>
        <w:rPr>
          <w:rFonts w:hint="eastAsia" w:ascii="仿宋" w:hAnsi="仿宋" w:eastAsia="仿宋" w:cs="仿宋"/>
          <w:color w:val="auto"/>
          <w:highlight w:val="none"/>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auto"/>
          <w:highlight w:val="none"/>
        </w:rPr>
      </w:pPr>
      <w:r>
        <w:rPr>
          <w:rFonts w:hint="eastAsia" w:ascii="仿宋" w:hAnsi="仿宋" w:eastAsia="仿宋" w:cs="仿宋"/>
          <w:color w:val="auto"/>
          <w:highlight w:val="none"/>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auto"/>
          <w:highlight w:val="none"/>
        </w:rPr>
      </w:pPr>
      <w:r>
        <w:rPr>
          <w:rFonts w:hint="eastAsia" w:ascii="仿宋" w:hAnsi="仿宋" w:eastAsia="仿宋" w:cs="仿宋"/>
          <w:color w:val="auto"/>
          <w:highlight w:val="none"/>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auto"/>
          <w:highlight w:val="none"/>
        </w:rPr>
      </w:pPr>
      <w:r>
        <w:rPr>
          <w:rFonts w:hint="eastAsia" w:ascii="仿宋" w:hAnsi="仿宋" w:eastAsia="仿宋" w:cs="仿宋"/>
          <w:color w:val="auto"/>
          <w:highlight w:val="none"/>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auto"/>
          <w:highlight w:val="none"/>
        </w:rPr>
      </w:pPr>
      <w:r>
        <w:rPr>
          <w:rFonts w:hint="eastAsia" w:ascii="仿宋" w:hAnsi="仿宋" w:eastAsia="仿宋" w:cs="仿宋"/>
          <w:color w:val="auto"/>
          <w:highlight w:val="none"/>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十三、采购过程中涉及函件往来的，使用供应商以下地址及联系方式：</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法定代表人（负责人）姓名、职务：__________________</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邮编：__________地址：__________________</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电话：__________传真：__________________</w:t>
      </w:r>
    </w:p>
    <w:p>
      <w:pPr>
        <w:pStyle w:val="77"/>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法定代表人（负责人）或授权代表签字：______________</w:t>
      </w:r>
    </w:p>
    <w:p>
      <w:pPr>
        <w:pStyle w:val="5"/>
        <w:spacing w:before="0" w:after="0" w:line="360" w:lineRule="auto"/>
        <w:rPr>
          <w:rFonts w:hint="eastAsia" w:ascii="仿宋" w:hAnsi="仿宋" w:eastAsia="仿宋" w:cs="仿宋"/>
          <w:color w:val="auto"/>
          <w:szCs w:val="24"/>
          <w:highlight w:val="none"/>
        </w:rPr>
      </w:pPr>
      <w:r>
        <w:rPr>
          <w:rFonts w:hint="eastAsia" w:ascii="仿宋" w:hAnsi="仿宋" w:eastAsia="仿宋" w:cs="仿宋"/>
          <w:color w:val="auto"/>
          <w:highlight w:val="none"/>
        </w:rPr>
        <w:br w:type="page"/>
      </w:r>
      <w:bookmarkStart w:id="178" w:name="_Toc6880"/>
      <w:bookmarkStart w:id="179" w:name="_Toc8068"/>
      <w:r>
        <w:rPr>
          <w:rFonts w:hint="eastAsia" w:ascii="仿宋" w:hAnsi="仿宋" w:eastAsia="仿宋" w:cs="仿宋"/>
          <w:bCs w:val="0"/>
          <w:color w:val="auto"/>
          <w:sz w:val="24"/>
          <w:szCs w:val="24"/>
          <w:highlight w:val="none"/>
        </w:rPr>
        <w:t>（八）供应商廉洁诚信承诺书</w:t>
      </w:r>
      <w:bookmarkEnd w:id="177"/>
      <w:bookmarkEnd w:id="178"/>
      <w:bookmarkEnd w:id="179"/>
    </w:p>
    <w:p>
      <w:pPr>
        <w:spacing w:line="60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供应商廉洁诚信承诺书</w:t>
      </w:r>
    </w:p>
    <w:p>
      <w:pPr>
        <w:spacing w:line="360" w:lineRule="auto"/>
        <w:ind w:firstLine="480" w:firstLineChars="200"/>
        <w:rPr>
          <w:rFonts w:hint="eastAsia" w:ascii="仿宋" w:hAnsi="仿宋" w:eastAsia="仿宋" w:cs="仿宋"/>
          <w:color w:val="auto"/>
          <w:highlight w:val="none"/>
        </w:rPr>
      </w:pP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三、廉洁自律承诺。我们坚决不以任何形式为获取或意图获取交易机会、竞争优势或谋取不正当利益而向中国人民保险或相关主体实施商业贿赂或营私舞弊行为，包括但不限于：</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（2）为其安排有可能影响公平、公正交易的宴请、健身、娱乐等活动；</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（3）为其投资入股、个人借款或买卖股票、债券等提供方便；</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（4）为其购买或装修住房、婚丧嫁娶、配偶子女上学或工作安排以及出国出境、旅游等提供方便；</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（5）违反规定为其在我方相关企业工作、挂名兼职、合伙经营、介绍承揽业务等提供方便；</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（6）向其提供借款、融资、担保等；</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（7）给予或承诺给予其不正当利益的其他行为；</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（8）其他违反国家法律法规或商业道德准则的影响公正交易的行为。</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我们也不会以任何方式向中国人民保险或相关主体索要金钱、实物等不正当利益，或收受中国人保或相关主体给予的金钱、实物等不正当利益。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四、诚实信用承诺。我们坚决不进行任何违背诚实信用原则的行为，包括但不限于：</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出借、转让资质证书；</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伙同他人串标、围标或非法排挤竞争对手；</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（4）隐瞒任何可能对贵方利益造成影响的信息，不配合贵方的审计。</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（3）建立举报制度：鼓励员工积极举报违规行为，对举报人予以保护并给予奖励。</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八、如违反上述承诺，我方自愿承担以下法律责任：</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（1）如我方及我方工作人员违反本承诺书承诺，中国人民保险有权依据其采购管理、供应商管理和采购文件相关要求，对我方进行严肃处理，相关处罚结果记入供应商诚信档案；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（2）如我方及我方工作人员违反本承诺书承诺，中国人民保险及其子公司等所有关联主体有权限制或取消我方在中国人民保险参与采购项目的资格；</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（3）如我方及我方工作人员违反本承诺书承诺，中国人民保险及其子公司等所有关联主体有权选择单方全面终止与我方的合同及合作而无需承担任何责任；</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仿宋"/>
          <w:color w:val="auto"/>
          <w:highlight w:val="none"/>
        </w:rPr>
      </w:pP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本承诺书自承诺方签字和盖章之日起生效。如我方成功中选中国人民保险采购项目，将按中国人民保险管理要求签署廉洁诚信协议作为采购合同附件，并严格遵守协议相关条款。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仿宋"/>
          <w:color w:val="auto"/>
          <w:highlight w:val="none"/>
        </w:rPr>
      </w:pPr>
    </w:p>
    <w:p>
      <w:pPr>
        <w:tabs>
          <w:tab w:val="left" w:pos="458"/>
        </w:tabs>
        <w:spacing w:line="360" w:lineRule="auto"/>
        <w:ind w:firstLine="3578" w:firstLineChars="1491"/>
        <w:rPr>
          <w:rFonts w:hint="eastAsia"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3578" w:firstLineChars="1491"/>
        <w:rPr>
          <w:rFonts w:hint="eastAsia" w:ascii="仿宋" w:hAnsi="仿宋" w:eastAsia="仿宋" w:cs="仿宋"/>
          <w:color w:val="auto"/>
          <w:highlight w:val="none"/>
        </w:rPr>
      </w:pPr>
      <w:r>
        <w:rPr>
          <w:rFonts w:hint="eastAsia" w:ascii="仿宋" w:hAnsi="仿宋" w:eastAsia="仿宋" w:cs="仿宋"/>
          <w:color w:val="auto"/>
          <w:highlight w:val="none"/>
        </w:rPr>
        <w:t>法定代表人姓名、职务：__________________</w:t>
      </w:r>
    </w:p>
    <w:p>
      <w:pPr>
        <w:spacing w:line="360" w:lineRule="auto"/>
        <w:ind w:firstLine="3578" w:firstLineChars="1491"/>
        <w:rPr>
          <w:rFonts w:hint="eastAsia" w:ascii="仿宋" w:hAnsi="仿宋" w:eastAsia="仿宋" w:cs="仿宋"/>
          <w:color w:val="auto"/>
          <w:highlight w:val="none"/>
        </w:rPr>
      </w:pPr>
      <w:r>
        <w:rPr>
          <w:rFonts w:hint="eastAsia" w:ascii="仿宋" w:hAnsi="仿宋" w:eastAsia="仿宋" w:cs="仿宋"/>
          <w:color w:val="auto"/>
          <w:highlight w:val="none"/>
        </w:rPr>
        <w:t>法定代表人或授权代表签字：______________</w:t>
      </w:r>
    </w:p>
    <w:p>
      <w:pPr>
        <w:spacing w:line="360" w:lineRule="auto"/>
        <w:ind w:firstLine="3578" w:firstLineChars="1491"/>
        <w:rPr>
          <w:rFonts w:hint="eastAsia" w:ascii="仿宋" w:hAnsi="仿宋" w:eastAsia="仿宋" w:cs="仿宋"/>
          <w:color w:val="auto"/>
          <w:highlight w:val="none"/>
        </w:rPr>
      </w:pPr>
      <w:r>
        <w:rPr>
          <w:rFonts w:hint="eastAsia" w:ascii="仿宋" w:hAnsi="仿宋" w:eastAsia="仿宋" w:cs="仿宋"/>
          <w:color w:val="auto"/>
          <w:highlight w:val="none"/>
        </w:rPr>
        <w:t>日期：__________________________________</w:t>
      </w:r>
      <w:r>
        <w:rPr>
          <w:rFonts w:hint="eastAsia" w:ascii="仿宋" w:hAnsi="仿宋" w:eastAsia="仿宋" w:cs="仿宋"/>
          <w:color w:val="auto"/>
          <w:highlight w:val="none"/>
        </w:rPr>
        <w:br w:type="page"/>
      </w:r>
    </w:p>
    <w:p>
      <w:pPr>
        <w:pStyle w:val="5"/>
        <w:spacing w:before="0" w:after="0" w:line="360" w:lineRule="auto"/>
        <w:rPr>
          <w:rFonts w:hint="eastAsia" w:ascii="仿宋" w:hAnsi="仿宋" w:eastAsia="仿宋" w:cs="仿宋"/>
          <w:bCs w:val="0"/>
          <w:color w:val="auto"/>
          <w:sz w:val="21"/>
          <w:szCs w:val="24"/>
          <w:highlight w:val="none"/>
        </w:rPr>
      </w:pPr>
      <w:bookmarkStart w:id="180" w:name="_Toc26411"/>
      <w:r>
        <w:rPr>
          <w:rFonts w:hint="eastAsia" w:ascii="仿宋" w:hAnsi="仿宋" w:eastAsia="仿宋" w:cs="仿宋"/>
          <w:color w:val="auto"/>
          <w:sz w:val="24"/>
          <w:highlight w:val="none"/>
          <w:lang w:val="en-US" w:eastAsia="zh-CN"/>
        </w:rPr>
        <w:t>（九</w:t>
      </w:r>
      <w:r>
        <w:rPr>
          <w:rFonts w:hint="eastAsia" w:ascii="仿宋" w:hAnsi="仿宋" w:eastAsia="仿宋" w:cs="仿宋"/>
          <w:color w:val="auto"/>
          <w:sz w:val="24"/>
          <w:highlight w:val="none"/>
        </w:rPr>
        <w:t>）其他材料</w:t>
      </w:r>
      <w:bookmarkEnd w:id="180"/>
    </w:p>
    <w:p>
      <w:pPr>
        <w:spacing w:line="360" w:lineRule="auto"/>
        <w:rPr>
          <w:rFonts w:hint="eastAsia" w:ascii="仿宋" w:hAnsi="仿宋" w:eastAsia="仿宋" w:cs="仿宋"/>
          <w:color w:val="auto"/>
          <w:szCs w:val="21"/>
          <w:highlight w:val="none"/>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仿宋"/>
          <w:color w:val="auto"/>
          <w:highlight w:val="none"/>
        </w:rPr>
        <w:t>供应商认为需提供的其他材料。</w:t>
      </w:r>
    </w:p>
    <w:bookmarkEnd w:id="167"/>
    <w:p>
      <w:pPr>
        <w:pStyle w:val="4"/>
        <w:jc w:val="both"/>
        <w:rPr>
          <w:rFonts w:hint="eastAsia" w:ascii="仿宋" w:hAnsi="仿宋" w:eastAsia="仿宋" w:cs="仿宋"/>
          <w:color w:val="auto"/>
          <w:sz w:val="24"/>
          <w:szCs w:val="24"/>
          <w:highlight w:val="none"/>
        </w:rPr>
      </w:pPr>
      <w:bookmarkStart w:id="181" w:name="_Toc28436"/>
      <w:bookmarkStart w:id="182" w:name="_Toc28698"/>
      <w:r>
        <w:rPr>
          <w:rFonts w:hint="eastAsia" w:ascii="仿宋" w:hAnsi="仿宋" w:eastAsia="仿宋" w:cs="仿宋"/>
          <w:color w:val="auto"/>
          <w:sz w:val="24"/>
          <w:szCs w:val="24"/>
          <w:highlight w:val="none"/>
        </w:rPr>
        <w:t>二、技术文件</w:t>
      </w:r>
      <w:bookmarkEnd w:id="181"/>
      <w:bookmarkEnd w:id="182"/>
    </w:p>
    <w:p>
      <w:pPr>
        <w:jc w:val="center"/>
        <w:rPr>
          <w:rFonts w:hint="eastAsia" w:ascii="仿宋" w:hAnsi="仿宋" w:eastAsia="仿宋" w:cs="仿宋"/>
          <w:b/>
          <w:bCs/>
          <w:color w:val="auto"/>
          <w:highlight w:val="none"/>
        </w:rPr>
      </w:pPr>
      <w:bookmarkStart w:id="183" w:name="_Toc30870"/>
      <w:bookmarkStart w:id="184" w:name="_Toc23108"/>
      <w:r>
        <w:rPr>
          <w:rFonts w:hint="eastAsia" w:ascii="仿宋" w:hAnsi="仿宋" w:eastAsia="仿宋" w:cs="仿宋"/>
          <w:b/>
          <w:bCs/>
          <w:color w:val="auto"/>
          <w:highlight w:val="none"/>
        </w:rPr>
        <w:t>详细评审索引表</w:t>
      </w:r>
      <w:bookmarkEnd w:id="183"/>
      <w:r>
        <w:rPr>
          <w:rFonts w:hint="eastAsia" w:ascii="仿宋" w:hAnsi="仿宋" w:eastAsia="仿宋" w:cs="仿宋"/>
          <w:color w:val="auto"/>
          <w:highlight w:val="none"/>
        </w:rPr>
        <w:t>（可以根据项目实际情况选择是否设置）</w:t>
      </w:r>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bidi="ar"/>
              </w:rPr>
              <w:t>序号</w:t>
            </w:r>
          </w:p>
        </w:tc>
        <w:tc>
          <w:tcPr>
            <w:tcW w:w="1696" w:type="dxa"/>
            <w:tcMar>
              <w:top w:w="15" w:type="dxa"/>
              <w:left w:w="15" w:type="dxa"/>
              <w:right w:w="15" w:type="dxa"/>
            </w:tcMar>
            <w:vAlign w:val="center"/>
          </w:tcPr>
          <w:p>
            <w:pPr>
              <w:jc w:val="center"/>
              <w:rPr>
                <w:rFonts w:hint="eastAsia" w:ascii="仿宋" w:hAnsi="仿宋" w:eastAsia="仿宋" w:cs="仿宋"/>
                <w:b/>
                <w:color w:val="auto"/>
                <w:szCs w:val="21"/>
                <w:highlight w:val="none"/>
                <w:lang w:bidi="ar"/>
              </w:rPr>
            </w:pPr>
            <w:r>
              <w:rPr>
                <w:rFonts w:hint="eastAsia" w:ascii="仿宋" w:hAnsi="仿宋" w:eastAsia="仿宋" w:cs="仿宋"/>
                <w:b/>
                <w:bCs/>
                <w:color w:val="auto"/>
                <w:szCs w:val="21"/>
                <w:highlight w:val="none"/>
              </w:rPr>
              <w:t>评审项</w:t>
            </w:r>
          </w:p>
        </w:tc>
        <w:tc>
          <w:tcPr>
            <w:tcW w:w="2268" w:type="dxa"/>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bidi="ar"/>
              </w:rPr>
              <w:t>评审因素</w:t>
            </w:r>
          </w:p>
        </w:tc>
        <w:tc>
          <w:tcPr>
            <w:tcW w:w="4820" w:type="dxa"/>
            <w:tcMar>
              <w:top w:w="15" w:type="dxa"/>
              <w:left w:w="15" w:type="dxa"/>
              <w:right w:w="15" w:type="dxa"/>
            </w:tcMar>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3</w:t>
            </w:r>
          </w:p>
        </w:tc>
        <w:tc>
          <w:tcPr>
            <w:tcW w:w="1696" w:type="dxa"/>
            <w:vMerge w:val="restart"/>
            <w:tcMar>
              <w:top w:w="15" w:type="dxa"/>
              <w:left w:w="15" w:type="dxa"/>
              <w:right w:w="15" w:type="dxa"/>
            </w:tcMar>
            <w:vAlign w:val="center"/>
          </w:tcPr>
          <w:p>
            <w:pPr>
              <w:jc w:val="center"/>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技术得分</w:t>
            </w:r>
          </w:p>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rPr>
              <w:t>（XX分）</w:t>
            </w:r>
          </w:p>
        </w:tc>
        <w:tc>
          <w:tcPr>
            <w:tcW w:w="2268" w:type="dxa"/>
            <w:vAlign w:val="center"/>
          </w:tcPr>
          <w:p>
            <w:pPr>
              <w:jc w:val="center"/>
              <w:rPr>
                <w:rFonts w:hint="eastAsia" w:ascii="仿宋" w:hAnsi="仿宋" w:eastAsia="仿宋" w:cs="仿宋"/>
                <w:color w:val="auto"/>
                <w:szCs w:val="21"/>
                <w:highlight w:val="none"/>
              </w:rPr>
            </w:pPr>
          </w:p>
        </w:tc>
        <w:tc>
          <w:tcPr>
            <w:tcW w:w="4820" w:type="dxa"/>
            <w:tcMar>
              <w:top w:w="15" w:type="dxa"/>
              <w:left w:w="15" w:type="dxa"/>
              <w:right w:w="15" w:type="dxa"/>
            </w:tcMar>
            <w:vAlign w:val="center"/>
          </w:tcPr>
          <w:p>
            <w:pPr>
              <w:rPr>
                <w:rStyle w:val="75"/>
                <w:rFonts w:hint="eastAsia" w:ascii="仿宋" w:hAnsi="仿宋" w:eastAsia="仿宋" w:cs="仿宋"/>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4</w:t>
            </w:r>
          </w:p>
        </w:tc>
        <w:tc>
          <w:tcPr>
            <w:tcW w:w="1696" w:type="dxa"/>
            <w:vMerge w:val="continue"/>
            <w:tcMar>
              <w:top w:w="15" w:type="dxa"/>
              <w:left w:w="15" w:type="dxa"/>
              <w:right w:w="15" w:type="dxa"/>
            </w:tcMar>
            <w:vAlign w:val="center"/>
          </w:tcPr>
          <w:p>
            <w:pPr>
              <w:jc w:val="center"/>
              <w:textAlignment w:val="center"/>
              <w:rPr>
                <w:rFonts w:hint="eastAsia" w:ascii="仿宋" w:hAnsi="仿宋" w:eastAsia="仿宋" w:cs="仿宋"/>
                <w:color w:val="auto"/>
                <w:szCs w:val="21"/>
                <w:highlight w:val="none"/>
              </w:rPr>
            </w:pPr>
          </w:p>
        </w:tc>
        <w:tc>
          <w:tcPr>
            <w:tcW w:w="2268" w:type="dxa"/>
            <w:vAlign w:val="center"/>
          </w:tcPr>
          <w:p>
            <w:pPr>
              <w:jc w:val="center"/>
              <w:textAlignment w:val="center"/>
              <w:rPr>
                <w:rFonts w:hint="eastAsia" w:ascii="仿宋" w:hAnsi="仿宋" w:eastAsia="仿宋" w:cs="仿宋"/>
                <w:color w:val="auto"/>
                <w:szCs w:val="21"/>
                <w:highlight w:val="none"/>
              </w:rPr>
            </w:pPr>
          </w:p>
        </w:tc>
        <w:tc>
          <w:tcPr>
            <w:tcW w:w="4820" w:type="dxa"/>
            <w:tcMar>
              <w:top w:w="15" w:type="dxa"/>
              <w:left w:w="15" w:type="dxa"/>
              <w:right w:w="15" w:type="dxa"/>
            </w:tcMar>
            <w:vAlign w:val="center"/>
          </w:tcPr>
          <w:p>
            <w:pPr>
              <w:rPr>
                <w:rStyle w:val="75"/>
                <w:rFonts w:hint="eastAsia" w:ascii="仿宋" w:hAnsi="仿宋" w:eastAsia="仿宋" w:cs="仿宋"/>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5</w:t>
            </w:r>
          </w:p>
        </w:tc>
        <w:tc>
          <w:tcPr>
            <w:tcW w:w="1696" w:type="dxa"/>
            <w:vMerge w:val="continue"/>
            <w:tcMar>
              <w:top w:w="15" w:type="dxa"/>
              <w:left w:w="15" w:type="dxa"/>
              <w:right w:w="15" w:type="dxa"/>
            </w:tcMar>
            <w:vAlign w:val="center"/>
          </w:tcPr>
          <w:p>
            <w:pPr>
              <w:jc w:val="center"/>
              <w:textAlignment w:val="center"/>
              <w:rPr>
                <w:rFonts w:hint="eastAsia" w:ascii="仿宋" w:hAnsi="仿宋" w:eastAsia="仿宋" w:cs="仿宋"/>
                <w:color w:val="auto"/>
                <w:szCs w:val="21"/>
                <w:highlight w:val="none"/>
              </w:rPr>
            </w:pPr>
          </w:p>
        </w:tc>
        <w:tc>
          <w:tcPr>
            <w:tcW w:w="2268" w:type="dxa"/>
            <w:vAlign w:val="center"/>
          </w:tcPr>
          <w:p>
            <w:pPr>
              <w:jc w:val="center"/>
              <w:textAlignment w:val="center"/>
              <w:rPr>
                <w:rFonts w:hint="eastAsia" w:ascii="仿宋" w:hAnsi="仿宋" w:eastAsia="仿宋" w:cs="仿宋"/>
                <w:color w:val="auto"/>
                <w:szCs w:val="21"/>
                <w:highlight w:val="none"/>
              </w:rPr>
            </w:pPr>
          </w:p>
        </w:tc>
        <w:tc>
          <w:tcPr>
            <w:tcW w:w="4820" w:type="dxa"/>
            <w:tcMar>
              <w:top w:w="15" w:type="dxa"/>
              <w:left w:w="15" w:type="dxa"/>
              <w:right w:w="15" w:type="dxa"/>
            </w:tcMar>
            <w:vAlign w:val="center"/>
          </w:tcPr>
          <w:p>
            <w:pPr>
              <w:rPr>
                <w:rStyle w:val="75"/>
                <w:rFonts w:hint="eastAsia" w:ascii="仿宋" w:hAnsi="仿宋" w:eastAsia="仿宋" w:cs="仿宋"/>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6</w:t>
            </w:r>
          </w:p>
        </w:tc>
        <w:tc>
          <w:tcPr>
            <w:tcW w:w="1696" w:type="dxa"/>
            <w:vMerge w:val="continue"/>
            <w:tcMar>
              <w:top w:w="15" w:type="dxa"/>
              <w:left w:w="15" w:type="dxa"/>
              <w:right w:w="15" w:type="dxa"/>
            </w:tcMar>
            <w:vAlign w:val="center"/>
          </w:tcPr>
          <w:p>
            <w:pPr>
              <w:jc w:val="center"/>
              <w:textAlignment w:val="center"/>
              <w:rPr>
                <w:rFonts w:hint="eastAsia" w:ascii="仿宋" w:hAnsi="仿宋" w:eastAsia="仿宋" w:cs="仿宋"/>
                <w:color w:val="auto"/>
                <w:szCs w:val="21"/>
                <w:highlight w:val="none"/>
              </w:rPr>
            </w:pPr>
          </w:p>
        </w:tc>
        <w:tc>
          <w:tcPr>
            <w:tcW w:w="2268" w:type="dxa"/>
            <w:vAlign w:val="center"/>
          </w:tcPr>
          <w:p>
            <w:pPr>
              <w:jc w:val="center"/>
              <w:textAlignment w:val="center"/>
              <w:rPr>
                <w:rFonts w:hint="eastAsia" w:ascii="仿宋" w:hAnsi="仿宋" w:eastAsia="仿宋" w:cs="仿宋"/>
                <w:color w:val="auto"/>
                <w:szCs w:val="21"/>
                <w:highlight w:val="none"/>
              </w:rPr>
            </w:pPr>
          </w:p>
        </w:tc>
        <w:tc>
          <w:tcPr>
            <w:tcW w:w="4820" w:type="dxa"/>
            <w:tcMar>
              <w:top w:w="15" w:type="dxa"/>
              <w:left w:w="15" w:type="dxa"/>
              <w:right w:w="15" w:type="dxa"/>
            </w:tcMar>
            <w:vAlign w:val="center"/>
          </w:tcPr>
          <w:p>
            <w:pPr>
              <w:rPr>
                <w:rStyle w:val="75"/>
                <w:rFonts w:hint="eastAsia" w:ascii="仿宋" w:hAnsi="仿宋" w:eastAsia="仿宋" w:cs="仿宋"/>
                <w:color w:val="auto"/>
                <w:highlight w:val="none"/>
                <w:lang w:bidi="ar"/>
              </w:rPr>
            </w:pP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5"/>
        <w:spacing w:before="0" w:after="0" w:line="360" w:lineRule="auto"/>
        <w:rPr>
          <w:rFonts w:hint="eastAsia" w:ascii="仿宋" w:hAnsi="仿宋" w:eastAsia="仿宋" w:cs="仿宋"/>
          <w:color w:val="auto"/>
          <w:sz w:val="24"/>
          <w:szCs w:val="24"/>
          <w:highlight w:val="none"/>
        </w:rPr>
      </w:pPr>
      <w:bookmarkStart w:id="185" w:name="_Toc1899"/>
      <w:bookmarkStart w:id="186" w:name="_Toc17302"/>
      <w:r>
        <w:rPr>
          <w:rFonts w:hint="eastAsia" w:ascii="仿宋" w:hAnsi="仿宋" w:eastAsia="仿宋" w:cs="仿宋"/>
          <w:color w:val="auto"/>
          <w:sz w:val="24"/>
          <w:szCs w:val="24"/>
          <w:highlight w:val="none"/>
        </w:rPr>
        <w:t>（一）采购需求应答偏离表</w:t>
      </w:r>
      <w:bookmarkEnd w:id="184"/>
      <w:bookmarkEnd w:id="185"/>
      <w:bookmarkEnd w:id="186"/>
    </w:p>
    <w:p>
      <w:pPr>
        <w:spacing w:line="360" w:lineRule="auto"/>
        <w:jc w:val="center"/>
        <w:rPr>
          <w:rFonts w:hint="eastAsia" w:ascii="仿宋" w:hAnsi="仿宋" w:eastAsia="仿宋" w:cs="仿宋"/>
          <w:b/>
          <w:bCs/>
          <w:color w:val="auto"/>
          <w:highlight w:val="none"/>
        </w:rPr>
      </w:pPr>
      <w:bookmarkStart w:id="187" w:name="_Toc293297544"/>
      <w:bookmarkStart w:id="188" w:name="_Toc125771198"/>
      <w:bookmarkStart w:id="189" w:name="_Toc125561188"/>
      <w:r>
        <w:rPr>
          <w:rFonts w:hint="eastAsia" w:ascii="仿宋" w:hAnsi="仿宋" w:eastAsia="仿宋" w:cs="仿宋"/>
          <w:b/>
          <w:bCs/>
          <w:color w:val="auto"/>
          <w:highlight w:val="none"/>
        </w:rPr>
        <w:t>采购需求应答偏离表</w:t>
      </w:r>
      <w:bookmarkEnd w:id="187"/>
      <w:bookmarkEnd w:id="188"/>
      <w:bookmarkEnd w:id="189"/>
    </w:p>
    <w:p>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hint="eastAsia" w:ascii="仿宋" w:hAnsi="仿宋" w:eastAsia="仿宋" w:cs="仿宋"/>
                <w:color w:val="auto"/>
                <w:szCs w:val="21"/>
                <w:highlight w:val="none"/>
              </w:rPr>
            </w:pPr>
          </w:p>
        </w:tc>
      </w:tr>
    </w:tbl>
    <w:p>
      <w:pPr>
        <w:spacing w:before="240" w:line="360" w:lineRule="auto"/>
        <w:rPr>
          <w:rFonts w:hint="eastAsia" w:ascii="仿宋" w:hAnsi="仿宋" w:eastAsia="仿宋" w:cs="仿宋"/>
          <w:color w:val="auto"/>
          <w:highlight w:val="none"/>
        </w:rPr>
      </w:pPr>
      <w:r>
        <w:rPr>
          <w:rFonts w:hint="eastAsia" w:ascii="仿宋" w:hAnsi="仿宋" w:eastAsia="仿宋" w:cs="仿宋"/>
          <w:color w:val="auto"/>
          <w:highlight w:val="none"/>
        </w:rPr>
        <w:t>注：对于未列出的偏离内容视同供应商已完全接受比选文件的要求，</w:t>
      </w:r>
      <w:r>
        <w:rPr>
          <w:rFonts w:hint="eastAsia" w:ascii="仿宋" w:hAnsi="仿宋" w:eastAsia="仿宋" w:cs="仿宋"/>
          <w:b/>
          <w:bCs/>
          <w:color w:val="auto"/>
          <w:highlight w:val="none"/>
        </w:rPr>
        <w:t>如全部满足，在偏离表中应答“全部满足”即可</w:t>
      </w:r>
      <w:r>
        <w:rPr>
          <w:rFonts w:hint="eastAsia" w:ascii="仿宋" w:hAnsi="仿宋" w:eastAsia="仿宋" w:cs="仿宋"/>
          <w:color w:val="auto"/>
          <w:highlight w:val="none"/>
        </w:rPr>
        <w:t>。</w:t>
      </w:r>
    </w:p>
    <w:p>
      <w:pPr>
        <w:spacing w:line="360" w:lineRule="auto"/>
        <w:ind w:left="480" w:hanging="480" w:hangingChars="200"/>
        <w:rPr>
          <w:rFonts w:hint="eastAsia" w:ascii="仿宋" w:hAnsi="仿宋" w:eastAsia="仿宋" w:cs="仿宋"/>
          <w:color w:val="auto"/>
          <w:highlight w:val="none"/>
        </w:rPr>
      </w:pPr>
    </w:p>
    <w:p>
      <w:pPr>
        <w:spacing w:line="440" w:lineRule="exact"/>
        <w:ind w:firstLine="4080" w:firstLineChars="1700"/>
        <w:jc w:val="right"/>
        <w:rPr>
          <w:rFonts w:hint="eastAsia" w:ascii="仿宋" w:hAnsi="仿宋" w:eastAsia="仿宋" w:cs="仿宋"/>
          <w:color w:val="auto"/>
          <w:highlight w:val="none"/>
        </w:rPr>
      </w:pPr>
    </w:p>
    <w:p>
      <w:pPr>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rPr>
          <w:rFonts w:hint="eastAsia" w:ascii="仿宋" w:hAnsi="仿宋" w:eastAsia="仿宋" w:cs="仿宋"/>
          <w:color w:val="auto"/>
          <w:highlight w:val="none"/>
        </w:rPr>
      </w:pPr>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190" w:name="_Toc8284"/>
      <w:bookmarkStart w:id="191" w:name="_Toc2791"/>
      <w:r>
        <w:rPr>
          <w:rFonts w:hint="eastAsia" w:ascii="仿宋" w:hAnsi="仿宋" w:eastAsia="仿宋" w:cs="仿宋"/>
          <w:color w:val="auto"/>
          <w:sz w:val="24"/>
          <w:szCs w:val="24"/>
          <w:highlight w:val="none"/>
        </w:rPr>
        <w:t>（二）技术方案</w:t>
      </w:r>
      <w:bookmarkEnd w:id="190"/>
      <w:bookmarkEnd w:id="191"/>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 xml:space="preserve">供应商应根据采购需求的要求，提供相应的文件内容以及证明材料。 </w:t>
      </w:r>
      <w:bookmarkStart w:id="192" w:name="_Toc517281860"/>
      <w:bookmarkStart w:id="193" w:name="_Toc444891358"/>
      <w:r>
        <w:rPr>
          <w:rFonts w:hint="eastAsia" w:ascii="仿宋" w:hAnsi="仿宋" w:eastAsia="仿宋" w:cs="仿宋"/>
          <w:color w:val="auto"/>
          <w:highlight w:val="none"/>
        </w:rPr>
        <w:br w:type="page"/>
      </w:r>
    </w:p>
    <w:p>
      <w:pPr>
        <w:pStyle w:val="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1、拟派服务团队成员汇总表</w:t>
      </w:r>
    </w:p>
    <w:p>
      <w:pPr>
        <w:pStyle w:val="6"/>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（可以根据项目实际情况选择是否设置）</w:t>
      </w:r>
    </w:p>
    <w:tbl>
      <w:tblPr>
        <w:tblStyle w:val="2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260" w:type="dxa"/>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姓名</w:t>
            </w:r>
          </w:p>
        </w:tc>
        <w:tc>
          <w:tcPr>
            <w:tcW w:w="851" w:type="dxa"/>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学历</w:t>
            </w:r>
          </w:p>
        </w:tc>
        <w:tc>
          <w:tcPr>
            <w:tcW w:w="980" w:type="dxa"/>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专业资质</w:t>
            </w:r>
          </w:p>
        </w:tc>
        <w:tc>
          <w:tcPr>
            <w:tcW w:w="992" w:type="dxa"/>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工作年限</w:t>
            </w:r>
          </w:p>
        </w:tc>
        <w:tc>
          <w:tcPr>
            <w:tcW w:w="1276" w:type="dxa"/>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本项目职务</w:t>
            </w:r>
          </w:p>
        </w:tc>
        <w:tc>
          <w:tcPr>
            <w:tcW w:w="1134" w:type="dxa"/>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服务内容</w:t>
            </w:r>
          </w:p>
        </w:tc>
        <w:tc>
          <w:tcPr>
            <w:tcW w:w="1695" w:type="dxa"/>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260" w:type="dxa"/>
            <w:vAlign w:val="center"/>
          </w:tcPr>
          <w:p>
            <w:pPr>
              <w:snapToGrid w:val="0"/>
              <w:spacing w:line="360" w:lineRule="auto"/>
              <w:jc w:val="center"/>
              <w:rPr>
                <w:rFonts w:hint="eastAsia" w:ascii="仿宋" w:hAnsi="仿宋" w:eastAsia="仿宋" w:cs="仿宋"/>
                <w:color w:val="auto"/>
                <w:szCs w:val="21"/>
                <w:highlight w:val="none"/>
              </w:rPr>
            </w:pPr>
          </w:p>
        </w:tc>
        <w:tc>
          <w:tcPr>
            <w:tcW w:w="851" w:type="dxa"/>
          </w:tcPr>
          <w:p>
            <w:pPr>
              <w:snapToGrid w:val="0"/>
              <w:spacing w:line="360" w:lineRule="auto"/>
              <w:jc w:val="center"/>
              <w:rPr>
                <w:rFonts w:hint="eastAsia" w:ascii="仿宋" w:hAnsi="仿宋" w:eastAsia="仿宋" w:cs="仿宋"/>
                <w:color w:val="auto"/>
                <w:szCs w:val="21"/>
                <w:highlight w:val="none"/>
              </w:rPr>
            </w:pPr>
          </w:p>
        </w:tc>
        <w:tc>
          <w:tcPr>
            <w:tcW w:w="980" w:type="dxa"/>
            <w:vAlign w:val="center"/>
          </w:tcPr>
          <w:p>
            <w:pPr>
              <w:snapToGrid w:val="0"/>
              <w:spacing w:line="360" w:lineRule="auto"/>
              <w:jc w:val="center"/>
              <w:rPr>
                <w:rFonts w:hint="eastAsia" w:ascii="仿宋" w:hAnsi="仿宋" w:eastAsia="仿宋" w:cs="仿宋"/>
                <w:color w:val="auto"/>
                <w:szCs w:val="21"/>
                <w:highlight w:val="none"/>
              </w:rPr>
            </w:pPr>
          </w:p>
        </w:tc>
        <w:tc>
          <w:tcPr>
            <w:tcW w:w="992" w:type="dxa"/>
            <w:vAlign w:val="center"/>
          </w:tcPr>
          <w:p>
            <w:pPr>
              <w:snapToGrid w:val="0"/>
              <w:spacing w:line="360" w:lineRule="auto"/>
              <w:jc w:val="center"/>
              <w:rPr>
                <w:rFonts w:hint="eastAsia" w:ascii="仿宋" w:hAnsi="仿宋" w:eastAsia="仿宋" w:cs="仿宋"/>
                <w:color w:val="auto"/>
                <w:szCs w:val="21"/>
                <w:highlight w:val="none"/>
              </w:rPr>
            </w:pPr>
          </w:p>
        </w:tc>
        <w:tc>
          <w:tcPr>
            <w:tcW w:w="1276" w:type="dxa"/>
            <w:vAlign w:val="center"/>
          </w:tcPr>
          <w:p>
            <w:pPr>
              <w:snapToGrid w:val="0"/>
              <w:spacing w:line="360" w:lineRule="auto"/>
              <w:jc w:val="center"/>
              <w:rPr>
                <w:rFonts w:hint="eastAsia" w:ascii="仿宋" w:hAnsi="仿宋" w:eastAsia="仿宋" w:cs="仿宋"/>
                <w:color w:val="auto"/>
                <w:szCs w:val="21"/>
                <w:highlight w:val="none"/>
              </w:rPr>
            </w:pPr>
          </w:p>
        </w:tc>
        <w:tc>
          <w:tcPr>
            <w:tcW w:w="1134" w:type="dxa"/>
            <w:vAlign w:val="center"/>
          </w:tcPr>
          <w:p>
            <w:pPr>
              <w:snapToGrid w:val="0"/>
              <w:spacing w:line="360" w:lineRule="auto"/>
              <w:jc w:val="center"/>
              <w:rPr>
                <w:rFonts w:hint="eastAsia" w:ascii="仿宋" w:hAnsi="仿宋" w:eastAsia="仿宋" w:cs="仿宋"/>
                <w:color w:val="auto"/>
                <w:szCs w:val="21"/>
                <w:highlight w:val="none"/>
              </w:rPr>
            </w:pPr>
          </w:p>
        </w:tc>
        <w:tc>
          <w:tcPr>
            <w:tcW w:w="1695" w:type="dxa"/>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260" w:type="dxa"/>
            <w:vAlign w:val="center"/>
          </w:tcPr>
          <w:p>
            <w:pPr>
              <w:snapToGrid w:val="0"/>
              <w:spacing w:line="360" w:lineRule="auto"/>
              <w:jc w:val="center"/>
              <w:rPr>
                <w:rFonts w:hint="eastAsia" w:ascii="仿宋" w:hAnsi="仿宋" w:eastAsia="仿宋" w:cs="仿宋"/>
                <w:color w:val="auto"/>
                <w:szCs w:val="21"/>
                <w:highlight w:val="none"/>
              </w:rPr>
            </w:pPr>
          </w:p>
        </w:tc>
        <w:tc>
          <w:tcPr>
            <w:tcW w:w="851" w:type="dxa"/>
          </w:tcPr>
          <w:p>
            <w:pPr>
              <w:snapToGrid w:val="0"/>
              <w:spacing w:line="360" w:lineRule="auto"/>
              <w:jc w:val="center"/>
              <w:rPr>
                <w:rFonts w:hint="eastAsia" w:ascii="仿宋" w:hAnsi="仿宋" w:eastAsia="仿宋" w:cs="仿宋"/>
                <w:color w:val="auto"/>
                <w:szCs w:val="21"/>
                <w:highlight w:val="none"/>
              </w:rPr>
            </w:pPr>
          </w:p>
        </w:tc>
        <w:tc>
          <w:tcPr>
            <w:tcW w:w="980" w:type="dxa"/>
            <w:vAlign w:val="center"/>
          </w:tcPr>
          <w:p>
            <w:pPr>
              <w:snapToGrid w:val="0"/>
              <w:spacing w:line="360" w:lineRule="auto"/>
              <w:jc w:val="center"/>
              <w:rPr>
                <w:rFonts w:hint="eastAsia" w:ascii="仿宋" w:hAnsi="仿宋" w:eastAsia="仿宋" w:cs="仿宋"/>
                <w:color w:val="auto"/>
                <w:szCs w:val="21"/>
                <w:highlight w:val="none"/>
              </w:rPr>
            </w:pPr>
          </w:p>
        </w:tc>
        <w:tc>
          <w:tcPr>
            <w:tcW w:w="992" w:type="dxa"/>
            <w:vAlign w:val="center"/>
          </w:tcPr>
          <w:p>
            <w:pPr>
              <w:snapToGrid w:val="0"/>
              <w:spacing w:line="360" w:lineRule="auto"/>
              <w:jc w:val="center"/>
              <w:rPr>
                <w:rFonts w:hint="eastAsia" w:ascii="仿宋" w:hAnsi="仿宋" w:eastAsia="仿宋" w:cs="仿宋"/>
                <w:color w:val="auto"/>
                <w:szCs w:val="21"/>
                <w:highlight w:val="none"/>
              </w:rPr>
            </w:pPr>
          </w:p>
        </w:tc>
        <w:tc>
          <w:tcPr>
            <w:tcW w:w="1276" w:type="dxa"/>
            <w:vAlign w:val="center"/>
          </w:tcPr>
          <w:p>
            <w:pPr>
              <w:snapToGrid w:val="0"/>
              <w:spacing w:line="360" w:lineRule="auto"/>
              <w:jc w:val="center"/>
              <w:rPr>
                <w:rFonts w:hint="eastAsia" w:ascii="仿宋" w:hAnsi="仿宋" w:eastAsia="仿宋" w:cs="仿宋"/>
                <w:color w:val="auto"/>
                <w:szCs w:val="21"/>
                <w:highlight w:val="none"/>
              </w:rPr>
            </w:pPr>
          </w:p>
        </w:tc>
        <w:tc>
          <w:tcPr>
            <w:tcW w:w="1134" w:type="dxa"/>
            <w:vAlign w:val="center"/>
          </w:tcPr>
          <w:p>
            <w:pPr>
              <w:snapToGrid w:val="0"/>
              <w:spacing w:line="360" w:lineRule="auto"/>
              <w:jc w:val="center"/>
              <w:rPr>
                <w:rFonts w:hint="eastAsia" w:ascii="仿宋" w:hAnsi="仿宋" w:eastAsia="仿宋" w:cs="仿宋"/>
                <w:color w:val="auto"/>
                <w:szCs w:val="21"/>
                <w:highlight w:val="none"/>
              </w:rPr>
            </w:pPr>
          </w:p>
        </w:tc>
        <w:tc>
          <w:tcPr>
            <w:tcW w:w="1695" w:type="dxa"/>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260" w:type="dxa"/>
            <w:vAlign w:val="center"/>
          </w:tcPr>
          <w:p>
            <w:pPr>
              <w:snapToGrid w:val="0"/>
              <w:spacing w:line="360" w:lineRule="auto"/>
              <w:jc w:val="center"/>
              <w:rPr>
                <w:rFonts w:hint="eastAsia" w:ascii="仿宋" w:hAnsi="仿宋" w:eastAsia="仿宋" w:cs="仿宋"/>
                <w:color w:val="auto"/>
                <w:szCs w:val="21"/>
                <w:highlight w:val="none"/>
              </w:rPr>
            </w:pPr>
          </w:p>
        </w:tc>
        <w:tc>
          <w:tcPr>
            <w:tcW w:w="851" w:type="dxa"/>
          </w:tcPr>
          <w:p>
            <w:pPr>
              <w:snapToGrid w:val="0"/>
              <w:spacing w:line="360" w:lineRule="auto"/>
              <w:jc w:val="center"/>
              <w:rPr>
                <w:rFonts w:hint="eastAsia" w:ascii="仿宋" w:hAnsi="仿宋" w:eastAsia="仿宋" w:cs="仿宋"/>
                <w:color w:val="auto"/>
                <w:szCs w:val="21"/>
                <w:highlight w:val="none"/>
              </w:rPr>
            </w:pPr>
          </w:p>
        </w:tc>
        <w:tc>
          <w:tcPr>
            <w:tcW w:w="980" w:type="dxa"/>
            <w:vAlign w:val="center"/>
          </w:tcPr>
          <w:p>
            <w:pPr>
              <w:snapToGrid w:val="0"/>
              <w:spacing w:line="360" w:lineRule="auto"/>
              <w:jc w:val="center"/>
              <w:rPr>
                <w:rFonts w:hint="eastAsia" w:ascii="仿宋" w:hAnsi="仿宋" w:eastAsia="仿宋" w:cs="仿宋"/>
                <w:color w:val="auto"/>
                <w:szCs w:val="21"/>
                <w:highlight w:val="none"/>
              </w:rPr>
            </w:pPr>
          </w:p>
        </w:tc>
        <w:tc>
          <w:tcPr>
            <w:tcW w:w="992" w:type="dxa"/>
            <w:vAlign w:val="center"/>
          </w:tcPr>
          <w:p>
            <w:pPr>
              <w:snapToGrid w:val="0"/>
              <w:spacing w:line="360" w:lineRule="auto"/>
              <w:jc w:val="center"/>
              <w:rPr>
                <w:rFonts w:hint="eastAsia" w:ascii="仿宋" w:hAnsi="仿宋" w:eastAsia="仿宋" w:cs="仿宋"/>
                <w:color w:val="auto"/>
                <w:szCs w:val="21"/>
                <w:highlight w:val="none"/>
              </w:rPr>
            </w:pPr>
          </w:p>
        </w:tc>
        <w:tc>
          <w:tcPr>
            <w:tcW w:w="1276" w:type="dxa"/>
            <w:vAlign w:val="center"/>
          </w:tcPr>
          <w:p>
            <w:pPr>
              <w:snapToGrid w:val="0"/>
              <w:spacing w:line="360" w:lineRule="auto"/>
              <w:jc w:val="center"/>
              <w:rPr>
                <w:rFonts w:hint="eastAsia" w:ascii="仿宋" w:hAnsi="仿宋" w:eastAsia="仿宋" w:cs="仿宋"/>
                <w:color w:val="auto"/>
                <w:szCs w:val="21"/>
                <w:highlight w:val="none"/>
              </w:rPr>
            </w:pPr>
          </w:p>
        </w:tc>
        <w:tc>
          <w:tcPr>
            <w:tcW w:w="1134" w:type="dxa"/>
            <w:vAlign w:val="center"/>
          </w:tcPr>
          <w:p>
            <w:pPr>
              <w:snapToGrid w:val="0"/>
              <w:spacing w:line="360" w:lineRule="auto"/>
              <w:jc w:val="center"/>
              <w:rPr>
                <w:rFonts w:hint="eastAsia" w:ascii="仿宋" w:hAnsi="仿宋" w:eastAsia="仿宋" w:cs="仿宋"/>
                <w:color w:val="auto"/>
                <w:szCs w:val="21"/>
                <w:highlight w:val="none"/>
              </w:rPr>
            </w:pPr>
          </w:p>
        </w:tc>
        <w:tc>
          <w:tcPr>
            <w:tcW w:w="1695" w:type="dxa"/>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1260" w:type="dxa"/>
            <w:vAlign w:val="center"/>
          </w:tcPr>
          <w:p>
            <w:pPr>
              <w:snapToGrid w:val="0"/>
              <w:spacing w:line="360" w:lineRule="auto"/>
              <w:jc w:val="center"/>
              <w:rPr>
                <w:rFonts w:hint="eastAsia" w:ascii="仿宋" w:hAnsi="仿宋" w:eastAsia="仿宋" w:cs="仿宋"/>
                <w:color w:val="auto"/>
                <w:szCs w:val="21"/>
                <w:highlight w:val="none"/>
              </w:rPr>
            </w:pPr>
          </w:p>
        </w:tc>
        <w:tc>
          <w:tcPr>
            <w:tcW w:w="851" w:type="dxa"/>
          </w:tcPr>
          <w:p>
            <w:pPr>
              <w:snapToGrid w:val="0"/>
              <w:spacing w:line="360" w:lineRule="auto"/>
              <w:jc w:val="center"/>
              <w:rPr>
                <w:rFonts w:hint="eastAsia" w:ascii="仿宋" w:hAnsi="仿宋" w:eastAsia="仿宋" w:cs="仿宋"/>
                <w:color w:val="auto"/>
                <w:szCs w:val="21"/>
                <w:highlight w:val="none"/>
              </w:rPr>
            </w:pPr>
          </w:p>
        </w:tc>
        <w:tc>
          <w:tcPr>
            <w:tcW w:w="980" w:type="dxa"/>
            <w:vAlign w:val="center"/>
          </w:tcPr>
          <w:p>
            <w:pPr>
              <w:snapToGrid w:val="0"/>
              <w:spacing w:line="360" w:lineRule="auto"/>
              <w:jc w:val="center"/>
              <w:rPr>
                <w:rFonts w:hint="eastAsia" w:ascii="仿宋" w:hAnsi="仿宋" w:eastAsia="仿宋" w:cs="仿宋"/>
                <w:color w:val="auto"/>
                <w:szCs w:val="21"/>
                <w:highlight w:val="none"/>
              </w:rPr>
            </w:pPr>
          </w:p>
        </w:tc>
        <w:tc>
          <w:tcPr>
            <w:tcW w:w="992" w:type="dxa"/>
            <w:vAlign w:val="center"/>
          </w:tcPr>
          <w:p>
            <w:pPr>
              <w:snapToGrid w:val="0"/>
              <w:spacing w:line="360" w:lineRule="auto"/>
              <w:jc w:val="center"/>
              <w:rPr>
                <w:rFonts w:hint="eastAsia" w:ascii="仿宋" w:hAnsi="仿宋" w:eastAsia="仿宋" w:cs="仿宋"/>
                <w:color w:val="auto"/>
                <w:szCs w:val="21"/>
                <w:highlight w:val="none"/>
              </w:rPr>
            </w:pPr>
          </w:p>
        </w:tc>
        <w:tc>
          <w:tcPr>
            <w:tcW w:w="1276" w:type="dxa"/>
            <w:vAlign w:val="center"/>
          </w:tcPr>
          <w:p>
            <w:pPr>
              <w:snapToGrid w:val="0"/>
              <w:spacing w:line="360" w:lineRule="auto"/>
              <w:jc w:val="center"/>
              <w:rPr>
                <w:rFonts w:hint="eastAsia" w:ascii="仿宋" w:hAnsi="仿宋" w:eastAsia="仿宋" w:cs="仿宋"/>
                <w:color w:val="auto"/>
                <w:szCs w:val="21"/>
                <w:highlight w:val="none"/>
              </w:rPr>
            </w:pPr>
          </w:p>
        </w:tc>
        <w:tc>
          <w:tcPr>
            <w:tcW w:w="1134" w:type="dxa"/>
            <w:vAlign w:val="center"/>
          </w:tcPr>
          <w:p>
            <w:pPr>
              <w:snapToGrid w:val="0"/>
              <w:spacing w:line="360" w:lineRule="auto"/>
              <w:jc w:val="center"/>
              <w:rPr>
                <w:rFonts w:hint="eastAsia" w:ascii="仿宋" w:hAnsi="仿宋" w:eastAsia="仿宋" w:cs="仿宋"/>
                <w:color w:val="auto"/>
                <w:szCs w:val="21"/>
                <w:highlight w:val="none"/>
              </w:rPr>
            </w:pPr>
          </w:p>
        </w:tc>
        <w:tc>
          <w:tcPr>
            <w:tcW w:w="1695" w:type="dxa"/>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vAlign w:val="center"/>
          </w:tcPr>
          <w:p>
            <w:pPr>
              <w:snapToGrid w:val="0"/>
              <w:spacing w:line="360" w:lineRule="auto"/>
              <w:jc w:val="center"/>
              <w:rPr>
                <w:rFonts w:hint="eastAsia" w:ascii="仿宋" w:hAnsi="仿宋" w:eastAsia="仿宋" w:cs="仿宋"/>
                <w:color w:val="auto"/>
                <w:szCs w:val="21"/>
                <w:highlight w:val="none"/>
              </w:rPr>
            </w:pPr>
          </w:p>
        </w:tc>
        <w:tc>
          <w:tcPr>
            <w:tcW w:w="851" w:type="dxa"/>
          </w:tcPr>
          <w:p>
            <w:pPr>
              <w:snapToGrid w:val="0"/>
              <w:spacing w:line="360" w:lineRule="auto"/>
              <w:jc w:val="center"/>
              <w:rPr>
                <w:rFonts w:hint="eastAsia" w:ascii="仿宋" w:hAnsi="仿宋" w:eastAsia="仿宋" w:cs="仿宋"/>
                <w:color w:val="auto"/>
                <w:szCs w:val="21"/>
                <w:highlight w:val="none"/>
              </w:rPr>
            </w:pPr>
          </w:p>
        </w:tc>
        <w:tc>
          <w:tcPr>
            <w:tcW w:w="980" w:type="dxa"/>
            <w:vAlign w:val="center"/>
          </w:tcPr>
          <w:p>
            <w:pPr>
              <w:snapToGrid w:val="0"/>
              <w:spacing w:line="360" w:lineRule="auto"/>
              <w:jc w:val="center"/>
              <w:rPr>
                <w:rFonts w:hint="eastAsia" w:ascii="仿宋" w:hAnsi="仿宋" w:eastAsia="仿宋" w:cs="仿宋"/>
                <w:color w:val="auto"/>
                <w:szCs w:val="21"/>
                <w:highlight w:val="none"/>
              </w:rPr>
            </w:pPr>
          </w:p>
        </w:tc>
        <w:tc>
          <w:tcPr>
            <w:tcW w:w="992" w:type="dxa"/>
            <w:vAlign w:val="center"/>
          </w:tcPr>
          <w:p>
            <w:pPr>
              <w:snapToGrid w:val="0"/>
              <w:spacing w:line="360" w:lineRule="auto"/>
              <w:jc w:val="center"/>
              <w:rPr>
                <w:rFonts w:hint="eastAsia" w:ascii="仿宋" w:hAnsi="仿宋" w:eastAsia="仿宋" w:cs="仿宋"/>
                <w:color w:val="auto"/>
                <w:szCs w:val="21"/>
                <w:highlight w:val="none"/>
              </w:rPr>
            </w:pPr>
          </w:p>
        </w:tc>
        <w:tc>
          <w:tcPr>
            <w:tcW w:w="1276" w:type="dxa"/>
            <w:vAlign w:val="center"/>
          </w:tcPr>
          <w:p>
            <w:pPr>
              <w:snapToGrid w:val="0"/>
              <w:spacing w:line="360" w:lineRule="auto"/>
              <w:jc w:val="center"/>
              <w:rPr>
                <w:rFonts w:hint="eastAsia" w:ascii="仿宋" w:hAnsi="仿宋" w:eastAsia="仿宋" w:cs="仿宋"/>
                <w:color w:val="auto"/>
                <w:szCs w:val="21"/>
                <w:highlight w:val="none"/>
              </w:rPr>
            </w:pPr>
          </w:p>
        </w:tc>
        <w:tc>
          <w:tcPr>
            <w:tcW w:w="1134" w:type="dxa"/>
            <w:vAlign w:val="center"/>
          </w:tcPr>
          <w:p>
            <w:pPr>
              <w:snapToGrid w:val="0"/>
              <w:spacing w:line="360" w:lineRule="auto"/>
              <w:jc w:val="center"/>
              <w:rPr>
                <w:rFonts w:hint="eastAsia" w:ascii="仿宋" w:hAnsi="仿宋" w:eastAsia="仿宋" w:cs="仿宋"/>
                <w:color w:val="auto"/>
                <w:szCs w:val="21"/>
                <w:highlight w:val="none"/>
              </w:rPr>
            </w:pPr>
          </w:p>
        </w:tc>
        <w:tc>
          <w:tcPr>
            <w:tcW w:w="1695" w:type="dxa"/>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vAlign w:val="center"/>
          </w:tcPr>
          <w:p>
            <w:pPr>
              <w:snapToGrid w:val="0"/>
              <w:spacing w:line="360" w:lineRule="auto"/>
              <w:jc w:val="center"/>
              <w:rPr>
                <w:rFonts w:hint="eastAsia" w:ascii="仿宋" w:hAnsi="仿宋" w:eastAsia="仿宋" w:cs="仿宋"/>
                <w:color w:val="auto"/>
                <w:szCs w:val="21"/>
                <w:highlight w:val="none"/>
              </w:rPr>
            </w:pPr>
          </w:p>
        </w:tc>
        <w:tc>
          <w:tcPr>
            <w:tcW w:w="851" w:type="dxa"/>
          </w:tcPr>
          <w:p>
            <w:pPr>
              <w:snapToGrid w:val="0"/>
              <w:spacing w:line="360" w:lineRule="auto"/>
              <w:jc w:val="center"/>
              <w:rPr>
                <w:rFonts w:hint="eastAsia" w:ascii="仿宋" w:hAnsi="仿宋" w:eastAsia="仿宋" w:cs="仿宋"/>
                <w:color w:val="auto"/>
                <w:szCs w:val="21"/>
                <w:highlight w:val="none"/>
              </w:rPr>
            </w:pPr>
          </w:p>
        </w:tc>
        <w:tc>
          <w:tcPr>
            <w:tcW w:w="980" w:type="dxa"/>
            <w:vAlign w:val="center"/>
          </w:tcPr>
          <w:p>
            <w:pPr>
              <w:snapToGrid w:val="0"/>
              <w:spacing w:line="360" w:lineRule="auto"/>
              <w:jc w:val="center"/>
              <w:rPr>
                <w:rFonts w:hint="eastAsia" w:ascii="仿宋" w:hAnsi="仿宋" w:eastAsia="仿宋" w:cs="仿宋"/>
                <w:color w:val="auto"/>
                <w:szCs w:val="21"/>
                <w:highlight w:val="none"/>
              </w:rPr>
            </w:pPr>
          </w:p>
        </w:tc>
        <w:tc>
          <w:tcPr>
            <w:tcW w:w="992" w:type="dxa"/>
            <w:vAlign w:val="center"/>
          </w:tcPr>
          <w:p>
            <w:pPr>
              <w:snapToGrid w:val="0"/>
              <w:spacing w:line="360" w:lineRule="auto"/>
              <w:jc w:val="center"/>
              <w:rPr>
                <w:rFonts w:hint="eastAsia" w:ascii="仿宋" w:hAnsi="仿宋" w:eastAsia="仿宋" w:cs="仿宋"/>
                <w:color w:val="auto"/>
                <w:szCs w:val="21"/>
                <w:highlight w:val="none"/>
              </w:rPr>
            </w:pPr>
          </w:p>
        </w:tc>
        <w:tc>
          <w:tcPr>
            <w:tcW w:w="1276" w:type="dxa"/>
            <w:vAlign w:val="center"/>
          </w:tcPr>
          <w:p>
            <w:pPr>
              <w:snapToGrid w:val="0"/>
              <w:spacing w:line="360" w:lineRule="auto"/>
              <w:jc w:val="center"/>
              <w:rPr>
                <w:rFonts w:hint="eastAsia" w:ascii="仿宋" w:hAnsi="仿宋" w:eastAsia="仿宋" w:cs="仿宋"/>
                <w:color w:val="auto"/>
                <w:szCs w:val="21"/>
                <w:highlight w:val="none"/>
              </w:rPr>
            </w:pPr>
          </w:p>
        </w:tc>
        <w:tc>
          <w:tcPr>
            <w:tcW w:w="1134" w:type="dxa"/>
            <w:vAlign w:val="center"/>
          </w:tcPr>
          <w:p>
            <w:pPr>
              <w:snapToGrid w:val="0"/>
              <w:spacing w:line="360" w:lineRule="auto"/>
              <w:jc w:val="center"/>
              <w:rPr>
                <w:rFonts w:hint="eastAsia" w:ascii="仿宋" w:hAnsi="仿宋" w:eastAsia="仿宋" w:cs="仿宋"/>
                <w:color w:val="auto"/>
                <w:szCs w:val="21"/>
                <w:highlight w:val="none"/>
              </w:rPr>
            </w:pPr>
          </w:p>
        </w:tc>
        <w:tc>
          <w:tcPr>
            <w:tcW w:w="1695" w:type="dxa"/>
            <w:vAlign w:val="center"/>
          </w:tcPr>
          <w:p>
            <w:pPr>
              <w:snapToGrid w:val="0"/>
              <w:spacing w:line="360" w:lineRule="auto"/>
              <w:jc w:val="center"/>
              <w:rPr>
                <w:rFonts w:hint="eastAsia" w:ascii="仿宋" w:hAnsi="仿宋" w:eastAsia="仿宋" w:cs="仿宋"/>
                <w:color w:val="auto"/>
                <w:szCs w:val="21"/>
                <w:highlight w:val="none"/>
              </w:rPr>
            </w:pPr>
          </w:p>
        </w:tc>
      </w:tr>
    </w:tbl>
    <w:p>
      <w:pPr>
        <w:adjustRightInd w:val="0"/>
        <w:snapToGrid w:val="0"/>
        <w:spacing w:before="240" w:line="360" w:lineRule="auto"/>
        <w:ind w:firstLine="482" w:firstLineChars="200"/>
        <w:rPr>
          <w:rFonts w:hint="eastAsia" w:ascii="仿宋" w:hAnsi="仿宋" w:eastAsia="仿宋" w:cs="仿宋"/>
          <w:b/>
          <w:bCs/>
          <w:color w:val="auto"/>
          <w:highlight w:val="none"/>
        </w:rPr>
      </w:pPr>
      <w:r>
        <w:rPr>
          <w:rFonts w:hint="eastAsia" w:ascii="仿宋" w:hAnsi="仿宋" w:eastAsia="仿宋" w:cs="仿宋"/>
          <w:b/>
          <w:bCs/>
          <w:color w:val="auto"/>
          <w:highlight w:val="none"/>
        </w:rPr>
        <w:t>注：需按照采购需求中的相关要求，列明本项目服务团队所有人员信息及职责分工。</w:t>
      </w: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6"/>
        <w:spacing w:before="0" w:after="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2、拟派团队成员简历表</w:t>
      </w:r>
    </w:p>
    <w:p>
      <w:pPr>
        <w:rPr>
          <w:rFonts w:hint="eastAsia" w:ascii="仿宋" w:hAnsi="仿宋" w:eastAsia="仿宋" w:cs="仿宋"/>
          <w:color w:val="auto"/>
          <w:highlight w:val="none"/>
        </w:rPr>
      </w:pPr>
      <w:r>
        <w:rPr>
          <w:rFonts w:hint="eastAsia" w:ascii="仿宋" w:hAnsi="仿宋" w:eastAsia="仿宋" w:cs="仿宋"/>
          <w:color w:val="auto"/>
          <w:highlight w:val="none"/>
        </w:rPr>
        <w:t>（可以根据项目实际情况选择是否设置）</w:t>
      </w:r>
    </w:p>
    <w:tbl>
      <w:tblPr>
        <w:tblStyle w:val="29"/>
        <w:tblpPr w:leftFromText="180" w:rightFromText="180" w:vertAnchor="text" w:horzAnchor="page" w:tblpX="1429" w:tblpY="34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姓  名</w:t>
            </w:r>
          </w:p>
        </w:tc>
        <w:tc>
          <w:tcPr>
            <w:tcW w:w="1680" w:type="dxa"/>
            <w:gridSpan w:val="3"/>
            <w:vAlign w:val="center"/>
          </w:tcPr>
          <w:p>
            <w:pPr>
              <w:jc w:val="center"/>
              <w:rPr>
                <w:rFonts w:hint="eastAsia" w:ascii="仿宋" w:hAnsi="仿宋" w:eastAsia="仿宋" w:cs="仿宋"/>
                <w:color w:val="auto"/>
                <w:highlight w:val="none"/>
              </w:rPr>
            </w:pPr>
          </w:p>
        </w:tc>
        <w:tc>
          <w:tcPr>
            <w:tcW w:w="945" w:type="dxa"/>
            <w:gridSpan w:val="2"/>
            <w:vAlign w:val="center"/>
          </w:tcPr>
          <w:p>
            <w:pPr>
              <w:rPr>
                <w:rFonts w:hint="eastAsia" w:ascii="仿宋" w:hAnsi="仿宋" w:eastAsia="仿宋" w:cs="仿宋"/>
                <w:color w:val="auto"/>
                <w:highlight w:val="none"/>
              </w:rPr>
            </w:pPr>
            <w:r>
              <w:rPr>
                <w:rFonts w:hint="eastAsia" w:ascii="仿宋" w:hAnsi="仿宋" w:eastAsia="仿宋" w:cs="仿宋"/>
                <w:color w:val="auto"/>
                <w:highlight w:val="none"/>
              </w:rPr>
              <w:t>性 别</w:t>
            </w:r>
          </w:p>
        </w:tc>
        <w:tc>
          <w:tcPr>
            <w:tcW w:w="945" w:type="dxa"/>
            <w:vAlign w:val="center"/>
          </w:tcPr>
          <w:p>
            <w:pPr>
              <w:rPr>
                <w:rFonts w:hint="eastAsia" w:ascii="仿宋" w:hAnsi="仿宋" w:eastAsia="仿宋" w:cs="仿宋"/>
                <w:color w:val="auto"/>
                <w:highlight w:val="none"/>
              </w:rPr>
            </w:pPr>
          </w:p>
        </w:tc>
        <w:tc>
          <w:tcPr>
            <w:tcW w:w="1854" w:type="dxa"/>
            <w:gridSpan w:val="2"/>
            <w:vAlign w:val="center"/>
          </w:tcPr>
          <w:p>
            <w:pPr>
              <w:rPr>
                <w:rFonts w:hint="eastAsia" w:ascii="仿宋" w:hAnsi="仿宋" w:eastAsia="仿宋" w:cs="仿宋"/>
                <w:color w:val="auto"/>
                <w:highlight w:val="none"/>
              </w:rPr>
            </w:pPr>
            <w:r>
              <w:rPr>
                <w:rFonts w:hint="eastAsia" w:ascii="仿宋" w:hAnsi="仿宋" w:eastAsia="仿宋" w:cs="仿宋"/>
                <w:color w:val="auto"/>
                <w:highlight w:val="none"/>
              </w:rPr>
              <w:t>出 生 日 期</w:t>
            </w:r>
          </w:p>
        </w:tc>
        <w:tc>
          <w:tcPr>
            <w:tcW w:w="2694" w:type="dxa"/>
            <w:vAlign w:val="center"/>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rPr>
                <w:rFonts w:hint="eastAsia" w:ascii="仿宋" w:hAnsi="仿宋" w:eastAsia="仿宋" w:cs="仿宋"/>
                <w:color w:val="auto"/>
                <w:highlight w:val="none"/>
              </w:rPr>
            </w:pPr>
            <w:r>
              <w:rPr>
                <w:rFonts w:hint="eastAsia" w:ascii="仿宋" w:hAnsi="仿宋" w:eastAsia="仿宋" w:cs="仿宋"/>
                <w:color w:val="auto"/>
                <w:highlight w:val="none"/>
              </w:rPr>
              <w:t>毕业院校及专业</w:t>
            </w:r>
          </w:p>
        </w:tc>
        <w:tc>
          <w:tcPr>
            <w:tcW w:w="3570" w:type="dxa"/>
            <w:gridSpan w:val="6"/>
            <w:vAlign w:val="center"/>
          </w:tcPr>
          <w:p>
            <w:pPr>
              <w:rPr>
                <w:rFonts w:hint="eastAsia" w:ascii="仿宋" w:hAnsi="仿宋" w:eastAsia="仿宋" w:cs="仿宋"/>
                <w:color w:val="auto"/>
                <w:highlight w:val="none"/>
              </w:rPr>
            </w:pPr>
          </w:p>
        </w:tc>
        <w:tc>
          <w:tcPr>
            <w:tcW w:w="1854" w:type="dxa"/>
            <w:gridSpan w:val="2"/>
            <w:vAlign w:val="center"/>
          </w:tcPr>
          <w:p>
            <w:pPr>
              <w:ind w:left="-18"/>
              <w:jc w:val="center"/>
              <w:rPr>
                <w:rFonts w:hint="eastAsia" w:ascii="仿宋" w:hAnsi="仿宋" w:eastAsia="仿宋" w:cs="仿宋"/>
                <w:color w:val="auto"/>
                <w:highlight w:val="none"/>
              </w:rPr>
            </w:pPr>
            <w:r>
              <w:rPr>
                <w:rFonts w:hint="eastAsia" w:ascii="仿宋" w:hAnsi="仿宋" w:eastAsia="仿宋" w:cs="仿宋"/>
                <w:color w:val="auto"/>
                <w:highlight w:val="none"/>
              </w:rPr>
              <w:t>学历</w:t>
            </w:r>
          </w:p>
        </w:tc>
        <w:tc>
          <w:tcPr>
            <w:tcW w:w="2694" w:type="dxa"/>
            <w:vAlign w:val="center"/>
          </w:tcPr>
          <w:p>
            <w:pPr>
              <w:ind w:left="45"/>
              <w:rPr>
                <w:rFonts w:hint="eastAsia" w:ascii="仿宋" w:hAnsi="仿宋" w:eastAsia="仿宋" w:cs="仿宋"/>
                <w:color w:val="auto"/>
                <w:highlight w:val="none"/>
              </w:rPr>
            </w:pPr>
            <w:r>
              <w:rPr>
                <w:rFonts w:hint="eastAsia" w:ascii="仿宋" w:hAnsi="仿宋" w:eastAsia="仿宋" w:cs="仿宋"/>
                <w:color w:val="auto"/>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工作年限</w:t>
            </w:r>
          </w:p>
        </w:tc>
        <w:tc>
          <w:tcPr>
            <w:tcW w:w="1974" w:type="dxa"/>
            <w:gridSpan w:val="2"/>
            <w:vAlign w:val="center"/>
          </w:tcPr>
          <w:p>
            <w:pPr>
              <w:rPr>
                <w:rFonts w:hint="eastAsia" w:ascii="仿宋" w:hAnsi="仿宋" w:eastAsia="仿宋" w:cs="仿宋"/>
                <w:color w:val="auto"/>
                <w:highlight w:val="none"/>
              </w:rPr>
            </w:pPr>
          </w:p>
        </w:tc>
        <w:tc>
          <w:tcPr>
            <w:tcW w:w="2835" w:type="dxa"/>
            <w:gridSpan w:val="4"/>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为供应商服务时间</w:t>
            </w:r>
          </w:p>
        </w:tc>
        <w:tc>
          <w:tcPr>
            <w:tcW w:w="2694" w:type="dxa"/>
            <w:vAlign w:val="center"/>
          </w:tcPr>
          <w:p>
            <w:pP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专业资质</w:t>
            </w:r>
          </w:p>
        </w:tc>
        <w:tc>
          <w:tcPr>
            <w:tcW w:w="1974" w:type="dxa"/>
            <w:gridSpan w:val="2"/>
            <w:vAlign w:val="center"/>
          </w:tcPr>
          <w:p>
            <w:pPr>
              <w:rPr>
                <w:rFonts w:hint="eastAsia" w:ascii="仿宋" w:hAnsi="仿宋" w:eastAsia="仿宋" w:cs="仿宋"/>
                <w:color w:val="auto"/>
                <w:highlight w:val="none"/>
              </w:rPr>
            </w:pPr>
          </w:p>
        </w:tc>
        <w:tc>
          <w:tcPr>
            <w:tcW w:w="2835" w:type="dxa"/>
            <w:gridSpan w:val="4"/>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在本项目中的职务</w:t>
            </w:r>
          </w:p>
        </w:tc>
        <w:tc>
          <w:tcPr>
            <w:tcW w:w="2694" w:type="dxa"/>
            <w:vAlign w:val="center"/>
          </w:tcPr>
          <w:p>
            <w:pP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pPr>
              <w:ind w:firstLine="3360" w:firstLineChars="1400"/>
              <w:rPr>
                <w:rFonts w:hint="eastAsia" w:ascii="仿宋" w:hAnsi="仿宋" w:eastAsia="仿宋" w:cs="仿宋"/>
                <w:color w:val="auto"/>
                <w:highlight w:val="none"/>
              </w:rPr>
            </w:pPr>
            <w:r>
              <w:rPr>
                <w:rFonts w:hint="eastAsia" w:ascii="仿宋" w:hAnsi="仿宋" w:eastAsia="仿宋" w:cs="仿宋"/>
                <w:color w:val="auto"/>
                <w:highlight w:val="none"/>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时   间</w:t>
            </w:r>
          </w:p>
        </w:tc>
        <w:tc>
          <w:tcPr>
            <w:tcW w:w="4536" w:type="dxa"/>
            <w:gridSpan w:val="6"/>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同类项目名称及简要描述</w:t>
            </w:r>
          </w:p>
        </w:tc>
        <w:tc>
          <w:tcPr>
            <w:tcW w:w="3261" w:type="dxa"/>
            <w:gridSpan w:val="2"/>
            <w:vAlign w:val="center"/>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rPr>
                <w:rFonts w:hint="eastAsia" w:ascii="仿宋" w:hAnsi="仿宋" w:eastAsia="仿宋" w:cs="仿宋"/>
                <w:color w:val="auto"/>
                <w:highlight w:val="none"/>
              </w:rPr>
            </w:pPr>
          </w:p>
        </w:tc>
        <w:tc>
          <w:tcPr>
            <w:tcW w:w="4536" w:type="dxa"/>
            <w:gridSpan w:val="6"/>
          </w:tcPr>
          <w:p>
            <w:pPr>
              <w:rPr>
                <w:rFonts w:hint="eastAsia" w:ascii="仿宋" w:hAnsi="仿宋" w:eastAsia="仿宋" w:cs="仿宋"/>
                <w:color w:val="auto"/>
                <w:highlight w:val="none"/>
              </w:rPr>
            </w:pPr>
          </w:p>
        </w:tc>
        <w:tc>
          <w:tcPr>
            <w:tcW w:w="3261" w:type="dxa"/>
            <w:gridSpan w:val="2"/>
          </w:tcPr>
          <w:p>
            <w:pP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rPr>
                <w:rFonts w:hint="eastAsia" w:ascii="仿宋" w:hAnsi="仿宋" w:eastAsia="仿宋" w:cs="仿宋"/>
                <w:color w:val="auto"/>
                <w:highlight w:val="none"/>
              </w:rPr>
            </w:pPr>
          </w:p>
        </w:tc>
        <w:tc>
          <w:tcPr>
            <w:tcW w:w="4536" w:type="dxa"/>
            <w:gridSpan w:val="6"/>
          </w:tcPr>
          <w:p>
            <w:pPr>
              <w:rPr>
                <w:rFonts w:hint="eastAsia" w:ascii="仿宋" w:hAnsi="仿宋" w:eastAsia="仿宋" w:cs="仿宋"/>
                <w:color w:val="auto"/>
                <w:highlight w:val="none"/>
              </w:rPr>
            </w:pPr>
          </w:p>
        </w:tc>
        <w:tc>
          <w:tcPr>
            <w:tcW w:w="3261" w:type="dxa"/>
            <w:gridSpan w:val="2"/>
          </w:tcPr>
          <w:p>
            <w:pP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rPr>
                <w:rFonts w:hint="eastAsia" w:ascii="仿宋" w:hAnsi="仿宋" w:eastAsia="仿宋" w:cs="仿宋"/>
                <w:color w:val="auto"/>
                <w:highlight w:val="none"/>
              </w:rPr>
            </w:pPr>
          </w:p>
        </w:tc>
        <w:tc>
          <w:tcPr>
            <w:tcW w:w="4536" w:type="dxa"/>
            <w:gridSpan w:val="6"/>
          </w:tcPr>
          <w:p>
            <w:pPr>
              <w:rPr>
                <w:rFonts w:hint="eastAsia" w:ascii="仿宋" w:hAnsi="仿宋" w:eastAsia="仿宋" w:cs="仿宋"/>
                <w:color w:val="auto"/>
                <w:highlight w:val="none"/>
              </w:rPr>
            </w:pPr>
          </w:p>
        </w:tc>
        <w:tc>
          <w:tcPr>
            <w:tcW w:w="3261" w:type="dxa"/>
            <w:gridSpan w:val="2"/>
          </w:tcPr>
          <w:p>
            <w:pP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rPr>
                <w:rFonts w:hint="eastAsia" w:ascii="仿宋" w:hAnsi="仿宋" w:eastAsia="仿宋" w:cs="仿宋"/>
                <w:color w:val="auto"/>
                <w:highlight w:val="none"/>
              </w:rPr>
            </w:pPr>
          </w:p>
        </w:tc>
        <w:tc>
          <w:tcPr>
            <w:tcW w:w="4536" w:type="dxa"/>
            <w:gridSpan w:val="6"/>
          </w:tcPr>
          <w:p>
            <w:pPr>
              <w:rPr>
                <w:rFonts w:hint="eastAsia" w:ascii="仿宋" w:hAnsi="仿宋" w:eastAsia="仿宋" w:cs="仿宋"/>
                <w:color w:val="auto"/>
                <w:highlight w:val="none"/>
              </w:rPr>
            </w:pPr>
          </w:p>
        </w:tc>
        <w:tc>
          <w:tcPr>
            <w:tcW w:w="3261" w:type="dxa"/>
            <w:gridSpan w:val="2"/>
          </w:tcPr>
          <w:p>
            <w:pPr>
              <w:rPr>
                <w:rFonts w:hint="eastAsia" w:ascii="仿宋" w:hAnsi="仿宋" w:eastAsia="仿宋" w:cs="仿宋"/>
                <w:color w:val="auto"/>
                <w:highlight w:val="none"/>
              </w:rPr>
            </w:pPr>
          </w:p>
        </w:tc>
      </w:tr>
    </w:tbl>
    <w:p>
      <w:pPr>
        <w:spacing w:before="240"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注：</w:t>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1、需随此表附上团队成员的身份证、毕业证、专业资质证书、同类项目实施经验证明等材料。</w:t>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2、“先附简历、再附材料”为一个人员的完整材料，人员简历排放顺序需与人员汇总表一致。</w:t>
      </w:r>
    </w:p>
    <w:p>
      <w:pPr>
        <w:spacing w:line="360" w:lineRule="auto"/>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5"/>
        <w:spacing w:before="0" w:after="0" w:line="360" w:lineRule="auto"/>
        <w:rPr>
          <w:rFonts w:hint="eastAsia" w:ascii="仿宋" w:hAnsi="仿宋" w:eastAsia="仿宋" w:cs="仿宋"/>
          <w:color w:val="auto"/>
          <w:sz w:val="24"/>
          <w:szCs w:val="24"/>
          <w:highlight w:val="none"/>
        </w:rPr>
      </w:pPr>
      <w:bookmarkStart w:id="194" w:name="_Toc20365"/>
      <w:bookmarkStart w:id="195" w:name="_Toc17630"/>
      <w:r>
        <w:rPr>
          <w:rFonts w:hint="eastAsia" w:ascii="仿宋" w:hAnsi="仿宋" w:eastAsia="仿宋" w:cs="仿宋"/>
          <w:color w:val="auto"/>
          <w:sz w:val="24"/>
          <w:szCs w:val="24"/>
          <w:highlight w:val="none"/>
        </w:rPr>
        <w:t>（三）</w:t>
      </w:r>
      <w:bookmarkEnd w:id="192"/>
      <w:bookmarkEnd w:id="193"/>
      <w:r>
        <w:rPr>
          <w:rFonts w:hint="eastAsia" w:ascii="仿宋" w:hAnsi="仿宋" w:eastAsia="仿宋" w:cs="仿宋"/>
          <w:color w:val="auto"/>
          <w:sz w:val="24"/>
          <w:szCs w:val="24"/>
          <w:highlight w:val="none"/>
        </w:rPr>
        <w:t>其他材料</w:t>
      </w:r>
      <w:bookmarkEnd w:id="194"/>
      <w:bookmarkEnd w:id="195"/>
    </w:p>
    <w:p>
      <w:pPr>
        <w:pStyle w:val="3"/>
        <w:tabs>
          <w:tab w:val="clear" w:pos="425"/>
        </w:tabs>
        <w:spacing w:before="0" w:after="0" w:line="560" w:lineRule="exact"/>
        <w:ind w:left="424" w:hanging="362" w:hangingChars="151"/>
        <w:jc w:val="left"/>
        <w:rPr>
          <w:rFonts w:hint="eastAsia" w:ascii="仿宋" w:hAnsi="仿宋" w:eastAsia="仿宋" w:cs="仿宋"/>
          <w:b w:val="0"/>
          <w:bCs w:val="0"/>
          <w:color w:val="auto"/>
          <w:kern w:val="0"/>
          <w:sz w:val="24"/>
          <w:szCs w:val="24"/>
          <w:highlight w:val="none"/>
          <w:lang w:val="en-US" w:eastAsia="zh-CN" w:bidi="ar-SA"/>
        </w:rPr>
      </w:pPr>
      <w:bookmarkStart w:id="196" w:name="_Toc3046"/>
      <w:r>
        <w:rPr>
          <w:rFonts w:hint="eastAsia" w:ascii="仿宋" w:hAnsi="仿宋" w:eastAsia="仿宋" w:cs="仿宋"/>
          <w:b w:val="0"/>
          <w:bCs w:val="0"/>
          <w:color w:val="auto"/>
          <w:kern w:val="0"/>
          <w:sz w:val="24"/>
          <w:szCs w:val="24"/>
          <w:highlight w:val="none"/>
          <w:lang w:val="en-US" w:eastAsia="zh-CN" w:bidi="ar-SA"/>
        </w:rPr>
        <w:t>供应商认为需提供的其他材料。</w:t>
      </w:r>
      <w:bookmarkEnd w:id="128"/>
      <w:bookmarkEnd w:id="196"/>
    </w:p>
    <w:sectPr>
      <w:headerReference r:id="rId10" w:type="default"/>
      <w:footerReference r:id="rId11" w:type="default"/>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altName w:val="宋体"/>
    <w:panose1 w:val="02010600030101010101"/>
    <w:charset w:val="86"/>
    <w:family w:val="auto"/>
    <w:pitch w:val="default"/>
    <w:sig w:usb0="00000000" w:usb1="00000000"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w:t>
                    </w:r>
                    <w:r>
                      <w:fldChar w:fldCharType="end"/>
                    </w:r>
                  </w:p>
                </w:txbxContent>
              </v:textbox>
            </v:shape>
          </w:pict>
        </mc:Fallback>
      </mc:AlternateContent>
    </w:r>
  </w:p>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left" w:pos="4137"/>
        <w:tab w:val="clear" w:pos="4153"/>
      </w:tabs>
      <w:rPr>
        <w:rFonts w:hint="eastAsia" w:eastAsiaTheme="minorEastAsia"/>
        <w:lang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t>比选文件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1">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9724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296"/>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4F26"/>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371A"/>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1C66"/>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1934590"/>
    <w:rsid w:val="01BA0590"/>
    <w:rsid w:val="028213AB"/>
    <w:rsid w:val="0325435D"/>
    <w:rsid w:val="03842DE7"/>
    <w:rsid w:val="03CA6EF6"/>
    <w:rsid w:val="03EC2BA0"/>
    <w:rsid w:val="04305BEE"/>
    <w:rsid w:val="045A6A33"/>
    <w:rsid w:val="04A05170"/>
    <w:rsid w:val="0569312B"/>
    <w:rsid w:val="058A1AE1"/>
    <w:rsid w:val="05D435B9"/>
    <w:rsid w:val="05F13253"/>
    <w:rsid w:val="06891246"/>
    <w:rsid w:val="06A95C2E"/>
    <w:rsid w:val="06B01218"/>
    <w:rsid w:val="07174068"/>
    <w:rsid w:val="072678E3"/>
    <w:rsid w:val="07710F67"/>
    <w:rsid w:val="07CC203E"/>
    <w:rsid w:val="07DC2DF1"/>
    <w:rsid w:val="07F20B7F"/>
    <w:rsid w:val="08042CA2"/>
    <w:rsid w:val="088B05CE"/>
    <w:rsid w:val="09611CF3"/>
    <w:rsid w:val="0A141145"/>
    <w:rsid w:val="0A383765"/>
    <w:rsid w:val="0A61763C"/>
    <w:rsid w:val="0AA67CB9"/>
    <w:rsid w:val="0ABA601F"/>
    <w:rsid w:val="0ACB4877"/>
    <w:rsid w:val="0B71492D"/>
    <w:rsid w:val="0B8760E8"/>
    <w:rsid w:val="0C302844"/>
    <w:rsid w:val="0D206759"/>
    <w:rsid w:val="0D6E60A1"/>
    <w:rsid w:val="0E454436"/>
    <w:rsid w:val="0FB51D65"/>
    <w:rsid w:val="117748B7"/>
    <w:rsid w:val="123212E7"/>
    <w:rsid w:val="133E02C4"/>
    <w:rsid w:val="136817E4"/>
    <w:rsid w:val="13A22722"/>
    <w:rsid w:val="13B40768"/>
    <w:rsid w:val="14404C2E"/>
    <w:rsid w:val="1464639A"/>
    <w:rsid w:val="16573C5D"/>
    <w:rsid w:val="169A175F"/>
    <w:rsid w:val="17334565"/>
    <w:rsid w:val="17685D29"/>
    <w:rsid w:val="178772D7"/>
    <w:rsid w:val="178D45D6"/>
    <w:rsid w:val="17FC2567"/>
    <w:rsid w:val="18146217"/>
    <w:rsid w:val="18215304"/>
    <w:rsid w:val="18C617EF"/>
    <w:rsid w:val="191974BC"/>
    <w:rsid w:val="19332BB1"/>
    <w:rsid w:val="19B32C13"/>
    <w:rsid w:val="1A3022CF"/>
    <w:rsid w:val="1A6B57CB"/>
    <w:rsid w:val="1C8B1061"/>
    <w:rsid w:val="1C9673F2"/>
    <w:rsid w:val="1D237383"/>
    <w:rsid w:val="1E0F2F88"/>
    <w:rsid w:val="1E3F026F"/>
    <w:rsid w:val="1F102085"/>
    <w:rsid w:val="1F5171F9"/>
    <w:rsid w:val="1F9757E1"/>
    <w:rsid w:val="20BB17B2"/>
    <w:rsid w:val="22087C6F"/>
    <w:rsid w:val="226B33C3"/>
    <w:rsid w:val="22762396"/>
    <w:rsid w:val="227A4620"/>
    <w:rsid w:val="232457F5"/>
    <w:rsid w:val="242642DB"/>
    <w:rsid w:val="244A5795"/>
    <w:rsid w:val="2472601F"/>
    <w:rsid w:val="24BF40CB"/>
    <w:rsid w:val="24CF4FC0"/>
    <w:rsid w:val="26151588"/>
    <w:rsid w:val="268E37D0"/>
    <w:rsid w:val="26A45974"/>
    <w:rsid w:val="284F2EFD"/>
    <w:rsid w:val="287E02EE"/>
    <w:rsid w:val="292532D4"/>
    <w:rsid w:val="295E233C"/>
    <w:rsid w:val="29AF6870"/>
    <w:rsid w:val="29BE3D54"/>
    <w:rsid w:val="2A9D69AB"/>
    <w:rsid w:val="2ABE3801"/>
    <w:rsid w:val="2B3F4407"/>
    <w:rsid w:val="2C182311"/>
    <w:rsid w:val="2C43682A"/>
    <w:rsid w:val="2C567CDD"/>
    <w:rsid w:val="2C7176F9"/>
    <w:rsid w:val="2C7C350C"/>
    <w:rsid w:val="2C8D1B5C"/>
    <w:rsid w:val="2D2F7431"/>
    <w:rsid w:val="2D7B562D"/>
    <w:rsid w:val="2DF81ACA"/>
    <w:rsid w:val="2E3461D7"/>
    <w:rsid w:val="2E704C40"/>
    <w:rsid w:val="2F014BC2"/>
    <w:rsid w:val="30247B0A"/>
    <w:rsid w:val="30313826"/>
    <w:rsid w:val="30873FAB"/>
    <w:rsid w:val="30AE4D64"/>
    <w:rsid w:val="31546DBD"/>
    <w:rsid w:val="316C3324"/>
    <w:rsid w:val="31B7469D"/>
    <w:rsid w:val="324E6179"/>
    <w:rsid w:val="32A1591F"/>
    <w:rsid w:val="342B5426"/>
    <w:rsid w:val="34313AAC"/>
    <w:rsid w:val="343D5340"/>
    <w:rsid w:val="34425E22"/>
    <w:rsid w:val="34710119"/>
    <w:rsid w:val="34881FBA"/>
    <w:rsid w:val="352D62CE"/>
    <w:rsid w:val="35A07995"/>
    <w:rsid w:val="35A61390"/>
    <w:rsid w:val="35EC5B89"/>
    <w:rsid w:val="362C1207"/>
    <w:rsid w:val="36372C24"/>
    <w:rsid w:val="3706633F"/>
    <w:rsid w:val="37915A99"/>
    <w:rsid w:val="37BD24FC"/>
    <w:rsid w:val="37D33135"/>
    <w:rsid w:val="38AB1BC5"/>
    <w:rsid w:val="39092558"/>
    <w:rsid w:val="397D76E1"/>
    <w:rsid w:val="39AE2A4E"/>
    <w:rsid w:val="3C2566D3"/>
    <w:rsid w:val="3C616320"/>
    <w:rsid w:val="3CF041DB"/>
    <w:rsid w:val="3E2E7CB6"/>
    <w:rsid w:val="3F0A29FB"/>
    <w:rsid w:val="3F4D2FE9"/>
    <w:rsid w:val="3F605988"/>
    <w:rsid w:val="3FCC2AB9"/>
    <w:rsid w:val="40926FFF"/>
    <w:rsid w:val="41414A76"/>
    <w:rsid w:val="41D05991"/>
    <w:rsid w:val="436D772C"/>
    <w:rsid w:val="438E5AAC"/>
    <w:rsid w:val="43A964C0"/>
    <w:rsid w:val="43FC159A"/>
    <w:rsid w:val="443C1074"/>
    <w:rsid w:val="44645086"/>
    <w:rsid w:val="446505C9"/>
    <w:rsid w:val="44877E79"/>
    <w:rsid w:val="45884D19"/>
    <w:rsid w:val="460C34F8"/>
    <w:rsid w:val="46395F84"/>
    <w:rsid w:val="46AF6585"/>
    <w:rsid w:val="476214A1"/>
    <w:rsid w:val="47AE3F29"/>
    <w:rsid w:val="47C85937"/>
    <w:rsid w:val="49433FBF"/>
    <w:rsid w:val="497B0AC1"/>
    <w:rsid w:val="4A4B5A55"/>
    <w:rsid w:val="4A500052"/>
    <w:rsid w:val="4B162FC1"/>
    <w:rsid w:val="4B5C6692"/>
    <w:rsid w:val="4B847F08"/>
    <w:rsid w:val="4B974814"/>
    <w:rsid w:val="4C0473C6"/>
    <w:rsid w:val="4CC1043E"/>
    <w:rsid w:val="4D4B18DC"/>
    <w:rsid w:val="4D9B0602"/>
    <w:rsid w:val="4E4A17FE"/>
    <w:rsid w:val="4E5A2D89"/>
    <w:rsid w:val="4E7D2F52"/>
    <w:rsid w:val="4E7D5E9F"/>
    <w:rsid w:val="4F4246BC"/>
    <w:rsid w:val="4F9172CD"/>
    <w:rsid w:val="50546D40"/>
    <w:rsid w:val="50556D91"/>
    <w:rsid w:val="512E309B"/>
    <w:rsid w:val="516F66B9"/>
    <w:rsid w:val="52706D8F"/>
    <w:rsid w:val="527A2EE8"/>
    <w:rsid w:val="52A56EA9"/>
    <w:rsid w:val="52B513BE"/>
    <w:rsid w:val="52DB1871"/>
    <w:rsid w:val="53117E08"/>
    <w:rsid w:val="53F65A75"/>
    <w:rsid w:val="545731F3"/>
    <w:rsid w:val="54921C42"/>
    <w:rsid w:val="55214D3B"/>
    <w:rsid w:val="557F72D2"/>
    <w:rsid w:val="559439F4"/>
    <w:rsid w:val="55FE463F"/>
    <w:rsid w:val="56257777"/>
    <w:rsid w:val="56450EDB"/>
    <w:rsid w:val="56D0597B"/>
    <w:rsid w:val="57B85C78"/>
    <w:rsid w:val="59921536"/>
    <w:rsid w:val="59E7307A"/>
    <w:rsid w:val="5A3C1FF4"/>
    <w:rsid w:val="5A6E295F"/>
    <w:rsid w:val="5A75060C"/>
    <w:rsid w:val="5A9263A6"/>
    <w:rsid w:val="5AA57953"/>
    <w:rsid w:val="5AE1183E"/>
    <w:rsid w:val="5AF35146"/>
    <w:rsid w:val="5B7D6727"/>
    <w:rsid w:val="5B9A01BB"/>
    <w:rsid w:val="5C5D0552"/>
    <w:rsid w:val="5C7653B2"/>
    <w:rsid w:val="5CB550D7"/>
    <w:rsid w:val="5CEB6694"/>
    <w:rsid w:val="5D1754B8"/>
    <w:rsid w:val="5E3C677A"/>
    <w:rsid w:val="5E812D98"/>
    <w:rsid w:val="5F49220B"/>
    <w:rsid w:val="5F592DFB"/>
    <w:rsid w:val="5F7F5239"/>
    <w:rsid w:val="5F964E5F"/>
    <w:rsid w:val="60507687"/>
    <w:rsid w:val="60B6153F"/>
    <w:rsid w:val="61B861C6"/>
    <w:rsid w:val="622F4B23"/>
    <w:rsid w:val="625B180A"/>
    <w:rsid w:val="62652691"/>
    <w:rsid w:val="627B3852"/>
    <w:rsid w:val="629149A0"/>
    <w:rsid w:val="62980CCF"/>
    <w:rsid w:val="63936F88"/>
    <w:rsid w:val="63BA77AE"/>
    <w:rsid w:val="6454481E"/>
    <w:rsid w:val="64553A6C"/>
    <w:rsid w:val="64607FB0"/>
    <w:rsid w:val="648869AC"/>
    <w:rsid w:val="660B4DF2"/>
    <w:rsid w:val="66444FD8"/>
    <w:rsid w:val="668002B5"/>
    <w:rsid w:val="6684253E"/>
    <w:rsid w:val="66E17055"/>
    <w:rsid w:val="66FE5A2A"/>
    <w:rsid w:val="678574FE"/>
    <w:rsid w:val="684F6E36"/>
    <w:rsid w:val="6936651F"/>
    <w:rsid w:val="699E3A55"/>
    <w:rsid w:val="69DB5AB9"/>
    <w:rsid w:val="69F90ABF"/>
    <w:rsid w:val="6A246A40"/>
    <w:rsid w:val="6A53447E"/>
    <w:rsid w:val="6A763739"/>
    <w:rsid w:val="6AD13942"/>
    <w:rsid w:val="6B635940"/>
    <w:rsid w:val="6B7A41CC"/>
    <w:rsid w:val="6C134D9C"/>
    <w:rsid w:val="6C5F3CBB"/>
    <w:rsid w:val="6D535020"/>
    <w:rsid w:val="6DC745E7"/>
    <w:rsid w:val="6E8B036B"/>
    <w:rsid w:val="6EA27A73"/>
    <w:rsid w:val="6EFC79BE"/>
    <w:rsid w:val="6F5B51C0"/>
    <w:rsid w:val="6F6C44DB"/>
    <w:rsid w:val="70061007"/>
    <w:rsid w:val="70547956"/>
    <w:rsid w:val="705840A5"/>
    <w:rsid w:val="70730EA4"/>
    <w:rsid w:val="70B950FC"/>
    <w:rsid w:val="71130E1A"/>
    <w:rsid w:val="71FF451E"/>
    <w:rsid w:val="730B244E"/>
    <w:rsid w:val="7377238F"/>
    <w:rsid w:val="737A2701"/>
    <w:rsid w:val="746305B1"/>
    <w:rsid w:val="74862811"/>
    <w:rsid w:val="75311DD3"/>
    <w:rsid w:val="753529D7"/>
    <w:rsid w:val="772B54F6"/>
    <w:rsid w:val="7803603C"/>
    <w:rsid w:val="78251F22"/>
    <w:rsid w:val="78954A10"/>
    <w:rsid w:val="78EF3D2D"/>
    <w:rsid w:val="78F623E9"/>
    <w:rsid w:val="7913570D"/>
    <w:rsid w:val="791B013F"/>
    <w:rsid w:val="792502C0"/>
    <w:rsid w:val="79695CC0"/>
    <w:rsid w:val="797F4442"/>
    <w:rsid w:val="79970EC3"/>
    <w:rsid w:val="7A35234F"/>
    <w:rsid w:val="7AB8431F"/>
    <w:rsid w:val="7B370F51"/>
    <w:rsid w:val="7B83675B"/>
    <w:rsid w:val="7B8521A0"/>
    <w:rsid w:val="7BE55C9F"/>
    <w:rsid w:val="7C6F49CC"/>
    <w:rsid w:val="7C8D7C29"/>
    <w:rsid w:val="7CCC504D"/>
    <w:rsid w:val="7D4D49B8"/>
    <w:rsid w:val="7D737D85"/>
    <w:rsid w:val="7D9060AA"/>
    <w:rsid w:val="7DE106C4"/>
    <w:rsid w:val="7DF3732C"/>
    <w:rsid w:val="7E904C70"/>
    <w:rsid w:val="7F3157BC"/>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EB94F-28B6-4EBA-ADA5-57300E7B50D8}">
  <ds:schemaRefs/>
</ds:datastoreItem>
</file>

<file path=docProps/app.xml><?xml version="1.0" encoding="utf-8"?>
<Properties xmlns="http://schemas.openxmlformats.org/officeDocument/2006/extended-properties" xmlns:vt="http://schemas.openxmlformats.org/officeDocument/2006/docPropsVTypes">
  <Template>0</Template>
  <Company>Lenovo</Company>
  <Pages>56</Pages>
  <Words>3978</Words>
  <Characters>22681</Characters>
  <Lines>189</Lines>
  <Paragraphs>53</Paragraphs>
  <TotalTime>23</TotalTime>
  <ScaleCrop>false</ScaleCrop>
  <LinksUpToDate>false</LinksUpToDate>
  <CharactersWithSpaces>26606</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袁菲菲</cp:lastModifiedBy>
  <cp:lastPrinted>2019-12-03T09:03:00Z</cp:lastPrinted>
  <dcterms:modified xsi:type="dcterms:W3CDTF">2026-06-24T10:41:49Z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E1B852BF91E24C5E9D583292D72034FE</vt:lpwstr>
  </property>
</Properties>
</file>