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B7E352">
      <w:pPr>
        <w:jc w:val="center"/>
        <w:rPr>
          <w:rFonts w:hint="eastAsia" w:ascii="黑体" w:hAnsi="黑体" w:eastAsia="黑体" w:cs="黑体"/>
          <w:b/>
          <w:sz w:val="28"/>
          <w:szCs w:val="28"/>
        </w:rPr>
      </w:pPr>
      <w:r>
        <w:rPr>
          <w:rFonts w:hint="eastAsia" w:ascii="黑体" w:hAnsi="黑体" w:eastAsia="黑体" w:cs="黑体"/>
          <w:b/>
          <w:sz w:val="28"/>
          <w:szCs w:val="28"/>
        </w:rPr>
        <w:t>关于</w:t>
      </w:r>
      <w:r>
        <w:rPr>
          <w:rFonts w:hint="eastAsia" w:ascii="黑体" w:hAnsi="黑体" w:eastAsia="黑体" w:cs="黑体"/>
          <w:b/>
          <w:sz w:val="28"/>
          <w:szCs w:val="28"/>
          <w:lang w:val="en-US" w:eastAsia="zh-CN"/>
        </w:rPr>
        <w:t>人保财险新疆莎车支公司电影院映前广告投放采购项目</w:t>
      </w:r>
      <w:r>
        <w:rPr>
          <w:rFonts w:hint="eastAsia" w:ascii="黑体" w:hAnsi="黑体" w:eastAsia="黑体" w:cs="黑体"/>
          <w:b/>
          <w:sz w:val="28"/>
          <w:szCs w:val="28"/>
        </w:rPr>
        <w:t>拟采用单一</w:t>
      </w:r>
      <w:r>
        <w:rPr>
          <w:rFonts w:hint="eastAsia" w:ascii="黑体" w:hAnsi="黑体" w:eastAsia="黑体" w:cs="黑体"/>
          <w:b/>
          <w:sz w:val="28"/>
          <w:szCs w:val="28"/>
          <w:lang w:val="en-US" w:eastAsia="zh-CN"/>
        </w:rPr>
        <w:t>采购</w:t>
      </w:r>
      <w:r>
        <w:rPr>
          <w:rFonts w:hint="eastAsia" w:ascii="黑体" w:hAnsi="黑体" w:eastAsia="黑体" w:cs="黑体"/>
          <w:b/>
          <w:sz w:val="28"/>
          <w:szCs w:val="28"/>
        </w:rPr>
        <w:t>方式采购的公示</w:t>
      </w:r>
    </w:p>
    <w:p w14:paraId="1A2CC3C9">
      <w:pPr>
        <w:adjustRightInd w:val="0"/>
        <w:snapToGrid w:val="0"/>
        <w:spacing w:line="360" w:lineRule="auto"/>
        <w:ind w:firstLine="420" w:firstLineChars="200"/>
      </w:pPr>
    </w:p>
    <w:p w14:paraId="37B828F5">
      <w:pPr>
        <w:adjustRightInd w:val="0"/>
        <w:snapToGrid w:val="0"/>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根据中国人民保险集团和中国人民财产保险股份有限公司采购管理相关制度规定，现将相关单一采购内容公示如下：</w:t>
      </w:r>
    </w:p>
    <w:p w14:paraId="497B0B8F">
      <w:pPr>
        <w:numPr>
          <w:ilvl w:val="0"/>
          <w:numId w:val="1"/>
        </w:numPr>
        <w:adjustRightInd w:val="0"/>
        <w:snapToGrid w:val="0"/>
        <w:spacing w:line="360" w:lineRule="auto"/>
        <w:ind w:firstLine="562" w:firstLineChars="200"/>
        <w:rPr>
          <w:rFonts w:hint="eastAsia" w:ascii="仿宋" w:hAnsi="仿宋" w:eastAsia="仿宋" w:cs="仿宋"/>
          <w:sz w:val="28"/>
          <w:szCs w:val="28"/>
          <w:highlight w:val="none"/>
        </w:rPr>
      </w:pPr>
      <w:r>
        <w:rPr>
          <w:rFonts w:hint="eastAsia" w:ascii="仿宋" w:hAnsi="仿宋" w:eastAsia="仿宋" w:cs="仿宋"/>
          <w:b/>
          <w:bCs/>
          <w:sz w:val="28"/>
          <w:szCs w:val="28"/>
        </w:rPr>
        <w:t>项目名称：</w:t>
      </w:r>
      <w:r>
        <w:rPr>
          <w:rFonts w:hint="eastAsia" w:ascii="仿宋" w:hAnsi="仿宋" w:eastAsia="仿宋" w:cs="仿宋"/>
          <w:color w:val="auto"/>
          <w:spacing w:val="-6"/>
          <w:kern w:val="2"/>
          <w:sz w:val="28"/>
          <w:szCs w:val="28"/>
          <w:highlight w:val="none"/>
          <w:lang w:val="en-US" w:eastAsia="zh-CN" w:bidi="ar-SA"/>
        </w:rPr>
        <w:t>人保财险新疆莎车支公司电影院映前广告投放采购项目</w:t>
      </w:r>
    </w:p>
    <w:p w14:paraId="0901B28B">
      <w:pPr>
        <w:adjustRightInd w:val="0"/>
        <w:snapToGrid w:val="0"/>
        <w:spacing w:line="360" w:lineRule="auto"/>
        <w:ind w:firstLine="562" w:firstLineChars="200"/>
        <w:rPr>
          <w:rFonts w:hint="eastAsia" w:ascii="仿宋" w:hAnsi="仿宋" w:eastAsia="仿宋" w:cs="仿宋"/>
          <w:b/>
          <w:bCs/>
          <w:sz w:val="28"/>
          <w:szCs w:val="28"/>
        </w:rPr>
      </w:pPr>
      <w:r>
        <w:rPr>
          <w:rFonts w:hint="eastAsia" w:ascii="仿宋" w:hAnsi="仿宋" w:eastAsia="仿宋" w:cs="仿宋"/>
          <w:b/>
          <w:bCs/>
          <w:sz w:val="28"/>
          <w:szCs w:val="28"/>
        </w:rPr>
        <w:t>二、单一</w:t>
      </w:r>
      <w:r>
        <w:rPr>
          <w:rFonts w:hint="eastAsia" w:ascii="仿宋" w:hAnsi="仿宋" w:eastAsia="仿宋" w:cs="仿宋"/>
          <w:b/>
          <w:bCs/>
          <w:sz w:val="28"/>
          <w:szCs w:val="28"/>
          <w:lang w:eastAsia="zh-CN"/>
        </w:rPr>
        <w:t>采购</w:t>
      </w:r>
      <w:r>
        <w:rPr>
          <w:rFonts w:hint="eastAsia" w:ascii="仿宋" w:hAnsi="仿宋" w:eastAsia="仿宋" w:cs="仿宋"/>
          <w:b/>
          <w:bCs/>
          <w:sz w:val="28"/>
          <w:szCs w:val="28"/>
        </w:rPr>
        <w:t>供应商：</w:t>
      </w:r>
    </w:p>
    <w:p w14:paraId="7AE1B43B">
      <w:pPr>
        <w:pStyle w:val="5"/>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560" w:lineRule="exact"/>
        <w:ind w:left="0" w:right="0"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rPr>
        <w:t>1. 资源唯一性：</w:t>
      </w:r>
      <w:r>
        <w:rPr>
          <w:rFonts w:hint="eastAsia" w:ascii="仿宋" w:hAnsi="仿宋" w:eastAsia="仿宋" w:cs="仿宋"/>
          <w:sz w:val="28"/>
          <w:szCs w:val="28"/>
          <w:lang w:val="en-US" w:eastAsia="zh-CN"/>
        </w:rPr>
        <w:t>莎车县光影嘉年电影公园有限责任公司，独家授权给莎车火苗图文广告店（个体工商户），代理本影院映前时段内人保财险车险类广告的独家播放权</w:t>
      </w:r>
      <w:r>
        <w:rPr>
          <w:rFonts w:hint="eastAsia" w:ascii="仿宋" w:hAnsi="仿宋" w:eastAsia="仿宋" w:cs="仿宋"/>
          <w:sz w:val="28"/>
          <w:szCs w:val="28"/>
          <w:lang w:eastAsia="zh-CN"/>
        </w:rPr>
        <w:t>，无其他替代供应商，选择该供应商</w:t>
      </w:r>
      <w:r>
        <w:rPr>
          <w:rFonts w:hint="eastAsia" w:ascii="仿宋" w:hAnsi="仿宋" w:eastAsia="仿宋" w:cs="仿宋"/>
          <w:sz w:val="28"/>
          <w:szCs w:val="28"/>
        </w:rPr>
        <w:t>可确保广告投放渠道的稳定性与唯一性，符合项目采购法定情形，按照《中国人民保险集团分散采购管理办法》第三章第十四条规定，该项目属于普通分散采购，本项目拟参照公司分散采购管理规定实施项目采购，采用单一</w:t>
      </w:r>
      <w:r>
        <w:rPr>
          <w:rFonts w:hint="eastAsia" w:ascii="仿宋" w:hAnsi="仿宋" w:eastAsia="仿宋" w:cs="仿宋"/>
          <w:sz w:val="28"/>
          <w:szCs w:val="28"/>
          <w:lang w:eastAsia="zh-CN"/>
        </w:rPr>
        <w:t>采购</w:t>
      </w:r>
      <w:r>
        <w:rPr>
          <w:rFonts w:hint="eastAsia" w:ascii="仿宋" w:hAnsi="仿宋" w:eastAsia="仿宋" w:cs="仿宋"/>
          <w:sz w:val="28"/>
          <w:szCs w:val="28"/>
        </w:rPr>
        <w:t>方式实施采购</w:t>
      </w:r>
      <w:r>
        <w:rPr>
          <w:rFonts w:hint="eastAsia" w:ascii="仿宋" w:hAnsi="仿宋" w:eastAsia="仿宋" w:cs="仿宋"/>
          <w:sz w:val="28"/>
          <w:szCs w:val="28"/>
          <w:lang w:eastAsia="zh-CN"/>
        </w:rPr>
        <w:t>，</w:t>
      </w:r>
      <w:r>
        <w:rPr>
          <w:rFonts w:hint="eastAsia" w:ascii="仿宋" w:hAnsi="仿宋" w:eastAsia="仿宋" w:cs="仿宋"/>
          <w:sz w:val="28"/>
          <w:szCs w:val="28"/>
        </w:rPr>
        <w:t>综合考虑采</w:t>
      </w:r>
      <w:r>
        <w:rPr>
          <w:rFonts w:hint="default" w:ascii="仿宋" w:hAnsi="仿宋" w:eastAsia="仿宋" w:cs="仿宋"/>
          <w:sz w:val="28"/>
          <w:szCs w:val="28"/>
          <w:lang w:val="en-US" w:eastAsia="zh-CN"/>
        </w:rPr>
        <w:t>当前莎车县域车险市场竞争日趋激烈，</w:t>
      </w:r>
      <w:r>
        <w:rPr>
          <w:rFonts w:hint="eastAsia" w:ascii="仿宋" w:hAnsi="仿宋" w:eastAsia="仿宋" w:cs="仿宋"/>
          <w:sz w:val="28"/>
          <w:szCs w:val="28"/>
          <w:lang w:val="en-US" w:eastAsia="zh-CN"/>
        </w:rPr>
        <w:t>莎车县仅有一家电影院，</w:t>
      </w:r>
      <w:r>
        <w:rPr>
          <w:rFonts w:hint="default" w:ascii="仿宋" w:hAnsi="仿宋" w:eastAsia="仿宋" w:cs="仿宋"/>
          <w:sz w:val="28"/>
          <w:szCs w:val="28"/>
          <w:lang w:val="en-US" w:eastAsia="zh-CN"/>
        </w:rPr>
        <w:t>电影院作为县域居民文化消费的核心场景，节假日及周末客流量集中，观影人群以20-45岁城市中青年为主，该群体私家车保有量高、消费能力较强，与车险业务目标客户高度契合。通过电影院映前广告开展推广，一步夯实车险业务在县域市场的客源基础。</w:t>
      </w:r>
      <w:r>
        <w:rPr>
          <w:rFonts w:hint="eastAsia" w:ascii="仿宋" w:hAnsi="仿宋" w:eastAsia="仿宋" w:cs="仿宋"/>
          <w:sz w:val="28"/>
          <w:szCs w:val="28"/>
        </w:rPr>
        <w:t>确保广告投放渠道的稳定性与合规性，保障项目顺利实施，符合可采用单一采购方式中“只能从唯一供应商处采购的，即因货物或服务使用不可替代的专利、专有技术，或者项目有特殊要求，导致只能从某一特定供应商处采购的”规定，符合可采用单一采购方式中只能从唯一供应商处采购”的法定情形</w:t>
      </w:r>
      <w:r>
        <w:rPr>
          <w:rFonts w:hint="eastAsia" w:ascii="仿宋" w:hAnsi="仿宋" w:eastAsia="仿宋" w:cs="仿宋"/>
          <w:sz w:val="28"/>
          <w:szCs w:val="28"/>
          <w:lang w:eastAsia="zh-CN"/>
        </w:rPr>
        <w:t>；</w:t>
      </w:r>
    </w:p>
    <w:p w14:paraId="0317717F">
      <w:pPr>
        <w:pStyle w:val="5"/>
        <w:keepNext w:val="0"/>
        <w:keepLines w:val="0"/>
        <w:pageBreakBefore w:val="0"/>
        <w:widowControl/>
        <w:suppressLineNumbers w:val="0"/>
        <w:shd w:val="clear" w:fill="FFFFFF"/>
        <w:kinsoku/>
        <w:wordWrap/>
        <w:overflowPunct/>
        <w:topLinePunct w:val="0"/>
        <w:autoSpaceDE/>
        <w:autoSpaceDN/>
        <w:bidi w:val="0"/>
        <w:adjustRightInd/>
        <w:snapToGrid/>
        <w:spacing w:before="192" w:beforeAutospacing="0" w:after="192" w:afterAutospacing="0" w:line="560" w:lineRule="exact"/>
        <w:ind w:left="0" w:right="0"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val="en-US" w:eastAsia="zh-CN"/>
        </w:rPr>
        <w:t>2.</w:t>
      </w:r>
      <w:r>
        <w:rPr>
          <w:rFonts w:hint="eastAsia" w:ascii="仿宋" w:hAnsi="仿宋" w:eastAsia="仿宋" w:cs="仿宋"/>
          <w:sz w:val="28"/>
          <w:szCs w:val="28"/>
        </w:rPr>
        <w:t>服务必要性：</w:t>
      </w:r>
      <w:r>
        <w:rPr>
          <w:rFonts w:hint="default" w:ascii="仿宋" w:hAnsi="仿宋" w:eastAsia="仿宋" w:cs="仿宋"/>
          <w:sz w:val="28"/>
          <w:szCs w:val="28"/>
          <w:lang w:val="en-US" w:eastAsia="zh-CN"/>
        </w:rPr>
        <w:t>一是影厅环境封闭、光线昏暗，观众落座后至电影正式开映前处于等待状态、注意力集中，广告可实现无干扰强制触达，记忆度高；二是影院银幕巨大、音效震撼，画面色彩表现力及声音穿透力远超电视、手机等小屏媒介，视觉冲击力强，能够有效传递车险品牌的专业形象与服务质感；三是映前广告可覆盖周末、法定节假日、春节档、暑期档等全年重要档期，借助高客流实现规模化曝光，传播效率高；四是投放灵活，可按影院、影厅、场次精准选择，便于配合阶段性营销活动灵活调整。</w:t>
      </w:r>
    </w:p>
    <w:p w14:paraId="621DE959">
      <w:pPr>
        <w:adjustRightInd w:val="0"/>
        <w:snapToGrid w:val="0"/>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3.市场无竞争性：经充分调研，莎车火苗图文广告店（个体工商户）</w:t>
      </w:r>
      <w:r>
        <w:rPr>
          <w:rFonts w:hint="eastAsia" w:ascii="仿宋" w:hAnsi="仿宋" w:eastAsia="仿宋" w:cs="仿宋"/>
          <w:sz w:val="28"/>
          <w:szCs w:val="28"/>
          <w:lang w:val="en-US" w:eastAsia="zh-CN"/>
        </w:rPr>
        <w:t>作为莎车县光影嘉年电影公园有限责任公司影院映前时段内人保财险车险类广告的独家播放权的供应商，不存在市场化竞争格局，无法通过公开征集方式达成采购</w:t>
      </w:r>
      <w:r>
        <w:rPr>
          <w:rFonts w:hint="eastAsia" w:ascii="仿宋" w:hAnsi="仿宋" w:eastAsia="仿宋" w:cs="仿宋"/>
          <w:sz w:val="28"/>
          <w:szCs w:val="28"/>
          <w:lang w:eastAsia="zh-CN"/>
        </w:rPr>
        <w:t>。</w:t>
      </w:r>
    </w:p>
    <w:p w14:paraId="4386BB79">
      <w:pPr>
        <w:adjustRightInd w:val="0"/>
        <w:snapToGrid w:val="0"/>
        <w:spacing w:line="360" w:lineRule="auto"/>
        <w:rPr>
          <w:rFonts w:hint="eastAsia" w:ascii="仿宋" w:hAnsi="仿宋" w:eastAsia="仿宋" w:cs="仿宋"/>
          <w:sz w:val="28"/>
          <w:szCs w:val="28"/>
        </w:rPr>
      </w:pPr>
      <w:r>
        <w:rPr>
          <w:rFonts w:hint="eastAsia" w:ascii="仿宋" w:hAnsi="仿宋" w:eastAsia="仿宋" w:cs="仿宋"/>
          <w:b/>
          <w:bCs/>
          <w:sz w:val="28"/>
          <w:szCs w:val="28"/>
          <w:lang w:eastAsia="zh-CN"/>
        </w:rPr>
        <w:t>本项目唯</w:t>
      </w:r>
      <w:r>
        <w:rPr>
          <w:rFonts w:hint="eastAsia" w:ascii="仿宋" w:hAnsi="仿宋" w:eastAsia="仿宋" w:cs="仿宋"/>
          <w:b/>
          <w:bCs/>
          <w:sz w:val="28"/>
          <w:szCs w:val="28"/>
          <w:lang w:val="en-US" w:eastAsia="zh-CN"/>
        </w:rPr>
        <w:t>一服务供应商：</w:t>
      </w:r>
      <w:r>
        <w:rPr>
          <w:rFonts w:hint="eastAsia" w:ascii="仿宋" w:hAnsi="仿宋" w:eastAsia="仿宋" w:cs="仿宋"/>
          <w:sz w:val="28"/>
          <w:szCs w:val="28"/>
          <w:lang w:val="en-US" w:eastAsia="zh-CN"/>
        </w:rPr>
        <w:t>莎车火苗图文广告店（个体工商户）。</w:t>
      </w:r>
    </w:p>
    <w:p w14:paraId="711A82F6">
      <w:pPr>
        <w:adjustRightInd w:val="0"/>
        <w:snapToGrid w:val="0"/>
        <w:spacing w:line="360" w:lineRule="auto"/>
        <w:rPr>
          <w:rFonts w:hint="eastAsia" w:ascii="仿宋" w:hAnsi="仿宋" w:eastAsia="仿宋" w:cs="仿宋"/>
          <w:sz w:val="28"/>
          <w:szCs w:val="28"/>
        </w:rPr>
      </w:pPr>
      <w:r>
        <w:rPr>
          <w:rFonts w:hint="eastAsia" w:ascii="仿宋" w:hAnsi="仿宋" w:eastAsia="仿宋" w:cs="仿宋"/>
          <w:b/>
          <w:bCs/>
          <w:sz w:val="28"/>
          <w:szCs w:val="28"/>
        </w:rPr>
        <w:t>公示日期：</w:t>
      </w:r>
      <w:r>
        <w:rPr>
          <w:rFonts w:hint="eastAsia" w:ascii="仿宋" w:hAnsi="仿宋" w:eastAsia="仿宋" w:cs="仿宋"/>
          <w:sz w:val="28"/>
          <w:szCs w:val="28"/>
        </w:rPr>
        <w:t>自公示发布之日起3</w:t>
      </w:r>
      <w:r>
        <w:rPr>
          <w:rFonts w:hint="eastAsia" w:ascii="仿宋" w:hAnsi="仿宋" w:eastAsia="仿宋" w:cs="仿宋"/>
          <w:sz w:val="28"/>
          <w:szCs w:val="28"/>
          <w:lang w:eastAsia="zh-CN"/>
        </w:rPr>
        <w:t>个工作</w:t>
      </w:r>
      <w:r>
        <w:rPr>
          <w:rFonts w:hint="eastAsia" w:ascii="仿宋" w:hAnsi="仿宋" w:eastAsia="仿宋" w:cs="仿宋"/>
          <w:sz w:val="28"/>
          <w:szCs w:val="28"/>
        </w:rPr>
        <w:t>日。</w:t>
      </w:r>
    </w:p>
    <w:p w14:paraId="50AFAE49">
      <w:pPr>
        <w:adjustRightInd w:val="0"/>
        <w:snapToGrid w:val="0"/>
        <w:spacing w:line="360" w:lineRule="auto"/>
        <w:rPr>
          <w:rFonts w:hint="eastAsia" w:ascii="仿宋" w:hAnsi="仿宋" w:eastAsia="仿宋" w:cs="仿宋"/>
          <w:sz w:val="28"/>
          <w:szCs w:val="28"/>
        </w:rPr>
      </w:pPr>
      <w:r>
        <w:rPr>
          <w:rFonts w:hint="eastAsia" w:ascii="仿宋" w:hAnsi="仿宋" w:eastAsia="仿宋" w:cs="仿宋"/>
          <w:sz w:val="28"/>
          <w:szCs w:val="28"/>
        </w:rPr>
        <w:t>任何单位或个人如对以上项目采用单一采购方式有异议，请在公示期间以书面形式进行反馈。</w:t>
      </w:r>
    </w:p>
    <w:p w14:paraId="28E34137">
      <w:pPr>
        <w:adjustRightInd w:val="0"/>
        <w:snapToGrid w:val="0"/>
        <w:spacing w:line="360" w:lineRule="auto"/>
        <w:rPr>
          <w:rFonts w:hint="default" w:ascii="仿宋" w:hAnsi="仿宋" w:eastAsia="仿宋" w:cs="仿宋"/>
          <w:sz w:val="28"/>
          <w:szCs w:val="28"/>
        </w:rPr>
      </w:pPr>
      <w:r>
        <w:rPr>
          <w:rFonts w:hint="eastAsia" w:ascii="仿宋" w:hAnsi="仿宋" w:eastAsia="仿宋" w:cs="仿宋"/>
          <w:sz w:val="28"/>
          <w:szCs w:val="28"/>
          <w:lang w:val="en-US" w:eastAsia="zh-CN"/>
        </w:rPr>
        <w:t>联系电话：包莎莎    17881096685</w:t>
      </w:r>
      <w:bookmarkStart w:id="0" w:name="_GoBack"/>
      <w:bookmarkEnd w:id="0"/>
    </w:p>
    <w:p w14:paraId="27EDF7C8">
      <w:pPr>
        <w:adjustRightInd w:val="0"/>
        <w:snapToGrid w:val="0"/>
        <w:spacing w:line="360" w:lineRule="auto"/>
        <w:rPr>
          <w:rFonts w:hint="default" w:ascii="仿宋" w:hAnsi="仿宋" w:eastAsia="仿宋" w:cs="仿宋"/>
          <w:sz w:val="28"/>
          <w:szCs w:val="28"/>
        </w:rPr>
      </w:pPr>
      <w:r>
        <w:rPr>
          <w:rFonts w:hint="eastAsia" w:ascii="仿宋" w:hAnsi="仿宋" w:eastAsia="仿宋" w:cs="仿宋"/>
          <w:sz w:val="28"/>
          <w:szCs w:val="28"/>
          <w:lang w:val="en-US" w:eastAsia="zh-CN"/>
        </w:rPr>
        <w:t>联系邮箱：baoshasha@xinj.picc.com.cn</w:t>
      </w:r>
    </w:p>
    <w:p w14:paraId="439E6CC9">
      <w:pPr>
        <w:adjustRightInd w:val="0"/>
        <w:snapToGrid w:val="0"/>
        <w:spacing w:line="360" w:lineRule="auto"/>
        <w:rPr>
          <w:rFonts w:hint="default" w:ascii="仿宋" w:hAnsi="仿宋" w:eastAsia="仿宋" w:cs="仿宋"/>
          <w:sz w:val="28"/>
          <w:szCs w:val="28"/>
        </w:rPr>
      </w:pPr>
      <w:r>
        <w:rPr>
          <w:rFonts w:hint="eastAsia" w:ascii="仿宋" w:hAnsi="仿宋" w:eastAsia="仿宋" w:cs="仿宋"/>
          <w:sz w:val="28"/>
          <w:szCs w:val="28"/>
          <w:lang w:val="en-US" w:eastAsia="zh-CN"/>
        </w:rPr>
        <w:t>                   中国人民财产保险股份有限公司喀什地区分公司</w:t>
      </w:r>
    </w:p>
    <w:p w14:paraId="0A009E52">
      <w:pPr>
        <w:adjustRightInd w:val="0"/>
        <w:snapToGrid w:val="0"/>
        <w:spacing w:line="360" w:lineRule="auto"/>
        <w:ind w:firstLine="4760" w:firstLineChars="1700"/>
        <w:rPr>
          <w:rFonts w:hint="default" w:ascii="仿宋" w:hAnsi="仿宋" w:eastAsia="仿宋" w:cs="仿宋"/>
          <w:sz w:val="28"/>
          <w:szCs w:val="28"/>
        </w:rPr>
      </w:pPr>
      <w:r>
        <w:rPr>
          <w:rFonts w:hint="eastAsia" w:ascii="仿宋" w:hAnsi="仿宋" w:eastAsia="仿宋" w:cs="仿宋"/>
          <w:sz w:val="28"/>
          <w:szCs w:val="28"/>
          <w:lang w:val="en-US" w:eastAsia="zh-CN"/>
        </w:rPr>
        <w:t>2026年6月25日</w:t>
      </w:r>
    </w:p>
    <w:p w14:paraId="52FD0BE4">
      <w:pPr>
        <w:adjustRightInd w:val="0"/>
        <w:snapToGrid w:val="0"/>
        <w:spacing w:line="360" w:lineRule="auto"/>
        <w:ind w:firstLine="560" w:firstLineChars="200"/>
        <w:rPr>
          <w:rFonts w:hint="eastAsia" w:ascii="仿宋" w:hAnsi="仿宋" w:eastAsia="仿宋" w:cs="仿宋"/>
          <w:sz w:val="28"/>
          <w:szCs w:val="28"/>
        </w:rPr>
      </w:pPr>
    </w:p>
    <w:p w14:paraId="68E3BD6B">
      <w:pPr>
        <w:adjustRightInd w:val="0"/>
        <w:snapToGrid w:val="0"/>
        <w:spacing w:line="360" w:lineRule="auto"/>
        <w:ind w:firstLine="3920" w:firstLineChars="1400"/>
        <w:rPr>
          <w:rFonts w:hint="eastAsia" w:ascii="仿宋" w:hAnsi="仿宋" w:eastAsia="仿宋" w:cs="仿宋"/>
          <w:sz w:val="28"/>
          <w:szCs w:val="28"/>
        </w:rPr>
      </w:pPr>
      <w:r>
        <w:rPr>
          <w:rFonts w:hint="eastAsia" w:ascii="仿宋" w:hAnsi="仿宋" w:eastAsia="仿宋" w:cs="仿宋"/>
          <w:sz w:val="28"/>
          <w:szCs w:val="28"/>
        </w:rPr>
        <w:t xml:space="preserve">                 </w:t>
      </w:r>
    </w:p>
    <w:p w14:paraId="3244490C">
      <w:pPr>
        <w:rPr>
          <w:sz w:val="28"/>
          <w:szCs w:val="28"/>
          <w:lang w:val="en-GB"/>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55CB95"/>
    <w:multiLevelType w:val="singleLevel"/>
    <w:tmpl w:val="9955CB95"/>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7262"/>
    <w:rsid w:val="001F351B"/>
    <w:rsid w:val="002A2A73"/>
    <w:rsid w:val="002E6470"/>
    <w:rsid w:val="00307262"/>
    <w:rsid w:val="00356E24"/>
    <w:rsid w:val="00384B8C"/>
    <w:rsid w:val="003F4318"/>
    <w:rsid w:val="00435E94"/>
    <w:rsid w:val="004A19DD"/>
    <w:rsid w:val="005962E6"/>
    <w:rsid w:val="00677DA3"/>
    <w:rsid w:val="006A637F"/>
    <w:rsid w:val="00730D87"/>
    <w:rsid w:val="00774144"/>
    <w:rsid w:val="007E5BC6"/>
    <w:rsid w:val="008D4FBE"/>
    <w:rsid w:val="0098000F"/>
    <w:rsid w:val="009D254A"/>
    <w:rsid w:val="00B03077"/>
    <w:rsid w:val="00B266C0"/>
    <w:rsid w:val="00B71FE0"/>
    <w:rsid w:val="00BF7B09"/>
    <w:rsid w:val="00C9436C"/>
    <w:rsid w:val="00CC2DD7"/>
    <w:rsid w:val="00D522FC"/>
    <w:rsid w:val="00E308F5"/>
    <w:rsid w:val="00E64709"/>
    <w:rsid w:val="00F56490"/>
    <w:rsid w:val="060D6818"/>
    <w:rsid w:val="076D1763"/>
    <w:rsid w:val="0A431109"/>
    <w:rsid w:val="112E6273"/>
    <w:rsid w:val="13806E8A"/>
    <w:rsid w:val="153D3054"/>
    <w:rsid w:val="178F2AF1"/>
    <w:rsid w:val="1E923657"/>
    <w:rsid w:val="274B4669"/>
    <w:rsid w:val="27B80865"/>
    <w:rsid w:val="343F3D15"/>
    <w:rsid w:val="3D4C0A90"/>
    <w:rsid w:val="40611474"/>
    <w:rsid w:val="415F204A"/>
    <w:rsid w:val="4C9F4297"/>
    <w:rsid w:val="565B3216"/>
    <w:rsid w:val="57914645"/>
    <w:rsid w:val="5BCD6841"/>
    <w:rsid w:val="5FE313EA"/>
    <w:rsid w:val="67EC798D"/>
    <w:rsid w:val="6C507285"/>
    <w:rsid w:val="70AB7372"/>
    <w:rsid w:val="777A7CC2"/>
    <w:rsid w:val="7EBD29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line="560" w:lineRule="exact"/>
      <w:ind w:firstLine="630" w:firstLineChars="200"/>
      <w:jc w:val="both"/>
    </w:pPr>
    <w:rPr>
      <w:rFonts w:ascii="仿宋_GB2312" w:hAnsi="仿宋_GB2312" w:eastAsia="仿宋_GB2312" w:cs="Times New Roman"/>
      <w:spacing w:val="-6"/>
      <w:sz w:val="32"/>
    </w:rPr>
  </w:style>
  <w:style w:type="paragraph" w:styleId="3">
    <w:name w:val="footer"/>
    <w:basedOn w:val="1"/>
    <w:link w:val="10"/>
    <w:unhideWhenUsed/>
    <w:qFormat/>
    <w:uiPriority w:val="99"/>
    <w:pPr>
      <w:tabs>
        <w:tab w:val="center" w:pos="4153"/>
        <w:tab w:val="right" w:pos="8306"/>
      </w:tabs>
      <w:snapToGrid w:val="0"/>
      <w:jc w:val="left"/>
    </w:pPr>
    <w:rPr>
      <w:sz w:val="18"/>
      <w:szCs w:val="18"/>
    </w:rPr>
  </w:style>
  <w:style w:type="paragraph" w:styleId="4">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0"/>
    <w:rPr>
      <w:sz w:val="24"/>
    </w:rPr>
  </w:style>
  <w:style w:type="character" w:styleId="8">
    <w:name w:val="Hyperlink"/>
    <w:basedOn w:val="7"/>
    <w:unhideWhenUsed/>
    <w:qFormat/>
    <w:uiPriority w:val="99"/>
    <w:rPr>
      <w:color w:val="0000FF" w:themeColor="hyperlink"/>
      <w:u w:val="single"/>
      <w14:textFill>
        <w14:solidFill>
          <w14:schemeClr w14:val="hlink"/>
        </w14:solidFill>
      </w14:textFill>
    </w:rPr>
  </w:style>
  <w:style w:type="character" w:customStyle="1" w:styleId="9">
    <w:name w:val="页眉 Char"/>
    <w:basedOn w:val="7"/>
    <w:link w:val="4"/>
    <w:qFormat/>
    <w:uiPriority w:val="99"/>
    <w:rPr>
      <w:sz w:val="18"/>
      <w:szCs w:val="18"/>
    </w:rPr>
  </w:style>
  <w:style w:type="character" w:customStyle="1" w:styleId="10">
    <w:name w:val="页脚 Char"/>
    <w:basedOn w:val="7"/>
    <w:link w:val="3"/>
    <w:qFormat/>
    <w:uiPriority w:val="99"/>
    <w:rPr>
      <w:sz w:val="18"/>
      <w:szCs w:val="18"/>
    </w:rPr>
  </w:style>
  <w:style w:type="paragraph" w:customStyle="1" w:styleId="11">
    <w:name w:val="Default"/>
    <w:qFormat/>
    <w:uiPriority w:val="0"/>
    <w:pPr>
      <w:widowControl w:val="0"/>
      <w:autoSpaceDE w:val="0"/>
      <w:autoSpaceDN w:val="0"/>
      <w:adjustRightInd w:val="0"/>
    </w:pPr>
    <w:rPr>
      <w:rFonts w:ascii="仿宋_GB2312" w:hAnsi="仿宋_GB2312" w:cs="仿宋_GB2312" w:eastAsiaTheme="minorEastAsia"/>
      <w:color w:val="000000"/>
      <w:kern w:val="0"/>
      <w:sz w:val="24"/>
      <w:szCs w:val="24"/>
      <w:lang w:val="en-US" w:eastAsia="zh-CN" w:bidi="ar-SA"/>
    </w:rPr>
  </w:style>
  <w:style w:type="paragraph" w:styleId="12">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Lenovo</Company>
  <Pages>2</Pages>
  <Words>900</Words>
  <Characters>938</Characters>
  <Lines>2</Lines>
  <Paragraphs>1</Paragraphs>
  <TotalTime>12</TotalTime>
  <ScaleCrop>false</ScaleCrop>
  <LinksUpToDate>false</LinksUpToDate>
  <CharactersWithSpaces>962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2019-09-03T03:40:00Z</dcterms:created>
  <dc:creator>刘娇</dc:creator>
  <cp:lastModifiedBy>沉默</cp:lastModifiedBy>
  <dcterms:modified xsi:type="dcterms:W3CDTF">2026-06-25T09:16:22Z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5649031BD3D34CEF9A86AD8D25FEE50D</vt:lpwstr>
  </property>
  <property fmtid="{D5CDD505-2E9C-101B-9397-08002B2CF9AE}" pid="4" name="KSOTemplateDocerSaveRecord">
    <vt:lpwstr>eyJoZGlkIjoiYWUwMWY4OTc0ZmJiNjUzZjc3OGY5MDA0MjYwZDUzYjUiLCJ1c2VySWQiOiIxMTM2NzUwNTM2In0=</vt:lpwstr>
  </property>
</Properties>
</file>