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adjustRightInd w:val="0"/>
        <w:snapToGrid w:val="0"/>
        <w:spacing w:line="360" w:lineRule="auto"/>
        <w:jc w:val="center"/>
        <w:rPr>
          <w:rFonts w:hint="eastAsia" w:ascii="仿宋" w:hAnsi="仿宋" w:eastAsia="仿宋" w:cs="仿宋"/>
          <w:bCs/>
          <w:color w:val="000000"/>
          <w:sz w:val="28"/>
          <w:szCs w:val="28"/>
          <w:highlight w:val="none"/>
        </w:rPr>
      </w:pPr>
    </w:p>
    <w:p>
      <w:pPr>
        <w:adjustRightInd w:val="0"/>
        <w:snapToGrid w:val="0"/>
        <w:spacing w:line="360" w:lineRule="auto"/>
        <w:rPr>
          <w:rFonts w:hint="eastAsia" w:ascii="仿宋" w:hAnsi="仿宋" w:eastAsia="仿宋" w:cs="仿宋"/>
          <w:b/>
          <w:color w:val="000000"/>
          <w:sz w:val="44"/>
          <w:szCs w:val="44"/>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r>
        <w:rPr>
          <w:rFonts w:hint="eastAsia" w:ascii="仿宋" w:hAnsi="仿宋" w:eastAsia="仿宋" w:cs="宋体"/>
          <w:b/>
          <w:color w:val="auto"/>
          <w:spacing w:val="40"/>
          <w:sz w:val="36"/>
          <w:szCs w:val="36"/>
          <w:highlight w:val="none"/>
          <w:lang w:val="en-US" w:eastAsia="zh-CN"/>
        </w:rPr>
        <w:t>人保财险宁夏分公司银川市灵武支公司职场装修改造项目</w:t>
      </w:r>
    </w:p>
    <w:p>
      <w:pPr>
        <w:pStyle w:val="17"/>
        <w:rPr>
          <w:rFonts w:hint="eastAsia"/>
          <w:highlight w:val="none"/>
        </w:rPr>
      </w:pPr>
    </w:p>
    <w:p>
      <w:pPr>
        <w:jc w:val="center"/>
        <w:rPr>
          <w:rFonts w:hint="eastAsia" w:ascii="仿宋" w:hAnsi="仿宋" w:eastAsia="仿宋" w:cs="仿宋"/>
          <w:color w:val="000000"/>
          <w:highlight w:val="none"/>
          <w:lang w:eastAsia="zh-CN"/>
        </w:rPr>
      </w:pPr>
      <w:r>
        <w:rPr>
          <w:rFonts w:hint="eastAsia" w:ascii="仿宋" w:hAnsi="仿宋" w:eastAsia="仿宋" w:cs="宋体"/>
          <w:b/>
          <w:color w:val="auto"/>
          <w:sz w:val="28"/>
          <w:szCs w:val="28"/>
          <w:highlight w:val="none"/>
        </w:rPr>
        <w:t>采购代理项目编号：NXTFZB-</w:t>
      </w:r>
      <w:r>
        <w:rPr>
          <w:rFonts w:hint="eastAsia" w:ascii="仿宋" w:hAnsi="仿宋" w:eastAsia="仿宋" w:cs="宋体"/>
          <w:b/>
          <w:color w:val="auto"/>
          <w:sz w:val="28"/>
          <w:szCs w:val="28"/>
          <w:highlight w:val="none"/>
          <w:lang w:eastAsia="zh-CN"/>
        </w:rPr>
        <w:t>2026260</w:t>
      </w: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pStyle w:val="17"/>
        <w:rPr>
          <w:rFonts w:hint="eastAsia"/>
          <w:highlight w:val="none"/>
        </w:rPr>
      </w:pPr>
    </w:p>
    <w:p>
      <w:pPr>
        <w:tabs>
          <w:tab w:val="left" w:pos="720"/>
          <w:tab w:val="left" w:pos="8295"/>
        </w:tabs>
        <w:spacing w:line="360" w:lineRule="auto"/>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比选文件</w:t>
      </w: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ascii="仿宋" w:hAnsi="仿宋" w:eastAsia="仿宋" w:cs="仿宋"/>
          <w:b/>
          <w:color w:val="000000"/>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FF0000"/>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FF0000"/>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FF0000"/>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FF0000"/>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default"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w:t>
      </w:r>
      <w:r>
        <w:rPr>
          <w:rFonts w:hint="eastAsia" w:ascii="仿宋" w:hAnsi="仿宋" w:eastAsia="仿宋" w:cs="仿宋"/>
          <w:b/>
          <w:color w:val="auto"/>
          <w:kern w:val="0"/>
          <w:sz w:val="28"/>
          <w:szCs w:val="28"/>
          <w:highlight w:val="none"/>
          <w:lang w:val="en-US" w:eastAsia="zh-CN"/>
        </w:rPr>
        <w:t>灵武支公司</w:t>
      </w:r>
    </w:p>
    <w:p>
      <w:pPr>
        <w:pStyle w:val="17"/>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采购代理机构：</w:t>
      </w:r>
      <w:r>
        <w:rPr>
          <w:rFonts w:hint="eastAsia" w:ascii="仿宋" w:hAnsi="仿宋" w:eastAsia="仿宋" w:cs="仿宋"/>
          <w:b/>
          <w:color w:val="auto"/>
          <w:kern w:val="0"/>
          <w:sz w:val="28"/>
          <w:szCs w:val="28"/>
          <w:highlight w:val="none"/>
          <w:lang w:val="en-US" w:eastAsia="zh-CN"/>
        </w:rPr>
        <w:t>宁夏回族自治区通信产业服务</w:t>
      </w:r>
      <w:r>
        <w:rPr>
          <w:rFonts w:hint="eastAsia" w:ascii="仿宋" w:hAnsi="仿宋" w:eastAsia="仿宋" w:cs="仿宋"/>
          <w:b/>
          <w:color w:val="auto"/>
          <w:kern w:val="0"/>
          <w:sz w:val="28"/>
          <w:szCs w:val="28"/>
          <w:highlight w:val="none"/>
        </w:rPr>
        <w:t>有限公司</w:t>
      </w:r>
    </w:p>
    <w:p>
      <w:pPr>
        <w:pStyle w:val="17"/>
        <w:rPr>
          <w:rFonts w:hint="eastAsia" w:ascii="仿宋" w:hAnsi="仿宋" w:eastAsia="仿宋" w:cs="仿宋"/>
          <w:b/>
          <w:color w:val="auto"/>
          <w:kern w:val="0"/>
          <w:sz w:val="28"/>
          <w:szCs w:val="28"/>
          <w:highlight w:val="none"/>
          <w:lang w:eastAsia="zh-CN"/>
        </w:rPr>
      </w:pPr>
    </w:p>
    <w:p>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rPr>
      </w:pP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pPr>
        <w:pStyle w:val="28"/>
        <w:tabs>
          <w:tab w:val="right" w:leader="dot" w:pos="9638"/>
        </w:tabs>
        <w:rPr>
          <w:highlight w:val="none"/>
        </w:rPr>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_Toc664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比选公告</w:t>
      </w:r>
      <w:r>
        <w:rPr>
          <w:highlight w:val="none"/>
        </w:rPr>
        <w:tab/>
      </w:r>
      <w:r>
        <w:rPr>
          <w:highlight w:val="none"/>
        </w:rPr>
        <w:fldChar w:fldCharType="begin"/>
      </w:r>
      <w:r>
        <w:rPr>
          <w:highlight w:val="none"/>
        </w:rPr>
        <w:instrText xml:space="preserve"> PAGEREF _Toc664 \h </w:instrText>
      </w:r>
      <w:r>
        <w:rPr>
          <w:highlight w:val="none"/>
        </w:rPr>
        <w:fldChar w:fldCharType="separate"/>
      </w:r>
      <w:r>
        <w:rPr>
          <w:highlight w:val="none"/>
        </w:rPr>
        <w:t>3</w:t>
      </w:r>
      <w:r>
        <w:rPr>
          <w:highlight w:val="none"/>
        </w:rPr>
        <w:fldChar w:fldCharType="end"/>
      </w:r>
      <w:r>
        <w:rPr>
          <w:rFonts w:hint="eastAsia" w:ascii="仿宋" w:hAnsi="仿宋" w:eastAsia="仿宋" w:cs="仿宋"/>
          <w:bCs w:val="0"/>
          <w:caps w:val="0"/>
          <w:color w:val="000000"/>
          <w:szCs w:val="24"/>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_Toc1105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rPr>
          <w:highlight w:val="none"/>
        </w:rPr>
        <w:tab/>
      </w:r>
      <w:r>
        <w:rPr>
          <w:highlight w:val="none"/>
        </w:rPr>
        <w:fldChar w:fldCharType="begin"/>
      </w:r>
      <w:r>
        <w:rPr>
          <w:highlight w:val="none"/>
        </w:rPr>
        <w:instrText xml:space="preserve"> PAGEREF _Toc1105 \h </w:instrText>
      </w:r>
      <w:r>
        <w:rPr>
          <w:highlight w:val="none"/>
        </w:rPr>
        <w:fldChar w:fldCharType="separate"/>
      </w:r>
      <w:r>
        <w:rPr>
          <w:highlight w:val="none"/>
        </w:rPr>
        <w:t>3</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_Toc3800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rPr>
          <w:highlight w:val="none"/>
        </w:rPr>
        <w:tab/>
      </w:r>
      <w:r>
        <w:rPr>
          <w:highlight w:val="none"/>
        </w:rPr>
        <w:fldChar w:fldCharType="begin"/>
      </w:r>
      <w:r>
        <w:rPr>
          <w:highlight w:val="none"/>
        </w:rPr>
        <w:instrText xml:space="preserve"> PAGEREF _Toc3800 \h </w:instrText>
      </w:r>
      <w:r>
        <w:rPr>
          <w:highlight w:val="none"/>
        </w:rPr>
        <w:fldChar w:fldCharType="separate"/>
      </w:r>
      <w:r>
        <w:rPr>
          <w:highlight w:val="none"/>
        </w:rPr>
        <w:t>3</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_Toc26143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rPr>
          <w:highlight w:val="none"/>
        </w:rPr>
        <w:tab/>
      </w:r>
      <w:r>
        <w:rPr>
          <w:highlight w:val="none"/>
        </w:rPr>
        <w:fldChar w:fldCharType="begin"/>
      </w:r>
      <w:r>
        <w:rPr>
          <w:highlight w:val="none"/>
        </w:rPr>
        <w:instrText xml:space="preserve"> PAGEREF _Toc26143 \h </w:instrText>
      </w:r>
      <w:r>
        <w:rPr>
          <w:highlight w:val="none"/>
        </w:rPr>
        <w:fldChar w:fldCharType="separate"/>
      </w:r>
      <w:r>
        <w:rPr>
          <w:highlight w:val="none"/>
        </w:rPr>
        <w:t>4</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_Toc18913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文件的获取</w:t>
      </w:r>
      <w:r>
        <w:rPr>
          <w:highlight w:val="none"/>
        </w:rPr>
        <w:tab/>
      </w:r>
      <w:r>
        <w:rPr>
          <w:highlight w:val="none"/>
        </w:rPr>
        <w:fldChar w:fldCharType="begin"/>
      </w:r>
      <w:r>
        <w:rPr>
          <w:highlight w:val="none"/>
        </w:rPr>
        <w:instrText xml:space="preserve"> PAGEREF _Toc18913 \h </w:instrText>
      </w:r>
      <w:r>
        <w:rPr>
          <w:highlight w:val="none"/>
        </w:rPr>
        <w:fldChar w:fldCharType="separate"/>
      </w:r>
      <w:r>
        <w:rPr>
          <w:highlight w:val="none"/>
        </w:rPr>
        <w:t>4</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rPr>
          <w:highlight w:val="none"/>
        </w:rPr>
        <w:tab/>
      </w:r>
      <w:r>
        <w:rPr>
          <w:highlight w:val="none"/>
        </w:rPr>
        <w:fldChar w:fldCharType="begin"/>
      </w:r>
      <w:r>
        <w:rPr>
          <w:highlight w:val="none"/>
        </w:rPr>
        <w:instrText xml:space="preserve"> PAGEREF _Toc14151 \h </w:instrText>
      </w:r>
      <w:r>
        <w:rPr>
          <w:highlight w:val="none"/>
        </w:rPr>
        <w:fldChar w:fldCharType="separate"/>
      </w:r>
      <w:r>
        <w:rPr>
          <w:highlight w:val="none"/>
        </w:rPr>
        <w:t>4</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_Toc25792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rPr>
          <w:highlight w:val="none"/>
        </w:rPr>
        <w:tab/>
      </w:r>
      <w:r>
        <w:rPr>
          <w:highlight w:val="none"/>
        </w:rPr>
        <w:fldChar w:fldCharType="begin"/>
      </w:r>
      <w:r>
        <w:rPr>
          <w:highlight w:val="none"/>
        </w:rPr>
        <w:instrText xml:space="preserve"> PAGEREF _Toc25792 \h </w:instrText>
      </w:r>
      <w:r>
        <w:rPr>
          <w:highlight w:val="none"/>
        </w:rPr>
        <w:fldChar w:fldCharType="separate"/>
      </w:r>
      <w:r>
        <w:rPr>
          <w:highlight w:val="none"/>
        </w:rPr>
        <w:t>5</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_Toc31811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rPr>
          <w:highlight w:val="none"/>
        </w:rPr>
        <w:tab/>
      </w:r>
      <w:r>
        <w:rPr>
          <w:highlight w:val="none"/>
        </w:rPr>
        <w:fldChar w:fldCharType="begin"/>
      </w:r>
      <w:r>
        <w:rPr>
          <w:highlight w:val="none"/>
        </w:rPr>
        <w:instrText xml:space="preserve"> PAGEREF _Toc31811 \h </w:instrText>
      </w:r>
      <w:r>
        <w:rPr>
          <w:highlight w:val="none"/>
        </w:rPr>
        <w:fldChar w:fldCharType="separate"/>
      </w:r>
      <w:r>
        <w:rPr>
          <w:highlight w:val="none"/>
        </w:rPr>
        <w:t>5</w:t>
      </w:r>
      <w:r>
        <w:rPr>
          <w:highlight w:val="none"/>
        </w:rPr>
        <w:fldChar w:fldCharType="end"/>
      </w:r>
      <w:r>
        <w:rPr>
          <w:rFonts w:hint="eastAsia" w:ascii="仿宋" w:hAnsi="仿宋" w:eastAsia="仿宋" w:cs="仿宋"/>
          <w:caps/>
          <w:color w:val="000000"/>
          <w:highlight w:val="none"/>
        </w:rPr>
        <w:fldChar w:fldCharType="end"/>
      </w:r>
    </w:p>
    <w:p>
      <w:pPr>
        <w:pStyle w:val="28"/>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_Toc4900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rPr>
          <w:highlight w:val="none"/>
        </w:rPr>
        <w:tab/>
      </w:r>
      <w:r>
        <w:rPr>
          <w:highlight w:val="none"/>
        </w:rPr>
        <w:fldChar w:fldCharType="begin"/>
      </w:r>
      <w:r>
        <w:rPr>
          <w:highlight w:val="none"/>
        </w:rPr>
        <w:instrText xml:space="preserve"> PAGEREF _Toc4900 \h </w:instrText>
      </w:r>
      <w:r>
        <w:rPr>
          <w:highlight w:val="none"/>
        </w:rPr>
        <w:fldChar w:fldCharType="separate"/>
      </w:r>
      <w:r>
        <w:rPr>
          <w:highlight w:val="none"/>
        </w:rPr>
        <w:t>6</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_Toc16058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rPr>
          <w:highlight w:val="none"/>
        </w:rPr>
        <w:tab/>
      </w:r>
      <w:r>
        <w:rPr>
          <w:highlight w:val="none"/>
        </w:rPr>
        <w:fldChar w:fldCharType="begin"/>
      </w:r>
      <w:r>
        <w:rPr>
          <w:highlight w:val="none"/>
        </w:rPr>
        <w:instrText xml:space="preserve"> PAGEREF _Toc16058 \h </w:instrText>
      </w:r>
      <w:r>
        <w:rPr>
          <w:highlight w:val="none"/>
        </w:rPr>
        <w:fldChar w:fldCharType="separate"/>
      </w:r>
      <w:r>
        <w:rPr>
          <w:highlight w:val="none"/>
        </w:rPr>
        <w:t>6</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_Toc4600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rPr>
          <w:highlight w:val="none"/>
        </w:rPr>
        <w:tab/>
      </w:r>
      <w:r>
        <w:rPr>
          <w:highlight w:val="none"/>
        </w:rPr>
        <w:fldChar w:fldCharType="begin"/>
      </w:r>
      <w:r>
        <w:rPr>
          <w:highlight w:val="none"/>
        </w:rPr>
        <w:instrText xml:space="preserve"> PAGEREF _Toc4600 \h </w:instrText>
      </w:r>
      <w:r>
        <w:rPr>
          <w:highlight w:val="none"/>
        </w:rPr>
        <w:fldChar w:fldCharType="separate"/>
      </w:r>
      <w:r>
        <w:rPr>
          <w:highlight w:val="none"/>
        </w:rPr>
        <w:t>11</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_Toc25128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rPr>
          <w:highlight w:val="none"/>
        </w:rPr>
        <w:tab/>
      </w:r>
      <w:r>
        <w:rPr>
          <w:highlight w:val="none"/>
        </w:rPr>
        <w:fldChar w:fldCharType="begin"/>
      </w:r>
      <w:r>
        <w:rPr>
          <w:highlight w:val="none"/>
        </w:rPr>
        <w:instrText xml:space="preserve"> PAGEREF _Toc25128 \h </w:instrText>
      </w:r>
      <w:r>
        <w:rPr>
          <w:highlight w:val="none"/>
        </w:rPr>
        <w:fldChar w:fldCharType="separate"/>
      </w:r>
      <w:r>
        <w:rPr>
          <w:highlight w:val="none"/>
        </w:rPr>
        <w:t>11</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_Toc28686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比选文件</w:t>
      </w:r>
      <w:r>
        <w:rPr>
          <w:highlight w:val="none"/>
        </w:rPr>
        <w:tab/>
      </w:r>
      <w:r>
        <w:rPr>
          <w:highlight w:val="none"/>
        </w:rPr>
        <w:fldChar w:fldCharType="begin"/>
      </w:r>
      <w:r>
        <w:rPr>
          <w:highlight w:val="none"/>
        </w:rPr>
        <w:instrText xml:space="preserve"> PAGEREF _Toc28686 \h </w:instrText>
      </w:r>
      <w:r>
        <w:rPr>
          <w:highlight w:val="none"/>
        </w:rPr>
        <w:fldChar w:fldCharType="separate"/>
      </w:r>
      <w:r>
        <w:rPr>
          <w:highlight w:val="none"/>
        </w:rPr>
        <w:t>11</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_Toc30320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rPr>
          <w:highlight w:val="none"/>
        </w:rPr>
        <w:tab/>
      </w:r>
      <w:r>
        <w:rPr>
          <w:highlight w:val="none"/>
        </w:rPr>
        <w:fldChar w:fldCharType="begin"/>
      </w:r>
      <w:r>
        <w:rPr>
          <w:highlight w:val="none"/>
        </w:rPr>
        <w:instrText xml:space="preserve"> PAGEREF _Toc30320 \h </w:instrText>
      </w:r>
      <w:r>
        <w:rPr>
          <w:highlight w:val="none"/>
        </w:rPr>
        <w:fldChar w:fldCharType="separate"/>
      </w:r>
      <w:r>
        <w:rPr>
          <w:highlight w:val="none"/>
        </w:rPr>
        <w:t>12</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_Toc4285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rPr>
          <w:highlight w:val="none"/>
        </w:rPr>
        <w:tab/>
      </w:r>
      <w:r>
        <w:rPr>
          <w:highlight w:val="none"/>
        </w:rPr>
        <w:fldChar w:fldCharType="begin"/>
      </w:r>
      <w:r>
        <w:rPr>
          <w:highlight w:val="none"/>
        </w:rPr>
        <w:instrText xml:space="preserve"> PAGEREF _Toc4285 \h </w:instrText>
      </w:r>
      <w:r>
        <w:rPr>
          <w:highlight w:val="none"/>
        </w:rPr>
        <w:fldChar w:fldCharType="separate"/>
      </w:r>
      <w:r>
        <w:rPr>
          <w:highlight w:val="none"/>
        </w:rPr>
        <w:t>14</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_Toc16486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rPr>
          <w:highlight w:val="none"/>
        </w:rPr>
        <w:tab/>
      </w:r>
      <w:r>
        <w:rPr>
          <w:highlight w:val="none"/>
        </w:rPr>
        <w:fldChar w:fldCharType="begin"/>
      </w:r>
      <w:r>
        <w:rPr>
          <w:highlight w:val="none"/>
        </w:rPr>
        <w:instrText xml:space="preserve"> PAGEREF _Toc16486 \h </w:instrText>
      </w:r>
      <w:r>
        <w:rPr>
          <w:highlight w:val="none"/>
        </w:rPr>
        <w:fldChar w:fldCharType="separate"/>
      </w:r>
      <w:r>
        <w:rPr>
          <w:highlight w:val="none"/>
        </w:rPr>
        <w:t>14</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_Toc24809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rPr>
          <w:highlight w:val="none"/>
        </w:rPr>
        <w:tab/>
      </w:r>
      <w:r>
        <w:rPr>
          <w:highlight w:val="none"/>
        </w:rPr>
        <w:fldChar w:fldCharType="begin"/>
      </w:r>
      <w:r>
        <w:rPr>
          <w:highlight w:val="none"/>
        </w:rPr>
        <w:instrText xml:space="preserve"> PAGEREF _Toc24809 \h </w:instrText>
      </w:r>
      <w:r>
        <w:rPr>
          <w:highlight w:val="none"/>
        </w:rPr>
        <w:fldChar w:fldCharType="separate"/>
      </w:r>
      <w:r>
        <w:rPr>
          <w:highlight w:val="none"/>
        </w:rPr>
        <w:t>16</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_Toc12122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rPr>
          <w:highlight w:val="none"/>
        </w:rPr>
        <w:tab/>
      </w:r>
      <w:r>
        <w:rPr>
          <w:highlight w:val="none"/>
        </w:rPr>
        <w:fldChar w:fldCharType="begin"/>
      </w:r>
      <w:r>
        <w:rPr>
          <w:highlight w:val="none"/>
        </w:rPr>
        <w:instrText xml:space="preserve"> PAGEREF _Toc12122 \h </w:instrText>
      </w:r>
      <w:r>
        <w:rPr>
          <w:highlight w:val="none"/>
        </w:rPr>
        <w:fldChar w:fldCharType="separate"/>
      </w:r>
      <w:r>
        <w:rPr>
          <w:highlight w:val="none"/>
        </w:rPr>
        <w:t>16</w:t>
      </w:r>
      <w:r>
        <w:rPr>
          <w:highlight w:val="none"/>
        </w:rPr>
        <w:fldChar w:fldCharType="end"/>
      </w:r>
      <w:r>
        <w:rPr>
          <w:rFonts w:hint="eastAsia" w:ascii="仿宋" w:hAnsi="仿宋" w:eastAsia="仿宋" w:cs="仿宋"/>
          <w:caps/>
          <w:color w:val="000000"/>
          <w:highlight w:val="none"/>
        </w:rPr>
        <w:fldChar w:fldCharType="end"/>
      </w:r>
    </w:p>
    <w:p>
      <w:pPr>
        <w:pStyle w:val="28"/>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_Toc14540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rPr>
          <w:highlight w:val="none"/>
        </w:rPr>
        <w:tab/>
      </w:r>
      <w:r>
        <w:rPr>
          <w:highlight w:val="none"/>
        </w:rPr>
        <w:fldChar w:fldCharType="begin"/>
      </w:r>
      <w:r>
        <w:rPr>
          <w:highlight w:val="none"/>
        </w:rPr>
        <w:instrText xml:space="preserve"> PAGEREF _Toc14540 \h </w:instrText>
      </w:r>
      <w:r>
        <w:rPr>
          <w:highlight w:val="none"/>
        </w:rPr>
        <w:fldChar w:fldCharType="separate"/>
      </w:r>
      <w:r>
        <w:rPr>
          <w:highlight w:val="none"/>
        </w:rPr>
        <w:t>18</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rPr>
          <w:highlight w:val="none"/>
        </w:rPr>
        <w:tab/>
      </w:r>
      <w:r>
        <w:rPr>
          <w:highlight w:val="none"/>
        </w:rPr>
        <w:fldChar w:fldCharType="begin"/>
      </w:r>
      <w:r>
        <w:rPr>
          <w:highlight w:val="none"/>
        </w:rPr>
        <w:instrText xml:space="preserve"> PAGEREF _Toc28698 \h </w:instrText>
      </w:r>
      <w:r>
        <w:rPr>
          <w:highlight w:val="none"/>
        </w:rPr>
        <w:fldChar w:fldCharType="separate"/>
      </w:r>
      <w:r>
        <w:rPr>
          <w:highlight w:val="none"/>
        </w:rPr>
        <w:t>18</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_Toc31089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rPr>
          <w:highlight w:val="none"/>
        </w:rPr>
        <w:tab/>
      </w:r>
      <w:r>
        <w:rPr>
          <w:highlight w:val="none"/>
        </w:rPr>
        <w:fldChar w:fldCharType="begin"/>
      </w:r>
      <w:r>
        <w:rPr>
          <w:highlight w:val="none"/>
        </w:rPr>
        <w:instrText xml:space="preserve"> PAGEREF _Toc31089 \h </w:instrText>
      </w:r>
      <w:r>
        <w:rPr>
          <w:highlight w:val="none"/>
        </w:rPr>
        <w:fldChar w:fldCharType="separate"/>
      </w:r>
      <w:r>
        <w:rPr>
          <w:highlight w:val="none"/>
        </w:rPr>
        <w:t>19</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_Toc4376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rPr>
          <w:highlight w:val="none"/>
        </w:rPr>
        <w:tab/>
      </w:r>
      <w:r>
        <w:rPr>
          <w:highlight w:val="none"/>
        </w:rPr>
        <w:fldChar w:fldCharType="begin"/>
      </w:r>
      <w:r>
        <w:rPr>
          <w:highlight w:val="none"/>
        </w:rPr>
        <w:instrText xml:space="preserve"> PAGEREF _Toc4376 \h </w:instrText>
      </w:r>
      <w:r>
        <w:rPr>
          <w:highlight w:val="none"/>
        </w:rPr>
        <w:fldChar w:fldCharType="separate"/>
      </w:r>
      <w:r>
        <w:rPr>
          <w:highlight w:val="none"/>
        </w:rPr>
        <w:t>20</w:t>
      </w:r>
      <w:r>
        <w:rPr>
          <w:highlight w:val="none"/>
        </w:rPr>
        <w:fldChar w:fldCharType="end"/>
      </w:r>
      <w:r>
        <w:rPr>
          <w:rFonts w:hint="eastAsia" w:ascii="仿宋" w:hAnsi="仿宋" w:eastAsia="仿宋" w:cs="仿宋"/>
          <w:caps/>
          <w:color w:val="000000"/>
          <w:highlight w:val="none"/>
        </w:rPr>
        <w:fldChar w:fldCharType="end"/>
      </w:r>
    </w:p>
    <w:p>
      <w:pPr>
        <w:pStyle w:val="28"/>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_Toc10961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rPr>
          <w:highlight w:val="none"/>
        </w:rPr>
        <w:tab/>
      </w:r>
      <w:r>
        <w:rPr>
          <w:highlight w:val="none"/>
        </w:rPr>
        <w:fldChar w:fldCharType="begin"/>
      </w:r>
      <w:r>
        <w:rPr>
          <w:highlight w:val="none"/>
        </w:rPr>
        <w:instrText xml:space="preserve"> PAGEREF _Toc10961 \h </w:instrText>
      </w:r>
      <w:r>
        <w:rPr>
          <w:highlight w:val="none"/>
        </w:rPr>
        <w:fldChar w:fldCharType="separate"/>
      </w:r>
      <w:r>
        <w:rPr>
          <w:highlight w:val="none"/>
        </w:rPr>
        <w:t>21</w:t>
      </w:r>
      <w:r>
        <w:rPr>
          <w:highlight w:val="none"/>
        </w:rPr>
        <w:fldChar w:fldCharType="end"/>
      </w:r>
      <w:r>
        <w:rPr>
          <w:rFonts w:hint="eastAsia" w:ascii="仿宋" w:hAnsi="仿宋" w:eastAsia="仿宋" w:cs="仿宋"/>
          <w:caps/>
          <w:color w:val="000000"/>
          <w:highlight w:val="none"/>
        </w:rPr>
        <w:fldChar w:fldCharType="end"/>
      </w:r>
    </w:p>
    <w:p>
      <w:pPr>
        <w:pStyle w:val="28"/>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_Toc2185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rPr>
          <w:highlight w:val="none"/>
        </w:rPr>
        <w:tab/>
      </w:r>
      <w:r>
        <w:rPr>
          <w:highlight w:val="none"/>
        </w:rPr>
        <w:fldChar w:fldCharType="begin"/>
      </w:r>
      <w:r>
        <w:rPr>
          <w:highlight w:val="none"/>
        </w:rPr>
        <w:instrText xml:space="preserve"> PAGEREF _Toc2185 \h </w:instrText>
      </w:r>
      <w:r>
        <w:rPr>
          <w:highlight w:val="none"/>
        </w:rPr>
        <w:fldChar w:fldCharType="separate"/>
      </w:r>
      <w:r>
        <w:rPr>
          <w:highlight w:val="none"/>
        </w:rPr>
        <w:t>22</w:t>
      </w:r>
      <w:r>
        <w:rPr>
          <w:highlight w:val="none"/>
        </w:rPr>
        <w:fldChar w:fldCharType="end"/>
      </w:r>
      <w:r>
        <w:rPr>
          <w:rFonts w:hint="eastAsia" w:ascii="仿宋" w:hAnsi="仿宋" w:eastAsia="仿宋" w:cs="仿宋"/>
          <w:caps/>
          <w:color w:val="000000"/>
          <w:highlight w:val="none"/>
        </w:rPr>
        <w:fldChar w:fldCharType="end"/>
      </w:r>
    </w:p>
    <w:p>
      <w:pPr>
        <w:pStyle w:val="28"/>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_Toc18403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rPr>
          <w:highlight w:val="none"/>
        </w:rPr>
        <w:tab/>
      </w:r>
      <w:r>
        <w:rPr>
          <w:highlight w:val="none"/>
        </w:rPr>
        <w:fldChar w:fldCharType="begin"/>
      </w:r>
      <w:r>
        <w:rPr>
          <w:highlight w:val="none"/>
        </w:rPr>
        <w:instrText xml:space="preserve"> PAGEREF _Toc18403 \h </w:instrText>
      </w:r>
      <w:r>
        <w:rPr>
          <w:highlight w:val="none"/>
        </w:rPr>
        <w:fldChar w:fldCharType="separate"/>
      </w:r>
      <w:r>
        <w:rPr>
          <w:highlight w:val="none"/>
        </w:rPr>
        <w:t>23</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_Toc13502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rPr>
          <w:highlight w:val="none"/>
        </w:rPr>
        <w:tab/>
      </w:r>
      <w:r>
        <w:rPr>
          <w:highlight w:val="none"/>
        </w:rPr>
        <w:fldChar w:fldCharType="begin"/>
      </w:r>
      <w:r>
        <w:rPr>
          <w:highlight w:val="none"/>
        </w:rPr>
        <w:instrText xml:space="preserve"> PAGEREF _Toc13502 \h </w:instrText>
      </w:r>
      <w:r>
        <w:rPr>
          <w:highlight w:val="none"/>
        </w:rPr>
        <w:fldChar w:fldCharType="separate"/>
      </w:r>
      <w:r>
        <w:rPr>
          <w:highlight w:val="none"/>
        </w:rPr>
        <w:t>24</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_Toc4130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rPr>
          <w:highlight w:val="none"/>
        </w:rPr>
        <w:tab/>
      </w:r>
      <w:r>
        <w:rPr>
          <w:highlight w:val="none"/>
        </w:rPr>
        <w:fldChar w:fldCharType="begin"/>
      </w:r>
      <w:r>
        <w:rPr>
          <w:highlight w:val="none"/>
        </w:rPr>
        <w:instrText xml:space="preserve"> PAGEREF _Toc4130 \h </w:instrText>
      </w:r>
      <w:r>
        <w:rPr>
          <w:highlight w:val="none"/>
        </w:rPr>
        <w:fldChar w:fldCharType="separate"/>
      </w:r>
      <w:r>
        <w:rPr>
          <w:highlight w:val="none"/>
        </w:rPr>
        <w:t>26</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_Toc28679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rPr>
          <w:highlight w:val="none"/>
        </w:rPr>
        <w:tab/>
      </w:r>
      <w:r>
        <w:rPr>
          <w:highlight w:val="none"/>
        </w:rPr>
        <w:fldChar w:fldCharType="begin"/>
      </w:r>
      <w:r>
        <w:rPr>
          <w:highlight w:val="none"/>
        </w:rPr>
        <w:instrText xml:space="preserve"> PAGEREF _Toc28679 \h </w:instrText>
      </w:r>
      <w:r>
        <w:rPr>
          <w:highlight w:val="none"/>
        </w:rPr>
        <w:fldChar w:fldCharType="separate"/>
      </w:r>
      <w:r>
        <w:rPr>
          <w:highlight w:val="none"/>
        </w:rPr>
        <w:t>27</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_Toc12888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rPr>
          <w:highlight w:val="none"/>
        </w:rPr>
        <w:tab/>
      </w:r>
      <w:r>
        <w:rPr>
          <w:highlight w:val="none"/>
        </w:rPr>
        <w:fldChar w:fldCharType="begin"/>
      </w:r>
      <w:r>
        <w:rPr>
          <w:highlight w:val="none"/>
        </w:rPr>
        <w:instrText xml:space="preserve"> PAGEREF _Toc12888 \h </w:instrText>
      </w:r>
      <w:r>
        <w:rPr>
          <w:highlight w:val="none"/>
        </w:rPr>
        <w:fldChar w:fldCharType="separate"/>
      </w:r>
      <w:r>
        <w:rPr>
          <w:highlight w:val="none"/>
        </w:rPr>
        <w:t>28</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_Toc23769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rPr>
          <w:highlight w:val="none"/>
        </w:rPr>
        <w:tab/>
      </w:r>
      <w:r>
        <w:rPr>
          <w:highlight w:val="none"/>
        </w:rPr>
        <w:fldChar w:fldCharType="begin"/>
      </w:r>
      <w:r>
        <w:rPr>
          <w:highlight w:val="none"/>
        </w:rPr>
        <w:instrText xml:space="preserve"> PAGEREF _Toc23769 \h </w:instrText>
      </w:r>
      <w:r>
        <w:rPr>
          <w:highlight w:val="none"/>
        </w:rPr>
        <w:fldChar w:fldCharType="separate"/>
      </w:r>
      <w:r>
        <w:rPr>
          <w:highlight w:val="none"/>
        </w:rPr>
        <w:t>29</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_Toc685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rPr>
          <w:highlight w:val="none"/>
        </w:rPr>
        <w:tab/>
      </w:r>
      <w:r>
        <w:rPr>
          <w:highlight w:val="none"/>
        </w:rPr>
        <w:fldChar w:fldCharType="begin"/>
      </w:r>
      <w:r>
        <w:rPr>
          <w:highlight w:val="none"/>
        </w:rPr>
        <w:instrText xml:space="preserve"> PAGEREF _Toc685 \h </w:instrText>
      </w:r>
      <w:r>
        <w:rPr>
          <w:highlight w:val="none"/>
        </w:rPr>
        <w:fldChar w:fldCharType="separate"/>
      </w:r>
      <w:r>
        <w:rPr>
          <w:highlight w:val="none"/>
        </w:rPr>
        <w:t>38</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_Toc29720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rPr>
          <w:highlight w:val="none"/>
        </w:rPr>
        <w:tab/>
      </w:r>
      <w:r>
        <w:rPr>
          <w:highlight w:val="none"/>
        </w:rPr>
        <w:fldChar w:fldCharType="begin"/>
      </w:r>
      <w:r>
        <w:rPr>
          <w:highlight w:val="none"/>
        </w:rPr>
        <w:instrText xml:space="preserve"> PAGEREF _Toc29720 \h </w:instrText>
      </w:r>
      <w:r>
        <w:rPr>
          <w:highlight w:val="none"/>
        </w:rPr>
        <w:fldChar w:fldCharType="separate"/>
      </w:r>
      <w:r>
        <w:rPr>
          <w:highlight w:val="none"/>
        </w:rPr>
        <w:t>40</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_Toc15953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rPr>
          <w:highlight w:val="none"/>
        </w:rPr>
        <w:tab/>
      </w:r>
      <w:r>
        <w:rPr>
          <w:highlight w:val="none"/>
        </w:rPr>
        <w:fldChar w:fldCharType="begin"/>
      </w:r>
      <w:r>
        <w:rPr>
          <w:highlight w:val="none"/>
        </w:rPr>
        <w:instrText xml:space="preserve"> PAGEREF _Toc15953 \h </w:instrText>
      </w:r>
      <w:r>
        <w:rPr>
          <w:highlight w:val="none"/>
        </w:rPr>
        <w:fldChar w:fldCharType="separate"/>
      </w:r>
      <w:r>
        <w:rPr>
          <w:highlight w:val="none"/>
        </w:rPr>
        <w:t>42</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_Toc28333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rPr>
          <w:highlight w:val="none"/>
        </w:rPr>
        <w:tab/>
      </w:r>
      <w:r>
        <w:rPr>
          <w:highlight w:val="none"/>
        </w:rPr>
        <w:fldChar w:fldCharType="begin"/>
      </w:r>
      <w:r>
        <w:rPr>
          <w:highlight w:val="none"/>
        </w:rPr>
        <w:instrText xml:space="preserve"> PAGEREF _Toc28333 \h </w:instrText>
      </w:r>
      <w:r>
        <w:rPr>
          <w:highlight w:val="none"/>
        </w:rPr>
        <w:fldChar w:fldCharType="separate"/>
      </w:r>
      <w:r>
        <w:rPr>
          <w:highlight w:val="none"/>
        </w:rPr>
        <w:t>46</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_Toc12592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rPr>
          <w:highlight w:val="none"/>
        </w:rPr>
        <w:tab/>
      </w:r>
      <w:r>
        <w:rPr>
          <w:highlight w:val="none"/>
        </w:rPr>
        <w:fldChar w:fldCharType="begin"/>
      </w:r>
      <w:r>
        <w:rPr>
          <w:highlight w:val="none"/>
        </w:rPr>
        <w:instrText xml:space="preserve"> PAGEREF _Toc12592 \h </w:instrText>
      </w:r>
      <w:r>
        <w:rPr>
          <w:highlight w:val="none"/>
        </w:rPr>
        <w:fldChar w:fldCharType="separate"/>
      </w:r>
      <w:r>
        <w:rPr>
          <w:highlight w:val="none"/>
        </w:rPr>
        <w:t>47</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_Toc11476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rPr>
          <w:highlight w:val="none"/>
        </w:rPr>
        <w:tab/>
      </w:r>
      <w:r>
        <w:rPr>
          <w:highlight w:val="none"/>
        </w:rPr>
        <w:fldChar w:fldCharType="begin"/>
      </w:r>
      <w:r>
        <w:rPr>
          <w:highlight w:val="none"/>
        </w:rPr>
        <w:instrText xml:space="preserve"> PAGEREF _Toc11476 \h </w:instrText>
      </w:r>
      <w:r>
        <w:rPr>
          <w:highlight w:val="none"/>
        </w:rPr>
        <w:fldChar w:fldCharType="separate"/>
      </w:r>
      <w:r>
        <w:rPr>
          <w:highlight w:val="none"/>
        </w:rPr>
        <w:t>48</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_Toc30355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rPr>
          <w:highlight w:val="none"/>
        </w:rPr>
        <w:tab/>
      </w:r>
      <w:r>
        <w:rPr>
          <w:highlight w:val="none"/>
        </w:rPr>
        <w:fldChar w:fldCharType="begin"/>
      </w:r>
      <w:r>
        <w:rPr>
          <w:highlight w:val="none"/>
        </w:rPr>
        <w:instrText xml:space="preserve"> PAGEREF _Toc30355 \h </w:instrText>
      </w:r>
      <w:r>
        <w:rPr>
          <w:highlight w:val="none"/>
        </w:rPr>
        <w:fldChar w:fldCharType="separate"/>
      </w:r>
      <w:r>
        <w:rPr>
          <w:highlight w:val="none"/>
        </w:rPr>
        <w:t>51</w:t>
      </w:r>
      <w:r>
        <w:rPr>
          <w:highlight w:val="none"/>
        </w:rPr>
        <w:fldChar w:fldCharType="end"/>
      </w:r>
      <w:r>
        <w:rPr>
          <w:rFonts w:hint="eastAsia" w:ascii="仿宋" w:hAnsi="仿宋" w:eastAsia="仿宋" w:cs="仿宋"/>
          <w:caps/>
          <w:color w:val="000000"/>
          <w:highlight w:val="none"/>
        </w:rPr>
        <w:fldChar w:fldCharType="end"/>
      </w:r>
    </w:p>
    <w:p>
      <w:pPr>
        <w:pStyle w:val="33"/>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_Toc4289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rPr>
          <w:highlight w:val="none"/>
        </w:rPr>
        <w:tab/>
      </w:r>
      <w:r>
        <w:rPr>
          <w:highlight w:val="none"/>
        </w:rPr>
        <w:fldChar w:fldCharType="begin"/>
      </w:r>
      <w:r>
        <w:rPr>
          <w:highlight w:val="none"/>
        </w:rPr>
        <w:instrText xml:space="preserve"> PAGEREF _Toc4289 \h </w:instrText>
      </w:r>
      <w:r>
        <w:rPr>
          <w:highlight w:val="none"/>
        </w:rPr>
        <w:fldChar w:fldCharType="separate"/>
      </w:r>
      <w:r>
        <w:rPr>
          <w:highlight w:val="none"/>
        </w:rPr>
        <w:t>52</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_Toc5032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rPr>
          <w:highlight w:val="none"/>
        </w:rPr>
        <w:tab/>
      </w:r>
      <w:r>
        <w:rPr>
          <w:highlight w:val="none"/>
        </w:rPr>
        <w:fldChar w:fldCharType="begin"/>
      </w:r>
      <w:r>
        <w:rPr>
          <w:highlight w:val="none"/>
        </w:rPr>
        <w:instrText xml:space="preserve"> PAGEREF _Toc5032 \h </w:instrText>
      </w:r>
      <w:r>
        <w:rPr>
          <w:highlight w:val="none"/>
        </w:rPr>
        <w:fldChar w:fldCharType="separate"/>
      </w:r>
      <w:r>
        <w:rPr>
          <w:highlight w:val="none"/>
        </w:rPr>
        <w:t>52</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_Toc12176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lang w:eastAsia="zh-CN"/>
        </w:rPr>
        <w:t>）</w:t>
      </w:r>
      <w:r>
        <w:rPr>
          <w:rFonts w:hint="eastAsia" w:ascii="仿宋" w:hAnsi="仿宋" w:eastAsia="仿宋" w:cs="仿宋"/>
          <w:szCs w:val="24"/>
          <w:highlight w:val="none"/>
        </w:rPr>
        <w:t>分项报价表</w:t>
      </w:r>
      <w:r>
        <w:rPr>
          <w:highlight w:val="none"/>
        </w:rPr>
        <w:tab/>
      </w:r>
      <w:r>
        <w:rPr>
          <w:highlight w:val="none"/>
        </w:rPr>
        <w:fldChar w:fldCharType="begin"/>
      </w:r>
      <w:r>
        <w:rPr>
          <w:highlight w:val="none"/>
        </w:rPr>
        <w:instrText xml:space="preserve"> PAGEREF _Toc12176 \h </w:instrText>
      </w:r>
      <w:r>
        <w:rPr>
          <w:highlight w:val="none"/>
        </w:rPr>
        <w:fldChar w:fldCharType="separate"/>
      </w:r>
      <w:r>
        <w:rPr>
          <w:highlight w:val="none"/>
        </w:rPr>
        <w:t>53</w:t>
      </w:r>
      <w:r>
        <w:rPr>
          <w:highlight w:val="none"/>
        </w:rP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pPr>
        <w:pStyle w:val="2"/>
        <w:spacing w:before="0" w:after="0" w:line="360" w:lineRule="auto"/>
        <w:jc w:val="center"/>
        <w:rPr>
          <w:rFonts w:hint="eastAsia" w:ascii="仿宋" w:hAnsi="仿宋" w:eastAsia="仿宋" w:cs="仿宋"/>
          <w:bCs w:val="0"/>
          <w:color w:val="000000"/>
          <w:sz w:val="28"/>
          <w:szCs w:val="28"/>
          <w:highlight w:val="none"/>
          <w:lang w:eastAsia="zh-CN"/>
        </w:rPr>
      </w:pPr>
      <w:bookmarkStart w:id="1" w:name="_Toc664"/>
      <w:bookmarkStart w:id="2" w:name="_Toc11838"/>
      <w:bookmarkStart w:id="3" w:name="_Toc444891333"/>
      <w:bookmarkStart w:id="4" w:name="_Toc287600115"/>
      <w:bookmarkStart w:id="5" w:name="_Toc11826"/>
      <w:bookmarkStart w:id="6" w:name="_Toc517281813"/>
      <w:bookmarkStart w:id="7" w:name="_Toc7300"/>
      <w:bookmarkStart w:id="8" w:name="_Toc19709"/>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比选公告</w:t>
      </w:r>
      <w:bookmarkEnd w:id="1"/>
    </w:p>
    <w:p>
      <w:pPr>
        <w:pageBreakBefore w:val="0"/>
        <w:kinsoku/>
        <w:wordWrap/>
        <w:overflowPunct/>
        <w:topLinePunct w:val="0"/>
        <w:autoSpaceDE/>
        <w:autoSpaceDN/>
        <w:bidi w:val="0"/>
        <w:adjustRightInd/>
        <w:snapToGrid/>
        <w:spacing w:line="360" w:lineRule="auto"/>
        <w:jc w:val="left"/>
        <w:rPr>
          <w:rFonts w:hint="eastAsia" w:ascii="仿宋" w:hAnsi="仿宋" w:eastAsia="仿宋" w:cs="Cambria Math"/>
          <w:color w:val="auto"/>
          <w:sz w:val="24"/>
          <w:szCs w:val="24"/>
          <w:highlight w:val="none"/>
        </w:rPr>
      </w:pP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szCs w:val="24"/>
          <w:highlight w:val="none"/>
        </w:rPr>
        <w:t>本项目</w:t>
      </w:r>
      <w:r>
        <w:rPr>
          <w:rFonts w:hint="eastAsia" w:ascii="仿宋" w:hAnsi="仿宋" w:eastAsia="仿宋" w:cs="仿宋"/>
          <w:color w:val="000000"/>
          <w:sz w:val="24"/>
          <w:szCs w:val="24"/>
          <w:highlight w:val="none"/>
          <w:u w:val="single"/>
          <w:lang w:eastAsia="zh-CN"/>
        </w:rPr>
        <w:t>人保财险宁夏分公司银川市灵武支公司职场装修改造项目</w:t>
      </w:r>
      <w:r>
        <w:rPr>
          <w:rFonts w:hint="eastAsia" w:ascii="仿宋" w:hAnsi="仿宋" w:eastAsia="仿宋" w:cs="仿宋"/>
          <w:color w:val="auto"/>
          <w:sz w:val="24"/>
          <w:szCs w:val="24"/>
          <w:highlight w:val="none"/>
        </w:rPr>
        <w:t>（采购代理项目编号：NXTFZB-</w:t>
      </w:r>
      <w:r>
        <w:rPr>
          <w:rFonts w:hint="eastAsia" w:ascii="仿宋" w:hAnsi="仿宋" w:eastAsia="仿宋" w:cs="仿宋"/>
          <w:color w:val="auto"/>
          <w:sz w:val="24"/>
          <w:szCs w:val="24"/>
          <w:highlight w:val="none"/>
          <w:lang w:eastAsia="zh-CN"/>
        </w:rPr>
        <w:t>2026260</w:t>
      </w: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u w:val="single"/>
          <w:lang w:eastAsia="zh-CN"/>
        </w:rPr>
        <w:t>中国人民财产保险股份有限公司</w:t>
      </w:r>
      <w:r>
        <w:rPr>
          <w:rFonts w:hint="eastAsia" w:ascii="仿宋" w:hAnsi="仿宋" w:eastAsia="仿宋" w:cs="仿宋"/>
          <w:color w:val="auto"/>
          <w:sz w:val="24"/>
          <w:szCs w:val="24"/>
          <w:highlight w:val="none"/>
          <w:u w:val="single"/>
          <w:lang w:val="en-US" w:eastAsia="zh-CN"/>
        </w:rPr>
        <w:t>灵武支公司</w:t>
      </w:r>
      <w:r>
        <w:rPr>
          <w:rFonts w:hint="eastAsia" w:ascii="仿宋" w:hAnsi="仿宋" w:eastAsia="仿宋" w:cs="仿宋"/>
          <w:color w:val="auto"/>
          <w:sz w:val="24"/>
          <w:szCs w:val="24"/>
          <w:highlight w:val="none"/>
        </w:rPr>
        <w:t>（以下简称“采购人”）</w:t>
      </w:r>
      <w:r>
        <w:rPr>
          <w:rFonts w:hint="eastAsia" w:ascii="仿宋" w:hAnsi="仿宋" w:eastAsia="仿宋" w:cs="Cambria Math"/>
          <w:color w:val="auto"/>
          <w:sz w:val="24"/>
          <w:szCs w:val="24"/>
          <w:highlight w:val="none"/>
        </w:rPr>
        <w:t>批准并落实资金，组织本项目的</w:t>
      </w:r>
      <w:r>
        <w:rPr>
          <w:rFonts w:hint="eastAsia" w:ascii="仿宋" w:hAnsi="仿宋" w:eastAsia="仿宋" w:cs="Cambria Math"/>
          <w:color w:val="auto"/>
          <w:sz w:val="24"/>
          <w:szCs w:val="24"/>
          <w:highlight w:val="none"/>
          <w:lang w:eastAsia="zh-CN"/>
        </w:rPr>
        <w:t>比选</w:t>
      </w:r>
      <w:r>
        <w:rPr>
          <w:rFonts w:hint="eastAsia" w:ascii="仿宋" w:hAnsi="仿宋" w:eastAsia="仿宋" w:cs="Cambria Math"/>
          <w:color w:val="auto"/>
          <w:sz w:val="24"/>
          <w:szCs w:val="24"/>
          <w:highlight w:val="none"/>
        </w:rPr>
        <w:t>工作</w:t>
      </w:r>
      <w:r>
        <w:rPr>
          <w:rFonts w:hint="eastAsia" w:ascii="仿宋" w:hAnsi="仿宋" w:eastAsia="仿宋" w:cs="仿宋"/>
          <w:color w:val="auto"/>
          <w:sz w:val="24"/>
          <w:szCs w:val="24"/>
          <w:highlight w:val="none"/>
        </w:rPr>
        <w:t>，采购合同由</w:t>
      </w:r>
      <w:r>
        <w:rPr>
          <w:rFonts w:hint="eastAsia" w:ascii="仿宋" w:hAnsi="仿宋" w:eastAsia="仿宋" w:cs="宋体"/>
          <w:color w:val="auto"/>
          <w:sz w:val="24"/>
          <w:szCs w:val="24"/>
          <w:highlight w:val="none"/>
          <w:u w:val="single"/>
          <w:lang w:eastAsia="zh-CN"/>
        </w:rPr>
        <w:t>中国人民财产保险股份有限公司</w:t>
      </w:r>
      <w:r>
        <w:rPr>
          <w:rFonts w:hint="eastAsia" w:ascii="仿宋" w:hAnsi="仿宋" w:eastAsia="仿宋" w:cs="宋体"/>
          <w:color w:val="auto"/>
          <w:sz w:val="24"/>
          <w:szCs w:val="24"/>
          <w:highlight w:val="none"/>
          <w:u w:val="single"/>
          <w:lang w:val="en-US" w:eastAsia="zh-CN"/>
        </w:rPr>
        <w:t>银川分公司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w:t>
      </w:r>
      <w:r>
        <w:rPr>
          <w:rFonts w:hint="eastAsia" w:ascii="仿宋" w:hAnsi="仿宋" w:eastAsia="仿宋" w:cs="宋体"/>
          <w:color w:val="auto"/>
          <w:sz w:val="24"/>
          <w:szCs w:val="24"/>
          <w:highlight w:val="none"/>
          <w:lang w:val="en-US" w:eastAsia="zh-CN"/>
        </w:rPr>
        <w:t>银川分</w:t>
      </w:r>
      <w:r>
        <w:rPr>
          <w:rFonts w:hint="eastAsia" w:ascii="仿宋" w:hAnsi="仿宋" w:eastAsia="仿宋" w:cs="宋体"/>
          <w:color w:val="auto"/>
          <w:sz w:val="24"/>
          <w:szCs w:val="24"/>
          <w:highlight w:val="none"/>
          <w:lang w:eastAsia="zh-CN"/>
        </w:rPr>
        <w:t>公司</w:t>
      </w:r>
      <w:r>
        <w:rPr>
          <w:rFonts w:hint="eastAsia" w:ascii="仿宋" w:hAnsi="仿宋" w:eastAsia="仿宋" w:cs="宋体"/>
          <w:color w:val="auto"/>
          <w:sz w:val="24"/>
          <w:szCs w:val="24"/>
          <w:highlight w:val="none"/>
        </w:rPr>
        <w:t>”）</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结果与</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人签署。现委托</w:t>
      </w:r>
      <w:r>
        <w:rPr>
          <w:rFonts w:hint="eastAsia" w:ascii="仿宋" w:hAnsi="仿宋" w:eastAsia="仿宋" w:cs="宋体"/>
          <w:color w:val="auto"/>
          <w:sz w:val="24"/>
          <w:szCs w:val="24"/>
          <w:highlight w:val="none"/>
          <w:u w:val="single"/>
          <w:lang w:val="en-US" w:eastAsia="zh-CN"/>
        </w:rPr>
        <w:t>宁夏回族自治区通信产业服务</w:t>
      </w:r>
      <w:r>
        <w:rPr>
          <w:rFonts w:hint="eastAsia" w:ascii="仿宋" w:hAnsi="仿宋" w:eastAsia="仿宋" w:cs="宋体"/>
          <w:color w:val="auto"/>
          <w:sz w:val="24"/>
          <w:szCs w:val="24"/>
          <w:highlight w:val="none"/>
          <w:u w:val="single"/>
        </w:rPr>
        <w:t>有限公司</w:t>
      </w:r>
      <w:r>
        <w:rPr>
          <w:rFonts w:hint="eastAsia" w:ascii="仿宋" w:hAnsi="仿宋" w:eastAsia="仿宋" w:cs="仿宋"/>
          <w:color w:val="auto"/>
          <w:sz w:val="24"/>
          <w:szCs w:val="24"/>
          <w:highlight w:val="none"/>
        </w:rPr>
        <w:t>（以下简称“采购代理机构”）进行</w:t>
      </w:r>
      <w:r>
        <w:rPr>
          <w:rFonts w:hint="eastAsia" w:ascii="仿宋" w:hAnsi="仿宋" w:eastAsia="仿宋" w:cs="仿宋"/>
          <w:color w:val="auto"/>
          <w:sz w:val="24"/>
          <w:szCs w:val="24"/>
          <w:highlight w:val="none"/>
          <w:lang w:val="en-US" w:eastAsia="zh-CN"/>
        </w:rPr>
        <w:t>公开比选</w:t>
      </w:r>
      <w:r>
        <w:rPr>
          <w:rFonts w:hint="eastAsia" w:ascii="仿宋" w:hAnsi="仿宋" w:eastAsia="仿宋" w:cs="仿宋"/>
          <w:color w:val="auto"/>
          <w:sz w:val="24"/>
          <w:szCs w:val="24"/>
          <w:highlight w:val="none"/>
        </w:rPr>
        <w:t>，</w:t>
      </w:r>
      <w:r>
        <w:rPr>
          <w:rFonts w:hint="eastAsia" w:ascii="仿宋" w:hAnsi="仿宋" w:eastAsia="仿宋" w:cs="Cambria Math"/>
          <w:color w:val="auto"/>
          <w:sz w:val="24"/>
          <w:szCs w:val="24"/>
          <w:highlight w:val="none"/>
        </w:rPr>
        <w:t>有意向且具有提供标的物能力的潜在供应商（以下简称“供应商”）可前来参与</w:t>
      </w:r>
      <w:r>
        <w:rPr>
          <w:rFonts w:hint="eastAsia" w:ascii="仿宋" w:hAnsi="仿宋" w:eastAsia="仿宋" w:cs="Cambria Math"/>
          <w:color w:val="auto"/>
          <w:sz w:val="24"/>
          <w:szCs w:val="24"/>
          <w:highlight w:val="none"/>
          <w:lang w:eastAsia="zh-CN"/>
        </w:rPr>
        <w:t>比选</w:t>
      </w:r>
      <w:r>
        <w:rPr>
          <w:rFonts w:hint="eastAsia" w:ascii="仿宋" w:hAnsi="仿宋" w:eastAsia="仿宋" w:cs="Cambria Math"/>
          <w:color w:val="auto"/>
          <w:sz w:val="24"/>
          <w:szCs w:val="24"/>
          <w:highlight w:val="none"/>
        </w:rPr>
        <w:t xml:space="preserve">响应。 </w:t>
      </w:r>
    </w:p>
    <w:p>
      <w:pPr>
        <w:pStyle w:val="3"/>
        <w:pageBreakBefore w:val="0"/>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auto"/>
          <w:sz w:val="24"/>
          <w:szCs w:val="24"/>
          <w:highlight w:val="none"/>
          <w:u w:val="none"/>
        </w:rPr>
      </w:pPr>
      <w:bookmarkStart w:id="9" w:name="_Toc1105"/>
      <w:r>
        <w:rPr>
          <w:rFonts w:hint="eastAsia" w:ascii="仿宋" w:hAnsi="仿宋" w:eastAsia="仿宋" w:cs="仿宋"/>
          <w:color w:val="auto"/>
          <w:sz w:val="24"/>
          <w:szCs w:val="24"/>
          <w:highlight w:val="none"/>
        </w:rPr>
        <w:t>一、项目概况</w:t>
      </w:r>
      <w:r>
        <w:rPr>
          <w:rFonts w:hint="eastAsia" w:ascii="仿宋" w:hAnsi="仿宋" w:eastAsia="仿宋" w:cs="仿宋"/>
          <w:color w:val="auto"/>
          <w:sz w:val="24"/>
          <w:szCs w:val="24"/>
          <w:highlight w:val="none"/>
          <w:u w:val="none"/>
        </w:rPr>
        <w:t>与采购范围</w:t>
      </w:r>
      <w:bookmarkEnd w:id="9"/>
    </w:p>
    <w:p>
      <w:pPr>
        <w:pageBreakBefore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1.1项目名称：</w:t>
      </w:r>
      <w:r>
        <w:rPr>
          <w:rFonts w:hint="eastAsia" w:ascii="仿宋" w:hAnsi="仿宋" w:eastAsia="仿宋" w:cs="仿宋"/>
          <w:color w:val="auto"/>
          <w:sz w:val="24"/>
          <w:szCs w:val="24"/>
          <w:highlight w:val="none"/>
          <w:u w:val="none"/>
          <w:lang w:eastAsia="zh-CN"/>
        </w:rPr>
        <w:t>人保财险宁夏分公司银川市灵武支公司职场装修改造项目</w:t>
      </w:r>
      <w:r>
        <w:rPr>
          <w:rFonts w:hint="eastAsia" w:ascii="仿宋" w:hAnsi="仿宋" w:eastAsia="仿宋" w:cs="仿宋"/>
          <w:color w:val="auto"/>
          <w:sz w:val="24"/>
          <w:szCs w:val="24"/>
          <w:highlight w:val="none"/>
          <w:u w:val="none"/>
        </w:rPr>
        <w:t>。</w:t>
      </w:r>
    </w:p>
    <w:p>
      <w:pPr>
        <w:pageBreakBefore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1.2采购范围：</w:t>
      </w:r>
      <w:r>
        <w:rPr>
          <w:rFonts w:hint="eastAsia" w:ascii="仿宋" w:hAnsi="仿宋" w:eastAsia="仿宋" w:cs="仿宋"/>
          <w:color w:val="000000"/>
          <w:sz w:val="24"/>
          <w:szCs w:val="24"/>
          <w:highlight w:val="none"/>
          <w:lang w:val="en-US" w:eastAsia="zh-CN"/>
        </w:rPr>
        <w:t>主要内容</w:t>
      </w:r>
      <w:r>
        <w:rPr>
          <w:rFonts w:hint="eastAsia" w:ascii="仿宋" w:hAnsi="仿宋" w:eastAsia="仿宋" w:cs="仿宋"/>
          <w:color w:val="000000"/>
          <w:sz w:val="24"/>
          <w:szCs w:val="24"/>
          <w:highlight w:val="none"/>
        </w:rPr>
        <w:t>包</w:t>
      </w:r>
      <w:r>
        <w:rPr>
          <w:rFonts w:hint="eastAsia" w:ascii="仿宋" w:hAnsi="仿宋" w:eastAsia="仿宋" w:cs="仿宋"/>
          <w:color w:val="000000"/>
          <w:sz w:val="24"/>
          <w:szCs w:val="24"/>
          <w:highlight w:val="none"/>
          <w:lang w:val="en-US" w:eastAsia="zh-CN"/>
        </w:rPr>
        <w:t>括隔墙拆除改造、线路改造、柜台拆除改造、墙面粉刷喷漆、监控拆除安装调试等</w:t>
      </w:r>
      <w:r>
        <w:rPr>
          <w:rFonts w:hint="eastAsia" w:ascii="仿宋" w:hAnsi="仿宋" w:eastAsia="仿宋" w:cs="仿宋"/>
          <w:color w:val="000000"/>
          <w:sz w:val="24"/>
          <w:szCs w:val="24"/>
          <w:highlight w:val="none"/>
          <w:lang w:eastAsia="zh-CN"/>
        </w:rPr>
        <w:t>，详见装修清单。</w:t>
      </w:r>
    </w:p>
    <w:p>
      <w:pPr>
        <w:pageBreakBefore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宋体"/>
          <w:color w:val="auto"/>
          <w:sz w:val="24"/>
          <w:szCs w:val="24"/>
          <w:highlight w:val="none"/>
          <w:lang w:eastAsia="zh-CN"/>
        </w:rPr>
      </w:pPr>
      <w:r>
        <w:rPr>
          <w:rFonts w:hint="eastAsia" w:ascii="仿宋" w:hAnsi="仿宋" w:eastAsia="仿宋" w:cs="仿宋"/>
          <w:color w:val="auto"/>
          <w:sz w:val="24"/>
          <w:szCs w:val="24"/>
          <w:highlight w:val="none"/>
        </w:rPr>
        <w:t>1.3标包划分：</w:t>
      </w:r>
      <w:r>
        <w:rPr>
          <w:rFonts w:hint="eastAsia" w:ascii="仿宋" w:hAnsi="仿宋" w:eastAsia="仿宋" w:cs="宋体"/>
          <w:color w:val="auto"/>
          <w:sz w:val="24"/>
          <w:szCs w:val="24"/>
          <w:highlight w:val="none"/>
        </w:rPr>
        <w:t>本项目不划分标包</w:t>
      </w:r>
      <w:r>
        <w:rPr>
          <w:rFonts w:hint="eastAsia" w:ascii="仿宋" w:hAnsi="仿宋" w:eastAsia="仿宋" w:cs="宋体"/>
          <w:color w:val="auto"/>
          <w:sz w:val="24"/>
          <w:szCs w:val="24"/>
          <w:highlight w:val="none"/>
          <w:lang w:eastAsia="zh-CN"/>
        </w:rPr>
        <w:t>。</w:t>
      </w:r>
    </w:p>
    <w:p>
      <w:pPr>
        <w:pageBreakBefore w:val="0"/>
        <w:kinsoku/>
        <w:wordWrap/>
        <w:overflowPunct/>
        <w:topLinePunct w:val="0"/>
        <w:autoSpaceDE/>
        <w:autoSpaceDN/>
        <w:bidi w:val="0"/>
        <w:adjustRightInd/>
        <w:snapToGrid/>
        <w:spacing w:line="360" w:lineRule="auto"/>
        <w:ind w:firstLine="480" w:firstLineChars="200"/>
        <w:jc w:val="left"/>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en-US" w:eastAsia="zh-CN"/>
        </w:rPr>
        <w:t>项目预算：9.49万元。</w:t>
      </w:r>
    </w:p>
    <w:p>
      <w:pPr>
        <w:pageBreakBefore w:val="0"/>
        <w:kinsoku/>
        <w:wordWrap/>
        <w:overflowPunct/>
        <w:topLinePunct w:val="0"/>
        <w:autoSpaceDE/>
        <w:autoSpaceDN/>
        <w:bidi w:val="0"/>
        <w:adjustRightInd/>
        <w:snapToGrid/>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项目性质：</w:t>
      </w:r>
      <w:r>
        <w:rPr>
          <w:rFonts w:hint="eastAsia" w:ascii="仿宋" w:hAnsi="仿宋" w:eastAsia="仿宋" w:cs="宋体"/>
          <w:color w:val="auto"/>
          <w:sz w:val="24"/>
          <w:szCs w:val="24"/>
          <w:highlight w:val="none"/>
          <w:lang w:val="en-US" w:eastAsia="zh-CN"/>
        </w:rPr>
        <w:t>工程</w:t>
      </w:r>
      <w:r>
        <w:rPr>
          <w:rFonts w:hint="eastAsia" w:ascii="仿宋" w:hAnsi="仿宋" w:eastAsia="仿宋" w:cs="仿宋"/>
          <w:color w:val="auto"/>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6工期</w:t>
      </w:r>
      <w:r>
        <w:rPr>
          <w:rFonts w:hint="eastAsia" w:ascii="仿宋" w:hAnsi="仿宋" w:eastAsia="仿宋" w:cs="仿宋"/>
          <w:color w:val="auto"/>
          <w:sz w:val="24"/>
          <w:szCs w:val="24"/>
          <w:highlight w:val="none"/>
        </w:rPr>
        <w:t>：</w:t>
      </w:r>
      <w:r>
        <w:rPr>
          <w:rFonts w:hint="eastAsia" w:ascii="仿宋" w:hAnsi="仿宋" w:eastAsia="仿宋" w:cs="宋体"/>
          <w:color w:val="auto"/>
          <w:sz w:val="24"/>
          <w:szCs w:val="24"/>
          <w:highlight w:val="none"/>
          <w:lang w:val="en-US" w:eastAsia="zh-CN"/>
        </w:rPr>
        <w:t>20日历天</w:t>
      </w:r>
      <w:r>
        <w:rPr>
          <w:rFonts w:hint="eastAsia" w:ascii="仿宋" w:hAnsi="仿宋" w:eastAsia="仿宋" w:cs="宋体"/>
          <w:color w:val="auto"/>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宋体"/>
          <w:color w:val="auto"/>
          <w:sz w:val="24"/>
          <w:szCs w:val="24"/>
          <w:highlight w:val="none"/>
        </w:rPr>
        <w:t>地点：</w:t>
      </w:r>
      <w:r>
        <w:rPr>
          <w:rFonts w:hint="eastAsia" w:ascii="仿宋" w:hAnsi="仿宋" w:eastAsia="仿宋" w:cs="宋体"/>
          <w:color w:val="auto"/>
          <w:sz w:val="24"/>
          <w:szCs w:val="24"/>
          <w:highlight w:val="none"/>
          <w:lang w:val="en-US" w:eastAsia="zh-CN"/>
        </w:rPr>
        <w:t>宁夏灵武市</w:t>
      </w:r>
      <w:r>
        <w:rPr>
          <w:rFonts w:hint="eastAsia" w:ascii="仿宋" w:hAnsi="仿宋" w:eastAsia="仿宋" w:cs="宋体"/>
          <w:color w:val="auto"/>
          <w:sz w:val="24"/>
          <w:szCs w:val="24"/>
          <w:highlight w:val="none"/>
        </w:rPr>
        <w:t>。</w:t>
      </w:r>
    </w:p>
    <w:p>
      <w:pPr>
        <w:pStyle w:val="3"/>
        <w:pageBreakBefore w:val="0"/>
        <w:numPr>
          <w:ilvl w:val="0"/>
          <w:numId w:val="0"/>
        </w:numPr>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000000"/>
          <w:sz w:val="24"/>
          <w:szCs w:val="24"/>
          <w:highlight w:val="none"/>
        </w:rPr>
      </w:pPr>
      <w:bookmarkStart w:id="10" w:name="_Toc3800"/>
      <w:r>
        <w:rPr>
          <w:rFonts w:hint="eastAsia" w:ascii="仿宋" w:hAnsi="仿宋" w:eastAsia="仿宋" w:cs="仿宋"/>
          <w:b/>
          <w:bCs/>
          <w:color w:val="000000"/>
          <w:kern w:val="2"/>
          <w:sz w:val="24"/>
          <w:szCs w:val="24"/>
          <w:lang w:val="en-US" w:eastAsia="zh-CN" w:bidi="ar-SA"/>
        </w:rPr>
        <w:t>二、</w:t>
      </w:r>
      <w:r>
        <w:rPr>
          <w:rFonts w:hint="eastAsia" w:ascii="仿宋" w:hAnsi="仿宋" w:eastAsia="仿宋" w:cs="仿宋"/>
          <w:color w:val="000000"/>
          <w:sz w:val="24"/>
          <w:szCs w:val="24"/>
          <w:highlight w:val="none"/>
        </w:rPr>
        <w:t>供应商资格要求</w:t>
      </w:r>
      <w:bookmarkEnd w:id="10"/>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1</w:t>
      </w:r>
      <w:r>
        <w:rPr>
          <w:rFonts w:hint="eastAsia" w:ascii="仿宋" w:hAnsi="仿宋" w:eastAsia="仿宋" w:cs="宋体"/>
          <w:color w:val="000000"/>
          <w:sz w:val="24"/>
          <w:szCs w:val="24"/>
          <w:highlight w:val="none"/>
          <w:lang w:val="en-US" w:eastAsia="zh-CN"/>
        </w:rPr>
        <w:t xml:space="preserve"> 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如供应商为自然人的需提供自然人身份证明；法定代表人授权书原件及被授权人身份证复印件（法定代表人直接响应可不提供，但须提供法定代表人身份证明</w:t>
      </w:r>
      <w:r>
        <w:rPr>
          <w:rFonts w:hint="eastAsia" w:ascii="仿宋" w:hAnsi="仿宋" w:eastAsia="仿宋" w:cs="宋体"/>
          <w:color w:val="000000"/>
          <w:sz w:val="24"/>
          <w:szCs w:val="24"/>
          <w:highlight w:val="none"/>
          <w:lang w:eastAsia="zh-CN"/>
        </w:rPr>
        <w:t>；</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2</w:t>
      </w:r>
      <w:r>
        <w:rPr>
          <w:rFonts w:hint="eastAsia" w:ascii="仿宋" w:hAnsi="仿宋" w:eastAsia="仿宋" w:cs="宋体"/>
          <w:color w:val="000000"/>
          <w:sz w:val="24"/>
          <w:szCs w:val="24"/>
          <w:highlight w:val="none"/>
          <w:lang w:val="en-US" w:eastAsia="zh-CN"/>
        </w:rPr>
        <w:t xml:space="preserve"> 具有良好的商业信誉和健全的财务会计制度，需提供2025年度经会计师事务所或审计机构审计的财务审计报告及财务报表（至少包含会计师事务所或审计机构签章页、资产负债表、现金流量表、损益表/利润表）或提供响应截止日前6个月内开具的银行资信证明</w:t>
      </w:r>
      <w:r>
        <w:rPr>
          <w:rFonts w:hint="eastAsia" w:ascii="仿宋" w:hAnsi="仿宋" w:eastAsia="仿宋" w:cs="宋体"/>
          <w:color w:val="000000"/>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3具有依法缴纳税收和社会保障资金的良好记录，提供近6个月任意一个月的税收和社会保障资金缴纳凭证。</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4参加采购活动前三年内，在经营活动中没有重大违法记录承诺书（或相应证明材料），且近三年内（202</w:t>
      </w: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highlight w:val="none"/>
        </w:rPr>
        <w:t>年1月1日至今）无违法违规记录。违法违规记录是指被“信用中国”列入失信被执行人、重大税收违法失信主体、政府采购严重违法失信行为记录名单。供应商需提供自</w:t>
      </w:r>
      <w:r>
        <w:rPr>
          <w:rFonts w:hint="eastAsia" w:ascii="仿宋" w:hAnsi="仿宋" w:eastAsia="仿宋" w:cs="宋体"/>
          <w:color w:val="000000"/>
          <w:sz w:val="24"/>
          <w:szCs w:val="24"/>
          <w:highlight w:val="none"/>
          <w:lang w:eastAsia="zh-CN"/>
        </w:rPr>
        <w:t>采购公告</w:t>
      </w:r>
      <w:r>
        <w:rPr>
          <w:rFonts w:hint="eastAsia" w:ascii="仿宋" w:hAnsi="仿宋" w:eastAsia="仿宋" w:cs="宋体"/>
          <w:color w:val="000000"/>
          <w:sz w:val="24"/>
          <w:szCs w:val="24"/>
          <w:highlight w:val="none"/>
        </w:rPr>
        <w:t>发布之日至响应文件递交截止之日期间对以上三项内容的查询截图。信用中国查询网址：https</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//www.creditchina.gov.cn/xinyongfuwu/?navPage=5</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5</w:t>
      </w:r>
      <w:r>
        <w:rPr>
          <w:rFonts w:hint="eastAsia" w:ascii="仿宋" w:hAnsi="仿宋" w:eastAsia="仿宋" w:cs="宋体"/>
          <w:color w:val="000000"/>
          <w:sz w:val="24"/>
          <w:szCs w:val="24"/>
          <w:highlight w:val="none"/>
          <w:lang w:val="en-US" w:eastAsia="zh-CN"/>
        </w:rPr>
        <w:t xml:space="preserve"> 严禁列入采购人及其所隶属的中国人民保险各级机构的供应商黑名单且在禁入期内的供应商参与采购活动</w:t>
      </w:r>
      <w:r>
        <w:rPr>
          <w:rFonts w:hint="eastAsia" w:ascii="仿宋" w:hAnsi="仿宋" w:eastAsia="仿宋" w:cs="宋体"/>
          <w:color w:val="000000"/>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6</w:t>
      </w:r>
      <w:r>
        <w:rPr>
          <w:rFonts w:hint="eastAsia" w:ascii="仿宋" w:hAnsi="仿宋" w:eastAsia="仿宋" w:cs="宋体"/>
          <w:color w:val="000000"/>
          <w:sz w:val="24"/>
          <w:szCs w:val="24"/>
          <w:highlight w:val="none"/>
          <w:lang w:val="en-US" w:eastAsia="zh-CN"/>
        </w:rPr>
        <w:t xml:space="preserve"> 供应商的法定代表人或单位负责人为同一人或存在控股、管理关系的不同单位，不得参加同一标包响应或未划分标包的同一采购项目的响应，需填写《供应商控股及管理关系情况申报表》</w:t>
      </w:r>
      <w:r>
        <w:rPr>
          <w:rFonts w:hint="eastAsia" w:ascii="仿宋" w:hAnsi="仿宋" w:eastAsia="仿宋" w:cs="宋体"/>
          <w:color w:val="000000"/>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7本项目不接受联合体响应，不允许中标后分包、转包。</w:t>
      </w:r>
    </w:p>
    <w:p>
      <w:pPr>
        <w:pageBreakBefore w:val="0"/>
        <w:kinsoku/>
        <w:wordWrap/>
        <w:overflowPunct/>
        <w:topLinePunct w:val="0"/>
        <w:autoSpaceDE/>
        <w:autoSpaceDN/>
        <w:bidi w:val="0"/>
        <w:adjustRightInd/>
        <w:snapToGrid/>
        <w:spacing w:line="360" w:lineRule="auto"/>
        <w:ind w:firstLine="482"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b/>
          <w:bCs/>
          <w:color w:val="000000"/>
          <w:sz w:val="24"/>
          <w:szCs w:val="24"/>
          <w:highlight w:val="none"/>
          <w:lang w:val="en-US" w:eastAsia="zh-CN"/>
        </w:rPr>
        <w:t>2.8资质要求：</w:t>
      </w:r>
      <w:r>
        <w:rPr>
          <w:rFonts w:hint="eastAsia" w:ascii="仿宋" w:hAnsi="仿宋" w:eastAsia="仿宋" w:cs="宋体"/>
          <w:color w:val="000000"/>
          <w:sz w:val="24"/>
          <w:szCs w:val="24"/>
          <w:highlight w:val="none"/>
        </w:rPr>
        <w:t>供应商须具备建设行政主管部门核发的有效的建筑装修装饰工程专业承包二级及以上资质</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同时具备</w:t>
      </w:r>
      <w:r>
        <w:rPr>
          <w:rFonts w:hint="eastAsia" w:ascii="仿宋" w:hAnsi="仿宋" w:eastAsia="仿宋" w:cs="宋体"/>
          <w:color w:val="000000"/>
          <w:sz w:val="24"/>
          <w:szCs w:val="24"/>
          <w:highlight w:val="none"/>
        </w:rPr>
        <w:t>建设行政主管部门核发的有效的安全生产许可证书</w:t>
      </w:r>
      <w:r>
        <w:rPr>
          <w:rFonts w:hint="eastAsia" w:ascii="仿宋" w:hAnsi="仿宋" w:eastAsia="仿宋" w:cs="宋体"/>
          <w:color w:val="000000"/>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2" w:firstLineChars="200"/>
        <w:textAlignment w:val="auto"/>
        <w:rPr>
          <w:rFonts w:hint="eastAsia" w:ascii="仿宋_GB2312" w:hAnsi="仿宋_GB2312" w:eastAsia="仿宋_GB2312" w:cs="仿宋_GB2312"/>
          <w:color w:val="auto"/>
          <w:sz w:val="24"/>
          <w:szCs w:val="24"/>
          <w:highlight w:val="yellow"/>
          <w:lang w:val="en-US" w:eastAsia="zh-CN"/>
        </w:rPr>
      </w:pPr>
      <w:r>
        <w:rPr>
          <w:rFonts w:hint="eastAsia" w:ascii="仿宋" w:hAnsi="仿宋" w:eastAsia="仿宋" w:cs="宋体"/>
          <w:b/>
          <w:bCs/>
          <w:color w:val="000000"/>
          <w:sz w:val="24"/>
          <w:szCs w:val="24"/>
          <w:highlight w:val="none"/>
          <w:lang w:val="en-US" w:eastAsia="zh-CN"/>
        </w:rPr>
        <w:t>2.9</w:t>
      </w:r>
      <w:r>
        <w:rPr>
          <w:rFonts w:hint="eastAsia" w:ascii="仿宋" w:hAnsi="仿宋" w:eastAsia="仿宋" w:cs="宋体"/>
          <w:b/>
          <w:bCs/>
          <w:color w:val="000000"/>
          <w:sz w:val="24"/>
          <w:szCs w:val="24"/>
          <w:highlight w:val="none"/>
        </w:rPr>
        <w:t>项目经理要求</w:t>
      </w:r>
      <w:r>
        <w:rPr>
          <w:rFonts w:hint="eastAsia" w:ascii="仿宋" w:hAnsi="仿宋" w:eastAsia="仿宋" w:cs="宋体"/>
          <w:b/>
          <w:bCs/>
          <w:color w:val="000000"/>
          <w:sz w:val="24"/>
          <w:szCs w:val="24"/>
          <w:highlight w:val="none"/>
          <w:lang w:eastAsia="zh-CN"/>
        </w:rPr>
        <w:t>：</w:t>
      </w:r>
      <w:r>
        <w:rPr>
          <w:rFonts w:hint="eastAsia" w:ascii="仿宋" w:hAnsi="仿宋" w:eastAsia="仿宋" w:cs="宋体"/>
          <w:color w:val="000000"/>
          <w:sz w:val="24"/>
          <w:szCs w:val="24"/>
          <w:highlight w:val="none"/>
          <w:lang w:val="en-US" w:eastAsia="zh-CN"/>
        </w:rPr>
        <w:t>拟派项目负责人须具有建筑工程相关专业中级及以上技术职称，具备住建部门颁发的安全生产考核合格证书（B类），全权承担本项目质量、安全、工期管理责任。</w:t>
      </w:r>
    </w:p>
    <w:p>
      <w:pPr>
        <w:pStyle w:val="3"/>
        <w:pageBreakBefore w:val="0"/>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000000"/>
          <w:sz w:val="24"/>
          <w:szCs w:val="24"/>
          <w:highlight w:val="none"/>
        </w:rPr>
      </w:pPr>
      <w:bookmarkStart w:id="11" w:name="_Toc26143"/>
      <w:r>
        <w:rPr>
          <w:rFonts w:hint="eastAsia" w:ascii="仿宋" w:hAnsi="仿宋" w:eastAsia="仿宋" w:cs="仿宋"/>
          <w:color w:val="000000"/>
          <w:sz w:val="24"/>
          <w:szCs w:val="24"/>
          <w:highlight w:val="none"/>
        </w:rPr>
        <w:t>三、资格审查方法</w:t>
      </w:r>
      <w:bookmarkEnd w:id="11"/>
    </w:p>
    <w:p>
      <w:pPr>
        <w:pageBreakBefore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color w:val="auto"/>
          <w:sz w:val="24"/>
          <w:szCs w:val="24"/>
          <w:highlight w:val="none"/>
        </w:rPr>
      </w:pPr>
      <w:r>
        <w:rPr>
          <w:rFonts w:hint="eastAsia" w:ascii="仿宋" w:hAnsi="仿宋" w:eastAsia="仿宋" w:cs="仿宋"/>
          <w:color w:val="000000"/>
          <w:sz w:val="24"/>
          <w:szCs w:val="24"/>
          <w:highlight w:val="none"/>
        </w:rPr>
        <w:t>本项目将进行资</w:t>
      </w:r>
      <w:r>
        <w:rPr>
          <w:rFonts w:hint="eastAsia" w:ascii="仿宋" w:hAnsi="仿宋" w:eastAsia="仿宋" w:cs="仿宋"/>
          <w:color w:val="auto"/>
          <w:sz w:val="24"/>
          <w:szCs w:val="24"/>
          <w:highlight w:val="none"/>
        </w:rPr>
        <w:t>格后审，资格审查方法为合格制，资格审查标准和内容见</w:t>
      </w:r>
      <w:r>
        <w:rPr>
          <w:rFonts w:hint="eastAsia" w:ascii="仿宋" w:hAnsi="仿宋" w:eastAsia="仿宋" w:cs="仿宋"/>
          <w:color w:val="auto"/>
          <w:sz w:val="24"/>
          <w:szCs w:val="24"/>
          <w:highlight w:val="none"/>
          <w:lang w:eastAsia="zh-CN"/>
        </w:rPr>
        <w:t>比选文件</w:t>
      </w:r>
      <w:r>
        <w:rPr>
          <w:rFonts w:hint="eastAsia" w:ascii="仿宋" w:hAnsi="仿宋" w:eastAsia="仿宋" w:cs="仿宋"/>
          <w:color w:val="auto"/>
          <w:sz w:val="24"/>
          <w:szCs w:val="24"/>
          <w:highlight w:val="none"/>
        </w:rPr>
        <w:t>第三章评审办法。未通过资格后审的供应商，响应文件将被否决，不进入</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lang w:val="en-US" w:eastAsia="zh-CN"/>
        </w:rPr>
        <w:t>谈判</w:t>
      </w:r>
      <w:r>
        <w:rPr>
          <w:rFonts w:hint="eastAsia" w:ascii="仿宋" w:hAnsi="仿宋" w:eastAsia="仿宋" w:cs="仿宋"/>
          <w:color w:val="auto"/>
          <w:sz w:val="24"/>
          <w:szCs w:val="24"/>
          <w:highlight w:val="none"/>
        </w:rPr>
        <w:t>、详细评审等后续环节。</w:t>
      </w:r>
    </w:p>
    <w:p>
      <w:pPr>
        <w:pStyle w:val="3"/>
        <w:pageBreakBefore w:val="0"/>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auto"/>
          <w:sz w:val="24"/>
          <w:szCs w:val="24"/>
          <w:highlight w:val="none"/>
        </w:rPr>
      </w:pPr>
      <w:bookmarkStart w:id="12" w:name="_Toc18913"/>
      <w:r>
        <w:rPr>
          <w:rFonts w:hint="eastAsia" w:ascii="仿宋" w:hAnsi="仿宋" w:eastAsia="仿宋" w:cs="仿宋"/>
          <w:color w:val="000000"/>
          <w:sz w:val="24"/>
          <w:szCs w:val="24"/>
          <w:highlight w:val="none"/>
        </w:rPr>
        <w:t>四、</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w:t>
      </w:r>
      <w:r>
        <w:rPr>
          <w:rFonts w:hint="eastAsia" w:ascii="仿宋" w:hAnsi="仿宋" w:eastAsia="仿宋" w:cs="仿宋"/>
          <w:color w:val="auto"/>
          <w:sz w:val="24"/>
          <w:szCs w:val="24"/>
          <w:highlight w:val="none"/>
        </w:rPr>
        <w:t>件的获取</w:t>
      </w:r>
      <w:bookmarkEnd w:id="12"/>
    </w:p>
    <w:p>
      <w:pPr>
        <w:pStyle w:val="82"/>
        <w:pageBreakBefore w:val="0"/>
        <w:kinsoku/>
        <w:wordWrap/>
        <w:overflowPunct/>
        <w:topLinePunct w:val="0"/>
        <w:autoSpaceDE/>
        <w:autoSpaceDN/>
        <w:bidi w:val="0"/>
        <w:adjustRightInd/>
        <w:snapToGrid/>
        <w:spacing w:line="360" w:lineRule="auto"/>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28</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u w:val="none"/>
        </w:rPr>
        <w:t>，</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18</w:t>
      </w:r>
      <w:r>
        <w:rPr>
          <w:rFonts w:hint="eastAsia" w:ascii="仿宋" w:hAnsi="仿宋" w:eastAsia="仿宋" w:cs="宋体"/>
          <w:color w:val="auto"/>
          <w:sz w:val="24"/>
          <w:szCs w:val="24"/>
          <w:highlight w:val="none"/>
        </w:rPr>
        <w:t>时（北京时间，下同）。</w:t>
      </w:r>
    </w:p>
    <w:p>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auto"/>
          <w:sz w:val="24"/>
          <w:szCs w:val="24"/>
          <w:highlight w:val="none"/>
        </w:rPr>
      </w:pPr>
      <w:r>
        <w:rPr>
          <w:rFonts w:ascii="仿宋" w:hAnsi="仿宋" w:eastAsia="仿宋" w:cs="宋体"/>
          <w:color w:val="000000"/>
          <w:sz w:val="24"/>
          <w:szCs w:val="24"/>
          <w:highlight w:val="none"/>
        </w:rPr>
        <w:t>4</w:t>
      </w:r>
      <w:r>
        <w:rPr>
          <w:rFonts w:hint="eastAsia" w:ascii="仿宋" w:hAnsi="仿宋" w:eastAsia="仿宋" w:cs="宋体"/>
          <w:color w:val="000000"/>
          <w:sz w:val="24"/>
          <w:szCs w:val="24"/>
          <w:highlight w:val="none"/>
        </w:rPr>
        <w:t>.2人保e采门户注册入库</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登录中国人保e采门户(https://ec.picc.com/)申请注册入库，审核通过后，根据提示自行下载</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文件。</w:t>
      </w:r>
    </w:p>
    <w:p>
      <w:pPr>
        <w:pStyle w:val="3"/>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sz w:val="24"/>
          <w:szCs w:val="24"/>
          <w:highlight w:val="none"/>
        </w:rPr>
      </w:pPr>
      <w:bookmarkStart w:id="13" w:name="_Toc14151"/>
      <w:r>
        <w:rPr>
          <w:rFonts w:hint="eastAsia" w:ascii="仿宋" w:hAnsi="仿宋" w:eastAsia="仿宋" w:cs="仿宋"/>
          <w:color w:val="auto"/>
          <w:sz w:val="24"/>
          <w:szCs w:val="24"/>
          <w:highlight w:val="none"/>
        </w:rPr>
        <w:t>五、响应文件的递交</w:t>
      </w:r>
      <w:bookmarkEnd w:id="13"/>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ascii="仿宋" w:hAnsi="仿宋" w:eastAsia="仿宋" w:cs="宋体"/>
          <w:color w:val="auto"/>
          <w:sz w:val="24"/>
          <w:szCs w:val="24"/>
          <w:highlight w:val="none"/>
        </w:rPr>
        <w:t>5</w:t>
      </w:r>
      <w:r>
        <w:rPr>
          <w:rFonts w:hint="eastAsia" w:ascii="仿宋" w:hAnsi="仿宋" w:eastAsia="仿宋" w:cs="宋体"/>
          <w:color w:val="auto"/>
          <w:sz w:val="24"/>
          <w:szCs w:val="24"/>
          <w:highlight w:val="none"/>
        </w:rPr>
        <w:t>.1响应文件递交截止时间：</w:t>
      </w:r>
      <w:r>
        <w:rPr>
          <w:rFonts w:hint="eastAsia" w:ascii="仿宋" w:hAnsi="仿宋" w:eastAsia="仿宋" w:cs="宋体"/>
          <w:b/>
          <w:bCs/>
          <w:color w:val="auto"/>
          <w:sz w:val="24"/>
          <w:szCs w:val="24"/>
          <w:highlight w:val="none"/>
          <w:u w:val="single"/>
        </w:rPr>
        <w:t>20</w:t>
      </w:r>
      <w:r>
        <w:rPr>
          <w:rFonts w:hint="eastAsia" w:ascii="仿宋" w:hAnsi="仿宋" w:eastAsia="仿宋" w:cs="宋体"/>
          <w:b/>
          <w:bCs/>
          <w:color w:val="auto"/>
          <w:sz w:val="24"/>
          <w:szCs w:val="24"/>
          <w:highlight w:val="none"/>
          <w:u w:val="single"/>
          <w:lang w:val="en-US" w:eastAsia="zh-CN"/>
        </w:rPr>
        <w:t>26</w:t>
      </w:r>
      <w:r>
        <w:rPr>
          <w:rFonts w:hint="eastAsia" w:ascii="仿宋" w:hAnsi="仿宋" w:eastAsia="仿宋" w:cs="宋体"/>
          <w:b/>
          <w:bCs/>
          <w:color w:val="auto"/>
          <w:sz w:val="24"/>
          <w:szCs w:val="24"/>
          <w:highlight w:val="none"/>
          <w:u w:val="single"/>
        </w:rPr>
        <w:t>年</w:t>
      </w:r>
      <w:r>
        <w:rPr>
          <w:rFonts w:hint="eastAsia" w:ascii="仿宋" w:hAnsi="仿宋" w:eastAsia="仿宋" w:cs="宋体"/>
          <w:b/>
          <w:bCs/>
          <w:color w:val="auto"/>
          <w:sz w:val="24"/>
          <w:szCs w:val="24"/>
          <w:highlight w:val="none"/>
          <w:u w:val="single"/>
          <w:lang w:val="en-US" w:eastAsia="zh-CN"/>
        </w:rPr>
        <w:t>7</w:t>
      </w:r>
      <w:r>
        <w:rPr>
          <w:rFonts w:hint="eastAsia" w:ascii="仿宋" w:hAnsi="仿宋" w:eastAsia="仿宋" w:cs="宋体"/>
          <w:b/>
          <w:bCs/>
          <w:color w:val="auto"/>
          <w:sz w:val="24"/>
          <w:szCs w:val="24"/>
          <w:highlight w:val="none"/>
          <w:u w:val="single"/>
        </w:rPr>
        <w:t>月</w:t>
      </w:r>
      <w:r>
        <w:rPr>
          <w:rFonts w:hint="eastAsia" w:ascii="仿宋" w:hAnsi="仿宋" w:eastAsia="仿宋" w:cs="宋体"/>
          <w:b/>
          <w:bCs/>
          <w:color w:val="auto"/>
          <w:sz w:val="24"/>
          <w:szCs w:val="24"/>
          <w:highlight w:val="none"/>
          <w:u w:val="single"/>
          <w:lang w:val="en-US" w:eastAsia="zh-CN"/>
        </w:rPr>
        <w:t>9</w:t>
      </w:r>
      <w:r>
        <w:rPr>
          <w:rFonts w:hint="eastAsia" w:ascii="仿宋" w:hAnsi="仿宋" w:eastAsia="仿宋" w:cs="宋体"/>
          <w:b/>
          <w:bCs/>
          <w:color w:val="auto"/>
          <w:sz w:val="24"/>
          <w:szCs w:val="24"/>
          <w:highlight w:val="none"/>
          <w:u w:val="single"/>
        </w:rPr>
        <w:t>日</w:t>
      </w:r>
      <w:r>
        <w:rPr>
          <w:rFonts w:hint="eastAsia" w:ascii="仿宋" w:hAnsi="仿宋" w:eastAsia="仿宋" w:cs="宋体"/>
          <w:b/>
          <w:bCs/>
          <w:color w:val="auto"/>
          <w:sz w:val="24"/>
          <w:szCs w:val="24"/>
          <w:highlight w:val="none"/>
          <w:u w:val="single"/>
          <w:lang w:val="en-US" w:eastAsia="zh-CN"/>
        </w:rPr>
        <w:t>9</w:t>
      </w:r>
      <w:r>
        <w:rPr>
          <w:rFonts w:hint="eastAsia" w:ascii="仿宋" w:hAnsi="仿宋" w:eastAsia="仿宋" w:cs="宋体"/>
          <w:b/>
          <w:bCs/>
          <w:color w:val="auto"/>
          <w:sz w:val="24"/>
          <w:szCs w:val="24"/>
          <w:highlight w:val="none"/>
          <w:u w:val="single"/>
        </w:rPr>
        <w:t>时</w:t>
      </w:r>
      <w:r>
        <w:rPr>
          <w:rFonts w:hint="eastAsia" w:ascii="仿宋" w:hAnsi="仿宋" w:eastAsia="仿宋" w:cs="宋体"/>
          <w:b/>
          <w:bCs/>
          <w:color w:val="auto"/>
          <w:sz w:val="24"/>
          <w:szCs w:val="24"/>
          <w:highlight w:val="none"/>
          <w:u w:val="single"/>
          <w:lang w:val="en-US" w:eastAsia="zh-CN"/>
        </w:rPr>
        <w:t>00</w:t>
      </w:r>
      <w:r>
        <w:rPr>
          <w:rFonts w:hint="eastAsia" w:ascii="仿宋" w:hAnsi="仿宋" w:eastAsia="仿宋" w:cs="宋体"/>
          <w:b/>
          <w:bCs/>
          <w:color w:val="auto"/>
          <w:sz w:val="24"/>
          <w:szCs w:val="24"/>
          <w:highlight w:val="none"/>
          <w:u w:val="single"/>
        </w:rPr>
        <w:t>分00秒</w:t>
      </w:r>
      <w:r>
        <w:rPr>
          <w:rFonts w:hint="eastAsia" w:ascii="仿宋" w:hAnsi="仿宋" w:eastAsia="仿宋" w:cs="宋体"/>
          <w:color w:val="auto"/>
          <w:sz w:val="24"/>
          <w:szCs w:val="24"/>
          <w:highlight w:val="none"/>
        </w:rPr>
        <w:t>。</w:t>
      </w:r>
    </w:p>
    <w:p>
      <w:pPr>
        <w:pageBreakBefore w:val="0"/>
        <w:kinsoku/>
        <w:wordWrap/>
        <w:overflowPunct/>
        <w:topLinePunct w:val="0"/>
        <w:autoSpaceDE/>
        <w:autoSpaceDN/>
        <w:bidi w:val="0"/>
        <w:adjustRightInd/>
        <w:snapToGrid/>
        <w:spacing w:line="360" w:lineRule="auto"/>
        <w:ind w:firstLine="480" w:firstLineChars="200"/>
        <w:jc w:val="left"/>
        <w:textAlignment w:val="baseline"/>
        <w:rPr>
          <w:rFonts w:hint="eastAsia"/>
          <w:color w:val="auto"/>
          <w:sz w:val="24"/>
          <w:szCs w:val="24"/>
          <w:highlight w:val="none"/>
        </w:rPr>
      </w:pPr>
      <w:r>
        <w:rPr>
          <w:rFonts w:hint="eastAsia" w:ascii="仿宋" w:hAnsi="仿宋" w:eastAsia="仿宋" w:cs="宋体"/>
          <w:color w:val="auto"/>
          <w:sz w:val="24"/>
          <w:szCs w:val="24"/>
          <w:highlight w:val="none"/>
        </w:rPr>
        <w:t>5.2响应文件的递交：须现场递交至</w:t>
      </w:r>
      <w:r>
        <w:rPr>
          <w:rFonts w:hint="eastAsia" w:ascii="仿宋" w:hAnsi="仿宋" w:eastAsia="仿宋" w:cs="仿宋"/>
          <w:b w:val="0"/>
          <w:bCs w:val="0"/>
          <w:color w:val="auto"/>
          <w:sz w:val="24"/>
          <w:szCs w:val="24"/>
          <w:highlight w:val="none"/>
          <w:lang w:eastAsia="zh-CN"/>
        </w:rPr>
        <w:t>中国人民财产保险股份有限公司</w:t>
      </w:r>
      <w:r>
        <w:rPr>
          <w:rFonts w:hint="eastAsia" w:ascii="仿宋" w:hAnsi="仿宋" w:eastAsia="仿宋" w:cs="仿宋"/>
          <w:b w:val="0"/>
          <w:bCs w:val="0"/>
          <w:color w:val="auto"/>
          <w:sz w:val="24"/>
          <w:szCs w:val="24"/>
          <w:highlight w:val="none"/>
          <w:lang w:val="en-US" w:eastAsia="zh-CN"/>
        </w:rPr>
        <w:t>灵武支</w:t>
      </w:r>
      <w:r>
        <w:rPr>
          <w:rFonts w:hint="eastAsia" w:ascii="仿宋" w:hAnsi="仿宋" w:eastAsia="仿宋" w:cs="仿宋"/>
          <w:b w:val="0"/>
          <w:bCs w:val="0"/>
          <w:color w:val="auto"/>
          <w:sz w:val="24"/>
          <w:szCs w:val="24"/>
          <w:highlight w:val="none"/>
          <w:lang w:eastAsia="zh-CN"/>
        </w:rPr>
        <w:t>公司</w:t>
      </w:r>
      <w:r>
        <w:rPr>
          <w:rFonts w:hint="eastAsia" w:ascii="仿宋" w:hAnsi="仿宋" w:eastAsia="仿宋" w:cs="仿宋"/>
          <w:b w:val="0"/>
          <w:bCs w:val="0"/>
          <w:color w:val="auto"/>
          <w:sz w:val="24"/>
          <w:szCs w:val="24"/>
          <w:highlight w:val="none"/>
          <w:lang w:val="en-US" w:eastAsia="zh-CN"/>
        </w:rPr>
        <w:t>3楼会议室</w:t>
      </w:r>
      <w:r>
        <w:rPr>
          <w:rFonts w:hint="eastAsia" w:ascii="仿宋" w:hAnsi="仿宋" w:eastAsia="仿宋" w:cs="宋体"/>
          <w:b w:val="0"/>
          <w:bCs w:val="0"/>
          <w:color w:val="auto"/>
          <w:sz w:val="24"/>
          <w:szCs w:val="24"/>
          <w:highlight w:val="none"/>
        </w:rPr>
        <w:t>（</w:t>
      </w:r>
      <w:r>
        <w:rPr>
          <w:rFonts w:hint="eastAsia" w:ascii="仿宋" w:hAnsi="仿宋" w:eastAsia="仿宋" w:cs="仿宋"/>
          <w:color w:val="auto"/>
          <w:sz w:val="24"/>
          <w:szCs w:val="24"/>
          <w:highlight w:val="none"/>
        </w:rPr>
        <w:t>灵武市嘉源路西湖不夜城B9座</w:t>
      </w:r>
      <w:r>
        <w:rPr>
          <w:rFonts w:hint="eastAsia" w:ascii="仿宋" w:hAnsi="仿宋" w:eastAsia="仿宋" w:cs="宋体"/>
          <w:b w:val="0"/>
          <w:bCs w:val="0"/>
          <w:color w:val="auto"/>
          <w:sz w:val="24"/>
          <w:szCs w:val="24"/>
          <w:highlight w:val="none"/>
        </w:rPr>
        <w:t>）</w:t>
      </w:r>
      <w:r>
        <w:rPr>
          <w:rFonts w:hint="eastAsia"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逾期送达或者未送达指定地点或者未按照</w:t>
      </w:r>
      <w:r>
        <w:rPr>
          <w:rFonts w:hint="eastAsia" w:ascii="仿宋" w:hAnsi="仿宋" w:eastAsia="仿宋" w:cs="宋体"/>
          <w:b/>
          <w:bCs/>
          <w:color w:val="auto"/>
          <w:sz w:val="24"/>
          <w:szCs w:val="24"/>
          <w:highlight w:val="none"/>
          <w:lang w:eastAsia="zh-CN"/>
        </w:rPr>
        <w:t>比选文件</w:t>
      </w:r>
      <w:r>
        <w:rPr>
          <w:rFonts w:hint="eastAsia" w:ascii="仿宋" w:hAnsi="仿宋" w:eastAsia="仿宋" w:cs="宋体"/>
          <w:b/>
          <w:bCs/>
          <w:color w:val="auto"/>
          <w:sz w:val="24"/>
          <w:szCs w:val="24"/>
          <w:highlight w:val="none"/>
        </w:rPr>
        <w:t>要求封装的纸质响应文件不予接收。</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本项目将于上述同一时间、地点进行比选谈判，采购人邀请供应商代表准时参加。</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出现以下情形之一时，采购人不予接收响应文件：</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  逾期送达或者未送达指定地点的；</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  未按照比选文件要求密封的；</w:t>
      </w:r>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5.4.3  未按照比选公告要求获取比选文件的。</w:t>
      </w:r>
    </w:p>
    <w:p>
      <w:pPr>
        <w:pStyle w:val="3"/>
        <w:pageBreakBefore w:val="0"/>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auto"/>
          <w:sz w:val="24"/>
          <w:szCs w:val="24"/>
          <w:highlight w:val="none"/>
        </w:rPr>
      </w:pPr>
      <w:bookmarkStart w:id="14" w:name="_Toc25792"/>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比选</w:t>
      </w:r>
      <w:r>
        <w:rPr>
          <w:rFonts w:hint="eastAsia" w:ascii="仿宋" w:hAnsi="仿宋" w:eastAsia="仿宋" w:cs="仿宋"/>
          <w:color w:val="auto"/>
          <w:sz w:val="24"/>
          <w:szCs w:val="24"/>
          <w:highlight w:val="none"/>
        </w:rPr>
        <w:t>公告同时在人保e采”外网门户（https://ec.picc.com/）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中国招标投标公共服务平台（http://www.cebpubservice.com/）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中国</w:t>
      </w:r>
      <w:r>
        <w:rPr>
          <w:rFonts w:hint="eastAsia" w:ascii="仿宋" w:hAnsi="仿宋" w:eastAsia="仿宋" w:cs="仿宋"/>
          <w:color w:val="auto"/>
          <w:sz w:val="24"/>
          <w:szCs w:val="24"/>
          <w:highlight w:val="none"/>
        </w:rPr>
        <w:t>采购与招标网（http://www.chinabidding.cn）、中国金融集中采购网（http://www.cfcpn.com）上发布，</w:t>
      </w:r>
      <w:r>
        <w:rPr>
          <w:rFonts w:hint="eastAsia" w:ascii="仿宋" w:hAnsi="仿宋" w:eastAsia="仿宋" w:cs="宋体"/>
          <w:color w:val="auto"/>
          <w:sz w:val="24"/>
          <w:szCs w:val="24"/>
          <w:highlight w:val="none"/>
        </w:rPr>
        <w:t>除上述外，</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rPr>
        <w:t>采购代理机构不在其他任何网站、论坛等媒介上发布任何采购信息，其他任何媒介上转载的、以采购人为采</w:t>
      </w:r>
      <w:r>
        <w:rPr>
          <w:rFonts w:hint="eastAsia" w:ascii="仿宋" w:hAnsi="仿宋" w:eastAsia="仿宋" w:cs="宋体"/>
          <w:color w:val="auto"/>
          <w:sz w:val="24"/>
          <w:szCs w:val="24"/>
          <w:highlight w:val="none"/>
        </w:rPr>
        <w:t>购主体的采购信息均为非法转载，均为无效</w:t>
      </w:r>
      <w:r>
        <w:rPr>
          <w:rFonts w:hint="eastAsia" w:ascii="仿宋" w:hAnsi="仿宋" w:eastAsia="仿宋" w:cs="仿宋"/>
          <w:color w:val="auto"/>
          <w:sz w:val="24"/>
          <w:szCs w:val="24"/>
          <w:highlight w:val="none"/>
        </w:rPr>
        <w:t>。对于非法转载、篡改采购公告信息的组织或个人，采购人保留追究其法律责任的权利。</w:t>
      </w:r>
    </w:p>
    <w:p>
      <w:pPr>
        <w:pStyle w:val="3"/>
        <w:pageBreakBefore w:val="0"/>
        <w:kinsoku/>
        <w:wordWrap/>
        <w:overflowPunct/>
        <w:topLinePunct w:val="0"/>
        <w:autoSpaceDE/>
        <w:autoSpaceDN/>
        <w:bidi w:val="0"/>
        <w:adjustRightInd/>
        <w:snapToGrid/>
        <w:spacing w:line="360" w:lineRule="auto"/>
        <w:ind w:firstLine="0" w:firstLineChars="0"/>
        <w:jc w:val="left"/>
        <w:rPr>
          <w:rFonts w:hint="eastAsia" w:ascii="仿宋" w:hAnsi="仿宋" w:eastAsia="仿宋" w:cs="仿宋"/>
          <w:color w:val="auto"/>
          <w:sz w:val="24"/>
          <w:szCs w:val="24"/>
          <w:highlight w:val="none"/>
        </w:rPr>
      </w:pPr>
      <w:bookmarkStart w:id="15" w:name="_Toc31811"/>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pPr>
        <w:pageBreakBefore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snapToGrid/>
        <w:spacing w:line="360" w:lineRule="auto"/>
        <w:ind w:firstLine="422" w:firstLineChars="175"/>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采购人：</w:t>
      </w:r>
      <w:r>
        <w:rPr>
          <w:rFonts w:hint="eastAsia" w:ascii="仿宋" w:hAnsi="仿宋" w:eastAsia="仿宋" w:cs="仿宋"/>
          <w:b/>
          <w:bCs/>
          <w:color w:val="auto"/>
          <w:sz w:val="24"/>
          <w:szCs w:val="24"/>
          <w:highlight w:val="none"/>
          <w:lang w:eastAsia="zh-CN"/>
        </w:rPr>
        <w:t>中国人民财产保险股份有限公司</w:t>
      </w:r>
      <w:r>
        <w:rPr>
          <w:rFonts w:hint="eastAsia" w:ascii="仿宋" w:hAnsi="仿宋" w:eastAsia="仿宋" w:cs="仿宋"/>
          <w:b/>
          <w:bCs/>
          <w:color w:val="auto"/>
          <w:sz w:val="24"/>
          <w:szCs w:val="24"/>
          <w:highlight w:val="none"/>
          <w:lang w:val="en-US" w:eastAsia="zh-CN"/>
        </w:rPr>
        <w:t>灵武支</w:t>
      </w:r>
      <w:r>
        <w:rPr>
          <w:rFonts w:hint="eastAsia" w:ascii="仿宋" w:hAnsi="仿宋" w:eastAsia="仿宋" w:cs="仿宋"/>
          <w:b/>
          <w:bCs/>
          <w:color w:val="auto"/>
          <w:sz w:val="24"/>
          <w:szCs w:val="24"/>
          <w:highlight w:val="none"/>
          <w:lang w:eastAsia="zh-CN"/>
        </w:rPr>
        <w:t>公司</w:t>
      </w:r>
    </w:p>
    <w:p>
      <w:pPr>
        <w:pageBreakBefore w:val="0"/>
        <w:kinsoku/>
        <w:wordWrap/>
        <w:overflowPunct/>
        <w:topLinePunct w:val="0"/>
        <w:autoSpaceDE/>
        <w:autoSpaceDN/>
        <w:bidi w:val="0"/>
        <w:adjustRightInd/>
        <w:snapToGrid/>
        <w:spacing w:line="360" w:lineRule="auto"/>
        <w:ind w:firstLine="420" w:firstLineChars="17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地址：灵武市嘉源路西湖不夜城B9座</w:t>
      </w:r>
    </w:p>
    <w:p>
      <w:pPr>
        <w:pageBreakBefore w:val="0"/>
        <w:kinsoku/>
        <w:wordWrap/>
        <w:overflowPunct/>
        <w:topLinePunct w:val="0"/>
        <w:autoSpaceDE/>
        <w:autoSpaceDN/>
        <w:bidi w:val="0"/>
        <w:adjustRightInd/>
        <w:snapToGrid/>
        <w:spacing w:line="360" w:lineRule="auto"/>
        <w:ind w:firstLine="420" w:firstLineChars="175"/>
        <w:jc w:val="left"/>
        <w:rPr>
          <w:rFonts w:hint="default" w:ascii="仿宋" w:hAnsi="仿宋" w:eastAsia="仿宋" w:cs="仿宋"/>
          <w:color w:val="auto"/>
          <w:sz w:val="24"/>
          <w:szCs w:val="24"/>
          <w:highlight w:val="none"/>
          <w:lang w:val="en-US" w:eastAsia="zh-CN"/>
        </w:rPr>
      </w:pPr>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闫芳</w:t>
      </w:r>
    </w:p>
    <w:p>
      <w:pPr>
        <w:pageBreakBefore w:val="0"/>
        <w:kinsoku/>
        <w:wordWrap/>
        <w:overflowPunct/>
        <w:topLinePunct w:val="0"/>
        <w:autoSpaceDE/>
        <w:autoSpaceDN/>
        <w:bidi w:val="0"/>
        <w:adjustRightInd/>
        <w:snapToGrid/>
        <w:spacing w:line="360" w:lineRule="auto"/>
        <w:ind w:firstLine="420" w:firstLineChars="175"/>
        <w:jc w:val="left"/>
        <w:rPr>
          <w:rFonts w:hint="default" w:ascii="仿宋" w:hAnsi="仿宋" w:eastAsia="仿宋" w:cs="仿宋"/>
          <w:color w:val="auto"/>
          <w:sz w:val="24"/>
          <w:szCs w:val="24"/>
          <w:highlight w:val="none"/>
          <w:lang w:val="en-US" w:eastAsia="zh-CN"/>
        </w:rPr>
      </w:pPr>
      <w:r>
        <w:rPr>
          <w:rFonts w:hint="eastAsia" w:ascii="仿宋" w:hAnsi="仿宋" w:eastAsia="仿宋" w:cs="宋体"/>
          <w:color w:val="auto"/>
          <w:sz w:val="24"/>
          <w:szCs w:val="24"/>
          <w:highlight w:val="none"/>
        </w:rPr>
        <w:t>电话：</w:t>
      </w:r>
      <w:r>
        <w:rPr>
          <w:rFonts w:hint="eastAsia" w:ascii="仿宋" w:hAnsi="仿宋" w:eastAsia="仿宋" w:cs="宋体"/>
          <w:color w:val="auto"/>
          <w:sz w:val="24"/>
          <w:szCs w:val="24"/>
          <w:highlight w:val="none"/>
          <w:lang w:val="en-US" w:eastAsia="zh-CN"/>
        </w:rPr>
        <w:t>13619505895</w:t>
      </w:r>
    </w:p>
    <w:p>
      <w:pPr>
        <w:pageBreakBefore w:val="0"/>
        <w:kinsoku/>
        <w:wordWrap/>
        <w:overflowPunct/>
        <w:topLinePunct w:val="0"/>
        <w:autoSpaceDE/>
        <w:autoSpaceDN/>
        <w:bidi w:val="0"/>
        <w:adjustRightInd/>
        <w:snapToGrid/>
        <w:spacing w:line="360" w:lineRule="auto"/>
        <w:ind w:firstLine="420" w:firstLineChars="175"/>
        <w:jc w:val="left"/>
        <w:rPr>
          <w:rFonts w:hint="eastAsia" w:ascii="仿宋" w:hAnsi="仿宋" w:eastAsia="仿宋" w:cs="仿宋"/>
          <w:color w:val="auto"/>
          <w:sz w:val="24"/>
          <w:szCs w:val="24"/>
          <w:highlight w:val="none"/>
          <w:lang w:val="en-US"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w:t>
      </w:r>
    </w:p>
    <w:p>
      <w:pPr>
        <w:pageBreakBefore w:val="0"/>
        <w:kinsoku/>
        <w:wordWrap/>
        <w:overflowPunct/>
        <w:topLinePunct w:val="0"/>
        <w:autoSpaceDE/>
        <w:autoSpaceDN/>
        <w:bidi w:val="0"/>
        <w:adjustRightInd/>
        <w:snapToGrid/>
        <w:spacing w:line="360" w:lineRule="auto"/>
        <w:ind w:firstLine="420" w:firstLineChars="175"/>
        <w:jc w:val="left"/>
        <w:rPr>
          <w:rFonts w:hint="eastAsia" w:ascii="仿宋" w:hAnsi="仿宋" w:eastAsia="仿宋" w:cs="仿宋"/>
          <w:color w:val="auto"/>
          <w:sz w:val="24"/>
          <w:szCs w:val="24"/>
          <w:highlight w:val="none"/>
        </w:rPr>
      </w:pPr>
    </w:p>
    <w:p>
      <w:pPr>
        <w:pageBreakBefore w:val="0"/>
        <w:kinsoku/>
        <w:wordWrap/>
        <w:overflowPunct/>
        <w:topLinePunct w:val="0"/>
        <w:autoSpaceDE/>
        <w:autoSpaceDN/>
        <w:bidi w:val="0"/>
        <w:adjustRightInd/>
        <w:snapToGrid/>
        <w:spacing w:line="360" w:lineRule="auto"/>
        <w:ind w:firstLine="422" w:firstLineChars="175"/>
        <w:jc w:val="left"/>
        <w:rPr>
          <w:rFonts w:ascii="仿宋" w:hAnsi="仿宋" w:eastAsia="仿宋" w:cs="仿宋"/>
          <w:color w:val="auto"/>
          <w:sz w:val="24"/>
          <w:szCs w:val="24"/>
          <w:highlight w:val="none"/>
        </w:rPr>
      </w:pPr>
      <w:r>
        <w:rPr>
          <w:rFonts w:hint="eastAsia" w:ascii="仿宋" w:hAnsi="仿宋" w:eastAsia="仿宋" w:cs="宋体"/>
          <w:b/>
          <w:color w:val="auto"/>
          <w:sz w:val="24"/>
          <w:szCs w:val="24"/>
          <w:highlight w:val="none"/>
        </w:rPr>
        <w:t>采购代理机构：宁夏回族自治区通信产业服务有限公司</w:t>
      </w:r>
    </w:p>
    <w:p>
      <w:pPr>
        <w:pageBreakBefore w:val="0"/>
        <w:kinsoku/>
        <w:wordWrap/>
        <w:overflowPunct/>
        <w:topLinePunct w:val="0"/>
        <w:autoSpaceDE/>
        <w:autoSpaceDN/>
        <w:bidi w:val="0"/>
        <w:adjustRightInd/>
        <w:snapToGrid/>
        <w:spacing w:line="360" w:lineRule="auto"/>
        <w:ind w:firstLine="420" w:firstLineChars="175"/>
        <w:jc w:val="left"/>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地址：宁夏银川市兴庆区中山北街13号电信商城4楼</w:t>
      </w:r>
    </w:p>
    <w:p>
      <w:pPr>
        <w:pageBreakBefore w:val="0"/>
        <w:kinsoku/>
        <w:wordWrap/>
        <w:overflowPunct/>
        <w:topLinePunct w:val="0"/>
        <w:autoSpaceDE/>
        <w:autoSpaceDN/>
        <w:bidi w:val="0"/>
        <w:adjustRightInd/>
        <w:snapToGrid/>
        <w:spacing w:line="360" w:lineRule="auto"/>
        <w:ind w:firstLine="420" w:firstLineChars="175"/>
        <w:jc w:val="left"/>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联系人：杨燕、成丽华</w:t>
      </w:r>
    </w:p>
    <w:p>
      <w:pPr>
        <w:pageBreakBefore w:val="0"/>
        <w:kinsoku/>
        <w:wordWrap/>
        <w:overflowPunct/>
        <w:topLinePunct w:val="0"/>
        <w:autoSpaceDE/>
        <w:autoSpaceDN/>
        <w:bidi w:val="0"/>
        <w:adjustRightInd/>
        <w:snapToGrid/>
        <w:spacing w:line="360" w:lineRule="auto"/>
        <w:ind w:firstLine="420" w:firstLineChars="175"/>
        <w:jc w:val="left"/>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电话：18995113665、17795185421</w:t>
      </w:r>
    </w:p>
    <w:p>
      <w:pPr>
        <w:pageBreakBefore w:val="0"/>
        <w:kinsoku/>
        <w:wordWrap/>
        <w:overflowPunct/>
        <w:topLinePunct w:val="0"/>
        <w:autoSpaceDE/>
        <w:autoSpaceDN/>
        <w:bidi w:val="0"/>
        <w:adjustRightInd/>
        <w:snapToGrid/>
        <w:spacing w:line="360" w:lineRule="auto"/>
        <w:ind w:firstLine="420" w:firstLineChars="175"/>
        <w:jc w:val="left"/>
        <w:rPr>
          <w:rFonts w:hint="eastAsia" w:ascii="仿宋" w:hAnsi="仿宋" w:eastAsia="仿宋" w:cs="仿宋"/>
          <w:color w:val="auto"/>
          <w:sz w:val="24"/>
          <w:szCs w:val="24"/>
          <w:highlight w:val="none"/>
          <w:lang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eastAsia="zh-CN"/>
        </w:rPr>
        <w:t>77827584@qq.com</w:t>
      </w: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right"/>
        <w:textAlignment w:val="baseline"/>
        <w:rPr>
          <w:color w:val="FF0000"/>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27</w:t>
      </w:r>
      <w:r>
        <w:rPr>
          <w:rFonts w:hint="eastAsia" w:ascii="仿宋" w:hAnsi="仿宋" w:eastAsia="仿宋" w:cs="宋体"/>
          <w:color w:val="auto"/>
          <w:sz w:val="24"/>
          <w:highlight w:val="none"/>
        </w:rPr>
        <w:t>日</w:t>
      </w:r>
    </w:p>
    <w:p>
      <w:pPr>
        <w:spacing w:line="360" w:lineRule="auto"/>
        <w:ind w:firstLine="420" w:firstLineChars="200"/>
        <w:jc w:val="right"/>
        <w:textAlignment w:val="baseline"/>
        <w:rPr>
          <w:color w:val="FF0000"/>
          <w:highlight w:val="none"/>
        </w:rPr>
      </w:pPr>
    </w:p>
    <w:bookmarkEnd w:id="2"/>
    <w:bookmarkEnd w:id="3"/>
    <w:bookmarkEnd w:id="4"/>
    <w:bookmarkEnd w:id="5"/>
    <w:bookmarkEnd w:id="6"/>
    <w:bookmarkEnd w:id="7"/>
    <w:bookmarkEnd w:id="8"/>
    <w:p>
      <w:pPr>
        <w:pStyle w:val="2"/>
        <w:spacing w:before="0" w:after="0" w:line="360" w:lineRule="auto"/>
        <w:jc w:val="center"/>
        <w:rPr>
          <w:rFonts w:hint="eastAsia" w:ascii="仿宋" w:hAnsi="仿宋" w:eastAsia="仿宋" w:cs="仿宋"/>
          <w:color w:val="000000"/>
          <w:sz w:val="28"/>
          <w:szCs w:val="28"/>
          <w:highlight w:val="none"/>
        </w:rPr>
      </w:pPr>
      <w:bookmarkStart w:id="16" w:name="_Toc444891334"/>
      <w:bookmarkStart w:id="17" w:name="_Toc517281814"/>
      <w:bookmarkStart w:id="18" w:name="_Toc287600116"/>
      <w:bookmarkStart w:id="19" w:name="_Toc17103"/>
      <w:bookmarkStart w:id="20" w:name="_Toc23165"/>
      <w:bookmarkStart w:id="21" w:name="_Toc2797"/>
      <w:bookmarkStart w:id="22" w:name="_Toc1895"/>
      <w:r>
        <w:rPr>
          <w:rFonts w:ascii="仿宋" w:hAnsi="仿宋" w:eastAsia="仿宋" w:cs="仿宋"/>
          <w:color w:val="000000"/>
          <w:sz w:val="28"/>
          <w:szCs w:val="28"/>
          <w:highlight w:val="none"/>
        </w:rPr>
        <w:br w:type="page"/>
      </w:r>
      <w:bookmarkStart w:id="23" w:name="_Toc4900"/>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bidi w:val="0"/>
        <w:jc w:val="center"/>
        <w:rPr>
          <w:rFonts w:hint="eastAsia"/>
        </w:rPr>
      </w:pPr>
      <w:bookmarkStart w:id="24" w:name="_Toc444891335"/>
      <w:bookmarkStart w:id="25" w:name="_Toc517281815"/>
      <w:bookmarkStart w:id="26" w:name="_Toc19783312"/>
      <w:bookmarkStart w:id="27" w:name="_Toc32464"/>
      <w:bookmarkStart w:id="28" w:name="_Toc17721"/>
      <w:bookmarkStart w:id="29" w:name="_Toc287600117"/>
      <w:bookmarkStart w:id="30" w:name="_Toc29571"/>
      <w:bookmarkStart w:id="31" w:name="_Toc27353"/>
    </w:p>
    <w:p>
      <w:pPr>
        <w:pStyle w:val="3"/>
        <w:ind w:firstLine="0" w:firstLineChars="0"/>
        <w:jc w:val="left"/>
        <w:rPr>
          <w:rFonts w:hint="eastAsia" w:ascii="仿宋" w:hAnsi="仿宋" w:eastAsia="仿宋" w:cs="仿宋"/>
          <w:color w:val="000000"/>
          <w:sz w:val="24"/>
          <w:szCs w:val="24"/>
          <w:highlight w:val="none"/>
        </w:rPr>
      </w:pPr>
      <w:bookmarkStart w:id="32" w:name="_Toc16058"/>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9"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r>
              <w:rPr>
                <w:rFonts w:hint="eastAsia" w:ascii="仿宋" w:hAnsi="仿宋" w:eastAsia="仿宋" w:cs="仿宋"/>
                <w:color w:val="000000"/>
                <w:highlight w:val="none"/>
                <w:u w:val="single"/>
              </w:rPr>
              <w:t>“一、项目概况与采购范围”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9"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比选公告</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3</w:t>
            </w:r>
          </w:p>
        </w:tc>
        <w:tc>
          <w:tcPr>
            <w:tcW w:w="927" w:type="pct"/>
            <w:noWrap w:val="0"/>
            <w:vAlign w:val="center"/>
          </w:tcPr>
          <w:p>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比选文件</w:t>
            </w:r>
            <w:r>
              <w:rPr>
                <w:rFonts w:hint="eastAsia" w:ascii="仿宋" w:hAnsi="仿宋" w:eastAsia="仿宋" w:cs="仿宋"/>
                <w:color w:val="000000"/>
                <w:szCs w:val="21"/>
                <w:highlight w:val="none"/>
              </w:rPr>
              <w:t>实质性要求的标识</w:t>
            </w:r>
          </w:p>
        </w:tc>
        <w:tc>
          <w:tcPr>
            <w:tcW w:w="3589" w:type="pct"/>
            <w:noWrap w:val="0"/>
            <w:vAlign w:val="center"/>
          </w:tcPr>
          <w:p>
            <w:pPr>
              <w:pStyle w:val="139"/>
              <w:topLinePunct/>
              <w:spacing w:before="62" w:beforeLines="20" w:after="62" w:afterLines="20"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lang w:eastAsia="zh-CN"/>
              </w:rPr>
              <w:t>比选文件</w:t>
            </w:r>
            <w:r>
              <w:rPr>
                <w:rFonts w:hint="eastAsia" w:ascii="仿宋" w:hAnsi="仿宋" w:eastAsia="仿宋" w:cs="Cambria Math"/>
                <w:color w:val="auto"/>
                <w:sz w:val="21"/>
                <w:szCs w:val="21"/>
                <w:highlight w:val="none"/>
                <w:u w:val="single"/>
              </w:rPr>
              <w:t>中标识“★”条款、注明“</w:t>
            </w:r>
            <w:r>
              <w:rPr>
                <w:rFonts w:hint="eastAsia" w:ascii="仿宋" w:hAnsi="仿宋" w:eastAsia="仿宋" w:cs="Cambria Math"/>
                <w:color w:val="auto"/>
                <w:sz w:val="21"/>
                <w:szCs w:val="21"/>
                <w:highlight w:val="none"/>
                <w:u w:val="single"/>
                <w:lang w:eastAsia="zh-CN"/>
              </w:rPr>
              <w:t>响应</w:t>
            </w:r>
            <w:r>
              <w:rPr>
                <w:rFonts w:hint="eastAsia" w:ascii="仿宋" w:hAnsi="仿宋" w:eastAsia="仿宋" w:cs="Cambria Math"/>
                <w:color w:val="auto"/>
                <w:sz w:val="21"/>
                <w:szCs w:val="21"/>
                <w:highlight w:val="none"/>
                <w:u w:val="single"/>
              </w:rPr>
              <w:t>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4</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9"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5</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18</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b w:val="0"/>
                <w:bCs w:val="0"/>
                <w:color w:val="auto"/>
                <w:sz w:val="21"/>
                <w:szCs w:val="21"/>
                <w:highlight w:val="none"/>
              </w:rPr>
              <w:t>所有需要澄清的疑问应于</w:t>
            </w:r>
            <w:r>
              <w:rPr>
                <w:rFonts w:hint="eastAsia" w:ascii="仿宋" w:hAnsi="仿宋" w:eastAsia="仿宋" w:cs="宋体"/>
                <w:b w:val="0"/>
                <w:bCs w:val="0"/>
                <w:color w:val="auto"/>
                <w:sz w:val="21"/>
                <w:szCs w:val="21"/>
                <w:highlight w:val="none"/>
                <w:lang w:val="en-US" w:eastAsia="zh-CN"/>
              </w:rPr>
              <w:t>响应</w:t>
            </w:r>
            <w:r>
              <w:rPr>
                <w:rFonts w:hint="eastAsia" w:ascii="仿宋" w:hAnsi="仿宋" w:eastAsia="仿宋" w:cs="宋体"/>
                <w:b w:val="0"/>
                <w:bCs w:val="0"/>
                <w:color w:val="auto"/>
                <w:sz w:val="21"/>
                <w:szCs w:val="21"/>
                <w:highlight w:val="none"/>
              </w:rPr>
              <w:t>文件递交截止时间的</w:t>
            </w:r>
            <w:r>
              <w:rPr>
                <w:rFonts w:hint="eastAsia" w:ascii="仿宋" w:hAnsi="仿宋" w:eastAsia="仿宋" w:cs="宋体"/>
                <w:b w:val="0"/>
                <w:bCs w:val="0"/>
                <w:color w:val="auto"/>
                <w:sz w:val="21"/>
                <w:szCs w:val="21"/>
                <w:highlight w:val="none"/>
                <w:lang w:val="en-US" w:eastAsia="zh-CN"/>
              </w:rPr>
              <w:t>3</w:t>
            </w:r>
            <w:r>
              <w:rPr>
                <w:rFonts w:hint="eastAsia" w:ascii="仿宋" w:hAnsi="仿宋" w:eastAsia="仿宋" w:cs="宋体"/>
                <w:b w:val="0"/>
                <w:bCs w:val="0"/>
                <w:color w:val="auto"/>
                <w:sz w:val="21"/>
                <w:szCs w:val="21"/>
                <w:highlight w:val="none"/>
              </w:rPr>
              <w:t>日前书面提交于代理公司。</w:t>
            </w:r>
          </w:p>
          <w:p>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b w:val="0"/>
                <w:bCs w:val="0"/>
                <w:color w:val="auto"/>
                <w:sz w:val="21"/>
                <w:szCs w:val="21"/>
                <w:highlight w:val="none"/>
              </w:rPr>
              <w:t>提交疑问的方式：将疑问文件电子版（须为可编辑的WORD文档）与盖章的纸质版扫描件发送至</w:t>
            </w:r>
            <w:r>
              <w:rPr>
                <w:rFonts w:hint="eastAsia" w:ascii="仿宋" w:hAnsi="仿宋" w:eastAsia="仿宋" w:cs="宋体"/>
                <w:b w:val="0"/>
                <w:bCs w:val="0"/>
                <w:color w:val="auto"/>
                <w:sz w:val="21"/>
                <w:szCs w:val="21"/>
                <w:highlight w:val="none"/>
                <w:lang w:eastAsia="zh-CN"/>
              </w:rPr>
              <w:t>77827584@qq.com</w:t>
            </w:r>
            <w:r>
              <w:rPr>
                <w:rFonts w:hint="eastAsia" w:ascii="仿宋" w:hAnsi="仿宋" w:eastAsia="仿宋" w:cs="宋体"/>
                <w:b w:val="0"/>
                <w:bCs w:val="0"/>
                <w:color w:val="auto"/>
                <w:sz w:val="21"/>
                <w:szCs w:val="21"/>
                <w:highlight w:val="none"/>
              </w:rPr>
              <w:t>；如WORD文档内容与盖章的纸质版扫描件内容不一致的，以盖章的纸质版扫描件内容为准。</w:t>
            </w:r>
          </w:p>
          <w:p>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b w:val="0"/>
                <w:bCs w:val="0"/>
                <w:color w:val="auto"/>
                <w:sz w:val="21"/>
                <w:szCs w:val="21"/>
                <w:highlight w:val="none"/>
              </w:rPr>
              <w:t>各</w:t>
            </w:r>
            <w:r>
              <w:rPr>
                <w:rFonts w:hint="eastAsia" w:ascii="仿宋" w:hAnsi="仿宋" w:eastAsia="仿宋" w:cs="宋体"/>
                <w:b w:val="0"/>
                <w:bCs w:val="0"/>
                <w:color w:val="auto"/>
                <w:sz w:val="21"/>
                <w:szCs w:val="21"/>
                <w:highlight w:val="none"/>
                <w:lang w:eastAsia="zh-CN"/>
              </w:rPr>
              <w:t>供应商</w:t>
            </w:r>
            <w:r>
              <w:rPr>
                <w:rFonts w:hint="eastAsia" w:ascii="仿宋" w:hAnsi="仿宋" w:eastAsia="仿宋" w:cs="宋体"/>
                <w:b w:val="0"/>
                <w:bCs w:val="0"/>
                <w:color w:val="auto"/>
                <w:sz w:val="21"/>
                <w:szCs w:val="21"/>
                <w:highlight w:val="none"/>
              </w:rPr>
              <w:t>收到澄清回复或</w:t>
            </w:r>
            <w:r>
              <w:rPr>
                <w:rFonts w:hint="eastAsia" w:ascii="仿宋" w:hAnsi="仿宋" w:eastAsia="仿宋" w:cs="宋体"/>
                <w:b w:val="0"/>
                <w:bCs w:val="0"/>
                <w:color w:val="auto"/>
                <w:sz w:val="21"/>
                <w:szCs w:val="21"/>
                <w:highlight w:val="none"/>
                <w:lang w:eastAsia="zh-CN"/>
              </w:rPr>
              <w:t>采购文件</w:t>
            </w:r>
            <w:r>
              <w:rPr>
                <w:rFonts w:hint="eastAsia" w:ascii="仿宋" w:hAnsi="仿宋" w:eastAsia="仿宋" w:cs="宋体"/>
                <w:b w:val="0"/>
                <w:bCs w:val="0"/>
                <w:color w:val="auto"/>
                <w:sz w:val="21"/>
                <w:szCs w:val="21"/>
                <w:highlight w:val="none"/>
              </w:rPr>
              <w:t>的修改文件后应立即以书面形式确认收到文件。</w:t>
            </w:r>
          </w:p>
          <w:p>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lang w:val="en-US" w:eastAsia="zh-CN"/>
              </w:rPr>
            </w:pPr>
            <w:r>
              <w:rPr>
                <w:rFonts w:hint="eastAsia" w:ascii="仿宋" w:hAnsi="仿宋" w:eastAsia="仿宋" w:cs="宋体"/>
                <w:b w:val="0"/>
                <w:bCs w:val="0"/>
                <w:color w:val="auto"/>
                <w:sz w:val="21"/>
                <w:szCs w:val="21"/>
                <w:highlight w:val="none"/>
              </w:rPr>
              <w:t>联系人：</w:t>
            </w:r>
            <w:r>
              <w:rPr>
                <w:rFonts w:hint="eastAsia" w:ascii="仿宋" w:hAnsi="仿宋" w:eastAsia="仿宋" w:cs="宋体"/>
                <w:b w:val="0"/>
                <w:bCs w:val="0"/>
                <w:color w:val="auto"/>
                <w:sz w:val="21"/>
                <w:szCs w:val="21"/>
                <w:highlight w:val="none"/>
                <w:lang w:val="en-US" w:eastAsia="zh-CN"/>
              </w:rPr>
              <w:t>成丽华</w:t>
            </w:r>
          </w:p>
          <w:p>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default" w:ascii="仿宋" w:hAnsi="仿宋" w:eastAsia="仿宋" w:cs="宋体"/>
                <w:b w:val="0"/>
                <w:bCs w:val="0"/>
                <w:color w:val="auto"/>
                <w:sz w:val="21"/>
                <w:szCs w:val="21"/>
                <w:highlight w:val="none"/>
                <w:lang w:val="en-US" w:eastAsia="zh-CN"/>
              </w:rPr>
            </w:pPr>
            <w:r>
              <w:rPr>
                <w:rFonts w:hint="eastAsia" w:ascii="仿宋" w:hAnsi="仿宋" w:eastAsia="仿宋" w:cs="宋体"/>
                <w:b w:val="0"/>
                <w:bCs w:val="0"/>
                <w:color w:val="auto"/>
                <w:sz w:val="21"/>
                <w:szCs w:val="21"/>
                <w:highlight w:val="none"/>
              </w:rPr>
              <w:t>联系电话：</w:t>
            </w:r>
            <w:r>
              <w:rPr>
                <w:rFonts w:hint="eastAsia" w:ascii="仿宋" w:hAnsi="仿宋" w:eastAsia="仿宋" w:cs="宋体"/>
                <w:b w:val="0"/>
                <w:bCs w:val="0"/>
                <w:color w:val="auto"/>
                <w:sz w:val="21"/>
                <w:szCs w:val="21"/>
                <w:highlight w:val="none"/>
                <w:lang w:eastAsia="zh-CN"/>
              </w:rPr>
              <w:t>1</w:t>
            </w:r>
            <w:r>
              <w:rPr>
                <w:rFonts w:hint="eastAsia" w:ascii="仿宋" w:hAnsi="仿宋" w:eastAsia="仿宋" w:cs="宋体"/>
                <w:b w:val="0"/>
                <w:bCs w:val="0"/>
                <w:color w:val="auto"/>
                <w:sz w:val="21"/>
                <w:szCs w:val="21"/>
                <w:highlight w:val="none"/>
                <w:lang w:val="en-US" w:eastAsia="zh-CN"/>
              </w:rPr>
              <w:t>7795185421</w:t>
            </w:r>
          </w:p>
          <w:p>
            <w:pPr>
              <w:pStyle w:val="149"/>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b w:val="0"/>
                <w:bCs w:val="0"/>
                <w:color w:val="auto"/>
                <w:sz w:val="21"/>
                <w:szCs w:val="21"/>
                <w:highlight w:val="none"/>
              </w:rPr>
              <w:t>邮件：</w:t>
            </w:r>
            <w:r>
              <w:rPr>
                <w:rFonts w:hint="eastAsia" w:ascii="仿宋" w:hAnsi="仿宋" w:eastAsia="仿宋" w:cs="宋体"/>
                <w:b w:val="0"/>
                <w:bCs w:val="0"/>
                <w:color w:val="auto"/>
                <w:sz w:val="21"/>
                <w:szCs w:val="21"/>
                <w:highlight w:val="none"/>
                <w:lang w:eastAsia="zh-CN"/>
              </w:rPr>
              <w:t>77827584@qq.com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5</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9"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比选文件</w:t>
            </w:r>
            <w:r>
              <w:rPr>
                <w:rFonts w:hint="eastAsia" w:ascii="仿宋" w:hAnsi="仿宋" w:eastAsia="仿宋" w:cs="宋体"/>
                <w:b w:val="0"/>
                <w:bCs/>
                <w:color w:val="auto"/>
                <w:szCs w:val="21"/>
                <w:highlight w:val="none"/>
                <w:u w:val="single"/>
              </w:rPr>
              <w:t>澄清或修改通知后</w:t>
            </w:r>
            <w:r>
              <w:rPr>
                <w:rFonts w:hint="eastAsia" w:ascii="仿宋" w:hAnsi="仿宋" w:eastAsia="仿宋" w:cs="宋体"/>
                <w:b w:val="0"/>
                <w:bCs/>
                <w:color w:val="auto"/>
                <w:szCs w:val="21"/>
                <w:highlight w:val="none"/>
                <w:u w:val="single"/>
                <w:lang w:val="en-US" w:eastAsia="zh-CN"/>
              </w:rPr>
              <w:t>2</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Cs w:val="21"/>
                <w:highlight w:val="none"/>
                <w:lang w:val="en-US" w:eastAsia="zh-CN"/>
              </w:rPr>
              <w:t>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6</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9" w:type="pct"/>
            <w:noWrap w:val="0"/>
            <w:vAlign w:val="center"/>
          </w:tcPr>
          <w:p>
            <w:pPr>
              <w:pStyle w:val="149"/>
              <w:spacing w:before="62" w:beforeLines="20" w:after="62" w:afterLines="20"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156"/>
              <w:spacing w:before="62" w:beforeLines="20" w:after="62" w:afterLines="20"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spacing w:line="276" w:lineRule="auto"/>
              <w:rPr>
                <w:color w:val="auto"/>
              </w:rPr>
            </w:pPr>
            <w:r>
              <w:rPr>
                <w:rFonts w:hint="eastAsia" w:ascii="仿宋" w:hAnsi="仿宋" w:eastAsia="仿宋" w:cs="仿宋"/>
                <w:b/>
                <w:color w:val="auto"/>
                <w:szCs w:val="21"/>
                <w:highlight w:val="none"/>
              </w:rPr>
              <w:t>详细评审索引表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149"/>
              <w:spacing w:before="62" w:beforeLines="20" w:after="62" w:afterLines="2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7</w:t>
            </w: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9" w:type="pct"/>
            <w:noWrap w:val="0"/>
            <w:vAlign w:val="center"/>
          </w:tcPr>
          <w:p>
            <w:pPr>
              <w:autoSpaceDE w:val="0"/>
              <w:autoSpaceDN w:val="0"/>
              <w:spacing w:line="360" w:lineRule="auto"/>
              <w:rPr>
                <w:rFonts w:hint="eastAsia" w:ascii="仿宋" w:hAnsi="仿宋" w:eastAsia="仿宋" w:cs="宋体"/>
                <w:bCs/>
                <w:color w:val="000000"/>
                <w:szCs w:val="21"/>
                <w:highlight w:val="none"/>
                <w:lang w:eastAsia="zh-CN"/>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8</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9" w:type="pct"/>
            <w:noWrap w:val="0"/>
            <w:vAlign w:val="center"/>
          </w:tcPr>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9</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响应</w:t>
            </w:r>
            <w:r>
              <w:rPr>
                <w:rFonts w:hint="eastAsia" w:ascii="仿宋" w:hAnsi="仿宋" w:eastAsia="仿宋" w:cs="仿宋"/>
                <w:color w:val="000000"/>
                <w:szCs w:val="21"/>
                <w:highlight w:val="none"/>
              </w:rPr>
              <w:t>报价</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000000"/>
                <w:highlight w:val="yellow"/>
              </w:rPr>
            </w:pPr>
            <w:r>
              <w:rPr>
                <w:rFonts w:hint="eastAsia" w:ascii="仿宋" w:hAnsi="仿宋" w:eastAsia="仿宋" w:cs="仿宋"/>
                <w:color w:val="000000"/>
                <w:highlight w:val="none"/>
              </w:rPr>
              <w:t>2）</w:t>
            </w:r>
            <w:r>
              <w:rPr>
                <w:rFonts w:hint="eastAsia" w:ascii="仿宋" w:hAnsi="仿宋" w:eastAsia="仿宋" w:cs="仿宋"/>
                <w:color w:val="000000"/>
                <w:highlight w:val="none"/>
                <w:lang w:val="en-US" w:eastAsia="zh-CN"/>
              </w:rPr>
              <w:t>评审小组可以视评审情况要求</w:t>
            </w:r>
            <w:r>
              <w:rPr>
                <w:rFonts w:hint="eastAsia" w:ascii="仿宋" w:hAnsi="仿宋" w:eastAsia="仿宋" w:cs="仿宋"/>
                <w:color w:val="000000"/>
                <w:highlight w:val="none"/>
              </w:rPr>
              <w:t>供应商进行一次</w:t>
            </w:r>
            <w:r>
              <w:rPr>
                <w:rFonts w:hint="eastAsia" w:ascii="仿宋" w:hAnsi="仿宋" w:eastAsia="仿宋" w:cs="仿宋"/>
                <w:color w:val="000000"/>
                <w:highlight w:val="none"/>
                <w:lang w:val="en-US" w:eastAsia="zh-CN"/>
              </w:rPr>
              <w:t>报价或多次报价及谈判。对于需要多次报价及谈判的项目，评审小组应</w:t>
            </w:r>
            <w:r>
              <w:rPr>
                <w:rFonts w:hint="eastAsia" w:ascii="仿宋" w:hAnsi="仿宋" w:eastAsia="仿宋" w:cs="仿宋"/>
                <w:color w:val="000000"/>
                <w:highlight w:val="none"/>
              </w:rPr>
              <w:t>组织所有</w:t>
            </w:r>
            <w:r>
              <w:rPr>
                <w:rFonts w:hint="eastAsia" w:ascii="仿宋" w:hAnsi="仿宋" w:eastAsia="仿宋" w:cs="仿宋"/>
                <w:color w:val="000000"/>
                <w:highlight w:val="none"/>
                <w:lang w:val="en-US" w:eastAsia="zh-CN"/>
              </w:rPr>
              <w:t>满足实质性</w:t>
            </w:r>
            <w:r>
              <w:rPr>
                <w:rFonts w:hint="eastAsia" w:ascii="仿宋" w:hAnsi="仿宋" w:eastAsia="仿宋" w:cs="仿宋"/>
                <w:color w:val="000000"/>
                <w:highlight w:val="none"/>
              </w:rPr>
              <w:t>响应的供应商</w:t>
            </w:r>
            <w:r>
              <w:rPr>
                <w:rFonts w:hint="eastAsia" w:ascii="仿宋" w:hAnsi="仿宋" w:eastAsia="仿宋" w:cs="仿宋"/>
                <w:color w:val="000000"/>
                <w:highlight w:val="none"/>
                <w:lang w:val="en-US" w:eastAsia="zh-CN"/>
              </w:rPr>
              <w:t>每轮次均</w:t>
            </w:r>
            <w:r>
              <w:rPr>
                <w:rFonts w:hint="eastAsia" w:ascii="仿宋" w:hAnsi="仿宋" w:eastAsia="仿宋" w:cs="仿宋"/>
                <w:color w:val="000000"/>
                <w:highlight w:val="none"/>
              </w:rPr>
              <w:t>开展一对一谈判，并要求供应商提交最终报价。供应商</w:t>
            </w:r>
            <w:r>
              <w:rPr>
                <w:rFonts w:hint="eastAsia" w:ascii="仿宋" w:hAnsi="仿宋" w:eastAsia="仿宋" w:cs="仿宋"/>
                <w:color w:val="000000"/>
                <w:highlight w:val="none"/>
                <w:u w:val="single"/>
              </w:rPr>
              <w:t>最后一轮</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lang w:val="en-US" w:eastAsia="zh-CN"/>
              </w:rPr>
              <w:t>谈判</w:t>
            </w:r>
            <w:r>
              <w:rPr>
                <w:rFonts w:hint="eastAsia" w:ascii="仿宋" w:hAnsi="仿宋" w:eastAsia="仿宋" w:cs="仿宋"/>
                <w:color w:val="000000"/>
                <w:highlight w:val="none"/>
                <w:u w:val="single"/>
              </w:rPr>
              <w:t>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10</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响应</w:t>
            </w:r>
            <w:r>
              <w:rPr>
                <w:rFonts w:hint="eastAsia" w:ascii="仿宋" w:hAnsi="仿宋" w:eastAsia="仿宋" w:cs="仿宋"/>
                <w:color w:val="000000"/>
                <w:szCs w:val="21"/>
                <w:highlight w:val="none"/>
              </w:rPr>
              <w:t>有效期</w:t>
            </w:r>
          </w:p>
        </w:tc>
        <w:tc>
          <w:tcPr>
            <w:tcW w:w="3589"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响应</w:t>
            </w:r>
            <w:r>
              <w:rPr>
                <w:rFonts w:hint="eastAsia" w:ascii="仿宋" w:hAnsi="仿宋" w:eastAsia="仿宋" w:cs="宋体"/>
                <w:color w:val="auto"/>
                <w:highlight w:val="none"/>
              </w:rPr>
              <w:t>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11</w:t>
            </w:r>
          </w:p>
        </w:tc>
        <w:tc>
          <w:tcPr>
            <w:tcW w:w="927" w:type="pct"/>
            <w:noWrap w:val="0"/>
            <w:vAlign w:val="center"/>
          </w:tcPr>
          <w:p>
            <w:pPr>
              <w:adjustRightInd w:val="0"/>
              <w:snapToGrid w:val="0"/>
              <w:spacing w:line="360" w:lineRule="auto"/>
              <w:ind w:left="36" w:leftChars="17"/>
              <w:jc w:val="center"/>
              <w:rPr>
                <w:rFonts w:hint="default" w:ascii="仿宋" w:hAnsi="仿宋" w:eastAsia="仿宋" w:cs="仿宋"/>
                <w:color w:val="000000"/>
                <w:szCs w:val="21"/>
                <w:highlight w:val="none"/>
                <w:lang w:val="en-US" w:eastAsia="zh-CN"/>
              </w:rPr>
            </w:pPr>
            <w:r>
              <w:rPr>
                <w:rFonts w:hint="eastAsia" w:ascii="仿宋" w:hAnsi="仿宋" w:eastAsia="仿宋" w:cs="宋体"/>
                <w:color w:val="000000"/>
                <w:szCs w:val="21"/>
                <w:highlight w:val="none"/>
              </w:rPr>
              <w:t>★保证金</w:t>
            </w:r>
            <w:r>
              <w:rPr>
                <w:rFonts w:hint="eastAsia" w:ascii="仿宋" w:hAnsi="仿宋" w:eastAsia="仿宋" w:cs="宋体"/>
                <w:color w:val="000000"/>
                <w:szCs w:val="21"/>
                <w:highlight w:val="none"/>
                <w:lang w:val="en-US" w:eastAsia="zh-CN"/>
              </w:rPr>
              <w:t>的金额</w:t>
            </w:r>
          </w:p>
        </w:tc>
        <w:tc>
          <w:tcPr>
            <w:tcW w:w="3589" w:type="pct"/>
            <w:noWrap w:val="0"/>
            <w:vAlign w:val="center"/>
          </w:tcPr>
          <w:p>
            <w:pPr>
              <w:pStyle w:val="156"/>
              <w:spacing w:before="62" w:beforeLines="20" w:after="62" w:afterLines="2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保证金金额：</w:t>
            </w:r>
            <w:r>
              <w:rPr>
                <w:rFonts w:hint="eastAsia" w:ascii="仿宋" w:hAnsi="仿宋" w:eastAsia="仿宋" w:cs="仿宋"/>
                <w:color w:val="auto"/>
                <w:highlight w:val="none"/>
                <w:u w:val="single"/>
              </w:rPr>
              <w:t>人民币</w:t>
            </w:r>
            <w:r>
              <w:rPr>
                <w:rFonts w:hint="eastAsia" w:ascii="仿宋" w:hAnsi="仿宋" w:eastAsia="仿宋" w:cs="仿宋"/>
                <w:color w:val="auto"/>
                <w:highlight w:val="none"/>
                <w:u w:val="single"/>
                <w:lang w:val="en-US" w:eastAsia="zh-CN"/>
              </w:rPr>
              <w:t>￥2000.00元（</w:t>
            </w:r>
            <w:r>
              <w:rPr>
                <w:rFonts w:hint="eastAsia" w:ascii="仿宋" w:hAnsi="仿宋" w:eastAsia="仿宋" w:cs="仿宋"/>
                <w:color w:val="auto"/>
                <w:highlight w:val="none"/>
                <w:u w:val="single"/>
              </w:rPr>
              <w:t>人民币</w:t>
            </w:r>
            <w:r>
              <w:rPr>
                <w:rFonts w:hint="eastAsia" w:ascii="仿宋" w:hAnsi="仿宋" w:eastAsia="仿宋" w:cs="仿宋"/>
                <w:color w:val="auto"/>
                <w:highlight w:val="none"/>
                <w:u w:val="single"/>
                <w:lang w:val="en-US" w:eastAsia="zh-CN"/>
              </w:rPr>
              <w:t>贰仟元整）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12</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保证金</w:t>
            </w:r>
            <w:r>
              <w:rPr>
                <w:rFonts w:hint="eastAsia" w:ascii="仿宋" w:hAnsi="仿宋" w:eastAsia="仿宋" w:cs="宋体"/>
                <w:color w:val="000000"/>
                <w:szCs w:val="21"/>
                <w:highlight w:val="none"/>
                <w:lang w:val="en-US" w:eastAsia="zh-CN"/>
              </w:rPr>
              <w:t>的</w:t>
            </w:r>
            <w:r>
              <w:rPr>
                <w:rFonts w:hint="eastAsia" w:ascii="仿宋" w:hAnsi="仿宋" w:eastAsia="仿宋" w:cs="宋体"/>
                <w:color w:val="000000"/>
                <w:szCs w:val="21"/>
                <w:highlight w:val="none"/>
              </w:rPr>
              <w:t>形式</w:t>
            </w:r>
          </w:p>
        </w:tc>
        <w:tc>
          <w:tcPr>
            <w:tcW w:w="3589"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（1）保证金的形式：银行电汇/银行转账/在中国注册的银行出具的银行保函/电子保函。</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2）缴纳方式：保证金形式包括在中国注册的银行出具的银行保函、银行汇款、现金、支票、汇票以及其他在中国注册的机构依法出具的响应保函、保险等，以银行汇款、支票、汇票等形式提交的响应保证金应当从供应商账户转出；以银行汇款等形式提交响应保证金的，响应保证金缴纳至如下账户：</w:t>
            </w:r>
          </w:p>
          <w:p>
            <w:pPr>
              <w:pStyle w:val="156"/>
              <w:spacing w:before="62" w:beforeLines="20" w:after="62" w:afterLines="20"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户名：宁夏回族自治区通信产业服务有限公司   </w:t>
            </w:r>
          </w:p>
          <w:p>
            <w:pPr>
              <w:pStyle w:val="156"/>
              <w:spacing w:before="62" w:beforeLines="20" w:after="62" w:afterLines="20"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开户行：交通银行北京市分行营业部   </w:t>
            </w:r>
          </w:p>
          <w:p>
            <w:pPr>
              <w:pStyle w:val="156"/>
              <w:spacing w:before="62" w:beforeLines="20" w:after="62" w:afterLines="20"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账号：990204012101004201</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以银行保函形式提交保证金的，保函中应当写明受益人为[采购人]，担保项目为[项目名称]，保函有效期应覆盖响应有效期。</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保函、保险等原件应作为响应文件在响应截止时间前提交到响应文件递交地点。</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注：保证金以转账形式缴纳的，须提交一份保证金缴纳底单扫描件，并在底单上注明单位全称、账号、开户行全称等信息，以保证保证金能够顺利退还。供应商所提交的保证金只能以供应商的名称提交，采购人或代理机构不接受第三人（法人或自然人）以供应商的名称提交保证金。采购人或代理机构在退还保证金时将直接退还到申请单位账户上，不与第三人（法人或自然人）发生业务往来。</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auto"/>
                <w:highlight w:val="none"/>
              </w:rPr>
              <w:t>（3）未在文件递交截止时间前提交保证保险的或者提交的保证保险有瑕疵的，</w:t>
            </w: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276" w:lineRule="auto"/>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13</w:t>
            </w:r>
          </w:p>
        </w:tc>
        <w:tc>
          <w:tcPr>
            <w:tcW w:w="927" w:type="pct"/>
            <w:noWrap w:val="0"/>
            <w:vAlign w:val="center"/>
          </w:tcPr>
          <w:p>
            <w:pPr>
              <w:pStyle w:val="156"/>
              <w:spacing w:before="62" w:beforeLines="20" w:after="62" w:afterLines="20" w:line="276" w:lineRule="auto"/>
              <w:jc w:val="center"/>
              <w:rPr>
                <w:rFonts w:hint="eastAsia" w:ascii="仿宋" w:hAnsi="仿宋" w:eastAsia="仿宋" w:cs="仿宋"/>
                <w:color w:val="000000"/>
                <w:highlight w:val="none"/>
              </w:rPr>
            </w:pPr>
            <w:r>
              <w:rPr>
                <w:rFonts w:hint="eastAsia" w:ascii="仿宋" w:hAnsi="仿宋" w:eastAsia="仿宋" w:cs="宋体"/>
                <w:highlight w:val="none"/>
              </w:rPr>
              <w:t>★保证金不予退还情形</w:t>
            </w:r>
          </w:p>
        </w:tc>
        <w:tc>
          <w:tcPr>
            <w:tcW w:w="3589" w:type="pct"/>
            <w:noWrap w:val="0"/>
            <w:vAlign w:val="center"/>
          </w:tcPr>
          <w:p>
            <w:pPr>
              <w:pStyle w:val="17"/>
              <w:spacing w:line="360" w:lineRule="auto"/>
              <w:jc w:val="left"/>
              <w:rPr>
                <w:rFonts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供应商或成交供应商出现下列行为之一，保证金不予退还：</w:t>
            </w:r>
          </w:p>
          <w:p>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（1）供应商在</w:t>
            </w:r>
            <w:r>
              <w:rPr>
                <w:rFonts w:hint="eastAsia" w:ascii="仿宋" w:hAnsi="仿宋" w:eastAsia="仿宋" w:cs="仿宋"/>
                <w:color w:val="auto"/>
                <w:kern w:val="0"/>
                <w:sz w:val="21"/>
                <w:szCs w:val="21"/>
                <w:highlight w:val="none"/>
                <w:lang w:val="en-US" w:eastAsia="zh-CN" w:bidi="ar"/>
              </w:rPr>
              <w:t>响应</w:t>
            </w:r>
            <w:r>
              <w:rPr>
                <w:rFonts w:hint="eastAsia" w:ascii="仿宋" w:hAnsi="仿宋" w:eastAsia="仿宋" w:cs="仿宋"/>
                <w:color w:val="auto"/>
                <w:kern w:val="0"/>
                <w:sz w:val="21"/>
                <w:szCs w:val="21"/>
                <w:highlight w:val="none"/>
                <w:lang w:bidi="ar"/>
              </w:rPr>
              <w:t>截止后至</w:t>
            </w:r>
            <w:r>
              <w:rPr>
                <w:rFonts w:hint="eastAsia" w:ascii="仿宋" w:hAnsi="仿宋" w:eastAsia="仿宋" w:cs="仿宋"/>
                <w:color w:val="auto"/>
                <w:kern w:val="0"/>
                <w:sz w:val="21"/>
                <w:szCs w:val="21"/>
                <w:highlight w:val="none"/>
                <w:lang w:val="en-US" w:eastAsia="zh-CN" w:bidi="ar"/>
              </w:rPr>
              <w:t>响应</w:t>
            </w:r>
            <w:r>
              <w:rPr>
                <w:rFonts w:hint="eastAsia" w:ascii="仿宋" w:hAnsi="仿宋" w:eastAsia="仿宋" w:cs="仿宋"/>
                <w:color w:val="auto"/>
                <w:kern w:val="0"/>
                <w:sz w:val="21"/>
                <w:szCs w:val="21"/>
                <w:highlight w:val="none"/>
                <w:lang w:bidi="ar"/>
              </w:rPr>
              <w:t>有效期期满前,要求撤回已递交的响应文件；</w:t>
            </w:r>
          </w:p>
          <w:p>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（2）成交后放弃成交的；</w:t>
            </w:r>
          </w:p>
          <w:p>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（3）成交后无正当理由不与采购人订立合同的；</w:t>
            </w:r>
          </w:p>
          <w:p>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（4）成交供应商在签订合同时向采购人提出附加条件或要求变更实质性合同条款的；</w:t>
            </w:r>
          </w:p>
          <w:p>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（5）成交供应商不按照</w:t>
            </w:r>
            <w:r>
              <w:rPr>
                <w:rFonts w:hint="eastAsia" w:ascii="仿宋" w:hAnsi="仿宋" w:eastAsia="仿宋" w:cs="仿宋"/>
                <w:color w:val="auto"/>
                <w:kern w:val="0"/>
                <w:sz w:val="21"/>
                <w:szCs w:val="21"/>
                <w:highlight w:val="none"/>
                <w:lang w:val="en-US" w:eastAsia="zh-CN" w:bidi="ar"/>
              </w:rPr>
              <w:t>比选</w:t>
            </w:r>
            <w:r>
              <w:rPr>
                <w:rFonts w:hint="eastAsia" w:ascii="仿宋" w:hAnsi="仿宋" w:eastAsia="仿宋" w:cs="仿宋"/>
                <w:color w:val="auto"/>
                <w:kern w:val="0"/>
                <w:sz w:val="21"/>
                <w:szCs w:val="21"/>
                <w:highlight w:val="none"/>
                <w:lang w:bidi="ar"/>
              </w:rPr>
              <w:t>文件要求提交履约保证金的；</w:t>
            </w:r>
          </w:p>
          <w:p>
            <w:pPr>
              <w:pStyle w:val="156"/>
              <w:spacing w:before="62" w:beforeLines="20" w:after="62" w:afterLines="20" w:line="360" w:lineRule="auto"/>
              <w:rPr>
                <w:rFonts w:hint="eastAsia" w:ascii="仿宋" w:hAnsi="仿宋" w:eastAsia="仿宋" w:cs="仿宋"/>
                <w:color w:val="000000"/>
                <w:highlight w:val="none"/>
                <w:lang w:eastAsia="zh-CN"/>
              </w:rPr>
            </w:pPr>
            <w:r>
              <w:rPr>
                <w:rFonts w:hint="eastAsia" w:ascii="仿宋" w:hAnsi="仿宋" w:eastAsia="仿宋" w:cs="仿宋"/>
                <w:color w:val="auto"/>
                <w:highlight w:val="none"/>
                <w:lang w:bidi="ar"/>
              </w:rPr>
              <w:t>（6）供应商有恶意欺诈、弄虚作假、围标串标、哄抬标价、徇私行贿等法律法规中所列违规行为的。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360" w:lineRule="auto"/>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14</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9" w:type="pct"/>
            <w:noWrap w:val="0"/>
            <w:vAlign w:val="center"/>
          </w:tcPr>
          <w:p>
            <w:pPr>
              <w:pStyle w:val="15"/>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lang w:val="en-US" w:eastAsia="zh-CN"/>
              </w:rPr>
              <w:t>1</w:t>
            </w:r>
            <w:r>
              <w:rPr>
                <w:rFonts w:hint="eastAsia" w:ascii="仿宋" w:hAnsi="仿宋" w:eastAsia="仿宋" w:cs="宋体"/>
                <w:color w:val="auto"/>
                <w:sz w:val="21"/>
                <w:szCs w:val="21"/>
                <w:highlight w:val="none"/>
              </w:rPr>
              <w:t>份（</w:t>
            </w:r>
            <w:r>
              <w:rPr>
                <w:rFonts w:hint="eastAsia" w:ascii="仿宋" w:hAnsi="仿宋" w:eastAsia="仿宋" w:cs="宋体"/>
                <w:color w:val="auto"/>
                <w:sz w:val="21"/>
                <w:szCs w:val="21"/>
                <w:highlight w:val="none"/>
                <w:lang w:val="en-US" w:eastAsia="zh-CN"/>
              </w:rPr>
              <w:t>采用U盘单独密封，含签章的pdf格式</w:t>
            </w:r>
            <w:r>
              <w:rPr>
                <w:rFonts w:hint="eastAsia" w:ascii="仿宋" w:hAnsi="仿宋" w:eastAsia="仿宋" w:cs="宋体"/>
                <w:color w:val="auto"/>
                <w:sz w:val="21"/>
                <w:szCs w:val="21"/>
                <w:highlight w:val="none"/>
              </w:rPr>
              <w:t>）；纸质文件正本</w:t>
            </w:r>
            <w:r>
              <w:rPr>
                <w:rFonts w:hint="eastAsia" w:ascii="仿宋" w:hAnsi="仿宋" w:eastAsia="仿宋" w:cs="宋体"/>
                <w:color w:val="auto"/>
                <w:sz w:val="21"/>
                <w:szCs w:val="21"/>
                <w:highlight w:val="none"/>
                <w:u w:val="single"/>
              </w:rPr>
              <w:t xml:space="preserve"> 1 </w:t>
            </w:r>
            <w:r>
              <w:rPr>
                <w:rFonts w:hint="eastAsia" w:ascii="仿宋" w:hAnsi="仿宋" w:eastAsia="仿宋" w:cs="宋体"/>
                <w:color w:val="auto"/>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15</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9" w:type="pct"/>
            <w:noWrap w:val="0"/>
            <w:vAlign w:val="center"/>
          </w:tcPr>
          <w:p>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16</w:t>
            </w: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r>
              <w:rPr>
                <w:rFonts w:hint="eastAsia" w:ascii="仿宋" w:hAnsi="仿宋" w:eastAsia="仿宋" w:cs="仿宋"/>
                <w:color w:val="000000"/>
                <w:highlight w:val="none"/>
                <w:u w:val="single"/>
              </w:rPr>
              <w:t>“五、响应文件的递交”</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17</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组建</w:t>
            </w:r>
            <w:r>
              <w:rPr>
                <w:rFonts w:hint="eastAsia" w:ascii="仿宋" w:hAnsi="仿宋" w:eastAsia="仿宋" w:cs="仿宋"/>
                <w:color w:val="000000"/>
                <w:szCs w:val="21"/>
                <w:highlight w:val="none"/>
                <w:lang w:eastAsia="zh-CN"/>
              </w:rPr>
              <w:t>评审小组</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rPr>
              <w:t>成员人</w:t>
            </w:r>
            <w:r>
              <w:rPr>
                <w:rFonts w:hint="eastAsia" w:ascii="仿宋" w:hAnsi="仿宋" w:eastAsia="仿宋" w:cs="仿宋"/>
                <w:color w:val="auto"/>
                <w:highlight w:val="none"/>
              </w:rPr>
              <w:t>数为</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18</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lang w:eastAsia="zh-CN"/>
              </w:rPr>
              <w:t>比选</w:t>
            </w:r>
            <w:r>
              <w:rPr>
                <w:rFonts w:hint="eastAsia" w:ascii="仿宋" w:hAnsi="仿宋" w:eastAsia="仿宋" w:cs="仿宋"/>
                <w:color w:val="000000"/>
                <w:kern w:val="0"/>
                <w:szCs w:val="21"/>
                <w:highlight w:val="none"/>
              </w:rPr>
              <w:t>程序及方式</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评审小组按采购文件规定的评审标准、方法进行评审</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lang w:val="en-US" w:eastAsia="zh-CN"/>
              </w:rPr>
              <w:t>应</w:t>
            </w:r>
            <w:r>
              <w:rPr>
                <w:rFonts w:hint="eastAsia" w:ascii="仿宋" w:hAnsi="仿宋" w:eastAsia="仿宋" w:cs="仿宋"/>
                <w:color w:val="000000"/>
                <w:highlight w:val="none"/>
                <w:lang w:eastAsia="zh-CN"/>
              </w:rPr>
              <w:t>从满足实质性</w:t>
            </w:r>
            <w:r>
              <w:rPr>
                <w:rFonts w:hint="eastAsia" w:ascii="仿宋" w:hAnsi="仿宋" w:eastAsia="仿宋" w:cs="仿宋"/>
                <w:color w:val="000000"/>
                <w:highlight w:val="none"/>
                <w:lang w:val="en-US" w:eastAsia="zh-CN"/>
              </w:rPr>
              <w:t>响应</w:t>
            </w:r>
            <w:r>
              <w:rPr>
                <w:rFonts w:hint="eastAsia" w:ascii="仿宋" w:hAnsi="仿宋" w:eastAsia="仿宋" w:cs="仿宋"/>
                <w:color w:val="000000"/>
                <w:highlight w:val="none"/>
                <w:lang w:eastAsia="zh-CN"/>
              </w:rPr>
              <w:t>的供应商中按照综合评分由高到低的顺序推荐</w:t>
            </w:r>
            <w:r>
              <w:rPr>
                <w:rFonts w:hint="eastAsia" w:ascii="仿宋" w:hAnsi="仿宋" w:eastAsia="仿宋" w:cs="仿宋"/>
                <w:color w:val="000000"/>
                <w:highlight w:val="none"/>
                <w:lang w:val="en-US" w:eastAsia="zh-CN"/>
              </w:rPr>
              <w:t>成交</w:t>
            </w:r>
            <w:r>
              <w:rPr>
                <w:rFonts w:hint="eastAsia" w:ascii="仿宋" w:hAnsi="仿宋" w:eastAsia="仿宋" w:cs="仿宋"/>
                <w:color w:val="000000"/>
                <w:highlight w:val="none"/>
                <w:lang w:eastAsia="zh-CN"/>
              </w:rPr>
              <w:t>供应商。</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（2）评审小组可以视评审情况要求</w:t>
            </w:r>
            <w:r>
              <w:rPr>
                <w:rFonts w:hint="eastAsia" w:ascii="仿宋" w:hAnsi="仿宋" w:eastAsia="仿宋" w:cs="仿宋"/>
                <w:color w:val="000000"/>
                <w:highlight w:val="none"/>
              </w:rPr>
              <w:t>供应商进行一次</w:t>
            </w:r>
            <w:r>
              <w:rPr>
                <w:rFonts w:hint="eastAsia" w:ascii="仿宋" w:hAnsi="仿宋" w:eastAsia="仿宋" w:cs="仿宋"/>
                <w:color w:val="000000"/>
                <w:highlight w:val="none"/>
                <w:lang w:val="en-US" w:eastAsia="zh-CN"/>
              </w:rPr>
              <w:t>报价或多次报价及谈判。对于需要多次报价及谈判的项目，评审小组应</w:t>
            </w:r>
            <w:r>
              <w:rPr>
                <w:rFonts w:hint="eastAsia" w:ascii="仿宋" w:hAnsi="仿宋" w:eastAsia="仿宋" w:cs="仿宋"/>
                <w:color w:val="000000"/>
                <w:highlight w:val="none"/>
              </w:rPr>
              <w:t>组织所有</w:t>
            </w:r>
            <w:r>
              <w:rPr>
                <w:rFonts w:hint="eastAsia" w:ascii="仿宋" w:hAnsi="仿宋" w:eastAsia="仿宋" w:cs="仿宋"/>
                <w:color w:val="000000"/>
                <w:highlight w:val="none"/>
                <w:lang w:val="en-US" w:eastAsia="zh-CN"/>
              </w:rPr>
              <w:t>满足实质性</w:t>
            </w:r>
            <w:r>
              <w:rPr>
                <w:rFonts w:hint="eastAsia" w:ascii="仿宋" w:hAnsi="仿宋" w:eastAsia="仿宋" w:cs="仿宋"/>
                <w:color w:val="000000"/>
                <w:highlight w:val="none"/>
              </w:rPr>
              <w:t>响应的供应商</w:t>
            </w:r>
            <w:r>
              <w:rPr>
                <w:rFonts w:hint="eastAsia" w:ascii="仿宋" w:hAnsi="仿宋" w:eastAsia="仿宋" w:cs="仿宋"/>
                <w:color w:val="000000"/>
                <w:highlight w:val="none"/>
                <w:lang w:val="en-US" w:eastAsia="zh-CN"/>
              </w:rPr>
              <w:t>每轮次均</w:t>
            </w:r>
            <w:r>
              <w:rPr>
                <w:rFonts w:hint="eastAsia" w:ascii="仿宋" w:hAnsi="仿宋" w:eastAsia="仿宋" w:cs="仿宋"/>
                <w:color w:val="000000"/>
                <w:highlight w:val="none"/>
              </w:rPr>
              <w:t>开展一对一谈判，并要求供应商提交最终报价。</w:t>
            </w:r>
          </w:p>
          <w:p>
            <w:pPr>
              <w:pStyle w:val="156"/>
              <w:spacing w:before="62" w:beforeLines="20" w:after="62" w:afterLines="20"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（3）评审小组按照</w:t>
            </w:r>
            <w:r>
              <w:rPr>
                <w:rFonts w:hint="eastAsia" w:ascii="仿宋" w:hAnsi="仿宋" w:eastAsia="仿宋" w:cs="仿宋"/>
                <w:color w:val="000000"/>
                <w:highlight w:val="none"/>
                <w:u w:val="single"/>
                <w:lang w:val="en-US" w:eastAsia="zh-CN"/>
              </w:rPr>
              <w:t>响应文件递交顺序</w:t>
            </w:r>
            <w:r>
              <w:rPr>
                <w:rFonts w:hint="eastAsia" w:ascii="仿宋" w:hAnsi="仿宋" w:eastAsia="仿宋" w:cs="仿宋"/>
                <w:color w:val="000000"/>
                <w:highlight w:val="none"/>
                <w:lang w:val="en-US" w:eastAsia="zh-CN"/>
              </w:rPr>
              <w:t>逐一进行</w:t>
            </w:r>
            <w:r>
              <w:rPr>
                <w:rFonts w:hint="eastAsia" w:ascii="仿宋" w:hAnsi="仿宋" w:eastAsia="仿宋" w:cs="仿宋"/>
                <w:color w:val="000000"/>
                <w:highlight w:val="none"/>
              </w:rPr>
              <w:t>谈判</w:t>
            </w:r>
            <w:r>
              <w:rPr>
                <w:rFonts w:hint="eastAsia" w:ascii="仿宋" w:hAnsi="仿宋" w:eastAsia="仿宋" w:cs="仿宋"/>
                <w:color w:val="000000"/>
                <w:highlight w:val="none"/>
                <w:lang w:val="en-US" w:eastAsia="zh-CN"/>
              </w:rPr>
              <w:t>，供应商至少应派法定代表人或其授权委托人准时参会。</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rPr>
              <w:t>有权要求供应商对响应文件中含义不明确、同类问题表述不一致或者有明显文字和计算错误的内容等进行澄清、说明或更正。最后一轮</w:t>
            </w:r>
            <w:r>
              <w:rPr>
                <w:rFonts w:hint="eastAsia" w:ascii="仿宋" w:hAnsi="仿宋" w:eastAsia="仿宋" w:cs="仿宋"/>
                <w:color w:val="000000"/>
                <w:highlight w:val="none"/>
                <w:lang w:val="en-US" w:eastAsia="zh-CN"/>
              </w:rPr>
              <w:t>谈判</w:t>
            </w:r>
            <w:r>
              <w:rPr>
                <w:rFonts w:hint="eastAsia" w:ascii="仿宋" w:hAnsi="仿宋" w:eastAsia="仿宋" w:cs="仿宋"/>
                <w:color w:val="000000"/>
                <w:highlight w:val="none"/>
              </w:rPr>
              <w:t>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19</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lang w:val="en-US" w:eastAsia="zh-CN"/>
              </w:rPr>
              <w:t>谈判</w:t>
            </w:r>
            <w:r>
              <w:rPr>
                <w:rFonts w:hint="eastAsia" w:ascii="仿宋" w:hAnsi="仿宋" w:eastAsia="仿宋" w:cs="仿宋"/>
                <w:color w:val="000000"/>
                <w:szCs w:val="21"/>
                <w:highlight w:val="none"/>
              </w:rPr>
              <w:t>内容</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20</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lang w:eastAsia="zh-CN"/>
              </w:rPr>
              <w:t>成交候选人</w:t>
            </w:r>
            <w:r>
              <w:rPr>
                <w:rFonts w:hint="eastAsia" w:ascii="仿宋" w:hAnsi="仿宋" w:eastAsia="仿宋" w:cs="仿宋"/>
                <w:color w:val="000000"/>
                <w:highlight w:val="none"/>
              </w:rPr>
              <w:t>推荐原则</w:t>
            </w:r>
          </w:p>
        </w:tc>
        <w:tc>
          <w:tcPr>
            <w:tcW w:w="3589"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lang w:eastAsia="zh-CN"/>
              </w:rPr>
              <w:t>评审小组</w:t>
            </w:r>
            <w:r>
              <w:rPr>
                <w:rFonts w:hint="eastAsia" w:ascii="仿宋" w:hAnsi="仿宋" w:eastAsia="仿宋" w:cs="仿宋"/>
                <w:color w:val="auto"/>
                <w:highlight w:val="none"/>
              </w:rPr>
              <w:t>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1</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w:t>
            </w:r>
            <w:r>
              <w:rPr>
                <w:rFonts w:hint="eastAsia" w:ascii="仿宋" w:hAnsi="仿宋" w:eastAsia="仿宋" w:cs="宋体"/>
                <w:color w:val="auto"/>
                <w:highlight w:val="none"/>
                <w:lang w:eastAsia="zh-CN"/>
              </w:rPr>
              <w:t>成交候选人</w:t>
            </w:r>
            <w:r>
              <w:rPr>
                <w:rFonts w:hint="eastAsia" w:ascii="仿宋" w:hAnsi="仿宋" w:eastAsia="仿宋" w:cs="宋体"/>
                <w:color w:val="auto"/>
                <w:highlight w:val="none"/>
              </w:rPr>
              <w:t>。</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rPr>
              <w:t>技术/商务</w:t>
            </w:r>
            <w:r>
              <w:rPr>
                <w:rFonts w:hint="eastAsia" w:ascii="仿宋" w:hAnsi="仿宋" w:eastAsia="仿宋" w:cs="仿宋"/>
                <w:color w:val="auto"/>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21</w:t>
            </w: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成交</w:t>
            </w:r>
            <w:r>
              <w:rPr>
                <w:rFonts w:hint="eastAsia" w:ascii="仿宋" w:hAnsi="仿宋" w:eastAsia="仿宋" w:cs="仿宋"/>
                <w:color w:val="000000"/>
                <w:highlight w:val="none"/>
              </w:rPr>
              <w:t>人数量</w:t>
            </w:r>
          </w:p>
        </w:tc>
        <w:tc>
          <w:tcPr>
            <w:tcW w:w="3589" w:type="pct"/>
            <w:noWrap w:val="0"/>
            <w:vAlign w:val="center"/>
          </w:tcPr>
          <w:p>
            <w:pPr>
              <w:pStyle w:val="156"/>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lang w:eastAsia="zh-CN"/>
              </w:rPr>
              <w:t>成交</w:t>
            </w:r>
            <w:r>
              <w:rPr>
                <w:rFonts w:hint="eastAsia" w:ascii="仿宋" w:hAnsi="仿宋" w:eastAsia="仿宋" w:cs="仿宋"/>
                <w:color w:val="auto"/>
                <w:highlight w:val="none"/>
              </w:rPr>
              <w:t>人数量：</w:t>
            </w:r>
            <w:r>
              <w:rPr>
                <w:rFonts w:hint="eastAsia" w:ascii="仿宋" w:hAnsi="仿宋" w:eastAsia="仿宋" w:cs="仿宋"/>
                <w:color w:val="auto"/>
                <w:highlight w:val="none"/>
                <w:u w:val="single"/>
              </w:rPr>
              <w:t>1家</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lang w:eastAsia="zh-CN"/>
              </w:rPr>
              <w:t>成交候选人</w:t>
            </w:r>
            <w:r>
              <w:rPr>
                <w:rFonts w:hint="eastAsia" w:ascii="仿宋" w:hAnsi="仿宋" w:eastAsia="仿宋" w:cs="仿宋"/>
                <w:color w:val="auto"/>
                <w:highlight w:val="none"/>
              </w:rPr>
              <w:t>放弃</w:t>
            </w:r>
            <w:r>
              <w:rPr>
                <w:rFonts w:hint="eastAsia" w:ascii="仿宋" w:hAnsi="仿宋" w:eastAsia="仿宋" w:cs="仿宋"/>
                <w:color w:val="auto"/>
                <w:highlight w:val="none"/>
                <w:lang w:eastAsia="zh-CN"/>
              </w:rPr>
              <w:t>成交</w:t>
            </w:r>
            <w:r>
              <w:rPr>
                <w:rFonts w:hint="eastAsia" w:ascii="仿宋" w:hAnsi="仿宋" w:eastAsia="仿宋" w:cs="仿宋"/>
                <w:color w:val="auto"/>
                <w:highlight w:val="none"/>
              </w:rPr>
              <w:t>、因不可抗力不能履行合同、</w:t>
            </w:r>
            <w:r>
              <w:rPr>
                <w:rFonts w:hint="eastAsia" w:ascii="仿宋" w:hAnsi="仿宋" w:eastAsia="仿宋" w:cs="宋体"/>
                <w:color w:val="auto"/>
                <w:highlight w:val="none"/>
              </w:rPr>
              <w:t>不按照</w:t>
            </w:r>
            <w:r>
              <w:rPr>
                <w:rFonts w:hint="eastAsia" w:ascii="仿宋" w:hAnsi="仿宋" w:eastAsia="仿宋" w:cs="宋体"/>
                <w:color w:val="auto"/>
                <w:highlight w:val="none"/>
                <w:lang w:eastAsia="zh-CN"/>
              </w:rPr>
              <w:t>比选文件</w:t>
            </w:r>
            <w:r>
              <w:rPr>
                <w:rFonts w:hint="eastAsia" w:ascii="仿宋" w:hAnsi="仿宋" w:eastAsia="仿宋" w:cs="宋体"/>
                <w:color w:val="auto"/>
                <w:highlight w:val="none"/>
              </w:rPr>
              <w:t>要求提交履约保证金</w:t>
            </w:r>
            <w:r>
              <w:rPr>
                <w:rFonts w:hint="eastAsia" w:ascii="仿宋" w:hAnsi="仿宋" w:eastAsia="仿宋" w:cs="仿宋"/>
                <w:color w:val="auto"/>
                <w:highlight w:val="none"/>
              </w:rPr>
              <w:t>、存在重大经营或法律风险、被查实存在影响采购结果的违法行为等情形，采购人按照</w:t>
            </w:r>
            <w:r>
              <w:rPr>
                <w:rFonts w:hint="eastAsia" w:ascii="仿宋" w:hAnsi="仿宋" w:eastAsia="仿宋" w:cs="仿宋"/>
                <w:color w:val="auto"/>
                <w:highlight w:val="none"/>
                <w:lang w:eastAsia="zh-CN"/>
              </w:rPr>
              <w:t>评审小组</w:t>
            </w:r>
            <w:r>
              <w:rPr>
                <w:rFonts w:hint="eastAsia" w:ascii="仿宋" w:hAnsi="仿宋" w:eastAsia="仿宋" w:cs="仿宋"/>
                <w:color w:val="auto"/>
                <w:highlight w:val="none"/>
              </w:rPr>
              <w:t>提出的</w:t>
            </w:r>
            <w:r>
              <w:rPr>
                <w:rFonts w:hint="eastAsia" w:ascii="仿宋" w:hAnsi="仿宋" w:eastAsia="仿宋" w:cs="仿宋"/>
                <w:color w:val="auto"/>
                <w:highlight w:val="none"/>
                <w:lang w:eastAsia="zh-CN"/>
              </w:rPr>
              <w:t>成交候选人</w:t>
            </w:r>
            <w:r>
              <w:rPr>
                <w:rFonts w:hint="eastAsia" w:ascii="仿宋" w:hAnsi="仿宋" w:eastAsia="仿宋" w:cs="仿宋"/>
                <w:color w:val="auto"/>
                <w:highlight w:val="none"/>
              </w:rPr>
              <w:t>名单排序依次确定其他</w:t>
            </w:r>
            <w:r>
              <w:rPr>
                <w:rFonts w:hint="eastAsia" w:ascii="仿宋" w:hAnsi="仿宋" w:eastAsia="仿宋" w:cs="仿宋"/>
                <w:color w:val="auto"/>
                <w:highlight w:val="none"/>
                <w:lang w:eastAsia="zh-CN"/>
              </w:rPr>
              <w:t>成交候选人</w:t>
            </w:r>
            <w:r>
              <w:rPr>
                <w:rFonts w:hint="eastAsia" w:ascii="仿宋" w:hAnsi="仿宋" w:eastAsia="仿宋" w:cs="仿宋"/>
                <w:color w:val="auto"/>
                <w:highlight w:val="none"/>
              </w:rPr>
              <w:t>为</w:t>
            </w:r>
            <w:r>
              <w:rPr>
                <w:rFonts w:hint="eastAsia" w:ascii="仿宋" w:hAnsi="仿宋" w:eastAsia="仿宋" w:cs="仿宋"/>
                <w:color w:val="auto"/>
                <w:highlight w:val="none"/>
                <w:lang w:eastAsia="zh-CN"/>
              </w:rPr>
              <w:t>成交</w:t>
            </w:r>
            <w:r>
              <w:rPr>
                <w:rFonts w:hint="eastAsia" w:ascii="仿宋" w:hAnsi="仿宋" w:eastAsia="仿宋" w:cs="仿宋"/>
                <w:color w:val="auto"/>
                <w:highlight w:val="none"/>
              </w:rPr>
              <w:t>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22</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履约保证金</w:t>
            </w:r>
          </w:p>
        </w:tc>
        <w:tc>
          <w:tcPr>
            <w:tcW w:w="3589" w:type="pct"/>
            <w:noWrap w:val="0"/>
            <w:vAlign w:val="center"/>
          </w:tcPr>
          <w:p>
            <w:pPr>
              <w:pStyle w:val="156"/>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23</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异常处理情况</w:t>
            </w:r>
          </w:p>
        </w:tc>
        <w:tc>
          <w:tcPr>
            <w:tcW w:w="3589" w:type="pct"/>
            <w:noWrap w:val="0"/>
            <w:vAlign w:val="center"/>
          </w:tcPr>
          <w:p>
            <w:pPr>
              <w:autoSpaceDE w:val="0"/>
              <w:autoSpaceDN w:val="0"/>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选取1家供应商成交的项目，原则上应与3家或以上供应商开展比选，出现下列情形之一的，可与2家供应商开展比价或比选：</w:t>
            </w:r>
          </w:p>
          <w:p>
            <w:pPr>
              <w:autoSpaceDE w:val="0"/>
              <w:autoSpaceDN w:val="0"/>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（1）经公开征集只有2家供应商响应；</w:t>
            </w:r>
          </w:p>
          <w:p>
            <w:pPr>
              <w:autoSpaceDE w:val="0"/>
              <w:autoSpaceDN w:val="0"/>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（2）公开征集或直接邀请的供应商为3家（含）以上，但最终满足实质性响应供应商数量只有2家的。</w:t>
            </w:r>
          </w:p>
          <w:p>
            <w:pPr>
              <w:autoSpaceDE w:val="0"/>
              <w:autoSpaceDN w:val="0"/>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（3）应答截止后，若供应商少于2家或最终满足实质性响应供应商少于2家，采购人均应重新采购。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24</w:t>
            </w:r>
          </w:p>
        </w:tc>
        <w:tc>
          <w:tcPr>
            <w:tcW w:w="1822" w:type="dxa"/>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auto"/>
                <w:szCs w:val="21"/>
                <w:highlight w:val="none"/>
              </w:rPr>
              <w:t>采购代理服务费</w:t>
            </w:r>
          </w:p>
        </w:tc>
        <w:tc>
          <w:tcPr>
            <w:tcW w:w="7048" w:type="dxa"/>
            <w:noWrap w:val="0"/>
            <w:vAlign w:val="center"/>
          </w:tcPr>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收费依据：参考原国家发展计划委员会《采购代理服务收费管理暂行办法》(计价格[2002]1980号文)、国家发展改革委员会办公厅发布的关于《采购代理服务收费有关问题的通知》(发改办[2003]857号文)和国家发展改革委《关于降低部分建设项目收费标准规范收费行为等有关问题的通知》(发改价格[2011]534号)的规定。</w:t>
            </w:r>
          </w:p>
          <w:p>
            <w:pPr>
              <w:autoSpaceDE w:val="0"/>
              <w:autoSpaceDN w:val="0"/>
              <w:spacing w:line="360" w:lineRule="auto"/>
              <w:rPr>
                <w:rFonts w:hint="default" w:ascii="仿宋" w:hAnsi="仿宋" w:eastAsia="仿宋" w:cs="仿宋"/>
                <w:b/>
                <w:color w:val="auto"/>
                <w:kern w:val="0"/>
                <w:szCs w:val="21"/>
                <w:highlight w:val="none"/>
                <w:lang w:val="en-US" w:eastAsia="zh-CN"/>
              </w:rPr>
            </w:pPr>
            <w:r>
              <w:rPr>
                <w:rFonts w:hint="eastAsia" w:ascii="仿宋" w:hAnsi="仿宋" w:eastAsia="仿宋" w:cs="仿宋"/>
                <w:color w:val="auto"/>
                <w:szCs w:val="21"/>
                <w:highlight w:val="none"/>
              </w:rPr>
              <w:t>（2）</w:t>
            </w:r>
            <w:r>
              <w:rPr>
                <w:rFonts w:hint="eastAsia" w:ascii="仿宋" w:hAnsi="仿宋" w:eastAsia="仿宋" w:cs="Monaco"/>
                <w:color w:val="auto"/>
                <w:szCs w:val="21"/>
                <w:highlight w:val="none"/>
              </w:rPr>
              <w:t>服务费金额：人民币</w:t>
            </w:r>
            <w:r>
              <w:rPr>
                <w:rFonts w:hint="eastAsia" w:ascii="仿宋" w:hAnsi="仿宋" w:eastAsia="仿宋" w:cs="Monaco"/>
                <w:color w:val="auto"/>
                <w:szCs w:val="21"/>
                <w:highlight w:val="none"/>
                <w:lang w:val="en-US" w:eastAsia="zh-CN"/>
              </w:rPr>
              <w:t>￥2000.00元（</w:t>
            </w:r>
            <w:r>
              <w:rPr>
                <w:rFonts w:hint="eastAsia" w:ascii="仿宋" w:hAnsi="仿宋" w:eastAsia="仿宋" w:cs="Monaco"/>
                <w:color w:val="auto"/>
                <w:szCs w:val="21"/>
                <w:highlight w:val="none"/>
              </w:rPr>
              <w:t>人民币</w:t>
            </w:r>
            <w:r>
              <w:rPr>
                <w:rFonts w:hint="eastAsia" w:ascii="仿宋" w:hAnsi="仿宋" w:eastAsia="仿宋" w:cs="Monaco"/>
                <w:color w:val="auto"/>
                <w:szCs w:val="21"/>
                <w:highlight w:val="none"/>
                <w:lang w:val="en-US" w:eastAsia="zh-CN"/>
              </w:rPr>
              <w:t>贰仟元整）</w:t>
            </w:r>
          </w:p>
          <w:p>
            <w:pPr>
              <w:autoSpaceDE w:val="0"/>
              <w:autoSpaceDN w:val="0"/>
              <w:spacing w:line="360" w:lineRule="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auto"/>
                <w:szCs w:val="21"/>
                <w:highlight w:val="none"/>
              </w:rPr>
              <w:t>（3）缴纳时限：成交人在收到采购代理服务费付款通知书后15日内，向采购代理机构一次性支付。</w:t>
            </w:r>
          </w:p>
        </w:tc>
      </w:tr>
    </w:tbl>
    <w:p>
      <w:pPr>
        <w:pStyle w:val="3"/>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27232"/>
      <w:bookmarkStart w:id="34" w:name="_Toc287600118"/>
      <w:bookmarkStart w:id="35" w:name="_Toc20514"/>
      <w:bookmarkStart w:id="36" w:name="_Toc11071"/>
      <w:bookmarkStart w:id="37" w:name="_Toc444891336"/>
      <w:bookmarkStart w:id="38" w:name="_Toc517281816"/>
      <w:bookmarkStart w:id="39" w:name="_Toc6047"/>
      <w:bookmarkStart w:id="40" w:name="_Toc19783313"/>
      <w:bookmarkStart w:id="41" w:name="_Toc4600"/>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4"/>
        <w:spacing w:before="0" w:after="0" w:line="360" w:lineRule="auto"/>
        <w:ind w:firstLine="482"/>
        <w:rPr>
          <w:rFonts w:hint="eastAsia" w:ascii="仿宋" w:hAnsi="仿宋" w:eastAsia="仿宋" w:cs="仿宋"/>
          <w:color w:val="000000"/>
          <w:sz w:val="24"/>
          <w:szCs w:val="24"/>
          <w:highlight w:val="none"/>
        </w:rPr>
      </w:pPr>
      <w:bookmarkStart w:id="42" w:name="_Toc16441"/>
      <w:bookmarkStart w:id="43" w:name="_Toc431"/>
      <w:bookmarkStart w:id="44" w:name="_Toc22969"/>
      <w:bookmarkStart w:id="45" w:name="_Toc287600119"/>
      <w:bookmarkStart w:id="46" w:name="_Toc19783314"/>
      <w:bookmarkStart w:id="47" w:name="_Toc11851"/>
      <w:bookmarkStart w:id="48" w:name="_Toc444891337"/>
      <w:bookmarkStart w:id="49" w:name="_Toc6681"/>
      <w:bookmarkStart w:id="50" w:name="_Toc25128"/>
      <w:bookmarkStart w:id="51" w:name="_Toc517281817"/>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发出前的资格预审文件中作出规定。</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的规定对供应商进行的资格审查。采购人应当在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费用</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w:t>
      </w:r>
      <w:r>
        <w:rPr>
          <w:rFonts w:hint="eastAsia" w:ascii="仿宋" w:hAnsi="仿宋" w:eastAsia="仿宋" w:cs="宋体"/>
          <w:color w:val="000000"/>
          <w:sz w:val="24"/>
          <w:highlight w:val="none"/>
          <w:lang w:eastAsia="zh-CN"/>
        </w:rPr>
        <w:t>响应</w:t>
      </w:r>
      <w:r>
        <w:rPr>
          <w:rFonts w:hint="eastAsia" w:ascii="仿宋" w:hAnsi="仿宋" w:eastAsia="仿宋" w:cs="宋体"/>
          <w:color w:val="000000"/>
          <w:sz w:val="24"/>
          <w:highlight w:val="none"/>
        </w:rPr>
        <w:t>的有关费用。</w:t>
      </w:r>
    </w:p>
    <w:p>
      <w:pPr>
        <w:pStyle w:val="4"/>
        <w:spacing w:after="0" w:line="360" w:lineRule="auto"/>
        <w:ind w:firstLine="482"/>
        <w:rPr>
          <w:rFonts w:hint="eastAsia" w:ascii="仿宋" w:hAnsi="仿宋" w:eastAsia="仿宋" w:cs="仿宋"/>
          <w:color w:val="000000"/>
          <w:sz w:val="24"/>
          <w:szCs w:val="24"/>
          <w:highlight w:val="none"/>
        </w:rPr>
      </w:pPr>
      <w:bookmarkStart w:id="52" w:name="_Toc25513"/>
      <w:bookmarkStart w:id="53" w:name="_Toc517281818"/>
      <w:bookmarkStart w:id="54" w:name="_Toc19783315"/>
      <w:bookmarkStart w:id="55" w:name="_Toc24246"/>
      <w:bookmarkStart w:id="56" w:name="_Toc287600120"/>
      <w:bookmarkStart w:id="57" w:name="_Toc444891338"/>
      <w:bookmarkStart w:id="58" w:name="_Toc5255"/>
      <w:bookmarkStart w:id="59" w:name="_Toc3016"/>
      <w:bookmarkStart w:id="60" w:name="_Toc10975"/>
      <w:bookmarkStart w:id="61" w:name="_Toc28686"/>
      <w:r>
        <w:rPr>
          <w:rFonts w:hint="eastAsia" w:ascii="仿宋" w:hAnsi="仿宋" w:eastAsia="仿宋" w:cs="仿宋"/>
          <w:color w:val="000000"/>
          <w:sz w:val="24"/>
          <w:szCs w:val="24"/>
          <w:highlight w:val="none"/>
        </w:rPr>
        <w:t>（二）</w:t>
      </w:r>
      <w:bookmarkEnd w:id="52"/>
      <w:bookmarkEnd w:id="53"/>
      <w:bookmarkEnd w:id="54"/>
      <w:bookmarkEnd w:id="55"/>
      <w:bookmarkEnd w:id="56"/>
      <w:bookmarkEnd w:id="57"/>
      <w:bookmarkEnd w:id="58"/>
      <w:bookmarkEnd w:id="59"/>
      <w:bookmarkEnd w:id="60"/>
      <w:r>
        <w:rPr>
          <w:rFonts w:hint="eastAsia" w:ascii="仿宋" w:hAnsi="仿宋" w:eastAsia="仿宋" w:cs="仿宋"/>
          <w:color w:val="000000"/>
          <w:sz w:val="24"/>
          <w:szCs w:val="24"/>
          <w:highlight w:val="none"/>
          <w:lang w:eastAsia="zh-CN"/>
        </w:rPr>
        <w:t>比选文件</w:t>
      </w:r>
      <w:bookmarkEnd w:id="61"/>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eastAsia="zh-CN"/>
        </w:rPr>
        <w:t>比选文件</w:t>
      </w:r>
      <w:r>
        <w:rPr>
          <w:rFonts w:hint="eastAsia" w:ascii="仿宋" w:hAnsi="仿宋" w:eastAsia="仿宋" w:cs="仿宋"/>
          <w:color w:val="000000"/>
          <w:sz w:val="24"/>
          <w:szCs w:val="24"/>
          <w:highlight w:val="none"/>
        </w:rPr>
        <w:t>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包括下列内容：</w:t>
      </w:r>
    </w:p>
    <w:p>
      <w:pPr>
        <w:pStyle w:val="23"/>
        <w:widowControl/>
        <w:spacing w:line="360" w:lineRule="auto"/>
        <w:ind w:left="0" w:leftChars="0" w:firstLine="480" w:firstLineChars="200"/>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比选公告</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eastAsia="zh-CN"/>
        </w:rPr>
        <w:t>比选文件</w:t>
      </w:r>
      <w:r>
        <w:rPr>
          <w:rFonts w:hint="eastAsia" w:ascii="仿宋" w:hAnsi="仿宋" w:eastAsia="仿宋" w:cs="仿宋"/>
          <w:color w:val="000000"/>
          <w:sz w:val="24"/>
          <w:szCs w:val="24"/>
          <w:highlight w:val="none"/>
        </w:rPr>
        <w:t>的修改</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进行澄清。</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的澄清或修改等在同一内容的表述上不一致时，以最后发出的书面文件为准。</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预备会</w:t>
      </w:r>
    </w:p>
    <w:p>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w:t>
      </w:r>
      <w:r>
        <w:rPr>
          <w:rFonts w:hint="eastAsia" w:ascii="仿宋" w:hAnsi="仿宋" w:eastAsia="仿宋" w:cs="宋体"/>
          <w:color w:val="000000"/>
          <w:sz w:val="24"/>
          <w:highlight w:val="none"/>
          <w:lang w:eastAsia="zh-CN"/>
        </w:rPr>
        <w:t>响应</w:t>
      </w:r>
      <w:r>
        <w:rPr>
          <w:rFonts w:hint="eastAsia" w:ascii="仿宋" w:hAnsi="仿宋" w:eastAsia="仿宋" w:cs="宋体"/>
          <w:color w:val="000000"/>
          <w:sz w:val="24"/>
          <w:highlight w:val="none"/>
        </w:rPr>
        <w:t>预备会(答疑会)，公开解答潜在供应商对</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提出的疑问</w:t>
      </w:r>
      <w:r>
        <w:rPr>
          <w:rFonts w:hint="eastAsia" w:ascii="仿宋" w:hAnsi="仿宋" w:eastAsia="仿宋" w:cs="宋体"/>
          <w:color w:val="000000"/>
          <w:sz w:val="24"/>
          <w:highlight w:val="none"/>
          <w:lang w:eastAsia="zh-CN"/>
        </w:rPr>
        <w:t>。</w:t>
      </w:r>
    </w:p>
    <w:p>
      <w:pPr>
        <w:pStyle w:val="4"/>
        <w:numPr>
          <w:ilvl w:val="0"/>
          <w:numId w:val="0"/>
        </w:numPr>
        <w:spacing w:after="0" w:line="360" w:lineRule="auto"/>
        <w:jc w:val="center"/>
        <w:rPr>
          <w:rFonts w:hint="eastAsia" w:ascii="仿宋" w:hAnsi="仿宋" w:eastAsia="仿宋" w:cs="仿宋"/>
          <w:color w:val="000000"/>
          <w:sz w:val="24"/>
          <w:szCs w:val="24"/>
          <w:highlight w:val="none"/>
        </w:rPr>
      </w:pPr>
      <w:bookmarkStart w:id="62" w:name="_Toc13691"/>
      <w:bookmarkStart w:id="63" w:name="_Toc517281819"/>
      <w:bookmarkStart w:id="64" w:name="_Toc444891339"/>
      <w:bookmarkStart w:id="65" w:name="_Toc14308"/>
      <w:bookmarkStart w:id="66" w:name="_Toc27563"/>
      <w:bookmarkStart w:id="67" w:name="_Toc19783316"/>
      <w:bookmarkStart w:id="68" w:name="_Toc27642"/>
      <w:bookmarkStart w:id="69" w:name="_Toc16985"/>
      <w:bookmarkStart w:id="70" w:name="_Toc287600121"/>
      <w:bookmarkStart w:id="71" w:name="_Toc30320"/>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5"/>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5"/>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.1 供应商应当按照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的要求编制响应文件，并对其提交的响应文件的真实性、合法性承担法律责任。响应文件应当对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 xml:space="preserve">提出的实质性要求和条件作出响应。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.2 供应商应认真阅读</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中所有的事项、格式、条款和技术规范等。供应商没有按照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要求递交全部资料，或者供应商没有对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在各方面都作出实质性响应是供应商的风险，并可能导致其</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 xml:space="preserve">被否决。 </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报价</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要求进行报价，供应商应当报出符合</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要求的拟提供货物或服务的单价、总价、费率、税率等内容，采购人不接受供应商的任何低于</w:t>
      </w:r>
      <w:r>
        <w:rPr>
          <w:rFonts w:hint="eastAsia" w:ascii="仿宋" w:hAnsi="仿宋" w:eastAsia="仿宋" w:cs="宋体"/>
          <w:color w:val="auto"/>
          <w:kern w:val="0"/>
          <w:sz w:val="24"/>
          <w:highlight w:val="none"/>
        </w:rPr>
        <w:t>成本报价</w:t>
      </w:r>
      <w:r>
        <w:rPr>
          <w:rFonts w:hint="eastAsia" w:ascii="仿宋" w:hAnsi="仿宋" w:eastAsia="仿宋" w:cs="宋体"/>
          <w:color w:val="000000"/>
          <w:kern w:val="0"/>
          <w:sz w:val="24"/>
          <w:highlight w:val="none"/>
        </w:rPr>
        <w:t>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有效期</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 xml:space="preserve">.1 </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有效期必须不短于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有效期，否则将构成对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的非实质性响应，</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将被否决。</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有效期结束前，出现特殊情况的，采购人可以书面形式要求所有供应商延长</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失效。</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保证金</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保证金的，</w:t>
      </w:r>
      <w:r>
        <w:rPr>
          <w:rFonts w:hint="eastAsia" w:ascii="仿宋" w:hAnsi="仿宋" w:eastAsia="仿宋" w:cs="宋体"/>
          <w:color w:val="000000"/>
          <w:kern w:val="0"/>
          <w:sz w:val="24"/>
          <w:highlight w:val="none"/>
          <w:lang w:eastAsia="zh-CN"/>
        </w:rPr>
        <w:t>比选</w:t>
      </w:r>
      <w:r>
        <w:rPr>
          <w:rFonts w:hint="eastAsia" w:ascii="仿宋" w:hAnsi="仿宋" w:eastAsia="仿宋" w:cs="仿宋"/>
          <w:color w:val="000000"/>
          <w:sz w:val="24"/>
          <w:highlight w:val="none"/>
        </w:rPr>
        <w:t>保证金数额应当不超过采购项目预算的2%，</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保证金有效期与</w:t>
      </w:r>
      <w:r>
        <w:rPr>
          <w:rFonts w:hint="eastAsia" w:ascii="仿宋" w:hAnsi="仿宋" w:eastAsia="仿宋" w:cs="仿宋"/>
          <w:color w:val="000000"/>
          <w:sz w:val="24"/>
          <w:highlight w:val="none"/>
          <w:lang w:eastAsia="zh-CN"/>
        </w:rPr>
        <w:t>响应</w:t>
      </w:r>
      <w:r>
        <w:rPr>
          <w:rFonts w:hint="eastAsia" w:ascii="仿宋" w:hAnsi="仿宋" w:eastAsia="仿宋" w:cs="仿宋"/>
          <w:color w:val="000000"/>
          <w:sz w:val="24"/>
          <w:highlight w:val="none"/>
        </w:rPr>
        <w:t>有效期一致，本项目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供应商出现下列行为之一，</w:t>
      </w:r>
      <w:r>
        <w:rPr>
          <w:rFonts w:hint="eastAsia" w:ascii="仿宋" w:hAnsi="仿宋" w:eastAsia="仿宋" w:cs="宋体"/>
          <w:sz w:val="24"/>
          <w:highlight w:val="none"/>
          <w:lang w:eastAsia="zh-CN"/>
        </w:rPr>
        <w:t>比选</w:t>
      </w:r>
      <w:r>
        <w:rPr>
          <w:rFonts w:hint="eastAsia" w:ascii="仿宋" w:hAnsi="仿宋" w:eastAsia="仿宋" w:cs="仿宋"/>
          <w:kern w:val="0"/>
          <w:sz w:val="24"/>
          <w:highlight w:val="none"/>
          <w:lang w:bidi="ar"/>
        </w:rPr>
        <w:t>保证金不予退还：</w:t>
      </w:r>
    </w:p>
    <w:p>
      <w:pPr>
        <w:pStyle w:val="17"/>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w:t>
      </w:r>
      <w:r>
        <w:rPr>
          <w:rFonts w:hint="eastAsia" w:ascii="仿宋" w:hAnsi="仿宋" w:eastAsia="仿宋" w:cs="仿宋"/>
          <w:kern w:val="0"/>
          <w:sz w:val="24"/>
          <w:highlight w:val="none"/>
          <w:lang w:eastAsia="zh-CN" w:bidi="ar"/>
        </w:rPr>
        <w:t>比选</w:t>
      </w:r>
      <w:r>
        <w:rPr>
          <w:rFonts w:hint="eastAsia" w:ascii="仿宋" w:hAnsi="仿宋" w:eastAsia="仿宋" w:cs="仿宋"/>
          <w:kern w:val="0"/>
          <w:sz w:val="24"/>
          <w:highlight w:val="none"/>
          <w:lang w:bidi="ar"/>
        </w:rPr>
        <w:t>截止后至</w:t>
      </w:r>
      <w:r>
        <w:rPr>
          <w:rFonts w:hint="eastAsia" w:ascii="仿宋" w:hAnsi="仿宋" w:eastAsia="仿宋" w:cs="仿宋"/>
          <w:kern w:val="0"/>
          <w:sz w:val="24"/>
          <w:highlight w:val="none"/>
          <w:lang w:eastAsia="zh-CN" w:bidi="ar"/>
        </w:rPr>
        <w:t>比选</w:t>
      </w:r>
      <w:r>
        <w:rPr>
          <w:rFonts w:hint="eastAsia" w:ascii="仿宋" w:hAnsi="仿宋" w:eastAsia="仿宋" w:cs="仿宋"/>
          <w:kern w:val="0"/>
          <w:sz w:val="24"/>
          <w:highlight w:val="none"/>
          <w:lang w:bidi="ar"/>
        </w:rPr>
        <w:t>有效期期满前,要求撤回已递交的响应文件；</w:t>
      </w:r>
    </w:p>
    <w:p>
      <w:pPr>
        <w:pStyle w:val="17"/>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后放弃</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的；</w:t>
      </w:r>
    </w:p>
    <w:p>
      <w:pPr>
        <w:pStyle w:val="17"/>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后无正当理由不与采购人订立合同的；</w:t>
      </w:r>
    </w:p>
    <w:p>
      <w:pPr>
        <w:pStyle w:val="17"/>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供应商在签订合同时向采购人提出附加条件或要求变更实质性合同条款的；</w:t>
      </w:r>
    </w:p>
    <w:p>
      <w:pPr>
        <w:pStyle w:val="17"/>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w:t>
      </w:r>
      <w:r>
        <w:rPr>
          <w:rFonts w:hint="eastAsia" w:ascii="仿宋" w:hAnsi="仿宋" w:eastAsia="仿宋" w:cs="仿宋"/>
          <w:kern w:val="0"/>
          <w:sz w:val="24"/>
          <w:highlight w:val="none"/>
          <w:lang w:eastAsia="zh-CN" w:bidi="ar"/>
        </w:rPr>
        <w:t>成交</w:t>
      </w:r>
      <w:r>
        <w:rPr>
          <w:rFonts w:hint="eastAsia" w:ascii="仿宋" w:hAnsi="仿宋" w:eastAsia="仿宋" w:cs="仿宋"/>
          <w:kern w:val="0"/>
          <w:sz w:val="24"/>
          <w:highlight w:val="none"/>
          <w:lang w:bidi="ar"/>
        </w:rPr>
        <w:t>供应商不按照</w:t>
      </w:r>
      <w:r>
        <w:rPr>
          <w:rFonts w:hint="eastAsia" w:ascii="仿宋" w:hAnsi="仿宋" w:eastAsia="仿宋" w:cs="仿宋"/>
          <w:kern w:val="0"/>
          <w:sz w:val="24"/>
          <w:highlight w:val="none"/>
          <w:lang w:eastAsia="zh-CN" w:bidi="ar"/>
        </w:rPr>
        <w:t>比选文件</w:t>
      </w:r>
      <w:r>
        <w:rPr>
          <w:rFonts w:hint="eastAsia" w:ascii="仿宋" w:hAnsi="仿宋" w:eastAsia="仿宋" w:cs="仿宋"/>
          <w:kern w:val="0"/>
          <w:sz w:val="24"/>
          <w:highlight w:val="none"/>
          <w:lang w:bidi="ar"/>
        </w:rPr>
        <w:t>要求提交履约保证金的；</w:t>
      </w:r>
    </w:p>
    <w:p>
      <w:pPr>
        <w:pStyle w:val="17"/>
        <w:spacing w:line="360" w:lineRule="auto"/>
        <w:jc w:val="left"/>
        <w:rPr>
          <w:rStyle w:val="89"/>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89"/>
          <w:rFonts w:hint="default"/>
          <w:highlight w:val="none"/>
        </w:rPr>
        <w:t>。</w:t>
      </w:r>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所述份数的“副本”，副本为正本复印件。响应文件正本与副本不一致时，以正本为准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中提及的原件或复印件要求，照片件、扫描件、影印件、截图件等与其具有同等效力（</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有特殊要求的除外）。</w:t>
      </w:r>
    </w:p>
    <w:p>
      <w:pPr>
        <w:pStyle w:val="4"/>
        <w:spacing w:after="0" w:line="360" w:lineRule="auto"/>
        <w:ind w:firstLine="482"/>
        <w:rPr>
          <w:rFonts w:hint="eastAsia" w:ascii="仿宋" w:hAnsi="仿宋" w:eastAsia="仿宋" w:cs="仿宋"/>
          <w:color w:val="000000"/>
          <w:sz w:val="24"/>
          <w:szCs w:val="24"/>
          <w:highlight w:val="none"/>
        </w:rPr>
      </w:pPr>
      <w:bookmarkStart w:id="73" w:name="_Toc287600122"/>
      <w:bookmarkStart w:id="74" w:name="_Toc444891340"/>
      <w:bookmarkStart w:id="75" w:name="_Toc7129"/>
      <w:bookmarkStart w:id="76" w:name="_Toc14726"/>
      <w:bookmarkStart w:id="77" w:name="_Toc19783317"/>
      <w:bookmarkStart w:id="78" w:name="_Toc517281820"/>
      <w:bookmarkStart w:id="79" w:name="_Toc21600"/>
      <w:bookmarkStart w:id="80" w:name="_Toc4155"/>
      <w:bookmarkStart w:id="81" w:name="_Toc18673"/>
      <w:bookmarkStart w:id="82" w:name="_Toc428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eastAsia="zh-CN"/>
        </w:rPr>
        <w:t>公告</w:t>
      </w:r>
      <w:r>
        <w:rPr>
          <w:rFonts w:hint="eastAsia" w:ascii="仿宋" w:hAnsi="仿宋" w:eastAsia="仿宋" w:cs="宋体"/>
          <w:color w:val="000000"/>
          <w:sz w:val="24"/>
          <w:highlight w:val="none"/>
        </w:rPr>
        <w:t>或者响应公告书要求获得本项目</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的。</w:t>
      </w:r>
    </w:p>
    <w:p>
      <w:pPr>
        <w:pStyle w:val="5"/>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的规定进行递交。</w:t>
      </w:r>
    </w:p>
    <w:p>
      <w:pPr>
        <w:pStyle w:val="17"/>
        <w:spacing w:line="360" w:lineRule="auto"/>
        <w:jc w:val="left"/>
        <w:rPr>
          <w:rFonts w:hint="eastAsia"/>
          <w:highlight w:val="none"/>
        </w:rPr>
      </w:pPr>
      <w:bookmarkStart w:id="83" w:name="_Toc246996202"/>
      <w:bookmarkStart w:id="84" w:name="_Toc144974526"/>
      <w:bookmarkStart w:id="85" w:name="_Toc179632576"/>
      <w:bookmarkStart w:id="86" w:name="_Toc152042334"/>
      <w:bookmarkStart w:id="87" w:name="_Toc332188194"/>
      <w:bookmarkStart w:id="88" w:name="_Toc246996945"/>
      <w:bookmarkStart w:id="89" w:name="_Toc247085716"/>
      <w:bookmarkStart w:id="90" w:name="_Toc334766948"/>
      <w:bookmarkStart w:id="91" w:name="_Toc152045558"/>
      <w:bookmarkStart w:id="92" w:name="_Toc326223561"/>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保证金不予退还。</w:t>
      </w:r>
    </w:p>
    <w:p>
      <w:pPr>
        <w:pStyle w:val="4"/>
        <w:spacing w:before="0" w:after="0" w:line="360" w:lineRule="auto"/>
        <w:ind w:firstLine="482"/>
        <w:rPr>
          <w:rFonts w:hint="eastAsia" w:ascii="仿宋" w:hAnsi="仿宋" w:eastAsia="仿宋" w:cs="仿宋"/>
          <w:color w:val="000000"/>
          <w:sz w:val="24"/>
          <w:szCs w:val="24"/>
          <w:highlight w:val="none"/>
        </w:rPr>
      </w:pPr>
      <w:bookmarkStart w:id="93" w:name="_Toc12797"/>
      <w:bookmarkStart w:id="94" w:name="_Toc16486"/>
      <w:bookmarkStart w:id="95" w:name="_Toc20741"/>
      <w:bookmarkStart w:id="96" w:name="_Toc517281821"/>
      <w:bookmarkStart w:id="97" w:name="_Toc287600123"/>
      <w:bookmarkStart w:id="98" w:name="_Toc30466"/>
      <w:bookmarkStart w:id="99" w:name="_Toc11361"/>
      <w:bookmarkStart w:id="100" w:name="_Toc2636"/>
      <w:bookmarkStart w:id="101" w:name="_Toc444891341"/>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3"/>
      <w:bookmarkEnd w:id="94"/>
      <w:bookmarkEnd w:id="95"/>
      <w:bookmarkEnd w:id="96"/>
      <w:bookmarkEnd w:id="97"/>
      <w:bookmarkEnd w:id="98"/>
      <w:bookmarkEnd w:id="99"/>
      <w:bookmarkEnd w:id="100"/>
      <w:bookmarkEnd w:id="101"/>
    </w:p>
    <w:p>
      <w:pPr>
        <w:pStyle w:val="5"/>
        <w:spacing w:before="0" w:after="0" w:line="360" w:lineRule="auto"/>
        <w:jc w:val="left"/>
        <w:rPr>
          <w:rFonts w:hint="eastAsia" w:ascii="仿宋" w:hAnsi="仿宋" w:eastAsia="仿宋" w:cs="仿宋"/>
          <w:color w:val="000000"/>
          <w:sz w:val="24"/>
          <w:szCs w:val="24"/>
          <w:highlight w:val="none"/>
          <w:lang w:eastAsia="zh-CN"/>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lang w:eastAsia="zh-CN"/>
        </w:rPr>
        <w:t>评审小组</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X</w:t>
      </w:r>
      <w:r>
        <w:rPr>
          <w:rFonts w:hint="eastAsia" w:ascii="仿宋" w:hAnsi="仿宋" w:eastAsia="仿宋" w:cs="宋体"/>
          <w:color w:val="000000"/>
          <w:kern w:val="0"/>
          <w:sz w:val="24"/>
          <w:highlight w:val="none"/>
        </w:rPr>
        <w:t>人及以上单数的</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成员名单在</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结果确定前保密。</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成员应当按照客观、公正、审慎的原则，根据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规定的评审程序、评审方法和评审标准进行独立评审。</w:t>
      </w:r>
    </w:p>
    <w:p>
      <w:pPr>
        <w:pStyle w:val="5"/>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lang w:val="en-US" w:eastAsia="zh-CN"/>
        </w:rPr>
        <w:t>谈判</w:t>
      </w:r>
      <w:r>
        <w:rPr>
          <w:rFonts w:hint="eastAsia" w:ascii="仿宋" w:hAnsi="仿宋" w:eastAsia="仿宋" w:cs="宋体"/>
          <w:color w:val="000000"/>
          <w:kern w:val="0"/>
          <w:sz w:val="24"/>
          <w:highlight w:val="none"/>
        </w:rPr>
        <w:t>环节，未通过初步评审的供应商，其响应将被否决，不进入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lang w:val="en-US" w:eastAsia="zh-CN"/>
        </w:rPr>
        <w:t>谈判</w:t>
      </w:r>
      <w:r>
        <w:rPr>
          <w:rFonts w:hint="eastAsia" w:ascii="仿宋" w:hAnsi="仿宋" w:eastAsia="仿宋" w:cs="宋体"/>
          <w:color w:val="000000"/>
          <w:kern w:val="0"/>
          <w:sz w:val="24"/>
          <w:highlight w:val="none"/>
        </w:rPr>
        <w:t>、详细评审等后续环节。</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对供应商递交的澄清、说明或补正有疑问的，可以要求供应商进一步澄清、说明或者补正，直至满足</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评审小组</w:t>
      </w:r>
      <w:r>
        <w:rPr>
          <w:rFonts w:hint="eastAsia" w:ascii="仿宋" w:hAnsi="仿宋" w:eastAsia="仿宋" w:cs="仿宋"/>
          <w:b/>
          <w:bCs/>
          <w:sz w:val="24"/>
          <w:highlight w:val="none"/>
        </w:rPr>
        <w:t>有权对其响应做否决处理。</w:t>
      </w:r>
    </w:p>
    <w:p>
      <w:pPr>
        <w:pageBreakBefore w:val="0"/>
        <w:widowControl/>
        <w:kinsoku/>
        <w:wordWrap/>
        <w:overflowPunct/>
        <w:topLinePunct/>
        <w:autoSpaceDE/>
        <w:autoSpaceDN/>
        <w:bidi w:val="0"/>
        <w:adjustRightInd/>
        <w:snapToGrid/>
        <w:spacing w:line="360" w:lineRule="auto"/>
        <w:textAlignment w:val="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必要时可以要求供应商提交有关证明和证件的原件，以便核验。拒不按要求提供原件的供应商，</w:t>
      </w:r>
      <w:r>
        <w:rPr>
          <w:rFonts w:hint="eastAsia" w:ascii="仿宋" w:hAnsi="仿宋" w:eastAsia="仿宋" w:cs="仿宋"/>
          <w:b/>
          <w:bCs/>
          <w:sz w:val="24"/>
          <w:highlight w:val="none"/>
          <w:lang w:eastAsia="zh-CN"/>
        </w:rPr>
        <w:t>评审小组</w:t>
      </w:r>
      <w:r>
        <w:rPr>
          <w:rFonts w:hint="eastAsia" w:ascii="仿宋" w:hAnsi="仿宋" w:eastAsia="仿宋" w:cs="仿宋"/>
          <w:b/>
          <w:bCs/>
          <w:sz w:val="24"/>
          <w:highlight w:val="none"/>
        </w:rPr>
        <w:t>有权对其响应做否决处理。</w:t>
      </w:r>
    </w:p>
    <w:p>
      <w:pPr>
        <w:pStyle w:val="5"/>
        <w:pageBreakBefore w:val="0"/>
        <w:kinsoku/>
        <w:wordWrap/>
        <w:overflowPunct/>
        <w:autoSpaceDE/>
        <w:autoSpaceDN/>
        <w:bidi w:val="0"/>
        <w:adjustRightInd/>
        <w:snapToGrid/>
        <w:spacing w:before="0" w:beforeLines="0" w:after="0" w:afterLines="0" w:line="360" w:lineRule="auto"/>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程序</w:t>
      </w:r>
    </w:p>
    <w:p>
      <w:pPr>
        <w:pageBreakBefore w:val="0"/>
        <w:kinsoku/>
        <w:wordWrap/>
        <w:overflowPunct/>
        <w:autoSpaceDE/>
        <w:autoSpaceDN/>
        <w:bidi w:val="0"/>
        <w:adjustRightInd/>
        <w:snapToGrid/>
        <w:spacing w:line="360" w:lineRule="auto"/>
        <w:jc w:val="left"/>
        <w:textAlignment w:val="auto"/>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.1评审小组按采购文件规定的评审标准、方法进行评审</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lang w:val="en-US" w:eastAsia="zh-CN"/>
        </w:rPr>
        <w:t>应</w:t>
      </w:r>
      <w:r>
        <w:rPr>
          <w:rFonts w:hint="eastAsia" w:ascii="仿宋" w:hAnsi="仿宋" w:eastAsia="仿宋" w:cs="仿宋"/>
          <w:color w:val="000000"/>
          <w:sz w:val="24"/>
          <w:highlight w:val="none"/>
          <w:lang w:eastAsia="zh-CN"/>
        </w:rPr>
        <w:t>从满足实质性</w:t>
      </w:r>
      <w:r>
        <w:rPr>
          <w:rFonts w:hint="eastAsia" w:ascii="仿宋" w:hAnsi="仿宋" w:eastAsia="仿宋" w:cs="仿宋"/>
          <w:color w:val="000000"/>
          <w:sz w:val="24"/>
          <w:highlight w:val="none"/>
          <w:lang w:val="en-US" w:eastAsia="zh-CN"/>
        </w:rPr>
        <w:t>响应</w:t>
      </w:r>
      <w:r>
        <w:rPr>
          <w:rFonts w:hint="eastAsia" w:ascii="仿宋" w:hAnsi="仿宋" w:eastAsia="仿宋" w:cs="仿宋"/>
          <w:color w:val="000000"/>
          <w:sz w:val="24"/>
          <w:highlight w:val="none"/>
          <w:lang w:eastAsia="zh-CN"/>
        </w:rPr>
        <w:t>的供应商中按照综合评分由高到低的顺序推荐</w:t>
      </w:r>
      <w:r>
        <w:rPr>
          <w:rFonts w:hint="eastAsia" w:ascii="仿宋" w:hAnsi="仿宋" w:eastAsia="仿宋" w:cs="仿宋"/>
          <w:color w:val="000000"/>
          <w:sz w:val="24"/>
          <w:highlight w:val="none"/>
          <w:lang w:val="en-US" w:eastAsia="zh-CN"/>
        </w:rPr>
        <w:t>成交</w:t>
      </w:r>
      <w:r>
        <w:rPr>
          <w:rFonts w:hint="eastAsia" w:ascii="仿宋" w:hAnsi="仿宋" w:eastAsia="仿宋" w:cs="仿宋"/>
          <w:color w:val="000000"/>
          <w:sz w:val="24"/>
          <w:highlight w:val="none"/>
          <w:lang w:eastAsia="zh-CN"/>
        </w:rPr>
        <w:t>供应商。</w:t>
      </w:r>
    </w:p>
    <w:p>
      <w:pPr>
        <w:pageBreakBefore w:val="0"/>
        <w:kinsoku/>
        <w:wordWrap/>
        <w:overflowPunct/>
        <w:autoSpaceDE/>
        <w:autoSpaceDN/>
        <w:bidi w:val="0"/>
        <w:adjustRightInd/>
        <w:snapToGrid/>
        <w:spacing w:line="360" w:lineRule="auto"/>
        <w:jc w:val="left"/>
        <w:textAlignment w:val="auto"/>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lang w:val="en-US" w:eastAsia="zh-CN"/>
        </w:rPr>
        <w:t>评审小组可以视评审情况要求</w:t>
      </w:r>
      <w:r>
        <w:rPr>
          <w:rFonts w:hint="eastAsia" w:ascii="仿宋" w:hAnsi="仿宋" w:eastAsia="仿宋" w:cs="仿宋"/>
          <w:color w:val="000000"/>
          <w:sz w:val="24"/>
          <w:highlight w:val="none"/>
        </w:rPr>
        <w:t>供应商进行一次</w:t>
      </w:r>
      <w:r>
        <w:rPr>
          <w:rFonts w:hint="eastAsia" w:ascii="仿宋" w:hAnsi="仿宋" w:eastAsia="仿宋" w:cs="仿宋"/>
          <w:color w:val="000000"/>
          <w:sz w:val="24"/>
          <w:highlight w:val="none"/>
          <w:lang w:val="en-US" w:eastAsia="zh-CN"/>
        </w:rPr>
        <w:t>报价或多次报价。对于需要多次报价的项目，评审小组应</w:t>
      </w:r>
      <w:r>
        <w:rPr>
          <w:rFonts w:hint="eastAsia" w:ascii="仿宋" w:hAnsi="仿宋" w:eastAsia="仿宋" w:cs="仿宋"/>
          <w:color w:val="000000"/>
          <w:sz w:val="24"/>
          <w:highlight w:val="none"/>
        </w:rPr>
        <w:t>组织所有</w:t>
      </w:r>
      <w:r>
        <w:rPr>
          <w:rFonts w:hint="eastAsia" w:ascii="仿宋" w:hAnsi="仿宋" w:eastAsia="仿宋" w:cs="仿宋"/>
          <w:color w:val="000000"/>
          <w:sz w:val="24"/>
          <w:highlight w:val="none"/>
          <w:lang w:val="en-US" w:eastAsia="zh-CN"/>
        </w:rPr>
        <w:t>满足实质性</w:t>
      </w:r>
      <w:r>
        <w:rPr>
          <w:rFonts w:ascii="仿宋" w:hAnsi="仿宋" w:eastAsia="仿宋" w:cs="仿宋"/>
          <w:color w:val="000000"/>
          <w:sz w:val="24"/>
          <w:highlight w:val="none"/>
        </w:rPr>
        <w:t>响应</w:t>
      </w:r>
      <w:r>
        <w:rPr>
          <w:rFonts w:hint="eastAsia" w:ascii="仿宋" w:hAnsi="仿宋" w:eastAsia="仿宋" w:cs="仿宋"/>
          <w:color w:val="000000"/>
          <w:sz w:val="24"/>
          <w:highlight w:val="none"/>
        </w:rPr>
        <w:t>的</w:t>
      </w:r>
      <w:r>
        <w:rPr>
          <w:rFonts w:ascii="仿宋" w:hAnsi="仿宋" w:eastAsia="仿宋" w:cs="仿宋"/>
          <w:color w:val="000000"/>
          <w:sz w:val="24"/>
          <w:highlight w:val="none"/>
        </w:rPr>
        <w:t>供应商</w:t>
      </w:r>
      <w:r>
        <w:rPr>
          <w:rFonts w:hint="eastAsia" w:ascii="仿宋" w:hAnsi="仿宋" w:eastAsia="仿宋" w:cs="仿宋"/>
          <w:color w:val="000000"/>
          <w:sz w:val="24"/>
          <w:highlight w:val="none"/>
          <w:lang w:val="en-US" w:eastAsia="zh-CN"/>
        </w:rPr>
        <w:t>每轮次均</w:t>
      </w:r>
      <w:r>
        <w:rPr>
          <w:rFonts w:hint="eastAsia" w:ascii="仿宋" w:hAnsi="仿宋" w:eastAsia="仿宋" w:cs="仿宋"/>
          <w:color w:val="000000"/>
          <w:sz w:val="24"/>
          <w:highlight w:val="none"/>
        </w:rPr>
        <w:t>开展</w:t>
      </w:r>
      <w:r>
        <w:rPr>
          <w:rFonts w:ascii="仿宋" w:hAnsi="仿宋" w:eastAsia="仿宋" w:cs="仿宋"/>
          <w:color w:val="000000"/>
          <w:sz w:val="24"/>
          <w:highlight w:val="none"/>
        </w:rPr>
        <w:t>一对一</w:t>
      </w:r>
      <w:r>
        <w:rPr>
          <w:rFonts w:hint="eastAsia" w:ascii="仿宋" w:hAnsi="仿宋" w:eastAsia="仿宋" w:cs="仿宋"/>
          <w:color w:val="000000"/>
          <w:sz w:val="24"/>
          <w:highlight w:val="none"/>
        </w:rPr>
        <w:t>谈判</w:t>
      </w:r>
      <w:r>
        <w:rPr>
          <w:rFonts w:ascii="仿宋" w:hAnsi="仿宋" w:eastAsia="仿宋" w:cs="仿宋"/>
          <w:color w:val="000000"/>
          <w:sz w:val="24"/>
          <w:highlight w:val="none"/>
        </w:rPr>
        <w:t>，</w:t>
      </w:r>
      <w:r>
        <w:rPr>
          <w:rFonts w:hint="eastAsia" w:ascii="仿宋" w:hAnsi="仿宋" w:eastAsia="仿宋" w:cs="仿宋"/>
          <w:color w:val="000000"/>
          <w:sz w:val="24"/>
          <w:highlight w:val="none"/>
        </w:rPr>
        <w:t>并</w:t>
      </w:r>
      <w:r>
        <w:rPr>
          <w:rFonts w:ascii="仿宋" w:hAnsi="仿宋" w:eastAsia="仿宋" w:cs="仿宋"/>
          <w:color w:val="000000"/>
          <w:sz w:val="24"/>
          <w:highlight w:val="none"/>
        </w:rPr>
        <w:t>要求供应商提交最终报价。</w:t>
      </w:r>
      <w:r>
        <w:rPr>
          <w:rFonts w:hint="eastAsia" w:ascii="仿宋" w:hAnsi="仿宋" w:eastAsia="仿宋" w:cs="仿宋"/>
          <w:color w:val="000000"/>
          <w:sz w:val="24"/>
          <w:highlight w:val="none"/>
          <w:lang w:eastAsia="zh-CN"/>
        </w:rPr>
        <w:t>谈判</w:t>
      </w:r>
      <w:r>
        <w:rPr>
          <w:rFonts w:hint="eastAsia" w:ascii="仿宋" w:hAnsi="仿宋" w:eastAsia="仿宋" w:cs="仿宋"/>
          <w:color w:val="000000"/>
          <w:sz w:val="24"/>
          <w:highlight w:val="none"/>
        </w:rPr>
        <w:t>中，任何一方不得向第三方透露与磋商有关的任何信息。具体内容详见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19.3</w:t>
      </w:r>
      <w:bookmarkEnd w:id="104"/>
      <w:r>
        <w:rPr>
          <w:rFonts w:hint="eastAsia" w:ascii="仿宋" w:hAnsi="仿宋" w:eastAsia="仿宋" w:cs="仿宋"/>
          <w:color w:val="000000"/>
          <w:sz w:val="24"/>
          <w:highlight w:val="none"/>
        </w:rPr>
        <w:t>各轮报价有算术错误的，</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按照以下原则对报价进行修正，修正的价格经供应商书面确认后具有约束力。供应商不接受或不确认修正后价格的，</w:t>
      </w:r>
      <w:r>
        <w:rPr>
          <w:rFonts w:hint="eastAsia" w:ascii="仿宋" w:hAnsi="仿宋" w:eastAsia="仿宋" w:cs="仿宋"/>
          <w:color w:val="000000"/>
          <w:sz w:val="24"/>
          <w:highlight w:val="none"/>
          <w:lang w:eastAsia="zh-CN"/>
        </w:rPr>
        <w:t>评审小组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pPr>
        <w:pStyle w:val="5"/>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采用综合评分法对提交最终报价的供应商的响应文件及其最终报价进行综合评分。综合评分法，是指响应文件满足</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全部实质性要求且按评审因素的量化指标评审得分最高的供应商为</w:t>
      </w:r>
      <w:r>
        <w:rPr>
          <w:rFonts w:hint="eastAsia" w:ascii="仿宋" w:hAnsi="仿宋" w:eastAsia="仿宋" w:cs="仿宋"/>
          <w:color w:val="000000"/>
          <w:sz w:val="24"/>
          <w:highlight w:val="none"/>
          <w:lang w:eastAsia="zh-CN"/>
        </w:rPr>
        <w:t>成交候选人</w:t>
      </w:r>
      <w:r>
        <w:rPr>
          <w:rFonts w:hint="eastAsia" w:ascii="仿宋" w:hAnsi="仿宋" w:eastAsia="仿宋" w:cs="仿宋"/>
          <w:color w:val="000000"/>
          <w:sz w:val="24"/>
          <w:highlight w:val="none"/>
        </w:rPr>
        <w:t>的评审方法。</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中没有规定的评审标准不得作为评审</w:t>
      </w:r>
      <w:r>
        <w:rPr>
          <w:rFonts w:hint="eastAsia" w:ascii="仿宋" w:hAnsi="仿宋" w:eastAsia="仿宋" w:cs="宋体"/>
          <w:color w:val="000000"/>
          <w:kern w:val="0"/>
          <w:sz w:val="24"/>
          <w:highlight w:val="none"/>
        </w:rPr>
        <w:t>依据。</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20.2发生以下情形之一的，原则上做终止采购处理：</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（1）出现影响采购公正的违法、违规行为的；</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（2）</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报价超过预算金额，采购需求方无法解决的；</w:t>
      </w:r>
    </w:p>
    <w:p>
      <w:pPr>
        <w:widowControl/>
        <w:topLinePunct/>
        <w:spacing w:line="360" w:lineRule="auto"/>
        <w:rPr>
          <w:rFonts w:hint="eastAsia" w:ascii="仿宋" w:hAnsi="仿宋" w:eastAsia="仿宋" w:cs="宋体"/>
          <w:color w:val="000000"/>
          <w:kern w:val="0"/>
          <w:sz w:val="24"/>
          <w:highlight w:val="none"/>
          <w:lang w:val="en-US" w:eastAsia="zh-CN"/>
        </w:rPr>
      </w:pPr>
      <w:r>
        <w:rPr>
          <w:rFonts w:hint="eastAsia" w:ascii="仿宋" w:hAnsi="仿宋" w:eastAsia="仿宋" w:cs="宋体"/>
          <w:color w:val="000000"/>
          <w:kern w:val="0"/>
          <w:sz w:val="24"/>
          <w:highlight w:val="none"/>
        </w:rPr>
        <w:t>（3）</w:t>
      </w:r>
      <w:r>
        <w:rPr>
          <w:rFonts w:hint="eastAsia" w:ascii="仿宋" w:hAnsi="仿宋" w:eastAsia="仿宋" w:cs="宋体"/>
          <w:color w:val="000000"/>
          <w:kern w:val="0"/>
          <w:sz w:val="24"/>
          <w:highlight w:val="none"/>
          <w:lang w:val="en-US" w:eastAsia="zh-CN"/>
        </w:rPr>
        <w:t>选取1家供应商成交的，原则上应与3家（含）以上供应商开展采购，其中满足实质性响应的供应商应为2家（含）以上。成交的供应商为N家的（N&gt;1），原则上满足实质性响应的供应商数量应不少于N+2家。</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20.3</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推荐原则详见本须知前附表。</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的经营、财务状况发生较大变化或者存在违法行为，采购人认为可能影响其履约能力的，应当在发出</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通知书前由原</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会按照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规定的标准和方法审查确认。</w:t>
      </w:r>
    </w:p>
    <w:p>
      <w:pPr>
        <w:pStyle w:val="4"/>
        <w:spacing w:before="0" w:after="0" w:line="360" w:lineRule="auto"/>
        <w:ind w:firstLine="482"/>
        <w:rPr>
          <w:rFonts w:hint="eastAsia" w:ascii="仿宋" w:hAnsi="仿宋" w:eastAsia="仿宋" w:cs="仿宋"/>
          <w:color w:val="000000"/>
          <w:sz w:val="24"/>
          <w:szCs w:val="24"/>
          <w:highlight w:val="none"/>
        </w:rPr>
      </w:pPr>
      <w:bookmarkStart w:id="105" w:name="_Toc234223231"/>
      <w:bookmarkStart w:id="106" w:name="_Toc24809"/>
      <w:bookmarkStart w:id="107" w:name="_Toc517281822"/>
      <w:bookmarkStart w:id="108" w:name="_Toc19451"/>
      <w:bookmarkStart w:id="109" w:name="_Toc9911"/>
      <w:bookmarkStart w:id="110" w:name="_Toc16781"/>
      <w:bookmarkStart w:id="111" w:name="_Toc13936"/>
      <w:bookmarkStart w:id="112" w:name="_Toc287600124"/>
      <w:bookmarkStart w:id="113" w:name="_Toc2322"/>
      <w:bookmarkStart w:id="114" w:name="_Toc444891342"/>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5"/>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lang w:eastAsia="zh-CN"/>
        </w:rPr>
        <w:t>成交</w:t>
      </w:r>
      <w:r>
        <w:rPr>
          <w:rFonts w:hint="eastAsia" w:ascii="仿宋" w:hAnsi="仿宋" w:eastAsia="仿宋" w:cs="仿宋"/>
          <w:color w:val="000000"/>
          <w:sz w:val="24"/>
          <w:szCs w:val="24"/>
          <w:highlight w:val="none"/>
        </w:rPr>
        <w:t>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推荐的</w:t>
      </w:r>
      <w:r>
        <w:rPr>
          <w:rFonts w:hint="eastAsia" w:ascii="仿宋" w:hAnsi="仿宋" w:eastAsia="仿宋" w:cs="仿宋"/>
          <w:color w:val="000000"/>
          <w:sz w:val="24"/>
          <w:highlight w:val="none"/>
          <w:lang w:eastAsia="zh-CN"/>
        </w:rPr>
        <w:t>成交候选人</w:t>
      </w:r>
      <w:r>
        <w:rPr>
          <w:rFonts w:hint="eastAsia" w:ascii="仿宋" w:hAnsi="仿宋" w:eastAsia="仿宋" w:cs="仿宋"/>
          <w:color w:val="000000"/>
          <w:sz w:val="24"/>
          <w:highlight w:val="none"/>
        </w:rPr>
        <w:t>名单确定</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确定后，采购人应当向</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发出</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通知书，同时将</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结果通知所有未</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的供应商。</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通知书对采购人和</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收到</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通知书后放弃</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的，应当承担法律责任。</w:t>
      </w:r>
    </w:p>
    <w:p>
      <w:pPr>
        <w:pStyle w:val="5"/>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按照</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和</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和</w:t>
      </w:r>
      <w:r>
        <w:rPr>
          <w:rFonts w:hint="eastAsia" w:ascii="仿宋" w:hAnsi="仿宋" w:eastAsia="仿宋" w:cs="仿宋"/>
          <w:color w:val="000000"/>
          <w:sz w:val="24"/>
          <w:highlight w:val="none"/>
          <w:lang w:eastAsia="zh-CN"/>
        </w:rPr>
        <w:t>成交人</w:t>
      </w:r>
      <w:r>
        <w:rPr>
          <w:rFonts w:hint="eastAsia" w:ascii="仿宋" w:hAnsi="仿宋" w:eastAsia="仿宋" w:cs="宋体"/>
          <w:color w:val="000000"/>
          <w:kern w:val="0"/>
          <w:sz w:val="24"/>
          <w:highlight w:val="none"/>
        </w:rPr>
        <w:t>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无正当理由不与采购人订立合同，在签订合同时向采购人提出附加条件，将取消其</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资格。给采购人造成损失的，</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应当予以赔偿。</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提交履约保证金的，</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如不按要求提交履约保证金，将取消其</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资格，保证金不予退还。</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pPr>
        <w:pStyle w:val="4"/>
        <w:spacing w:before="0" w:after="0" w:line="360" w:lineRule="auto"/>
        <w:ind w:firstLine="482"/>
        <w:jc w:val="both"/>
        <w:rPr>
          <w:rFonts w:hint="eastAsia" w:ascii="仿宋" w:hAnsi="仿宋" w:eastAsia="仿宋" w:cs="仿宋"/>
          <w:color w:val="000000"/>
          <w:sz w:val="24"/>
          <w:szCs w:val="24"/>
          <w:highlight w:val="none"/>
        </w:rPr>
      </w:pPr>
      <w:bookmarkStart w:id="116" w:name="_Toc12122"/>
      <w:bookmarkStart w:id="117" w:name="_Toc14533"/>
      <w:bookmarkStart w:id="118" w:name="_Toc234223235"/>
      <w:r>
        <w:rPr>
          <w:rFonts w:hint="eastAsia" w:ascii="仿宋" w:hAnsi="仿宋" w:eastAsia="仿宋" w:cs="仿宋"/>
          <w:color w:val="000000"/>
          <w:sz w:val="24"/>
          <w:szCs w:val="24"/>
          <w:highlight w:val="none"/>
        </w:rPr>
        <w:t>（七）其他</w:t>
      </w:r>
      <w:bookmarkEnd w:id="116"/>
      <w:bookmarkEnd w:id="117"/>
    </w:p>
    <w:bookmarkEnd w:id="118"/>
    <w:p>
      <w:pPr>
        <w:pStyle w:val="5"/>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3</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pPr>
        <w:pStyle w:val="2"/>
        <w:spacing w:before="0" w:after="0" w:line="360" w:lineRule="auto"/>
        <w:jc w:val="center"/>
        <w:rPr>
          <w:rFonts w:hint="eastAsia" w:ascii="仿宋" w:hAnsi="仿宋" w:eastAsia="仿宋" w:cs="仿宋"/>
          <w:color w:val="000000"/>
          <w:sz w:val="28"/>
          <w:szCs w:val="28"/>
          <w:highlight w:val="none"/>
        </w:rPr>
      </w:pPr>
      <w:bookmarkStart w:id="119" w:name="_Toc14540"/>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pPr>
        <w:pStyle w:val="3"/>
        <w:ind w:firstLine="0" w:firstLineChars="0"/>
        <w:jc w:val="left"/>
        <w:rPr>
          <w:rFonts w:hint="eastAsia" w:ascii="仿宋" w:hAnsi="仿宋" w:eastAsia="仿宋" w:cs="仿宋"/>
          <w:color w:val="000000"/>
          <w:sz w:val="24"/>
          <w:szCs w:val="24"/>
          <w:highlight w:val="none"/>
        </w:rPr>
      </w:pPr>
      <w:bookmarkStart w:id="122" w:name="_Toc28698"/>
      <w:bookmarkStart w:id="123" w:name="_Toc444891344"/>
      <w:bookmarkStart w:id="124" w:name="_Toc517281825"/>
      <w:bookmarkStart w:id="125" w:name="_Toc226969358"/>
      <w:bookmarkStart w:id="126" w:name="_Toc227057964"/>
      <w:r>
        <w:rPr>
          <w:rFonts w:hint="eastAsia" w:ascii="仿宋" w:hAnsi="仿宋" w:eastAsia="仿宋" w:cs="仿宋"/>
          <w:color w:val="000000"/>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lang w:eastAsia="zh-CN"/>
        </w:rPr>
        <w:t>评审小组</w:t>
      </w:r>
      <w:r>
        <w:rPr>
          <w:rFonts w:hint="eastAsia" w:ascii="仿宋" w:hAnsi="仿宋" w:eastAsia="仿宋" w:cs="仿宋"/>
          <w:color w:val="000000"/>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的初审要求；初步评审中不符合评审标准的，将做否决</w:t>
      </w:r>
      <w:r>
        <w:rPr>
          <w:rFonts w:hint="eastAsia" w:ascii="仿宋" w:hAnsi="仿宋" w:eastAsia="仿宋" w:cs="仿宋"/>
          <w:color w:val="000000"/>
          <w:kern w:val="0"/>
          <w:sz w:val="24"/>
          <w:highlight w:val="none"/>
          <w:lang w:eastAsia="zh-CN"/>
        </w:rPr>
        <w:t>响应</w:t>
      </w:r>
      <w:r>
        <w:rPr>
          <w:rFonts w:hint="eastAsia" w:ascii="仿宋" w:hAnsi="仿宋" w:eastAsia="仿宋" w:cs="仿宋"/>
          <w:color w:val="000000"/>
          <w:kern w:val="0"/>
          <w:sz w:val="24"/>
          <w:highlight w:val="none"/>
        </w:rPr>
        <w:t>处理；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w:t>
      </w:r>
      <w:r>
        <w:rPr>
          <w:rFonts w:hint="eastAsia" w:ascii="仿宋" w:hAnsi="仿宋" w:eastAsia="仿宋" w:cs="仿宋"/>
          <w:color w:val="000000"/>
          <w:kern w:val="0"/>
          <w:sz w:val="24"/>
          <w:highlight w:val="none"/>
          <w:lang w:eastAsia="zh-CN"/>
        </w:rPr>
        <w:t>评审小组</w:t>
      </w:r>
      <w:r>
        <w:rPr>
          <w:rFonts w:hint="eastAsia" w:ascii="仿宋" w:hAnsi="仿宋" w:eastAsia="仿宋" w:cs="仿宋"/>
          <w:color w:val="000000"/>
          <w:kern w:val="0"/>
          <w:sz w:val="24"/>
          <w:highlight w:val="none"/>
        </w:rPr>
        <w:t>应当否决其</w:t>
      </w:r>
      <w:r>
        <w:rPr>
          <w:rFonts w:hint="eastAsia" w:ascii="仿宋" w:hAnsi="仿宋" w:eastAsia="仿宋" w:cs="仿宋"/>
          <w:color w:val="000000"/>
          <w:kern w:val="0"/>
          <w:sz w:val="24"/>
          <w:highlight w:val="none"/>
          <w:lang w:eastAsia="zh-CN"/>
        </w:rPr>
        <w:t>响应</w:t>
      </w:r>
      <w:r>
        <w:rPr>
          <w:rFonts w:hint="eastAsia" w:ascii="仿宋" w:hAnsi="仿宋" w:eastAsia="仿宋" w:cs="仿宋"/>
          <w:color w:val="000000"/>
          <w:kern w:val="0"/>
          <w:sz w:val="24"/>
          <w:highlight w:val="none"/>
        </w:rPr>
        <w:t>：</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公告</w:t>
      </w:r>
      <w:r>
        <w:rPr>
          <w:rFonts w:hint="eastAsia" w:ascii="仿宋" w:hAnsi="仿宋" w:eastAsia="仿宋" w:cs="仿宋"/>
          <w:kern w:val="0"/>
          <w:sz w:val="24"/>
          <w:highlight w:val="none"/>
        </w:rPr>
        <w:t>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w:t>
      </w:r>
      <w:r>
        <w:rPr>
          <w:rFonts w:hint="eastAsia" w:ascii="仿宋" w:hAnsi="仿宋" w:eastAsia="仿宋" w:cs="仿宋"/>
          <w:kern w:val="0"/>
          <w:sz w:val="24"/>
          <w:highlight w:val="none"/>
          <w:lang w:eastAsia="zh-CN"/>
        </w:rPr>
        <w:t>比选文件</w:t>
      </w:r>
      <w:r>
        <w:rPr>
          <w:rFonts w:hint="eastAsia" w:ascii="仿宋" w:hAnsi="仿宋" w:eastAsia="仿宋" w:cs="仿宋"/>
          <w:kern w:val="0"/>
          <w:sz w:val="24"/>
          <w:highlight w:val="none"/>
        </w:rPr>
        <w:t>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w:t>
      </w:r>
      <w:r>
        <w:rPr>
          <w:rFonts w:hint="eastAsia" w:ascii="仿宋" w:hAnsi="仿宋" w:eastAsia="仿宋" w:cs="仿宋"/>
          <w:kern w:val="0"/>
          <w:sz w:val="24"/>
          <w:highlight w:val="none"/>
          <w:lang w:eastAsia="zh-CN"/>
        </w:rPr>
        <w:t>比选文件</w:t>
      </w:r>
      <w:r>
        <w:rPr>
          <w:rFonts w:hint="eastAsia" w:ascii="仿宋" w:hAnsi="仿宋" w:eastAsia="仿宋" w:cs="仿宋"/>
          <w:kern w:val="0"/>
          <w:sz w:val="24"/>
          <w:highlight w:val="none"/>
        </w:rPr>
        <w:t>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 xml:space="preserve">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中规定的其他实质性要求。</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内容允许在比选过程中按评审小组规定的时间内补充，若未在规定时间内补充则将导致响应无效。</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w:t>
      </w:r>
      <w:r>
        <w:rPr>
          <w:rFonts w:hint="eastAsia" w:ascii="仿宋" w:hAnsi="仿宋" w:eastAsia="仿宋" w:cs="仿宋"/>
          <w:kern w:val="0"/>
          <w:sz w:val="24"/>
          <w:highlight w:val="none"/>
          <w:lang w:eastAsia="zh-CN"/>
        </w:rPr>
        <w:t>比选</w:t>
      </w:r>
      <w:r>
        <w:rPr>
          <w:rFonts w:hint="eastAsia" w:ascii="仿宋" w:hAnsi="仿宋" w:eastAsia="仿宋" w:cs="仿宋"/>
          <w:kern w:val="0"/>
          <w:sz w:val="24"/>
          <w:highlight w:val="none"/>
          <w:lang w:val="en-US" w:eastAsia="zh-CN"/>
        </w:rPr>
        <w:t>谈判</w:t>
      </w:r>
      <w:r>
        <w:rPr>
          <w:rFonts w:hint="eastAsia" w:ascii="仿宋" w:hAnsi="仿宋" w:eastAsia="仿宋" w:cs="仿宋"/>
          <w:kern w:val="0"/>
          <w:sz w:val="24"/>
          <w:highlight w:val="none"/>
        </w:rPr>
        <w:t>；</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w:t>
      </w:r>
      <w:r>
        <w:rPr>
          <w:rFonts w:hint="eastAsia" w:ascii="仿宋" w:hAnsi="仿宋" w:eastAsia="仿宋" w:cs="仿宋"/>
          <w:kern w:val="0"/>
          <w:sz w:val="24"/>
          <w:highlight w:val="none"/>
          <w:lang w:eastAsia="zh-CN"/>
        </w:rPr>
        <w:t>成交候选人</w:t>
      </w:r>
      <w:r>
        <w:rPr>
          <w:rFonts w:hint="eastAsia" w:ascii="仿宋" w:hAnsi="仿宋" w:eastAsia="仿宋" w:cs="仿宋"/>
          <w:kern w:val="0"/>
          <w:sz w:val="24"/>
          <w:highlight w:val="none"/>
        </w:rPr>
        <w:t>，提交评审报告，评审报告应</w:t>
      </w:r>
      <w:r>
        <w:rPr>
          <w:rFonts w:hint="eastAsia" w:ascii="仿宋" w:hAnsi="仿宋" w:eastAsia="仿宋" w:cs="仿宋"/>
          <w:color w:val="000000"/>
          <w:kern w:val="0"/>
          <w:sz w:val="24"/>
          <w:highlight w:val="none"/>
        </w:rPr>
        <w:t>包含评审情况说明、排名次序、推荐</w:t>
      </w:r>
      <w:r>
        <w:rPr>
          <w:rFonts w:hint="eastAsia" w:ascii="仿宋" w:hAnsi="仿宋" w:eastAsia="仿宋" w:cs="仿宋"/>
          <w:color w:val="000000"/>
          <w:kern w:val="0"/>
          <w:sz w:val="24"/>
          <w:highlight w:val="none"/>
          <w:lang w:eastAsia="zh-CN"/>
        </w:rPr>
        <w:t>成交候选人</w:t>
      </w:r>
      <w:r>
        <w:rPr>
          <w:rFonts w:hint="eastAsia" w:ascii="仿宋" w:hAnsi="仿宋" w:eastAsia="仿宋" w:cs="仿宋"/>
          <w:color w:val="000000"/>
          <w:kern w:val="0"/>
          <w:sz w:val="24"/>
          <w:highlight w:val="none"/>
        </w:rPr>
        <w:t>名单及其他说明事项。</w:t>
      </w:r>
    </w:p>
    <w:p>
      <w:pPr>
        <w:pStyle w:val="3"/>
        <w:ind w:firstLine="0" w:firstLineChars="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r>
      <w:bookmarkStart w:id="129" w:name="_Toc31089"/>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45"/>
        <w:gridCol w:w="1167"/>
        <w:gridCol w:w="1950"/>
        <w:gridCol w:w="609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noWrap w:val="0"/>
            <w:vAlign w:val="center"/>
          </w:tcPr>
          <w:p>
            <w:pPr>
              <w:widowControl/>
              <w:spacing w:line="360" w:lineRule="auto"/>
              <w:jc w:val="center"/>
              <w:rPr>
                <w:rFonts w:hint="eastAsia" w:ascii="仿宋" w:hAnsi="仿宋" w:eastAsia="仿宋" w:cs="仿宋"/>
                <w:b/>
                <w:color w:val="000000"/>
                <w:kern w:val="0"/>
                <w:sz w:val="21"/>
                <w:szCs w:val="21"/>
                <w:highlight w:val="none"/>
              </w:rPr>
            </w:pPr>
            <w:bookmarkStart w:id="130" w:name="_Toc517281827"/>
            <w:bookmarkStart w:id="131" w:name="_Toc9003"/>
            <w:bookmarkStart w:id="132" w:name="_Toc4633"/>
            <w:bookmarkStart w:id="133" w:name="_Toc13468"/>
            <w:bookmarkStart w:id="134" w:name="_Toc426620345"/>
            <w:bookmarkStart w:id="135" w:name="_Toc444891346"/>
            <w:r>
              <w:rPr>
                <w:rFonts w:hint="eastAsia" w:ascii="仿宋" w:hAnsi="仿宋" w:eastAsia="仿宋" w:cs="仿宋"/>
                <w:b/>
                <w:color w:val="000000"/>
                <w:kern w:val="0"/>
                <w:sz w:val="21"/>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kern w:val="0"/>
                <w:sz w:val="21"/>
                <w:szCs w:val="21"/>
                <w:highlight w:val="none"/>
              </w:rPr>
            </w:pPr>
            <w:r>
              <w:rPr>
                <w:rFonts w:hint="eastAsia" w:ascii="仿宋" w:hAnsi="仿宋" w:eastAsia="仿宋" w:cs="仿宋"/>
                <w:b/>
                <w:color w:val="000000"/>
                <w:kern w:val="0"/>
                <w:sz w:val="21"/>
                <w:szCs w:val="21"/>
                <w:highlight w:val="none"/>
              </w:rPr>
              <w:t>评审环节</w:t>
            </w:r>
          </w:p>
        </w:tc>
        <w:tc>
          <w:tcPr>
            <w:tcW w:w="989" w:type="pct"/>
            <w:noWrap w:val="0"/>
            <w:vAlign w:val="center"/>
          </w:tcPr>
          <w:p>
            <w:pPr>
              <w:widowControl/>
              <w:spacing w:before="24" w:after="24" w:line="360" w:lineRule="auto"/>
              <w:jc w:val="center"/>
              <w:rPr>
                <w:rFonts w:hint="eastAsia" w:ascii="仿宋" w:hAnsi="仿宋" w:eastAsia="仿宋" w:cs="仿宋"/>
                <w:b/>
                <w:color w:val="000000"/>
                <w:kern w:val="0"/>
                <w:sz w:val="21"/>
                <w:szCs w:val="21"/>
                <w:highlight w:val="none"/>
              </w:rPr>
            </w:pPr>
            <w:r>
              <w:rPr>
                <w:rFonts w:hint="eastAsia" w:ascii="仿宋" w:hAnsi="仿宋" w:eastAsia="仿宋" w:cs="仿宋"/>
                <w:b/>
                <w:color w:val="000000"/>
                <w:kern w:val="0"/>
                <w:sz w:val="21"/>
                <w:szCs w:val="21"/>
                <w:highlight w:val="none"/>
              </w:rPr>
              <w:t>评审因素</w:t>
            </w:r>
          </w:p>
        </w:tc>
        <w:tc>
          <w:tcPr>
            <w:tcW w:w="3090" w:type="pct"/>
            <w:noWrap w:val="0"/>
            <w:vAlign w:val="center"/>
          </w:tcPr>
          <w:p>
            <w:pPr>
              <w:widowControl/>
              <w:spacing w:line="360" w:lineRule="auto"/>
              <w:jc w:val="center"/>
              <w:rPr>
                <w:rFonts w:hint="eastAsia" w:ascii="仿宋" w:hAnsi="仿宋" w:eastAsia="仿宋" w:cs="仿宋"/>
                <w:b/>
                <w:color w:val="000000"/>
                <w:kern w:val="0"/>
                <w:sz w:val="21"/>
                <w:szCs w:val="21"/>
                <w:highlight w:val="none"/>
              </w:rPr>
            </w:pPr>
            <w:r>
              <w:rPr>
                <w:rFonts w:hint="eastAsia" w:ascii="仿宋" w:hAnsi="仿宋" w:eastAsia="仿宋" w:cs="仿宋"/>
                <w:b/>
                <w:color w:val="000000"/>
                <w:kern w:val="0"/>
                <w:sz w:val="21"/>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restart"/>
            <w:noWrap w:val="0"/>
            <w:vAlign w:val="center"/>
          </w:tcPr>
          <w:p>
            <w:pPr>
              <w:widowControl/>
              <w:spacing w:line="360"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形式评审标准</w:t>
            </w:r>
          </w:p>
        </w:tc>
        <w:tc>
          <w:tcPr>
            <w:tcW w:w="989" w:type="pct"/>
            <w:noWrap w:val="0"/>
            <w:vAlign w:val="center"/>
          </w:tcPr>
          <w:p>
            <w:pPr>
              <w:spacing w:before="24" w:after="24" w:line="276"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sz w:val="21"/>
                <w:szCs w:val="21"/>
                <w:highlight w:val="none"/>
              </w:rPr>
              <w:t>供应商名称</w:t>
            </w:r>
          </w:p>
        </w:tc>
        <w:tc>
          <w:tcPr>
            <w:tcW w:w="3090" w:type="pct"/>
            <w:noWrap w:val="0"/>
            <w:vAlign w:val="center"/>
          </w:tcPr>
          <w:p>
            <w:pPr>
              <w:spacing w:before="24" w:after="24" w:line="276" w:lineRule="auto"/>
              <w:jc w:val="left"/>
              <w:rPr>
                <w:rFonts w:hint="eastAsia" w:ascii="仿宋" w:hAnsi="仿宋" w:eastAsia="仿宋" w:cs="仿宋"/>
                <w:color w:val="000000"/>
                <w:kern w:val="0"/>
                <w:sz w:val="21"/>
                <w:szCs w:val="21"/>
                <w:highlight w:val="none"/>
              </w:rPr>
            </w:pPr>
            <w:r>
              <w:rPr>
                <w:rFonts w:hint="eastAsia" w:ascii="仿宋" w:hAnsi="仿宋" w:eastAsia="仿宋" w:cs="仿宋"/>
                <w:color w:val="000000"/>
                <w:sz w:val="21"/>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spacing w:val="-4"/>
                <w:kern w:val="0"/>
                <w:sz w:val="21"/>
                <w:szCs w:val="21"/>
                <w:highlight w:val="none"/>
              </w:rPr>
            </w:pPr>
            <w:r>
              <w:rPr>
                <w:rFonts w:hint="eastAsia" w:ascii="仿宋" w:hAnsi="仿宋" w:eastAsia="仿宋" w:cs="仿宋"/>
                <w:color w:val="000000"/>
                <w:sz w:val="21"/>
                <w:szCs w:val="21"/>
                <w:highlight w:val="none"/>
              </w:rPr>
              <w:t>法定代表人（负责人）身份证明</w:t>
            </w:r>
          </w:p>
        </w:tc>
        <w:tc>
          <w:tcPr>
            <w:tcW w:w="3090" w:type="pct"/>
            <w:noWrap w:val="0"/>
            <w:vAlign w:val="center"/>
          </w:tcPr>
          <w:p>
            <w:pPr>
              <w:pStyle w:val="174"/>
              <w:topLinePunct/>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法定代表人（负责人）授权委托书</w:t>
            </w:r>
          </w:p>
        </w:tc>
        <w:tc>
          <w:tcPr>
            <w:tcW w:w="3090" w:type="pct"/>
            <w:noWrap w:val="0"/>
            <w:vAlign w:val="center"/>
          </w:tcPr>
          <w:p>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2、落款</w:t>
            </w:r>
            <w:r>
              <w:rPr>
                <w:rFonts w:hint="eastAsia" w:ascii="仿宋" w:hAnsi="仿宋" w:eastAsia="仿宋" w:cs="仿宋"/>
                <w:bCs/>
                <w:color w:val="000000"/>
                <w:sz w:val="21"/>
                <w:szCs w:val="21"/>
                <w:highlight w:val="none"/>
              </w:rPr>
              <w:t>加盖公章</w:t>
            </w:r>
            <w:r>
              <w:rPr>
                <w:rFonts w:hint="eastAsia" w:ascii="仿宋" w:hAnsi="仿宋" w:eastAsia="仿宋" w:cs="仿宋"/>
                <w:b/>
                <w:bCs/>
                <w:color w:val="000000"/>
                <w:sz w:val="21"/>
                <w:szCs w:val="21"/>
                <w:highlight w:val="none"/>
              </w:rPr>
              <w:t>并由</w:t>
            </w:r>
            <w:r>
              <w:rPr>
                <w:rFonts w:hint="eastAsia" w:ascii="仿宋" w:hAnsi="仿宋" w:eastAsia="仿宋" w:cs="仿宋"/>
                <w:color w:val="000000"/>
                <w:sz w:val="21"/>
                <w:szCs w:val="21"/>
                <w:highlight w:val="none"/>
              </w:rPr>
              <w:t>法定代表人（负责人）签字</w:t>
            </w:r>
            <w:r>
              <w:rPr>
                <w:rFonts w:hint="eastAsia" w:ascii="仿宋" w:hAnsi="仿宋" w:eastAsia="仿宋" w:cs="仿宋"/>
                <w:b/>
                <w:bCs/>
                <w:color w:val="000000"/>
                <w:sz w:val="21"/>
                <w:szCs w:val="21"/>
                <w:highlight w:val="none"/>
              </w:rPr>
              <w:t>和</w:t>
            </w:r>
            <w:r>
              <w:rPr>
                <w:rFonts w:hint="eastAsia" w:ascii="仿宋" w:hAnsi="仿宋" w:eastAsia="仿宋" w:cs="仿宋"/>
                <w:color w:val="000000"/>
                <w:sz w:val="21"/>
                <w:szCs w:val="21"/>
                <w:highlight w:val="none"/>
              </w:rPr>
              <w:t>其委托代理人</w:t>
            </w:r>
            <w:r>
              <w:rPr>
                <w:rFonts w:hint="eastAsia" w:ascii="仿宋" w:hAnsi="仿宋" w:eastAsia="仿宋" w:cs="仿宋"/>
                <w:b/>
                <w:bCs/>
                <w:color w:val="000000"/>
                <w:sz w:val="21"/>
                <w:szCs w:val="21"/>
                <w:highlight w:val="none"/>
              </w:rPr>
              <w:t>双方</w:t>
            </w:r>
            <w:r>
              <w:rPr>
                <w:rFonts w:hint="eastAsia" w:ascii="仿宋" w:hAnsi="仿宋" w:eastAsia="仿宋" w:cs="仿宋"/>
                <w:bCs/>
                <w:color w:val="000000"/>
                <w:sz w:val="21"/>
                <w:szCs w:val="21"/>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sz w:val="21"/>
                <w:szCs w:val="21"/>
                <w:highlight w:val="none"/>
              </w:rPr>
              <w:t>响应文件签字或盖章</w:t>
            </w:r>
          </w:p>
        </w:tc>
        <w:tc>
          <w:tcPr>
            <w:tcW w:w="3090" w:type="pct"/>
            <w:noWrap w:val="0"/>
            <w:vAlign w:val="center"/>
          </w:tcPr>
          <w:p>
            <w:pPr>
              <w:spacing w:before="24" w:after="24"/>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1、上述两款以外的响应文件格式中有落款的文件，</w:t>
            </w:r>
            <w:r>
              <w:rPr>
                <w:rFonts w:hint="eastAsia" w:ascii="仿宋" w:hAnsi="仿宋" w:eastAsia="仿宋" w:cs="仿宋"/>
                <w:b/>
                <w:color w:val="000000"/>
                <w:sz w:val="21"/>
                <w:szCs w:val="21"/>
                <w:highlight w:val="none"/>
              </w:rPr>
              <w:t>均需</w:t>
            </w:r>
            <w:r>
              <w:rPr>
                <w:rFonts w:hint="eastAsia" w:ascii="仿宋" w:hAnsi="仿宋" w:eastAsia="仿宋" w:cs="仿宋"/>
                <w:color w:val="000000"/>
                <w:sz w:val="21"/>
                <w:szCs w:val="21"/>
                <w:highlight w:val="none"/>
              </w:rPr>
              <w:t>加盖公章</w:t>
            </w:r>
            <w:r>
              <w:rPr>
                <w:rFonts w:hint="eastAsia" w:ascii="仿宋" w:hAnsi="仿宋" w:eastAsia="仿宋" w:cs="仿宋"/>
                <w:b/>
                <w:color w:val="000000"/>
                <w:sz w:val="21"/>
                <w:szCs w:val="21"/>
                <w:highlight w:val="none"/>
              </w:rPr>
              <w:t>或</w:t>
            </w:r>
            <w:r>
              <w:rPr>
                <w:rFonts w:hint="eastAsia" w:ascii="仿宋" w:hAnsi="仿宋" w:eastAsia="仿宋" w:cs="仿宋"/>
                <w:color w:val="000000"/>
                <w:sz w:val="21"/>
                <w:szCs w:val="21"/>
                <w:highlight w:val="none"/>
              </w:rPr>
              <w:t>由法定代表人（负责人）签字</w:t>
            </w:r>
            <w:r>
              <w:rPr>
                <w:rFonts w:hint="eastAsia" w:ascii="仿宋" w:hAnsi="仿宋" w:eastAsia="仿宋" w:cs="仿宋"/>
                <w:b/>
                <w:color w:val="000000"/>
                <w:sz w:val="21"/>
                <w:szCs w:val="21"/>
                <w:highlight w:val="none"/>
              </w:rPr>
              <w:t>或</w:t>
            </w:r>
            <w:r>
              <w:rPr>
                <w:rFonts w:hint="eastAsia" w:ascii="仿宋" w:hAnsi="仿宋" w:eastAsia="仿宋" w:cs="仿宋"/>
                <w:color w:val="000000"/>
                <w:sz w:val="21"/>
                <w:szCs w:val="21"/>
                <w:highlight w:val="none"/>
              </w:rPr>
              <w:t>其委托代理人签字。</w:t>
            </w:r>
          </w:p>
          <w:p>
            <w:pPr>
              <w:pStyle w:val="156"/>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2、响应文件的所有签字处均指手写签字</w:t>
            </w:r>
            <w:r>
              <w:rPr>
                <w:rFonts w:hint="eastAsia" w:ascii="仿宋" w:hAnsi="仿宋" w:eastAsia="仿宋" w:cs="仿宋"/>
                <w:b/>
                <w:color w:val="000000"/>
                <w:sz w:val="21"/>
                <w:szCs w:val="21"/>
                <w:highlight w:val="none"/>
              </w:rPr>
              <w:t>或</w:t>
            </w:r>
            <w:r>
              <w:rPr>
                <w:rFonts w:hint="eastAsia" w:ascii="仿宋" w:hAnsi="仿宋" w:eastAsia="仿宋" w:cs="仿宋"/>
                <w:color w:val="000000"/>
                <w:sz w:val="21"/>
                <w:szCs w:val="21"/>
                <w:highlight w:val="none"/>
              </w:rPr>
              <w:t>签名章，</w:t>
            </w:r>
            <w:r>
              <w:rPr>
                <w:rFonts w:hint="eastAsia" w:ascii="仿宋" w:hAnsi="仿宋" w:eastAsia="仿宋" w:cs="仿宋"/>
                <w:b/>
                <w:color w:val="000000"/>
                <w:sz w:val="21"/>
                <w:szCs w:val="21"/>
                <w:highlight w:val="none"/>
              </w:rPr>
              <w:t>不得</w:t>
            </w:r>
            <w:r>
              <w:rPr>
                <w:rFonts w:hint="eastAsia" w:ascii="仿宋" w:hAnsi="仿宋" w:eastAsia="仿宋" w:cs="仿宋"/>
                <w:color w:val="000000"/>
                <w:sz w:val="21"/>
                <w:szCs w:val="21"/>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restart"/>
            <w:noWrap w:val="0"/>
            <w:vAlign w:val="center"/>
          </w:tcPr>
          <w:p>
            <w:pPr>
              <w:widowControl/>
              <w:spacing w:line="360"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资格评审标准</w:t>
            </w: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营业执照</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商业信誉和财务会计制度</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07"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税收和社会保障资金缴纳</w:t>
            </w:r>
          </w:p>
        </w:tc>
        <w:tc>
          <w:tcPr>
            <w:tcW w:w="3090" w:type="pct"/>
            <w:shd w:val="clear" w:color="auto" w:fill="auto"/>
            <w:noWrap w:val="0"/>
            <w:vAlign w:val="center"/>
          </w:tcPr>
          <w:p>
            <w:pPr>
              <w:keepNext w:val="0"/>
              <w:keepLines w:val="0"/>
              <w:suppressLineNumbers w:val="0"/>
              <w:spacing w:before="24" w:beforeAutospacing="0" w:after="24" w:afterAutospacing="0"/>
              <w:ind w:left="0" w:leftChars="0" w:right="0" w:rightChars="0"/>
              <w:jc w:val="both"/>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327" w:type="pct"/>
            <w:vMerge w:val="continue"/>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sz w:val="21"/>
                <w:szCs w:val="21"/>
              </w:rPr>
            </w:pPr>
          </w:p>
        </w:tc>
        <w:tc>
          <w:tcPr>
            <w:tcW w:w="592" w:type="pct"/>
            <w:vMerge w:val="continue"/>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sz w:val="21"/>
                <w:szCs w:val="21"/>
              </w:rP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无违法违规记录</w:t>
            </w:r>
          </w:p>
        </w:tc>
        <w:tc>
          <w:tcPr>
            <w:tcW w:w="3090" w:type="pct"/>
            <w:shd w:val="clear" w:color="auto" w:fill="auto"/>
            <w:noWrap w:val="0"/>
            <w:vAlign w:val="center"/>
          </w:tcPr>
          <w:p>
            <w:pPr>
              <w:spacing w:before="24" w:after="24" w:line="276" w:lineRule="auto"/>
              <w:jc w:val="left"/>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未被列入黑名单</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控股及管理关系</w:t>
            </w:r>
          </w:p>
        </w:tc>
        <w:tc>
          <w:tcPr>
            <w:tcW w:w="3090" w:type="pct"/>
            <w:shd w:val="clear" w:color="auto" w:fill="auto"/>
            <w:noWrap w:val="0"/>
            <w:vAlign w:val="center"/>
          </w:tcPr>
          <w:p>
            <w:pPr>
              <w:spacing w:before="24" w:after="24" w:line="276" w:lineRule="auto"/>
              <w:jc w:val="left"/>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联合体响应</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分包、转包</w:t>
            </w:r>
            <w:r>
              <w:rPr>
                <w:rFonts w:hint="eastAsia" w:ascii="仿宋" w:hAnsi="仿宋" w:eastAsia="仿宋" w:cs="仿宋"/>
                <w:color w:val="000000"/>
                <w:sz w:val="21"/>
                <w:szCs w:val="21"/>
                <w:highlight w:val="none"/>
                <w:lang w:val="en-US" w:eastAsia="zh-CN"/>
              </w:rPr>
              <w:t>情况</w:t>
            </w:r>
          </w:p>
        </w:tc>
        <w:tc>
          <w:tcPr>
            <w:tcW w:w="3090" w:type="pct"/>
            <w:shd w:val="clear" w:color="auto" w:fill="auto"/>
            <w:noWrap w:val="0"/>
            <w:vAlign w:val="center"/>
          </w:tcPr>
          <w:p>
            <w:pPr>
              <w:keepNext w:val="0"/>
              <w:keepLines w:val="0"/>
              <w:suppressLineNumbers w:val="0"/>
              <w:spacing w:before="24" w:beforeAutospacing="0" w:after="24" w:afterAutospacing="0"/>
              <w:ind w:left="0" w:leftChars="0" w:right="0" w:rightChars="0"/>
              <w:jc w:val="both"/>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 w:val="21"/>
                <w:szCs w:val="21"/>
                <w:highlight w:val="none"/>
              </w:rP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资质要求</w:t>
            </w:r>
          </w:p>
        </w:tc>
        <w:tc>
          <w:tcPr>
            <w:tcW w:w="3090" w:type="pct"/>
            <w:shd w:val="clear" w:color="auto" w:fill="auto"/>
            <w:noWrap w:val="0"/>
            <w:vAlign w:val="center"/>
          </w:tcPr>
          <w:p>
            <w:pPr>
              <w:keepNext w:val="0"/>
              <w:keepLines w:val="0"/>
              <w:suppressLineNumbers w:val="0"/>
              <w:spacing w:before="24" w:beforeAutospacing="0" w:after="24" w:afterAutospacing="0"/>
              <w:ind w:left="0" w:leftChars="0" w:right="0" w:rightChars="0"/>
              <w:jc w:val="both"/>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327" w:type="pct"/>
            <w:vMerge w:val="continue"/>
            <w:noWrap w:val="0"/>
            <w:vAlign w:val="center"/>
          </w:tcPr>
          <w:p>
            <w:pPr>
              <w:keepNext w:val="0"/>
              <w:keepLines w:val="0"/>
              <w:suppressLineNumbers w:val="0"/>
              <w:spacing w:before="24" w:beforeAutospacing="0" w:after="24" w:afterAutospacing="0"/>
              <w:ind w:left="0" w:leftChars="0" w:right="0" w:rightChars="0"/>
              <w:jc w:val="center"/>
            </w:pPr>
          </w:p>
        </w:tc>
        <w:tc>
          <w:tcPr>
            <w:tcW w:w="592" w:type="pct"/>
            <w:vMerge w:val="continue"/>
            <w:noWrap w:val="0"/>
            <w:vAlign w:val="center"/>
          </w:tcPr>
          <w:p>
            <w:pPr>
              <w:keepNext w:val="0"/>
              <w:keepLines w:val="0"/>
              <w:suppressLineNumbers w:val="0"/>
              <w:spacing w:before="24" w:beforeAutospacing="0" w:after="24" w:afterAutospacing="0"/>
              <w:ind w:left="0" w:leftChars="0" w:right="0" w:rightChars="0"/>
              <w:jc w:val="center"/>
            </w:pPr>
          </w:p>
        </w:tc>
        <w:tc>
          <w:tcPr>
            <w:tcW w:w="989" w:type="pct"/>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项目经理要求</w:t>
            </w:r>
          </w:p>
        </w:tc>
        <w:tc>
          <w:tcPr>
            <w:tcW w:w="3090" w:type="pct"/>
            <w:shd w:val="clear" w:color="auto" w:fill="auto"/>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符合第一章“</w:t>
            </w:r>
            <w:r>
              <w:rPr>
                <w:rFonts w:hint="eastAsia" w:ascii="仿宋" w:hAnsi="仿宋" w:eastAsia="仿宋" w:cs="仿宋"/>
                <w:color w:val="000000"/>
                <w:sz w:val="21"/>
                <w:szCs w:val="21"/>
                <w:highlight w:val="none"/>
                <w:lang w:eastAsia="zh-CN"/>
              </w:rPr>
              <w:t>比选公告</w:t>
            </w:r>
            <w:r>
              <w:rPr>
                <w:rFonts w:hint="eastAsia" w:ascii="仿宋" w:hAnsi="仿宋" w:eastAsia="仿宋" w:cs="仿宋"/>
                <w:color w:val="000000"/>
                <w:sz w:val="21"/>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27" w:type="pct"/>
            <w:vMerge w:val="restart"/>
            <w:noWrap w:val="0"/>
            <w:vAlign w:val="center"/>
          </w:tcPr>
          <w:p>
            <w:pPr>
              <w:widowControl/>
              <w:spacing w:line="360"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响应性评审标准</w:t>
            </w: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响应函</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供应商行为准则承诺书</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供应商廉洁诚信承诺书</w:t>
            </w:r>
          </w:p>
        </w:tc>
        <w:tc>
          <w:tcPr>
            <w:tcW w:w="3090" w:type="pct"/>
            <w:noWrap w:val="0"/>
            <w:vAlign w:val="center"/>
          </w:tcPr>
          <w:p>
            <w:pPr>
              <w:spacing w:before="24" w:after="24" w:line="276"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7" w:type="pct"/>
            <w:vMerge w:val="continue"/>
            <w:noWrap w:val="0"/>
            <w:vAlign w:val="center"/>
          </w:tcPr>
          <w:p>
            <w:pPr>
              <w:widowControl/>
              <w:spacing w:line="360" w:lineRule="auto"/>
              <w:jc w:val="center"/>
              <w:rPr>
                <w:rFonts w:hint="eastAsia" w:ascii="仿宋" w:hAnsi="仿宋" w:eastAsia="仿宋" w:cs="仿宋"/>
                <w:color w:val="000000"/>
                <w:kern w:val="0"/>
                <w:sz w:val="21"/>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 w:val="21"/>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供应商偏离应答</w:t>
            </w:r>
          </w:p>
        </w:tc>
        <w:tc>
          <w:tcPr>
            <w:tcW w:w="3090" w:type="pct"/>
            <w:noWrap w:val="0"/>
            <w:vAlign w:val="center"/>
          </w:tcPr>
          <w:p>
            <w:pPr>
              <w:spacing w:before="24" w:after="24" w:line="276"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《供应商须知应答偏离表》、《合同条款应答偏离表》、《采购需求应答偏离表》》进行了符合第二章“供应商须知”的应答</w:t>
            </w:r>
          </w:p>
        </w:tc>
      </w:tr>
    </w:tbl>
    <w:p>
      <w:pPr>
        <w:pStyle w:val="3"/>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4376"/>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tbl>
      <w:tblPr>
        <w:tblStyle w:val="40"/>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7"/>
        <w:gridCol w:w="1376"/>
        <w:gridCol w:w="6585"/>
        <w:gridCol w:w="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blHeader/>
          <w:jc w:val="center"/>
        </w:trPr>
        <w:tc>
          <w:tcPr>
            <w:tcW w:w="594"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b/>
                <w:color w:val="000000"/>
                <w:w w:val="99"/>
                <w:sz w:val="24"/>
                <w:szCs w:val="24"/>
              </w:rPr>
              <w:t>评</w:t>
            </w:r>
            <w:r>
              <w:rPr>
                <w:rFonts w:hint="eastAsia" w:ascii="仿宋" w:hAnsi="仿宋" w:eastAsia="仿宋" w:cs="仿宋"/>
                <w:b/>
                <w:color w:val="000000"/>
                <w:w w:val="99"/>
                <w:sz w:val="24"/>
                <w:szCs w:val="24"/>
                <w:lang w:val="en-US" w:eastAsia="zh-CN"/>
              </w:rPr>
              <w:t>审</w:t>
            </w:r>
            <w:r>
              <w:rPr>
                <w:rFonts w:hint="eastAsia" w:ascii="仿宋" w:hAnsi="仿宋" w:eastAsia="仿宋" w:cs="仿宋"/>
                <w:b/>
                <w:color w:val="000000"/>
                <w:w w:val="99"/>
                <w:sz w:val="24"/>
                <w:szCs w:val="24"/>
              </w:rPr>
              <w:t>内容</w:t>
            </w:r>
          </w:p>
        </w:tc>
        <w:tc>
          <w:tcPr>
            <w:tcW w:w="7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b/>
                <w:color w:val="000000"/>
                <w:w w:val="99"/>
                <w:sz w:val="24"/>
                <w:szCs w:val="24"/>
              </w:rPr>
              <w:t>评</w:t>
            </w:r>
            <w:r>
              <w:rPr>
                <w:rFonts w:hint="eastAsia" w:ascii="仿宋" w:hAnsi="仿宋" w:eastAsia="仿宋" w:cs="仿宋"/>
                <w:b/>
                <w:color w:val="000000"/>
                <w:w w:val="99"/>
                <w:sz w:val="24"/>
                <w:szCs w:val="24"/>
                <w:lang w:val="en-US" w:eastAsia="zh-CN"/>
              </w:rPr>
              <w:t>审</w:t>
            </w:r>
            <w:r>
              <w:rPr>
                <w:rFonts w:hint="eastAsia" w:ascii="仿宋" w:hAnsi="仿宋" w:eastAsia="仿宋" w:cs="仿宋"/>
                <w:b/>
                <w:color w:val="000000"/>
                <w:w w:val="99"/>
                <w:sz w:val="24"/>
                <w:szCs w:val="24"/>
              </w:rPr>
              <w:t>因素</w:t>
            </w:r>
          </w:p>
        </w:tc>
        <w:tc>
          <w:tcPr>
            <w:tcW w:w="335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b/>
                <w:color w:val="000000"/>
                <w:w w:val="99"/>
                <w:sz w:val="24"/>
                <w:szCs w:val="24"/>
              </w:rPr>
              <w:t>评分说明</w:t>
            </w:r>
          </w:p>
        </w:tc>
        <w:tc>
          <w:tcPr>
            <w:tcW w:w="35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b/>
                <w:color w:val="000000"/>
                <w:w w:val="99"/>
                <w:sz w:val="24"/>
                <w:szCs w:val="24"/>
                <w:lang w:val="en-US" w:eastAsia="zh-CN"/>
              </w:rPr>
            </w:pPr>
            <w:r>
              <w:rPr>
                <w:rFonts w:hint="eastAsia" w:ascii="仿宋" w:hAnsi="仿宋" w:eastAsia="仿宋" w:cs="仿宋"/>
                <w:b/>
                <w:color w:val="000000"/>
                <w:w w:val="99"/>
                <w:sz w:val="24"/>
                <w:szCs w:val="24"/>
                <w:lang w:val="en-US" w:eastAsia="zh-CN"/>
              </w:rPr>
              <w:t xml:space="preserve">分值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3" w:hRule="atLeast"/>
          <w:jc w:val="center"/>
        </w:trPr>
        <w:tc>
          <w:tcPr>
            <w:tcW w:w="594"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bidi="ar"/>
              </w:rPr>
            </w:pPr>
            <w:r>
              <w:rPr>
                <w:rStyle w:val="117"/>
                <w:rFonts w:hint="eastAsia" w:ascii="仿宋" w:hAnsi="仿宋" w:eastAsia="仿宋" w:cs="仿宋"/>
                <w:color w:val="000000"/>
                <w:kern w:val="2"/>
                <w:sz w:val="24"/>
                <w:szCs w:val="24"/>
                <w:lang w:bidi="ar"/>
              </w:rPr>
              <w:t>价格部分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bidi="ar"/>
              </w:rPr>
            </w:pPr>
            <w:r>
              <w:rPr>
                <w:rStyle w:val="117"/>
                <w:rFonts w:hint="eastAsia" w:ascii="仿宋" w:hAnsi="仿宋" w:eastAsia="仿宋" w:cs="仿宋"/>
                <w:color w:val="000000"/>
                <w:kern w:val="2"/>
                <w:sz w:val="24"/>
                <w:szCs w:val="24"/>
                <w:lang w:bidi="ar"/>
              </w:rPr>
              <w:t>（</w:t>
            </w:r>
            <w:r>
              <w:rPr>
                <w:rStyle w:val="117"/>
                <w:rFonts w:hint="eastAsia" w:ascii="仿宋" w:hAnsi="仿宋" w:eastAsia="仿宋" w:cs="仿宋"/>
                <w:color w:val="000000"/>
                <w:kern w:val="2"/>
                <w:sz w:val="24"/>
                <w:szCs w:val="24"/>
                <w:lang w:val="en-US" w:bidi="ar"/>
              </w:rPr>
              <w:t>50</w:t>
            </w:r>
            <w:r>
              <w:rPr>
                <w:rStyle w:val="117"/>
                <w:rFonts w:hint="eastAsia" w:ascii="仿宋" w:hAnsi="仿宋" w:eastAsia="仿宋" w:cs="仿宋"/>
                <w:color w:val="000000"/>
                <w:kern w:val="2"/>
                <w:sz w:val="24"/>
                <w:szCs w:val="24"/>
                <w:lang w:bidi="ar"/>
              </w:rPr>
              <w:t>分）</w:t>
            </w:r>
          </w:p>
        </w:tc>
        <w:tc>
          <w:tcPr>
            <w:tcW w:w="700"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报价</w:t>
            </w:r>
          </w:p>
        </w:tc>
        <w:tc>
          <w:tcPr>
            <w:tcW w:w="335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评标价：各有效供应商的</w:t>
            </w:r>
            <w:r>
              <w:rPr>
                <w:rFonts w:hint="eastAsia" w:ascii="仿宋" w:hAnsi="仿宋" w:eastAsia="仿宋" w:cs="仿宋"/>
                <w:b/>
                <w:bCs/>
                <w:color w:val="000000"/>
                <w:kern w:val="2"/>
                <w:sz w:val="24"/>
                <w:szCs w:val="24"/>
                <w:lang w:val="en-US" w:eastAsia="zh-CN" w:bidi="ar"/>
              </w:rPr>
              <w:t>不含税报价</w:t>
            </w:r>
            <w:r>
              <w:rPr>
                <w:rFonts w:hint="eastAsia" w:ascii="仿宋" w:hAnsi="仿宋" w:eastAsia="仿宋" w:cs="仿宋"/>
                <w:color w:val="000000"/>
                <w:kern w:val="2"/>
                <w:sz w:val="24"/>
                <w:szCs w:val="24"/>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评标基准价：满足采购文件要求且最低的有效评标价。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价格分计算：评标价=评标基准价的供应商，得价格分的满分；其他供应商的价格分按照以下公式计算，并精确到小数点后两位：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价格得分＝（评审基准价/该供应商的评标价）*50；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bidi="ar"/>
              </w:rPr>
            </w:pPr>
            <w:r>
              <w:rPr>
                <w:rFonts w:hint="eastAsia" w:ascii="仿宋" w:hAnsi="仿宋" w:eastAsia="仿宋" w:cs="仿宋"/>
                <w:color w:val="000000"/>
                <w:kern w:val="2"/>
                <w:sz w:val="24"/>
                <w:szCs w:val="24"/>
                <w:lang w:val="en-US" w:eastAsia="zh-CN" w:bidi="ar"/>
              </w:rPr>
              <w:t>（注：现场还需开展三轮或三轮以上价格比选）</w:t>
            </w:r>
          </w:p>
        </w:tc>
        <w:tc>
          <w:tcPr>
            <w:tcW w:w="35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8" w:hRule="atLeast"/>
          <w:jc w:val="center"/>
        </w:trPr>
        <w:tc>
          <w:tcPr>
            <w:tcW w:w="594" w:type="pct"/>
            <w:vMerge w:val="restar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bidi="ar"/>
              </w:rPr>
            </w:pPr>
            <w:r>
              <w:rPr>
                <w:rStyle w:val="117"/>
                <w:rFonts w:hint="eastAsia" w:ascii="仿宋" w:hAnsi="仿宋" w:eastAsia="仿宋" w:cs="仿宋"/>
                <w:color w:val="000000"/>
                <w:kern w:val="2"/>
                <w:sz w:val="24"/>
                <w:szCs w:val="24"/>
                <w:lang w:bidi="ar"/>
              </w:rPr>
              <w:t>商务</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bidi="ar"/>
              </w:rPr>
            </w:pPr>
            <w:r>
              <w:rPr>
                <w:rStyle w:val="117"/>
                <w:rFonts w:hint="eastAsia" w:ascii="仿宋" w:hAnsi="仿宋" w:eastAsia="仿宋" w:cs="仿宋"/>
                <w:color w:val="000000"/>
                <w:kern w:val="2"/>
                <w:sz w:val="24"/>
                <w:szCs w:val="24"/>
                <w:lang w:bidi="ar"/>
              </w:rPr>
              <w:t>部分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bidi="ar"/>
              </w:rPr>
            </w:pPr>
            <w:r>
              <w:rPr>
                <w:rStyle w:val="117"/>
                <w:rFonts w:hint="eastAsia" w:ascii="仿宋" w:hAnsi="仿宋" w:eastAsia="仿宋" w:cs="仿宋"/>
                <w:color w:val="000000"/>
                <w:kern w:val="2"/>
                <w:sz w:val="24"/>
                <w:szCs w:val="24"/>
                <w:lang w:bidi="ar"/>
              </w:rPr>
              <w:t>（</w:t>
            </w:r>
            <w:r>
              <w:rPr>
                <w:rStyle w:val="117"/>
                <w:rFonts w:hint="eastAsia" w:ascii="仿宋" w:hAnsi="仿宋" w:eastAsia="仿宋" w:cs="仿宋"/>
                <w:color w:val="000000"/>
                <w:kern w:val="2"/>
                <w:sz w:val="24"/>
                <w:szCs w:val="24"/>
                <w:lang w:val="en-US" w:bidi="ar"/>
              </w:rPr>
              <w:t>1</w:t>
            </w:r>
            <w:r>
              <w:rPr>
                <w:rStyle w:val="117"/>
                <w:rFonts w:hint="eastAsia" w:ascii="仿宋" w:hAnsi="仿宋" w:eastAsia="仿宋" w:cs="仿宋"/>
                <w:color w:val="000000"/>
                <w:kern w:val="2"/>
                <w:sz w:val="24"/>
                <w:szCs w:val="24"/>
                <w:lang w:val="en-US" w:eastAsia="zh-CN" w:bidi="ar"/>
              </w:rPr>
              <w:t>0</w:t>
            </w:r>
            <w:r>
              <w:rPr>
                <w:rStyle w:val="117"/>
                <w:rFonts w:hint="eastAsia" w:ascii="仿宋" w:hAnsi="仿宋" w:eastAsia="仿宋" w:cs="仿宋"/>
                <w:color w:val="000000"/>
                <w:kern w:val="2"/>
                <w:sz w:val="24"/>
                <w:szCs w:val="24"/>
                <w:lang w:bidi="ar"/>
              </w:rPr>
              <w:t>分）</w:t>
            </w:r>
          </w:p>
        </w:tc>
        <w:tc>
          <w:tcPr>
            <w:tcW w:w="700"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同类项目业绩</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 xml:space="preserve">供应商自2023年1月1日（以合同签订时间为准）至今，具有同类项目业绩（职场装修改造）的，每提供一个得2分，最高得10分。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提供合同关键页（含签订合同双方的单位名称、合同项目名称、服务内容与含签订合同双方的落款盖章、签订日期的关键页）复印件。上述证明材料均需加盖公章，不提供或不齐全均不得分。</w:t>
            </w:r>
          </w:p>
        </w:tc>
        <w:tc>
          <w:tcPr>
            <w:tcW w:w="35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6" w:hRule="atLeast"/>
          <w:jc w:val="center"/>
        </w:trPr>
        <w:tc>
          <w:tcPr>
            <w:tcW w:w="594" w:type="pct"/>
            <w:vMerge w:val="restar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val="en-US" w:eastAsia="zh-CN" w:bidi="ar"/>
              </w:rPr>
            </w:pPr>
            <w:r>
              <w:rPr>
                <w:rStyle w:val="117"/>
                <w:rFonts w:hint="eastAsia" w:ascii="仿宋" w:hAnsi="仿宋" w:eastAsia="仿宋" w:cs="仿宋"/>
                <w:color w:val="000000"/>
                <w:kern w:val="2"/>
                <w:sz w:val="24"/>
                <w:szCs w:val="24"/>
                <w:lang w:val="en-US" w:eastAsia="zh-CN" w:bidi="ar"/>
              </w:rPr>
              <w:t>技术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val="en-US" w:eastAsia="zh-CN" w:bidi="ar"/>
              </w:rPr>
            </w:pPr>
            <w:r>
              <w:rPr>
                <w:rStyle w:val="117"/>
                <w:rFonts w:hint="eastAsia" w:ascii="仿宋" w:hAnsi="仿宋" w:eastAsia="仿宋" w:cs="仿宋"/>
                <w:color w:val="000000"/>
                <w:kern w:val="2"/>
                <w:sz w:val="24"/>
                <w:szCs w:val="24"/>
                <w:lang w:val="en-US" w:eastAsia="zh-CN" w:bidi="ar"/>
              </w:rPr>
              <w:t>部分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lang w:val="en-US" w:eastAsia="zh-CN"/>
              </w:rPr>
            </w:pPr>
            <w:r>
              <w:rPr>
                <w:rStyle w:val="117"/>
                <w:rFonts w:hint="eastAsia" w:ascii="仿宋" w:hAnsi="仿宋" w:eastAsia="仿宋" w:cs="仿宋"/>
                <w:color w:val="000000"/>
                <w:kern w:val="2"/>
                <w:sz w:val="24"/>
                <w:szCs w:val="24"/>
                <w:lang w:val="en-US" w:eastAsia="zh-CN" w:bidi="ar"/>
              </w:rPr>
              <w:t>（40分）</w:t>
            </w:r>
          </w:p>
        </w:tc>
        <w:tc>
          <w:tcPr>
            <w:tcW w:w="700"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施工组织设计总体概述</w:t>
            </w:r>
          </w:p>
        </w:tc>
        <w:tc>
          <w:tcPr>
            <w:tcW w:w="335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有完善的施工、技术管理措施，有健全的组织机构，管理人员配置合理，明确项目经理、技术负责人、施工员、质量员、安全员等有关人员的职责与权限，管理人员数量与工程规模相适应。根据以上进行横向对比，进行综合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对项目总体有深刻认识，表述清晰、完整、严谨、合理，措施先进、具体、有效、成熟，采用了己论证的新技术、新工艺、新材料、新设备；施工段划分呼应总体表述，划分清晰、合理，符合规范要求，得5（不含）-6（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对项目总体有一定认识，表述清晰、完整，措施具体有效；施工段划分呼应总体表述，划分清晰，符合规范要求，得2（不含）-5（含）分；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对项目认识不足，表述不清晰，措施不具体；施工段划分不合理，得0（不含）-2（含）分。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不提供不得分。</w:t>
            </w:r>
          </w:p>
        </w:tc>
        <w:tc>
          <w:tcPr>
            <w:tcW w:w="355" w:type="pct"/>
            <w:noWrap w:val="0"/>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default" w:ascii="仿宋" w:hAnsi="仿宋" w:eastAsia="仿宋" w:cs="仿宋"/>
                <w:color w:val="000000"/>
                <w:kern w:val="2"/>
                <w:sz w:val="24"/>
                <w:szCs w:val="24"/>
                <w:lang w:val="en-US" w:eastAsia="zh-CN" w:bidi="ar"/>
              </w:rPr>
            </w:pPr>
            <w:r>
              <w:rPr>
                <w:rStyle w:val="117"/>
                <w:rFonts w:hint="eastAsia" w:ascii="仿宋" w:hAnsi="仿宋" w:eastAsia="仿宋" w:cs="仿宋"/>
                <w:color w:val="000000"/>
                <w:kern w:val="2"/>
                <w:sz w:val="24"/>
                <w:szCs w:val="24"/>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eastAsia" w:ascii="仿宋" w:hAnsi="仿宋" w:eastAsia="仿宋" w:cs="仿宋"/>
                <w:color w:val="000000"/>
                <w:kern w:val="2"/>
                <w:sz w:val="24"/>
                <w:szCs w:val="24"/>
                <w:lang w:val="en-US" w:eastAsia="zh-CN" w:bidi="ar"/>
              </w:rPr>
            </w:pPr>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Style w:val="117"/>
                <w:rFonts w:hint="eastAsia" w:ascii="仿宋" w:hAnsi="仿宋" w:eastAsia="仿宋" w:cs="仿宋"/>
                <w:color w:val="000000"/>
                <w:kern w:val="2"/>
                <w:sz w:val="24"/>
                <w:szCs w:val="24"/>
                <w:lang w:val="en-US" w:eastAsia="zh-CN" w:bidi="ar"/>
              </w:rPr>
            </w:pPr>
            <w:r>
              <w:rPr>
                <w:rStyle w:val="117"/>
                <w:rFonts w:hint="eastAsia" w:ascii="仿宋" w:hAnsi="仿宋" w:eastAsia="仿宋" w:cs="仿宋"/>
                <w:color w:val="000000"/>
                <w:kern w:val="2"/>
                <w:sz w:val="24"/>
                <w:szCs w:val="24"/>
                <w:lang w:val="en-US" w:eastAsia="zh-CN" w:bidi="ar"/>
              </w:rPr>
              <w:t>项目人员配置</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根据供应商为本项目配置的施工团队进行评审：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（1）配备1名技术负责人，具备建筑工程专业中级及以上职称得1分，须提供职称证书复印件；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（2）配备施工员1名、安全员1名（须具备住建部门颁发的安全生产考核合格证C证）、质量员1名，满足上述要求得3分，每少1名人员扣1分。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注：以上人员须提供有效期内身份证正反面复印件、职称证书复印件（技术负责人提供）、安全生产考核合格证C证（安全员提供）、</w:t>
            </w:r>
            <w:r>
              <w:rPr>
                <w:rFonts w:hint="eastAsia" w:ascii="仿宋" w:hAnsi="仿宋" w:eastAsia="仿宋" w:cs="仿宋"/>
                <w:color w:val="000000"/>
                <w:kern w:val="2"/>
                <w:sz w:val="24"/>
                <w:szCs w:val="24"/>
                <w:highlight w:val="none"/>
                <w:lang w:val="en-US" w:eastAsia="zh-CN" w:bidi="ar"/>
              </w:rPr>
              <w:t>岗位证书（施工员、质量员提供）、20</w:t>
            </w:r>
            <w:r>
              <w:rPr>
                <w:rFonts w:hint="eastAsia" w:ascii="仿宋" w:hAnsi="仿宋" w:eastAsia="仿宋" w:cs="仿宋"/>
                <w:color w:val="000000"/>
                <w:kern w:val="2"/>
                <w:sz w:val="24"/>
                <w:szCs w:val="24"/>
                <w:lang w:val="en-US" w:eastAsia="zh-CN" w:bidi="ar"/>
              </w:rPr>
              <w:t>26年1月份以来连续三个月的社保缴纳证明材料或劳动合同。</w:t>
            </w:r>
          </w:p>
        </w:tc>
        <w:tc>
          <w:tcPr>
            <w:tcW w:w="355" w:type="pct"/>
            <w:noWrap w:val="0"/>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Style w:val="117"/>
                <w:rFonts w:hint="default" w:ascii="仿宋" w:hAnsi="仿宋" w:eastAsia="仿宋" w:cs="仿宋"/>
                <w:color w:val="000000"/>
                <w:kern w:val="2"/>
                <w:sz w:val="24"/>
                <w:szCs w:val="24"/>
                <w:lang w:val="en-US" w:eastAsia="zh-CN" w:bidi="ar"/>
              </w:rPr>
            </w:pPr>
            <w:r>
              <w:rPr>
                <w:rStyle w:val="117"/>
                <w:rFonts w:hint="eastAsia" w:ascii="仿宋" w:hAnsi="仿宋" w:eastAsia="仿宋" w:cs="仿宋"/>
                <w:color w:val="000000"/>
                <w:kern w:val="2"/>
                <w:sz w:val="24"/>
                <w:szCs w:val="24"/>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服务承诺</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（1）承诺项目施工过程中发生任何安全问题与采购人无关，由供应商自行承担。提供承诺得1分，不提供或提供不全的不得分。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2）承诺装修装饰的材料、构配件和设备应当符合设计要求、产品质量、节能和有害物质限量及燃烧性能控制标准，禁止使用质量不合格、国家明令淘汰或者不符合环境污染控制、节能等相关标准的材料及设备。提供承诺得1分，不提供或提供不全的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3）承诺对本项目提供有效、稳定、可靠的售后服务，具备本地化服务能力，在本地区有售后服务机构或分支机构。售后服务有具体措施，接到报修2小时内响应，4小时内到达现场。提供承诺得1分，不提供或提供不全的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（4）项目团队人员须保持稳定，未经采购人同意不得擅自更换；确需更换的，须提前7个工作日书面报备，更换人员资质、经验不低于原人员，且不影响项目进度。提供承诺得1分，不提供或提供不全的不得分。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（5)施工过程中产生的垃圾、废料须按采购人要求及时清理，做到工完场清，不得影响采购人的正常办公或经营秩序。提供承诺得1分，不提供或提供不全的不得分。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(6)供应商须对施工过程中接触到的采购人涉密信息、场地信息承担保密义务，不得向第三方泄露。提供承诺得1分，不提供或提供不全的不得分。</w:t>
            </w:r>
          </w:p>
        </w:tc>
        <w:tc>
          <w:tcPr>
            <w:tcW w:w="355"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施工进度计划和各阶段进度的保证措施</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有施工进度计划及工期保证措施、施工总进度计划符合采购文件规定的工期要求，根据以上进行横向对比，进行综合评审：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关键线路清晰、准确、完整，计划编制合理、可行，关键节点的控制措施有力、合理、可行，进度违约责任承诺具体，保证措施符合相关管理规定，针对性强，得5（不含）-6（含）分；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关键线路清晰、准确、完整，计划编制可行，关键节点的控制措施合理、可行，进度违约责任承诺具体，保证措施符合相关管理规定，针对性较强，得2（不含）-5（含）分；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关键线路不准确，计划编制不合理，关键节点的控制不可行，没有违约责任承诺，保证措施符合相关管理规定，针对性差，得0（不含）-2（含）分。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不提供不得分。</w:t>
            </w:r>
          </w:p>
        </w:tc>
        <w:tc>
          <w:tcPr>
            <w:tcW w:w="35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9"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关键施工技术及重难点分析</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针对项目实际,对关键施工技术、工艺及工程项目实施的重点、难点分析，进行横向对比，进行综合评审：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方案安全、经济、切实、可行、措施得力，重点、难点分析突出的，得5（不含）-6（含）分；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方案较安全、经济、切实、可行性一般、措施较得力，重点、难点分析基本到位的，得2（不含）-5（含）分；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方案可行性差、措施不到位，重点、难点分析差得，得0（不含）-2（含）分。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不提供不得分。</w:t>
            </w:r>
          </w:p>
        </w:tc>
        <w:tc>
          <w:tcPr>
            <w:tcW w:w="35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9"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bookmarkStart w:id="137" w:name="_Toc10961"/>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安全管理体系与措施</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根据供应商提供的本项目安全控制措施进行评审，包括且不限于：①安全生产管理目标；②安全管理体系；③安全综合保证措施；④安全的各项保证措施和安全应急救援预案；⑤安全教育和管理等：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安全管理体系与措施内容合理性、针对性强得5（不含）-6（含）分；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安全管理体系与措施合理性、针对性一般得2（不含）-5（含）分；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安全管理体系与措施合理性、针对性差得0（不含）-2（含）分。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未提供得0分。</w:t>
            </w:r>
          </w:p>
        </w:tc>
        <w:tc>
          <w:tcPr>
            <w:tcW w:w="35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9" w:hRule="atLeast"/>
          <w:jc w:val="center"/>
        </w:trPr>
        <w:tc>
          <w:tcPr>
            <w:tcW w:w="594" w:type="pct"/>
            <w:vMerge w:val="continue"/>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p>
        </w:tc>
        <w:tc>
          <w:tcPr>
            <w:tcW w:w="700"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质量保证</w:t>
            </w:r>
          </w:p>
        </w:tc>
        <w:tc>
          <w:tcPr>
            <w:tcW w:w="3350"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针对项目实际情况，提供质量控制管理目标及保证措施，包括施工技术措施、安全措施及质量控制；技术交底，材料检验，工程质量检查和验收等技术管理制度；根据以上进行横向对比，进行综合评审：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针对项目实际提出先进、可行、具体的保证措施，质保期限超过采购文件的质量要求及施工验收规范要求，得5（不含）-6（含）分；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针对项目实际提出先进、可行、具体的保证措施，质保期限满足采购文件的质量要求，得2（不含）-5（含）分；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措施不可行，没有质量违约责任承诺，得0（不含）-2（含）分。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不提供不得分。</w:t>
            </w:r>
          </w:p>
        </w:tc>
        <w:tc>
          <w:tcPr>
            <w:tcW w:w="35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w:t>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br w:type="page"/>
      </w:r>
    </w:p>
    <w:p>
      <w:pPr>
        <w:pStyle w:val="2"/>
        <w:numPr>
          <w:ilvl w:val="0"/>
          <w:numId w:val="4"/>
        </w:numPr>
        <w:spacing w:before="0" w:after="0" w:line="360" w:lineRule="auto"/>
        <w:jc w:val="center"/>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合同条款</w:t>
      </w:r>
      <w:bookmarkEnd w:id="120"/>
      <w:bookmarkEnd w:id="121"/>
      <w:bookmarkEnd w:id="137"/>
      <w:bookmarkStart w:id="138" w:name="_Toc16424"/>
      <w:bookmarkStart w:id="139" w:name="_Toc444891347"/>
      <w:bookmarkStart w:id="140" w:name="_Toc24217"/>
      <w:bookmarkStart w:id="141" w:name="_Toc24143"/>
      <w:bookmarkStart w:id="142" w:name="_Toc28349"/>
      <w:bookmarkStart w:id="143" w:name="_Toc2185"/>
      <w:bookmarkStart w:id="144" w:name="_Toc517281828"/>
    </w:p>
    <w:p>
      <w:pPr>
        <w:keepNext w:val="0"/>
        <w:keepLines w:val="0"/>
        <w:widowControl/>
        <w:suppressLineNumbers w:val="0"/>
        <w:jc w:val="left"/>
        <w:rPr>
          <w:color w:val="auto"/>
        </w:rPr>
      </w:pPr>
      <w:r>
        <w:rPr>
          <w:rFonts w:ascii="宋体" w:hAnsi="宋体" w:eastAsia="宋体" w:cs="宋体"/>
          <w:vanish/>
          <w:color w:val="auto"/>
          <w:sz w:val="24"/>
          <w:szCs w:val="24"/>
        </w:rPr>
        <w:object>
          <v:shape id="_x0000_i1025" o:spt="201" alt="" type="#_x0000_t201" style="height:18pt;width:72pt;" o:ole="t" filled="f" o:preferrelative="t" stroked="f" coordsize="21600,21600">
            <v:path/>
            <v:fill on="f" focussize="0,0"/>
            <v:stroke on="f"/>
            <v:imagedata r:id="rId14" o:title=""/>
            <o:lock v:ext="edit" aspectratio="t"/>
            <w10:wrap type="none"/>
            <w10:anchorlock/>
          </v:shape>
          <w:control r:id="rId13" w:name="HTMLHidden1" w:shapeid="_x0000_i1025"/>
        </w:objec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rPr>
      </w:pPr>
      <w:r>
        <w:rPr>
          <w:rFonts w:hint="eastAsia" w:ascii="仿宋" w:hAnsi="仿宋" w:eastAsia="仿宋" w:cs="仿宋"/>
          <w:b/>
          <w:bCs/>
          <w:sz w:val="24"/>
          <w:szCs w:val="24"/>
        </w:rPr>
        <w:t>合同正文</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第一条 </w:t>
      </w:r>
      <w:r>
        <w:rPr>
          <w:rFonts w:hint="eastAsia" w:ascii="仿宋" w:hAnsi="仿宋" w:eastAsia="仿宋" w:cs="仿宋"/>
          <w:sz w:val="24"/>
          <w:szCs w:val="24"/>
        </w:rPr>
        <w:t>工程概况</w:t>
      </w:r>
      <w:r>
        <w:rPr>
          <w:rFonts w:hint="eastAsia" w:ascii="仿宋" w:hAnsi="仿宋" w:eastAsia="仿宋" w:cs="仿宋"/>
          <w:sz w:val="24"/>
          <w:szCs w:val="24"/>
        </w:rPr>
        <w:br w:type="textWrapping"/>
      </w:r>
      <w:r>
        <w:rPr>
          <w:rFonts w:hint="eastAsia" w:ascii="仿宋" w:hAnsi="仿宋" w:eastAsia="仿宋" w:cs="仿宋"/>
          <w:b/>
          <w:bCs/>
          <w:sz w:val="24"/>
          <w:szCs w:val="24"/>
        </w:rPr>
        <w:t>工程概况</w:t>
      </w:r>
      <w:r>
        <w:rPr>
          <w:rFonts w:hint="eastAsia" w:ascii="仿宋" w:hAnsi="仿宋" w:eastAsia="仿宋" w:cs="仿宋"/>
          <w:sz w:val="24"/>
          <w:szCs w:val="24"/>
        </w:rPr>
        <w:br w:type="textWrapping"/>
      </w:r>
      <w:r>
        <w:rPr>
          <w:rFonts w:hint="eastAsia" w:ascii="仿宋" w:hAnsi="仿宋" w:eastAsia="仿宋" w:cs="仿宋"/>
          <w:sz w:val="24"/>
          <w:szCs w:val="24"/>
        </w:rPr>
        <w:t>本合同项下甲乙双方约定的工程项目的概况见本合同【附件】。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第二条 </w:t>
      </w:r>
      <w:r>
        <w:rPr>
          <w:rFonts w:hint="eastAsia" w:ascii="仿宋" w:hAnsi="仿宋" w:eastAsia="仿宋" w:cs="仿宋"/>
          <w:sz w:val="24"/>
          <w:szCs w:val="24"/>
        </w:rPr>
        <w:t>合同工期及质量标准</w:t>
      </w:r>
      <w:r>
        <w:rPr>
          <w:rFonts w:hint="eastAsia" w:ascii="仿宋" w:hAnsi="仿宋" w:eastAsia="仿宋" w:cs="仿宋"/>
          <w:sz w:val="24"/>
          <w:szCs w:val="24"/>
        </w:rPr>
        <w:br w:type="textWrapping"/>
      </w:r>
      <w:r>
        <w:rPr>
          <w:rFonts w:hint="eastAsia" w:ascii="仿宋" w:hAnsi="仿宋" w:eastAsia="仿宋" w:cs="仿宋"/>
          <w:b/>
          <w:bCs/>
          <w:sz w:val="24"/>
          <w:szCs w:val="24"/>
        </w:rPr>
        <w:t>合同工期及质量标准</w:t>
      </w:r>
      <w:r>
        <w:rPr>
          <w:rFonts w:hint="eastAsia" w:ascii="仿宋" w:hAnsi="仿宋" w:eastAsia="仿宋" w:cs="仿宋"/>
          <w:sz w:val="24"/>
          <w:szCs w:val="24"/>
        </w:rPr>
        <w:br w:type="textWrapping"/>
      </w:r>
      <w:r>
        <w:rPr>
          <w:rFonts w:hint="eastAsia" w:ascii="仿宋" w:hAnsi="仿宋" w:eastAsia="仿宋" w:cs="仿宋"/>
          <w:sz w:val="24"/>
          <w:szCs w:val="24"/>
        </w:rPr>
        <w:t>本合同项下甲乙双方约定的工程期限及质量标准见本合同【附件】。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第三条 </w:t>
      </w:r>
      <w:r>
        <w:rPr>
          <w:rFonts w:hint="eastAsia" w:ascii="仿宋" w:hAnsi="仿宋" w:eastAsia="仿宋" w:cs="仿宋"/>
          <w:b/>
          <w:bCs/>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合同价格（含税）总计为RMB_______元（大写：_______）。</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第四条 </w:t>
      </w:r>
      <w:r>
        <w:rPr>
          <w:rFonts w:hint="eastAsia" w:ascii="仿宋" w:hAnsi="仿宋" w:eastAsia="仿宋" w:cs="仿宋"/>
          <w:b/>
          <w:bCs/>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（一） 发包人的权利和义务</w:t>
      </w:r>
      <w:r>
        <w:rPr>
          <w:rFonts w:hint="eastAsia" w:ascii="仿宋" w:hAnsi="仿宋" w:eastAsia="仿宋" w:cs="仿宋"/>
          <w:sz w:val="24"/>
          <w:szCs w:val="24"/>
        </w:rPr>
        <w:br w:type="textWrapping"/>
      </w:r>
      <w:r>
        <w:rPr>
          <w:rFonts w:hint="eastAsia" w:ascii="仿宋" w:hAnsi="仿宋" w:eastAsia="仿宋" w:cs="仿宋"/>
          <w:sz w:val="24"/>
          <w:szCs w:val="24"/>
        </w:rPr>
        <w:t>（1）发包人为承包人的施工提供协助和配合；</w:t>
      </w:r>
      <w:r>
        <w:rPr>
          <w:rFonts w:hint="eastAsia" w:ascii="仿宋" w:hAnsi="仿宋" w:eastAsia="仿宋" w:cs="仿宋"/>
          <w:sz w:val="24"/>
          <w:szCs w:val="24"/>
        </w:rPr>
        <w:br w:type="textWrapping"/>
      </w:r>
      <w:r>
        <w:rPr>
          <w:rFonts w:hint="eastAsia" w:ascii="仿宋" w:hAnsi="仿宋" w:eastAsia="仿宋" w:cs="仿宋"/>
          <w:sz w:val="24"/>
          <w:szCs w:val="24"/>
        </w:rPr>
        <w:t>（2）施工场地具备开工条件后，发包人应按约定及时向承包人交付施工现场；</w:t>
      </w:r>
      <w:r>
        <w:rPr>
          <w:rFonts w:hint="eastAsia" w:ascii="仿宋" w:hAnsi="仿宋" w:eastAsia="仿宋" w:cs="仿宋"/>
          <w:sz w:val="24"/>
          <w:szCs w:val="24"/>
        </w:rPr>
        <w:br w:type="textWrapping"/>
      </w:r>
      <w:r>
        <w:rPr>
          <w:rFonts w:hint="eastAsia" w:ascii="仿宋" w:hAnsi="仿宋" w:eastAsia="仿宋" w:cs="仿宋"/>
          <w:sz w:val="24"/>
          <w:szCs w:val="24"/>
        </w:rPr>
        <w:t>（3）开工前向承包人提供施工图纸；</w:t>
      </w:r>
      <w:r>
        <w:rPr>
          <w:rFonts w:hint="eastAsia" w:ascii="仿宋" w:hAnsi="仿宋" w:eastAsia="仿宋" w:cs="仿宋"/>
          <w:sz w:val="24"/>
          <w:szCs w:val="24"/>
        </w:rPr>
        <w:br w:type="textWrapping"/>
      </w:r>
      <w:r>
        <w:rPr>
          <w:rFonts w:hint="eastAsia" w:ascii="仿宋" w:hAnsi="仿宋" w:eastAsia="仿宋" w:cs="仿宋"/>
          <w:sz w:val="24"/>
          <w:szCs w:val="24"/>
        </w:rPr>
        <w:t>（4）协调物业公司及有关部门做好通道、电梯等设施的使用；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（5）指派驻工地代表，负责对工程质量、进度进行监督检查，办理验收、变更洽商手续及其他事宜；</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（6）开工时向承包人提供原始水、电、燃气、暖气管道等管道线路图纸，如经发包人认可确实需要拆改原建筑物结构或设备管线，由发包人负责协调到有关部门办理相应审批手续；</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（7）知会邻里在施工期限间产生的灰尘和噪音可能对其生活和工作环境造成的影响，协调邻里关系；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（8）发包人享有其他双方约定的权利、承担其他双方约定的义务。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承包人的权利和义务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（1）承包人在开工前应按照政府及相关部门、物业公司的要求办理一切施工所需手续，并缴纳有关的费用和装修押金；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（2）拟定施工方案和进度计划，开工前交发包人审定后执行；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（3）开工前，应将施工主要负责人员名单报发包人确认、备案，如承包人更换施工主要负责人时，必须事先征得发包人书面同意；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（4）指派驻工地代表，并将其姓名、简历及联系方式书面告知发包人，负责履行合同，组织施工，按期限保质保量完成施工任务，解决由承包人负责的各项事宜；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（5）严格执行施工规范、安全操作规程、防火安全和环境保护规定。严格按照图纸或作法说明进行施工，做好各项事宜；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（6）遵守政府有关主管部门及物业公司对施工场地交通及通道、施工噪音以及环境保护、安全生产、施工时间等的管理规定，按规定办理有关手续，并以书面形式通知发包人；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（7）已竣工工程未交付发包人之前，承包人负责成品的保护工作，保护期间发生损坏，承包人自费予以修复；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（8）妥善保管发包人堆放在现场的财产和物品，做好施工所涉设备设施及管线和邻近建筑物、构筑物的保护工作，并承担相关费用，造成损失的由承包人承担责任；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（9）保证施工场地清洁符合环境卫生管理的有关规定，交工前清理现场达到规定要求，承担因自身原因违反有关规定造成的损失和罚款；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（10）遵守国家或地方政府及有关部门对施工现场管理的规定，做好施工现场保卫和垃圾清运等工作，处理好由于施工带来的扰民问题及与周围单位的关系；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（12）承包人有义务事先告知发包人未知的与本工程质量相关的事项，如承包人知道或根据经验应该知道的有关质量问题而未告知发包人，则造成的损失由承包人承担；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（13）承包人负责工程的消防验收通过。验收不通过，承包人承担一切损失和责任。但如在消防验收未通过之前发包人擅自使用而造成的验收不通过，发包人承担相应的损失；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（14）负责编制竣工验收报告及工程结算报告，并提交发包人审核；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（15）承包人享有其他双方约定的权利、承担其他双方约定的义务。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第五条 </w:t>
      </w:r>
      <w:r>
        <w:rPr>
          <w:rFonts w:hint="eastAsia" w:ascii="仿宋" w:hAnsi="仿宋" w:eastAsia="仿宋" w:cs="仿宋"/>
          <w:b/>
          <w:bCs/>
          <w:sz w:val="24"/>
          <w:szCs w:val="24"/>
        </w:rPr>
        <w:t>材料设备供应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材料设备供应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（1）承包人提供的材料设备清单见本合同【附件】。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设备材料质量要求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（1）承包人应就其材料设备向发包人提供产品合格证明、使用说明书等文件；若材料设备不符合质量要求，由承包人承担由此发生的责任和费用。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（2）凡由承包人采购的材料、设备，如不符合质量要求或规格有差异，应禁止使用。若已使用，对工程造成质量问题及由此发生的损失由承包人承担。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（3）凡由承包人供应的材料致使室内甲醛等有害物质浓度含量超标，造成环境污染的，承包人应承担相应责任并赔偿损失。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如有发包人供应的材料交由承包人保管的，承包人应妥善保管，如因保管不当造成损失或丢失，由承包人赔偿。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第六条 </w:t>
      </w:r>
      <w:r>
        <w:rPr>
          <w:rFonts w:hint="eastAsia" w:ascii="仿宋" w:hAnsi="仿宋" w:eastAsia="仿宋" w:cs="仿宋"/>
          <w:b/>
          <w:bCs/>
          <w:sz w:val="24"/>
          <w:szCs w:val="24"/>
        </w:rPr>
        <w:t>工程变更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（五） 对以下原因造成竣工日期推迟的，经发包人书面确认，工期相应顺延，除此以外的其他原因导致竣工日期延误的，由承包人承担违约责任：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（1）政府机关或发包人要求承包人暂停施工的；</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（3）发包人设计变更导致关键线路上的工作延误的。</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（六） 承包人负责设计工作的，因施工图设计错误或缺陷造成的所有损失均由承包人承担。</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第七条 </w:t>
      </w:r>
      <w:r>
        <w:rPr>
          <w:rFonts w:hint="eastAsia" w:ascii="仿宋" w:hAnsi="仿宋" w:eastAsia="仿宋" w:cs="仿宋"/>
          <w:b/>
          <w:bCs/>
          <w:sz w:val="24"/>
          <w:szCs w:val="24"/>
        </w:rPr>
        <w:t>检查与返工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承包人应认真按照标准、规范、设计的要求和合同的约定进行施工和自检。</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第八条 </w:t>
      </w:r>
      <w:r>
        <w:rPr>
          <w:rFonts w:hint="eastAsia" w:ascii="仿宋" w:hAnsi="仿宋" w:eastAsia="仿宋" w:cs="仿宋"/>
          <w:sz w:val="24"/>
          <w:szCs w:val="24"/>
        </w:rPr>
        <w:t>安全施工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安全施工</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承包人应对其在施工场地的工作人员进行安全教育，并对他们的安全负责。发包人不得要求承包人违反安全管理的规定进行施工。</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发生重大伤亡事故，承包人应按照有关规定立即上报有关部门并通知发包人，同时按政府有关部门要求处理。发包人为抢救提供必要条件，发生的费用由事故责任方承担。</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第九条 </w:t>
      </w:r>
      <w:r>
        <w:rPr>
          <w:rFonts w:hint="eastAsia" w:ascii="仿宋" w:hAnsi="仿宋" w:eastAsia="仿宋" w:cs="仿宋"/>
          <w:b/>
          <w:bCs/>
          <w:sz w:val="24"/>
          <w:szCs w:val="24"/>
        </w:rPr>
        <w:t>工程验收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工程验收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（1）工程完工后，承包人应书面通知发包人验收，并向发包人提交竣工验收报告和完整的竣工验收资料，发包人收到竣工资料和竣工验收报告应及时组织验收。验收合格，由发包人书面确认。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（二） 验收标准</w:t>
      </w:r>
      <w:r>
        <w:rPr>
          <w:rFonts w:hint="eastAsia" w:ascii="仿宋" w:hAnsi="仿宋" w:eastAsia="仿宋" w:cs="仿宋"/>
          <w:sz w:val="24"/>
          <w:szCs w:val="24"/>
        </w:rPr>
        <w:br w:type="textWrapping"/>
      </w:r>
      <w:r>
        <w:rPr>
          <w:rFonts w:hint="eastAsia" w:ascii="仿宋" w:hAnsi="仿宋" w:eastAsia="仿宋" w:cs="仿宋"/>
          <w:sz w:val="24"/>
          <w:szCs w:val="24"/>
        </w:rPr>
        <w:t>本工程质量评定验收标准的依据：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（1）施工图纸、作法说明、设计变更、施工技术文件等；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（2）有关工程质量的相关法律法规的规定，以及国家有关施工验收规范、室内环境污染控制规范；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（3）招标文件、本合同对工程的具体要求。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工程阶段验收项目：_______</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第十条 </w:t>
      </w:r>
      <w:r>
        <w:rPr>
          <w:rFonts w:hint="eastAsia" w:ascii="仿宋" w:hAnsi="仿宋" w:eastAsia="仿宋" w:cs="仿宋"/>
          <w:b/>
          <w:bCs/>
          <w:sz w:val="24"/>
          <w:szCs w:val="24"/>
        </w:rPr>
        <w:t>工程结算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工程验收合格后，承包人应向发包人提交工程结算报告和完整的结算资料，发包人收到工程结算报告和完整的结算资料后应及时进行结算。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按本合同约定的固定包干价，以及双方书面签署确认的变更价款洽商文件进行结算。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第十一条 </w:t>
      </w:r>
      <w:r>
        <w:rPr>
          <w:rFonts w:hint="eastAsia" w:ascii="仿宋" w:hAnsi="仿宋" w:eastAsia="仿宋" w:cs="仿宋"/>
          <w:sz w:val="24"/>
          <w:szCs w:val="24"/>
        </w:rPr>
        <w:t>保修(适用于建设工程施工合同)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保修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保修期内乙方对工程项目提供保修维护服务，具体内容及方式见【附件】，甲方不再就此支付任何费用。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第十二条 </w:t>
      </w:r>
      <w:r>
        <w:rPr>
          <w:rFonts w:hint="eastAsia" w:ascii="仿宋" w:hAnsi="仿宋" w:eastAsia="仿宋" w:cs="仿宋"/>
          <w:b/>
          <w:bCs/>
          <w:sz w:val="24"/>
          <w:szCs w:val="24"/>
        </w:rPr>
        <w:t>禁止分包与转让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非经发包人事先书面同意，承包人不得将承包工程的任何部分分包。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承包人不得将其承包的全部工程转包给他人，也不得将其承包的全部工程肢解以后以分包的名义分别转包给他人。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承包人将其承包的全部工程转包给他人或者肢解以后以分包的名义分别转包给他人，发包人有权解除合同，本合同自解除通知送达承包人之日或发包人指定日期届至时解除。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（四） 未经发包人书面同意，承包人不得将其本合同项下之全部义务或其中一部分义务转让给第三方执行。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第十三条 </w:t>
      </w:r>
      <w:r>
        <w:rPr>
          <w:rFonts w:hint="eastAsia" w:ascii="仿宋" w:hAnsi="仿宋" w:eastAsia="仿宋" w:cs="仿宋"/>
          <w:sz w:val="24"/>
          <w:szCs w:val="24"/>
        </w:rPr>
        <w:t>权利保证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权利保证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第十四条 </w:t>
      </w:r>
      <w:r>
        <w:rPr>
          <w:rFonts w:hint="eastAsia" w:ascii="仿宋" w:hAnsi="仿宋" w:eastAsia="仿宋" w:cs="仿宋"/>
          <w:b/>
          <w:bCs/>
          <w:sz w:val="24"/>
          <w:szCs w:val="24"/>
        </w:rPr>
        <w:t>违约责任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发包人未按本合同的约定支付合同价款，经承包人书面催告后7日内仍未支付的，每逾期一日，按应付款金额_______%向承包人支付违约金。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除发包人批准的工期顺延外，因承包人原因不能按本合同约定的工期完成本工程的，每逾期一日，向发包人支付本合同约定的合同总价款_______%的逾期违约金。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b/>
          <w:bCs/>
          <w:sz w:val="24"/>
          <w:szCs w:val="24"/>
        </w:rPr>
      </w:pPr>
      <w:r>
        <w:rPr>
          <w:rFonts w:hint="eastAsia" w:ascii="仿宋" w:hAnsi="仿宋" w:eastAsia="仿宋" w:cs="仿宋"/>
          <w:sz w:val="24"/>
          <w:szCs w:val="24"/>
        </w:rPr>
        <w:t xml:space="preserve">（四） </w:t>
      </w:r>
      <w:r>
        <w:rPr>
          <w:rFonts w:hint="eastAsia" w:ascii="仿宋" w:hAnsi="仿宋" w:eastAsia="仿宋" w:cs="仿宋"/>
          <w:b/>
          <w:bCs/>
          <w:sz w:val="24"/>
          <w:szCs w:val="24"/>
        </w:rPr>
        <w:t>承包人瑕疵履行的违约责任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（五） 工程竣工验收合格并交付发包人使用后，在承包人承诺的合理使用年限内，承包人不履行修理或维护义务给发包人造成经济损失的，承包人承担赔偿责任。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（六）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（七） 除本合同的约定外，因承包人的违约行为给发包人造成损失的，承包人应向发包人支付相当于本合同总价款_______%的违约金，如发包人受到的损失超过违约金的，超出部分由承包人继续承担赔偿责任。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第十五条 </w:t>
      </w:r>
      <w:r>
        <w:rPr>
          <w:rFonts w:hint="eastAsia" w:ascii="仿宋" w:hAnsi="仿宋" w:eastAsia="仿宋" w:cs="仿宋"/>
          <w:b/>
          <w:bCs/>
          <w:sz w:val="24"/>
          <w:szCs w:val="24"/>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第十六条 </w:t>
      </w:r>
      <w:r>
        <w:rPr>
          <w:rFonts w:hint="eastAsia" w:ascii="仿宋" w:hAnsi="仿宋" w:eastAsia="仿宋" w:cs="仿宋"/>
          <w:b/>
          <w:bCs/>
          <w:sz w:val="24"/>
          <w:szCs w:val="24"/>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第十七条 </w:t>
      </w:r>
      <w:r>
        <w:rPr>
          <w:rFonts w:hint="eastAsia" w:ascii="仿宋" w:hAnsi="仿宋" w:eastAsia="仿宋" w:cs="仿宋"/>
          <w:sz w:val="24"/>
          <w:szCs w:val="24"/>
        </w:rPr>
        <w:t>合同变更</w:t>
      </w:r>
      <w:r>
        <w:rPr>
          <w:rFonts w:hint="eastAsia" w:ascii="仿宋" w:hAnsi="仿宋" w:eastAsia="仿宋" w:cs="仿宋"/>
          <w:sz w:val="24"/>
          <w:szCs w:val="24"/>
        </w:rPr>
        <w:br w:type="textWrapping"/>
      </w:r>
      <w:r>
        <w:rPr>
          <w:rFonts w:hint="eastAsia" w:ascii="仿宋" w:hAnsi="仿宋" w:eastAsia="仿宋" w:cs="仿宋"/>
          <w:b/>
          <w:bCs/>
          <w:sz w:val="24"/>
          <w:szCs w:val="24"/>
        </w:rPr>
        <w:t>合同变更</w:t>
      </w:r>
      <w:r>
        <w:rPr>
          <w:rFonts w:hint="eastAsia" w:ascii="仿宋" w:hAnsi="仿宋" w:eastAsia="仿宋" w:cs="仿宋"/>
          <w:sz w:val="24"/>
          <w:szCs w:val="24"/>
        </w:rPr>
        <w:br w:type="textWrapping"/>
      </w:r>
      <w:r>
        <w:rPr>
          <w:rFonts w:hint="eastAsia" w:ascii="仿宋" w:hAnsi="仿宋" w:eastAsia="仿宋" w:cs="仿宋"/>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第十八条 </w:t>
      </w:r>
      <w:r>
        <w:rPr>
          <w:rFonts w:hint="eastAsia" w:ascii="仿宋" w:hAnsi="仿宋" w:eastAsia="仿宋" w:cs="仿宋"/>
          <w:b/>
          <w:bCs/>
          <w:sz w:val="24"/>
          <w:szCs w:val="24"/>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甲乙双方同意在乙方出现下列情形时，甲方可以书面形式通知乙方（或者乙方的破产清算组或相关管理人）提出终止合同而不向其提供任何补偿：</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（1）乙方破产、解散（包括但不限于乙方股东会决议解散、乙方被吊销营业执照、被责令关闭、被撤销、被司法机关裁决解散等情形）；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第十九条 </w:t>
      </w:r>
      <w:r>
        <w:rPr>
          <w:rFonts w:hint="eastAsia" w:ascii="仿宋" w:hAnsi="仿宋" w:eastAsia="仿宋" w:cs="仿宋"/>
          <w:b/>
          <w:bCs/>
          <w:sz w:val="24"/>
          <w:szCs w:val="24"/>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b/>
          <w:bCs/>
          <w:sz w:val="24"/>
          <w:szCs w:val="24"/>
        </w:rPr>
      </w:pPr>
      <w:r>
        <w:rPr>
          <w:rFonts w:hint="eastAsia" w:ascii="仿宋" w:hAnsi="仿宋" w:eastAsia="仿宋" w:cs="仿宋"/>
          <w:sz w:val="24"/>
          <w:szCs w:val="24"/>
        </w:rPr>
        <w:t xml:space="preserve">（二） </w:t>
      </w:r>
      <w:r>
        <w:rPr>
          <w:rFonts w:hint="eastAsia" w:ascii="仿宋" w:hAnsi="仿宋" w:eastAsia="仿宋" w:cs="仿宋"/>
          <w:b/>
          <w:bCs/>
          <w:sz w:val="24"/>
          <w:szCs w:val="24"/>
        </w:rPr>
        <w:t>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凡因本合同引起的或与本合同有关的任何争议，双方首先应友好协商解决。协商不成的，任何一方均可向甲方所在地有管辖权的法院提起诉讼。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第二十条 </w:t>
      </w:r>
      <w:r>
        <w:rPr>
          <w:rFonts w:hint="eastAsia" w:ascii="仿宋" w:hAnsi="仿宋" w:eastAsia="仿宋" w:cs="仿宋"/>
          <w:b/>
          <w:bCs/>
          <w:sz w:val="24"/>
          <w:szCs w:val="24"/>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第二十一条 </w:t>
      </w:r>
      <w:r>
        <w:rPr>
          <w:rFonts w:hint="eastAsia" w:ascii="仿宋" w:hAnsi="仿宋" w:eastAsia="仿宋" w:cs="仿宋"/>
          <w:b/>
          <w:bCs/>
          <w:sz w:val="24"/>
          <w:szCs w:val="24"/>
        </w:rPr>
        <w:t>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79" w:leftChars="228" w:right="0" w:firstLine="0" w:firstLineChars="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第二十二条 </w:t>
      </w:r>
      <w:r>
        <w:rPr>
          <w:rFonts w:hint="eastAsia" w:ascii="仿宋" w:hAnsi="仿宋" w:eastAsia="仿宋" w:cs="仿宋"/>
          <w:sz w:val="24"/>
          <w:szCs w:val="24"/>
        </w:rPr>
        <w:t>附件的组成（适用于建设工程施工合同）</w:t>
      </w:r>
      <w:r>
        <w:rPr>
          <w:rFonts w:hint="eastAsia" w:ascii="仿宋" w:hAnsi="仿宋" w:eastAsia="仿宋" w:cs="仿宋"/>
          <w:sz w:val="24"/>
          <w:szCs w:val="24"/>
        </w:rPr>
        <w:br w:type="textWrapping"/>
      </w:r>
      <w:r>
        <w:rPr>
          <w:rFonts w:hint="eastAsia" w:ascii="仿宋" w:hAnsi="仿宋" w:eastAsia="仿宋" w:cs="仿宋"/>
          <w:sz w:val="24"/>
          <w:szCs w:val="24"/>
        </w:rPr>
        <w:t>附件的组成</w:t>
      </w:r>
      <w:r>
        <w:rPr>
          <w:rFonts w:hint="eastAsia" w:ascii="仿宋" w:hAnsi="仿宋" w:eastAsia="仿宋" w:cs="仿宋"/>
          <w:sz w:val="24"/>
          <w:szCs w:val="24"/>
        </w:rPr>
        <w:br w:type="textWrapping"/>
      </w:r>
      <w:r>
        <w:rPr>
          <w:rFonts w:hint="eastAsia" w:ascii="仿宋" w:hAnsi="仿宋" w:eastAsia="仿宋" w:cs="仿宋"/>
          <w:sz w:val="24"/>
          <w:szCs w:val="24"/>
        </w:rPr>
        <w:t>附件一、工程概况</w:t>
      </w:r>
      <w:r>
        <w:rPr>
          <w:rFonts w:hint="eastAsia" w:ascii="仿宋" w:hAnsi="仿宋" w:eastAsia="仿宋" w:cs="仿宋"/>
          <w:sz w:val="24"/>
          <w:szCs w:val="24"/>
        </w:rPr>
        <w:br w:type="textWrapping"/>
      </w:r>
      <w:r>
        <w:rPr>
          <w:rFonts w:hint="eastAsia" w:ascii="仿宋" w:hAnsi="仿宋" w:eastAsia="仿宋" w:cs="仿宋"/>
          <w:sz w:val="24"/>
          <w:szCs w:val="24"/>
        </w:rPr>
        <w:t>附件二、合同工期及质量标准</w:t>
      </w:r>
      <w:r>
        <w:rPr>
          <w:rFonts w:hint="eastAsia" w:ascii="仿宋" w:hAnsi="仿宋" w:eastAsia="仿宋" w:cs="仿宋"/>
          <w:sz w:val="24"/>
          <w:szCs w:val="24"/>
        </w:rPr>
        <w:br w:type="textWrapping"/>
      </w:r>
      <w:r>
        <w:rPr>
          <w:rFonts w:hint="eastAsia" w:ascii="仿宋" w:hAnsi="仿宋" w:eastAsia="仿宋" w:cs="仿宋"/>
          <w:sz w:val="24"/>
          <w:szCs w:val="24"/>
        </w:rPr>
        <w:t>附件三、付款</w:t>
      </w:r>
      <w:r>
        <w:rPr>
          <w:rFonts w:hint="eastAsia" w:ascii="仿宋" w:hAnsi="仿宋" w:eastAsia="仿宋" w:cs="仿宋"/>
          <w:sz w:val="24"/>
          <w:szCs w:val="24"/>
        </w:rPr>
        <w:br w:type="textWrapping"/>
      </w:r>
      <w:r>
        <w:rPr>
          <w:rFonts w:hint="eastAsia" w:ascii="仿宋" w:hAnsi="仿宋" w:eastAsia="仿宋" w:cs="仿宋"/>
          <w:sz w:val="24"/>
          <w:szCs w:val="24"/>
        </w:rPr>
        <w:t>附件四、材料设备供应</w:t>
      </w:r>
      <w:r>
        <w:rPr>
          <w:rFonts w:hint="eastAsia" w:ascii="仿宋" w:hAnsi="仿宋" w:eastAsia="仿宋" w:cs="仿宋"/>
          <w:sz w:val="24"/>
          <w:szCs w:val="24"/>
        </w:rPr>
        <w:br w:type="textWrapping"/>
      </w:r>
      <w:r>
        <w:rPr>
          <w:rFonts w:hint="eastAsia" w:ascii="仿宋" w:hAnsi="仿宋" w:eastAsia="仿宋" w:cs="仿宋"/>
          <w:sz w:val="24"/>
          <w:szCs w:val="24"/>
        </w:rPr>
        <w:t>附件五、保修</w:t>
      </w:r>
    </w:p>
    <w:p>
      <w:pPr>
        <w:rPr>
          <w:rFonts w:hint="eastAsia" w:ascii="仿宋" w:hAnsi="仿宋" w:eastAsia="仿宋" w:cs="仿宋"/>
          <w:sz w:val="24"/>
          <w:szCs w:val="24"/>
        </w:rPr>
      </w:pPr>
      <w:r>
        <w:rPr>
          <w:rFonts w:hint="eastAsia" w:ascii="仿宋" w:hAnsi="仿宋" w:eastAsia="仿宋" w:cs="仿宋"/>
          <w:sz w:val="24"/>
          <w:szCs w:val="24"/>
        </w:rPr>
        <w:br w:type="page"/>
      </w:r>
    </w:p>
    <w:p>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附件一：</w:t>
      </w:r>
    </w:p>
    <w:p>
      <w:pPr>
        <w:adjustRightInd w:val="0"/>
        <w:snapToGrid w:val="0"/>
        <w:spacing w:line="360" w:lineRule="auto"/>
        <w:ind w:left="482" w:firstLine="480"/>
        <w:rPr>
          <w:rFonts w:hint="eastAsia" w:ascii="仿宋" w:hAnsi="仿宋" w:eastAsia="仿宋" w:cs="仿宋"/>
          <w:b/>
          <w:color w:val="000000"/>
          <w:kern w:val="0"/>
          <w:sz w:val="24"/>
          <w:szCs w:val="24"/>
        </w:rPr>
      </w:pPr>
    </w:p>
    <w:p>
      <w:pPr>
        <w:adjustRightInd w:val="0"/>
        <w:snapToGrid w:val="0"/>
        <w:spacing w:line="360" w:lineRule="auto"/>
        <w:jc w:val="center"/>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工程概况</w:t>
      </w:r>
    </w:p>
    <w:p>
      <w:pPr>
        <w:adjustRightInd w:val="0"/>
        <w:snapToGrid w:val="0"/>
        <w:spacing w:line="360" w:lineRule="auto"/>
        <w:ind w:left="482" w:firstLine="2771" w:firstLineChars="1150"/>
        <w:rPr>
          <w:rFonts w:hint="eastAsia" w:ascii="仿宋" w:hAnsi="仿宋" w:eastAsia="仿宋" w:cs="仿宋"/>
          <w:b/>
          <w:color w:val="000000"/>
          <w:kern w:val="0"/>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 工程名称：。</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2．工程地点：。</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 工程承包范围：</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___________________________________________________________________</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 工程承包方式：</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___________________________________________________________________</w:t>
      </w:r>
    </w:p>
    <w:p>
      <w:pPr>
        <w:rPr>
          <w:rFonts w:hint="eastAsia" w:ascii="仿宋" w:hAnsi="仿宋" w:eastAsia="仿宋" w:cs="仿宋"/>
          <w:sz w:val="24"/>
          <w:szCs w:val="24"/>
        </w:rPr>
      </w:pPr>
      <w:r>
        <w:rPr>
          <w:rFonts w:hint="eastAsia" w:ascii="仿宋" w:hAnsi="仿宋" w:eastAsia="仿宋" w:cs="仿宋"/>
          <w:sz w:val="24"/>
          <w:szCs w:val="24"/>
        </w:rPr>
        <w:br w:type="page"/>
      </w:r>
    </w:p>
    <w:p>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附件二：</w:t>
      </w:r>
    </w:p>
    <w:p>
      <w:pPr>
        <w:adjustRightInd w:val="0"/>
        <w:snapToGrid w:val="0"/>
        <w:spacing w:line="360" w:lineRule="auto"/>
        <w:ind w:left="482" w:firstLine="480"/>
        <w:rPr>
          <w:rFonts w:hint="eastAsia" w:ascii="仿宋" w:hAnsi="仿宋" w:eastAsia="仿宋" w:cs="仿宋"/>
          <w:b/>
          <w:color w:val="000000"/>
          <w:kern w:val="0"/>
          <w:sz w:val="24"/>
          <w:szCs w:val="24"/>
        </w:rPr>
      </w:pP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合同工期及质量标准</w:t>
      </w: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 合同工期</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开工日期：</w:t>
      </w:r>
      <w:r>
        <w:rPr>
          <w:rFonts w:hint="eastAsia" w:ascii="仿宋" w:hAnsi="仿宋" w:eastAsia="仿宋" w:cs="仿宋"/>
          <w:color w:val="000000"/>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竣工日期：</w:t>
      </w:r>
      <w:r>
        <w:rPr>
          <w:rFonts w:hint="eastAsia" w:ascii="仿宋" w:hAnsi="仿宋" w:eastAsia="仿宋" w:cs="仿宋"/>
          <w:color w:val="000000"/>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合同工期总日历天数天。</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 质量标准：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（1）本工程质量应达到国家、地方或专业的质量检验标准、设计标准；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（2）双方约定标准：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___________________________________________________________________</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 出现下列情形的，本项目合同终止：</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1.正常终止</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（1）工程完成并验收合格：当装修工程按照合同约定的内容全部完成，并通过建设单位、设计单位、施工单位及监理单位等相关方的正式验收，确认工程质量符合合同要求及国家相关标准时，本合同正常终止。</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（2）合同期满：若合同约定的施工期限已届满，且双方未就合同延期达成一致意见，则本合同自期满之日起正常终止。</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2.提前终止</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（1）双方协商一致：经合同双方书面协商一致，可以提前终止本合同。双方应就合同终止后的结算、工程交接等事宜达成一致意见。</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（2）严重违约：</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如施工单位在施工过程中存在严重违反合同约定的行为，包括但不限于工程质量不达标、工期严重延误、擅自变更设计等，且经建设单位书面通知后未在规定期限内整改完毕的，建设单位有权单方面终止本合同。</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如建设单位未按照合同约定的支付条款支付工程款，且经施工单位书面通知后未在规定期限内支付的，施工单位有权单方面终止本合同。</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不可抗力：因不可抗力因素（如自然灾害、战争、政府行为等），导致合同无法继续履行的，双方可协商提前终止本合同。不可抗力因素导致的合同终止，双方互不承担责任，但应合理分担因合同终止而产生的损失。</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法律或政策变化：因国家法律、法规或政策发生重大变化，导致合同无法继续履行的，双方可协商提前终止本合同。在此情况下，双方应依据相关法律规定处理合同终止后的相关事宜。</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3.终止后的处理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（1）结算与支付：合同终止后，双方应按照合同约定或协商一致的结算方式，对工程款项进行结算和支付。</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（2）工程交接：合同终止后，施工单位应将已完成的工程及相关资料移交给建设单位，并确保工程符合合同约定的质量标准。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（3）违约责任：因一方违约导致合同提前终止的，违约方应承担相应的违约责任，包括但不限于赔偿守约方的损失、支付违约金等。</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（4）争议解决：合同终止后因履行本合同产生的争议，双方应友好协商解决；协商不成的，可提交至合同约定的仲裁机构或人民法院进行裁决。</w:t>
      </w:r>
    </w:p>
    <w:p>
      <w:pPr>
        <w:rPr>
          <w:rFonts w:hint="eastAsia" w:ascii="仿宋" w:hAnsi="仿宋" w:eastAsia="仿宋" w:cs="仿宋"/>
          <w:sz w:val="24"/>
          <w:szCs w:val="24"/>
        </w:rPr>
      </w:pPr>
      <w:r>
        <w:rPr>
          <w:rFonts w:hint="eastAsia" w:ascii="仿宋" w:hAnsi="仿宋" w:eastAsia="仿宋" w:cs="仿宋"/>
          <w:sz w:val="24"/>
          <w:szCs w:val="24"/>
        </w:rPr>
        <w:br w:type="page"/>
      </w:r>
    </w:p>
    <w:p>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附件三：</w:t>
      </w:r>
    </w:p>
    <w:p>
      <w:pPr>
        <w:adjustRightInd w:val="0"/>
        <w:snapToGrid w:val="0"/>
        <w:spacing w:line="360" w:lineRule="auto"/>
        <w:ind w:left="482" w:firstLine="480"/>
        <w:rPr>
          <w:rFonts w:hint="eastAsia" w:ascii="仿宋" w:hAnsi="仿宋" w:eastAsia="仿宋" w:cs="仿宋"/>
          <w:b/>
          <w:color w:val="000000"/>
          <w:kern w:val="0"/>
          <w:sz w:val="24"/>
          <w:szCs w:val="24"/>
        </w:rPr>
      </w:pP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付款</w:t>
      </w: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本合同使用货币种类为人民币。</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付款方式：转账[现金/支票]。双方采用转账方式付款的，发包人应向承包人以下账户进行付费：</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承包人：</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开户行：</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账户名称：</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账号：</w:t>
      </w:r>
    </w:p>
    <w:p>
      <w:pPr>
        <w:keepNext w:val="0"/>
        <w:keepLines w:val="0"/>
        <w:pageBreakBefore w:val="0"/>
        <w:widowControl/>
        <w:kinsoku/>
        <w:wordWrap/>
        <w:overflowPunct/>
        <w:topLinePunct w:val="0"/>
        <w:autoSpaceDE/>
        <w:autoSpaceDN/>
        <w:bidi w:val="0"/>
        <w:adjustRightInd/>
        <w:snapToGrid/>
        <w:spacing w:line="240"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承包人如需改变上述账户，应提前10日以书面通知发包人。</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3．付款安排：</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iCs/>
          <w:color w:val="000000"/>
          <w:kern w:val="0"/>
          <w:sz w:val="24"/>
          <w:szCs w:val="24"/>
        </w:rPr>
      </w:pPr>
      <w:r>
        <w:rPr>
          <w:rFonts w:hint="eastAsia" w:ascii="仿宋" w:hAnsi="仿宋" w:eastAsia="仿宋" w:cs="仿宋"/>
          <w:iCs/>
          <w:color w:val="000000"/>
          <w:kern w:val="0"/>
          <w:sz w:val="24"/>
          <w:szCs w:val="24"/>
        </w:rPr>
        <w:t>（1）本合同签订后，发包人在收到承包人相应金额的合法有效的增值税专用发票后_____个工作日内向承包人支付上述合同价款的_____%，计人民币_____元；</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iCs/>
          <w:color w:val="000000"/>
          <w:kern w:val="0"/>
          <w:sz w:val="24"/>
          <w:szCs w:val="24"/>
        </w:rPr>
      </w:pPr>
      <w:r>
        <w:rPr>
          <w:rFonts w:hint="eastAsia" w:ascii="仿宋" w:hAnsi="仿宋" w:eastAsia="仿宋" w:cs="仿宋"/>
          <w:iCs/>
          <w:color w:val="000000"/>
          <w:kern w:val="0"/>
          <w:sz w:val="24"/>
          <w:szCs w:val="24"/>
        </w:rPr>
        <w:t>（2）工程竣工验收合格并完成结算后，发包人在收到承包人相应金额的合法有效的增值税专用发票后____个工作日内向承包人支付到最终工程结算总价款的_____%；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iCs/>
          <w:color w:val="000000"/>
          <w:kern w:val="0"/>
          <w:sz w:val="24"/>
          <w:szCs w:val="24"/>
        </w:rPr>
        <w:t>（3）保修金支付：双方最终工程结算总价款的_____%作为工程保修金，在工程验收合格且年保修期限届满后，发包人在收到承包人相应金额的增值税专用发票后_____个工作日内付清。</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 接通施工所需的水、电，水电费由承担。</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 增值税专用发票的相关约定</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（1）乙方应向甲方开具增值税专用发票，甲方开票信息如下： </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公司名称： ______________________________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纳税识别号： 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银行账号： ______________________________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开户银行： ______________________________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开票地址： ______________________________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开票电话： ______________________________</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pageBreakBefore w:val="0"/>
        <w:kinsoku/>
        <w:wordWrap/>
        <w:overflowPunct/>
        <w:topLinePunct w:val="0"/>
        <w:autoSpaceDE/>
        <w:autoSpaceDN/>
        <w:bidi w:val="0"/>
        <w:adjustRightInd/>
        <w:snapToGrid/>
        <w:spacing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仿宋" w:hAnsi="仿宋" w:eastAsia="仿宋" w:cs="仿宋"/>
          <w:sz w:val="24"/>
          <w:szCs w:val="24"/>
        </w:rPr>
      </w:pPr>
    </w:p>
    <w:p>
      <w:pPr>
        <w:rPr>
          <w:rFonts w:hint="eastAsia" w:ascii="仿宋" w:hAnsi="仿宋" w:eastAsia="仿宋" w:cs="仿宋"/>
          <w:sz w:val="24"/>
          <w:szCs w:val="24"/>
        </w:rPr>
      </w:pPr>
      <w:r>
        <w:rPr>
          <w:rFonts w:hint="eastAsia" w:ascii="仿宋" w:hAnsi="仿宋" w:eastAsia="仿宋" w:cs="仿宋"/>
          <w:sz w:val="24"/>
          <w:szCs w:val="24"/>
        </w:rPr>
        <w:br w:type="page"/>
      </w:r>
    </w:p>
    <w:p>
      <w:pPr>
        <w:spacing w:line="360" w:lineRule="auto"/>
        <w:rPr>
          <w:rFonts w:hint="eastAsia" w:ascii="仿宋" w:hAnsi="仿宋" w:eastAsia="仿宋" w:cs="仿宋"/>
          <w:sz w:val="24"/>
          <w:szCs w:val="24"/>
        </w:rPr>
      </w:pPr>
      <w:r>
        <w:rPr>
          <w:rFonts w:hint="eastAsia" w:ascii="仿宋" w:hAnsi="仿宋" w:eastAsia="仿宋" w:cs="仿宋"/>
          <w:b/>
          <w:sz w:val="24"/>
          <w:szCs w:val="24"/>
        </w:rPr>
        <w:t>附件四：</w:t>
      </w:r>
    </w:p>
    <w:p>
      <w:pPr>
        <w:adjustRightInd w:val="0"/>
        <w:snapToGrid w:val="0"/>
        <w:spacing w:line="360" w:lineRule="auto"/>
        <w:ind w:left="482" w:firstLine="480"/>
        <w:rPr>
          <w:rFonts w:hint="eastAsia" w:ascii="仿宋" w:hAnsi="仿宋" w:eastAsia="仿宋" w:cs="仿宋"/>
          <w:b/>
          <w:color w:val="000000"/>
          <w:kern w:val="0"/>
          <w:sz w:val="24"/>
          <w:szCs w:val="24"/>
        </w:rPr>
      </w:pP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材料设备供应</w:t>
      </w:r>
    </w:p>
    <w:p>
      <w:pPr>
        <w:adjustRightInd w:val="0"/>
        <w:snapToGrid w:val="0"/>
        <w:spacing w:line="360" w:lineRule="auto"/>
        <w:ind w:left="840" w:leftChars="228" w:hanging="361" w:hangingChars="150"/>
        <w:jc w:val="center"/>
        <w:rPr>
          <w:rFonts w:hint="eastAsia" w:ascii="仿宋" w:hAnsi="仿宋" w:eastAsia="仿宋" w:cs="仿宋"/>
          <w:b/>
          <w:color w:val="000000"/>
          <w:kern w:val="0"/>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承包人提供的材料设备有：</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___________________________________________________________________</w:t>
      </w: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snapToGrid w:val="0"/>
        <w:spacing w:line="360" w:lineRule="auto"/>
        <w:rPr>
          <w:rFonts w:hint="eastAsia" w:ascii="仿宋" w:hAnsi="仿宋" w:eastAsia="仿宋" w:cs="仿宋"/>
          <w:b/>
          <w:sz w:val="24"/>
          <w:szCs w:val="24"/>
        </w:rPr>
      </w:pPr>
    </w:p>
    <w:p>
      <w:pPr>
        <w:rPr>
          <w:rFonts w:hint="eastAsia" w:ascii="仿宋" w:hAnsi="仿宋" w:eastAsia="仿宋" w:cs="仿宋"/>
          <w:sz w:val="24"/>
          <w:szCs w:val="24"/>
        </w:rPr>
      </w:pPr>
    </w:p>
    <w:p>
      <w:pPr>
        <w:rPr>
          <w:rFonts w:hint="eastAsia" w:ascii="仿宋" w:hAnsi="仿宋" w:eastAsia="仿宋" w:cs="仿宋"/>
          <w:sz w:val="24"/>
          <w:szCs w:val="24"/>
        </w:rPr>
      </w:pPr>
      <w:r>
        <w:rPr>
          <w:rFonts w:hint="eastAsia" w:ascii="仿宋" w:hAnsi="仿宋" w:eastAsia="仿宋" w:cs="仿宋"/>
          <w:sz w:val="24"/>
          <w:szCs w:val="24"/>
        </w:rPr>
        <w:br w:type="page"/>
      </w:r>
    </w:p>
    <w:p>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附件五：</w:t>
      </w:r>
    </w:p>
    <w:p>
      <w:pPr>
        <w:spacing w:line="360" w:lineRule="auto"/>
        <w:jc w:val="center"/>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保修</w:t>
      </w:r>
    </w:p>
    <w:p>
      <w:pPr>
        <w:spacing w:line="360" w:lineRule="auto"/>
        <w:jc w:val="center"/>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 本合同工程保修期限为  年，但防水工程、有防水要求的房间、卫生间和外墙的防渗漏工程为年，自工程竣工验收合格之日起计算。</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rPr>
          <w:rFonts w:hint="eastAsia" w:ascii="仿宋" w:hAnsi="仿宋" w:eastAsia="仿宋" w:cs="仿宋"/>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rPr>
      </w:pPr>
    </w:p>
    <w:p>
      <w:pPr>
        <w:keepNext w:val="0"/>
        <w:keepLines w:val="0"/>
        <w:widowControl/>
        <w:suppressLineNumbers w:val="0"/>
        <w:spacing w:before="0" w:beforeAutospacing="1" w:after="0" w:afterAutospacing="1" w:line="600" w:lineRule="exact"/>
        <w:ind w:left="0" w:right="0" w:firstLine="320"/>
        <w:jc w:val="left"/>
        <w:rPr>
          <w:rFonts w:hint="eastAsia" w:ascii="仿宋" w:hAnsi="仿宋" w:eastAsia="仿宋" w:cs="仿宋"/>
          <w:color w:val="FF0000"/>
          <w:sz w:val="24"/>
          <w:szCs w:val="24"/>
          <w:highlight w:val="none"/>
        </w:rPr>
      </w:pPr>
    </w:p>
    <w:p>
      <w:pPr>
        <w:keepNext w:val="0"/>
        <w:keepLines w:val="0"/>
        <w:widowControl/>
        <w:suppressLineNumbers w:val="0"/>
        <w:spacing w:before="0" w:beforeAutospacing="1" w:after="0" w:afterAutospacing="1" w:line="600" w:lineRule="exact"/>
        <w:ind w:left="0" w:right="0" w:firstLine="320"/>
        <w:jc w:val="left"/>
        <w:rPr>
          <w:rFonts w:hint="eastAsia" w:ascii="仿宋" w:hAnsi="仿宋" w:eastAsia="仿宋" w:cs="仿宋"/>
          <w:color w:val="FF0000"/>
          <w:sz w:val="28"/>
          <w:szCs w:val="28"/>
          <w:highlight w:val="none"/>
        </w:rPr>
      </w:pPr>
    </w:p>
    <w:p>
      <w:pPr>
        <w:keepNext w:val="0"/>
        <w:keepLines w:val="0"/>
        <w:widowControl/>
        <w:suppressLineNumbers w:val="0"/>
        <w:spacing w:before="0" w:beforeAutospacing="1" w:after="0" w:afterAutospacing="1" w:line="600" w:lineRule="exact"/>
        <w:ind w:left="0" w:right="0" w:firstLine="320"/>
        <w:jc w:val="left"/>
        <w:rPr>
          <w:rFonts w:hint="eastAsia" w:ascii="仿宋" w:hAnsi="仿宋" w:eastAsia="仿宋" w:cs="仿宋"/>
          <w:color w:val="FF0000"/>
          <w:sz w:val="28"/>
          <w:szCs w:val="28"/>
          <w:highlight w:val="none"/>
        </w:rPr>
      </w:pPr>
    </w:p>
    <w:p>
      <w:pPr>
        <w:keepNext w:val="0"/>
        <w:keepLines w:val="0"/>
        <w:widowControl/>
        <w:suppressLineNumbers w:val="0"/>
        <w:spacing w:before="0" w:beforeAutospacing="1" w:after="0" w:afterAutospacing="1" w:line="600" w:lineRule="exact"/>
        <w:ind w:left="0" w:right="0" w:firstLine="320"/>
        <w:jc w:val="left"/>
        <w:rPr>
          <w:rFonts w:hint="eastAsia" w:ascii="仿宋" w:hAnsi="仿宋" w:eastAsia="仿宋" w:cs="仿宋"/>
          <w:color w:val="FF0000"/>
          <w:sz w:val="28"/>
          <w:szCs w:val="28"/>
          <w:highlight w:val="none"/>
        </w:rPr>
      </w:pPr>
    </w:p>
    <w:p>
      <w:pPr>
        <w:rPr>
          <w:rFonts w:hint="eastAsia" w:ascii="仿宋" w:hAnsi="仿宋" w:eastAsia="仿宋" w:cs="仿宋"/>
          <w:b/>
          <w:bCs/>
          <w:color w:val="FF0000"/>
          <w:kern w:val="44"/>
          <w:sz w:val="28"/>
          <w:szCs w:val="28"/>
          <w:highlight w:val="none"/>
          <w:lang w:val="en-US" w:eastAsia="zh-CN" w:bidi="ar-SA"/>
        </w:rPr>
      </w:pPr>
      <w:r>
        <w:rPr>
          <w:rFonts w:hint="eastAsia" w:ascii="仿宋" w:hAnsi="仿宋" w:eastAsia="仿宋" w:cs="仿宋"/>
          <w:b/>
          <w:bCs/>
          <w:color w:val="FF0000"/>
          <w:kern w:val="44"/>
          <w:sz w:val="28"/>
          <w:szCs w:val="28"/>
          <w:highlight w:val="none"/>
          <w:lang w:val="en-US" w:eastAsia="zh-CN" w:bidi="ar-SA"/>
        </w:rPr>
        <w:br w:type="page"/>
      </w:r>
    </w:p>
    <w:p>
      <w:pPr>
        <w:keepNext w:val="0"/>
        <w:keepLines w:val="0"/>
        <w:widowControl/>
        <w:suppressLineNumbers w:val="0"/>
        <w:spacing w:before="0" w:beforeAutospacing="1" w:after="0" w:afterAutospacing="1" w:line="600" w:lineRule="exact"/>
        <w:ind w:left="0" w:right="0" w:firstLine="320"/>
        <w:jc w:val="center"/>
        <w:outlineLvl w:val="0"/>
        <w:rPr>
          <w:rFonts w:hint="eastAsia" w:ascii="仿宋" w:hAnsi="仿宋" w:eastAsia="仿宋" w:cs="仿宋"/>
          <w:b/>
          <w:bCs/>
          <w:color w:val="auto"/>
          <w:kern w:val="44"/>
          <w:sz w:val="28"/>
          <w:szCs w:val="28"/>
          <w:highlight w:val="none"/>
          <w:lang w:val="en-US" w:eastAsia="zh-CN" w:bidi="ar-SA"/>
        </w:rPr>
      </w:pPr>
      <w:r>
        <w:rPr>
          <w:rFonts w:hint="eastAsia" w:ascii="仿宋" w:hAnsi="仿宋" w:eastAsia="仿宋" w:cs="仿宋"/>
          <w:b/>
          <w:bCs/>
          <w:color w:val="auto"/>
          <w:kern w:val="44"/>
          <w:sz w:val="28"/>
          <w:szCs w:val="28"/>
          <w:highlight w:val="none"/>
          <w:lang w:val="en-US" w:eastAsia="zh-CN" w:bidi="ar-SA"/>
        </w:rPr>
        <w:t xml:space="preserve">第五章 </w:t>
      </w:r>
      <w:bookmarkEnd w:id="138"/>
      <w:bookmarkEnd w:id="139"/>
      <w:bookmarkEnd w:id="140"/>
      <w:bookmarkEnd w:id="141"/>
      <w:bookmarkEnd w:id="142"/>
      <w:r>
        <w:rPr>
          <w:rFonts w:hint="eastAsia" w:ascii="仿宋" w:hAnsi="仿宋" w:eastAsia="仿宋" w:cs="仿宋"/>
          <w:b/>
          <w:bCs/>
          <w:color w:val="auto"/>
          <w:kern w:val="44"/>
          <w:sz w:val="28"/>
          <w:szCs w:val="28"/>
          <w:highlight w:val="none"/>
          <w:lang w:val="en-US" w:eastAsia="zh-CN" w:bidi="ar-SA"/>
        </w:rPr>
        <w:t>采购需求</w:t>
      </w:r>
      <w:bookmarkEnd w:id="143"/>
      <w:bookmarkEnd w:id="144"/>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sz w:val="24"/>
          <w:szCs w:val="24"/>
        </w:rPr>
      </w:pPr>
      <w:bookmarkStart w:id="145" w:name="_Toc287600128"/>
      <w:bookmarkStart w:id="146" w:name="_Toc18403"/>
      <w:bookmarkStart w:id="147" w:name="_Toc17141"/>
      <w:bookmarkStart w:id="148" w:name="_Toc11206"/>
      <w:bookmarkStart w:id="149" w:name="_Toc444891352"/>
      <w:bookmarkStart w:id="150" w:name="_Toc517281835"/>
      <w:bookmarkStart w:id="151" w:name="_Toc21125"/>
      <w:bookmarkStart w:id="152" w:name="_Toc10693"/>
      <w:r>
        <w:rPr>
          <w:rFonts w:hint="eastAsia" w:ascii="仿宋" w:hAnsi="仿宋" w:eastAsia="仿宋" w:cs="仿宋"/>
          <w:b/>
          <w:sz w:val="24"/>
          <w:szCs w:val="24"/>
          <w:lang w:val="en-US" w:eastAsia="zh-CN"/>
        </w:rPr>
        <w:t>一、</w:t>
      </w:r>
      <w:r>
        <w:rPr>
          <w:rFonts w:hint="eastAsia" w:ascii="仿宋" w:hAnsi="仿宋" w:eastAsia="仿宋" w:cs="仿宋"/>
          <w:b/>
          <w:sz w:val="24"/>
          <w:szCs w:val="24"/>
        </w:rPr>
        <w:t>采购背景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灵武支公司一楼大厅空间布局松散，功能分区不清，大量面积闲置，整体利用率偏低，二楼办公区布局规划不尽合理，实际空间显拥挤，工位之间间距狭窄，基于上述现状，我司拟改造职场，盘活一楼闲置空间，改造二楼拥挤状态，科学划分业务办理、客户等候、办公、会议等功能区域，实现动静分离与动线优化</w:t>
      </w:r>
      <w:r>
        <w:rPr>
          <w:rFonts w:hint="eastAsia" w:ascii="仿宋" w:hAnsi="仿宋" w:eastAsia="仿宋" w:cs="仿宋"/>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val="0"/>
          <w:sz w:val="24"/>
          <w:szCs w:val="24"/>
          <w:lang w:val="en-US" w:eastAsia="zh-CN"/>
        </w:rPr>
      </w:pPr>
      <w:r>
        <w:rPr>
          <w:rFonts w:hint="eastAsia" w:ascii="仿宋" w:hAnsi="仿宋" w:eastAsia="仿宋" w:cs="仿宋"/>
          <w:b/>
          <w:bCs w:val="0"/>
          <w:kern w:val="2"/>
          <w:sz w:val="24"/>
          <w:szCs w:val="24"/>
          <w:lang w:val="en-US" w:eastAsia="zh-CN" w:bidi="ar-SA"/>
        </w:rPr>
        <w:t>二、</w:t>
      </w:r>
      <w:r>
        <w:rPr>
          <w:rFonts w:hint="eastAsia" w:ascii="仿宋" w:hAnsi="仿宋" w:eastAsia="仿宋" w:cs="仿宋"/>
          <w:b/>
          <w:bCs w:val="0"/>
          <w:sz w:val="24"/>
          <w:szCs w:val="24"/>
        </w:rPr>
        <w:t>采购需求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rPr>
        <w:t>本项目</w:t>
      </w:r>
      <w:r>
        <w:rPr>
          <w:rFonts w:hint="eastAsia" w:ascii="仿宋" w:hAnsi="仿宋" w:eastAsia="仿宋" w:cs="仿宋"/>
          <w:sz w:val="24"/>
          <w:szCs w:val="24"/>
          <w:lang w:eastAsia="zh-CN"/>
        </w:rPr>
        <w:t>拟</w:t>
      </w:r>
      <w:r>
        <w:rPr>
          <w:rFonts w:hint="eastAsia" w:ascii="仿宋" w:hAnsi="仿宋" w:eastAsia="仿宋" w:cs="仿宋"/>
          <w:sz w:val="24"/>
          <w:szCs w:val="24"/>
        </w:rPr>
        <w:t>选取</w:t>
      </w:r>
      <w:r>
        <w:rPr>
          <w:rFonts w:hint="eastAsia" w:ascii="仿宋" w:hAnsi="仿宋" w:eastAsia="仿宋" w:cs="仿宋"/>
          <w:b/>
          <w:bCs/>
          <w:sz w:val="24"/>
          <w:szCs w:val="24"/>
        </w:rPr>
        <w:t>1家</w:t>
      </w:r>
      <w:r>
        <w:rPr>
          <w:rFonts w:hint="eastAsia" w:ascii="仿宋" w:hAnsi="仿宋" w:eastAsia="仿宋" w:cs="仿宋"/>
          <w:sz w:val="24"/>
          <w:szCs w:val="24"/>
        </w:rPr>
        <w:t>供应商</w:t>
      </w:r>
      <w:r>
        <w:rPr>
          <w:rFonts w:hint="eastAsia" w:ascii="仿宋" w:hAnsi="仿宋" w:eastAsia="仿宋" w:cs="仿宋"/>
          <w:sz w:val="24"/>
          <w:szCs w:val="24"/>
          <w:lang w:eastAsia="zh-CN"/>
        </w:rPr>
        <w:t>为灵武支公司职场提供装修改造服务，</w:t>
      </w:r>
      <w:r>
        <w:rPr>
          <w:rFonts w:hint="eastAsia" w:ascii="仿宋" w:hAnsi="仿宋" w:eastAsia="仿宋" w:cs="仿宋"/>
          <w:sz w:val="24"/>
          <w:szCs w:val="24"/>
          <w:lang w:val="en-US" w:eastAsia="zh-CN"/>
        </w:rPr>
        <w:t>主要内容</w:t>
      </w:r>
      <w:r>
        <w:rPr>
          <w:rFonts w:hint="eastAsia" w:ascii="仿宋" w:hAnsi="仿宋" w:eastAsia="仿宋" w:cs="仿宋"/>
          <w:sz w:val="24"/>
          <w:szCs w:val="24"/>
        </w:rPr>
        <w:t>包</w:t>
      </w:r>
      <w:r>
        <w:rPr>
          <w:rFonts w:hint="eastAsia" w:ascii="仿宋" w:hAnsi="仿宋" w:eastAsia="仿宋" w:cs="仿宋"/>
          <w:sz w:val="24"/>
          <w:szCs w:val="24"/>
          <w:lang w:val="en-US" w:eastAsia="zh-CN"/>
        </w:rPr>
        <w:t>括隔墙拆除改造、线路改造、柜台拆除改造、墙面粉刷喷漆、监控拆除安装调试等</w:t>
      </w:r>
      <w:r>
        <w:rPr>
          <w:rFonts w:hint="eastAsia" w:ascii="仿宋" w:hAnsi="仿宋" w:eastAsia="仿宋" w:cs="仿宋"/>
          <w:sz w:val="24"/>
          <w:szCs w:val="24"/>
          <w:lang w:eastAsia="zh-CN"/>
        </w:rPr>
        <w:t>，详见装修清单。供应商按照总价报价。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施工期限：自合同签订之日起</w:t>
      </w:r>
      <w:r>
        <w:rPr>
          <w:rFonts w:hint="eastAsia" w:ascii="仿宋" w:hAnsi="仿宋" w:eastAsia="仿宋" w:cs="仿宋"/>
          <w:sz w:val="24"/>
          <w:szCs w:val="24"/>
          <w:lang w:val="en-US" w:eastAsia="zh-CN"/>
        </w:rPr>
        <w:t>20</w:t>
      </w:r>
      <w:r>
        <w:rPr>
          <w:rFonts w:hint="eastAsia" w:ascii="仿宋" w:hAnsi="仿宋" w:eastAsia="仿宋" w:cs="仿宋"/>
          <w:sz w:val="24"/>
          <w:szCs w:val="24"/>
          <w:lang w:eastAsia="zh-CN"/>
        </w:rPr>
        <w:t>日历天。</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三、</w:t>
      </w:r>
      <w:r>
        <w:rPr>
          <w:rFonts w:hint="eastAsia" w:ascii="仿宋" w:hAnsi="仿宋" w:eastAsia="仿宋" w:cs="仿宋"/>
          <w:b/>
          <w:sz w:val="24"/>
          <w:szCs w:val="24"/>
        </w:rPr>
        <w:t>预算金额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本</w:t>
      </w:r>
      <w:r>
        <w:rPr>
          <w:rFonts w:hint="eastAsia" w:ascii="仿宋" w:hAnsi="仿宋" w:eastAsia="仿宋" w:cs="仿宋"/>
          <w:b w:val="0"/>
          <w:bCs w:val="0"/>
          <w:sz w:val="24"/>
          <w:szCs w:val="24"/>
        </w:rPr>
        <w:t>项目预算金额为</w:t>
      </w:r>
      <w:r>
        <w:rPr>
          <w:rFonts w:hint="eastAsia" w:ascii="仿宋" w:hAnsi="仿宋" w:eastAsia="仿宋" w:cs="仿宋"/>
          <w:b w:val="0"/>
          <w:bCs w:val="0"/>
          <w:sz w:val="24"/>
          <w:szCs w:val="24"/>
          <w:lang w:val="en-US" w:eastAsia="zh-CN"/>
        </w:rPr>
        <w:t>9.49万</w:t>
      </w:r>
      <w:r>
        <w:rPr>
          <w:rFonts w:hint="eastAsia" w:ascii="仿宋" w:hAnsi="仿宋" w:eastAsia="仿宋" w:cs="仿宋"/>
          <w:b w:val="0"/>
          <w:bCs w:val="0"/>
          <w:sz w:val="24"/>
          <w:szCs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lang w:val="en-US" w:eastAsia="zh-CN"/>
        </w:rPr>
      </w:pPr>
      <w:r>
        <w:rPr>
          <w:rFonts w:hint="eastAsia" w:ascii="仿宋" w:hAnsi="仿宋" w:eastAsia="仿宋" w:cs="仿宋"/>
          <w:b/>
          <w:sz w:val="24"/>
          <w:szCs w:val="24"/>
          <w:lang w:val="en-US" w:eastAsia="zh-CN"/>
        </w:rPr>
        <w:t>四、验收/考核标准及付款安排</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rPr>
        <w:t>（一）项目验收标准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所有装修工程必须符合国家相关法律法规、行业标准及合同约定。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装修工程必须确保建筑物的结构安全，消防设施完备，电气线路安全可靠。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装修后的营业用房应满足其预定的使用功能，布局合理，使用方便。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 装修效果应符合设计要求，色彩搭配和谐，整体美观大方。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 墙面与地面：墙面应平整、无裂缝、无空鼓，涂料或壁纸粘贴牢固，无脱落、起翘现象；地面应平整、无空鼓，地砖或地板铺设整齐，缝隙均匀，颜色一致。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6. 门窗与玻璃：门窗安装应牢固，开关灵活，密封性能良好，无漏风、漏水现象；玻璃应干净透明，无破损、无划痕，五金配件齐全、完好。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7. 水电工程：水电管道布局合理，无渗漏现象，开关、插座等电器设备安装位置正确，使用正常；照明设施安装到位，灯具工作正常，亮度满足使用要求。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8. 吊顶与墙面装饰：吊顶应平整、无变形，接缝处严密，龙骨安装牢固。墙面装饰物安装牢固，无脱落、无损坏现象。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9. 防火与防潮：装修材料应符合防火要求，消防设施完备、有效；对于易受潮区域（如卫生间、厨房等），应采取有效的防潮措施。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10. 环保与卫生： 装修材料应符合环保要求，室内空气质量达标；营业用房内应保持整洁，无垃圾、无异味。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11. 施工质量与细节： 施工质量应精细，无明显瑕疵，如裂缝、色差等；细节处理应到位，如边角处理、收口处理等。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12. 文档与资料：施工单位应提供完整的施工记录、质量检查报告等相关文档；验收时应核对施工图纸、材料清单等资料，确保与实际施工相符。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13. 预验收：施工单位完成装修工程后，进行自检，并邀请监理单位进行预验收。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14. 正式验收：建设单位组织设计单位、施工单位、监理单位等相关单位进行正式验收。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15. 整改与复验：对于验收中发现的问题，施工单位应及时整改，并申请复验。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16. 验收合格：经整改后，若所有问题均得到妥善解决，且符合验收标准，则视为验收合格。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付款安排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项目施工完成验收合格后支付项目总金额80%，审计结算完成后支付至项目总金额97%，预留质保金3%，自</w:t>
      </w:r>
      <w:r>
        <w:rPr>
          <w:rFonts w:hint="eastAsia" w:ascii="仿宋" w:hAnsi="仿宋" w:eastAsia="仿宋" w:cs="仿宋"/>
          <w:sz w:val="24"/>
          <w:szCs w:val="24"/>
        </w:rPr>
        <w:t>竣工验收合格</w:t>
      </w:r>
      <w:r>
        <w:rPr>
          <w:rFonts w:hint="eastAsia" w:ascii="仿宋" w:hAnsi="仿宋" w:eastAsia="仿宋" w:cs="仿宋"/>
          <w:sz w:val="24"/>
          <w:szCs w:val="24"/>
          <w:lang w:eastAsia="zh-CN"/>
        </w:rPr>
        <w:t>之日起</w:t>
      </w:r>
      <w:r>
        <w:rPr>
          <w:rFonts w:hint="eastAsia" w:ascii="仿宋" w:hAnsi="仿宋" w:eastAsia="仿宋" w:cs="仿宋"/>
          <w:sz w:val="24"/>
          <w:szCs w:val="24"/>
          <w:lang w:val="en-US" w:eastAsia="zh-CN"/>
        </w:rPr>
        <w:t>两</w:t>
      </w:r>
      <w:r>
        <w:rPr>
          <w:rFonts w:hint="eastAsia" w:ascii="仿宋" w:hAnsi="仿宋" w:eastAsia="仿宋" w:cs="仿宋"/>
          <w:sz w:val="24"/>
          <w:szCs w:val="24"/>
          <w:lang w:eastAsia="zh-CN"/>
        </w:rPr>
        <w:t>年</w:t>
      </w:r>
      <w:r>
        <w:rPr>
          <w:rFonts w:hint="eastAsia" w:ascii="仿宋" w:hAnsi="仿宋" w:eastAsia="仿宋" w:cs="仿宋"/>
          <w:sz w:val="24"/>
          <w:szCs w:val="24"/>
        </w:rPr>
        <w:t>后15个工作日内付清。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（三）合同终止条件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kern w:val="2"/>
          <w:sz w:val="24"/>
          <w:szCs w:val="24"/>
          <w:highlight w:val="none"/>
          <w:lang w:val="en-US" w:eastAsia="zh-CN" w:bidi="ar-SA"/>
        </w:rPr>
        <w:t>出现下列情形的，本项目合同终止：</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xml:space="preserve">    1.正常终止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（1）工程完成并验收合格：当装修工程按照合同约定的内容全部完成，并通过建设单位、设计单位、施工单位及监理单位等相关方的</w:t>
      </w:r>
      <w:bookmarkStart w:id="231" w:name="_GoBack"/>
      <w:bookmarkEnd w:id="231"/>
      <w:r>
        <w:rPr>
          <w:rFonts w:hint="eastAsia" w:ascii="仿宋" w:hAnsi="仿宋" w:eastAsia="仿宋" w:cs="仿宋"/>
          <w:color w:val="auto"/>
          <w:kern w:val="2"/>
          <w:sz w:val="24"/>
          <w:szCs w:val="24"/>
          <w:highlight w:val="none"/>
          <w:lang w:val="en-US" w:eastAsia="zh-CN" w:bidi="ar-SA"/>
        </w:rPr>
        <w:t>正式验收，确认工程质量符合合同要求及国家相关标准时，本合同正常终止。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（2）合同期满：若合同约定的施工期限已届满，且双方未就合同延期达成一致意见，则本合同自期满之日起正常终止。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2.提前终止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（1）双方协商一致：经合同双方书面协商一致，可以提前终止本合同。双方应就合同终止后的结算、工程交接等事宜达成一致意见。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（2）严重违约：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如施工单位在施工过程中存在严重违反合同约定的行为，包括但不限于工程质量不达标、工期严重延误、擅自变更设计等，且经建设单位书面通知后未在规定期限内整改完毕的，建设单位有权单方面终止本合同。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如建设单位未按照合同约定的支付条款支付工程款，且经施工单位书面通知后未在规定期限内支付的，施工单位有权单方面终止本合同。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可抗力：因不可抗力因素（如自然灾害、战争、政府行为等），导致合同无法继续履行的，双方可协商提前终止本合同。不可抗力因素导致的合同终止，双方互不承担责任，但应合理分担因合同终止而产生的损失。</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法律或政策变化：因国家法律、法规或政策发生重大变化，导致合同无法继续履行的，双方可协商提前终止本合同。在此情况下，双方应依据相关法律规定处理合同终止后的相关事宜。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3.终止后的处理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（1）结算与支付：合同终止后，双方应按照合同约定或协商一致的结算方式，对工程款项进行结算和支付。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（2）工程交接：合同终止后，施工单位应将已完成的工程及相关资料移交给建设单位，并确保工程符合合同约定的质量标准。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（3）违约责任：因一方违约导致合同提前终止的，违约方应承担相应的违约责任，包括但不限于赔偿守约方的损失、支付违约金等。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（4）争议解决：合同终止后因履行本合同产生的争议，双方应友好协商解决；协商不成的，可提交至合同约定的仲裁机构或人民法院进行裁决。</w:t>
      </w:r>
    </w:p>
    <w:p>
      <w:pPr>
        <w:pStyle w:val="17"/>
        <w:rPr>
          <w:rFonts w:hint="eastAsia"/>
          <w:lang w:val="en-US" w:eastAsia="zh-CN"/>
        </w:rPr>
      </w:pP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pPr>
        <w:pStyle w:val="2"/>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第六章 响应文件格式</w:t>
      </w:r>
      <w:bookmarkEnd w:id="145"/>
      <w:bookmarkEnd w:id="146"/>
      <w:bookmarkEnd w:id="147"/>
      <w:bookmarkEnd w:id="148"/>
      <w:bookmarkEnd w:id="149"/>
      <w:bookmarkEnd w:id="150"/>
      <w:bookmarkEnd w:id="151"/>
      <w:bookmarkEnd w:id="152"/>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6"/>
              <w:ind w:right="-284" w:firstLine="2240"/>
              <w:rPr>
                <w:rFonts w:hint="eastAsia" w:ascii="仿宋" w:hAnsi="仿宋" w:eastAsia="仿宋" w:cs="仿宋"/>
                <w:color w:val="000000"/>
                <w:sz w:val="28"/>
                <w:highlight w:val="none"/>
                <w:u w:val="single"/>
              </w:rPr>
            </w:pPr>
          </w:p>
          <w:p>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eastAsia="zh-CN"/>
              </w:rPr>
              <w:t>响应</w:t>
            </w:r>
            <w:r>
              <w:rPr>
                <w:rFonts w:hint="eastAsia" w:ascii="仿宋" w:hAnsi="仿宋" w:eastAsia="仿宋" w:cs="仿宋"/>
                <w:color w:val="000000"/>
                <w:sz w:val="52"/>
                <w:highlight w:val="none"/>
              </w:rPr>
              <w:t>文件</w:t>
            </w:r>
          </w:p>
          <w:p>
            <w:pPr>
              <w:pStyle w:val="156"/>
              <w:spacing w:before="624" w:after="156" w:line="160" w:lineRule="atLeast"/>
              <w:ind w:right="-284"/>
              <w:jc w:val="center"/>
              <w:rPr>
                <w:rFonts w:hint="eastAsia" w:ascii="仿宋" w:hAnsi="仿宋" w:eastAsia="仿宋" w:cs="仿宋"/>
                <w:color w:val="000000"/>
                <w:sz w:val="52"/>
                <w:highlight w:val="none"/>
              </w:rPr>
            </w:pPr>
          </w:p>
          <w:p>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6"/>
              <w:spacing w:after="624"/>
              <w:ind w:right="-284"/>
              <w:jc w:val="center"/>
              <w:rPr>
                <w:rFonts w:hint="eastAsia" w:ascii="仿宋" w:hAnsi="仿宋" w:eastAsia="仿宋" w:cs="仿宋"/>
                <w:color w:val="000000"/>
                <w:sz w:val="24"/>
                <w:highlight w:val="none"/>
              </w:rPr>
            </w:pPr>
          </w:p>
          <w:p>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kern w:val="0"/>
          <w:szCs w:val="21"/>
          <w:highlight w:val="none"/>
        </w:rPr>
      </w:pPr>
    </w:p>
    <w:p>
      <w:pPr>
        <w:pStyle w:val="3"/>
        <w:numPr>
          <w:ilvl w:val="0"/>
          <w:numId w:val="0"/>
        </w:numPr>
        <w:ind w:leftChars="0"/>
        <w:jc w:val="both"/>
        <w:rPr>
          <w:rFonts w:ascii="仿宋" w:hAnsi="仿宋" w:eastAsia="仿宋" w:cs="仿宋"/>
          <w:color w:val="000000"/>
          <w:sz w:val="24"/>
          <w:szCs w:val="24"/>
          <w:highlight w:val="none"/>
        </w:rPr>
      </w:pPr>
      <w:bookmarkStart w:id="153" w:name="_Toc3936"/>
      <w:bookmarkStart w:id="154" w:name="_Toc19910"/>
      <w:bookmarkStart w:id="155" w:name="_Toc11783"/>
      <w:bookmarkStart w:id="156" w:name="_Toc25957"/>
      <w:bookmarkStart w:id="157" w:name="_Toc287600131"/>
      <w:bookmarkStart w:id="158" w:name="_Toc21280"/>
      <w:bookmarkStart w:id="159" w:name="_Toc444891353"/>
      <w:bookmarkStart w:id="160" w:name="_Toc19783362"/>
      <w:bookmarkStart w:id="161" w:name="_Toc517281836"/>
      <w:bookmarkStart w:id="162" w:name="_Toc19783360"/>
      <w:bookmarkStart w:id="163" w:name="_Toc287600129"/>
      <w:r>
        <w:rPr>
          <w:rFonts w:ascii="仿宋" w:hAnsi="仿宋" w:eastAsia="仿宋" w:cs="仿宋"/>
          <w:color w:val="000000"/>
          <w:sz w:val="24"/>
          <w:szCs w:val="24"/>
          <w:highlight w:val="none"/>
        </w:rPr>
        <w:br w:type="page"/>
      </w:r>
      <w:bookmarkStart w:id="164" w:name="_Toc13502"/>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3"/>
      <w:bookmarkEnd w:id="164"/>
    </w:p>
    <w:p>
      <w:pPr>
        <w:bidi w:val="0"/>
        <w:jc w:val="center"/>
        <w:rPr>
          <w:rFonts w:hint="eastAsia"/>
        </w:rPr>
      </w:pPr>
      <w:bookmarkStart w:id="165" w:name="_Toc26744"/>
      <w:r>
        <w:rPr>
          <w:rFonts w:hint="eastAsia" w:ascii="仿宋" w:hAnsi="仿宋" w:eastAsia="仿宋" w:cs="仿宋"/>
          <w:b/>
          <w:bCs/>
          <w:sz w:val="24"/>
          <w:szCs w:val="24"/>
        </w:rPr>
        <w:t>初步评审索引表</w:t>
      </w:r>
      <w:bookmarkEnd w:id="165"/>
    </w:p>
    <w:tbl>
      <w:tblPr>
        <w:tblStyle w:val="40"/>
        <w:tblW w:w="5085"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701"/>
        <w:gridCol w:w="3295"/>
        <w:gridCol w:w="421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295"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2"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295"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2"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5"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2"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5"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2"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5"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2" w:type="dxa"/>
            <w:noWrap w:val="0"/>
            <w:vAlign w:val="center"/>
          </w:tcPr>
          <w:p>
            <w:pPr>
              <w:pStyle w:val="156"/>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295" w:type="dxa"/>
            <w:shd w:val="clear" w:color="auto" w:fill="auto"/>
            <w:noWrap w:val="0"/>
            <w:vAlign w:val="center"/>
          </w:tcPr>
          <w:p>
            <w:pPr>
              <w:spacing w:before="24" w:after="24" w:line="276" w:lineRule="auto"/>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营业执照</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5" w:type="dxa"/>
            <w:shd w:val="clear" w:color="auto" w:fill="auto"/>
            <w:noWrap w:val="0"/>
            <w:vAlign w:val="center"/>
          </w:tcPr>
          <w:p>
            <w:pPr>
              <w:spacing w:before="24" w:after="24" w:line="276" w:lineRule="auto"/>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商业信誉和财务会计制度</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税收和社会保障资金缴纳</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无违法违规记录</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keepNext w:val="0"/>
              <w:keepLines w:val="0"/>
              <w:suppressLineNumbers w:val="0"/>
              <w:spacing w:before="24" w:beforeAutospacing="0" w:after="24" w:afterAutospacing="0"/>
              <w:ind w:left="0" w:leftChars="0" w:right="0" w:rightChars="0"/>
              <w:jc w:val="center"/>
            </w:pPr>
          </w:p>
        </w:tc>
        <w:tc>
          <w:tcPr>
            <w:tcW w:w="1701" w:type="dxa"/>
            <w:vMerge w:val="continue"/>
            <w:noWrap w:val="0"/>
            <w:vAlign w:val="top"/>
          </w:tcPr>
          <w:p>
            <w:pPr>
              <w:keepNext w:val="0"/>
              <w:keepLines w:val="0"/>
              <w:suppressLineNumbers w:val="0"/>
              <w:spacing w:before="24" w:beforeAutospacing="0" w:after="24" w:afterAutospacing="0"/>
              <w:ind w:left="0" w:leftChars="0" w:right="0" w:rightChars="0"/>
              <w:jc w:val="cente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未被列入黑名单</w:t>
            </w:r>
          </w:p>
        </w:tc>
        <w:tc>
          <w:tcPr>
            <w:tcW w:w="421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1701" w:type="dxa"/>
            <w:vMerge w:val="continue"/>
            <w:noWrap w:val="0"/>
            <w:vAlign w:val="top"/>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控股及管理关系</w:t>
            </w:r>
          </w:p>
        </w:tc>
        <w:tc>
          <w:tcPr>
            <w:tcW w:w="421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1701" w:type="dxa"/>
            <w:vMerge w:val="continue"/>
            <w:noWrap w:val="0"/>
            <w:vAlign w:val="top"/>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rPr>
              <w:t>联合体响应</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分包、转包</w:t>
            </w:r>
            <w:r>
              <w:rPr>
                <w:rFonts w:hint="eastAsia" w:ascii="仿宋" w:hAnsi="仿宋" w:eastAsia="仿宋" w:cs="仿宋"/>
                <w:color w:val="000000"/>
                <w:sz w:val="21"/>
                <w:szCs w:val="21"/>
                <w:highlight w:val="none"/>
                <w:lang w:val="en-US" w:eastAsia="zh-CN"/>
              </w:rPr>
              <w:t>情况</w:t>
            </w:r>
          </w:p>
        </w:tc>
        <w:tc>
          <w:tcPr>
            <w:tcW w:w="421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4" w:type="dxa"/>
            <w:vMerge w:val="continue"/>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1701" w:type="dxa"/>
            <w:vMerge w:val="continue"/>
            <w:noWrap w:val="0"/>
            <w:vAlign w:val="top"/>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资质要求</w:t>
            </w:r>
          </w:p>
        </w:tc>
        <w:tc>
          <w:tcPr>
            <w:tcW w:w="421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70" w:hRule="atLeast"/>
          <w:jc w:val="center"/>
        </w:trPr>
        <w:tc>
          <w:tcPr>
            <w:tcW w:w="814" w:type="dxa"/>
            <w:vMerge w:val="continue"/>
            <w:noWrap w:val="0"/>
            <w:vAlign w:val="center"/>
          </w:tcPr>
          <w:p>
            <w:pPr>
              <w:keepNext w:val="0"/>
              <w:keepLines w:val="0"/>
              <w:suppressLineNumbers w:val="0"/>
              <w:spacing w:before="24" w:beforeAutospacing="0" w:after="24" w:afterAutospacing="0"/>
              <w:ind w:left="0" w:leftChars="0" w:right="0" w:rightChars="0"/>
              <w:jc w:val="center"/>
            </w:pPr>
          </w:p>
        </w:tc>
        <w:tc>
          <w:tcPr>
            <w:tcW w:w="1701" w:type="dxa"/>
            <w:vMerge w:val="continue"/>
            <w:noWrap w:val="0"/>
            <w:vAlign w:val="top"/>
          </w:tcPr>
          <w:p>
            <w:pPr>
              <w:keepNext w:val="0"/>
              <w:keepLines w:val="0"/>
              <w:suppressLineNumbers w:val="0"/>
              <w:spacing w:before="24" w:beforeAutospacing="0" w:after="24" w:afterAutospacing="0"/>
              <w:ind w:left="0" w:leftChars="0" w:right="0" w:rightChars="0"/>
              <w:jc w:val="center"/>
            </w:pPr>
          </w:p>
        </w:tc>
        <w:tc>
          <w:tcPr>
            <w:tcW w:w="3295" w:type="dxa"/>
            <w:shd w:val="clear" w:color="auto" w:fill="auto"/>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项目经理要求</w:t>
            </w:r>
          </w:p>
        </w:tc>
        <w:tc>
          <w:tcPr>
            <w:tcW w:w="421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2"/>
                <w:sz w:val="21"/>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295"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5"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5" w:type="dxa"/>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14"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5" w:type="dxa"/>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4212"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highlight w:val="none"/>
        </w:rPr>
        <w:sectPr>
          <w:footerReference r:id="rId11" w:type="default"/>
          <w:pgSz w:w="11906" w:h="16838"/>
          <w:pgMar w:top="1417" w:right="1134" w:bottom="1134" w:left="1134" w:header="964" w:footer="964" w:gutter="0"/>
          <w:cols w:space="720" w:num="1"/>
          <w:docGrid w:linePitch="312" w:charSpace="0"/>
        </w:sectPr>
      </w:pPr>
    </w:p>
    <w:bookmarkEnd w:id="154"/>
    <w:bookmarkEnd w:id="155"/>
    <w:bookmarkEnd w:id="156"/>
    <w:bookmarkEnd w:id="157"/>
    <w:bookmarkEnd w:id="158"/>
    <w:bookmarkEnd w:id="159"/>
    <w:bookmarkEnd w:id="160"/>
    <w:bookmarkEnd w:id="161"/>
    <w:p>
      <w:pPr>
        <w:bidi w:val="0"/>
        <w:jc w:val="center"/>
        <w:rPr>
          <w:rFonts w:hint="eastAsia" w:ascii="仿宋" w:hAnsi="仿宋" w:eastAsia="仿宋" w:cs="仿宋"/>
          <w:b/>
          <w:bCs/>
          <w:sz w:val="24"/>
          <w:szCs w:val="24"/>
        </w:rPr>
      </w:pPr>
      <w:bookmarkStart w:id="166" w:name="_Toc27799"/>
      <w:bookmarkStart w:id="167" w:name="_Toc12140"/>
      <w:bookmarkStart w:id="168" w:name="_Toc517281837"/>
      <w:bookmarkStart w:id="169" w:name="_Toc25121"/>
      <w:bookmarkStart w:id="170" w:name="_Toc7202"/>
      <w:bookmarkStart w:id="171" w:name="_Toc444891354"/>
      <w:r>
        <w:rPr>
          <w:rFonts w:hint="eastAsia" w:ascii="仿宋" w:hAnsi="仿宋" w:eastAsia="仿宋" w:cs="仿宋"/>
          <w:b/>
          <w:bCs/>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10</w:t>
            </w:r>
            <w:r>
              <w:rPr>
                <w:rFonts w:hint="eastAsia" w:ascii="仿宋" w:hAnsi="仿宋" w:eastAsia="仿宋" w:cs="宋体"/>
                <w:color w:val="000000"/>
                <w:kern w:val="0"/>
                <w:szCs w:val="21"/>
                <w:highlight w:val="none"/>
                <w:lang w:bidi="ar"/>
              </w:rPr>
              <w:t>分）</w:t>
            </w:r>
          </w:p>
        </w:tc>
        <w:tc>
          <w:tcPr>
            <w:tcW w:w="2268" w:type="dxa"/>
            <w:noWrap w:val="0"/>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w:t>
            </w:r>
            <w:r>
              <w:rPr>
                <w:rFonts w:hint="eastAsia" w:ascii="仿宋" w:hAnsi="仿宋" w:eastAsia="仿宋" w:cs="宋体"/>
                <w:color w:val="000000"/>
                <w:kern w:val="0"/>
                <w:szCs w:val="21"/>
                <w:highlight w:val="none"/>
                <w:lang w:val="en-US" w:eastAsia="zh-CN" w:bidi="ar"/>
              </w:rPr>
              <w:t>项目</w:t>
            </w:r>
            <w:r>
              <w:rPr>
                <w:rFonts w:hint="eastAsia" w:ascii="仿宋" w:hAnsi="仿宋" w:eastAsia="仿宋" w:cs="宋体"/>
                <w:color w:val="000000"/>
                <w:kern w:val="0"/>
                <w:szCs w:val="21"/>
                <w:highlight w:val="none"/>
                <w:lang w:bidi="ar"/>
              </w:rPr>
              <w:t>业绩</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w:t>
            </w:r>
            <w:r>
              <w:rPr>
                <w:rFonts w:hint="eastAsia" w:ascii="仿宋" w:hAnsi="仿宋" w:eastAsia="仿宋" w:cs="宋体"/>
                <w:color w:val="000000"/>
                <w:kern w:val="0"/>
                <w:szCs w:val="21"/>
                <w:highlight w:val="none"/>
                <w:lang w:val="en-US" w:eastAsia="zh-CN" w:bidi="ar"/>
              </w:rPr>
              <w:t>10</w:t>
            </w:r>
            <w:r>
              <w:rPr>
                <w:rFonts w:hint="eastAsia" w:ascii="仿宋" w:hAnsi="仿宋" w:eastAsia="仿宋" w:cs="宋体"/>
                <w:color w:val="000000"/>
                <w:kern w:val="0"/>
                <w:szCs w:val="21"/>
                <w:highlight w:val="none"/>
                <w:lang w:bidi="ar"/>
              </w:rPr>
              <w:t>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pPr>
        <w:pStyle w:val="4"/>
        <w:numPr>
          <w:ilvl w:val="0"/>
          <w:numId w:val="0"/>
        </w:numPr>
        <w:spacing w:before="0" w:line="440" w:lineRule="exact"/>
        <w:rPr>
          <w:rFonts w:hint="eastAsia" w:ascii="仿宋" w:hAnsi="仿宋" w:eastAsia="仿宋" w:cs="仿宋"/>
          <w:color w:val="000000"/>
          <w:sz w:val="24"/>
          <w:szCs w:val="24"/>
          <w:highlight w:val="none"/>
        </w:rPr>
      </w:pPr>
      <w:bookmarkStart w:id="172" w:name="_Toc4130"/>
      <w:r>
        <w:rPr>
          <w:rFonts w:hint="eastAsia" w:ascii="仿宋" w:hAnsi="仿宋" w:eastAsia="仿宋" w:cs="仿宋"/>
          <w:color w:val="000000"/>
          <w:sz w:val="24"/>
          <w:szCs w:val="24"/>
          <w:highlight w:val="none"/>
        </w:rPr>
        <w:t>（一）响应函</w:t>
      </w:r>
      <w:bookmarkEnd w:id="172"/>
    </w:p>
    <w:p>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的全部内容，包括澄清或者修改文件以及有关附件，我方将严格按照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要求递交符合要求的全部</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文件自</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通知书后，在</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规定递交履约保证金。</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62"/>
      <w:bookmarkEnd w:id="163"/>
      <w:bookmarkEnd w:id="166"/>
      <w:bookmarkEnd w:id="167"/>
      <w:bookmarkEnd w:id="168"/>
      <w:bookmarkEnd w:id="169"/>
      <w:bookmarkEnd w:id="170"/>
      <w:bookmarkEnd w:id="171"/>
      <w:bookmarkStart w:id="173" w:name="_Toc28679"/>
      <w:r>
        <w:rPr>
          <w:rFonts w:hint="eastAsia" w:ascii="仿宋" w:hAnsi="仿宋" w:eastAsia="仿宋" w:cs="仿宋"/>
          <w:color w:val="000000"/>
          <w:sz w:val="24"/>
          <w:szCs w:val="24"/>
          <w:highlight w:val="none"/>
        </w:rPr>
        <w:t>（二）法定代表人（负责人）身份证明书</w:t>
      </w:r>
      <w:bookmarkEnd w:id="173"/>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4" w:name="_Toc4426"/>
      <w:bookmarkStart w:id="175" w:name="_Toc12888"/>
      <w:bookmarkStart w:id="176" w:name="_Toc444891355"/>
      <w:bookmarkStart w:id="177" w:name="_Toc19783361"/>
      <w:bookmarkStart w:id="178" w:name="_Toc20707"/>
      <w:bookmarkStart w:id="179" w:name="_Toc5582"/>
      <w:bookmarkStart w:id="180" w:name="_Toc287600130"/>
      <w:bookmarkStart w:id="181" w:name="_Toc26267"/>
      <w:bookmarkStart w:id="182" w:name="_Toc517281838"/>
      <w:r>
        <w:rPr>
          <w:rFonts w:hint="eastAsia" w:ascii="仿宋" w:hAnsi="仿宋" w:eastAsia="仿宋" w:cs="仿宋"/>
          <w:color w:val="000000"/>
          <w:sz w:val="24"/>
          <w:szCs w:val="24"/>
          <w:highlight w:val="none"/>
        </w:rPr>
        <w:t>（三）法定代表人（负责人）授权委托书</w:t>
      </w:r>
      <w:bookmarkEnd w:id="174"/>
      <w:bookmarkEnd w:id="175"/>
      <w:bookmarkEnd w:id="176"/>
      <w:bookmarkEnd w:id="177"/>
      <w:bookmarkEnd w:id="178"/>
      <w:bookmarkEnd w:id="179"/>
      <w:bookmarkEnd w:id="180"/>
      <w:bookmarkEnd w:id="181"/>
      <w:bookmarkEnd w:id="182"/>
    </w:p>
    <w:p>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lang w:eastAsia="zh-CN"/>
        </w:rPr>
        <w:t>响应</w:t>
      </w:r>
      <w:r>
        <w:rPr>
          <w:rFonts w:hint="eastAsia" w:ascii="仿宋" w:hAnsi="仿宋" w:eastAsia="仿宋" w:cs="Cambria Math"/>
          <w:color w:val="000000"/>
          <w:sz w:val="24"/>
          <w:szCs w:val="24"/>
          <w:highlight w:val="none"/>
        </w:rPr>
        <w:t>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之日起至</w:t>
      </w:r>
      <w:r>
        <w:rPr>
          <w:rFonts w:hint="eastAsia" w:ascii="仿宋" w:hAnsi="仿宋" w:eastAsia="仿宋" w:cs="Cambria Math"/>
          <w:color w:val="000000"/>
          <w:kern w:val="0"/>
          <w:sz w:val="24"/>
          <w:highlight w:val="none"/>
          <w:u w:val="single"/>
          <w:lang w:eastAsia="zh-CN"/>
        </w:rPr>
        <w:t>响应</w:t>
      </w:r>
      <w:r>
        <w:rPr>
          <w:rFonts w:hint="eastAsia" w:ascii="仿宋" w:hAnsi="仿宋" w:eastAsia="仿宋" w:cs="Cambria Math"/>
          <w:color w:val="000000"/>
          <w:kern w:val="0"/>
          <w:sz w:val="24"/>
          <w:highlight w:val="none"/>
          <w:u w:val="single"/>
        </w:rPr>
        <w:t xml:space="preserve">有效期到期之日为止 </w:t>
      </w:r>
      <w:r>
        <w:rPr>
          <w:rFonts w:hint="eastAsia" w:ascii="仿宋" w:hAnsi="仿宋" w:eastAsia="仿宋" w:cs="Cambria Math"/>
          <w:color w:val="000000"/>
          <w:kern w:val="0"/>
          <w:sz w:val="24"/>
          <w:highlight w:val="none"/>
        </w:rPr>
        <w:t>。</w:t>
      </w:r>
    </w:p>
    <w:p>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6"/>
        <w:spacing w:line="360" w:lineRule="auto"/>
        <w:ind w:firstLine="482" w:firstLineChars="200"/>
        <w:rPr>
          <w:rFonts w:ascii="仿宋" w:hAnsi="仿宋" w:eastAsia="仿宋" w:cs="Cambria Math"/>
          <w:b/>
          <w:bCs/>
          <w:color w:val="000000"/>
          <w:sz w:val="24"/>
          <w:szCs w:val="24"/>
          <w:highlight w:val="none"/>
        </w:rPr>
      </w:pPr>
    </w:p>
    <w:p>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17"/>
        <w:rPr>
          <w:rFonts w:ascii="宋体" w:hAnsi="宋体"/>
          <w:kern w:val="0"/>
          <w:szCs w:val="21"/>
          <w:highlight w:val="none"/>
        </w:rPr>
      </w:pPr>
    </w:p>
    <w:p>
      <w:pPr>
        <w:pStyle w:val="17"/>
        <w:rPr>
          <w:rFonts w:ascii="宋体" w:hAnsi="宋体"/>
          <w:kern w:val="0"/>
          <w:szCs w:val="21"/>
          <w:highlight w:val="none"/>
        </w:rPr>
      </w:pPr>
    </w:p>
    <w:p>
      <w:pPr>
        <w:pStyle w:val="17"/>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pPr>
        <w:pStyle w:val="4"/>
        <w:numPr>
          <w:ilvl w:val="0"/>
          <w:numId w:val="0"/>
        </w:numPr>
        <w:spacing w:before="0" w:after="0" w:line="360" w:lineRule="auto"/>
        <w:rPr>
          <w:rFonts w:hint="eastAsia" w:ascii="仿宋" w:hAnsi="仿宋" w:eastAsia="仿宋" w:cs="仿宋"/>
          <w:color w:val="000000"/>
          <w:sz w:val="24"/>
          <w:szCs w:val="24"/>
          <w:highlight w:val="none"/>
        </w:rPr>
      </w:pPr>
      <w:bookmarkStart w:id="183" w:name="_Toc23769"/>
      <w:bookmarkStart w:id="184" w:name="_Toc517281841"/>
      <w:bookmarkStart w:id="185" w:name="_Toc444891357"/>
      <w:bookmarkStart w:id="186" w:name="_Toc287600132"/>
      <w:bookmarkStart w:id="187" w:name="_Toc27026"/>
      <w:bookmarkStart w:id="188" w:name="_Toc16561"/>
      <w:bookmarkStart w:id="189" w:name="_Toc5406"/>
      <w:bookmarkStart w:id="190" w:name="_Toc11396"/>
      <w:bookmarkStart w:id="191" w:name="_Toc34779120"/>
      <w:bookmarkStart w:id="192" w:name="_Toc287600135"/>
      <w:bookmarkStart w:id="193" w:name="_Toc34779216"/>
      <w:bookmarkStart w:id="194" w:name="_Toc34779170"/>
      <w:bookmarkStart w:id="195" w:name="_Toc34822258"/>
      <w:bookmarkStart w:id="196" w:name="_Toc35957216"/>
      <w:r>
        <w:rPr>
          <w:rFonts w:hint="eastAsia" w:ascii="仿宋" w:hAnsi="仿宋" w:eastAsia="仿宋" w:cs="仿宋"/>
          <w:color w:val="000000"/>
          <w:sz w:val="24"/>
          <w:szCs w:val="24"/>
          <w:highlight w:val="none"/>
        </w:rPr>
        <w:t>（四）资格证明文件</w:t>
      </w:r>
      <w:bookmarkEnd w:id="183"/>
    </w:p>
    <w:p>
      <w:pPr>
        <w:pStyle w:val="5"/>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bl>
    <w:p>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6"/>
        <w:jc w:val="left"/>
        <w:rPr>
          <w:rFonts w:hint="eastAsia" w:ascii="仿宋" w:hAnsi="仿宋" w:eastAsia="仿宋" w:cs="仿宋"/>
          <w:b/>
          <w:color w:val="000000"/>
          <w:highlight w:val="none"/>
        </w:rPr>
      </w:pPr>
    </w:p>
    <w:p>
      <w:pPr>
        <w:pStyle w:val="156"/>
        <w:jc w:val="left"/>
        <w:rPr>
          <w:rFonts w:hint="eastAsia" w:ascii="仿宋" w:hAnsi="仿宋" w:eastAsia="仿宋" w:cs="仿宋"/>
          <w:b/>
          <w:color w:val="000000"/>
          <w:highlight w:val="none"/>
          <w:lang w:eastAsia="zh-CN"/>
        </w:rPr>
      </w:pPr>
    </w:p>
    <w:p>
      <w:pPr>
        <w:pStyle w:val="156"/>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具有良好的商业信誉和健全的财务会计制度，需提供202</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年度经会计师事务所或审计机构审计的财务审计报告及财务报表（至少包含会计师事务所或审计机构签章页、资产负债表、现金流量表、损益表/利润表）或提供</w:t>
      </w:r>
      <w:r>
        <w:rPr>
          <w:rFonts w:hint="eastAsia" w:ascii="仿宋" w:hAnsi="仿宋" w:eastAsia="仿宋" w:cs="仿宋"/>
          <w:color w:val="000000"/>
          <w:sz w:val="24"/>
          <w:highlight w:val="none"/>
          <w:lang w:eastAsia="zh-CN"/>
        </w:rPr>
        <w:t>响应</w:t>
      </w:r>
      <w:r>
        <w:rPr>
          <w:rFonts w:hint="eastAsia" w:ascii="仿宋" w:hAnsi="仿宋" w:eastAsia="仿宋" w:cs="仿宋"/>
          <w:color w:val="000000"/>
          <w:sz w:val="24"/>
          <w:highlight w:val="none"/>
        </w:rPr>
        <w:t>截止日前6个月内开具的银行资信证明。</w:t>
      </w:r>
      <w:r>
        <w:rPr>
          <w:rFonts w:ascii="仿宋" w:hAnsi="仿宋" w:eastAsia="仿宋" w:cs="仿宋"/>
          <w:color w:val="000000"/>
          <w:sz w:val="24"/>
          <w:highlight w:val="none"/>
        </w:rPr>
        <w:br w:type="page"/>
      </w:r>
    </w:p>
    <w:p>
      <w:pPr>
        <w:pStyle w:val="5"/>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bl>
    <w:p>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w:t>
      </w:r>
      <w:r>
        <w:rPr>
          <w:rFonts w:hint="eastAsia" w:ascii="仿宋" w:hAnsi="仿宋" w:eastAsia="仿宋"/>
          <w:b/>
          <w:color w:val="000000"/>
          <w:sz w:val="24"/>
          <w:highlight w:val="none"/>
          <w:lang w:eastAsia="zh-CN"/>
        </w:rPr>
        <w:t>公告</w:t>
      </w:r>
      <w:r>
        <w:rPr>
          <w:rFonts w:hint="eastAsia" w:ascii="仿宋" w:hAnsi="仿宋" w:eastAsia="仿宋"/>
          <w:b/>
          <w:color w:val="000000"/>
          <w:sz w:val="24"/>
          <w:highlight w:val="none"/>
        </w:rPr>
        <w:t>的资格要求提供有效的实施经验证明材料，作为资格后审的评审依据。</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000000"/>
          <w:sz w:val="24"/>
          <w:highlight w:val="none"/>
        </w:rPr>
      </w:pPr>
    </w:p>
    <w:p>
      <w:pPr>
        <w:spacing w:line="360" w:lineRule="auto"/>
        <w:ind w:firstLine="480" w:firstLineChars="200"/>
        <w:jc w:val="left"/>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具有依法缴纳税收和社会保障资金的良好记录，提供近6个月任意一个月的税收和社会保障资金缴纳凭证。</w:t>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5"/>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5"/>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6"/>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7"/>
                    <a:stretch>
                      <a:fillRect/>
                    </a:stretch>
                  </pic:blipFill>
                  <pic:spPr>
                    <a:xfrm>
                      <a:off x="0" y="0"/>
                      <a:ext cx="5976620" cy="3242310"/>
                    </a:xfrm>
                    <a:prstGeom prst="rect">
                      <a:avLst/>
                    </a:prstGeom>
                    <a:noFill/>
                    <a:ln>
                      <a:noFill/>
                    </a:ln>
                  </pic:spPr>
                </pic:pic>
              </a:graphicData>
            </a:graphic>
          </wp:inline>
        </w:drawing>
      </w:r>
    </w:p>
    <w:p>
      <w:pPr>
        <w:pStyle w:val="5"/>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pPr>
        <w:pStyle w:val="17"/>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17"/>
        <w:ind w:firstLine="480" w:firstLineChars="200"/>
        <w:jc w:val="both"/>
        <w:rPr>
          <w:rFonts w:ascii="仿宋" w:hAnsi="仿宋" w:eastAsia="仿宋" w:cs="Cambria Math"/>
          <w:color w:val="000000"/>
          <w:sz w:val="24"/>
          <w:highlight w:val="none"/>
        </w:rPr>
      </w:pPr>
    </w:p>
    <w:p>
      <w:pPr>
        <w:pStyle w:val="17"/>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5"/>
        <w:spacing w:before="0" w:after="0" w:line="360" w:lineRule="auto"/>
        <w:rPr>
          <w:rFonts w:hint="eastAsia" w:ascii="仿宋" w:hAnsi="仿宋" w:eastAsia="仿宋" w:cs="仿宋"/>
          <w:color w:val="000000"/>
          <w:sz w:val="24"/>
          <w:szCs w:val="24"/>
          <w:highlight w:val="none"/>
        </w:rPr>
      </w:pPr>
      <w:bookmarkStart w:id="197"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声明</w:t>
      </w:r>
    </w:p>
    <w:bookmarkEnd w:id="184"/>
    <w:bookmarkEnd w:id="197"/>
    <w:p>
      <w:pPr>
        <w:pStyle w:val="17"/>
        <w:spacing w:before="240"/>
        <w:rPr>
          <w:rFonts w:hint="eastAsia" w:ascii="仿宋" w:hAnsi="仿宋" w:eastAsia="仿宋" w:cs="Cambria Math"/>
          <w:b/>
          <w:bCs/>
          <w:color w:val="000000"/>
          <w:sz w:val="24"/>
          <w:highlight w:val="none"/>
        </w:rPr>
      </w:pPr>
      <w:bookmarkStart w:id="198" w:name="_Toc71192048"/>
      <w:bookmarkStart w:id="199" w:name="_Toc20195"/>
      <w:bookmarkStart w:id="200" w:name="_Toc517281859"/>
      <w:bookmarkStart w:id="201" w:name="_Toc432420841"/>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eastAsia="zh-CN"/>
        </w:rPr>
        <w:t>响应</w:t>
      </w:r>
      <w:r>
        <w:rPr>
          <w:rFonts w:hint="eastAsia" w:ascii="仿宋" w:hAnsi="仿宋" w:eastAsia="仿宋" w:cs="Cambria Math"/>
          <w:b/>
          <w:bCs/>
          <w:color w:val="000000"/>
          <w:sz w:val="24"/>
          <w:highlight w:val="none"/>
        </w:rPr>
        <w:t>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eastAsia="zh-CN"/>
        </w:rPr>
        <w:t>响应</w:t>
      </w:r>
      <w:r>
        <w:rPr>
          <w:rFonts w:hint="eastAsia" w:ascii="仿宋" w:hAnsi="仿宋" w:eastAsia="仿宋" w:cs="Cambria Math"/>
          <w:color w:val="000000"/>
          <w:sz w:val="24"/>
          <w:highlight w:val="none"/>
        </w:rPr>
        <w:t>，非联合体参与</w:t>
      </w:r>
      <w:r>
        <w:rPr>
          <w:rFonts w:hint="eastAsia" w:ascii="仿宋" w:hAnsi="仿宋" w:eastAsia="仿宋" w:cs="Cambria Math"/>
          <w:color w:val="000000"/>
          <w:sz w:val="24"/>
          <w:highlight w:val="none"/>
          <w:lang w:eastAsia="zh-CN"/>
        </w:rPr>
        <w:t>响应</w:t>
      </w:r>
      <w:r>
        <w:rPr>
          <w:rFonts w:hint="eastAsia" w:ascii="仿宋" w:hAnsi="仿宋" w:eastAsia="仿宋" w:cs="Cambria Math"/>
          <w:color w:val="000000"/>
          <w:sz w:val="24"/>
          <w:highlight w:val="none"/>
        </w:rPr>
        <w:t>。</w:t>
      </w:r>
      <w:r>
        <w:rPr>
          <w:rFonts w:ascii="仿宋" w:hAnsi="仿宋" w:eastAsia="仿宋" w:cs="Cambria Math"/>
          <w:color w:val="000000"/>
          <w:sz w:val="24"/>
          <w:highlight w:val="none"/>
        </w:rPr>
        <w:t xml:space="preserve"> </w:t>
      </w:r>
    </w:p>
    <w:p>
      <w:pPr>
        <w:pStyle w:val="17"/>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4"/>
        <w:numPr>
          <w:ilvl w:val="0"/>
          <w:numId w:val="0"/>
        </w:numPr>
        <w:tabs>
          <w:tab w:val="clear" w:pos="1440"/>
        </w:tabs>
        <w:spacing w:before="0" w:after="0" w:line="360" w:lineRule="auto"/>
        <w:rPr>
          <w:rFonts w:ascii="仿宋" w:hAnsi="仿宋" w:cs="宋体"/>
          <w:color w:val="000000"/>
          <w:szCs w:val="24"/>
          <w:highlight w:val="none"/>
        </w:rPr>
      </w:pPr>
      <w:bookmarkStart w:id="202" w:name="_Toc65683009"/>
      <w:bookmarkStart w:id="203" w:name="_Toc144139212"/>
      <w:bookmarkStart w:id="204" w:name="_Toc18208"/>
      <w:bookmarkStart w:id="205" w:name="_Toc112068411"/>
      <w:bookmarkStart w:id="206" w:name="_Toc685"/>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02"/>
      <w:bookmarkEnd w:id="203"/>
      <w:bookmarkEnd w:id="204"/>
      <w:bookmarkEnd w:id="205"/>
      <w:bookmarkEnd w:id="206"/>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bl>
    <w:p>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w:t>
      </w:r>
      <w:r>
        <w:rPr>
          <w:rFonts w:hint="eastAsia" w:ascii="仿宋" w:hAnsi="仿宋" w:eastAsia="仿宋" w:cs="Cambria Math"/>
          <w:color w:val="000000"/>
          <w:sz w:val="24"/>
          <w:highlight w:val="none"/>
          <w:lang w:eastAsia="zh-CN"/>
        </w:rPr>
        <w:t>比选文件</w:t>
      </w:r>
      <w:r>
        <w:rPr>
          <w:rFonts w:hint="eastAsia" w:ascii="仿宋" w:hAnsi="仿宋" w:eastAsia="仿宋" w:cs="Cambria Math"/>
          <w:color w:val="000000"/>
          <w:sz w:val="24"/>
          <w:highlight w:val="none"/>
        </w:rPr>
        <w:t>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600" w:lineRule="exact"/>
        <w:rPr>
          <w:rFonts w:hint="eastAsia" w:ascii="仿宋" w:hAnsi="仿宋" w:eastAsia="仿宋" w:cs="仿宋"/>
          <w:color w:val="000000"/>
          <w:szCs w:val="21"/>
          <w:highlight w:val="none"/>
        </w:rPr>
      </w:pPr>
    </w:p>
    <w:p>
      <w:pPr>
        <w:spacing w:line="360" w:lineRule="auto"/>
        <w:ind w:firstLine="42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highlight w:val="none"/>
          <w:u w:val="single"/>
        </w:rPr>
      </w:pPr>
    </w:p>
    <w:p>
      <w:pPr>
        <w:pStyle w:val="4"/>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pPr>
        <w:pStyle w:val="4"/>
        <w:numPr>
          <w:ilvl w:val="0"/>
          <w:numId w:val="0"/>
        </w:numPr>
        <w:spacing w:before="0" w:after="0" w:line="360" w:lineRule="auto"/>
        <w:rPr>
          <w:rFonts w:hint="eastAsia" w:ascii="仿宋" w:hAnsi="仿宋" w:eastAsia="仿宋" w:cs="仿宋"/>
          <w:color w:val="000000"/>
          <w:sz w:val="24"/>
          <w:szCs w:val="24"/>
          <w:highlight w:val="none"/>
        </w:rPr>
      </w:pPr>
      <w:bookmarkStart w:id="207" w:name="_Toc2972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7"/>
    </w:p>
    <w:p>
      <w:pPr>
        <w:spacing w:line="240" w:lineRule="auto"/>
        <w:jc w:val="center"/>
        <w:rPr>
          <w:rFonts w:ascii="仿宋" w:hAnsi="仿宋" w:eastAsia="仿宋" w:cs="宋体"/>
          <w:b/>
          <w:bCs/>
          <w:color w:val="000000"/>
          <w:sz w:val="28"/>
          <w:szCs w:val="28"/>
          <w:highlight w:val="none"/>
        </w:rPr>
      </w:pPr>
      <w:bookmarkStart w:id="208"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4"/>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9" w:name="_Toc15953"/>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8"/>
      <w:bookmarkEnd w:id="209"/>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8"/>
          <w:rFonts w:hint="eastAsia" w:ascii="仿宋" w:hAnsi="仿宋" w:eastAsia="仿宋" w:cs="仿宋"/>
          <w:sz w:val="24"/>
          <w:szCs w:val="24"/>
        </w:rPr>
        <w:t>（</w:t>
      </w:r>
      <w:r>
        <w:rPr>
          <w:rStyle w:val="58"/>
          <w:rFonts w:hint="eastAsia" w:ascii="仿宋" w:hAnsi="仿宋" w:eastAsia="仿宋" w:cs="仿宋"/>
          <w:sz w:val="24"/>
          <w:szCs w:val="24"/>
          <w:lang w:val="en-US" w:eastAsia="zh-CN"/>
        </w:rPr>
        <w:t>九</w:t>
      </w:r>
      <w:r>
        <w:rPr>
          <w:rStyle w:val="58"/>
          <w:rFonts w:hint="eastAsia" w:ascii="仿宋" w:hAnsi="仿宋" w:eastAsia="仿宋" w:cs="仿宋"/>
          <w:sz w:val="24"/>
          <w:szCs w:val="24"/>
        </w:rPr>
        <w:t>）其他材料</w:t>
      </w:r>
    </w:p>
    <w:p>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bookmarkEnd w:id="198"/>
    <w:p>
      <w:pPr>
        <w:pStyle w:val="3"/>
        <w:ind w:firstLine="0" w:firstLineChars="0"/>
        <w:jc w:val="both"/>
        <w:rPr>
          <w:rFonts w:hint="eastAsia" w:ascii="仿宋" w:hAnsi="仿宋" w:eastAsia="仿宋" w:cs="仿宋"/>
          <w:color w:val="000000"/>
          <w:sz w:val="24"/>
          <w:szCs w:val="24"/>
          <w:highlight w:val="none"/>
        </w:rPr>
      </w:pPr>
      <w:bookmarkStart w:id="210" w:name="_Toc28333"/>
      <w:r>
        <w:rPr>
          <w:rFonts w:hint="eastAsia" w:ascii="仿宋" w:hAnsi="仿宋" w:eastAsia="仿宋" w:cs="仿宋"/>
          <w:color w:val="000000"/>
          <w:sz w:val="24"/>
          <w:szCs w:val="24"/>
          <w:highlight w:val="none"/>
        </w:rPr>
        <w:t>二、技术文件</w:t>
      </w:r>
      <w:bookmarkEnd w:id="199"/>
      <w:bookmarkEnd w:id="210"/>
    </w:p>
    <w:bookmarkEnd w:id="200"/>
    <w:bookmarkEnd w:id="201"/>
    <w:p>
      <w:pPr>
        <w:bidi w:val="0"/>
        <w:jc w:val="center"/>
        <w:rPr>
          <w:rFonts w:hint="eastAsia" w:ascii="仿宋" w:hAnsi="仿宋" w:eastAsia="仿宋" w:cs="仿宋"/>
          <w:b/>
          <w:bCs/>
          <w:sz w:val="24"/>
          <w:szCs w:val="24"/>
        </w:rPr>
      </w:pPr>
      <w:bookmarkStart w:id="211" w:name="_Toc30870"/>
      <w:bookmarkStart w:id="212" w:name="_Toc23108"/>
      <w:r>
        <w:rPr>
          <w:rFonts w:hint="eastAsia" w:ascii="仿宋" w:hAnsi="仿宋" w:eastAsia="仿宋" w:cs="仿宋"/>
          <w:b/>
          <w:bCs/>
          <w:sz w:val="24"/>
          <w:szCs w:val="24"/>
        </w:rPr>
        <w:t>详细评审索引表</w:t>
      </w:r>
      <w:bookmarkEnd w:id="211"/>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w:t>
            </w:r>
            <w:r>
              <w:rPr>
                <w:rFonts w:hint="eastAsia" w:ascii="仿宋" w:hAnsi="仿宋" w:eastAsia="仿宋" w:cs="宋体"/>
                <w:color w:val="000000"/>
                <w:szCs w:val="21"/>
                <w:highlight w:val="none"/>
                <w:lang w:val="en-US" w:eastAsia="zh-CN"/>
              </w:rPr>
              <w:t>40</w:t>
            </w:r>
            <w:r>
              <w:rPr>
                <w:rFonts w:hint="eastAsia" w:ascii="仿宋" w:hAnsi="仿宋" w:eastAsia="仿宋" w:cs="宋体"/>
                <w:color w:val="000000"/>
                <w:szCs w:val="21"/>
                <w:highlight w:val="none"/>
              </w:rPr>
              <w:t>分）</w:t>
            </w: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rPr>
            </w:pPr>
            <w:r>
              <w:rPr>
                <w:rFonts w:hint="eastAsia" w:ascii="仿宋" w:hAnsi="仿宋" w:eastAsia="仿宋" w:cs="宋体"/>
                <w:color w:val="000000"/>
                <w:szCs w:val="21"/>
                <w:highlight w:val="none"/>
                <w:lang w:val="en-US" w:eastAsia="zh-CN"/>
              </w:rPr>
              <w:t>施工组织设计总体概述（6分）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项目人员配置</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rPr>
            </w:pPr>
            <w:r>
              <w:rPr>
                <w:rFonts w:hint="eastAsia" w:ascii="仿宋" w:hAnsi="仿宋" w:eastAsia="仿宋" w:cs="宋体"/>
                <w:color w:val="000000"/>
                <w:szCs w:val="21"/>
                <w:highlight w:val="none"/>
                <w:lang w:val="en-US" w:eastAsia="zh-CN"/>
              </w:rPr>
              <w:t>（4分）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服务承诺</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（6分）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6</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施工进度计划和各阶段进度的保证措施</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rPr>
            </w:pPr>
            <w:r>
              <w:rPr>
                <w:rFonts w:hint="eastAsia" w:ascii="仿宋" w:hAnsi="仿宋" w:eastAsia="仿宋" w:cs="宋体"/>
                <w:color w:val="000000"/>
                <w:szCs w:val="21"/>
                <w:highlight w:val="none"/>
                <w:lang w:val="en-US" w:eastAsia="zh-CN"/>
              </w:rPr>
              <w:t>（6分）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7</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关键施工技术及重难点分析</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rPr>
            </w:pPr>
            <w:r>
              <w:rPr>
                <w:rFonts w:hint="eastAsia" w:ascii="仿宋" w:hAnsi="仿宋" w:eastAsia="仿宋" w:cs="宋体"/>
                <w:color w:val="000000"/>
                <w:szCs w:val="21"/>
                <w:highlight w:val="none"/>
                <w:lang w:val="en-US" w:eastAsia="zh-CN"/>
              </w:rPr>
              <w:t>（6分）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8</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安全管理体系与措施</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（6分）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9</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质量保证</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（6分）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4"/>
        <w:numPr>
          <w:ilvl w:val="0"/>
          <w:numId w:val="0"/>
        </w:numPr>
        <w:spacing w:before="0" w:after="0" w:line="360" w:lineRule="auto"/>
        <w:rPr>
          <w:rFonts w:hint="eastAsia" w:ascii="仿宋" w:hAnsi="仿宋" w:eastAsia="仿宋" w:cs="仿宋"/>
          <w:color w:val="000000"/>
          <w:sz w:val="24"/>
          <w:szCs w:val="24"/>
          <w:highlight w:val="none"/>
        </w:rPr>
      </w:pPr>
      <w:bookmarkStart w:id="213" w:name="_Toc12592"/>
      <w:r>
        <w:rPr>
          <w:rFonts w:hint="eastAsia" w:ascii="仿宋" w:hAnsi="仿宋" w:eastAsia="仿宋" w:cs="仿宋"/>
          <w:color w:val="000000"/>
          <w:sz w:val="24"/>
          <w:szCs w:val="24"/>
          <w:highlight w:val="none"/>
        </w:rPr>
        <w:t>（一）采购需求应答偏离表</w:t>
      </w:r>
      <w:bookmarkEnd w:id="212"/>
      <w:bookmarkEnd w:id="213"/>
    </w:p>
    <w:p>
      <w:pPr>
        <w:spacing w:line="360" w:lineRule="auto"/>
        <w:jc w:val="center"/>
        <w:rPr>
          <w:rFonts w:hint="eastAsia" w:ascii="仿宋" w:hAnsi="仿宋" w:eastAsia="仿宋" w:cs="仿宋"/>
          <w:b/>
          <w:bCs/>
          <w:color w:val="000000"/>
          <w:sz w:val="24"/>
          <w:highlight w:val="none"/>
        </w:rPr>
      </w:pPr>
      <w:bookmarkStart w:id="214" w:name="_Toc125771198"/>
      <w:bookmarkStart w:id="215" w:name="_Toc293297544"/>
      <w:bookmarkStart w:id="216" w:name="_Toc125561188"/>
      <w:r>
        <w:rPr>
          <w:rFonts w:hint="eastAsia" w:ascii="仿宋" w:hAnsi="仿宋" w:eastAsia="仿宋" w:cs="仿宋"/>
          <w:b/>
          <w:bCs/>
          <w:color w:val="000000"/>
          <w:sz w:val="24"/>
          <w:highlight w:val="none"/>
        </w:rPr>
        <w:t>采购需求应答偏离表</w:t>
      </w:r>
      <w:bookmarkEnd w:id="214"/>
      <w:bookmarkEnd w:id="215"/>
      <w:bookmarkEnd w:id="216"/>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bl>
    <w:p>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w:t>
      </w:r>
      <w:r>
        <w:rPr>
          <w:rFonts w:hint="eastAsia" w:ascii="仿宋" w:hAnsi="仿宋" w:eastAsia="仿宋" w:cs="Cambria Math"/>
          <w:color w:val="000000"/>
          <w:sz w:val="24"/>
          <w:highlight w:val="none"/>
          <w:lang w:eastAsia="zh-CN"/>
        </w:rPr>
        <w:t>比选文件</w:t>
      </w:r>
      <w:r>
        <w:rPr>
          <w:rFonts w:hint="eastAsia" w:ascii="仿宋" w:hAnsi="仿宋" w:eastAsia="仿宋" w:cs="Cambria Math"/>
          <w:color w:val="000000"/>
          <w:sz w:val="24"/>
          <w:highlight w:val="none"/>
        </w:rPr>
        <w:t>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360" w:lineRule="auto"/>
        <w:ind w:left="480" w:hanging="480" w:hangingChars="200"/>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sz w:val="24"/>
          <w:highlight w:val="none"/>
        </w:rPr>
      </w:pPr>
    </w:p>
    <w:p>
      <w:pPr>
        <w:pStyle w:val="4"/>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17" w:name="_Toc11476"/>
      <w:r>
        <w:rPr>
          <w:rFonts w:hint="eastAsia" w:ascii="仿宋" w:hAnsi="仿宋" w:eastAsia="仿宋" w:cs="仿宋"/>
          <w:color w:val="000000"/>
          <w:sz w:val="24"/>
          <w:szCs w:val="24"/>
          <w:highlight w:val="none"/>
        </w:rPr>
        <w:t>（二）技术方案</w:t>
      </w:r>
      <w:bookmarkEnd w:id="217"/>
    </w:p>
    <w:p>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5"/>
      <w:bookmarkEnd w:id="186"/>
      <w:bookmarkEnd w:id="187"/>
      <w:bookmarkEnd w:id="188"/>
      <w:bookmarkEnd w:id="189"/>
      <w:bookmarkEnd w:id="190"/>
      <w:bookmarkStart w:id="218" w:name="_Toc444891358"/>
      <w:bookmarkStart w:id="219" w:name="_Toc517281860"/>
      <w:r>
        <w:rPr>
          <w:rFonts w:hint="eastAsia" w:ascii="仿宋" w:hAnsi="仿宋" w:eastAsia="仿宋" w:cs="仿宋"/>
          <w:color w:val="000000"/>
          <w:sz w:val="24"/>
          <w:highlight w:val="none"/>
        </w:rPr>
        <w:br w:type="page"/>
      </w:r>
    </w:p>
    <w:p>
      <w:pPr>
        <w:pStyle w:val="5"/>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5"/>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pPr>
              <w:jc w:val="center"/>
              <w:rPr>
                <w:rFonts w:hint="eastAsia" w:ascii="仿宋" w:hAnsi="仿宋" w:eastAsia="仿宋" w:cs="仿宋"/>
                <w:color w:val="000000"/>
                <w:sz w:val="24"/>
                <w:highlight w:val="none"/>
              </w:rPr>
            </w:pPr>
          </w:p>
        </w:tc>
        <w:tc>
          <w:tcPr>
            <w:tcW w:w="945"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bl>
    <w:p>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000000"/>
          <w:highlight w:val="none"/>
        </w:rPr>
      </w:pPr>
    </w:p>
    <w:p>
      <w:pPr>
        <w:rPr>
          <w:rFonts w:hint="eastAsia" w:ascii="仿宋" w:hAnsi="仿宋" w:eastAsia="仿宋" w:cs="仿宋"/>
          <w:color w:val="000000"/>
          <w:highlight w:val="none"/>
        </w:rPr>
      </w:pP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4"/>
        <w:numPr>
          <w:ilvl w:val="0"/>
          <w:numId w:val="0"/>
        </w:numPr>
        <w:spacing w:before="0" w:after="0" w:line="360" w:lineRule="auto"/>
        <w:rPr>
          <w:rFonts w:hint="eastAsia" w:ascii="仿宋" w:hAnsi="仿宋" w:eastAsia="仿宋" w:cs="仿宋"/>
          <w:color w:val="000000"/>
          <w:sz w:val="24"/>
          <w:szCs w:val="24"/>
          <w:highlight w:val="none"/>
        </w:rPr>
      </w:pPr>
      <w:bookmarkStart w:id="220" w:name="_Toc30355"/>
      <w:r>
        <w:rPr>
          <w:rFonts w:hint="eastAsia" w:ascii="仿宋" w:hAnsi="仿宋" w:eastAsia="仿宋" w:cs="仿宋"/>
          <w:color w:val="000000"/>
          <w:sz w:val="24"/>
          <w:szCs w:val="24"/>
          <w:highlight w:val="none"/>
        </w:rPr>
        <w:t>（三）</w:t>
      </w:r>
      <w:bookmarkEnd w:id="191"/>
      <w:bookmarkEnd w:id="192"/>
      <w:bookmarkEnd w:id="193"/>
      <w:bookmarkEnd w:id="194"/>
      <w:bookmarkEnd w:id="195"/>
      <w:bookmarkEnd w:id="196"/>
      <w:bookmarkEnd w:id="218"/>
      <w:bookmarkEnd w:id="219"/>
      <w:r>
        <w:rPr>
          <w:rFonts w:hint="eastAsia" w:ascii="仿宋" w:hAnsi="仿宋" w:eastAsia="仿宋" w:cs="仿宋"/>
          <w:color w:val="000000"/>
          <w:sz w:val="24"/>
          <w:szCs w:val="24"/>
          <w:highlight w:val="none"/>
        </w:rPr>
        <w:t>其他材料</w:t>
      </w:r>
      <w:bookmarkEnd w:id="220"/>
    </w:p>
    <w:p>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p>
    <w:p>
      <w:pPr>
        <w:pStyle w:val="3"/>
        <w:numPr>
          <w:ilvl w:val="0"/>
          <w:numId w:val="6"/>
        </w:numPr>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221" w:name="_Toc4289"/>
      <w:r>
        <w:rPr>
          <w:rFonts w:hint="eastAsia" w:ascii="仿宋" w:hAnsi="仿宋" w:eastAsia="仿宋" w:cs="仿宋"/>
          <w:color w:val="000000"/>
          <w:sz w:val="24"/>
          <w:szCs w:val="24"/>
          <w:highlight w:val="none"/>
        </w:rPr>
        <w:t>报价文件</w:t>
      </w:r>
      <w:bookmarkEnd w:id="221"/>
      <w:bookmarkStart w:id="222" w:name="_Toc511726864"/>
      <w:bookmarkStart w:id="223" w:name="_Toc5032"/>
    </w:p>
    <w:p>
      <w:pPr>
        <w:pStyle w:val="3"/>
        <w:numPr>
          <w:ilvl w:val="0"/>
          <w:numId w:val="0"/>
        </w:num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（一）报价</w:t>
      </w:r>
      <w:bookmarkEnd w:id="222"/>
      <w:r>
        <w:rPr>
          <w:rFonts w:hint="eastAsia" w:ascii="仿宋" w:hAnsi="仿宋" w:eastAsia="仿宋" w:cs="仿宋"/>
          <w:color w:val="000000"/>
          <w:sz w:val="24"/>
          <w:szCs w:val="24"/>
          <w:highlight w:val="none"/>
        </w:rPr>
        <w:t>一览表</w:t>
      </w:r>
      <w:bookmarkEnd w:id="223"/>
    </w:p>
    <w:p>
      <w:pPr>
        <w:pStyle w:val="12"/>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2"/>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widowControl/>
        <w:jc w:val="center"/>
        <w:textAlignment w:val="center"/>
        <w:rPr>
          <w:rFonts w:hint="eastAsia" w:ascii="仿宋" w:hAnsi="仿宋" w:eastAsia="仿宋" w:cs="仿宋"/>
          <w:color w:val="000000"/>
          <w:kern w:val="0"/>
          <w:szCs w:val="21"/>
          <w:highlight w:val="none"/>
          <w:lang w:bidi="ar"/>
        </w:rPr>
      </w:pPr>
    </w:p>
    <w:tbl>
      <w:tblPr>
        <w:tblStyle w:val="40"/>
        <w:tblW w:w="5000" w:type="pct"/>
        <w:jc w:val="center"/>
        <w:tblLayout w:type="autofit"/>
        <w:tblCellMar>
          <w:top w:w="0" w:type="dxa"/>
          <w:left w:w="108" w:type="dxa"/>
          <w:bottom w:w="0" w:type="dxa"/>
          <w:right w:w="108" w:type="dxa"/>
        </w:tblCellMar>
      </w:tblPr>
      <w:tblGrid>
        <w:gridCol w:w="808"/>
        <w:gridCol w:w="2395"/>
        <w:gridCol w:w="2223"/>
        <w:gridCol w:w="1880"/>
        <w:gridCol w:w="1413"/>
        <w:gridCol w:w="1135"/>
      </w:tblGrid>
      <w:tr>
        <w:tblPrEx>
          <w:tblCellMar>
            <w:top w:w="0" w:type="dxa"/>
            <w:left w:w="108" w:type="dxa"/>
            <w:bottom w:w="0" w:type="dxa"/>
            <w:right w:w="108" w:type="dxa"/>
          </w:tblCellMar>
        </w:tblPrEx>
        <w:trPr>
          <w:trHeight w:val="927" w:hRule="atLeast"/>
          <w:jc w:val="center"/>
        </w:trPr>
        <w:tc>
          <w:tcPr>
            <w:tcW w:w="41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215"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12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含税总价</w:t>
            </w:r>
            <w:r>
              <w:rPr>
                <w:rFonts w:hint="eastAsia" w:ascii="仿宋" w:hAnsi="仿宋" w:eastAsia="仿宋" w:cs="宋体"/>
                <w:b/>
                <w:color w:val="000000"/>
                <w:szCs w:val="21"/>
                <w:highlight w:val="none"/>
              </w:rPr>
              <w:t>（元）</w:t>
            </w: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不含税总价</w:t>
            </w:r>
            <w:r>
              <w:rPr>
                <w:rFonts w:hint="eastAsia" w:ascii="仿宋" w:hAnsi="仿宋" w:eastAsia="仿宋" w:cs="宋体"/>
                <w:b/>
                <w:color w:val="000000"/>
                <w:szCs w:val="21"/>
                <w:highlight w:val="none"/>
              </w:rPr>
              <w:t>（元）</w:t>
            </w: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215"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p>
        </w:tc>
        <w:tc>
          <w:tcPr>
            <w:tcW w:w="1128"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  </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keepNext w:val="0"/>
        <w:keepLines w:val="0"/>
        <w:pageBreakBefore w:val="0"/>
        <w:widowControl w:val="0"/>
        <w:numPr>
          <w:ilvl w:val="0"/>
          <w:numId w:val="7"/>
        </w:numPr>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bCs/>
          <w:sz w:val="24"/>
          <w:highlight w:val="none"/>
        </w:rPr>
      </w:pPr>
      <w:r>
        <w:rPr>
          <w:rFonts w:hint="eastAsia" w:ascii="仿宋" w:hAnsi="仿宋" w:eastAsia="仿宋"/>
          <w:bCs/>
          <w:sz w:val="24"/>
          <w:highlight w:val="none"/>
        </w:rPr>
        <w:t>本次报价精确到小数点后两位（四舍五入）。</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2.含税价=不含税价*(1+税率)，若报价与此公式不符，增值税专用发票以不含税价为准进行修正，增值税普通发票以含税价进行修正。</w:t>
      </w:r>
    </w:p>
    <w:p>
      <w:pPr>
        <w:pStyle w:val="107"/>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3.后续如因国家税率调整，专票以不含税价不变进行调整，普票以含税价不变进行调整。</w:t>
      </w:r>
    </w:p>
    <w:p>
      <w:pPr>
        <w:pStyle w:val="107"/>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textAlignment w:val="auto"/>
        <w:rPr>
          <w:rFonts w:hint="eastAsia" w:ascii="仿宋" w:hAnsi="仿宋" w:eastAsia="仿宋" w:cs="宋体"/>
          <w:b/>
          <w:bCs w:val="0"/>
          <w:color w:val="auto"/>
          <w:sz w:val="24"/>
          <w:highlight w:val="none"/>
          <w:lang w:val="en-US" w:eastAsia="zh-CN"/>
        </w:rPr>
      </w:pPr>
      <w:r>
        <w:rPr>
          <w:rFonts w:hint="eastAsia" w:ascii="仿宋" w:hAnsi="仿宋" w:eastAsia="仿宋" w:cs="宋体"/>
          <w:b/>
          <w:bCs w:val="0"/>
          <w:color w:val="auto"/>
          <w:sz w:val="24"/>
          <w:highlight w:val="none"/>
          <w:lang w:val="en-US" w:eastAsia="zh-CN"/>
        </w:rPr>
        <w:t>4.本项目设置最高限价，最高限价为9.49万元（含税），高于最高限价的，其响应将被否决。包含所有费用，除以上费用外，采购方不再另行支付其他费用。</w:t>
      </w:r>
    </w:p>
    <w:p>
      <w:pPr>
        <w:pStyle w:val="107"/>
        <w:numPr>
          <w:ilvl w:val="0"/>
          <w:numId w:val="0"/>
        </w:numPr>
        <w:spacing w:line="360" w:lineRule="auto"/>
        <w:rPr>
          <w:rFonts w:hint="default" w:ascii="仿宋" w:hAnsi="仿宋" w:eastAsia="仿宋" w:cs="宋体"/>
          <w:bCs/>
          <w:color w:val="000000"/>
          <w:sz w:val="24"/>
          <w:highlight w:val="none"/>
          <w:lang w:val="en-US" w:eastAsia="zh-CN"/>
        </w:rPr>
      </w:pPr>
    </w:p>
    <w:p>
      <w:pPr>
        <w:spacing w:line="360" w:lineRule="auto"/>
        <w:jc w:val="both"/>
        <w:rPr>
          <w:rFonts w:hint="eastAsia" w:ascii="仿宋" w:hAnsi="仿宋" w:eastAsia="仿宋" w:cs="仿宋"/>
          <w:color w:val="000000"/>
          <w:sz w:val="24"/>
          <w:highlight w:val="none"/>
        </w:rPr>
      </w:pPr>
    </w:p>
    <w:p>
      <w:pPr>
        <w:numPr>
          <w:ilvl w:val="0"/>
          <w:numId w:val="1"/>
        </w:numPr>
        <w:spacing w:line="440" w:lineRule="exact"/>
        <w:jc w:val="right"/>
        <w:rPr>
          <w:rFonts w:ascii="仿宋" w:hAnsi="仿宋" w:eastAsia="仿宋" w:cs="宋体"/>
          <w:color w:val="000000"/>
          <w:sz w:val="24"/>
          <w:highlight w:val="none"/>
        </w:rPr>
      </w:pPr>
      <w:bookmarkStart w:id="224" w:name="_Toc517281864"/>
      <w:bookmarkStart w:id="225" w:name="_Toc2267055"/>
      <w:bookmarkStart w:id="226" w:name="_Toc530319762"/>
      <w:bookmarkStart w:id="227" w:name="_Toc518302646"/>
      <w:bookmarkStart w:id="228" w:name="_Toc16591840"/>
      <w:bookmarkStart w:id="229" w:name="_Toc482180015"/>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pStyle w:val="4"/>
        <w:numPr>
          <w:ilvl w:val="5"/>
          <w:numId w:val="0"/>
        </w:numPr>
        <w:spacing w:line="360" w:lineRule="auto"/>
        <w:ind w:left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End w:id="224"/>
      <w:bookmarkEnd w:id="225"/>
      <w:bookmarkEnd w:id="226"/>
      <w:bookmarkEnd w:id="227"/>
      <w:bookmarkEnd w:id="228"/>
      <w:bookmarkEnd w:id="229"/>
      <w:bookmarkStart w:id="230" w:name="_Toc12176"/>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二</w:t>
      </w:r>
      <w:r>
        <w:rPr>
          <w:rFonts w:hint="eastAsia" w:ascii="仿宋" w:hAnsi="仿宋" w:eastAsia="仿宋" w:cs="仿宋"/>
          <w:color w:val="000000"/>
          <w:sz w:val="24"/>
          <w:szCs w:val="24"/>
          <w:highlight w:val="none"/>
          <w:lang w:eastAsia="zh-CN"/>
        </w:rPr>
        <w:t>）装修清单</w:t>
      </w:r>
      <w:r>
        <w:rPr>
          <w:rFonts w:hint="eastAsia" w:ascii="仿宋" w:hAnsi="仿宋" w:eastAsia="仿宋" w:cs="仿宋"/>
          <w:color w:val="000000"/>
          <w:sz w:val="24"/>
          <w:szCs w:val="24"/>
          <w:highlight w:val="none"/>
        </w:rPr>
        <w:t>报价表</w:t>
      </w:r>
      <w:bookmarkEnd w:id="230"/>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panose1 w:val="020B0509030404040204"/>
    <w:charset w:val="00"/>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eastAsia="宋体"/>
        <w:lang w:eastAsia="zh-CN"/>
      </w:rPr>
    </w:pPr>
    <w:r>
      <w:rPr>
        <w:rFonts w:hint="eastAsia" w:ascii="仿宋" w:hAnsi="仿宋" w:eastAsia="仿宋" w:cs="仿宋"/>
        <w:lang w:eastAsia="zh-CN"/>
      </w:rPr>
      <w:t>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eastAsia="宋体"/>
        <w:lang w:eastAsia="zh-CN"/>
      </w:rPr>
    </w:pPr>
    <w:r>
      <w:rPr>
        <w:rFonts w:hint="eastAsia" w:ascii="仿宋" w:hAnsi="仿宋" w:eastAsia="仿宋" w:cs="仿宋"/>
        <w:lang w:eastAsia="zh-CN"/>
      </w:rPr>
      <w:t>比选文件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3E3A5B"/>
    <w:multiLevelType w:val="singleLevel"/>
    <w:tmpl w:val="993E3A5B"/>
    <w:lvl w:ilvl="0" w:tentative="0">
      <w:start w:val="1"/>
      <w:numFmt w:val="chineseCounting"/>
      <w:suff w:val="nothing"/>
      <w:lvlText w:val="（%1）"/>
      <w:lvlJc w:val="left"/>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4">
    <w:nsid w:val="00BA5159"/>
    <w:multiLevelType w:val="singleLevel"/>
    <w:tmpl w:val="00BA5159"/>
    <w:lvl w:ilvl="0" w:tentative="0">
      <w:start w:val="4"/>
      <w:numFmt w:val="chineseCounting"/>
      <w:suff w:val="space"/>
      <w:lvlText w:val="第%1章"/>
      <w:lvlJc w:val="left"/>
      <w:rPr>
        <w:rFonts w:hint="eastAsia"/>
      </w:rPr>
    </w:lvl>
  </w:abstractNum>
  <w:abstractNum w:abstractNumId="5">
    <w:nsid w:val="231D8D8E"/>
    <w:multiLevelType w:val="singleLevel"/>
    <w:tmpl w:val="231D8D8E"/>
    <w:lvl w:ilvl="0" w:tentative="0">
      <w:start w:val="3"/>
      <w:numFmt w:val="chineseCounting"/>
      <w:suff w:val="nothing"/>
      <w:lvlText w:val="%1、"/>
      <w:lvlJc w:val="left"/>
      <w:rPr>
        <w:rFonts w:hint="eastAsia"/>
      </w:rPr>
    </w:lvl>
  </w:abstractNum>
  <w:abstractNum w:abstractNumId="6">
    <w:nsid w:val="5E53D127"/>
    <w:multiLevelType w:val="singleLevel"/>
    <w:tmpl w:val="5E53D127"/>
    <w:lvl w:ilvl="0" w:tentative="0">
      <w:start w:val="1"/>
      <w:numFmt w:val="decimal"/>
      <w:lvlText w:val="%1."/>
      <w:lvlJc w:val="left"/>
      <w:pPr>
        <w:tabs>
          <w:tab w:val="left" w:pos="312"/>
        </w:tabs>
      </w:pPr>
    </w:lvl>
  </w:abstractNum>
  <w:num w:numId="1">
    <w:abstractNumId w:val="2"/>
  </w:num>
  <w:num w:numId="2">
    <w:abstractNumId w:val="1"/>
  </w:num>
  <w:num w:numId="3">
    <w:abstractNumId w:val="3"/>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403"/>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1C0D"/>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15B19"/>
    <w:rsid w:val="01137ECF"/>
    <w:rsid w:val="01191F36"/>
    <w:rsid w:val="0123016A"/>
    <w:rsid w:val="01241D66"/>
    <w:rsid w:val="01437C9C"/>
    <w:rsid w:val="014A3244"/>
    <w:rsid w:val="014F03EF"/>
    <w:rsid w:val="017D31AE"/>
    <w:rsid w:val="01A51AFF"/>
    <w:rsid w:val="01B95421"/>
    <w:rsid w:val="020B1354"/>
    <w:rsid w:val="022D32CB"/>
    <w:rsid w:val="025A55E9"/>
    <w:rsid w:val="029442A4"/>
    <w:rsid w:val="02A23766"/>
    <w:rsid w:val="02BC63B4"/>
    <w:rsid w:val="02DC1332"/>
    <w:rsid w:val="030D3E0E"/>
    <w:rsid w:val="0317318F"/>
    <w:rsid w:val="034D12D4"/>
    <w:rsid w:val="035C2662"/>
    <w:rsid w:val="03637FE7"/>
    <w:rsid w:val="0376348B"/>
    <w:rsid w:val="0388663C"/>
    <w:rsid w:val="03A97929"/>
    <w:rsid w:val="03C32A6F"/>
    <w:rsid w:val="03CE20DF"/>
    <w:rsid w:val="03D57B0C"/>
    <w:rsid w:val="03FB034A"/>
    <w:rsid w:val="040E0780"/>
    <w:rsid w:val="047A6254"/>
    <w:rsid w:val="04BE1034"/>
    <w:rsid w:val="04CD572B"/>
    <w:rsid w:val="04D0480D"/>
    <w:rsid w:val="04D34B21"/>
    <w:rsid w:val="04D81D11"/>
    <w:rsid w:val="04E366BD"/>
    <w:rsid w:val="04ED1825"/>
    <w:rsid w:val="04F10A9B"/>
    <w:rsid w:val="050E1D07"/>
    <w:rsid w:val="0515460A"/>
    <w:rsid w:val="052076F5"/>
    <w:rsid w:val="053F6840"/>
    <w:rsid w:val="05525152"/>
    <w:rsid w:val="05656DAB"/>
    <w:rsid w:val="058C1C12"/>
    <w:rsid w:val="059874F0"/>
    <w:rsid w:val="059E0622"/>
    <w:rsid w:val="05CD1AD2"/>
    <w:rsid w:val="05D050F7"/>
    <w:rsid w:val="05F9607E"/>
    <w:rsid w:val="05FE2BF2"/>
    <w:rsid w:val="06402ABA"/>
    <w:rsid w:val="064E339A"/>
    <w:rsid w:val="068D6A93"/>
    <w:rsid w:val="06922615"/>
    <w:rsid w:val="069E6AB1"/>
    <w:rsid w:val="06A26061"/>
    <w:rsid w:val="06CE7668"/>
    <w:rsid w:val="06E00027"/>
    <w:rsid w:val="06E25B52"/>
    <w:rsid w:val="072D2162"/>
    <w:rsid w:val="073518D0"/>
    <w:rsid w:val="07354BC2"/>
    <w:rsid w:val="07442036"/>
    <w:rsid w:val="074F5A78"/>
    <w:rsid w:val="0750320D"/>
    <w:rsid w:val="079E0D8E"/>
    <w:rsid w:val="07BA6AE9"/>
    <w:rsid w:val="07CD7297"/>
    <w:rsid w:val="07D16002"/>
    <w:rsid w:val="085C77EA"/>
    <w:rsid w:val="08B05320"/>
    <w:rsid w:val="08D0583F"/>
    <w:rsid w:val="08E9597F"/>
    <w:rsid w:val="08EE36A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03356F"/>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A912FB"/>
    <w:rsid w:val="0CB43017"/>
    <w:rsid w:val="0CD32AA0"/>
    <w:rsid w:val="0CE41E67"/>
    <w:rsid w:val="0D1645BE"/>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034A3B"/>
    <w:rsid w:val="0E183F30"/>
    <w:rsid w:val="0E1B7FD7"/>
    <w:rsid w:val="0E1C1B02"/>
    <w:rsid w:val="0E1D2CA7"/>
    <w:rsid w:val="0E2E2851"/>
    <w:rsid w:val="0E4571B4"/>
    <w:rsid w:val="0E513A96"/>
    <w:rsid w:val="0E6A0CB4"/>
    <w:rsid w:val="0E79874A"/>
    <w:rsid w:val="0E7F55DC"/>
    <w:rsid w:val="0E824CB1"/>
    <w:rsid w:val="0E893E01"/>
    <w:rsid w:val="0EBA4751"/>
    <w:rsid w:val="0EEC37BE"/>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C515FD"/>
    <w:rsid w:val="10E053CE"/>
    <w:rsid w:val="10EA5F4D"/>
    <w:rsid w:val="11437F75"/>
    <w:rsid w:val="115A4A6C"/>
    <w:rsid w:val="116330C8"/>
    <w:rsid w:val="117A67CD"/>
    <w:rsid w:val="118A5482"/>
    <w:rsid w:val="11CB154F"/>
    <w:rsid w:val="11D57FF6"/>
    <w:rsid w:val="11EC0DBF"/>
    <w:rsid w:val="11EF5B10"/>
    <w:rsid w:val="12003074"/>
    <w:rsid w:val="12042B6A"/>
    <w:rsid w:val="12135469"/>
    <w:rsid w:val="12791770"/>
    <w:rsid w:val="1283653C"/>
    <w:rsid w:val="128D0ACD"/>
    <w:rsid w:val="128F2D41"/>
    <w:rsid w:val="12934B57"/>
    <w:rsid w:val="129F4319"/>
    <w:rsid w:val="12AF0785"/>
    <w:rsid w:val="12B5001B"/>
    <w:rsid w:val="12B74C45"/>
    <w:rsid w:val="12B97E85"/>
    <w:rsid w:val="12E02111"/>
    <w:rsid w:val="12E0359D"/>
    <w:rsid w:val="12E3158A"/>
    <w:rsid w:val="12F2507E"/>
    <w:rsid w:val="12FC0C47"/>
    <w:rsid w:val="130130FB"/>
    <w:rsid w:val="131948E0"/>
    <w:rsid w:val="13326301"/>
    <w:rsid w:val="134B49D1"/>
    <w:rsid w:val="13774559"/>
    <w:rsid w:val="138010B5"/>
    <w:rsid w:val="13831D0F"/>
    <w:rsid w:val="13A07D1C"/>
    <w:rsid w:val="13AA6C7A"/>
    <w:rsid w:val="13AF12D1"/>
    <w:rsid w:val="13D97F0D"/>
    <w:rsid w:val="13DB77D7"/>
    <w:rsid w:val="144349CA"/>
    <w:rsid w:val="146A774B"/>
    <w:rsid w:val="146B5DFA"/>
    <w:rsid w:val="146E33A4"/>
    <w:rsid w:val="14833540"/>
    <w:rsid w:val="14887B0E"/>
    <w:rsid w:val="14946069"/>
    <w:rsid w:val="14A93F80"/>
    <w:rsid w:val="14E145A4"/>
    <w:rsid w:val="14E20675"/>
    <w:rsid w:val="151D2E85"/>
    <w:rsid w:val="152315CE"/>
    <w:rsid w:val="153A298B"/>
    <w:rsid w:val="15477903"/>
    <w:rsid w:val="155C7174"/>
    <w:rsid w:val="15702ADB"/>
    <w:rsid w:val="157F4238"/>
    <w:rsid w:val="15942E62"/>
    <w:rsid w:val="159D7CA8"/>
    <w:rsid w:val="15B8776F"/>
    <w:rsid w:val="15C80049"/>
    <w:rsid w:val="15DC403B"/>
    <w:rsid w:val="15FC4DAB"/>
    <w:rsid w:val="161F262E"/>
    <w:rsid w:val="16444AAD"/>
    <w:rsid w:val="164729D6"/>
    <w:rsid w:val="16623343"/>
    <w:rsid w:val="167639EE"/>
    <w:rsid w:val="16952AE1"/>
    <w:rsid w:val="16987D08"/>
    <w:rsid w:val="169F551D"/>
    <w:rsid w:val="16B000D0"/>
    <w:rsid w:val="16C06700"/>
    <w:rsid w:val="16F64A51"/>
    <w:rsid w:val="1703020F"/>
    <w:rsid w:val="1712563F"/>
    <w:rsid w:val="171728C0"/>
    <w:rsid w:val="1731377E"/>
    <w:rsid w:val="173B45EA"/>
    <w:rsid w:val="175824DC"/>
    <w:rsid w:val="17684F4D"/>
    <w:rsid w:val="17687C03"/>
    <w:rsid w:val="177E15D6"/>
    <w:rsid w:val="17A02F74"/>
    <w:rsid w:val="17A64703"/>
    <w:rsid w:val="17AF94C5"/>
    <w:rsid w:val="17D426A8"/>
    <w:rsid w:val="17D430F8"/>
    <w:rsid w:val="17F10988"/>
    <w:rsid w:val="180F222F"/>
    <w:rsid w:val="18420450"/>
    <w:rsid w:val="184E141E"/>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13215"/>
    <w:rsid w:val="1A627DE6"/>
    <w:rsid w:val="1A761976"/>
    <w:rsid w:val="1A7D4CCC"/>
    <w:rsid w:val="1A8E6CD5"/>
    <w:rsid w:val="1A9452B0"/>
    <w:rsid w:val="1A986C8A"/>
    <w:rsid w:val="1AB84712"/>
    <w:rsid w:val="1ACF3752"/>
    <w:rsid w:val="1AD86012"/>
    <w:rsid w:val="1AD9181C"/>
    <w:rsid w:val="1AE9346B"/>
    <w:rsid w:val="1AED79C0"/>
    <w:rsid w:val="1B0537E4"/>
    <w:rsid w:val="1B137767"/>
    <w:rsid w:val="1B2E771E"/>
    <w:rsid w:val="1B3E2362"/>
    <w:rsid w:val="1B476529"/>
    <w:rsid w:val="1B4E3302"/>
    <w:rsid w:val="1B6212E1"/>
    <w:rsid w:val="1B77204D"/>
    <w:rsid w:val="1B857BD8"/>
    <w:rsid w:val="1B8C1890"/>
    <w:rsid w:val="1B976D3F"/>
    <w:rsid w:val="1BBF2D87"/>
    <w:rsid w:val="1BC349DE"/>
    <w:rsid w:val="1BF442EC"/>
    <w:rsid w:val="1C3F7FA6"/>
    <w:rsid w:val="1C492B76"/>
    <w:rsid w:val="1C693F18"/>
    <w:rsid w:val="1C747EF9"/>
    <w:rsid w:val="1C813E89"/>
    <w:rsid w:val="1C844B5B"/>
    <w:rsid w:val="1C86668C"/>
    <w:rsid w:val="1C8B5FB5"/>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C659B7"/>
    <w:rsid w:val="1DE33932"/>
    <w:rsid w:val="1DE547AB"/>
    <w:rsid w:val="1DEA3BDA"/>
    <w:rsid w:val="1DF1708C"/>
    <w:rsid w:val="1E1B3FC3"/>
    <w:rsid w:val="1E3D42AB"/>
    <w:rsid w:val="1E5805C9"/>
    <w:rsid w:val="1E5C27D9"/>
    <w:rsid w:val="1E6E8FC2"/>
    <w:rsid w:val="1E960B39"/>
    <w:rsid w:val="1EA8294E"/>
    <w:rsid w:val="1EC43D73"/>
    <w:rsid w:val="1EE920F1"/>
    <w:rsid w:val="1EEDC44B"/>
    <w:rsid w:val="1EF321F1"/>
    <w:rsid w:val="1EF83469"/>
    <w:rsid w:val="1F0E1492"/>
    <w:rsid w:val="1F121216"/>
    <w:rsid w:val="1F1A79F2"/>
    <w:rsid w:val="1F26710C"/>
    <w:rsid w:val="1F3C2E43"/>
    <w:rsid w:val="1F4205D3"/>
    <w:rsid w:val="1F433A78"/>
    <w:rsid w:val="1F4D0F4B"/>
    <w:rsid w:val="1F901744"/>
    <w:rsid w:val="1F983263"/>
    <w:rsid w:val="1F9F033C"/>
    <w:rsid w:val="1FAF1D46"/>
    <w:rsid w:val="1FB1255F"/>
    <w:rsid w:val="1FD47844"/>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6720D"/>
    <w:rsid w:val="21ED4624"/>
    <w:rsid w:val="22294218"/>
    <w:rsid w:val="22396826"/>
    <w:rsid w:val="22512901"/>
    <w:rsid w:val="2267492F"/>
    <w:rsid w:val="226D4514"/>
    <w:rsid w:val="22A44447"/>
    <w:rsid w:val="22B346F2"/>
    <w:rsid w:val="22D05B48"/>
    <w:rsid w:val="22E006EF"/>
    <w:rsid w:val="22F00A92"/>
    <w:rsid w:val="2301712C"/>
    <w:rsid w:val="23151041"/>
    <w:rsid w:val="231F5A1C"/>
    <w:rsid w:val="23444268"/>
    <w:rsid w:val="237038B3"/>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09E9"/>
    <w:rsid w:val="260874E8"/>
    <w:rsid w:val="26124ED4"/>
    <w:rsid w:val="2628108B"/>
    <w:rsid w:val="2632366A"/>
    <w:rsid w:val="26333878"/>
    <w:rsid w:val="26520DBA"/>
    <w:rsid w:val="26595760"/>
    <w:rsid w:val="267E7E2B"/>
    <w:rsid w:val="26B613FF"/>
    <w:rsid w:val="26C62C95"/>
    <w:rsid w:val="26C848AF"/>
    <w:rsid w:val="26CE2A68"/>
    <w:rsid w:val="26D97433"/>
    <w:rsid w:val="27094203"/>
    <w:rsid w:val="271C5FE7"/>
    <w:rsid w:val="27315631"/>
    <w:rsid w:val="275C465E"/>
    <w:rsid w:val="27992D3B"/>
    <w:rsid w:val="27AA2CA3"/>
    <w:rsid w:val="27B01683"/>
    <w:rsid w:val="27B8211C"/>
    <w:rsid w:val="27C82253"/>
    <w:rsid w:val="27EC4E71"/>
    <w:rsid w:val="280A6FE8"/>
    <w:rsid w:val="28247BB6"/>
    <w:rsid w:val="28933CCC"/>
    <w:rsid w:val="28A313A1"/>
    <w:rsid w:val="28AE7984"/>
    <w:rsid w:val="28C80D3F"/>
    <w:rsid w:val="28D96965"/>
    <w:rsid w:val="28DE3958"/>
    <w:rsid w:val="28F770C2"/>
    <w:rsid w:val="29055F95"/>
    <w:rsid w:val="29057462"/>
    <w:rsid w:val="29341888"/>
    <w:rsid w:val="2945508F"/>
    <w:rsid w:val="294E7643"/>
    <w:rsid w:val="296740FF"/>
    <w:rsid w:val="29701219"/>
    <w:rsid w:val="298E09C9"/>
    <w:rsid w:val="299E2D9B"/>
    <w:rsid w:val="29B421E7"/>
    <w:rsid w:val="29DE1DBA"/>
    <w:rsid w:val="29FB3EBB"/>
    <w:rsid w:val="29FD2F6F"/>
    <w:rsid w:val="2A0A5C85"/>
    <w:rsid w:val="2A0F28F4"/>
    <w:rsid w:val="2A0F54AF"/>
    <w:rsid w:val="2A1D03C7"/>
    <w:rsid w:val="2A2E41C8"/>
    <w:rsid w:val="2A346ACA"/>
    <w:rsid w:val="2A446D64"/>
    <w:rsid w:val="2A4F5FF4"/>
    <w:rsid w:val="2A8C02FC"/>
    <w:rsid w:val="2A952A67"/>
    <w:rsid w:val="2AC12DBF"/>
    <w:rsid w:val="2AEE531A"/>
    <w:rsid w:val="2AFB6893"/>
    <w:rsid w:val="2B1C66E6"/>
    <w:rsid w:val="2B22793F"/>
    <w:rsid w:val="2B2E77B1"/>
    <w:rsid w:val="2B3C5C6D"/>
    <w:rsid w:val="2B6C4470"/>
    <w:rsid w:val="2B7D5189"/>
    <w:rsid w:val="2B8F6C63"/>
    <w:rsid w:val="2B920D55"/>
    <w:rsid w:val="2BD17FB8"/>
    <w:rsid w:val="2BDE868F"/>
    <w:rsid w:val="2C091874"/>
    <w:rsid w:val="2C0C2E05"/>
    <w:rsid w:val="2C187F64"/>
    <w:rsid w:val="2C2A6F85"/>
    <w:rsid w:val="2C301EDF"/>
    <w:rsid w:val="2C363D63"/>
    <w:rsid w:val="2C4A7C5D"/>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B72189"/>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216BF"/>
    <w:rsid w:val="2FF81FE9"/>
    <w:rsid w:val="2FFD154B"/>
    <w:rsid w:val="30184226"/>
    <w:rsid w:val="3045283A"/>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5065B"/>
    <w:rsid w:val="31AD34E7"/>
    <w:rsid w:val="31B02544"/>
    <w:rsid w:val="31DB58FA"/>
    <w:rsid w:val="31E0690F"/>
    <w:rsid w:val="31E744D3"/>
    <w:rsid w:val="31F03994"/>
    <w:rsid w:val="31F06AA9"/>
    <w:rsid w:val="31FF15D2"/>
    <w:rsid w:val="32096EE3"/>
    <w:rsid w:val="32155C69"/>
    <w:rsid w:val="321E1594"/>
    <w:rsid w:val="32535B1F"/>
    <w:rsid w:val="3279706A"/>
    <w:rsid w:val="32830AEF"/>
    <w:rsid w:val="329945C7"/>
    <w:rsid w:val="32AE7CE7"/>
    <w:rsid w:val="32BE744E"/>
    <w:rsid w:val="32C41EAE"/>
    <w:rsid w:val="32CA0E4B"/>
    <w:rsid w:val="32CB45C8"/>
    <w:rsid w:val="32D21971"/>
    <w:rsid w:val="332E3950"/>
    <w:rsid w:val="335029D8"/>
    <w:rsid w:val="335202DB"/>
    <w:rsid w:val="336E5F6C"/>
    <w:rsid w:val="33732317"/>
    <w:rsid w:val="33790B91"/>
    <w:rsid w:val="337B4EF0"/>
    <w:rsid w:val="3396767F"/>
    <w:rsid w:val="33A337D5"/>
    <w:rsid w:val="33AD0E22"/>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224AFC"/>
    <w:rsid w:val="353323D5"/>
    <w:rsid w:val="35767350"/>
    <w:rsid w:val="359A52D2"/>
    <w:rsid w:val="359E1B8E"/>
    <w:rsid w:val="35BE26D5"/>
    <w:rsid w:val="360006C2"/>
    <w:rsid w:val="36017D80"/>
    <w:rsid w:val="36231CDE"/>
    <w:rsid w:val="36457F31"/>
    <w:rsid w:val="36971C9C"/>
    <w:rsid w:val="36A861E5"/>
    <w:rsid w:val="36BC6408"/>
    <w:rsid w:val="36E55AEB"/>
    <w:rsid w:val="372F3093"/>
    <w:rsid w:val="37321D6A"/>
    <w:rsid w:val="3734013D"/>
    <w:rsid w:val="373B7D1B"/>
    <w:rsid w:val="37736ADA"/>
    <w:rsid w:val="37883D9D"/>
    <w:rsid w:val="37987CE3"/>
    <w:rsid w:val="379DF0C9"/>
    <w:rsid w:val="37DA5F5D"/>
    <w:rsid w:val="37ED036A"/>
    <w:rsid w:val="37F913BE"/>
    <w:rsid w:val="37FF6BD7"/>
    <w:rsid w:val="38177FF1"/>
    <w:rsid w:val="386523B0"/>
    <w:rsid w:val="388A34DF"/>
    <w:rsid w:val="389E4DF7"/>
    <w:rsid w:val="38A230B5"/>
    <w:rsid w:val="38B5305A"/>
    <w:rsid w:val="38C764E2"/>
    <w:rsid w:val="38D63A95"/>
    <w:rsid w:val="38DB01DF"/>
    <w:rsid w:val="3914125A"/>
    <w:rsid w:val="3915611C"/>
    <w:rsid w:val="39260D0B"/>
    <w:rsid w:val="397158ED"/>
    <w:rsid w:val="39724B96"/>
    <w:rsid w:val="39BC1DBE"/>
    <w:rsid w:val="39E37660"/>
    <w:rsid w:val="3A291850"/>
    <w:rsid w:val="3A2A56F0"/>
    <w:rsid w:val="3A347BA7"/>
    <w:rsid w:val="3A86131C"/>
    <w:rsid w:val="3A904DA0"/>
    <w:rsid w:val="3AA14CC2"/>
    <w:rsid w:val="3AC96B3C"/>
    <w:rsid w:val="3ADA7F84"/>
    <w:rsid w:val="3ADB031F"/>
    <w:rsid w:val="3AE22A52"/>
    <w:rsid w:val="3B0A2B10"/>
    <w:rsid w:val="3B1654FE"/>
    <w:rsid w:val="3B1F2193"/>
    <w:rsid w:val="3B2A3A82"/>
    <w:rsid w:val="3B470C18"/>
    <w:rsid w:val="3B5269DA"/>
    <w:rsid w:val="3B9A0AD5"/>
    <w:rsid w:val="3BAA2DFB"/>
    <w:rsid w:val="3BB98257"/>
    <w:rsid w:val="3BD45B11"/>
    <w:rsid w:val="3BEB5437"/>
    <w:rsid w:val="3C195C5A"/>
    <w:rsid w:val="3C241E9D"/>
    <w:rsid w:val="3C4165AB"/>
    <w:rsid w:val="3C504855"/>
    <w:rsid w:val="3C753D56"/>
    <w:rsid w:val="3C9E57AB"/>
    <w:rsid w:val="3CA42C54"/>
    <w:rsid w:val="3CA91485"/>
    <w:rsid w:val="3CC17E22"/>
    <w:rsid w:val="3CEA6C43"/>
    <w:rsid w:val="3D0A686C"/>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275901"/>
    <w:rsid w:val="40307C69"/>
    <w:rsid w:val="404D7AC8"/>
    <w:rsid w:val="40634C41"/>
    <w:rsid w:val="40791BF6"/>
    <w:rsid w:val="407B722C"/>
    <w:rsid w:val="40AB4C9D"/>
    <w:rsid w:val="40C20141"/>
    <w:rsid w:val="40DD16D8"/>
    <w:rsid w:val="413063A6"/>
    <w:rsid w:val="41391FB6"/>
    <w:rsid w:val="4145485A"/>
    <w:rsid w:val="417530DD"/>
    <w:rsid w:val="417B40A4"/>
    <w:rsid w:val="41814A29"/>
    <w:rsid w:val="41920DF4"/>
    <w:rsid w:val="419754E8"/>
    <w:rsid w:val="41A36DCF"/>
    <w:rsid w:val="41C06248"/>
    <w:rsid w:val="41D47056"/>
    <w:rsid w:val="42226A27"/>
    <w:rsid w:val="422E4314"/>
    <w:rsid w:val="425C78EF"/>
    <w:rsid w:val="425D4FF7"/>
    <w:rsid w:val="425F7C30"/>
    <w:rsid w:val="42655A33"/>
    <w:rsid w:val="42680B06"/>
    <w:rsid w:val="427C658F"/>
    <w:rsid w:val="429F46BC"/>
    <w:rsid w:val="42A34DFA"/>
    <w:rsid w:val="42F26E0D"/>
    <w:rsid w:val="43005F1C"/>
    <w:rsid w:val="43100FE2"/>
    <w:rsid w:val="43242DC6"/>
    <w:rsid w:val="43463A91"/>
    <w:rsid w:val="439E6277"/>
    <w:rsid w:val="43A254B1"/>
    <w:rsid w:val="43B943DD"/>
    <w:rsid w:val="43BF143F"/>
    <w:rsid w:val="43F50014"/>
    <w:rsid w:val="44173C8A"/>
    <w:rsid w:val="44240C6A"/>
    <w:rsid w:val="44272CAC"/>
    <w:rsid w:val="443A54EB"/>
    <w:rsid w:val="44451BDC"/>
    <w:rsid w:val="444F6481"/>
    <w:rsid w:val="445837CF"/>
    <w:rsid w:val="447B6726"/>
    <w:rsid w:val="448E3087"/>
    <w:rsid w:val="449A1973"/>
    <w:rsid w:val="44F02F62"/>
    <w:rsid w:val="451A0FD3"/>
    <w:rsid w:val="45712308"/>
    <w:rsid w:val="457D2990"/>
    <w:rsid w:val="458B1522"/>
    <w:rsid w:val="45DB35CC"/>
    <w:rsid w:val="45DB45DE"/>
    <w:rsid w:val="45ED0241"/>
    <w:rsid w:val="460434E4"/>
    <w:rsid w:val="466B00B6"/>
    <w:rsid w:val="46706F3F"/>
    <w:rsid w:val="46742883"/>
    <w:rsid w:val="46757EF5"/>
    <w:rsid w:val="468375BE"/>
    <w:rsid w:val="46876032"/>
    <w:rsid w:val="46A87C88"/>
    <w:rsid w:val="46C96C6F"/>
    <w:rsid w:val="46FD0882"/>
    <w:rsid w:val="471513C1"/>
    <w:rsid w:val="47245012"/>
    <w:rsid w:val="472B40E0"/>
    <w:rsid w:val="473461A6"/>
    <w:rsid w:val="473D42FE"/>
    <w:rsid w:val="47793752"/>
    <w:rsid w:val="477D2EEB"/>
    <w:rsid w:val="477E751F"/>
    <w:rsid w:val="47A31B07"/>
    <w:rsid w:val="47A9364D"/>
    <w:rsid w:val="47C81250"/>
    <w:rsid w:val="47C84FBA"/>
    <w:rsid w:val="47E051A9"/>
    <w:rsid w:val="47EFACDD"/>
    <w:rsid w:val="485278BE"/>
    <w:rsid w:val="487D2A9B"/>
    <w:rsid w:val="48C75219"/>
    <w:rsid w:val="48D23E7A"/>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946440"/>
    <w:rsid w:val="4AD43451"/>
    <w:rsid w:val="4ADD07E4"/>
    <w:rsid w:val="4B4E3F99"/>
    <w:rsid w:val="4B5A348C"/>
    <w:rsid w:val="4B715FB2"/>
    <w:rsid w:val="4B8C55E8"/>
    <w:rsid w:val="4BB858C5"/>
    <w:rsid w:val="4C083C31"/>
    <w:rsid w:val="4C100B51"/>
    <w:rsid w:val="4C875D8A"/>
    <w:rsid w:val="4C88552C"/>
    <w:rsid w:val="4CD90354"/>
    <w:rsid w:val="4CE354D3"/>
    <w:rsid w:val="4D007AFD"/>
    <w:rsid w:val="4D092A65"/>
    <w:rsid w:val="4D3E119B"/>
    <w:rsid w:val="4D5D5079"/>
    <w:rsid w:val="4D63426D"/>
    <w:rsid w:val="4D6F1F18"/>
    <w:rsid w:val="4D7376F9"/>
    <w:rsid w:val="4D9E38E4"/>
    <w:rsid w:val="4DC82BF0"/>
    <w:rsid w:val="4DD013FD"/>
    <w:rsid w:val="4DE577AB"/>
    <w:rsid w:val="4E641413"/>
    <w:rsid w:val="4E7B4448"/>
    <w:rsid w:val="4EBA1CDB"/>
    <w:rsid w:val="4EDB1BC9"/>
    <w:rsid w:val="4EEB225C"/>
    <w:rsid w:val="4F007AF0"/>
    <w:rsid w:val="4F103158"/>
    <w:rsid w:val="4F1638C7"/>
    <w:rsid w:val="4F172AC2"/>
    <w:rsid w:val="4F1B6653"/>
    <w:rsid w:val="4F314161"/>
    <w:rsid w:val="4F3D70A6"/>
    <w:rsid w:val="4F3F55BB"/>
    <w:rsid w:val="4F464A5A"/>
    <w:rsid w:val="4F4C6491"/>
    <w:rsid w:val="4F5551B4"/>
    <w:rsid w:val="4F5D32A4"/>
    <w:rsid w:val="4F66062D"/>
    <w:rsid w:val="4F6B71DF"/>
    <w:rsid w:val="4F9818B4"/>
    <w:rsid w:val="4FAD051B"/>
    <w:rsid w:val="4FD46EBD"/>
    <w:rsid w:val="4FE828ED"/>
    <w:rsid w:val="501D392A"/>
    <w:rsid w:val="5038161B"/>
    <w:rsid w:val="503D78E7"/>
    <w:rsid w:val="503D7B8D"/>
    <w:rsid w:val="506B2F52"/>
    <w:rsid w:val="507951EA"/>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AF3E2F"/>
    <w:rsid w:val="52BF04C8"/>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2A5867"/>
    <w:rsid w:val="552E69F8"/>
    <w:rsid w:val="553E32D6"/>
    <w:rsid w:val="55583B90"/>
    <w:rsid w:val="55675C79"/>
    <w:rsid w:val="558D65E8"/>
    <w:rsid w:val="55990B54"/>
    <w:rsid w:val="55BC2E86"/>
    <w:rsid w:val="55C03CB8"/>
    <w:rsid w:val="55C624E8"/>
    <w:rsid w:val="55D94BD7"/>
    <w:rsid w:val="5625035E"/>
    <w:rsid w:val="562F0568"/>
    <w:rsid w:val="565F506B"/>
    <w:rsid w:val="5664316A"/>
    <w:rsid w:val="566F1F39"/>
    <w:rsid w:val="56830ADF"/>
    <w:rsid w:val="56857CFC"/>
    <w:rsid w:val="569022B2"/>
    <w:rsid w:val="56BB20E5"/>
    <w:rsid w:val="56D5033D"/>
    <w:rsid w:val="56D67726"/>
    <w:rsid w:val="56F83845"/>
    <w:rsid w:val="56FF2CC1"/>
    <w:rsid w:val="57002B8D"/>
    <w:rsid w:val="571F6FD0"/>
    <w:rsid w:val="57344DFE"/>
    <w:rsid w:val="573577BE"/>
    <w:rsid w:val="573751CA"/>
    <w:rsid w:val="57606083"/>
    <w:rsid w:val="577769FC"/>
    <w:rsid w:val="578B0E6E"/>
    <w:rsid w:val="57A1046F"/>
    <w:rsid w:val="57B5D834"/>
    <w:rsid w:val="57BB2B38"/>
    <w:rsid w:val="57D60C34"/>
    <w:rsid w:val="57F652BC"/>
    <w:rsid w:val="580515D3"/>
    <w:rsid w:val="5848614A"/>
    <w:rsid w:val="584C035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1F57D6"/>
    <w:rsid w:val="5A376F91"/>
    <w:rsid w:val="5A3D0E34"/>
    <w:rsid w:val="5A4E1D0A"/>
    <w:rsid w:val="5A5345B1"/>
    <w:rsid w:val="5A642481"/>
    <w:rsid w:val="5A6E0818"/>
    <w:rsid w:val="5ABE7049"/>
    <w:rsid w:val="5AC32B55"/>
    <w:rsid w:val="5ADE242B"/>
    <w:rsid w:val="5AE145C9"/>
    <w:rsid w:val="5B0867BA"/>
    <w:rsid w:val="5B421824"/>
    <w:rsid w:val="5B695259"/>
    <w:rsid w:val="5B75772B"/>
    <w:rsid w:val="5B7C0F56"/>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115B9"/>
    <w:rsid w:val="5ED30C10"/>
    <w:rsid w:val="5EDA2A7B"/>
    <w:rsid w:val="5EE16E0E"/>
    <w:rsid w:val="5F3940A0"/>
    <w:rsid w:val="5F44566E"/>
    <w:rsid w:val="5F4C554A"/>
    <w:rsid w:val="5F675369"/>
    <w:rsid w:val="5F9C7872"/>
    <w:rsid w:val="5FB71F10"/>
    <w:rsid w:val="5FCF3527"/>
    <w:rsid w:val="5FDD6DAE"/>
    <w:rsid w:val="5FE64BF0"/>
    <w:rsid w:val="5FF11BD5"/>
    <w:rsid w:val="5FF508FC"/>
    <w:rsid w:val="5FFB837C"/>
    <w:rsid w:val="601531AE"/>
    <w:rsid w:val="602D4F22"/>
    <w:rsid w:val="603F2201"/>
    <w:rsid w:val="60417BE6"/>
    <w:rsid w:val="604C733B"/>
    <w:rsid w:val="605721AA"/>
    <w:rsid w:val="60AE77CA"/>
    <w:rsid w:val="60B44113"/>
    <w:rsid w:val="60C06C11"/>
    <w:rsid w:val="60E517B1"/>
    <w:rsid w:val="60EA573B"/>
    <w:rsid w:val="613413C7"/>
    <w:rsid w:val="613F7C88"/>
    <w:rsid w:val="616816BC"/>
    <w:rsid w:val="61731648"/>
    <w:rsid w:val="617A1E26"/>
    <w:rsid w:val="61D60995"/>
    <w:rsid w:val="61E16FA2"/>
    <w:rsid w:val="61E54B40"/>
    <w:rsid w:val="622C753A"/>
    <w:rsid w:val="624F3EEF"/>
    <w:rsid w:val="62884618"/>
    <w:rsid w:val="62D70BD1"/>
    <w:rsid w:val="62E47D3E"/>
    <w:rsid w:val="62E573E1"/>
    <w:rsid w:val="62E92531"/>
    <w:rsid w:val="630322E6"/>
    <w:rsid w:val="6341070D"/>
    <w:rsid w:val="63416D06"/>
    <w:rsid w:val="63A6157B"/>
    <w:rsid w:val="63AA21B4"/>
    <w:rsid w:val="63C3108A"/>
    <w:rsid w:val="63FC019F"/>
    <w:rsid w:val="64055F78"/>
    <w:rsid w:val="64481AB7"/>
    <w:rsid w:val="64497B3B"/>
    <w:rsid w:val="646F08D5"/>
    <w:rsid w:val="648630F3"/>
    <w:rsid w:val="64B30F39"/>
    <w:rsid w:val="64BA7177"/>
    <w:rsid w:val="64C45F03"/>
    <w:rsid w:val="64CB5E68"/>
    <w:rsid w:val="64D5736A"/>
    <w:rsid w:val="64EB50A8"/>
    <w:rsid w:val="64F851F1"/>
    <w:rsid w:val="650A1380"/>
    <w:rsid w:val="65312228"/>
    <w:rsid w:val="65625FEC"/>
    <w:rsid w:val="656C7BC4"/>
    <w:rsid w:val="65715E5A"/>
    <w:rsid w:val="65904230"/>
    <w:rsid w:val="65930C48"/>
    <w:rsid w:val="65BA2DA7"/>
    <w:rsid w:val="65BF74AA"/>
    <w:rsid w:val="65C23858"/>
    <w:rsid w:val="6601087F"/>
    <w:rsid w:val="66183E19"/>
    <w:rsid w:val="665054B9"/>
    <w:rsid w:val="66821BE2"/>
    <w:rsid w:val="66A31A8D"/>
    <w:rsid w:val="66BE22A1"/>
    <w:rsid w:val="66D70B4F"/>
    <w:rsid w:val="66E47351"/>
    <w:rsid w:val="66FF5A0E"/>
    <w:rsid w:val="67005BCA"/>
    <w:rsid w:val="6702678E"/>
    <w:rsid w:val="671C1D5F"/>
    <w:rsid w:val="671F12E9"/>
    <w:rsid w:val="673426E5"/>
    <w:rsid w:val="67812CEA"/>
    <w:rsid w:val="679D4CF3"/>
    <w:rsid w:val="679E080A"/>
    <w:rsid w:val="67EE11BE"/>
    <w:rsid w:val="681E63B1"/>
    <w:rsid w:val="682D5AB2"/>
    <w:rsid w:val="683B1C26"/>
    <w:rsid w:val="68802D32"/>
    <w:rsid w:val="6889713A"/>
    <w:rsid w:val="68DC0F3F"/>
    <w:rsid w:val="68E258A1"/>
    <w:rsid w:val="68FA6BF9"/>
    <w:rsid w:val="691463FB"/>
    <w:rsid w:val="691A565F"/>
    <w:rsid w:val="69541AD9"/>
    <w:rsid w:val="69650E2F"/>
    <w:rsid w:val="69A9488B"/>
    <w:rsid w:val="69C96177"/>
    <w:rsid w:val="69E16BE6"/>
    <w:rsid w:val="6A230268"/>
    <w:rsid w:val="6A457122"/>
    <w:rsid w:val="6A4D68CC"/>
    <w:rsid w:val="6A5F513A"/>
    <w:rsid w:val="6A7150A8"/>
    <w:rsid w:val="6A7401B1"/>
    <w:rsid w:val="6AA1318D"/>
    <w:rsid w:val="6ABF2D94"/>
    <w:rsid w:val="6B02331D"/>
    <w:rsid w:val="6B067187"/>
    <w:rsid w:val="6B234F4A"/>
    <w:rsid w:val="6B32606A"/>
    <w:rsid w:val="6B507AEB"/>
    <w:rsid w:val="6B727905"/>
    <w:rsid w:val="6B9125CB"/>
    <w:rsid w:val="6BA04D82"/>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A700B4"/>
    <w:rsid w:val="6DDF75FC"/>
    <w:rsid w:val="6DF90EC9"/>
    <w:rsid w:val="6E01448B"/>
    <w:rsid w:val="6E025E88"/>
    <w:rsid w:val="6E2E5E48"/>
    <w:rsid w:val="6E866386"/>
    <w:rsid w:val="6E921CAE"/>
    <w:rsid w:val="6ED160AB"/>
    <w:rsid w:val="6EDB34C1"/>
    <w:rsid w:val="6F006DDA"/>
    <w:rsid w:val="6F085C5D"/>
    <w:rsid w:val="6F4F6D21"/>
    <w:rsid w:val="6F58696B"/>
    <w:rsid w:val="6F8A7DFB"/>
    <w:rsid w:val="6F92269E"/>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7C53B4"/>
    <w:rsid w:val="719F0B7C"/>
    <w:rsid w:val="71CD6934"/>
    <w:rsid w:val="71EA15C0"/>
    <w:rsid w:val="71F83BE6"/>
    <w:rsid w:val="723942F4"/>
    <w:rsid w:val="725737C3"/>
    <w:rsid w:val="7260622C"/>
    <w:rsid w:val="726D5A47"/>
    <w:rsid w:val="72757496"/>
    <w:rsid w:val="727B41C2"/>
    <w:rsid w:val="728A47F3"/>
    <w:rsid w:val="72B648F6"/>
    <w:rsid w:val="72C9C255"/>
    <w:rsid w:val="72E75711"/>
    <w:rsid w:val="72EB1400"/>
    <w:rsid w:val="732860A1"/>
    <w:rsid w:val="734C374E"/>
    <w:rsid w:val="73517BC9"/>
    <w:rsid w:val="73870389"/>
    <w:rsid w:val="73990F99"/>
    <w:rsid w:val="73B44DF0"/>
    <w:rsid w:val="73C771C6"/>
    <w:rsid w:val="73E907B7"/>
    <w:rsid w:val="73F12089"/>
    <w:rsid w:val="73F21076"/>
    <w:rsid w:val="740B2C2B"/>
    <w:rsid w:val="7417189B"/>
    <w:rsid w:val="7425611C"/>
    <w:rsid w:val="74340A39"/>
    <w:rsid w:val="74611F1F"/>
    <w:rsid w:val="7491533F"/>
    <w:rsid w:val="74BF4BF1"/>
    <w:rsid w:val="74CE0A9B"/>
    <w:rsid w:val="74D22127"/>
    <w:rsid w:val="74F4555C"/>
    <w:rsid w:val="75037857"/>
    <w:rsid w:val="750D524B"/>
    <w:rsid w:val="752FE869"/>
    <w:rsid w:val="753D053B"/>
    <w:rsid w:val="755539A3"/>
    <w:rsid w:val="75556181"/>
    <w:rsid w:val="75712ACC"/>
    <w:rsid w:val="75846400"/>
    <w:rsid w:val="758962F1"/>
    <w:rsid w:val="759871F9"/>
    <w:rsid w:val="75990690"/>
    <w:rsid w:val="75A44310"/>
    <w:rsid w:val="75C26102"/>
    <w:rsid w:val="75CC5A83"/>
    <w:rsid w:val="75DE663D"/>
    <w:rsid w:val="75FA4693"/>
    <w:rsid w:val="76072028"/>
    <w:rsid w:val="761A3604"/>
    <w:rsid w:val="76390E53"/>
    <w:rsid w:val="767577A0"/>
    <w:rsid w:val="76811444"/>
    <w:rsid w:val="768611D1"/>
    <w:rsid w:val="76A61737"/>
    <w:rsid w:val="76AC12BF"/>
    <w:rsid w:val="76BD780E"/>
    <w:rsid w:val="76BE11CF"/>
    <w:rsid w:val="76BFB7AB"/>
    <w:rsid w:val="76CA3B7D"/>
    <w:rsid w:val="76CEC8CE"/>
    <w:rsid w:val="76EF5CA5"/>
    <w:rsid w:val="76F463F0"/>
    <w:rsid w:val="76FAD0CD"/>
    <w:rsid w:val="7701463A"/>
    <w:rsid w:val="770D331C"/>
    <w:rsid w:val="77147838"/>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4E59A7"/>
    <w:rsid w:val="78700E16"/>
    <w:rsid w:val="78787717"/>
    <w:rsid w:val="78AB6CF2"/>
    <w:rsid w:val="78C85065"/>
    <w:rsid w:val="78CB2276"/>
    <w:rsid w:val="78CB54A2"/>
    <w:rsid w:val="78F85823"/>
    <w:rsid w:val="78FF40FB"/>
    <w:rsid w:val="793122E3"/>
    <w:rsid w:val="794857A6"/>
    <w:rsid w:val="79585961"/>
    <w:rsid w:val="79614897"/>
    <w:rsid w:val="79617D09"/>
    <w:rsid w:val="79680FED"/>
    <w:rsid w:val="796F1C36"/>
    <w:rsid w:val="79977AE6"/>
    <w:rsid w:val="79BB2545"/>
    <w:rsid w:val="79C008CD"/>
    <w:rsid w:val="7A344C0F"/>
    <w:rsid w:val="7A4F7B07"/>
    <w:rsid w:val="7A5101BC"/>
    <w:rsid w:val="7A640DEF"/>
    <w:rsid w:val="7A685998"/>
    <w:rsid w:val="7A8F615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D0D2D49"/>
    <w:rsid w:val="7D203553"/>
    <w:rsid w:val="7D3638F1"/>
    <w:rsid w:val="7D4441A2"/>
    <w:rsid w:val="7D5B1D0F"/>
    <w:rsid w:val="7D8067C9"/>
    <w:rsid w:val="7D9948DF"/>
    <w:rsid w:val="7D9C56A0"/>
    <w:rsid w:val="7DA5369F"/>
    <w:rsid w:val="7DA55C93"/>
    <w:rsid w:val="7DBA0B08"/>
    <w:rsid w:val="7DC47C61"/>
    <w:rsid w:val="7DD76F8A"/>
    <w:rsid w:val="7DDB5147"/>
    <w:rsid w:val="7DEA3AF1"/>
    <w:rsid w:val="7E00744C"/>
    <w:rsid w:val="7E1F5D8A"/>
    <w:rsid w:val="7E27194F"/>
    <w:rsid w:val="7E53DB8D"/>
    <w:rsid w:val="7E5D471B"/>
    <w:rsid w:val="7E93527C"/>
    <w:rsid w:val="7EA64368"/>
    <w:rsid w:val="7EA7CF43"/>
    <w:rsid w:val="7EC17537"/>
    <w:rsid w:val="7EE2633A"/>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59"/>
    <w:qFormat/>
    <w:uiPriority w:val="0"/>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2"/>
    <w:qFormat/>
    <w:uiPriority w:val="0"/>
    <w:pPr>
      <w:shd w:val="clear" w:color="auto" w:fill="000080"/>
    </w:pPr>
  </w:style>
  <w:style w:type="paragraph" w:styleId="15">
    <w:name w:val="annotation text"/>
    <w:basedOn w:val="1"/>
    <w:link w:val="63"/>
    <w:qFormat/>
    <w:uiPriority w:val="99"/>
    <w:pPr>
      <w:adjustRightInd w:val="0"/>
      <w:spacing w:line="360" w:lineRule="atLeast"/>
      <w:jc w:val="left"/>
      <w:textAlignment w:val="baseline"/>
    </w:pPr>
    <w:rPr>
      <w:kern w:val="0"/>
      <w:sz w:val="24"/>
      <w:szCs w:val="20"/>
    </w:rPr>
  </w:style>
  <w:style w:type="paragraph" w:styleId="16">
    <w:name w:val="Body Text 3"/>
    <w:basedOn w:val="1"/>
    <w:link w:val="64"/>
    <w:qFormat/>
    <w:uiPriority w:val="0"/>
    <w:pPr>
      <w:spacing w:line="440" w:lineRule="exact"/>
    </w:pPr>
    <w:rPr>
      <w:sz w:val="24"/>
    </w:rPr>
  </w:style>
  <w:style w:type="paragraph" w:styleId="17">
    <w:name w:val="Body Text"/>
    <w:basedOn w:val="1"/>
    <w:next w:val="1"/>
    <w:link w:val="54"/>
    <w:qFormat/>
    <w:uiPriority w:val="0"/>
    <w:pPr>
      <w:jc w:val="center"/>
    </w:pPr>
    <w:rPr>
      <w:sz w:val="52"/>
    </w:rPr>
  </w:style>
  <w:style w:type="paragraph" w:styleId="18">
    <w:name w:val="Body Text Indent"/>
    <w:basedOn w:val="1"/>
    <w:next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next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5"/>
    <w:next w:val="15"/>
    <w:link w:val="70"/>
    <w:qFormat/>
    <w:uiPriority w:val="0"/>
    <w:pPr>
      <w:adjustRightInd/>
      <w:spacing w:line="240" w:lineRule="auto"/>
      <w:textAlignment w:val="auto"/>
    </w:pPr>
    <w:rPr>
      <w:b/>
      <w:bCs/>
      <w:kern w:val="2"/>
      <w:sz w:val="21"/>
      <w:szCs w:val="24"/>
    </w:rPr>
  </w:style>
  <w:style w:type="paragraph" w:styleId="39">
    <w:name w:val="Body Text First Indent 2"/>
    <w:basedOn w:val="18"/>
    <w:next w:val="1"/>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17"/>
    <w:qFormat/>
    <w:locked/>
    <w:uiPriority w:val="0"/>
    <w:rPr>
      <w:kern w:val="2"/>
      <w:sz w:val="52"/>
      <w:szCs w:val="24"/>
    </w:rPr>
  </w:style>
  <w:style w:type="character" w:customStyle="1" w:styleId="55">
    <w:name w:val="标题 1 字符"/>
    <w:link w:val="2"/>
    <w:qFormat/>
    <w:locked/>
    <w:uiPriority w:val="0"/>
    <w:rPr>
      <w:b/>
      <w:bCs/>
      <w:kern w:val="44"/>
      <w:sz w:val="44"/>
      <w:szCs w:val="44"/>
    </w:rPr>
  </w:style>
  <w:style w:type="character" w:customStyle="1" w:styleId="56">
    <w:name w:val="标题 2 字符"/>
    <w:link w:val="3"/>
    <w:qFormat/>
    <w:locked/>
    <w:uiPriority w:val="0"/>
    <w:rPr>
      <w:rFonts w:ascii="Arial" w:hAnsi="Arial"/>
      <w:b/>
      <w:bCs/>
      <w:color w:val="FF0000"/>
      <w:kern w:val="2"/>
      <w:sz w:val="28"/>
      <w:szCs w:val="32"/>
    </w:rPr>
  </w:style>
  <w:style w:type="paragraph" w:customStyle="1" w:styleId="57">
    <w:name w:val="标题 60"/>
    <w:basedOn w:val="7"/>
    <w:qFormat/>
    <w:uiPriority w:val="0"/>
    <w:pPr>
      <w:spacing w:line="319" w:lineRule="auto"/>
      <w:ind w:firstLine="200" w:firstLineChars="200"/>
    </w:pPr>
    <w:rPr>
      <w:b w:val="0"/>
      <w:bCs w:val="0"/>
    </w:rPr>
  </w:style>
  <w:style w:type="character" w:customStyle="1" w:styleId="58">
    <w:name w:val="标题 3 字符"/>
    <w:link w:val="4"/>
    <w:qFormat/>
    <w:uiPriority w:val="0"/>
    <w:rPr>
      <w:b/>
      <w:bCs/>
      <w:kern w:val="2"/>
      <w:sz w:val="32"/>
      <w:szCs w:val="32"/>
    </w:rPr>
  </w:style>
  <w:style w:type="character" w:customStyle="1" w:styleId="59">
    <w:name w:val="正文缩进 字符"/>
    <w:link w:val="12"/>
    <w:qFormat/>
    <w:uiPriority w:val="0"/>
  </w:style>
  <w:style w:type="character" w:customStyle="1" w:styleId="60">
    <w:name w:val="标题 4 字符"/>
    <w:link w:val="5"/>
    <w:qFormat/>
    <w:uiPriority w:val="0"/>
    <w:rPr>
      <w:rFonts w:ascii="Arial" w:hAnsi="Arial" w:eastAsia="黑体"/>
      <w:b/>
      <w:bCs/>
      <w:kern w:val="2"/>
      <w:sz w:val="28"/>
      <w:szCs w:val="28"/>
    </w:rPr>
  </w:style>
  <w:style w:type="character" w:customStyle="1" w:styleId="61">
    <w:name w:val="标题 9 字符"/>
    <w:link w:val="10"/>
    <w:qFormat/>
    <w:uiPriority w:val="0"/>
    <w:rPr>
      <w:rFonts w:ascii="Arial" w:hAnsi="Arial" w:eastAsia="黑体"/>
      <w:sz w:val="21"/>
      <w:szCs w:val="21"/>
    </w:rPr>
  </w:style>
  <w:style w:type="character" w:customStyle="1" w:styleId="62">
    <w:name w:val="文档结构图 字符"/>
    <w:link w:val="14"/>
    <w:qFormat/>
    <w:uiPriority w:val="0"/>
    <w:rPr>
      <w:kern w:val="2"/>
      <w:sz w:val="21"/>
      <w:szCs w:val="24"/>
      <w:shd w:val="clear" w:color="auto" w:fill="000080"/>
    </w:rPr>
  </w:style>
  <w:style w:type="character" w:customStyle="1" w:styleId="63">
    <w:name w:val="批注文字 字符1"/>
    <w:link w:val="15"/>
    <w:qFormat/>
    <w:locked/>
    <w:uiPriority w:val="99"/>
    <w:rPr>
      <w:sz w:val="24"/>
    </w:rPr>
  </w:style>
  <w:style w:type="character" w:customStyle="1" w:styleId="64">
    <w:name w:val="正文文本 3 字符"/>
    <w:link w:val="16"/>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5"/>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5"/>
    <w:next w:val="15"/>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basedOn w:val="42"/>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basedOn w:val="42"/>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basedOn w:val="42"/>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3"/>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paragraph" w:customStyle="1" w:styleId="176">
    <w:name w:val="正文文本 31"/>
    <w:basedOn w:val="1"/>
    <w:qFormat/>
    <w:uiPriority w:val="0"/>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wmf"/><Relationship Id="rId13" Type="http://schemas.openxmlformats.org/officeDocument/2006/relationships/control" Target="activeX/activeX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32299</Words>
  <Characters>33944</Characters>
  <Lines>198</Lines>
  <Paragraphs>55</Paragraphs>
  <TotalTime>2</TotalTime>
  <ScaleCrop>false</ScaleCrop>
  <LinksUpToDate>false</LinksUpToDate>
  <CharactersWithSpaces>34918</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闫芳</cp:lastModifiedBy>
  <cp:lastPrinted>2018-07-16T11:27:00Z</cp:lastPrinted>
  <dcterms:modified xsi:type="dcterms:W3CDTF">2026-06-27T10:02:09Z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D9A337DDAC1842D291D1D0B237293D26_13</vt:lpwstr>
  </property>
  <property fmtid="{D5CDD505-2E9C-101B-9397-08002B2CF9AE}" pid="4" name="KSOTemplateDocerSaveRecord">
    <vt:lpwstr>eyJoZGlkIjoiY2M2ZTNjNTM4MTdkNGU0ODRlZWFjZjliOGJmZWI2NGIiLCJ1c2VySWQiOiI0NjMzNTkwMTMifQ==</vt:lpwstr>
  </property>
</Properties>
</file>