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color w:val="auto"/>
          <w:sz w:val="28"/>
          <w:szCs w:val="28"/>
          <w:highlight w:val="none"/>
        </w:rPr>
      </w:pPr>
    </w:p>
    <w:p>
      <w:pPr>
        <w:adjustRightInd w:val="0"/>
        <w:snapToGrid w:val="0"/>
        <w:spacing w:line="360" w:lineRule="auto"/>
        <w:jc w:val="center"/>
        <w:rPr>
          <w:rFonts w:hint="eastAsia" w:ascii="仿宋" w:hAnsi="仿宋" w:eastAsia="仿宋" w:cs="仿宋"/>
          <w:bCs/>
          <w:color w:val="auto"/>
          <w:sz w:val="28"/>
          <w:szCs w:val="28"/>
          <w:highlight w:val="none"/>
        </w:rPr>
      </w:pPr>
    </w:p>
    <w:p>
      <w:pPr>
        <w:adjustRightInd w:val="0"/>
        <w:snapToGrid w:val="0"/>
        <w:spacing w:line="360" w:lineRule="auto"/>
        <w:rPr>
          <w:rFonts w:hint="eastAsia" w:ascii="仿宋" w:hAnsi="仿宋" w:eastAsia="仿宋" w:cs="仿宋"/>
          <w:b/>
          <w:color w:val="auto"/>
          <w:sz w:val="44"/>
          <w:szCs w:val="44"/>
          <w:highlight w:val="none"/>
        </w:rPr>
      </w:pPr>
    </w:p>
    <w:p>
      <w:pPr>
        <w:spacing w:before="240"/>
        <w:jc w:val="center"/>
        <w:rPr>
          <w:rFonts w:hint="eastAsia" w:ascii="仿宋" w:hAnsi="仿宋" w:eastAsia="仿宋" w:cs="宋体"/>
          <w:b/>
          <w:color w:val="auto"/>
          <w:spacing w:val="40"/>
          <w:sz w:val="36"/>
          <w:szCs w:val="36"/>
          <w:highlight w:val="none"/>
        </w:rPr>
      </w:pPr>
      <w:r>
        <w:rPr>
          <w:rFonts w:hint="eastAsia" w:ascii="仿宋" w:hAnsi="仿宋" w:eastAsia="仿宋" w:cs="宋体"/>
          <w:b/>
          <w:color w:val="auto"/>
          <w:spacing w:val="40"/>
          <w:sz w:val="36"/>
          <w:szCs w:val="36"/>
          <w:highlight w:val="none"/>
        </w:rPr>
        <w:t>人保</w:t>
      </w:r>
      <w:r>
        <w:rPr>
          <w:rFonts w:hint="eastAsia" w:ascii="仿宋" w:hAnsi="仿宋" w:eastAsia="仿宋" w:cs="宋体"/>
          <w:b/>
          <w:color w:val="auto"/>
          <w:spacing w:val="40"/>
          <w:sz w:val="36"/>
          <w:szCs w:val="36"/>
          <w:highlight w:val="none"/>
          <w:lang w:val="en-US" w:eastAsia="zh-CN"/>
        </w:rPr>
        <w:t>财险</w:t>
      </w:r>
      <w:r>
        <w:rPr>
          <w:rFonts w:hint="eastAsia" w:ascii="仿宋" w:hAnsi="仿宋" w:eastAsia="仿宋" w:cs="宋体"/>
          <w:b/>
          <w:color w:val="auto"/>
          <w:spacing w:val="40"/>
          <w:sz w:val="36"/>
          <w:szCs w:val="36"/>
          <w:highlight w:val="none"/>
        </w:rPr>
        <w:t>新疆</w:t>
      </w:r>
      <w:r>
        <w:rPr>
          <w:rFonts w:hint="eastAsia" w:ascii="仿宋" w:hAnsi="仿宋" w:eastAsia="仿宋" w:cs="宋体"/>
          <w:b/>
          <w:color w:val="auto"/>
          <w:spacing w:val="40"/>
          <w:sz w:val="36"/>
          <w:szCs w:val="36"/>
          <w:highlight w:val="none"/>
          <w:lang w:val="en-US" w:eastAsia="zh-CN"/>
        </w:rPr>
        <w:t>昭苏</w:t>
      </w:r>
      <w:r>
        <w:rPr>
          <w:rFonts w:hint="eastAsia" w:ascii="仿宋" w:hAnsi="仿宋" w:eastAsia="仿宋" w:cs="宋体"/>
          <w:b/>
          <w:color w:val="auto"/>
          <w:spacing w:val="40"/>
          <w:sz w:val="36"/>
          <w:szCs w:val="36"/>
          <w:highlight w:val="none"/>
        </w:rPr>
        <w:t>支公司职工食堂食材供应商</w:t>
      </w:r>
    </w:p>
    <w:p>
      <w:pPr>
        <w:spacing w:before="240"/>
        <w:jc w:val="center"/>
        <w:rPr>
          <w:rStyle w:val="51"/>
          <w:color w:val="auto"/>
          <w:highlight w:val="none"/>
        </w:rPr>
      </w:pPr>
      <w:r>
        <w:rPr>
          <w:rFonts w:hint="eastAsia" w:ascii="仿宋" w:hAnsi="仿宋" w:eastAsia="仿宋" w:cs="宋体"/>
          <w:b/>
          <w:color w:val="auto"/>
          <w:spacing w:val="40"/>
          <w:sz w:val="36"/>
          <w:szCs w:val="36"/>
          <w:highlight w:val="none"/>
        </w:rPr>
        <w:t>采购项目</w:t>
      </w: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pStyle w:val="2"/>
        <w:rPr>
          <w:rFonts w:hint="eastAsia"/>
          <w:color w:val="auto"/>
          <w:highlight w:val="none"/>
        </w:rPr>
      </w:pPr>
    </w:p>
    <w:p>
      <w:pPr>
        <w:rPr>
          <w:rFonts w:hint="eastAsia" w:ascii="仿宋" w:hAnsi="仿宋" w:eastAsia="仿宋" w:cs="仿宋"/>
          <w:color w:val="auto"/>
          <w:highlight w:val="none"/>
        </w:rPr>
      </w:pP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pStyle w:val="2"/>
        <w:rPr>
          <w:rFonts w:hint="eastAsia"/>
          <w:color w:val="auto"/>
          <w:highlight w:val="none"/>
        </w:rPr>
      </w:pPr>
    </w:p>
    <w:p>
      <w:pPr>
        <w:tabs>
          <w:tab w:val="left" w:pos="720"/>
          <w:tab w:val="left" w:pos="8295"/>
        </w:tabs>
        <w:spacing w:line="360" w:lineRule="auto"/>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lang w:eastAsia="zh-CN"/>
        </w:rPr>
        <w:t>比选磋商</w:t>
      </w:r>
      <w:r>
        <w:rPr>
          <w:rFonts w:hint="eastAsia" w:ascii="仿宋" w:hAnsi="仿宋" w:eastAsia="仿宋" w:cs="仿宋"/>
          <w:b/>
          <w:bCs/>
          <w:color w:val="auto"/>
          <w:sz w:val="84"/>
          <w:szCs w:val="84"/>
          <w:highlight w:val="none"/>
        </w:rPr>
        <w:t>文件</w:t>
      </w: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tabs>
          <w:tab w:val="left" w:pos="720"/>
          <w:tab w:val="left" w:pos="8295"/>
        </w:tabs>
        <w:spacing w:line="360" w:lineRule="auto"/>
        <w:jc w:val="center"/>
        <w:rPr>
          <w:rFonts w:hint="eastAsia" w:ascii="仿宋" w:hAnsi="仿宋" w:eastAsia="仿宋" w:cs="仿宋"/>
          <w:b/>
          <w:color w:val="auto"/>
          <w:sz w:val="28"/>
          <w:szCs w:val="28"/>
          <w:highlight w:val="none"/>
        </w:rPr>
      </w:pPr>
    </w:p>
    <w:p>
      <w:pPr>
        <w:tabs>
          <w:tab w:val="left" w:pos="720"/>
          <w:tab w:val="left" w:pos="8295"/>
        </w:tabs>
        <w:spacing w:line="360" w:lineRule="auto"/>
        <w:jc w:val="center"/>
        <w:rPr>
          <w:rFonts w:ascii="仿宋" w:hAnsi="仿宋" w:eastAsia="仿宋" w:cs="仿宋"/>
          <w:b/>
          <w:color w:val="auto"/>
          <w:sz w:val="36"/>
          <w:szCs w:val="36"/>
          <w:highlight w:val="none"/>
        </w:rPr>
      </w:pPr>
    </w:p>
    <w:p>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采购人：中国人民财产保险股份有限公司</w:t>
      </w:r>
      <w:r>
        <w:rPr>
          <w:rFonts w:hint="eastAsia" w:ascii="仿宋" w:hAnsi="仿宋" w:eastAsia="仿宋" w:cs="仿宋"/>
          <w:b/>
          <w:color w:val="auto"/>
          <w:kern w:val="0"/>
          <w:sz w:val="28"/>
          <w:szCs w:val="28"/>
          <w:highlight w:val="none"/>
          <w:lang w:val="en-US" w:eastAsia="zh-CN"/>
        </w:rPr>
        <w:t>昭苏</w:t>
      </w:r>
      <w:r>
        <w:rPr>
          <w:rFonts w:hint="eastAsia" w:ascii="仿宋" w:hAnsi="仿宋" w:eastAsia="仿宋" w:cs="仿宋"/>
          <w:b/>
          <w:color w:val="auto"/>
          <w:kern w:val="0"/>
          <w:sz w:val="28"/>
          <w:szCs w:val="28"/>
          <w:highlight w:val="none"/>
        </w:rPr>
        <w:t>支公司</w:t>
      </w:r>
    </w:p>
    <w:p>
      <w:pPr>
        <w:tabs>
          <w:tab w:val="left" w:pos="720"/>
          <w:tab w:val="left" w:pos="8295"/>
        </w:tabs>
        <w:spacing w:line="360" w:lineRule="auto"/>
        <w:jc w:val="center"/>
        <w:rPr>
          <w:rFonts w:hint="eastAsia" w:ascii="仿宋" w:hAnsi="仿宋" w:eastAsia="仿宋" w:cs="仿宋"/>
          <w:b/>
          <w:color w:val="auto"/>
          <w:sz w:val="36"/>
          <w:szCs w:val="36"/>
          <w:highlight w:val="none"/>
        </w:rPr>
      </w:pPr>
      <w:r>
        <w:rPr>
          <w:rFonts w:hint="eastAsia" w:ascii="仿宋" w:hAnsi="仿宋" w:eastAsia="仿宋" w:cs="仿宋"/>
          <w:b/>
          <w:color w:val="auto"/>
          <w:sz w:val="28"/>
          <w:szCs w:val="28"/>
          <w:highlight w:val="none"/>
        </w:rPr>
        <w:t>日期：20</w:t>
      </w:r>
      <w:r>
        <w:rPr>
          <w:rFonts w:hint="eastAsia" w:ascii="仿宋" w:hAnsi="仿宋" w:eastAsia="仿宋" w:cs="仿宋"/>
          <w:b/>
          <w:color w:val="auto"/>
          <w:sz w:val="28"/>
          <w:szCs w:val="28"/>
          <w:highlight w:val="none"/>
          <w:lang w:val="en-US" w:eastAsia="zh-CN"/>
        </w:rPr>
        <w:t>26</w:t>
      </w:r>
      <w:r>
        <w:rPr>
          <w:rFonts w:hint="eastAsia" w:ascii="仿宋" w:hAnsi="仿宋" w:eastAsia="仿宋" w:cs="仿宋"/>
          <w:b/>
          <w:color w:val="auto"/>
          <w:sz w:val="28"/>
          <w:szCs w:val="28"/>
          <w:highlight w:val="none"/>
        </w:rPr>
        <w:t>年</w:t>
      </w:r>
      <w:r>
        <w:rPr>
          <w:rFonts w:hint="eastAsia" w:ascii="仿宋" w:hAnsi="仿宋" w:eastAsia="仿宋" w:cs="仿宋"/>
          <w:b/>
          <w:color w:val="auto"/>
          <w:sz w:val="28"/>
          <w:szCs w:val="28"/>
          <w:highlight w:val="none"/>
          <w:lang w:val="en-US" w:eastAsia="zh-CN"/>
        </w:rPr>
        <w:t>6</w:t>
      </w:r>
      <w:r>
        <w:rPr>
          <w:rFonts w:hint="eastAsia" w:ascii="仿宋" w:hAnsi="仿宋" w:eastAsia="仿宋" w:cs="仿宋"/>
          <w:b/>
          <w:color w:val="auto"/>
          <w:sz w:val="28"/>
          <w:szCs w:val="28"/>
          <w:highlight w:val="none"/>
        </w:rPr>
        <w:t>月</w:t>
      </w:r>
    </w:p>
    <w:p>
      <w:pPr>
        <w:spacing w:line="360" w:lineRule="auto"/>
        <w:jc w:val="center"/>
        <w:rPr>
          <w:rFonts w:hint="eastAsia" w:ascii="仿宋" w:hAnsi="仿宋" w:eastAsia="仿宋" w:cs="仿宋"/>
          <w:color w:val="auto"/>
          <w:sz w:val="36"/>
          <w:highlight w:val="none"/>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pPr>
        <w:jc w:val="center"/>
        <w:rPr>
          <w:rFonts w:hint="eastAsia" w:ascii="仿宋" w:hAnsi="仿宋" w:eastAsia="仿宋" w:cs="仿宋"/>
          <w:b/>
          <w:bCs/>
          <w:color w:val="auto"/>
          <w:sz w:val="28"/>
          <w:szCs w:val="28"/>
          <w:highlight w:val="none"/>
        </w:rPr>
      </w:pPr>
      <w:bookmarkStart w:id="0" w:name="_Toc23584"/>
      <w:r>
        <w:rPr>
          <w:rFonts w:hint="eastAsia" w:ascii="仿宋" w:hAnsi="仿宋" w:eastAsia="仿宋" w:cs="仿宋"/>
          <w:b/>
          <w:bCs/>
          <w:color w:val="auto"/>
          <w:sz w:val="28"/>
          <w:szCs w:val="28"/>
          <w:highlight w:val="none"/>
          <w:lang w:val="zh-CN"/>
        </w:rPr>
        <w:t>目  录</w:t>
      </w:r>
      <w:bookmarkEnd w:id="0"/>
    </w:p>
    <w:p>
      <w:pPr>
        <w:pStyle w:val="28"/>
        <w:tabs>
          <w:tab w:val="right" w:leader="dot" w:pos="9638"/>
        </w:tabs>
        <w:rPr>
          <w:i w:val="0"/>
          <w:iCs w:val="0"/>
          <w:color w:val="auto"/>
          <w:sz w:val="21"/>
          <w:szCs w:val="21"/>
        </w:rPr>
      </w:pPr>
      <w:r>
        <w:rPr>
          <w:rFonts w:hint="eastAsia" w:ascii="仿宋" w:hAnsi="仿宋" w:eastAsia="仿宋" w:cs="仿宋"/>
          <w:b w:val="0"/>
          <w:bCs w:val="0"/>
          <w:i w:val="0"/>
          <w:iCs w:val="0"/>
          <w:caps w:val="0"/>
          <w:color w:val="auto"/>
          <w:sz w:val="21"/>
          <w:szCs w:val="21"/>
          <w:highlight w:val="none"/>
        </w:rPr>
        <w:fldChar w:fldCharType="begin"/>
      </w:r>
      <w:r>
        <w:rPr>
          <w:rFonts w:hint="eastAsia" w:ascii="仿宋" w:hAnsi="仿宋" w:eastAsia="仿宋" w:cs="仿宋"/>
          <w:b w:val="0"/>
          <w:bCs w:val="0"/>
          <w:i w:val="0"/>
          <w:iCs w:val="0"/>
          <w:caps w:val="0"/>
          <w:color w:val="auto"/>
          <w:sz w:val="21"/>
          <w:szCs w:val="21"/>
          <w:highlight w:val="none"/>
        </w:rPr>
        <w:instrText xml:space="preserve"> TOC \o "1-3" \h \z \u </w:instrText>
      </w:r>
      <w:r>
        <w:rPr>
          <w:rFonts w:hint="eastAsia" w:ascii="仿宋" w:hAnsi="仿宋" w:eastAsia="仿宋" w:cs="仿宋"/>
          <w:b w:val="0"/>
          <w:bCs w:val="0"/>
          <w:i w:val="0"/>
          <w:iCs w:val="0"/>
          <w:caps w:val="0"/>
          <w:color w:val="auto"/>
          <w:sz w:val="21"/>
          <w:szCs w:val="21"/>
          <w:highlight w:val="none"/>
        </w:rPr>
        <w:fldChar w:fldCharType="separate"/>
      </w:r>
      <w:r>
        <w:rPr>
          <w:rFonts w:hint="eastAsia" w:ascii="仿宋" w:hAnsi="仿宋" w:eastAsia="仿宋" w:cs="仿宋"/>
          <w:bCs w:val="0"/>
          <w:i w:val="0"/>
          <w:iCs w:val="0"/>
          <w:caps w:val="0"/>
          <w:color w:val="auto"/>
          <w:sz w:val="21"/>
          <w:szCs w:val="21"/>
          <w:highlight w:val="none"/>
        </w:rPr>
        <w:fldChar w:fldCharType="begin"/>
      </w:r>
      <w:r>
        <w:rPr>
          <w:rFonts w:hint="eastAsia" w:ascii="仿宋" w:hAnsi="仿宋" w:eastAsia="仿宋" w:cs="仿宋"/>
          <w:bCs w:val="0"/>
          <w:i w:val="0"/>
          <w:iCs w:val="0"/>
          <w:caps w:val="0"/>
          <w:color w:val="auto"/>
          <w:sz w:val="21"/>
          <w:szCs w:val="21"/>
          <w:highlight w:val="none"/>
        </w:rPr>
        <w:instrText xml:space="preserve"> HYPERLINK \l _Toc23196 </w:instrText>
      </w:r>
      <w:r>
        <w:rPr>
          <w:rFonts w:hint="eastAsia" w:ascii="仿宋" w:hAnsi="仿宋" w:eastAsia="仿宋" w:cs="仿宋"/>
          <w:bCs w:val="0"/>
          <w:i w:val="0"/>
          <w:iCs w:val="0"/>
          <w:caps w:val="0"/>
          <w:color w:val="auto"/>
          <w:sz w:val="21"/>
          <w:szCs w:val="21"/>
          <w:highlight w:val="none"/>
        </w:rPr>
        <w:fldChar w:fldCharType="separate"/>
      </w:r>
      <w:r>
        <w:rPr>
          <w:rFonts w:hint="eastAsia" w:ascii="仿宋" w:hAnsi="仿宋" w:eastAsia="仿宋" w:cs="仿宋"/>
          <w:bCs w:val="0"/>
          <w:i w:val="0"/>
          <w:iCs w:val="0"/>
          <w:color w:val="auto"/>
          <w:sz w:val="21"/>
          <w:szCs w:val="21"/>
          <w:highlight w:val="none"/>
        </w:rPr>
        <w:t xml:space="preserve">第一章 </w:t>
      </w:r>
      <w:r>
        <w:rPr>
          <w:rFonts w:hint="eastAsia" w:ascii="仿宋" w:hAnsi="仿宋" w:eastAsia="仿宋" w:cs="仿宋"/>
          <w:bCs w:val="0"/>
          <w:i w:val="0"/>
          <w:iCs w:val="0"/>
          <w:color w:val="auto"/>
          <w:sz w:val="21"/>
          <w:szCs w:val="21"/>
          <w:highlight w:val="none"/>
          <w:lang w:eastAsia="zh-CN"/>
        </w:rPr>
        <w:t>比选</w:t>
      </w:r>
      <w:r>
        <w:rPr>
          <w:rFonts w:hint="eastAsia" w:ascii="仿宋" w:hAnsi="仿宋" w:eastAsia="仿宋" w:cs="仿宋"/>
          <w:bCs w:val="0"/>
          <w:i w:val="0"/>
          <w:iCs w:val="0"/>
          <w:color w:val="auto"/>
          <w:sz w:val="21"/>
          <w:szCs w:val="21"/>
          <w:highlight w:val="none"/>
        </w:rPr>
        <w:t>公告</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_Toc23196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3</w:t>
      </w:r>
      <w:r>
        <w:rPr>
          <w:rFonts w:hint="eastAsia" w:ascii="仿宋" w:hAnsi="仿宋" w:eastAsia="仿宋" w:cs="仿宋"/>
          <w:i w:val="0"/>
          <w:iCs w:val="0"/>
          <w:color w:val="auto"/>
          <w:sz w:val="21"/>
          <w:szCs w:val="21"/>
        </w:rPr>
        <w:fldChar w:fldCharType="end"/>
      </w:r>
      <w:r>
        <w:rPr>
          <w:rFonts w:hint="eastAsia" w:ascii="仿宋" w:hAnsi="仿宋" w:eastAsia="仿宋" w:cs="仿宋"/>
          <w:bCs w:val="0"/>
          <w:i w:val="0"/>
          <w:iCs w:val="0"/>
          <w:caps w:val="0"/>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_Toc21237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一、项目概况与采购范围</w:t>
      </w:r>
      <w:r>
        <w:rPr>
          <w:i w:val="0"/>
          <w:iCs w:val="0"/>
          <w:color w:val="auto"/>
          <w:sz w:val="21"/>
          <w:szCs w:val="21"/>
        </w:rPr>
        <w:tab/>
      </w:r>
      <w:r>
        <w:rPr>
          <w:rFonts w:hint="eastAsia"/>
          <w:i w:val="0"/>
          <w:iCs w:val="0"/>
          <w:color w:val="auto"/>
          <w:sz w:val="21"/>
          <w:szCs w:val="21"/>
          <w:lang w:val="en-US" w:eastAsia="zh-CN"/>
        </w:rPr>
        <w:t>.</w:t>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_Toc21237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3</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_Toc17569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二、供应商资格要求</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_Toc17569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3</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_Toc28263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三、资格审查方法</w:t>
      </w:r>
      <w:r>
        <w:rPr>
          <w:i w:val="0"/>
          <w:iCs w:val="0"/>
          <w:color w:val="auto"/>
          <w:sz w:val="21"/>
          <w:szCs w:val="21"/>
        </w:rPr>
        <w:tab/>
      </w:r>
      <w:r>
        <w:rPr>
          <w:rFonts w:hint="eastAsia" w:ascii="仿宋" w:hAnsi="仿宋" w:eastAsia="仿宋" w:cs="仿宋"/>
          <w:i w:val="0"/>
          <w:iCs w:val="0"/>
          <w:color w:val="auto"/>
          <w:sz w:val="21"/>
          <w:szCs w:val="21"/>
          <w:lang w:val="en-US" w:eastAsia="zh-CN"/>
        </w:rPr>
        <w:t>4</w:t>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_Toc2019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四、磋商文件的获取</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_Toc2019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4</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_Toc32115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五、响应文件的递交</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_Toc32115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4</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_Toc874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lang w:val="en-US" w:eastAsia="zh-CN"/>
        </w:rPr>
        <w:t>六</w:t>
      </w:r>
      <w:r>
        <w:rPr>
          <w:rFonts w:hint="eastAsia" w:ascii="仿宋" w:hAnsi="仿宋" w:eastAsia="仿宋" w:cs="仿宋"/>
          <w:i w:val="0"/>
          <w:iCs w:val="0"/>
          <w:color w:val="auto"/>
          <w:sz w:val="21"/>
          <w:szCs w:val="21"/>
          <w:highlight w:val="none"/>
        </w:rPr>
        <w:t>、发布公告的媒介</w:t>
      </w:r>
      <w:r>
        <w:rPr>
          <w:i w:val="0"/>
          <w:iCs w:val="0"/>
          <w:color w:val="auto"/>
          <w:sz w:val="21"/>
          <w:szCs w:val="21"/>
        </w:rPr>
        <w:tab/>
      </w:r>
      <w:r>
        <w:rPr>
          <w:rFonts w:hint="eastAsia" w:ascii="仿宋" w:hAnsi="仿宋" w:eastAsia="仿宋" w:cs="仿宋"/>
          <w:i w:val="0"/>
          <w:iCs w:val="0"/>
          <w:color w:val="auto"/>
          <w:sz w:val="21"/>
          <w:szCs w:val="21"/>
          <w:lang w:val="en-US" w:eastAsia="zh-CN"/>
        </w:rPr>
        <w:t>4</w:t>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_Toc30596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lang w:val="en-US" w:eastAsia="zh-CN"/>
        </w:rPr>
        <w:t>七</w:t>
      </w:r>
      <w:r>
        <w:rPr>
          <w:rFonts w:hint="eastAsia" w:ascii="仿宋" w:hAnsi="仿宋" w:eastAsia="仿宋" w:cs="仿宋"/>
          <w:i w:val="0"/>
          <w:iCs w:val="0"/>
          <w:color w:val="auto"/>
          <w:sz w:val="21"/>
          <w:szCs w:val="21"/>
          <w:highlight w:val="none"/>
        </w:rPr>
        <w:t>、联系方式</w:t>
      </w:r>
      <w:r>
        <w:rPr>
          <w:i w:val="0"/>
          <w:iCs w:val="0"/>
          <w:color w:val="auto"/>
          <w:sz w:val="21"/>
          <w:szCs w:val="21"/>
        </w:rPr>
        <w:tab/>
      </w:r>
      <w:r>
        <w:rPr>
          <w:rFonts w:hint="eastAsia" w:ascii="仿宋" w:hAnsi="仿宋" w:eastAsia="仿宋" w:cs="仿宋"/>
          <w:i w:val="0"/>
          <w:iCs w:val="0"/>
          <w:color w:val="auto"/>
          <w:sz w:val="21"/>
          <w:szCs w:val="21"/>
          <w:lang w:val="en-US" w:eastAsia="zh-CN"/>
        </w:rPr>
        <w:t>5</w:t>
      </w:r>
      <w:r>
        <w:rPr>
          <w:rFonts w:hint="eastAsia" w:ascii="仿宋" w:hAnsi="仿宋" w:eastAsia="仿宋" w:cs="仿宋"/>
          <w:i w:val="0"/>
          <w:iCs w:val="0"/>
          <w:caps/>
          <w:color w:val="auto"/>
          <w:sz w:val="21"/>
          <w:szCs w:val="21"/>
          <w:highlight w:val="none"/>
        </w:rPr>
        <w:fldChar w:fldCharType="end"/>
      </w:r>
    </w:p>
    <w:p>
      <w:pPr>
        <w:pStyle w:val="28"/>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_Toc7018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第二章 供应商须知</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_Toc7018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6</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_Toc14477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一、供应商须知前附表</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_Toc14477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6</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_Toc27220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二、供应商须知正文</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_Toc27220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w:t>
      </w:r>
      <w:r>
        <w:rPr>
          <w:rFonts w:hint="eastAsia" w:ascii="仿宋" w:hAnsi="仿宋" w:eastAsia="仿宋" w:cs="仿宋"/>
          <w:i w:val="0"/>
          <w:iCs w:val="0"/>
          <w:color w:val="auto"/>
          <w:sz w:val="21"/>
          <w:szCs w:val="21"/>
          <w:lang w:val="en-US" w:eastAsia="zh-CN"/>
        </w:rPr>
        <w:t>0</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_Toc3678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（一）总 则</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_Toc27220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w:t>
      </w:r>
      <w:r>
        <w:rPr>
          <w:rFonts w:hint="eastAsia" w:ascii="仿宋" w:hAnsi="仿宋" w:eastAsia="仿宋" w:cs="仿宋"/>
          <w:i w:val="0"/>
          <w:iCs w:val="0"/>
          <w:color w:val="auto"/>
          <w:sz w:val="21"/>
          <w:szCs w:val="21"/>
          <w:lang w:val="en-US" w:eastAsia="zh-CN"/>
        </w:rPr>
        <w:t>0</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20"/>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_Toc14164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（二）磋商文件</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_Toc14164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w:t>
      </w:r>
      <w:r>
        <w:rPr>
          <w:rFonts w:hint="eastAsia" w:ascii="仿宋" w:hAnsi="仿宋" w:eastAsia="仿宋" w:cs="仿宋"/>
          <w:i w:val="0"/>
          <w:iCs w:val="0"/>
          <w:color w:val="auto"/>
          <w:sz w:val="21"/>
          <w:szCs w:val="21"/>
          <w:lang w:val="en-US" w:eastAsia="zh-CN"/>
        </w:rPr>
        <w:t>0</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20"/>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_Toc31141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（三）响应文件</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_Toc31141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w:t>
      </w:r>
      <w:r>
        <w:rPr>
          <w:rFonts w:hint="eastAsia" w:ascii="仿宋" w:hAnsi="仿宋" w:eastAsia="仿宋" w:cs="仿宋"/>
          <w:i w:val="0"/>
          <w:iCs w:val="0"/>
          <w:color w:val="auto"/>
          <w:sz w:val="21"/>
          <w:szCs w:val="21"/>
          <w:lang w:val="en-US" w:eastAsia="zh-CN"/>
        </w:rPr>
        <w:t>1</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20"/>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_Toc17865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（四）响应文件的递交</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_Toc17865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w:t>
      </w:r>
      <w:r>
        <w:rPr>
          <w:rFonts w:hint="eastAsia" w:ascii="仿宋" w:hAnsi="仿宋" w:eastAsia="仿宋" w:cs="仿宋"/>
          <w:i w:val="0"/>
          <w:iCs w:val="0"/>
          <w:color w:val="auto"/>
          <w:sz w:val="21"/>
          <w:szCs w:val="21"/>
          <w:lang w:val="en-US" w:eastAsia="zh-CN"/>
        </w:rPr>
        <w:t>3</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20"/>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_Toc2055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（五）</w:t>
      </w:r>
      <w:r>
        <w:rPr>
          <w:rFonts w:hint="eastAsia" w:ascii="仿宋" w:hAnsi="仿宋" w:eastAsia="仿宋" w:cs="仿宋"/>
          <w:i w:val="0"/>
          <w:iCs w:val="0"/>
          <w:color w:val="auto"/>
          <w:sz w:val="21"/>
          <w:szCs w:val="21"/>
          <w:highlight w:val="none"/>
          <w:lang w:eastAsia="zh-CN"/>
        </w:rPr>
        <w:t>比选</w:t>
      </w:r>
      <w:r>
        <w:rPr>
          <w:rFonts w:hint="eastAsia" w:ascii="仿宋" w:hAnsi="仿宋" w:eastAsia="仿宋" w:cs="仿宋"/>
          <w:i w:val="0"/>
          <w:iCs w:val="0"/>
          <w:color w:val="auto"/>
          <w:sz w:val="21"/>
          <w:szCs w:val="21"/>
          <w:highlight w:val="none"/>
        </w:rPr>
        <w:t>和评审</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_Toc2055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w:t>
      </w:r>
      <w:r>
        <w:rPr>
          <w:rFonts w:hint="eastAsia" w:ascii="仿宋" w:hAnsi="仿宋" w:eastAsia="仿宋" w:cs="仿宋"/>
          <w:i w:val="0"/>
          <w:iCs w:val="0"/>
          <w:color w:val="auto"/>
          <w:sz w:val="21"/>
          <w:szCs w:val="21"/>
          <w:lang w:val="en-US" w:eastAsia="zh-CN"/>
        </w:rPr>
        <w:t>3</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20"/>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_Toc28031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（六）授予合同</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_Toc28031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lang w:val="en-US" w:eastAsia="zh-CN"/>
        </w:rPr>
        <w:t>14</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20"/>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_Toc6132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（七）其他</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_Toc6132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w:t>
      </w:r>
      <w:r>
        <w:rPr>
          <w:rFonts w:hint="eastAsia" w:ascii="仿宋" w:hAnsi="仿宋" w:eastAsia="仿宋" w:cs="仿宋"/>
          <w:i w:val="0"/>
          <w:iCs w:val="0"/>
          <w:color w:val="auto"/>
          <w:sz w:val="21"/>
          <w:szCs w:val="21"/>
          <w:lang w:val="en-US" w:eastAsia="zh-CN"/>
        </w:rPr>
        <w:t>5</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28"/>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_Toc10670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第三章 评审办法</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_Toc10670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w:t>
      </w:r>
      <w:r>
        <w:rPr>
          <w:rFonts w:hint="eastAsia" w:ascii="仿宋" w:hAnsi="仿宋" w:eastAsia="仿宋" w:cs="仿宋"/>
          <w:i w:val="0"/>
          <w:iCs w:val="0"/>
          <w:color w:val="auto"/>
          <w:sz w:val="21"/>
          <w:szCs w:val="21"/>
          <w:lang w:val="en-US" w:eastAsia="zh-CN"/>
        </w:rPr>
        <w:t>6</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_Toc7201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一、评审程序</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_Toc7201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w:t>
      </w:r>
      <w:r>
        <w:rPr>
          <w:rFonts w:hint="eastAsia" w:ascii="仿宋" w:hAnsi="仿宋" w:eastAsia="仿宋" w:cs="仿宋"/>
          <w:i w:val="0"/>
          <w:iCs w:val="0"/>
          <w:color w:val="auto"/>
          <w:sz w:val="21"/>
          <w:szCs w:val="21"/>
          <w:lang w:val="en-US" w:eastAsia="zh-CN"/>
        </w:rPr>
        <w:t>6</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rFonts w:hint="eastAsia" w:ascii="仿宋" w:hAnsi="仿宋" w:eastAsia="仿宋" w:cs="仿宋"/>
          <w:i w:val="0"/>
          <w:iCs w:val="0"/>
          <w:caps/>
          <w:color w:val="auto"/>
          <w:sz w:val="21"/>
          <w:szCs w:val="21"/>
          <w:highlight w:val="none"/>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_Toc32019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二、初步评审</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_Toc32019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w:t>
      </w:r>
      <w:r>
        <w:rPr>
          <w:rFonts w:hint="eastAsia" w:ascii="仿宋" w:hAnsi="仿宋" w:eastAsia="仿宋" w:cs="仿宋"/>
          <w:i w:val="0"/>
          <w:iCs w:val="0"/>
          <w:color w:val="auto"/>
          <w:sz w:val="21"/>
          <w:szCs w:val="21"/>
          <w:lang w:val="en-US" w:eastAsia="zh-CN"/>
        </w:rPr>
        <w:t>7</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33"/>
        <w:tabs>
          <w:tab w:val="right" w:leader="dot" w:pos="9638"/>
        </w:tabs>
        <w:rPr>
          <w:i w:val="0"/>
          <w:iCs w:val="0"/>
          <w:color w:val="auto"/>
          <w:sz w:val="21"/>
          <w:szCs w:val="21"/>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_Toc32019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aps/>
          <w:color w:val="auto"/>
          <w:sz w:val="21"/>
          <w:szCs w:val="21"/>
          <w:highlight w:val="none"/>
          <w:lang w:val="en-US" w:eastAsia="zh-CN"/>
        </w:rPr>
        <w:t>三</w:t>
      </w:r>
      <w:r>
        <w:rPr>
          <w:rFonts w:hint="eastAsia" w:ascii="仿宋" w:hAnsi="仿宋" w:eastAsia="仿宋" w:cs="仿宋"/>
          <w:i w:val="0"/>
          <w:iCs w:val="0"/>
          <w:color w:val="auto"/>
          <w:sz w:val="21"/>
          <w:szCs w:val="21"/>
          <w:highlight w:val="none"/>
        </w:rPr>
        <w:t>、</w:t>
      </w:r>
      <w:r>
        <w:rPr>
          <w:rFonts w:hint="eastAsia" w:ascii="仿宋" w:hAnsi="仿宋" w:eastAsia="仿宋" w:cs="仿宋"/>
          <w:i w:val="0"/>
          <w:iCs w:val="0"/>
          <w:color w:val="auto"/>
          <w:sz w:val="21"/>
          <w:szCs w:val="21"/>
          <w:highlight w:val="none"/>
          <w:lang w:val="en-US" w:eastAsia="zh-CN"/>
        </w:rPr>
        <w:t>详细</w:t>
      </w:r>
      <w:r>
        <w:rPr>
          <w:rFonts w:hint="eastAsia" w:ascii="仿宋" w:hAnsi="仿宋" w:eastAsia="仿宋" w:cs="仿宋"/>
          <w:i w:val="0"/>
          <w:iCs w:val="0"/>
          <w:color w:val="auto"/>
          <w:sz w:val="21"/>
          <w:szCs w:val="21"/>
          <w:highlight w:val="none"/>
        </w:rPr>
        <w:t>评审</w:t>
      </w:r>
      <w:r>
        <w:rPr>
          <w:i w:val="0"/>
          <w:iCs w:val="0"/>
          <w:color w:val="auto"/>
          <w:sz w:val="21"/>
          <w:szCs w:val="21"/>
        </w:rPr>
        <w:tab/>
      </w:r>
      <w:r>
        <w:rPr>
          <w:rFonts w:hint="eastAsia" w:ascii="仿宋" w:hAnsi="仿宋" w:eastAsia="仿宋" w:cs="仿宋"/>
          <w:i w:val="0"/>
          <w:iCs w:val="0"/>
          <w:color w:val="auto"/>
          <w:sz w:val="21"/>
          <w:szCs w:val="21"/>
        </w:rPr>
        <w:fldChar w:fldCharType="begin"/>
      </w:r>
      <w:r>
        <w:rPr>
          <w:rFonts w:hint="eastAsia" w:ascii="仿宋" w:hAnsi="仿宋" w:eastAsia="仿宋" w:cs="仿宋"/>
          <w:i w:val="0"/>
          <w:iCs w:val="0"/>
          <w:color w:val="auto"/>
          <w:sz w:val="21"/>
          <w:szCs w:val="21"/>
        </w:rPr>
        <w:instrText xml:space="preserve"> PAGEREF _Toc32019 \h </w:instrText>
      </w:r>
      <w:r>
        <w:rPr>
          <w:rFonts w:hint="eastAsia" w:ascii="仿宋" w:hAnsi="仿宋" w:eastAsia="仿宋" w:cs="仿宋"/>
          <w:i w:val="0"/>
          <w:iCs w:val="0"/>
          <w:color w:val="auto"/>
          <w:sz w:val="21"/>
          <w:szCs w:val="21"/>
        </w:rPr>
        <w:fldChar w:fldCharType="separate"/>
      </w:r>
      <w:r>
        <w:rPr>
          <w:rFonts w:hint="eastAsia" w:ascii="仿宋" w:hAnsi="仿宋" w:eastAsia="仿宋" w:cs="仿宋"/>
          <w:i w:val="0"/>
          <w:iCs w:val="0"/>
          <w:color w:val="auto"/>
          <w:sz w:val="21"/>
          <w:szCs w:val="21"/>
        </w:rPr>
        <w:t>1</w:t>
      </w:r>
      <w:r>
        <w:rPr>
          <w:rFonts w:hint="eastAsia" w:ascii="仿宋" w:hAnsi="仿宋" w:eastAsia="仿宋" w:cs="仿宋"/>
          <w:i w:val="0"/>
          <w:iCs w:val="0"/>
          <w:color w:val="auto"/>
          <w:sz w:val="21"/>
          <w:szCs w:val="21"/>
          <w:lang w:val="en-US" w:eastAsia="zh-CN"/>
        </w:rPr>
        <w:t>8</w:t>
      </w:r>
      <w:r>
        <w:rPr>
          <w:rFonts w:hint="eastAsia" w:ascii="仿宋" w:hAnsi="仿宋" w:eastAsia="仿宋" w:cs="仿宋"/>
          <w:i w:val="0"/>
          <w:iCs w:val="0"/>
          <w:color w:val="auto"/>
          <w:sz w:val="21"/>
          <w:szCs w:val="21"/>
        </w:rPr>
        <w:fldChar w:fldCharType="end"/>
      </w:r>
      <w:r>
        <w:rPr>
          <w:rFonts w:hint="eastAsia" w:ascii="仿宋" w:hAnsi="仿宋" w:eastAsia="仿宋" w:cs="仿宋"/>
          <w:i w:val="0"/>
          <w:iCs w:val="0"/>
          <w:caps/>
          <w:color w:val="auto"/>
          <w:sz w:val="21"/>
          <w:szCs w:val="21"/>
          <w:highlight w:val="none"/>
        </w:rPr>
        <w:fldChar w:fldCharType="end"/>
      </w:r>
    </w:p>
    <w:p>
      <w:pPr>
        <w:pStyle w:val="28"/>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_Toc15254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第四章 合同条款</w:t>
      </w:r>
      <w:r>
        <w:rPr>
          <w:i w:val="0"/>
          <w:iCs w:val="0"/>
          <w:color w:val="auto"/>
          <w:sz w:val="21"/>
          <w:szCs w:val="21"/>
        </w:rPr>
        <w:tab/>
      </w:r>
      <w:r>
        <w:rPr>
          <w:rFonts w:hint="eastAsia" w:ascii="仿宋" w:hAnsi="仿宋" w:eastAsia="仿宋" w:cs="仿宋"/>
          <w:i w:val="0"/>
          <w:iCs w:val="0"/>
          <w:color w:val="auto"/>
          <w:sz w:val="21"/>
          <w:szCs w:val="21"/>
          <w:lang w:val="en-US" w:eastAsia="zh-CN"/>
        </w:rPr>
        <w:t>2</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0</w:t>
      </w:r>
    </w:p>
    <w:p>
      <w:pPr>
        <w:pStyle w:val="28"/>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_Toc22083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第五章 采购需求</w:t>
      </w:r>
      <w:r>
        <w:rPr>
          <w:i w:val="0"/>
          <w:iCs w:val="0"/>
          <w:color w:val="auto"/>
          <w:sz w:val="21"/>
          <w:szCs w:val="21"/>
        </w:rPr>
        <w:tab/>
      </w:r>
      <w:r>
        <w:rPr>
          <w:rFonts w:hint="eastAsia" w:ascii="仿宋" w:hAnsi="仿宋" w:eastAsia="仿宋" w:cs="仿宋"/>
          <w:i w:val="0"/>
          <w:iCs w:val="0"/>
          <w:color w:val="auto"/>
          <w:sz w:val="21"/>
          <w:szCs w:val="21"/>
          <w:lang w:val="en-US" w:eastAsia="zh-CN"/>
        </w:rPr>
        <w:t>4</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2</w:t>
      </w:r>
    </w:p>
    <w:p>
      <w:pPr>
        <w:pStyle w:val="28"/>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_Toc3675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第六章 响应文件格式</w:t>
      </w:r>
      <w:r>
        <w:rPr>
          <w:i w:val="0"/>
          <w:iCs w:val="0"/>
          <w:color w:val="auto"/>
          <w:sz w:val="21"/>
          <w:szCs w:val="21"/>
        </w:rPr>
        <w:tab/>
      </w:r>
      <w:r>
        <w:rPr>
          <w:rFonts w:hint="eastAsia" w:ascii="仿宋" w:hAnsi="仿宋" w:eastAsia="仿宋" w:cs="仿宋"/>
          <w:i w:val="0"/>
          <w:iCs w:val="0"/>
          <w:color w:val="auto"/>
          <w:sz w:val="21"/>
          <w:szCs w:val="21"/>
          <w:lang w:val="en-US" w:eastAsia="zh-CN"/>
        </w:rPr>
        <w:t>4</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5</w:t>
      </w:r>
    </w:p>
    <w:p>
      <w:pPr>
        <w:pStyle w:val="33"/>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_Toc17191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lang w:val="en-US" w:eastAsia="zh-CN"/>
        </w:rPr>
        <w:t>一、</w:t>
      </w:r>
      <w:r>
        <w:rPr>
          <w:rFonts w:hint="eastAsia" w:ascii="仿宋" w:hAnsi="仿宋" w:eastAsia="仿宋" w:cs="仿宋"/>
          <w:i w:val="0"/>
          <w:iCs w:val="0"/>
          <w:color w:val="auto"/>
          <w:sz w:val="21"/>
          <w:szCs w:val="21"/>
          <w:highlight w:val="none"/>
        </w:rPr>
        <w:t>商务文件</w:t>
      </w:r>
      <w:r>
        <w:rPr>
          <w:i w:val="0"/>
          <w:iCs w:val="0"/>
          <w:color w:val="auto"/>
          <w:sz w:val="21"/>
          <w:szCs w:val="21"/>
        </w:rPr>
        <w:tab/>
      </w:r>
      <w:r>
        <w:rPr>
          <w:rFonts w:hint="eastAsia" w:ascii="仿宋" w:hAnsi="仿宋" w:eastAsia="仿宋" w:cs="仿宋"/>
          <w:i w:val="0"/>
          <w:iCs w:val="0"/>
          <w:color w:val="auto"/>
          <w:sz w:val="21"/>
          <w:szCs w:val="21"/>
          <w:lang w:val="en-US" w:eastAsia="zh-CN"/>
        </w:rPr>
        <w:t>4</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6</w:t>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_Toc27958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（一）响应函</w:t>
      </w:r>
      <w:r>
        <w:rPr>
          <w:i w:val="0"/>
          <w:iCs w:val="0"/>
          <w:color w:val="auto"/>
          <w:sz w:val="21"/>
          <w:szCs w:val="21"/>
        </w:rPr>
        <w:tab/>
      </w:r>
      <w:r>
        <w:rPr>
          <w:rFonts w:hint="eastAsia" w:ascii="仿宋" w:hAnsi="仿宋" w:eastAsia="仿宋" w:cs="仿宋"/>
          <w:i w:val="0"/>
          <w:iCs w:val="0"/>
          <w:color w:val="auto"/>
          <w:sz w:val="21"/>
          <w:szCs w:val="21"/>
          <w:lang w:val="en-US" w:eastAsia="zh-CN"/>
        </w:rPr>
        <w:t>4</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8</w:t>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_Toc13983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（二）法定代表人（负责人）身份证明书</w:t>
      </w:r>
      <w:r>
        <w:rPr>
          <w:i w:val="0"/>
          <w:iCs w:val="0"/>
          <w:color w:val="auto"/>
          <w:sz w:val="21"/>
          <w:szCs w:val="21"/>
        </w:rPr>
        <w:tab/>
      </w:r>
      <w:r>
        <w:rPr>
          <w:rFonts w:hint="eastAsia" w:ascii="仿宋" w:hAnsi="仿宋" w:eastAsia="仿宋" w:cs="仿宋"/>
          <w:i w:val="0"/>
          <w:iCs w:val="0"/>
          <w:color w:val="auto"/>
          <w:sz w:val="21"/>
          <w:szCs w:val="21"/>
          <w:lang w:val="en-US" w:eastAsia="zh-CN"/>
        </w:rPr>
        <w:t>4</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9</w:t>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_Toc24788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（三）法定代表人（负责人）授权委托书</w:t>
      </w:r>
      <w:r>
        <w:rPr>
          <w:i w:val="0"/>
          <w:iCs w:val="0"/>
          <w:color w:val="auto"/>
          <w:sz w:val="21"/>
          <w:szCs w:val="21"/>
        </w:rPr>
        <w:tab/>
      </w:r>
      <w:r>
        <w:rPr>
          <w:rFonts w:hint="eastAsia" w:ascii="仿宋" w:hAnsi="仿宋" w:eastAsia="仿宋" w:cs="仿宋"/>
          <w:i w:val="0"/>
          <w:iCs w:val="0"/>
          <w:color w:val="auto"/>
          <w:sz w:val="21"/>
          <w:szCs w:val="21"/>
          <w:lang w:val="en-US" w:eastAsia="zh-CN"/>
        </w:rPr>
        <w:t>5</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0</w:t>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_Toc30551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（四）资格证明文件</w:t>
      </w:r>
      <w:r>
        <w:rPr>
          <w:i w:val="0"/>
          <w:iCs w:val="0"/>
          <w:color w:val="auto"/>
          <w:sz w:val="21"/>
          <w:szCs w:val="21"/>
        </w:rPr>
        <w:tab/>
      </w:r>
      <w:r>
        <w:rPr>
          <w:rFonts w:hint="eastAsia" w:ascii="仿宋" w:hAnsi="仿宋" w:eastAsia="仿宋" w:cs="仿宋"/>
          <w:i w:val="0"/>
          <w:iCs w:val="0"/>
          <w:color w:val="auto"/>
          <w:sz w:val="21"/>
          <w:szCs w:val="21"/>
          <w:lang w:val="en-US" w:eastAsia="zh-CN"/>
        </w:rPr>
        <w:t>5</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1</w:t>
      </w:r>
    </w:p>
    <w:p>
      <w:pPr>
        <w:pStyle w:val="20"/>
        <w:tabs>
          <w:tab w:val="right" w:leader="dot" w:pos="9638"/>
        </w:tabs>
        <w:rPr>
          <w:rFonts w:hint="default"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_Toc15130 </w:instrText>
      </w:r>
      <w:r>
        <w:rPr>
          <w:rFonts w:hint="eastAsia" w:ascii="仿宋" w:hAnsi="仿宋" w:eastAsia="仿宋" w:cs="仿宋"/>
          <w:i w:val="0"/>
          <w:iCs w:val="0"/>
          <w:caps/>
          <w:color w:val="auto"/>
          <w:sz w:val="21"/>
          <w:szCs w:val="21"/>
          <w:highlight w:val="none"/>
        </w:rPr>
        <w:fldChar w:fldCharType="separate"/>
      </w:r>
      <w:r>
        <w:rPr>
          <w:rFonts w:ascii="仿宋" w:hAnsi="仿宋" w:eastAsia="仿宋" w:cs="仿宋"/>
          <w:i w:val="0"/>
          <w:iCs w:val="0"/>
          <w:color w:val="auto"/>
          <w:sz w:val="21"/>
          <w:szCs w:val="21"/>
          <w:highlight w:val="none"/>
        </w:rPr>
        <w:t>（</w:t>
      </w:r>
      <w:r>
        <w:rPr>
          <w:rFonts w:hint="eastAsia" w:ascii="仿宋" w:hAnsi="仿宋" w:eastAsia="仿宋" w:cs="仿宋"/>
          <w:i w:val="0"/>
          <w:iCs w:val="0"/>
          <w:color w:val="auto"/>
          <w:sz w:val="21"/>
          <w:szCs w:val="21"/>
          <w:highlight w:val="none"/>
          <w:lang w:val="en-US" w:eastAsia="zh-CN"/>
        </w:rPr>
        <w:t>五</w:t>
      </w:r>
      <w:r>
        <w:rPr>
          <w:rFonts w:ascii="仿宋" w:hAnsi="仿宋" w:eastAsia="仿宋" w:cs="仿宋"/>
          <w:i w:val="0"/>
          <w:iCs w:val="0"/>
          <w:color w:val="auto"/>
          <w:sz w:val="21"/>
          <w:szCs w:val="21"/>
          <w:highlight w:val="none"/>
        </w:rPr>
        <w:t>）</w:t>
      </w:r>
      <w:r>
        <w:rPr>
          <w:rFonts w:hint="eastAsia" w:ascii="仿宋" w:hAnsi="仿宋" w:eastAsia="仿宋" w:cs="仿宋"/>
          <w:i w:val="0"/>
          <w:iCs w:val="0"/>
          <w:color w:val="auto"/>
          <w:sz w:val="21"/>
          <w:szCs w:val="21"/>
          <w:highlight w:val="none"/>
        </w:rPr>
        <w:t>供应商</w:t>
      </w:r>
      <w:r>
        <w:rPr>
          <w:rFonts w:ascii="仿宋" w:hAnsi="仿宋" w:eastAsia="仿宋" w:cs="仿宋"/>
          <w:i w:val="0"/>
          <w:iCs w:val="0"/>
          <w:color w:val="auto"/>
          <w:sz w:val="21"/>
          <w:szCs w:val="21"/>
          <w:highlight w:val="none"/>
        </w:rPr>
        <w:t>须知应答偏离表</w:t>
      </w:r>
      <w:r>
        <w:rPr>
          <w:i w:val="0"/>
          <w:iCs w:val="0"/>
          <w:color w:val="auto"/>
          <w:sz w:val="21"/>
          <w:szCs w:val="21"/>
        </w:rPr>
        <w:tab/>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60</w:t>
      </w:r>
    </w:p>
    <w:p>
      <w:pPr>
        <w:pStyle w:val="20"/>
        <w:tabs>
          <w:tab w:val="right" w:leader="dot" w:pos="9638"/>
        </w:tabs>
        <w:rPr>
          <w:rFonts w:hint="default" w:ascii="仿宋" w:hAnsi="仿宋" w:eastAsia="仿宋" w:cs="仿宋"/>
          <w:i w:val="0"/>
          <w:iCs w:val="0"/>
          <w:caps/>
          <w:color w:val="auto"/>
          <w:sz w:val="21"/>
          <w:szCs w:val="21"/>
          <w:highlight w:val="none"/>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_Toc15130 </w:instrText>
      </w:r>
      <w:r>
        <w:rPr>
          <w:rFonts w:hint="eastAsia" w:ascii="仿宋" w:hAnsi="仿宋" w:eastAsia="仿宋" w:cs="仿宋"/>
          <w:i w:val="0"/>
          <w:iCs w:val="0"/>
          <w:caps/>
          <w:color w:val="auto"/>
          <w:sz w:val="21"/>
          <w:szCs w:val="21"/>
          <w:highlight w:val="none"/>
        </w:rPr>
        <w:fldChar w:fldCharType="separate"/>
      </w:r>
      <w:r>
        <w:rPr>
          <w:rFonts w:ascii="仿宋" w:hAnsi="仿宋" w:eastAsia="仿宋" w:cs="仿宋"/>
          <w:i w:val="0"/>
          <w:iCs w:val="0"/>
          <w:color w:val="auto"/>
          <w:sz w:val="21"/>
          <w:szCs w:val="21"/>
          <w:highlight w:val="none"/>
        </w:rPr>
        <w:t>（</w:t>
      </w:r>
      <w:r>
        <w:rPr>
          <w:rFonts w:hint="eastAsia" w:ascii="仿宋" w:hAnsi="仿宋" w:eastAsia="仿宋" w:cs="仿宋"/>
          <w:i w:val="0"/>
          <w:iCs w:val="0"/>
          <w:color w:val="auto"/>
          <w:sz w:val="21"/>
          <w:szCs w:val="21"/>
          <w:highlight w:val="none"/>
          <w:lang w:val="en-US" w:eastAsia="zh-CN"/>
        </w:rPr>
        <w:t>六</w:t>
      </w:r>
      <w:r>
        <w:rPr>
          <w:rFonts w:ascii="仿宋" w:hAnsi="仿宋" w:eastAsia="仿宋" w:cs="仿宋"/>
          <w:i w:val="0"/>
          <w:iCs w:val="0"/>
          <w:color w:val="auto"/>
          <w:sz w:val="21"/>
          <w:szCs w:val="21"/>
          <w:highlight w:val="none"/>
        </w:rPr>
        <w:t>）</w:t>
      </w:r>
      <w:r>
        <w:rPr>
          <w:rFonts w:hint="eastAsia" w:ascii="仿宋" w:hAnsi="仿宋" w:eastAsia="仿宋" w:cs="仿宋"/>
          <w:i w:val="0"/>
          <w:iCs w:val="0"/>
          <w:color w:val="auto"/>
          <w:sz w:val="21"/>
          <w:szCs w:val="21"/>
          <w:highlight w:val="none"/>
          <w:lang w:val="en-US" w:eastAsia="zh-CN"/>
        </w:rPr>
        <w:t>合同条款</w:t>
      </w:r>
      <w:r>
        <w:rPr>
          <w:rFonts w:ascii="仿宋" w:hAnsi="仿宋" w:eastAsia="仿宋" w:cs="仿宋"/>
          <w:i w:val="0"/>
          <w:iCs w:val="0"/>
          <w:color w:val="auto"/>
          <w:sz w:val="21"/>
          <w:szCs w:val="21"/>
          <w:highlight w:val="none"/>
        </w:rPr>
        <w:t>应答偏离表</w:t>
      </w:r>
      <w:r>
        <w:rPr>
          <w:i w:val="0"/>
          <w:iCs w:val="0"/>
          <w:color w:val="auto"/>
          <w:sz w:val="21"/>
          <w:szCs w:val="21"/>
        </w:rPr>
        <w:tab/>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61</w:t>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_Toc17890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w:t>
      </w:r>
      <w:r>
        <w:rPr>
          <w:rFonts w:hint="eastAsia" w:ascii="仿宋" w:hAnsi="仿宋" w:eastAsia="仿宋" w:cs="仿宋"/>
          <w:i w:val="0"/>
          <w:iCs w:val="0"/>
          <w:color w:val="auto"/>
          <w:sz w:val="21"/>
          <w:szCs w:val="21"/>
          <w:highlight w:val="none"/>
          <w:lang w:val="en-US" w:eastAsia="zh-CN"/>
        </w:rPr>
        <w:t>七</w:t>
      </w:r>
      <w:r>
        <w:rPr>
          <w:rFonts w:hint="eastAsia" w:ascii="仿宋" w:hAnsi="仿宋" w:eastAsia="仿宋" w:cs="仿宋"/>
          <w:i w:val="0"/>
          <w:iCs w:val="0"/>
          <w:color w:val="auto"/>
          <w:sz w:val="21"/>
          <w:szCs w:val="21"/>
          <w:highlight w:val="none"/>
        </w:rPr>
        <w:t>）供应商行为准则承诺书</w:t>
      </w:r>
      <w:r>
        <w:rPr>
          <w:i w:val="0"/>
          <w:iCs w:val="0"/>
          <w:color w:val="auto"/>
          <w:sz w:val="21"/>
          <w:szCs w:val="21"/>
        </w:rPr>
        <w:tab/>
      </w:r>
      <w:r>
        <w:rPr>
          <w:rFonts w:hint="eastAsia" w:ascii="仿宋" w:hAnsi="仿宋" w:eastAsia="仿宋" w:cs="仿宋"/>
          <w:i w:val="0"/>
          <w:iCs w:val="0"/>
          <w:color w:val="auto"/>
          <w:sz w:val="21"/>
          <w:szCs w:val="21"/>
          <w:lang w:val="en-US" w:eastAsia="zh-CN"/>
        </w:rPr>
        <w:t>6</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2</w:t>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_Toc8068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宋体"/>
          <w:bCs w:val="0"/>
          <w:i w:val="0"/>
          <w:iCs w:val="0"/>
          <w:color w:val="auto"/>
          <w:sz w:val="21"/>
          <w:szCs w:val="21"/>
          <w:highlight w:val="none"/>
        </w:rPr>
        <w:t>（</w:t>
      </w:r>
      <w:r>
        <w:rPr>
          <w:rFonts w:hint="eastAsia" w:ascii="仿宋" w:hAnsi="仿宋" w:eastAsia="仿宋" w:cs="宋体"/>
          <w:bCs w:val="0"/>
          <w:i w:val="0"/>
          <w:iCs w:val="0"/>
          <w:color w:val="auto"/>
          <w:sz w:val="21"/>
          <w:szCs w:val="21"/>
          <w:highlight w:val="none"/>
          <w:lang w:val="en-US" w:eastAsia="zh-CN"/>
        </w:rPr>
        <w:t>八</w:t>
      </w:r>
      <w:r>
        <w:rPr>
          <w:rFonts w:hint="eastAsia" w:ascii="仿宋" w:hAnsi="仿宋" w:eastAsia="仿宋" w:cs="宋体"/>
          <w:bCs w:val="0"/>
          <w:i w:val="0"/>
          <w:iCs w:val="0"/>
          <w:color w:val="auto"/>
          <w:sz w:val="21"/>
          <w:szCs w:val="21"/>
          <w:highlight w:val="none"/>
        </w:rPr>
        <w:t>）供应商廉洁诚信承诺书</w:t>
      </w:r>
      <w:r>
        <w:rPr>
          <w:i w:val="0"/>
          <w:iCs w:val="0"/>
          <w:color w:val="auto"/>
          <w:sz w:val="21"/>
          <w:szCs w:val="21"/>
        </w:rPr>
        <w:tab/>
      </w:r>
      <w:r>
        <w:rPr>
          <w:rFonts w:hint="eastAsia" w:ascii="仿宋" w:hAnsi="仿宋" w:eastAsia="仿宋" w:cs="仿宋"/>
          <w:i w:val="0"/>
          <w:iCs w:val="0"/>
          <w:color w:val="auto"/>
          <w:sz w:val="21"/>
          <w:szCs w:val="21"/>
          <w:lang w:val="en-US" w:eastAsia="zh-CN"/>
        </w:rPr>
        <w:t>6</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4</w:t>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_Toc8068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宋体"/>
          <w:bCs w:val="0"/>
          <w:i w:val="0"/>
          <w:iCs w:val="0"/>
          <w:color w:val="auto"/>
          <w:sz w:val="21"/>
          <w:szCs w:val="21"/>
          <w:highlight w:val="none"/>
        </w:rPr>
        <w:t>（</w:t>
      </w:r>
      <w:r>
        <w:rPr>
          <w:rFonts w:hint="eastAsia" w:ascii="仿宋" w:hAnsi="仿宋" w:eastAsia="仿宋" w:cs="宋体"/>
          <w:bCs w:val="0"/>
          <w:i w:val="0"/>
          <w:iCs w:val="0"/>
          <w:color w:val="auto"/>
          <w:sz w:val="21"/>
          <w:szCs w:val="21"/>
          <w:highlight w:val="none"/>
          <w:lang w:val="en-US" w:eastAsia="zh-CN"/>
        </w:rPr>
        <w:t>九</w:t>
      </w:r>
      <w:r>
        <w:rPr>
          <w:rFonts w:hint="eastAsia" w:ascii="仿宋" w:hAnsi="仿宋" w:eastAsia="仿宋" w:cs="宋体"/>
          <w:bCs w:val="0"/>
          <w:i w:val="0"/>
          <w:iCs w:val="0"/>
          <w:color w:val="auto"/>
          <w:sz w:val="21"/>
          <w:szCs w:val="21"/>
          <w:highlight w:val="none"/>
        </w:rPr>
        <w:t>）</w:t>
      </w:r>
      <w:r>
        <w:rPr>
          <w:rFonts w:hint="eastAsia" w:ascii="仿宋" w:hAnsi="仿宋" w:eastAsia="仿宋" w:cs="宋体"/>
          <w:bCs w:val="0"/>
          <w:i w:val="0"/>
          <w:iCs w:val="0"/>
          <w:color w:val="auto"/>
          <w:sz w:val="21"/>
          <w:szCs w:val="21"/>
          <w:highlight w:val="none"/>
          <w:lang w:val="en-US" w:eastAsia="zh-CN"/>
        </w:rPr>
        <w:t>其他材料</w:t>
      </w:r>
      <w:r>
        <w:rPr>
          <w:i w:val="0"/>
          <w:iCs w:val="0"/>
          <w:color w:val="auto"/>
          <w:sz w:val="21"/>
          <w:szCs w:val="21"/>
        </w:rPr>
        <w:tab/>
      </w:r>
      <w:r>
        <w:rPr>
          <w:rFonts w:hint="eastAsia" w:ascii="仿宋" w:hAnsi="仿宋" w:eastAsia="仿宋" w:cs="仿宋"/>
          <w:i w:val="0"/>
          <w:iCs w:val="0"/>
          <w:color w:val="auto"/>
          <w:sz w:val="21"/>
          <w:szCs w:val="21"/>
          <w:lang w:val="en-US" w:eastAsia="zh-CN"/>
        </w:rPr>
        <w:t>6</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7</w:t>
      </w:r>
    </w:p>
    <w:p>
      <w:pPr>
        <w:pStyle w:val="33"/>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_Toc28698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二、技术文件</w:t>
      </w:r>
      <w:r>
        <w:rPr>
          <w:i w:val="0"/>
          <w:iCs w:val="0"/>
          <w:color w:val="auto"/>
          <w:sz w:val="21"/>
          <w:szCs w:val="21"/>
        </w:rPr>
        <w:tab/>
      </w:r>
      <w:r>
        <w:rPr>
          <w:rFonts w:hint="eastAsia" w:ascii="仿宋" w:hAnsi="仿宋" w:eastAsia="仿宋" w:cs="仿宋"/>
          <w:i w:val="0"/>
          <w:iCs w:val="0"/>
          <w:color w:val="auto"/>
          <w:sz w:val="21"/>
          <w:szCs w:val="21"/>
          <w:lang w:val="en-US" w:eastAsia="zh-CN"/>
        </w:rPr>
        <w:t>6</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8</w:t>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_Toc17302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（一）采购需求应答偏离表</w:t>
      </w:r>
      <w:r>
        <w:rPr>
          <w:i w:val="0"/>
          <w:iCs w:val="0"/>
          <w:color w:val="auto"/>
          <w:sz w:val="21"/>
          <w:szCs w:val="21"/>
        </w:rPr>
        <w:tab/>
      </w:r>
      <w:r>
        <w:rPr>
          <w:rFonts w:hint="eastAsia" w:ascii="仿宋" w:hAnsi="仿宋" w:eastAsia="仿宋" w:cs="仿宋"/>
          <w:i w:val="0"/>
          <w:iCs w:val="0"/>
          <w:color w:val="auto"/>
          <w:sz w:val="21"/>
          <w:szCs w:val="21"/>
          <w:lang w:val="en-US" w:eastAsia="zh-CN"/>
        </w:rPr>
        <w:t>6</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9</w:t>
      </w:r>
    </w:p>
    <w:p>
      <w:pPr>
        <w:pStyle w:val="20"/>
        <w:tabs>
          <w:tab w:val="right" w:leader="dot" w:pos="9638"/>
        </w:tabs>
        <w:rPr>
          <w:rFonts w:hint="eastAsia" w:ascii="仿宋" w:hAnsi="仿宋" w:eastAsia="仿宋" w:cs="仿宋"/>
          <w:i w:val="0"/>
          <w:iCs w:val="0"/>
          <w:caps/>
          <w:color w:val="auto"/>
          <w:sz w:val="21"/>
          <w:szCs w:val="21"/>
          <w:highlight w:val="none"/>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_Toc8284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（二）技术方案</w:t>
      </w:r>
      <w:r>
        <w:rPr>
          <w:i w:val="0"/>
          <w:iCs w:val="0"/>
          <w:color w:val="auto"/>
          <w:sz w:val="21"/>
          <w:szCs w:val="21"/>
        </w:rPr>
        <w:tab/>
      </w:r>
      <w:r>
        <w:rPr>
          <w:rFonts w:hint="eastAsia" w:ascii="仿宋" w:hAnsi="仿宋" w:eastAsia="仿宋" w:cs="仿宋"/>
          <w:i w:val="0"/>
          <w:iCs w:val="0"/>
          <w:color w:val="auto"/>
          <w:sz w:val="21"/>
          <w:szCs w:val="21"/>
          <w:lang w:val="en-US" w:eastAsia="zh-CN"/>
        </w:rPr>
        <w:t>7</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0</w:t>
      </w:r>
    </w:p>
    <w:p>
      <w:pPr>
        <w:pStyle w:val="20"/>
        <w:tabs>
          <w:tab w:val="right" w:leader="dot" w:pos="9638"/>
        </w:tabs>
        <w:rPr>
          <w:rFonts w:hint="eastAsia" w:eastAsia="仿宋"/>
          <w:i w:val="0"/>
          <w:iCs w:val="0"/>
          <w:sz w:val="21"/>
          <w:szCs w:val="21"/>
          <w:lang w:val="en-US" w:eastAsia="zh-CN"/>
        </w:rPr>
      </w:pPr>
      <w:r>
        <w:rPr>
          <w:rFonts w:hint="eastAsia" w:ascii="仿宋" w:hAnsi="仿宋" w:eastAsia="仿宋" w:cs="仿宋"/>
          <w:i w:val="0"/>
          <w:iCs w:val="0"/>
          <w:caps/>
          <w:color w:val="000000"/>
          <w:sz w:val="21"/>
          <w:szCs w:val="21"/>
          <w:highlight w:val="none"/>
        </w:rPr>
        <w:fldChar w:fldCharType="begin"/>
      </w:r>
      <w:r>
        <w:rPr>
          <w:rFonts w:hint="eastAsia" w:ascii="仿宋" w:hAnsi="仿宋" w:eastAsia="仿宋" w:cs="仿宋"/>
          <w:i w:val="0"/>
          <w:iCs w:val="0"/>
          <w:caps/>
          <w:sz w:val="21"/>
          <w:szCs w:val="21"/>
          <w:highlight w:val="none"/>
        </w:rPr>
        <w:instrText xml:space="preserve"> HYPERLINK \l _Toc20365 </w:instrText>
      </w:r>
      <w:r>
        <w:rPr>
          <w:rFonts w:hint="eastAsia" w:ascii="仿宋" w:hAnsi="仿宋" w:eastAsia="仿宋" w:cs="仿宋"/>
          <w:i w:val="0"/>
          <w:iCs w:val="0"/>
          <w:caps/>
          <w:sz w:val="21"/>
          <w:szCs w:val="21"/>
          <w:highlight w:val="none"/>
        </w:rPr>
        <w:fldChar w:fldCharType="separate"/>
      </w:r>
      <w:r>
        <w:rPr>
          <w:rFonts w:hint="eastAsia" w:ascii="仿宋" w:hAnsi="仿宋" w:eastAsia="仿宋" w:cs="仿宋"/>
          <w:i w:val="0"/>
          <w:iCs w:val="0"/>
          <w:sz w:val="21"/>
          <w:szCs w:val="21"/>
          <w:highlight w:val="none"/>
        </w:rPr>
        <w:t>（三）其他材料</w:t>
      </w:r>
      <w:r>
        <w:rPr>
          <w:i w:val="0"/>
          <w:iCs w:val="0"/>
          <w:sz w:val="21"/>
          <w:szCs w:val="21"/>
        </w:rPr>
        <w:tab/>
      </w:r>
      <w:r>
        <w:rPr>
          <w:rFonts w:hint="eastAsia"/>
          <w:i w:val="0"/>
          <w:iCs w:val="0"/>
          <w:sz w:val="21"/>
          <w:szCs w:val="21"/>
          <w:lang w:val="en-US" w:eastAsia="zh-CN"/>
        </w:rPr>
        <w:t>7</w:t>
      </w:r>
      <w:r>
        <w:rPr>
          <w:rFonts w:hint="eastAsia" w:ascii="仿宋" w:hAnsi="仿宋" w:eastAsia="仿宋" w:cs="仿宋"/>
          <w:i w:val="0"/>
          <w:iCs w:val="0"/>
          <w:caps/>
          <w:color w:val="000000"/>
          <w:sz w:val="21"/>
          <w:szCs w:val="21"/>
          <w:highlight w:val="none"/>
        </w:rPr>
        <w:fldChar w:fldCharType="end"/>
      </w:r>
      <w:r>
        <w:rPr>
          <w:rFonts w:hint="eastAsia" w:ascii="仿宋" w:hAnsi="仿宋" w:eastAsia="仿宋" w:cs="仿宋"/>
          <w:i w:val="0"/>
          <w:iCs w:val="0"/>
          <w:caps/>
          <w:color w:val="000000"/>
          <w:sz w:val="21"/>
          <w:szCs w:val="21"/>
          <w:highlight w:val="none"/>
          <w:lang w:val="en-US" w:eastAsia="zh-CN"/>
        </w:rPr>
        <w:t>3</w:t>
      </w:r>
    </w:p>
    <w:p>
      <w:pPr>
        <w:pStyle w:val="20"/>
        <w:tabs>
          <w:tab w:val="right" w:leader="dot" w:pos="9638"/>
        </w:tabs>
        <w:rPr>
          <w:rFonts w:hint="default"/>
          <w:i w:val="0"/>
          <w:iCs w:val="0"/>
          <w:color w:val="auto"/>
          <w:sz w:val="21"/>
          <w:szCs w:val="21"/>
          <w:lang w:val="en-US"/>
        </w:rPr>
      </w:pPr>
    </w:p>
    <w:p>
      <w:pPr>
        <w:pStyle w:val="33"/>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_Toc20443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三、报价文件</w:t>
      </w:r>
      <w:r>
        <w:rPr>
          <w:i w:val="0"/>
          <w:iCs w:val="0"/>
          <w:color w:val="auto"/>
          <w:sz w:val="21"/>
          <w:szCs w:val="21"/>
        </w:rPr>
        <w:tab/>
      </w:r>
      <w:r>
        <w:rPr>
          <w:rFonts w:hint="eastAsia" w:ascii="仿宋" w:hAnsi="仿宋" w:eastAsia="仿宋" w:cs="仿宋"/>
          <w:i w:val="0"/>
          <w:iCs w:val="0"/>
          <w:color w:val="auto"/>
          <w:sz w:val="21"/>
          <w:szCs w:val="21"/>
          <w:lang w:val="en-US" w:eastAsia="zh-CN"/>
        </w:rPr>
        <w:t>7</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4</w:t>
      </w:r>
    </w:p>
    <w:p>
      <w:pPr>
        <w:pStyle w:val="20"/>
        <w:tabs>
          <w:tab w:val="right" w:leader="dot" w:pos="9638"/>
        </w:tabs>
        <w:rPr>
          <w:rFonts w:hint="eastAsia" w:eastAsia="仿宋"/>
          <w:i w:val="0"/>
          <w:iCs w:val="0"/>
          <w:color w:val="auto"/>
          <w:sz w:val="21"/>
          <w:szCs w:val="21"/>
          <w:lang w:val="en-US" w:eastAsia="zh-CN"/>
        </w:rPr>
      </w:pPr>
      <w:r>
        <w:rPr>
          <w:rFonts w:hint="eastAsia" w:ascii="仿宋" w:hAnsi="仿宋" w:eastAsia="仿宋" w:cs="仿宋"/>
          <w:i w:val="0"/>
          <w:iCs w:val="0"/>
          <w:caps/>
          <w:color w:val="auto"/>
          <w:sz w:val="21"/>
          <w:szCs w:val="21"/>
          <w:highlight w:val="none"/>
        </w:rPr>
        <w:fldChar w:fldCharType="begin"/>
      </w:r>
      <w:r>
        <w:rPr>
          <w:rFonts w:hint="eastAsia" w:ascii="仿宋" w:hAnsi="仿宋" w:eastAsia="仿宋" w:cs="仿宋"/>
          <w:i w:val="0"/>
          <w:iCs w:val="0"/>
          <w:caps/>
          <w:color w:val="auto"/>
          <w:sz w:val="21"/>
          <w:szCs w:val="21"/>
          <w:highlight w:val="none"/>
        </w:rPr>
        <w:instrText xml:space="preserve"> HYPERLINK \l _Toc18942 </w:instrText>
      </w:r>
      <w:r>
        <w:rPr>
          <w:rFonts w:hint="eastAsia" w:ascii="仿宋" w:hAnsi="仿宋" w:eastAsia="仿宋" w:cs="仿宋"/>
          <w:i w:val="0"/>
          <w:iCs w:val="0"/>
          <w:caps/>
          <w:color w:val="auto"/>
          <w:sz w:val="21"/>
          <w:szCs w:val="21"/>
          <w:highlight w:val="none"/>
        </w:rPr>
        <w:fldChar w:fldCharType="separate"/>
      </w:r>
      <w:r>
        <w:rPr>
          <w:rFonts w:hint="eastAsia" w:ascii="仿宋" w:hAnsi="仿宋" w:eastAsia="仿宋" w:cs="仿宋"/>
          <w:i w:val="0"/>
          <w:iCs w:val="0"/>
          <w:color w:val="auto"/>
          <w:sz w:val="21"/>
          <w:szCs w:val="21"/>
          <w:highlight w:val="none"/>
        </w:rPr>
        <w:t>（一）报价一览表</w:t>
      </w:r>
      <w:r>
        <w:rPr>
          <w:i w:val="0"/>
          <w:iCs w:val="0"/>
          <w:color w:val="auto"/>
          <w:sz w:val="21"/>
          <w:szCs w:val="21"/>
        </w:rPr>
        <w:tab/>
      </w:r>
      <w:r>
        <w:rPr>
          <w:rFonts w:hint="eastAsia" w:ascii="仿宋" w:hAnsi="仿宋" w:eastAsia="仿宋" w:cs="仿宋"/>
          <w:i w:val="0"/>
          <w:iCs w:val="0"/>
          <w:color w:val="auto"/>
          <w:sz w:val="21"/>
          <w:szCs w:val="21"/>
          <w:lang w:val="en-US" w:eastAsia="zh-CN"/>
        </w:rPr>
        <w:t>7</w:t>
      </w:r>
      <w:r>
        <w:rPr>
          <w:rFonts w:hint="eastAsia" w:ascii="仿宋" w:hAnsi="仿宋" w:eastAsia="仿宋" w:cs="仿宋"/>
          <w:i w:val="0"/>
          <w:iCs w:val="0"/>
          <w:caps/>
          <w:color w:val="auto"/>
          <w:sz w:val="21"/>
          <w:szCs w:val="21"/>
          <w:highlight w:val="none"/>
        </w:rPr>
        <w:fldChar w:fldCharType="end"/>
      </w:r>
      <w:r>
        <w:rPr>
          <w:rFonts w:hint="eastAsia" w:ascii="仿宋" w:hAnsi="仿宋" w:eastAsia="仿宋" w:cs="仿宋"/>
          <w:i w:val="0"/>
          <w:iCs w:val="0"/>
          <w:caps/>
          <w:color w:val="auto"/>
          <w:sz w:val="21"/>
          <w:szCs w:val="21"/>
          <w:highlight w:val="none"/>
          <w:lang w:val="en-US" w:eastAsia="zh-CN"/>
        </w:rPr>
        <w:t>4</w:t>
      </w:r>
    </w:p>
    <w:p>
      <w:pPr>
        <w:pStyle w:val="20"/>
        <w:tabs>
          <w:tab w:val="right" w:leader="dot" w:pos="9638"/>
        </w:tabs>
        <w:rPr>
          <w:rFonts w:hint="eastAsia" w:eastAsia="仿宋"/>
          <w:i w:val="0"/>
          <w:iCs w:val="0"/>
          <w:color w:val="auto"/>
          <w:sz w:val="21"/>
          <w:szCs w:val="21"/>
          <w:lang w:val="en-US" w:eastAsia="zh-CN"/>
        </w:rPr>
      </w:pPr>
    </w:p>
    <w:p>
      <w:pPr>
        <w:pStyle w:val="20"/>
        <w:tabs>
          <w:tab w:val="right" w:leader="dot" w:pos="9638"/>
        </w:tabs>
        <w:rPr>
          <w:rFonts w:hint="eastAsia" w:ascii="仿宋" w:hAnsi="仿宋" w:eastAsia="仿宋" w:cs="仿宋"/>
          <w:color w:val="auto"/>
          <w:sz w:val="24"/>
          <w:highlight w:val="none"/>
        </w:rPr>
        <w:sectPr>
          <w:headerReference r:id="rId8" w:type="default"/>
          <w:footerReference r:id="rId9" w:type="default"/>
          <w:pgSz w:w="11906" w:h="16838"/>
          <w:pgMar w:top="1417" w:right="1134" w:bottom="1134" w:left="1134" w:header="851" w:footer="992" w:gutter="0"/>
          <w:pgNumType w:start="1"/>
          <w:cols w:space="720" w:num="1"/>
          <w:docGrid w:type="lines" w:linePitch="312" w:charSpace="0"/>
        </w:sectPr>
      </w:pPr>
      <w:r>
        <w:rPr>
          <w:rFonts w:hint="eastAsia" w:ascii="仿宋" w:hAnsi="仿宋" w:eastAsia="仿宋" w:cs="仿宋"/>
          <w:i w:val="0"/>
          <w:iCs w:val="0"/>
          <w:caps/>
          <w:color w:val="auto"/>
          <w:sz w:val="21"/>
          <w:szCs w:val="21"/>
          <w:highlight w:val="none"/>
        </w:rPr>
        <w:fldChar w:fldCharType="end"/>
      </w:r>
    </w:p>
    <w:p>
      <w:pPr>
        <w:pStyle w:val="3"/>
        <w:spacing w:before="0" w:after="0" w:line="360" w:lineRule="auto"/>
        <w:jc w:val="center"/>
        <w:rPr>
          <w:rFonts w:ascii="仿宋" w:hAnsi="仿宋" w:eastAsia="仿宋" w:cs="仿宋"/>
          <w:bCs w:val="0"/>
          <w:color w:val="auto"/>
          <w:sz w:val="28"/>
          <w:szCs w:val="28"/>
          <w:highlight w:val="none"/>
        </w:rPr>
      </w:pPr>
      <w:bookmarkStart w:id="1" w:name="_Toc23196"/>
      <w:bookmarkStart w:id="2" w:name="_Toc7300"/>
      <w:bookmarkStart w:id="3" w:name="_Toc287600115"/>
      <w:bookmarkStart w:id="4" w:name="_Toc517281813"/>
      <w:bookmarkStart w:id="5" w:name="_Toc11838"/>
      <w:bookmarkStart w:id="6" w:name="_Toc444891333"/>
      <w:bookmarkStart w:id="7" w:name="_Toc19709"/>
      <w:bookmarkStart w:id="8" w:name="_Toc11826"/>
      <w:r>
        <w:rPr>
          <w:rFonts w:hint="eastAsia" w:ascii="仿宋" w:hAnsi="仿宋" w:eastAsia="仿宋" w:cs="仿宋"/>
          <w:bCs w:val="0"/>
          <w:color w:val="auto"/>
          <w:sz w:val="28"/>
          <w:szCs w:val="28"/>
          <w:highlight w:val="none"/>
        </w:rPr>
        <w:t xml:space="preserve">第一章 </w:t>
      </w:r>
      <w:r>
        <w:rPr>
          <w:rFonts w:hint="eastAsia" w:ascii="仿宋" w:hAnsi="仿宋" w:eastAsia="仿宋" w:cs="仿宋"/>
          <w:bCs w:val="0"/>
          <w:color w:val="auto"/>
          <w:sz w:val="28"/>
          <w:szCs w:val="28"/>
          <w:highlight w:val="none"/>
          <w:lang w:eastAsia="zh-CN"/>
        </w:rPr>
        <w:t>比选磋商</w:t>
      </w:r>
      <w:r>
        <w:rPr>
          <w:rFonts w:hint="eastAsia" w:ascii="仿宋" w:hAnsi="仿宋" w:eastAsia="仿宋" w:cs="仿宋"/>
          <w:bCs w:val="0"/>
          <w:color w:val="auto"/>
          <w:sz w:val="28"/>
          <w:szCs w:val="28"/>
          <w:highlight w:val="none"/>
        </w:rPr>
        <w:t>公告</w:t>
      </w:r>
      <w:bookmarkEnd w:id="1"/>
    </w:p>
    <w:p>
      <w:pPr>
        <w:wordWrap w:val="0"/>
        <w:spacing w:line="360" w:lineRule="auto"/>
        <w:ind w:firstLine="480" w:firstLineChars="200"/>
        <w:textAlignment w:val="baseline"/>
        <w:rPr>
          <w:rFonts w:hint="eastAsia" w:ascii="仿宋" w:hAnsi="仿宋" w:eastAsia="仿宋" w:cs="Cambria Math"/>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u w:val="single"/>
        </w:rPr>
        <w:t>人保</w:t>
      </w:r>
      <w:r>
        <w:rPr>
          <w:rFonts w:hint="eastAsia" w:ascii="仿宋" w:hAnsi="仿宋" w:eastAsia="仿宋" w:cs="仿宋"/>
          <w:color w:val="auto"/>
          <w:sz w:val="24"/>
          <w:highlight w:val="none"/>
          <w:u w:val="single"/>
          <w:lang w:val="en-US" w:eastAsia="zh-CN"/>
        </w:rPr>
        <w:t>财险</w:t>
      </w:r>
      <w:r>
        <w:rPr>
          <w:rFonts w:hint="eastAsia" w:ascii="仿宋" w:hAnsi="仿宋" w:eastAsia="仿宋" w:cs="仿宋"/>
          <w:color w:val="auto"/>
          <w:sz w:val="24"/>
          <w:highlight w:val="none"/>
          <w:u w:val="single"/>
        </w:rPr>
        <w:t>新疆</w:t>
      </w:r>
      <w:r>
        <w:rPr>
          <w:rFonts w:hint="eastAsia" w:ascii="仿宋" w:hAnsi="仿宋" w:eastAsia="仿宋" w:cs="仿宋"/>
          <w:color w:val="auto"/>
          <w:sz w:val="24"/>
          <w:highlight w:val="none"/>
          <w:u w:val="single"/>
          <w:lang w:val="en-US" w:eastAsia="zh-CN"/>
        </w:rPr>
        <w:t>昭苏</w:t>
      </w:r>
      <w:r>
        <w:rPr>
          <w:rFonts w:hint="eastAsia" w:ascii="仿宋" w:hAnsi="仿宋" w:eastAsia="仿宋" w:cs="仿宋"/>
          <w:color w:val="auto"/>
          <w:sz w:val="24"/>
          <w:highlight w:val="none"/>
          <w:u w:val="single"/>
        </w:rPr>
        <w:t>支公司职工食堂食材供应商采购项目</w:t>
      </w:r>
      <w:r>
        <w:rPr>
          <w:rFonts w:hint="eastAsia" w:ascii="仿宋" w:hAnsi="仿宋" w:eastAsia="仿宋" w:cs="仿宋"/>
          <w:color w:val="auto"/>
          <w:sz w:val="24"/>
          <w:highlight w:val="none"/>
        </w:rPr>
        <w:t>由</w:t>
      </w:r>
      <w:r>
        <w:rPr>
          <w:rFonts w:hint="eastAsia" w:ascii="仿宋" w:hAnsi="仿宋" w:eastAsia="仿宋" w:cs="仿宋"/>
          <w:color w:val="auto"/>
          <w:sz w:val="24"/>
          <w:highlight w:val="none"/>
          <w:u w:val="single"/>
        </w:rPr>
        <w:t>中国人民财产保险股份有限公司</w:t>
      </w:r>
      <w:r>
        <w:rPr>
          <w:rFonts w:hint="eastAsia" w:ascii="仿宋" w:hAnsi="仿宋" w:eastAsia="仿宋" w:cs="仿宋"/>
          <w:color w:val="auto"/>
          <w:sz w:val="24"/>
          <w:highlight w:val="none"/>
          <w:u w:val="single"/>
          <w:lang w:val="en-US" w:eastAsia="zh-CN"/>
        </w:rPr>
        <w:t>昭苏支</w:t>
      </w:r>
      <w:r>
        <w:rPr>
          <w:rFonts w:hint="eastAsia" w:ascii="仿宋" w:hAnsi="仿宋" w:eastAsia="仿宋" w:cs="仿宋"/>
          <w:color w:val="auto"/>
          <w:sz w:val="24"/>
          <w:highlight w:val="none"/>
          <w:u w:val="single"/>
        </w:rPr>
        <w:t>公司</w:t>
      </w:r>
      <w:r>
        <w:rPr>
          <w:rFonts w:hint="eastAsia" w:ascii="仿宋" w:hAnsi="仿宋" w:eastAsia="仿宋" w:cs="仿宋"/>
          <w:color w:val="auto"/>
          <w:sz w:val="24"/>
          <w:highlight w:val="none"/>
        </w:rPr>
        <w:t>（以下简称“采购人”）</w:t>
      </w:r>
      <w:r>
        <w:rPr>
          <w:rFonts w:hint="eastAsia" w:ascii="仿宋" w:hAnsi="仿宋" w:eastAsia="仿宋" w:cs="Cambria Math"/>
          <w:color w:val="auto"/>
          <w:sz w:val="24"/>
          <w:highlight w:val="none"/>
        </w:rPr>
        <w:t>落实资金，组织本项目的磋商工作</w:t>
      </w:r>
      <w:r>
        <w:rPr>
          <w:rFonts w:hint="eastAsia" w:ascii="仿宋" w:hAnsi="仿宋" w:eastAsia="仿宋" w:cs="仿宋"/>
          <w:color w:val="auto"/>
          <w:sz w:val="24"/>
          <w:highlight w:val="none"/>
        </w:rPr>
        <w:t>，采购合同由</w:t>
      </w:r>
      <w:r>
        <w:rPr>
          <w:rFonts w:hint="eastAsia" w:ascii="仿宋" w:hAnsi="仿宋" w:eastAsia="仿宋" w:cs="宋体"/>
          <w:color w:val="auto"/>
          <w:sz w:val="24"/>
          <w:highlight w:val="none"/>
          <w:u w:val="single"/>
          <w:lang w:val="en-US" w:eastAsia="zh-CN"/>
        </w:rPr>
        <w:t>中国人民财产保险股份有限公司伊犁哈萨克自治州分公司</w:t>
      </w:r>
      <w:r>
        <w:rPr>
          <w:rFonts w:hint="eastAsia" w:ascii="仿宋" w:hAnsi="仿宋" w:eastAsia="仿宋" w:cs="仿宋"/>
          <w:color w:val="auto"/>
          <w:sz w:val="24"/>
          <w:highlight w:val="none"/>
        </w:rPr>
        <w:t>根据成交结果与成交人签署。现进行公开</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w:t>
      </w:r>
      <w:r>
        <w:rPr>
          <w:rFonts w:hint="eastAsia" w:ascii="仿宋" w:hAnsi="仿宋" w:eastAsia="仿宋" w:cs="Cambria Math"/>
          <w:color w:val="auto"/>
          <w:sz w:val="24"/>
          <w:highlight w:val="none"/>
        </w:rPr>
        <w:t xml:space="preserve">有意向且具有提供标的物能力的潜在供应商（以下简称“供应商”）可前来参与磋商响应。 </w:t>
      </w:r>
    </w:p>
    <w:p>
      <w:pPr>
        <w:pStyle w:val="4"/>
        <w:ind w:firstLine="0" w:firstLineChars="0"/>
        <w:jc w:val="left"/>
        <w:rPr>
          <w:rFonts w:hint="eastAsia" w:ascii="仿宋" w:hAnsi="仿宋" w:eastAsia="仿宋" w:cs="仿宋"/>
          <w:color w:val="auto"/>
          <w:sz w:val="24"/>
          <w:szCs w:val="24"/>
          <w:highlight w:val="none"/>
        </w:rPr>
      </w:pPr>
      <w:bookmarkStart w:id="9" w:name="_Toc21237"/>
      <w:r>
        <w:rPr>
          <w:rFonts w:hint="eastAsia" w:ascii="仿宋" w:hAnsi="仿宋" w:eastAsia="仿宋" w:cs="仿宋"/>
          <w:color w:val="auto"/>
          <w:sz w:val="24"/>
          <w:szCs w:val="24"/>
          <w:highlight w:val="none"/>
        </w:rPr>
        <w:t>一、项目概况与采购范围</w:t>
      </w:r>
      <w:bookmarkEnd w:id="9"/>
    </w:p>
    <w:p>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1.1 项目名称：</w:t>
      </w:r>
      <w:r>
        <w:rPr>
          <w:rFonts w:hint="eastAsia" w:ascii="仿宋" w:hAnsi="仿宋" w:eastAsia="仿宋" w:cs="仿宋"/>
          <w:color w:val="auto"/>
          <w:sz w:val="24"/>
          <w:highlight w:val="none"/>
          <w:u w:val="single"/>
        </w:rPr>
        <w:t>人保</w:t>
      </w:r>
      <w:r>
        <w:rPr>
          <w:rFonts w:hint="eastAsia" w:ascii="仿宋" w:hAnsi="仿宋" w:eastAsia="仿宋" w:cs="仿宋"/>
          <w:color w:val="auto"/>
          <w:sz w:val="24"/>
          <w:highlight w:val="none"/>
          <w:u w:val="single"/>
          <w:lang w:val="en-US" w:eastAsia="zh-CN"/>
        </w:rPr>
        <w:t>财险</w:t>
      </w:r>
      <w:r>
        <w:rPr>
          <w:rFonts w:hint="eastAsia" w:ascii="仿宋" w:hAnsi="仿宋" w:eastAsia="仿宋" w:cs="仿宋"/>
          <w:color w:val="auto"/>
          <w:sz w:val="24"/>
          <w:highlight w:val="none"/>
          <w:u w:val="single"/>
        </w:rPr>
        <w:t>新疆</w:t>
      </w:r>
      <w:r>
        <w:rPr>
          <w:rFonts w:hint="eastAsia" w:ascii="仿宋" w:hAnsi="仿宋" w:eastAsia="仿宋" w:cs="仿宋"/>
          <w:color w:val="auto"/>
          <w:sz w:val="24"/>
          <w:highlight w:val="none"/>
          <w:u w:val="single"/>
          <w:lang w:val="en-US" w:eastAsia="zh-CN"/>
        </w:rPr>
        <w:t>昭苏</w:t>
      </w:r>
      <w:r>
        <w:rPr>
          <w:rFonts w:hint="eastAsia" w:ascii="仿宋" w:hAnsi="仿宋" w:eastAsia="仿宋" w:cs="仿宋"/>
          <w:color w:val="auto"/>
          <w:sz w:val="24"/>
          <w:highlight w:val="none"/>
          <w:u w:val="single"/>
        </w:rPr>
        <w:t>支公司职工食堂食材供应商采购项目</w:t>
      </w:r>
      <w:r>
        <w:rPr>
          <w:rFonts w:hint="eastAsia" w:ascii="仿宋" w:hAnsi="仿宋" w:eastAsia="仿宋" w:cs="仿宋"/>
          <w:color w:val="auto"/>
          <w:sz w:val="24"/>
          <w:highlight w:val="none"/>
        </w:rPr>
        <w:t>。</w:t>
      </w:r>
    </w:p>
    <w:p>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1.2 采购范围：本项目拟采购</w:t>
      </w:r>
      <w:r>
        <w:rPr>
          <w:rFonts w:hint="eastAsia" w:ascii="仿宋" w:hAnsi="仿宋" w:eastAsia="仿宋" w:cs="仿宋"/>
          <w:color w:val="auto"/>
          <w:sz w:val="24"/>
          <w:highlight w:val="none"/>
          <w:lang w:val="en-US" w:eastAsia="zh-CN"/>
        </w:rPr>
        <w:t>职工</w:t>
      </w:r>
      <w:r>
        <w:rPr>
          <w:rFonts w:hint="eastAsia" w:ascii="仿宋" w:hAnsi="仿宋" w:eastAsia="仿宋" w:cs="仿宋"/>
          <w:color w:val="auto"/>
          <w:sz w:val="24"/>
          <w:highlight w:val="none"/>
        </w:rPr>
        <w:t>食堂</w:t>
      </w:r>
      <w:r>
        <w:rPr>
          <w:rFonts w:hint="eastAsia" w:ascii="仿宋" w:hAnsi="仿宋" w:eastAsia="仿宋" w:cs="仿宋"/>
          <w:color w:val="auto"/>
          <w:sz w:val="24"/>
          <w:highlight w:val="none"/>
          <w:lang w:val="en-US" w:eastAsia="zh-CN"/>
        </w:rPr>
        <w:t>日常食材</w:t>
      </w:r>
      <w:r>
        <w:rPr>
          <w:rFonts w:hint="eastAsia" w:ascii="仿宋" w:hAnsi="仿宋" w:eastAsia="仿宋" w:cs="仿宋"/>
          <w:color w:val="auto"/>
          <w:sz w:val="24"/>
          <w:highlight w:val="none"/>
        </w:rPr>
        <w:t>，具体包括蔬菜水果、米面油、副食品、</w:t>
      </w:r>
      <w:r>
        <w:rPr>
          <w:rFonts w:hint="eastAsia" w:ascii="仿宋" w:hAnsi="仿宋" w:eastAsia="仿宋" w:cs="仿宋"/>
          <w:color w:val="auto"/>
          <w:sz w:val="24"/>
          <w:highlight w:val="none"/>
          <w:lang w:val="en-US" w:eastAsia="zh-CN"/>
        </w:rPr>
        <w:t>肉禽蛋奶</w:t>
      </w:r>
      <w:r>
        <w:rPr>
          <w:rFonts w:hint="eastAsia" w:ascii="仿宋" w:hAnsi="仿宋" w:eastAsia="仿宋" w:cs="仿宋"/>
          <w:color w:val="auto"/>
          <w:sz w:val="24"/>
          <w:highlight w:val="none"/>
        </w:rPr>
        <w:t>、冷冻食品（含水产品）等，具体技术要求详见第五章采购需求。</w:t>
      </w:r>
    </w:p>
    <w:p>
      <w:pPr>
        <w:adjustRightInd w:val="0"/>
        <w:snapToGrid w:val="0"/>
        <w:spacing w:line="360" w:lineRule="auto"/>
        <w:ind w:firstLine="480" w:firstLineChars="200"/>
        <w:jc w:val="left"/>
        <w:rPr>
          <w:rFonts w:hint="eastAsia" w:ascii="仿宋" w:hAnsi="仿宋" w:eastAsia="仿宋" w:cs="宋体"/>
          <w:color w:val="auto"/>
          <w:sz w:val="24"/>
          <w:highlight w:val="none"/>
          <w:lang w:eastAsia="zh-CN"/>
        </w:rPr>
      </w:pPr>
      <w:r>
        <w:rPr>
          <w:rFonts w:hint="eastAsia" w:ascii="仿宋" w:hAnsi="仿宋" w:eastAsia="仿宋" w:cs="仿宋"/>
          <w:color w:val="auto"/>
          <w:sz w:val="24"/>
          <w:highlight w:val="none"/>
        </w:rPr>
        <w:t>1.3 标包划分：</w:t>
      </w:r>
      <w:r>
        <w:rPr>
          <w:rFonts w:hint="eastAsia" w:ascii="仿宋" w:hAnsi="仿宋" w:eastAsia="仿宋" w:cs="宋体"/>
          <w:color w:val="auto"/>
          <w:sz w:val="24"/>
          <w:highlight w:val="none"/>
        </w:rPr>
        <w:t>本项目不划分标包</w:t>
      </w:r>
      <w:r>
        <w:rPr>
          <w:rFonts w:hint="eastAsia" w:ascii="仿宋" w:hAnsi="仿宋" w:eastAsia="仿宋" w:cs="宋体"/>
          <w:color w:val="auto"/>
          <w:sz w:val="24"/>
          <w:highlight w:val="none"/>
          <w:lang w:eastAsia="zh-CN"/>
        </w:rPr>
        <w:t>。</w:t>
      </w:r>
    </w:p>
    <w:p>
      <w:pPr>
        <w:adjustRightInd w:val="0"/>
        <w:snapToGrid w:val="0"/>
        <w:spacing w:line="360" w:lineRule="auto"/>
        <w:ind w:firstLine="480" w:firstLineChars="200"/>
        <w:jc w:val="left"/>
        <w:rPr>
          <w:rFonts w:ascii="仿宋" w:hAnsi="仿宋" w:eastAsia="仿宋" w:cs="仿宋"/>
          <w:color w:val="auto"/>
          <w:sz w:val="24"/>
          <w:highlight w:val="none"/>
        </w:rPr>
      </w:pPr>
      <w:r>
        <w:rPr>
          <w:rFonts w:ascii="仿宋" w:hAnsi="仿宋" w:eastAsia="仿宋" w:cs="仿宋"/>
          <w:color w:val="auto"/>
          <w:sz w:val="24"/>
          <w:highlight w:val="none"/>
        </w:rPr>
        <w:t>1.4</w:t>
      </w:r>
      <w:r>
        <w:rPr>
          <w:rFonts w:ascii="仿宋" w:hAnsi="仿宋" w:cs="仿宋"/>
          <w:color w:val="auto"/>
          <w:sz w:val="24"/>
          <w:highlight w:val="none"/>
        </w:rPr>
        <w:t xml:space="preserve"> </w:t>
      </w:r>
      <w:r>
        <w:rPr>
          <w:rFonts w:hint="eastAsia" w:ascii="仿宋" w:hAnsi="仿宋" w:eastAsia="仿宋" w:cs="仿宋"/>
          <w:color w:val="auto"/>
          <w:sz w:val="24"/>
          <w:highlight w:val="none"/>
        </w:rPr>
        <w:t>项目性质：</w:t>
      </w:r>
      <w:r>
        <w:rPr>
          <w:rFonts w:hint="eastAsia" w:ascii="仿宋" w:hAnsi="仿宋" w:eastAsia="仿宋" w:cs="宋体"/>
          <w:color w:val="auto"/>
          <w:sz w:val="24"/>
          <w:highlight w:val="none"/>
        </w:rPr>
        <w:t>服务</w:t>
      </w:r>
      <w:r>
        <w:rPr>
          <w:rFonts w:hint="eastAsia" w:ascii="仿宋" w:hAnsi="仿宋" w:eastAsia="仿宋" w:cs="仿宋"/>
          <w:color w:val="auto"/>
          <w:sz w:val="24"/>
          <w:highlight w:val="none"/>
        </w:rPr>
        <w:t>。</w:t>
      </w:r>
    </w:p>
    <w:p>
      <w:pPr>
        <w:adjustRightInd w:val="0"/>
        <w:snapToGri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5</w:t>
      </w:r>
      <w:r>
        <w:rPr>
          <w:rFonts w:hint="eastAsia" w:ascii="仿宋" w:hAnsi="仿宋" w:eastAsia="仿宋" w:cs="仿宋"/>
          <w:color w:val="auto"/>
          <w:sz w:val="24"/>
          <w:highlight w:val="none"/>
        </w:rPr>
        <w:t>服务期限：</w:t>
      </w:r>
      <w:r>
        <w:rPr>
          <w:rFonts w:hint="eastAsia" w:ascii="仿宋" w:hAnsi="仿宋" w:eastAsia="仿宋" w:cs="宋体"/>
          <w:color w:val="auto"/>
          <w:sz w:val="24"/>
          <w:highlight w:val="none"/>
        </w:rPr>
        <w:t>自合同签订之日起</w:t>
      </w:r>
      <w:r>
        <w:rPr>
          <w:rFonts w:hint="eastAsia" w:ascii="仿宋" w:hAnsi="仿宋" w:eastAsia="仿宋" w:cs="宋体"/>
          <w:color w:val="auto"/>
          <w:sz w:val="24"/>
          <w:highlight w:val="none"/>
          <w:lang w:val="en-US" w:eastAsia="zh-CN"/>
        </w:rPr>
        <w:t>三</w:t>
      </w:r>
      <w:r>
        <w:rPr>
          <w:rFonts w:hint="eastAsia" w:ascii="仿宋" w:hAnsi="仿宋" w:eastAsia="仿宋" w:cs="宋体"/>
          <w:color w:val="auto"/>
          <w:sz w:val="24"/>
          <w:highlight w:val="none"/>
        </w:rPr>
        <w:t>年。</w:t>
      </w:r>
    </w:p>
    <w:p>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6</w:t>
      </w:r>
      <w:r>
        <w:rPr>
          <w:rFonts w:hint="eastAsia" w:ascii="仿宋" w:hAnsi="仿宋" w:eastAsia="仿宋" w:cs="宋体"/>
          <w:color w:val="auto"/>
          <w:sz w:val="24"/>
          <w:highlight w:val="none"/>
        </w:rPr>
        <w:t>服务地点/交货地点：</w:t>
      </w:r>
      <w:r>
        <w:rPr>
          <w:rFonts w:hint="eastAsia" w:ascii="仿宋" w:hAnsi="仿宋" w:eastAsia="仿宋" w:cs="宋体"/>
          <w:color w:val="auto"/>
          <w:sz w:val="24"/>
          <w:highlight w:val="none"/>
          <w:lang w:val="en-US" w:eastAsia="zh-CN"/>
        </w:rPr>
        <w:t>新疆伊犁昭苏县解放街349号</w:t>
      </w:r>
      <w:r>
        <w:rPr>
          <w:rFonts w:hint="eastAsia" w:ascii="仿宋" w:hAnsi="仿宋" w:eastAsia="仿宋" w:cs="宋体"/>
          <w:color w:val="auto"/>
          <w:sz w:val="24"/>
          <w:highlight w:val="none"/>
        </w:rPr>
        <w:t>。</w:t>
      </w:r>
    </w:p>
    <w:p>
      <w:pPr>
        <w:pStyle w:val="4"/>
        <w:ind w:firstLine="0" w:firstLineChars="0"/>
        <w:jc w:val="left"/>
        <w:rPr>
          <w:rFonts w:hint="eastAsia" w:ascii="仿宋" w:hAnsi="仿宋" w:eastAsia="仿宋" w:cs="仿宋"/>
          <w:color w:val="auto"/>
          <w:sz w:val="24"/>
          <w:szCs w:val="24"/>
          <w:highlight w:val="none"/>
        </w:rPr>
      </w:pPr>
      <w:bookmarkStart w:id="10" w:name="_Toc17569"/>
      <w:r>
        <w:rPr>
          <w:rFonts w:hint="eastAsia" w:ascii="仿宋" w:hAnsi="仿宋" w:eastAsia="仿宋" w:cs="仿宋"/>
          <w:color w:val="auto"/>
          <w:sz w:val="24"/>
          <w:szCs w:val="24"/>
          <w:highlight w:val="none"/>
        </w:rPr>
        <w:t>二、供应商资格要求</w:t>
      </w:r>
      <w:bookmarkEnd w:id="10"/>
    </w:p>
    <w:p>
      <w:pPr>
        <w:spacing w:line="360" w:lineRule="auto"/>
        <w:ind w:firstLine="480" w:firstLineChars="200"/>
        <w:textAlignment w:val="baseline"/>
        <w:rPr>
          <w:rFonts w:hint="eastAsia" w:ascii="仿宋" w:hAnsi="仿宋" w:eastAsia="仿宋" w:cs="宋体"/>
          <w:color w:val="0000FF"/>
          <w:sz w:val="24"/>
          <w:highlight w:val="none"/>
        </w:rPr>
      </w:pPr>
      <w:r>
        <w:rPr>
          <w:rFonts w:hint="eastAsia" w:ascii="仿宋" w:hAnsi="仿宋" w:eastAsia="仿宋" w:cs="宋体"/>
          <w:color w:val="auto"/>
          <w:sz w:val="24"/>
          <w:highlight w:val="none"/>
        </w:rPr>
        <w:t>2.1</w:t>
      </w:r>
      <w:r>
        <w:rPr>
          <w:rFonts w:hint="eastAsia" w:ascii="仿宋" w:hAnsi="仿宋" w:eastAsia="仿宋" w:cs="宋体"/>
          <w:b/>
          <w:bCs/>
          <w:color w:val="auto"/>
          <w:sz w:val="24"/>
          <w:highlight w:val="none"/>
        </w:rPr>
        <w:t>在中华人民共和国境内依法登记的法人或其他组织，具有独立承担民事责任的能力，</w:t>
      </w:r>
      <w:r>
        <w:rPr>
          <w:rFonts w:hint="eastAsia" w:ascii="仿宋" w:hAnsi="仿宋" w:eastAsia="仿宋" w:cs="宋体"/>
          <w:color w:val="auto"/>
          <w:sz w:val="24"/>
          <w:highlight w:val="none"/>
        </w:rPr>
        <w:t>供应商如为企业法人，须提供企业法人营业执照</w:t>
      </w:r>
      <w:r>
        <w:rPr>
          <w:rFonts w:hint="eastAsia" w:ascii="仿宋" w:hAnsi="仿宋" w:eastAsia="仿宋" w:cs="Monaco"/>
          <w:color w:val="auto"/>
          <w:sz w:val="24"/>
        </w:rPr>
        <w:t>（复印件）</w:t>
      </w:r>
      <w:r>
        <w:rPr>
          <w:rFonts w:hint="eastAsia" w:ascii="仿宋" w:hAnsi="仿宋" w:eastAsia="仿宋" w:cs="宋体"/>
          <w:color w:val="auto"/>
          <w:sz w:val="24"/>
          <w:highlight w:val="none"/>
        </w:rPr>
        <w:t>；供应商如为事业单位或其他组织，须提供事业单位</w:t>
      </w:r>
      <w:r>
        <w:rPr>
          <w:rFonts w:hint="eastAsia" w:ascii="仿宋" w:hAnsi="仿宋" w:eastAsia="仿宋" w:cs="宋体"/>
          <w:color w:val="0000FF"/>
          <w:sz w:val="24"/>
          <w:highlight w:val="none"/>
        </w:rPr>
        <w:t>法人证书或登记证或组织机构代码证或其他有效证明文件（复印件）；</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2.2</w:t>
      </w:r>
      <w:r>
        <w:rPr>
          <w:rFonts w:hint="eastAsia" w:ascii="仿宋" w:hAnsi="仿宋" w:eastAsia="仿宋" w:cs="宋体"/>
          <w:b/>
          <w:bCs/>
          <w:color w:val="auto"/>
          <w:sz w:val="24"/>
          <w:highlight w:val="none"/>
        </w:rPr>
        <w:t>具有良好的商业信誉和健全的财务会计制度</w:t>
      </w:r>
      <w:r>
        <w:rPr>
          <w:rFonts w:hint="eastAsia" w:ascii="仿宋" w:hAnsi="仿宋" w:eastAsia="仿宋" w:cs="宋体"/>
          <w:color w:val="auto"/>
          <w:sz w:val="24"/>
          <w:highlight w:val="none"/>
        </w:rPr>
        <w:t>，需提供20</w:t>
      </w:r>
      <w:r>
        <w:rPr>
          <w:rFonts w:hint="eastAsia" w:ascii="仿宋" w:hAnsi="仿宋" w:eastAsia="仿宋" w:cs="宋体"/>
          <w:color w:val="auto"/>
          <w:sz w:val="24"/>
          <w:highlight w:val="none"/>
          <w:lang w:val="en-US" w:eastAsia="zh-CN"/>
        </w:rPr>
        <w:t>25</w:t>
      </w:r>
      <w:r>
        <w:rPr>
          <w:rFonts w:hint="eastAsia" w:ascii="仿宋" w:hAnsi="仿宋" w:eastAsia="仿宋" w:cs="宋体"/>
          <w:color w:val="auto"/>
          <w:sz w:val="24"/>
          <w:highlight w:val="none"/>
        </w:rPr>
        <w:t>年度经会计师事务所或审计机构审计的财务审计报告及财务报表（至少包含会计师事务所或审计机构签章页、资产负债表、现金流量表、损益表/利润表）或提供响应文件递交截止日前6个月内开具的银行资信证明。</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2.3 </w:t>
      </w:r>
      <w:r>
        <w:rPr>
          <w:rFonts w:hint="eastAsia" w:ascii="仿宋" w:hAnsi="仿宋" w:eastAsia="仿宋" w:cs="宋体"/>
          <w:b/>
          <w:bCs/>
          <w:color w:val="auto"/>
          <w:sz w:val="24"/>
          <w:highlight w:val="none"/>
        </w:rPr>
        <w:t>供应商应具有履行合同所必需的设备和专业技术能力</w:t>
      </w:r>
      <w:r>
        <w:rPr>
          <w:rFonts w:hint="eastAsia" w:ascii="仿宋" w:hAnsi="仿宋" w:eastAsia="仿宋" w:cs="宋体"/>
          <w:color w:val="auto"/>
          <w:sz w:val="24"/>
          <w:highlight w:val="none"/>
        </w:rPr>
        <w:t>，近三年（20</w:t>
      </w:r>
      <w:r>
        <w:rPr>
          <w:rFonts w:hint="eastAsia" w:ascii="仿宋" w:hAnsi="仿宋" w:eastAsia="仿宋" w:cs="宋体"/>
          <w:color w:val="auto"/>
          <w:sz w:val="24"/>
          <w:highlight w:val="none"/>
          <w:lang w:val="en-US" w:eastAsia="zh-CN"/>
        </w:rPr>
        <w:t>23</w:t>
      </w:r>
      <w:r>
        <w:rPr>
          <w:rFonts w:hint="eastAsia" w:ascii="仿宋" w:hAnsi="仿宋" w:eastAsia="仿宋" w:cs="宋体"/>
          <w:color w:val="auto"/>
          <w:sz w:val="24"/>
          <w:highlight w:val="none"/>
        </w:rPr>
        <w:t>年1月1日至今）具有</w:t>
      </w:r>
      <w:r>
        <w:rPr>
          <w:rFonts w:hint="eastAsia" w:ascii="仿宋" w:hAnsi="仿宋" w:eastAsia="仿宋" w:cs="宋体"/>
          <w:color w:val="auto"/>
          <w:sz w:val="24"/>
          <w:highlight w:val="none"/>
          <w:lang w:val="en-US" w:eastAsia="zh-CN"/>
        </w:rPr>
        <w:t>1</w:t>
      </w:r>
      <w:r>
        <w:rPr>
          <w:rFonts w:hint="eastAsia" w:ascii="仿宋" w:hAnsi="仿宋" w:eastAsia="仿宋" w:cs="宋体"/>
          <w:color w:val="auto"/>
          <w:sz w:val="24"/>
          <w:highlight w:val="none"/>
        </w:rPr>
        <w:t>个</w:t>
      </w:r>
      <w:r>
        <w:rPr>
          <w:rFonts w:hint="eastAsia" w:ascii="仿宋" w:hAnsi="仿宋" w:eastAsia="仿宋" w:cs="宋体"/>
          <w:color w:val="auto"/>
          <w:sz w:val="24"/>
          <w:highlight w:val="none"/>
          <w:lang w:val="en-US" w:eastAsia="zh-CN"/>
        </w:rPr>
        <w:t>5</w:t>
      </w:r>
      <w:r>
        <w:rPr>
          <w:rFonts w:hint="eastAsia" w:ascii="仿宋" w:hAnsi="仿宋" w:eastAsia="仿宋" w:cs="宋体"/>
          <w:color w:val="auto"/>
          <w:sz w:val="24"/>
          <w:highlight w:val="none"/>
        </w:rPr>
        <w:t>万元（含）以上同类项目实施案例，并提供符合上述要求的合同关键页作为有效的业绩证明材料。合同关键页包含但不限于合同首页、合同标的页、签署日期页及盖章页等。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2.4</w:t>
      </w:r>
      <w:r>
        <w:rPr>
          <w:rFonts w:hint="eastAsia" w:ascii="仿宋" w:hAnsi="仿宋" w:eastAsia="仿宋" w:cs="宋体"/>
          <w:b/>
          <w:bCs/>
          <w:color w:val="auto"/>
          <w:sz w:val="24"/>
          <w:highlight w:val="none"/>
        </w:rPr>
        <w:t>具有依法缴纳税收和社会保障资金的良好记录</w:t>
      </w:r>
      <w:r>
        <w:rPr>
          <w:rFonts w:hint="eastAsia" w:ascii="仿宋" w:hAnsi="仿宋" w:eastAsia="仿宋" w:cs="宋体"/>
          <w:color w:val="auto"/>
          <w:sz w:val="24"/>
          <w:highlight w:val="none"/>
        </w:rPr>
        <w:t>，提供近6个月任意一个月的税收和社会保障资金缴纳凭证。</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2.5</w:t>
      </w:r>
      <w:r>
        <w:rPr>
          <w:rFonts w:hint="eastAsia" w:ascii="仿宋" w:hAnsi="仿宋" w:eastAsia="仿宋" w:cs="宋体"/>
          <w:b/>
          <w:bCs/>
          <w:color w:val="auto"/>
          <w:sz w:val="24"/>
          <w:highlight w:val="none"/>
        </w:rPr>
        <w:t>供应商应经营状况良好，且近三年内（20</w:t>
      </w:r>
      <w:r>
        <w:rPr>
          <w:rFonts w:hint="eastAsia" w:ascii="仿宋" w:hAnsi="仿宋" w:eastAsia="仿宋" w:cs="宋体"/>
          <w:b/>
          <w:bCs/>
          <w:color w:val="auto"/>
          <w:sz w:val="24"/>
          <w:highlight w:val="none"/>
          <w:lang w:val="en-US" w:eastAsia="zh-CN"/>
        </w:rPr>
        <w:t>23</w:t>
      </w:r>
      <w:r>
        <w:rPr>
          <w:rFonts w:hint="eastAsia" w:ascii="仿宋" w:hAnsi="仿宋" w:eastAsia="仿宋" w:cs="宋体"/>
          <w:b/>
          <w:bCs/>
          <w:color w:val="auto"/>
          <w:sz w:val="24"/>
          <w:highlight w:val="none"/>
        </w:rPr>
        <w:t>年1月1日至今）无违法违规记录。</w:t>
      </w:r>
      <w:r>
        <w:rPr>
          <w:rFonts w:hint="eastAsia" w:ascii="仿宋" w:hAnsi="仿宋" w:eastAsia="仿宋" w:cs="宋体"/>
          <w:color w:val="auto"/>
          <w:sz w:val="24"/>
          <w:highlight w:val="none"/>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信用中国查询网址：https://www.creditchina.gov.cn/xinyongfuwu/?navPage=5</w:t>
      </w:r>
    </w:p>
    <w:p>
      <w:pPr>
        <w:spacing w:line="360" w:lineRule="auto"/>
        <w:ind w:firstLine="480" w:firstLineChars="200"/>
        <w:textAlignment w:val="baseline"/>
        <w:rPr>
          <w:rFonts w:hint="eastAsia" w:ascii="仿宋" w:hAnsi="仿宋" w:eastAsia="仿宋" w:cs="宋体"/>
          <w:b/>
          <w:bCs/>
          <w:color w:val="auto"/>
          <w:sz w:val="24"/>
          <w:highlight w:val="none"/>
        </w:rPr>
      </w:pPr>
      <w:r>
        <w:rPr>
          <w:rFonts w:hint="eastAsia" w:ascii="仿宋" w:hAnsi="仿宋" w:eastAsia="仿宋" w:cs="宋体"/>
          <w:color w:val="auto"/>
          <w:sz w:val="24"/>
          <w:highlight w:val="none"/>
        </w:rPr>
        <w:t>2.</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 xml:space="preserve"> </w:t>
      </w:r>
      <w:r>
        <w:rPr>
          <w:rFonts w:hint="eastAsia" w:ascii="仿宋" w:hAnsi="仿宋" w:eastAsia="仿宋" w:cs="宋体"/>
          <w:b/>
          <w:bCs/>
          <w:color w:val="auto"/>
          <w:sz w:val="24"/>
          <w:highlight w:val="none"/>
        </w:rPr>
        <w:t>严禁列入</w:t>
      </w:r>
      <w:r>
        <w:rPr>
          <w:rFonts w:hint="eastAsia" w:ascii="仿宋" w:hAnsi="仿宋" w:eastAsia="仿宋" w:cs="宋体"/>
          <w:b/>
          <w:bCs/>
          <w:color w:val="auto"/>
          <w:sz w:val="24"/>
          <w:highlight w:val="none"/>
          <w:lang w:val="en-US" w:eastAsia="zh-CN"/>
        </w:rPr>
        <w:t>采购</w:t>
      </w:r>
      <w:r>
        <w:rPr>
          <w:rFonts w:hint="eastAsia" w:ascii="仿宋" w:hAnsi="仿宋" w:eastAsia="仿宋" w:cs="宋体"/>
          <w:b/>
          <w:bCs/>
          <w:color w:val="auto"/>
          <w:sz w:val="24"/>
          <w:highlight w:val="none"/>
        </w:rPr>
        <w:t>人及其所隶属的中国人民保险各级机构的供应商黑名单且在禁入期内的供应商参与采购活动。</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w:t>
      </w:r>
      <w:r>
        <w:rPr>
          <w:rFonts w:hint="eastAsia" w:ascii="仿宋" w:hAnsi="仿宋" w:eastAsia="仿宋" w:cs="宋体"/>
          <w:color w:val="auto"/>
          <w:sz w:val="24"/>
          <w:highlight w:val="none"/>
          <w:lang w:val="en-US" w:eastAsia="zh-CN"/>
        </w:rPr>
        <w:t>7</w:t>
      </w:r>
      <w:r>
        <w:rPr>
          <w:rFonts w:hint="eastAsia" w:ascii="仿宋" w:hAnsi="仿宋" w:eastAsia="仿宋" w:cs="宋体"/>
          <w:color w:val="auto"/>
          <w:sz w:val="24"/>
          <w:highlight w:val="none"/>
        </w:rPr>
        <w:t>单位负责人为同一人或存在控股、管理关系的不同单位，不得参加同一采购项目的磋商响应，需填写《供应商控股及管理关系情况申报表》。</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2.8本项目不接受联合体磋商响应。</w:t>
      </w:r>
    </w:p>
    <w:p>
      <w:pPr>
        <w:spacing w:line="360" w:lineRule="auto"/>
        <w:ind w:firstLine="480" w:firstLineChars="200"/>
        <w:textAlignment w:val="baseline"/>
        <w:rPr>
          <w:rFonts w:hint="default" w:eastAsia="仿宋"/>
          <w:color w:val="auto"/>
          <w:lang w:val="en-US" w:eastAsia="zh-CN"/>
        </w:rPr>
      </w:pPr>
      <w:r>
        <w:rPr>
          <w:rFonts w:hint="eastAsia" w:ascii="仿宋" w:hAnsi="仿宋" w:eastAsia="仿宋" w:cs="宋体"/>
          <w:color w:val="auto"/>
          <w:sz w:val="24"/>
          <w:highlight w:val="none"/>
        </w:rPr>
        <w:t>2.</w:t>
      </w:r>
      <w:r>
        <w:rPr>
          <w:rFonts w:hint="eastAsia" w:ascii="仿宋" w:hAnsi="仿宋" w:eastAsia="仿宋" w:cs="宋体"/>
          <w:color w:val="auto"/>
          <w:sz w:val="24"/>
          <w:highlight w:val="none"/>
          <w:lang w:val="en-US" w:eastAsia="zh-CN"/>
        </w:rPr>
        <w:t>9</w:t>
      </w:r>
      <w:r>
        <w:rPr>
          <w:rFonts w:hint="eastAsia" w:ascii="仿宋" w:hAnsi="仿宋" w:eastAsia="仿宋" w:cs="宋体"/>
          <w:color w:val="auto"/>
          <w:sz w:val="24"/>
          <w:szCs w:val="24"/>
          <w:highlight w:val="none"/>
          <w:lang w:val="en-US" w:eastAsia="zh-CN"/>
        </w:rPr>
        <w:t>其它资格要求。</w:t>
      </w:r>
    </w:p>
    <w:p>
      <w:pPr>
        <w:pStyle w:val="4"/>
        <w:ind w:left="0" w:leftChars="0" w:firstLine="0" w:firstLineChars="0"/>
        <w:jc w:val="left"/>
        <w:rPr>
          <w:rFonts w:hint="eastAsia" w:ascii="仿宋" w:hAnsi="仿宋" w:eastAsia="仿宋" w:cs="仿宋"/>
          <w:color w:val="auto"/>
          <w:sz w:val="24"/>
          <w:szCs w:val="24"/>
          <w:highlight w:val="none"/>
        </w:rPr>
      </w:pPr>
      <w:bookmarkStart w:id="11" w:name="_Toc28263"/>
      <w:r>
        <w:rPr>
          <w:rFonts w:hint="eastAsia" w:ascii="仿宋" w:hAnsi="仿宋" w:eastAsia="仿宋" w:cs="仿宋"/>
          <w:color w:val="auto"/>
          <w:sz w:val="24"/>
          <w:szCs w:val="24"/>
          <w:highlight w:val="none"/>
        </w:rPr>
        <w:t>三、资格审查方法</w:t>
      </w:r>
      <w:bookmarkEnd w:id="11"/>
    </w:p>
    <w:p>
      <w:pPr>
        <w:spacing w:line="360" w:lineRule="auto"/>
        <w:ind w:firstLine="480" w:firstLineChars="200"/>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本项目将进行资格后审，资格审查方法为合格制，资格审查标准和内容见磋商文件第三章评审办法。未通过资格后审的供应商，响应文件将被否决，不进入磋商、详细评审等后续环节。</w:t>
      </w:r>
    </w:p>
    <w:p>
      <w:pPr>
        <w:pStyle w:val="4"/>
        <w:spacing w:after="240"/>
        <w:ind w:firstLine="0" w:firstLineChars="0"/>
        <w:jc w:val="left"/>
        <w:rPr>
          <w:rFonts w:hint="eastAsia" w:ascii="仿宋" w:hAnsi="仿宋" w:eastAsia="仿宋" w:cs="仿宋"/>
          <w:color w:val="auto"/>
          <w:sz w:val="24"/>
          <w:szCs w:val="24"/>
          <w:highlight w:val="none"/>
        </w:rPr>
      </w:pPr>
      <w:bookmarkStart w:id="12" w:name="_Toc2019"/>
      <w:r>
        <w:rPr>
          <w:rFonts w:hint="eastAsia" w:ascii="仿宋" w:hAnsi="仿宋" w:eastAsia="仿宋" w:cs="仿宋"/>
          <w:color w:val="auto"/>
          <w:sz w:val="24"/>
          <w:szCs w:val="24"/>
          <w:highlight w:val="none"/>
        </w:rPr>
        <w:t>四、磋商文件的获取</w:t>
      </w:r>
      <w:bookmarkEnd w:id="12"/>
    </w:p>
    <w:p>
      <w:pPr>
        <w:pStyle w:val="82"/>
        <w:adjustRightInd w:val="0"/>
        <w:snapToGrid w:val="0"/>
        <w:ind w:firstLineChars="175"/>
        <w:jc w:val="lef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4</w:t>
      </w:r>
      <w:r>
        <w:rPr>
          <w:rFonts w:hint="eastAsia" w:ascii="仿宋" w:hAnsi="仿宋" w:eastAsia="仿宋" w:cs="仿宋"/>
          <w:color w:val="auto"/>
          <w:sz w:val="24"/>
          <w:szCs w:val="24"/>
          <w:highlight w:val="none"/>
        </w:rPr>
        <w:t>.1磋商文件</w:t>
      </w:r>
      <w:r>
        <w:rPr>
          <w:rFonts w:hint="eastAsia" w:ascii="仿宋" w:hAnsi="仿宋" w:eastAsia="仿宋" w:cs="宋体"/>
          <w:color w:val="auto"/>
          <w:sz w:val="24"/>
          <w:szCs w:val="24"/>
          <w:highlight w:val="none"/>
        </w:rPr>
        <w:t>获取</w:t>
      </w:r>
      <w:r>
        <w:rPr>
          <w:rFonts w:hint="eastAsia" w:ascii="仿宋" w:hAnsi="仿宋" w:eastAsia="仿宋" w:cs="仿宋"/>
          <w:color w:val="auto"/>
          <w:sz w:val="24"/>
          <w:szCs w:val="24"/>
          <w:highlight w:val="none"/>
        </w:rPr>
        <w:t>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30</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7</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3</w:t>
      </w:r>
      <w:r>
        <w:rPr>
          <w:rFonts w:hint="eastAsia" w:ascii="仿宋" w:hAnsi="仿宋" w:eastAsia="仿宋" w:cs="宋体"/>
          <w:b/>
          <w:color w:val="auto"/>
          <w:sz w:val="24"/>
          <w:szCs w:val="24"/>
          <w:highlight w:val="none"/>
          <w:u w:val="single"/>
        </w:rPr>
        <w:t>日，</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lang w:val="en-US" w:eastAsia="zh-CN"/>
        </w:rPr>
        <w:t>10</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14</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16</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20</w:t>
      </w:r>
      <w:r>
        <w:rPr>
          <w:rFonts w:hint="eastAsia" w:ascii="仿宋" w:hAnsi="仿宋" w:eastAsia="仿宋" w:cs="宋体"/>
          <w:color w:val="auto"/>
          <w:sz w:val="24"/>
          <w:szCs w:val="24"/>
          <w:highlight w:val="none"/>
        </w:rPr>
        <w:t>时（北京时间，下同）。</w:t>
      </w:r>
    </w:p>
    <w:p>
      <w:pPr>
        <w:pStyle w:val="13"/>
        <w:spacing w:line="360" w:lineRule="auto"/>
        <w:ind w:firstLine="480" w:firstLineChars="200"/>
        <w:rPr>
          <w:rFonts w:hint="eastAsia" w:ascii="仿宋" w:hAnsi="仿宋" w:eastAsia="仿宋" w:cs="仿宋_GB2312"/>
          <w:color w:val="auto"/>
          <w:sz w:val="24"/>
          <w:szCs w:val="24"/>
          <w:highlight w:val="none"/>
        </w:rPr>
      </w:pPr>
      <w:r>
        <w:rPr>
          <w:rFonts w:ascii="仿宋" w:hAnsi="仿宋" w:eastAsia="仿宋" w:cs="宋体"/>
          <w:color w:val="auto"/>
          <w:sz w:val="24"/>
          <w:highlight w:val="none"/>
        </w:rPr>
        <w:t>4</w:t>
      </w:r>
      <w:r>
        <w:rPr>
          <w:rFonts w:hint="eastAsia" w:ascii="仿宋" w:hAnsi="仿宋" w:eastAsia="仿宋" w:cs="宋体"/>
          <w:color w:val="auto"/>
          <w:sz w:val="24"/>
          <w:highlight w:val="none"/>
        </w:rPr>
        <w:t>.2拟报名参加本项目的供应商，请</w:t>
      </w:r>
      <w:r>
        <w:rPr>
          <w:rFonts w:hint="eastAsia" w:ascii="仿宋" w:hAnsi="仿宋" w:eastAsia="仿宋" w:cs="宋体"/>
          <w:color w:val="auto"/>
          <w:sz w:val="24"/>
          <w:highlight w:val="none"/>
          <w:lang w:val="en-US" w:eastAsia="zh-CN"/>
        </w:rPr>
        <w:t>通过“人保e采”外网门户下载</w:t>
      </w:r>
      <w:r>
        <w:rPr>
          <w:rFonts w:hint="eastAsia" w:ascii="仿宋" w:hAnsi="仿宋" w:eastAsia="仿宋" w:cs="宋体"/>
          <w:color w:val="auto"/>
          <w:sz w:val="24"/>
          <w:highlight w:val="none"/>
        </w:rPr>
        <w:t>获取</w:t>
      </w:r>
      <w:r>
        <w:rPr>
          <w:rFonts w:hint="eastAsia" w:ascii="仿宋" w:hAnsi="仿宋" w:eastAsia="仿宋" w:cs="宋体"/>
          <w:color w:val="auto"/>
          <w:sz w:val="24"/>
          <w:highlight w:val="none"/>
          <w:lang w:val="en-US" w:eastAsia="zh-CN"/>
        </w:rPr>
        <w:t>磋商</w:t>
      </w:r>
      <w:r>
        <w:rPr>
          <w:rFonts w:hint="eastAsia" w:ascii="仿宋" w:hAnsi="仿宋" w:eastAsia="仿宋" w:cs="宋体"/>
          <w:color w:val="auto"/>
          <w:sz w:val="24"/>
          <w:highlight w:val="none"/>
        </w:rPr>
        <w:t>文件</w:t>
      </w:r>
      <w:r>
        <w:rPr>
          <w:rFonts w:hint="eastAsia" w:ascii="仿宋" w:hAnsi="仿宋" w:eastAsia="仿宋" w:cs="仿宋_GB2312"/>
          <w:color w:val="auto"/>
          <w:sz w:val="24"/>
          <w:szCs w:val="24"/>
          <w:highlight w:val="none"/>
        </w:rPr>
        <w:t>。</w:t>
      </w:r>
    </w:p>
    <w:p>
      <w:pPr>
        <w:pStyle w:val="4"/>
        <w:ind w:firstLine="0" w:firstLineChars="0"/>
        <w:jc w:val="left"/>
        <w:rPr>
          <w:rFonts w:hint="eastAsia" w:ascii="仿宋" w:hAnsi="仿宋" w:eastAsia="仿宋" w:cs="仿宋"/>
          <w:color w:val="auto"/>
          <w:sz w:val="24"/>
          <w:szCs w:val="24"/>
          <w:highlight w:val="none"/>
        </w:rPr>
      </w:pPr>
      <w:bookmarkStart w:id="13" w:name="_Toc32115"/>
      <w:r>
        <w:rPr>
          <w:rFonts w:hint="eastAsia" w:ascii="仿宋" w:hAnsi="仿宋" w:eastAsia="仿宋" w:cs="仿宋"/>
          <w:color w:val="auto"/>
          <w:sz w:val="24"/>
          <w:szCs w:val="24"/>
          <w:highlight w:val="none"/>
        </w:rPr>
        <w:t>五、响应文件的递交</w:t>
      </w:r>
      <w:bookmarkEnd w:id="13"/>
    </w:p>
    <w:p>
      <w:pPr>
        <w:spacing w:line="360" w:lineRule="auto"/>
        <w:ind w:firstLine="480" w:firstLineChars="200"/>
        <w:textAlignment w:val="baseline"/>
        <w:rPr>
          <w:rFonts w:hint="eastAsia" w:ascii="仿宋" w:hAnsi="仿宋" w:eastAsia="仿宋" w:cs="宋体"/>
          <w:color w:val="auto"/>
          <w:sz w:val="24"/>
          <w:highlight w:val="none"/>
        </w:rPr>
      </w:pPr>
      <w:r>
        <w:rPr>
          <w:rFonts w:ascii="仿宋" w:hAnsi="仿宋" w:eastAsia="仿宋" w:cs="宋体"/>
          <w:color w:val="auto"/>
          <w:sz w:val="24"/>
          <w:highlight w:val="none"/>
        </w:rPr>
        <w:t>5</w:t>
      </w:r>
      <w:r>
        <w:rPr>
          <w:rFonts w:hint="eastAsia" w:ascii="仿宋" w:hAnsi="仿宋" w:eastAsia="仿宋" w:cs="宋体"/>
          <w:color w:val="auto"/>
          <w:sz w:val="24"/>
          <w:highlight w:val="none"/>
        </w:rPr>
        <w:t>.1响应文件递交截止时间：</w:t>
      </w:r>
      <w:r>
        <w:rPr>
          <w:rFonts w:hint="eastAsia" w:ascii="仿宋" w:hAnsi="仿宋" w:eastAsia="仿宋" w:cs="宋体"/>
          <w:color w:val="auto"/>
          <w:sz w:val="24"/>
          <w:highlight w:val="none"/>
          <w:u w:val="single"/>
        </w:rPr>
        <w:t>20</w:t>
      </w:r>
      <w:r>
        <w:rPr>
          <w:rFonts w:hint="eastAsia" w:ascii="仿宋" w:hAnsi="仿宋" w:eastAsia="仿宋" w:cs="宋体"/>
          <w:color w:val="auto"/>
          <w:sz w:val="24"/>
          <w:highlight w:val="none"/>
          <w:u w:val="single"/>
          <w:lang w:val="en-US" w:eastAsia="zh-CN"/>
        </w:rPr>
        <w:t>26</w:t>
      </w:r>
      <w:r>
        <w:rPr>
          <w:rFonts w:hint="eastAsia" w:ascii="仿宋" w:hAnsi="仿宋" w:eastAsia="仿宋" w:cs="宋体"/>
          <w:color w:val="auto"/>
          <w:sz w:val="24"/>
          <w:highlight w:val="none"/>
          <w:u w:val="single"/>
        </w:rPr>
        <w:t>年</w:t>
      </w:r>
      <w:r>
        <w:rPr>
          <w:rFonts w:hint="eastAsia" w:ascii="仿宋" w:hAnsi="仿宋" w:eastAsia="仿宋" w:cs="宋体"/>
          <w:color w:val="auto"/>
          <w:sz w:val="24"/>
          <w:highlight w:val="none"/>
          <w:u w:val="single"/>
          <w:lang w:val="en-US" w:eastAsia="zh-CN"/>
        </w:rPr>
        <w:t>7</w:t>
      </w:r>
      <w:r>
        <w:rPr>
          <w:rFonts w:hint="eastAsia" w:ascii="仿宋" w:hAnsi="仿宋" w:eastAsia="仿宋" w:cs="宋体"/>
          <w:color w:val="auto"/>
          <w:sz w:val="24"/>
          <w:highlight w:val="none"/>
          <w:u w:val="single"/>
        </w:rPr>
        <w:t>月</w:t>
      </w:r>
      <w:r>
        <w:rPr>
          <w:rFonts w:hint="eastAsia" w:ascii="仿宋" w:hAnsi="仿宋" w:eastAsia="仿宋" w:cs="宋体"/>
          <w:color w:val="auto"/>
          <w:sz w:val="24"/>
          <w:highlight w:val="none"/>
          <w:u w:val="single"/>
          <w:lang w:val="en-US" w:eastAsia="zh-CN"/>
        </w:rPr>
        <w:t>7</w:t>
      </w:r>
      <w:r>
        <w:rPr>
          <w:rFonts w:hint="eastAsia" w:ascii="仿宋" w:hAnsi="仿宋" w:eastAsia="仿宋" w:cs="宋体"/>
          <w:color w:val="auto"/>
          <w:sz w:val="24"/>
          <w:highlight w:val="none"/>
          <w:u w:val="single"/>
        </w:rPr>
        <w:t>日</w:t>
      </w:r>
      <w:r>
        <w:rPr>
          <w:rFonts w:hint="eastAsia" w:ascii="仿宋" w:hAnsi="仿宋" w:eastAsia="仿宋" w:cs="宋体"/>
          <w:color w:val="auto"/>
          <w:sz w:val="24"/>
          <w:highlight w:val="none"/>
          <w:u w:val="single"/>
          <w:lang w:val="en-US" w:eastAsia="zh-CN"/>
        </w:rPr>
        <w:t>11</w:t>
      </w:r>
      <w:r>
        <w:rPr>
          <w:rFonts w:hint="eastAsia" w:ascii="仿宋" w:hAnsi="仿宋" w:eastAsia="仿宋" w:cs="宋体"/>
          <w:color w:val="auto"/>
          <w:sz w:val="24"/>
          <w:highlight w:val="none"/>
          <w:u w:val="single"/>
        </w:rPr>
        <w:t>时</w:t>
      </w:r>
      <w:r>
        <w:rPr>
          <w:rFonts w:hint="eastAsia" w:ascii="仿宋" w:hAnsi="仿宋" w:eastAsia="仿宋" w:cs="宋体"/>
          <w:color w:val="auto"/>
          <w:sz w:val="24"/>
          <w:highlight w:val="none"/>
          <w:u w:val="single"/>
          <w:lang w:val="en-US" w:eastAsia="zh-CN"/>
        </w:rPr>
        <w:t>0</w:t>
      </w:r>
      <w:r>
        <w:rPr>
          <w:rFonts w:hint="eastAsia" w:ascii="仿宋" w:hAnsi="仿宋" w:eastAsia="仿宋" w:cs="宋体"/>
          <w:color w:val="auto"/>
          <w:sz w:val="24"/>
          <w:highlight w:val="none"/>
          <w:u w:val="single"/>
        </w:rPr>
        <w:t>分00秒</w:t>
      </w:r>
      <w:r>
        <w:rPr>
          <w:rFonts w:hint="eastAsia" w:ascii="仿宋" w:hAnsi="仿宋" w:eastAsia="仿宋" w:cs="宋体"/>
          <w:color w:val="auto"/>
          <w:sz w:val="24"/>
          <w:highlight w:val="none"/>
        </w:rPr>
        <w:t>。</w:t>
      </w:r>
    </w:p>
    <w:p>
      <w:pPr>
        <w:spacing w:line="360" w:lineRule="auto"/>
        <w:ind w:firstLine="480" w:firstLineChars="200"/>
        <w:jc w:val="left"/>
        <w:textAlignment w:val="baseline"/>
        <w:rPr>
          <w:rFonts w:hint="eastAsia"/>
          <w:color w:val="auto"/>
          <w:highlight w:val="none"/>
        </w:rPr>
      </w:pPr>
      <w:r>
        <w:rPr>
          <w:rFonts w:hint="eastAsia" w:ascii="仿宋" w:hAnsi="仿宋" w:eastAsia="仿宋" w:cs="宋体"/>
          <w:color w:val="auto"/>
          <w:sz w:val="24"/>
          <w:highlight w:val="none"/>
        </w:rPr>
        <w:t>5.2响应文件的递交：须现场递交至</w:t>
      </w:r>
      <w:r>
        <w:rPr>
          <w:rFonts w:hint="eastAsia" w:ascii="仿宋" w:hAnsi="仿宋" w:eastAsia="仿宋" w:cs="宋体"/>
          <w:color w:val="auto"/>
          <w:sz w:val="24"/>
          <w:highlight w:val="none"/>
          <w:u w:val="single"/>
          <w:lang w:val="en-US" w:eastAsia="zh-CN"/>
        </w:rPr>
        <w:t>伊犁昭苏县解放街349号人保财险昭苏支公司三楼</w:t>
      </w:r>
      <w:r>
        <w:rPr>
          <w:rFonts w:hint="eastAsia" w:ascii="仿宋" w:hAnsi="仿宋" w:eastAsia="仿宋" w:cs="宋体"/>
          <w:color w:val="auto"/>
          <w:sz w:val="24"/>
          <w:highlight w:val="none"/>
          <w:u w:val="single"/>
        </w:rPr>
        <w:t>会议室</w:t>
      </w:r>
      <w:r>
        <w:rPr>
          <w:rFonts w:hint="eastAsia" w:ascii="仿宋" w:hAnsi="仿宋" w:eastAsia="仿宋" w:cs="宋体"/>
          <w:color w:val="auto"/>
          <w:sz w:val="24"/>
          <w:highlight w:val="none"/>
        </w:rPr>
        <w:t>，</w:t>
      </w:r>
      <w:r>
        <w:rPr>
          <w:rFonts w:hint="eastAsia" w:ascii="仿宋" w:hAnsi="仿宋" w:eastAsia="仿宋" w:cs="宋体"/>
          <w:b/>
          <w:bCs/>
          <w:color w:val="auto"/>
          <w:sz w:val="24"/>
          <w:highlight w:val="none"/>
        </w:rPr>
        <w:t>逾期送达或者未送达指定地点或者未按照磋商文件要求封装的纸质响应文件不予接收。</w:t>
      </w:r>
    </w:p>
    <w:p>
      <w:pPr>
        <w:spacing w:line="360" w:lineRule="auto"/>
        <w:ind w:firstLine="480" w:firstLineChars="200"/>
        <w:textAlignment w:val="baseline"/>
        <w:rPr>
          <w:rFonts w:hint="eastAsia" w:ascii="仿宋" w:hAnsi="仿宋" w:eastAsia="仿宋" w:cs="宋体"/>
          <w:b w:val="0"/>
          <w:bCs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5.3</w:t>
      </w:r>
      <w:r>
        <w:rPr>
          <w:rFonts w:hint="eastAsia" w:ascii="仿宋" w:hAnsi="仿宋" w:eastAsia="仿宋" w:cs="宋体"/>
          <w:b w:val="0"/>
          <w:bCs w:val="0"/>
          <w:color w:val="auto"/>
          <w:kern w:val="2"/>
          <w:sz w:val="24"/>
          <w:szCs w:val="24"/>
          <w:highlight w:val="none"/>
          <w:lang w:val="en-US" w:eastAsia="zh-CN" w:bidi="ar-SA"/>
        </w:rPr>
        <w:t>本项目将于上述同一时间、地点进行磋商，采购人邀请供应商代表准时参加。</w:t>
      </w:r>
    </w:p>
    <w:p>
      <w:pPr>
        <w:spacing w:line="360" w:lineRule="auto"/>
        <w:ind w:firstLine="480"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w:t>
      </w:r>
      <w:r>
        <w:rPr>
          <w:rFonts w:hint="eastAsia" w:ascii="仿宋" w:hAnsi="仿宋" w:eastAsia="仿宋" w:cs="宋体"/>
          <w:b/>
          <w:bCs/>
          <w:color w:val="auto"/>
          <w:kern w:val="2"/>
          <w:sz w:val="24"/>
          <w:szCs w:val="24"/>
          <w:highlight w:val="none"/>
          <w:lang w:val="en-US" w:eastAsia="zh-CN" w:bidi="ar-SA"/>
        </w:rPr>
        <w:t>出现以下情形之一时，采购人/采购代理机构不予接收投标文件：</w:t>
      </w:r>
    </w:p>
    <w:p>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5.4.1  逾期送达或者未送达指定地点的；</w:t>
      </w:r>
    </w:p>
    <w:p>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5.4.2  未按照响应文件要求密封的；</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b w:val="0"/>
          <w:color w:val="auto"/>
          <w:kern w:val="2"/>
          <w:sz w:val="24"/>
          <w:szCs w:val="24"/>
          <w:highlight w:val="none"/>
          <w:lang w:val="en-US" w:eastAsia="zh-CN" w:bidi="ar-SA"/>
        </w:rPr>
        <w:t>5.4.3  未按照磋商公告要求获取磋商文件的。</w:t>
      </w:r>
    </w:p>
    <w:p>
      <w:pPr>
        <w:pStyle w:val="4"/>
        <w:ind w:firstLine="0" w:firstLineChars="0"/>
        <w:jc w:val="left"/>
        <w:rPr>
          <w:rFonts w:hint="eastAsia" w:ascii="仿宋" w:hAnsi="仿宋" w:eastAsia="仿宋" w:cs="仿宋"/>
          <w:color w:val="auto"/>
          <w:sz w:val="24"/>
          <w:szCs w:val="24"/>
          <w:highlight w:val="none"/>
        </w:rPr>
      </w:pPr>
      <w:bookmarkStart w:id="14" w:name="_Toc874"/>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、发布公告的媒介</w:t>
      </w:r>
      <w:bookmarkEnd w:id="14"/>
    </w:p>
    <w:p>
      <w:pPr>
        <w:spacing w:line="360" w:lineRule="auto"/>
        <w:ind w:firstLine="480" w:firstLineChars="200"/>
        <w:textAlignment w:val="baseline"/>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本项目磋商公告同时在</w:t>
      </w:r>
      <w:r>
        <w:rPr>
          <w:rFonts w:hint="eastAsia" w:ascii="仿宋" w:hAnsi="仿宋" w:eastAsia="仿宋" w:cs="宋体"/>
          <w:color w:val="auto"/>
          <w:sz w:val="24"/>
          <w:highlight w:val="none"/>
          <w:u w:val="single"/>
        </w:rPr>
        <w:t>“人保e采”外网门户（https://ec.picc.com/）</w:t>
      </w:r>
      <w:r>
        <w:rPr>
          <w:rFonts w:hint="eastAsia" w:ascii="仿宋" w:hAnsi="仿宋" w:eastAsia="仿宋" w:cs="仿宋"/>
          <w:color w:val="auto"/>
          <w:sz w:val="24"/>
          <w:highlight w:val="none"/>
        </w:rPr>
        <w:t>上发布，</w:t>
      </w:r>
      <w:r>
        <w:rPr>
          <w:rFonts w:hint="eastAsia" w:ascii="仿宋" w:hAnsi="仿宋" w:eastAsia="仿宋" w:cs="宋体"/>
          <w:color w:val="auto"/>
          <w:sz w:val="24"/>
          <w:highlight w:val="none"/>
        </w:rPr>
        <w:t>除上述外，采购人/采购代理机构不在其他任何网站、论坛等媒介上发布任何采购信息，其他任何媒介上转载的、以采购人/采购代理机构为采购主体的采购信息均为非法转载，均为无效</w:t>
      </w:r>
      <w:r>
        <w:rPr>
          <w:rFonts w:hint="eastAsia" w:ascii="仿宋" w:hAnsi="仿宋" w:eastAsia="仿宋" w:cs="仿宋"/>
          <w:color w:val="auto"/>
          <w:sz w:val="24"/>
          <w:highlight w:val="none"/>
        </w:rPr>
        <w:t>。对于非法转载、篡改采购公告信息的组织或个人，采购人/采购代理机构保留追究其法律责任的权利。</w:t>
      </w:r>
    </w:p>
    <w:p>
      <w:pPr>
        <w:pStyle w:val="4"/>
        <w:ind w:firstLine="0" w:firstLineChars="0"/>
        <w:jc w:val="left"/>
        <w:rPr>
          <w:rFonts w:hint="eastAsia" w:ascii="仿宋" w:hAnsi="仿宋" w:eastAsia="仿宋" w:cs="仿宋"/>
          <w:color w:val="auto"/>
          <w:sz w:val="24"/>
          <w:szCs w:val="24"/>
          <w:highlight w:val="none"/>
        </w:rPr>
      </w:pPr>
      <w:bookmarkStart w:id="15" w:name="_Toc30596"/>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、联系方式</w:t>
      </w:r>
      <w:bookmarkEnd w:id="15"/>
    </w:p>
    <w:p>
      <w:pPr>
        <w:tabs>
          <w:tab w:val="left" w:pos="-105"/>
          <w:tab w:val="left" w:pos="420"/>
          <w:tab w:val="left" w:pos="630"/>
          <w:tab w:val="left" w:pos="1155"/>
          <w:tab w:val="left" w:pos="1890"/>
          <w:tab w:val="left" w:pos="3150"/>
          <w:tab w:val="left" w:pos="3780"/>
        </w:tabs>
        <w:spacing w:line="360" w:lineRule="auto"/>
        <w:ind w:firstLine="422" w:firstLineChars="175"/>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采购人：中国人民财产保险股份有限公司</w:t>
      </w:r>
      <w:r>
        <w:rPr>
          <w:rFonts w:hint="eastAsia" w:ascii="仿宋" w:hAnsi="仿宋" w:eastAsia="仿宋" w:cs="仿宋"/>
          <w:b/>
          <w:bCs/>
          <w:color w:val="auto"/>
          <w:sz w:val="24"/>
          <w:highlight w:val="none"/>
          <w:lang w:val="en-US" w:eastAsia="zh-CN"/>
        </w:rPr>
        <w:t>昭苏支</w:t>
      </w:r>
      <w:r>
        <w:rPr>
          <w:rFonts w:hint="eastAsia" w:ascii="仿宋" w:hAnsi="仿宋" w:eastAsia="仿宋" w:cs="仿宋"/>
          <w:b/>
          <w:bCs/>
          <w:color w:val="auto"/>
          <w:sz w:val="24"/>
          <w:highlight w:val="none"/>
        </w:rPr>
        <w:t>公司</w:t>
      </w:r>
    </w:p>
    <w:p>
      <w:pPr>
        <w:spacing w:line="360" w:lineRule="auto"/>
        <w:ind w:firstLine="420" w:firstLineChars="175"/>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val="en-US" w:eastAsia="zh-CN"/>
        </w:rPr>
        <w:t>昭苏县解放街349号</w:t>
      </w:r>
    </w:p>
    <w:p>
      <w:pPr>
        <w:spacing w:line="360" w:lineRule="auto"/>
        <w:ind w:firstLine="420" w:firstLineChars="175"/>
        <w:jc w:val="left"/>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联系人：</w:t>
      </w:r>
      <w:r>
        <w:rPr>
          <w:rFonts w:hint="eastAsia" w:ascii="仿宋" w:hAnsi="仿宋" w:eastAsia="仿宋" w:cs="宋体"/>
          <w:color w:val="auto"/>
          <w:sz w:val="24"/>
          <w:highlight w:val="none"/>
          <w:lang w:val="en-US" w:eastAsia="zh-CN"/>
        </w:rPr>
        <w:t>郭丹丹</w:t>
      </w:r>
    </w:p>
    <w:p>
      <w:pPr>
        <w:spacing w:line="360" w:lineRule="auto"/>
        <w:ind w:firstLine="420" w:firstLineChars="175"/>
        <w:jc w:val="left"/>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rPr>
        <w:t>电话：0999-</w:t>
      </w:r>
      <w:r>
        <w:rPr>
          <w:rFonts w:hint="eastAsia" w:ascii="仿宋" w:hAnsi="仿宋" w:eastAsia="仿宋" w:cs="宋体"/>
          <w:color w:val="auto"/>
          <w:sz w:val="24"/>
          <w:highlight w:val="none"/>
          <w:lang w:val="en-US" w:eastAsia="zh-CN"/>
        </w:rPr>
        <w:t>6022580</w:t>
      </w:r>
    </w:p>
    <w:p>
      <w:pPr>
        <w:pStyle w:val="2"/>
        <w:rPr>
          <w:rFonts w:hint="eastAsia"/>
          <w:color w:val="auto"/>
        </w:rPr>
      </w:pPr>
    </w:p>
    <w:p>
      <w:pPr>
        <w:spacing w:line="360" w:lineRule="auto"/>
        <w:ind w:firstLine="480" w:firstLineChars="200"/>
        <w:jc w:val="right"/>
        <w:textAlignment w:val="baseline"/>
        <w:rPr>
          <w:rFonts w:hint="eastAsia" w:ascii="仿宋" w:hAnsi="仿宋" w:eastAsia="仿宋" w:cs="宋体"/>
          <w:color w:val="auto"/>
          <w:sz w:val="24"/>
          <w:highlight w:val="none"/>
        </w:rPr>
      </w:pPr>
    </w:p>
    <w:p>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采购人：中国人民财产保险股份有限公司</w:t>
      </w:r>
      <w:r>
        <w:rPr>
          <w:rFonts w:hint="eastAsia" w:ascii="仿宋" w:hAnsi="仿宋" w:eastAsia="仿宋" w:cs="宋体"/>
          <w:color w:val="auto"/>
          <w:sz w:val="24"/>
          <w:highlight w:val="none"/>
          <w:lang w:val="en-US" w:eastAsia="zh-CN"/>
        </w:rPr>
        <w:t>昭苏</w:t>
      </w:r>
      <w:r>
        <w:rPr>
          <w:rFonts w:hint="eastAsia" w:ascii="仿宋" w:hAnsi="仿宋" w:eastAsia="仿宋" w:cs="宋体"/>
          <w:color w:val="auto"/>
          <w:sz w:val="24"/>
          <w:highlight w:val="none"/>
        </w:rPr>
        <w:t>支公司</w:t>
      </w:r>
    </w:p>
    <w:p>
      <w:pPr>
        <w:spacing w:line="360" w:lineRule="auto"/>
        <w:ind w:firstLine="480" w:firstLineChars="200"/>
        <w:jc w:val="right"/>
        <w:textAlignment w:val="baseline"/>
        <w:rPr>
          <w:color w:val="auto"/>
          <w:highlight w:val="none"/>
        </w:rPr>
      </w:pPr>
      <w:r>
        <w:rPr>
          <w:rFonts w:hint="eastAsia" w:ascii="仿宋" w:hAnsi="仿宋" w:eastAsia="仿宋" w:cs="宋体"/>
          <w:color w:val="auto"/>
          <w:sz w:val="24"/>
          <w:highlight w:val="none"/>
        </w:rPr>
        <w:t>202</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lang w:val="en-US" w:eastAsia="zh-CN"/>
        </w:rPr>
        <w:t>30</w:t>
      </w:r>
      <w:r>
        <w:rPr>
          <w:rFonts w:hint="eastAsia" w:ascii="仿宋" w:hAnsi="仿宋" w:eastAsia="仿宋" w:cs="宋体"/>
          <w:color w:val="auto"/>
          <w:sz w:val="24"/>
          <w:highlight w:val="none"/>
        </w:rPr>
        <w:t>日</w:t>
      </w:r>
    </w:p>
    <w:bookmarkEnd w:id="2"/>
    <w:bookmarkEnd w:id="3"/>
    <w:bookmarkEnd w:id="4"/>
    <w:bookmarkEnd w:id="5"/>
    <w:bookmarkEnd w:id="6"/>
    <w:bookmarkEnd w:id="7"/>
    <w:bookmarkEnd w:id="8"/>
    <w:p>
      <w:pPr>
        <w:pStyle w:val="3"/>
        <w:spacing w:before="0" w:after="0" w:line="360" w:lineRule="auto"/>
        <w:jc w:val="center"/>
        <w:rPr>
          <w:rFonts w:hint="eastAsia" w:ascii="仿宋" w:hAnsi="仿宋" w:eastAsia="仿宋" w:cs="仿宋"/>
          <w:color w:val="auto"/>
          <w:sz w:val="28"/>
          <w:szCs w:val="28"/>
          <w:highlight w:val="none"/>
        </w:rPr>
      </w:pPr>
      <w:bookmarkStart w:id="16" w:name="_Toc17103"/>
      <w:bookmarkStart w:id="17" w:name="_Toc23165"/>
      <w:bookmarkStart w:id="18" w:name="_Toc287600116"/>
      <w:bookmarkStart w:id="19" w:name="_Toc517281814"/>
      <w:bookmarkStart w:id="20" w:name="_Toc2797"/>
      <w:bookmarkStart w:id="21" w:name="_Toc1895"/>
      <w:bookmarkStart w:id="22" w:name="_Toc444891334"/>
      <w:r>
        <w:rPr>
          <w:rFonts w:ascii="仿宋" w:hAnsi="仿宋" w:eastAsia="仿宋" w:cs="仿宋"/>
          <w:color w:val="auto"/>
          <w:sz w:val="28"/>
          <w:szCs w:val="28"/>
          <w:highlight w:val="none"/>
        </w:rPr>
        <w:br w:type="page"/>
      </w:r>
      <w:bookmarkStart w:id="23" w:name="_Toc7018"/>
      <w:r>
        <w:rPr>
          <w:rFonts w:hint="eastAsia" w:ascii="仿宋" w:hAnsi="仿宋" w:eastAsia="仿宋" w:cs="仿宋"/>
          <w:color w:val="auto"/>
          <w:sz w:val="28"/>
          <w:szCs w:val="28"/>
          <w:highlight w:val="none"/>
        </w:rPr>
        <w:t>第二章 供应商须知</w:t>
      </w:r>
      <w:bookmarkEnd w:id="16"/>
      <w:bookmarkEnd w:id="17"/>
      <w:bookmarkEnd w:id="18"/>
      <w:bookmarkEnd w:id="19"/>
      <w:bookmarkEnd w:id="20"/>
      <w:bookmarkEnd w:id="21"/>
      <w:bookmarkEnd w:id="22"/>
      <w:bookmarkEnd w:id="23"/>
      <w:bookmarkStart w:id="235" w:name="_GoBack"/>
      <w:bookmarkEnd w:id="235"/>
    </w:p>
    <w:p>
      <w:pPr>
        <w:pStyle w:val="4"/>
        <w:ind w:firstLine="0" w:firstLineChars="0"/>
        <w:jc w:val="left"/>
        <w:rPr>
          <w:rFonts w:hint="eastAsia" w:ascii="仿宋" w:hAnsi="仿宋" w:eastAsia="仿宋" w:cs="仿宋"/>
          <w:color w:val="auto"/>
          <w:sz w:val="24"/>
          <w:szCs w:val="24"/>
          <w:highlight w:val="none"/>
        </w:rPr>
      </w:pPr>
      <w:bookmarkStart w:id="24" w:name="_Toc17721"/>
      <w:bookmarkStart w:id="25" w:name="_Toc444891335"/>
      <w:bookmarkStart w:id="26" w:name="_Toc14477"/>
      <w:bookmarkStart w:id="27" w:name="_Toc27353"/>
      <w:bookmarkStart w:id="28" w:name="_Toc517281815"/>
      <w:bookmarkStart w:id="29" w:name="_Toc29571"/>
      <w:bookmarkStart w:id="30" w:name="_Toc19783312"/>
      <w:bookmarkStart w:id="31" w:name="_Toc32464"/>
      <w:bookmarkStart w:id="32" w:name="_Toc287600117"/>
      <w:r>
        <w:rPr>
          <w:rFonts w:hint="eastAsia" w:ascii="仿宋" w:hAnsi="仿宋" w:eastAsia="仿宋" w:cs="仿宋"/>
          <w:color w:val="auto"/>
          <w:sz w:val="24"/>
          <w:szCs w:val="24"/>
          <w:highlight w:val="none"/>
        </w:rPr>
        <w:t>一、供应商须知前附表</w:t>
      </w:r>
      <w:bookmarkEnd w:id="24"/>
      <w:bookmarkEnd w:id="25"/>
      <w:bookmarkEnd w:id="26"/>
      <w:bookmarkEnd w:id="27"/>
      <w:bookmarkEnd w:id="28"/>
      <w:bookmarkEnd w:id="29"/>
      <w:bookmarkEnd w:id="30"/>
      <w:bookmarkEnd w:id="31"/>
      <w:bookmarkEnd w:id="32"/>
    </w:p>
    <w:p>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本须知前附表是对供应商须知正文的具体补充和修改，如有矛盾，以本前附表为准。</w:t>
      </w:r>
    </w:p>
    <w:tbl>
      <w:tblPr>
        <w:tblStyle w:val="40"/>
        <w:tblW w:w="49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49"/>
        <w:gridCol w:w="1822"/>
        <w:gridCol w:w="7038"/>
        <w:gridCol w:w="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trHeight w:val="469" w:hRule="atLeast"/>
          <w:tblHeader/>
          <w:jc w:val="center"/>
        </w:trPr>
        <w:tc>
          <w:tcPr>
            <w:tcW w:w="483" w:type="pct"/>
            <w:noWrap w:val="0"/>
            <w:vAlign w:val="center"/>
          </w:tcPr>
          <w:p>
            <w:pPr>
              <w:adjustRightInd w:val="0"/>
              <w:snapToGrid w:val="0"/>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条款号</w:t>
            </w:r>
          </w:p>
        </w:tc>
        <w:tc>
          <w:tcPr>
            <w:tcW w:w="927" w:type="pct"/>
            <w:noWrap w:val="0"/>
            <w:vAlign w:val="center"/>
          </w:tcPr>
          <w:p>
            <w:pPr>
              <w:adjustRightInd w:val="0"/>
              <w:snapToGrid w:val="0"/>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条款名称</w:t>
            </w:r>
          </w:p>
        </w:tc>
        <w:tc>
          <w:tcPr>
            <w:tcW w:w="3586" w:type="pct"/>
            <w:noWrap w:val="0"/>
            <w:vAlign w:val="center"/>
          </w:tcPr>
          <w:p>
            <w:pPr>
              <w:tabs>
                <w:tab w:val="left" w:pos="1180"/>
              </w:tabs>
              <w:adjustRightInd w:val="0"/>
              <w:snapToGrid w:val="0"/>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trHeight w:val="546" w:hRule="atLeas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采购范围</w:t>
            </w:r>
          </w:p>
        </w:tc>
        <w:tc>
          <w:tcPr>
            <w:tcW w:w="3586"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eastAsia="zh-CN"/>
              </w:rPr>
              <w:t>比选</w:t>
            </w:r>
            <w:r>
              <w:rPr>
                <w:rFonts w:hint="eastAsia" w:ascii="仿宋" w:hAnsi="仿宋" w:eastAsia="仿宋" w:cs="仿宋"/>
                <w:color w:val="auto"/>
                <w:highlight w:val="none"/>
                <w:u w:val="single"/>
              </w:rPr>
              <w:t>公告“一、项目概况与采购范围”</w:t>
            </w:r>
            <w:r>
              <w:rPr>
                <w:rFonts w:hint="eastAsia" w:ascii="仿宋" w:hAnsi="仿宋" w:eastAsia="仿宋" w:cs="仿宋"/>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资格审查方式及供应商应具备的资格条件</w:t>
            </w:r>
          </w:p>
        </w:tc>
        <w:tc>
          <w:tcPr>
            <w:tcW w:w="3586" w:type="pct"/>
            <w:noWrap w:val="0"/>
            <w:vAlign w:val="center"/>
          </w:tcPr>
          <w:p>
            <w:pPr>
              <w:pStyle w:val="139"/>
              <w:topLinePunct/>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□资格预审</w:t>
            </w:r>
          </w:p>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highlight w:val="none"/>
                <w:lang w:eastAsia="zh-CN"/>
              </w:rPr>
              <w:t>☑</w:t>
            </w:r>
            <w:r>
              <w:rPr>
                <w:rFonts w:hint="eastAsia" w:ascii="仿宋" w:hAnsi="仿宋" w:eastAsia="仿宋" w:cs="宋体"/>
                <w:color w:val="auto"/>
                <w:highlight w:val="none"/>
              </w:rPr>
              <w:t>资格后审，</w:t>
            </w: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eastAsia="zh-CN"/>
              </w:rPr>
              <w:t>比选</w:t>
            </w:r>
            <w:r>
              <w:rPr>
                <w:rFonts w:hint="eastAsia" w:ascii="仿宋" w:hAnsi="仿宋" w:eastAsia="仿宋" w:cs="仿宋"/>
                <w:color w:val="auto"/>
                <w:highlight w:val="none"/>
                <w:u w:val="single"/>
              </w:rPr>
              <w:t>公告“二、供应商资格要求”</w:t>
            </w:r>
            <w:r>
              <w:rPr>
                <w:rFonts w:hint="eastAsia" w:ascii="仿宋" w:hAnsi="仿宋" w:eastAsia="仿宋" w:cs="仿宋"/>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spacing w:before="62" w:beforeLines="20" w:after="62" w:afterLines="20"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★磋商文件实质性要求的标识</w:t>
            </w:r>
          </w:p>
        </w:tc>
        <w:tc>
          <w:tcPr>
            <w:tcW w:w="3586" w:type="pct"/>
            <w:noWrap w:val="0"/>
            <w:vAlign w:val="center"/>
          </w:tcPr>
          <w:p>
            <w:pPr>
              <w:pStyle w:val="139"/>
              <w:topLinePunct/>
              <w:spacing w:before="62" w:beforeLines="20" w:after="62" w:afterLines="20" w:line="360" w:lineRule="auto"/>
              <w:rPr>
                <w:rFonts w:hint="eastAsia" w:ascii="仿宋" w:hAnsi="仿宋" w:eastAsia="仿宋" w:cs="Cambria Math"/>
                <w:b/>
                <w:color w:val="auto"/>
                <w:sz w:val="21"/>
                <w:szCs w:val="21"/>
                <w:highlight w:val="none"/>
              </w:rPr>
            </w:pPr>
            <w:r>
              <w:rPr>
                <w:rFonts w:hint="eastAsia" w:ascii="仿宋" w:hAnsi="仿宋" w:eastAsia="仿宋" w:cs="Cambria Math"/>
                <w:color w:val="auto"/>
                <w:sz w:val="21"/>
                <w:szCs w:val="21"/>
                <w:highlight w:val="none"/>
                <w:u w:val="single"/>
              </w:rPr>
              <w:t>磋商文件中标识“★”条款、注明“磋商响应将被否决”、“对其响应做否决处理”</w:t>
            </w:r>
            <w:r>
              <w:rPr>
                <w:rFonts w:hint="eastAsia" w:ascii="仿宋" w:hAnsi="仿宋" w:eastAsia="仿宋" w:cs="宋体"/>
                <w:color w:val="auto"/>
                <w:sz w:val="21"/>
                <w:szCs w:val="21"/>
                <w:highlight w:val="none"/>
                <w:u w:val="single"/>
              </w:rPr>
              <w:t>等</w:t>
            </w:r>
            <w:r>
              <w:rPr>
                <w:rFonts w:hint="eastAsia" w:ascii="仿宋" w:hAnsi="仿宋" w:eastAsia="仿宋" w:cs="Cambria Math"/>
                <w:color w:val="auto"/>
                <w:sz w:val="21"/>
                <w:szCs w:val="21"/>
                <w:highlight w:val="none"/>
                <w:u w:val="single"/>
              </w:rPr>
              <w:t>的条款</w:t>
            </w:r>
            <w:r>
              <w:rPr>
                <w:rFonts w:hint="eastAsia" w:ascii="仿宋" w:hAnsi="仿宋" w:eastAsia="仿宋" w:cs="Cambria Math"/>
                <w:color w:val="auto"/>
                <w:sz w:val="21"/>
                <w:szCs w:val="21"/>
                <w:highlight w:val="none"/>
              </w:rPr>
              <w:t>，均为实质性条款，</w:t>
            </w:r>
            <w:r>
              <w:rPr>
                <w:rFonts w:hint="eastAsia" w:ascii="仿宋" w:hAnsi="仿宋" w:eastAsia="仿宋" w:cs="宋体"/>
                <w:b/>
                <w:color w:val="auto"/>
                <w:sz w:val="21"/>
                <w:szCs w:val="21"/>
                <w:highlight w:val="none"/>
              </w:rPr>
              <w:t>不满足任意一项</w:t>
            </w:r>
            <w:r>
              <w:rPr>
                <w:rFonts w:hint="eastAsia" w:ascii="仿宋" w:hAnsi="仿宋" w:eastAsia="仿宋" w:cs="Cambria Math"/>
                <w:b/>
                <w:color w:val="auto"/>
                <w:sz w:val="21"/>
                <w:szCs w:val="21"/>
                <w:highlight w:val="none"/>
              </w:rPr>
              <w:t>实质性条款的响应将被否决。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供应商提出澄清的截止时间和方式</w:t>
            </w:r>
          </w:p>
        </w:tc>
        <w:tc>
          <w:tcPr>
            <w:tcW w:w="3586" w:type="pct"/>
            <w:noWrap w:val="0"/>
            <w:vAlign w:val="center"/>
          </w:tcPr>
          <w:p>
            <w:pPr>
              <w:pStyle w:val="139"/>
              <w:topLinePunct/>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b/>
                <w:color w:val="auto"/>
                <w:sz w:val="21"/>
                <w:szCs w:val="21"/>
                <w:highlight w:val="none"/>
              </w:rPr>
              <w:t>截止时间：</w:t>
            </w:r>
            <w:r>
              <w:rPr>
                <w:rFonts w:hint="eastAsia" w:ascii="仿宋" w:hAnsi="仿宋" w:eastAsia="仿宋" w:cs="宋体"/>
                <w:b/>
                <w:color w:val="auto"/>
                <w:sz w:val="21"/>
                <w:szCs w:val="21"/>
                <w:highlight w:val="none"/>
                <w:u w:val="single"/>
              </w:rPr>
              <w:t>202</w:t>
            </w:r>
            <w:r>
              <w:rPr>
                <w:rFonts w:hint="eastAsia" w:ascii="仿宋" w:hAnsi="仿宋" w:eastAsia="仿宋" w:cs="宋体"/>
                <w:b/>
                <w:color w:val="auto"/>
                <w:sz w:val="21"/>
                <w:szCs w:val="21"/>
                <w:highlight w:val="none"/>
                <w:u w:val="single"/>
                <w:lang w:val="en-US" w:eastAsia="zh-CN"/>
              </w:rPr>
              <w:t>6</w:t>
            </w:r>
            <w:r>
              <w:rPr>
                <w:rFonts w:hint="eastAsia" w:ascii="仿宋" w:hAnsi="仿宋" w:eastAsia="仿宋" w:cs="宋体"/>
                <w:b/>
                <w:color w:val="auto"/>
                <w:sz w:val="21"/>
                <w:szCs w:val="21"/>
                <w:highlight w:val="none"/>
                <w:u w:val="single"/>
              </w:rPr>
              <w:t>年</w:t>
            </w:r>
            <w:r>
              <w:rPr>
                <w:rFonts w:hint="eastAsia" w:ascii="仿宋" w:hAnsi="仿宋" w:eastAsia="仿宋" w:cs="宋体"/>
                <w:b/>
                <w:color w:val="auto"/>
                <w:sz w:val="21"/>
                <w:szCs w:val="21"/>
                <w:highlight w:val="none"/>
                <w:u w:val="single"/>
                <w:lang w:val="en-US" w:eastAsia="zh-CN"/>
              </w:rPr>
              <w:t>7</w:t>
            </w:r>
            <w:r>
              <w:rPr>
                <w:rFonts w:hint="eastAsia" w:ascii="仿宋" w:hAnsi="仿宋" w:eastAsia="仿宋" w:cs="宋体"/>
                <w:b/>
                <w:color w:val="auto"/>
                <w:sz w:val="21"/>
                <w:szCs w:val="21"/>
                <w:highlight w:val="none"/>
                <w:u w:val="single"/>
              </w:rPr>
              <w:t>月</w:t>
            </w:r>
            <w:r>
              <w:rPr>
                <w:rFonts w:hint="eastAsia" w:ascii="仿宋" w:hAnsi="仿宋" w:eastAsia="仿宋" w:cs="宋体"/>
                <w:b/>
                <w:color w:val="auto"/>
                <w:sz w:val="21"/>
                <w:szCs w:val="21"/>
                <w:highlight w:val="none"/>
                <w:u w:val="single"/>
                <w:lang w:val="en-US" w:eastAsia="zh-CN"/>
              </w:rPr>
              <w:t>7</w:t>
            </w:r>
            <w:r>
              <w:rPr>
                <w:rFonts w:hint="eastAsia" w:ascii="仿宋" w:hAnsi="仿宋" w:eastAsia="仿宋" w:cs="宋体"/>
                <w:b/>
                <w:color w:val="auto"/>
                <w:sz w:val="21"/>
                <w:szCs w:val="21"/>
                <w:highlight w:val="none"/>
                <w:u w:val="single"/>
              </w:rPr>
              <w:t xml:space="preserve">日 </w:t>
            </w:r>
            <w:r>
              <w:rPr>
                <w:rFonts w:hint="eastAsia" w:ascii="仿宋" w:hAnsi="仿宋" w:eastAsia="仿宋" w:cs="宋体"/>
                <w:b/>
                <w:color w:val="auto"/>
                <w:sz w:val="21"/>
                <w:szCs w:val="21"/>
                <w:highlight w:val="none"/>
                <w:u w:val="single"/>
                <w:lang w:val="en-US" w:eastAsia="zh-CN"/>
              </w:rPr>
              <w:t>11</w:t>
            </w:r>
            <w:r>
              <w:rPr>
                <w:rFonts w:hint="eastAsia" w:ascii="仿宋" w:hAnsi="仿宋" w:eastAsia="仿宋" w:cs="宋体"/>
                <w:b/>
                <w:color w:val="auto"/>
                <w:sz w:val="21"/>
                <w:szCs w:val="21"/>
                <w:highlight w:val="none"/>
                <w:u w:val="single"/>
              </w:rPr>
              <w:t>时</w:t>
            </w:r>
            <w:r>
              <w:rPr>
                <w:rFonts w:hint="eastAsia" w:ascii="仿宋" w:hAnsi="仿宋" w:eastAsia="仿宋" w:cs="宋体"/>
                <w:b/>
                <w:color w:val="auto"/>
                <w:sz w:val="21"/>
                <w:szCs w:val="21"/>
                <w:highlight w:val="none"/>
                <w:u w:val="single"/>
                <w:lang w:val="en-US" w:eastAsia="zh-CN"/>
              </w:rPr>
              <w:t>0</w:t>
            </w:r>
            <w:r>
              <w:rPr>
                <w:rFonts w:hint="eastAsia" w:ascii="仿宋" w:hAnsi="仿宋" w:eastAsia="仿宋" w:cs="宋体"/>
                <w:b/>
                <w:color w:val="auto"/>
                <w:sz w:val="21"/>
                <w:szCs w:val="21"/>
                <w:highlight w:val="none"/>
                <w:u w:val="single"/>
              </w:rPr>
              <w:t>分</w:t>
            </w:r>
            <w:r>
              <w:rPr>
                <w:rFonts w:hint="eastAsia" w:ascii="仿宋" w:hAnsi="仿宋" w:eastAsia="仿宋" w:cs="宋体"/>
                <w:b/>
                <w:color w:val="auto"/>
                <w:sz w:val="21"/>
                <w:szCs w:val="21"/>
                <w:highlight w:val="none"/>
              </w:rPr>
              <w:t>（北京时间）。</w:t>
            </w:r>
          </w:p>
          <w:p>
            <w:pPr>
              <w:pStyle w:val="149"/>
              <w:spacing w:before="62" w:beforeLines="20" w:after="62" w:afterLines="20" w:line="360" w:lineRule="auto"/>
              <w:rPr>
                <w:rFonts w:hint="eastAsia" w:ascii="仿宋" w:hAnsi="仿宋" w:eastAsia="仿宋" w:cs="宋体"/>
                <w:color w:val="auto"/>
                <w:sz w:val="21"/>
                <w:szCs w:val="21"/>
                <w:highlight w:val="none"/>
                <w:lang w:val="en-US" w:eastAsia="zh-CN"/>
              </w:rPr>
            </w:pPr>
            <w:r>
              <w:rPr>
                <w:rFonts w:hint="eastAsia" w:ascii="仿宋" w:hAnsi="仿宋" w:eastAsia="仿宋" w:cs="宋体"/>
                <w:color w:val="auto"/>
                <w:sz w:val="21"/>
                <w:szCs w:val="21"/>
                <w:highlight w:val="none"/>
              </w:rPr>
              <w:t>提出澄清的方式：以纸质版形式递交至人保财险</w:t>
            </w:r>
            <w:r>
              <w:rPr>
                <w:rFonts w:hint="eastAsia" w:ascii="仿宋" w:hAnsi="仿宋" w:eastAsia="仿宋" w:cs="宋体"/>
                <w:color w:val="auto"/>
                <w:sz w:val="21"/>
                <w:szCs w:val="21"/>
                <w:highlight w:val="none"/>
                <w:lang w:val="en-US" w:eastAsia="zh-CN"/>
              </w:rPr>
              <w:t>昭苏支</w:t>
            </w:r>
            <w:r>
              <w:rPr>
                <w:rFonts w:hint="eastAsia" w:ascii="仿宋" w:hAnsi="仿宋" w:eastAsia="仿宋" w:cs="宋体"/>
                <w:color w:val="auto"/>
                <w:sz w:val="21"/>
                <w:szCs w:val="21"/>
                <w:highlight w:val="none"/>
              </w:rPr>
              <w:t>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rPr>
              <w:t>供应商确认收到澄清或修改的截止时间和方式</w:t>
            </w:r>
          </w:p>
        </w:tc>
        <w:tc>
          <w:tcPr>
            <w:tcW w:w="3586" w:type="pct"/>
            <w:noWrap w:val="0"/>
            <w:vAlign w:val="center"/>
          </w:tcPr>
          <w:p>
            <w:pPr>
              <w:spacing w:line="360" w:lineRule="auto"/>
              <w:rPr>
                <w:rFonts w:hint="eastAsia" w:ascii="仿宋" w:hAnsi="仿宋" w:eastAsia="仿宋" w:cs="宋体"/>
                <w:b w:val="0"/>
                <w:bCs/>
                <w:color w:val="auto"/>
                <w:szCs w:val="21"/>
                <w:highlight w:val="none"/>
              </w:rPr>
            </w:pPr>
            <w:r>
              <w:rPr>
                <w:rFonts w:hint="eastAsia" w:ascii="仿宋" w:hAnsi="仿宋" w:eastAsia="仿宋" w:cs="宋体"/>
                <w:b/>
                <w:color w:val="auto"/>
                <w:szCs w:val="21"/>
                <w:highlight w:val="none"/>
              </w:rPr>
              <w:t>确认收到澄清或修改的时间：</w:t>
            </w:r>
            <w:r>
              <w:rPr>
                <w:rFonts w:hint="eastAsia" w:ascii="仿宋" w:hAnsi="仿宋" w:eastAsia="仿宋" w:cs="宋体"/>
                <w:b w:val="0"/>
                <w:bCs/>
                <w:color w:val="auto"/>
                <w:szCs w:val="21"/>
                <w:highlight w:val="none"/>
                <w:u w:val="single"/>
              </w:rPr>
              <w:t>收到</w:t>
            </w:r>
            <w:r>
              <w:rPr>
                <w:rFonts w:hint="eastAsia" w:ascii="仿宋" w:hAnsi="仿宋" w:eastAsia="仿宋" w:cs="宋体"/>
                <w:b w:val="0"/>
                <w:bCs/>
                <w:color w:val="auto"/>
                <w:szCs w:val="21"/>
                <w:highlight w:val="none"/>
                <w:u w:val="single"/>
                <w:lang w:val="en-US" w:eastAsia="zh-CN"/>
              </w:rPr>
              <w:t>磋商</w:t>
            </w:r>
            <w:r>
              <w:rPr>
                <w:rFonts w:hint="eastAsia" w:ascii="仿宋" w:hAnsi="仿宋" w:eastAsia="仿宋" w:cs="宋体"/>
                <w:b w:val="0"/>
                <w:bCs/>
                <w:color w:val="auto"/>
                <w:szCs w:val="21"/>
                <w:highlight w:val="none"/>
                <w:u w:val="single"/>
              </w:rPr>
              <w:t>文件澄清或修改通知后</w:t>
            </w:r>
            <w:r>
              <w:rPr>
                <w:rFonts w:hint="eastAsia" w:ascii="仿宋" w:hAnsi="仿宋" w:eastAsia="仿宋" w:cs="宋体"/>
                <w:b w:val="0"/>
                <w:bCs/>
                <w:color w:val="auto"/>
                <w:szCs w:val="21"/>
                <w:highlight w:val="none"/>
                <w:u w:val="single"/>
                <w:lang w:val="en-US" w:eastAsia="zh-CN"/>
              </w:rPr>
              <w:t>1</w:t>
            </w:r>
            <w:r>
              <w:rPr>
                <w:rFonts w:hint="eastAsia" w:ascii="仿宋" w:hAnsi="仿宋" w:eastAsia="仿宋" w:cs="宋体"/>
                <w:b w:val="0"/>
                <w:bCs/>
                <w:color w:val="auto"/>
                <w:szCs w:val="21"/>
                <w:highlight w:val="none"/>
                <w:u w:val="single"/>
              </w:rPr>
              <w:t>个工作日内。</w:t>
            </w:r>
          </w:p>
          <w:p>
            <w:pPr>
              <w:spacing w:line="360" w:lineRule="auto"/>
              <w:rPr>
                <w:rFonts w:hint="eastAsia" w:ascii="仿宋" w:hAnsi="仿宋" w:eastAsia="仿宋" w:cs="宋体"/>
                <w:color w:val="auto"/>
                <w:szCs w:val="21"/>
                <w:highlight w:val="none"/>
              </w:rPr>
            </w:pPr>
            <w:r>
              <w:rPr>
                <w:rFonts w:hint="eastAsia" w:ascii="仿宋" w:hAnsi="仿宋" w:eastAsia="仿宋" w:cs="宋体"/>
                <w:color w:val="auto"/>
                <w:szCs w:val="21"/>
                <w:highlight w:val="none"/>
              </w:rPr>
              <w:t>确认收到澄清或修改文件的方式：</w:t>
            </w:r>
            <w:r>
              <w:rPr>
                <w:rFonts w:hint="eastAsia" w:ascii="仿宋" w:hAnsi="仿宋" w:eastAsia="仿宋" w:cs="宋体"/>
                <w:color w:val="auto"/>
                <w:szCs w:val="21"/>
                <w:highlight w:val="none"/>
                <w:lang w:val="en-US" w:eastAsia="zh-CN"/>
              </w:rPr>
              <w:t>以</w:t>
            </w:r>
            <w:r>
              <w:rPr>
                <w:rFonts w:hint="eastAsia" w:ascii="仿宋" w:hAnsi="仿宋" w:eastAsia="仿宋" w:cs="宋体"/>
                <w:color w:val="auto"/>
                <w:sz w:val="21"/>
                <w:szCs w:val="21"/>
                <w:highlight w:val="none"/>
                <w:lang w:val="en-US" w:eastAsia="zh-CN"/>
              </w:rPr>
              <w:t>纸质版为准</w:t>
            </w:r>
            <w:r>
              <w:rPr>
                <w:rFonts w:hint="eastAsia" w:ascii="仿宋" w:hAnsi="仿宋" w:eastAsia="仿宋"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响应文件的组成</w:t>
            </w:r>
          </w:p>
        </w:tc>
        <w:tc>
          <w:tcPr>
            <w:tcW w:w="3586" w:type="pct"/>
            <w:noWrap w:val="0"/>
            <w:vAlign w:val="center"/>
          </w:tcPr>
          <w:p>
            <w:pPr>
              <w:pStyle w:val="149"/>
              <w:spacing w:before="62" w:beforeLines="20" w:after="62" w:afterLines="20" w:line="276"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响应文件按照以下架构分成三册并顺序编制：</w:t>
            </w:r>
          </w:p>
          <w:p>
            <w:pPr>
              <w:pStyle w:val="156"/>
              <w:spacing w:before="62" w:beforeLines="20" w:after="62" w:afterLines="20" w:line="276" w:lineRule="auto"/>
              <w:rPr>
                <w:rFonts w:hint="eastAsia" w:ascii="仿宋" w:hAnsi="仿宋" w:eastAsia="仿宋" w:cs="仿宋"/>
                <w:b/>
                <w:color w:val="auto"/>
                <w:highlight w:val="none"/>
              </w:rPr>
            </w:pPr>
            <w:r>
              <w:rPr>
                <w:rFonts w:hint="eastAsia" w:ascii="仿宋" w:hAnsi="仿宋" w:eastAsia="仿宋" w:cs="仿宋"/>
                <w:b/>
                <w:color w:val="auto"/>
                <w:highlight w:val="none"/>
              </w:rPr>
              <w:t>一、商务文件</w:t>
            </w:r>
          </w:p>
          <w:p>
            <w:pPr>
              <w:autoSpaceDE w:val="0"/>
              <w:autoSpaceDN w:val="0"/>
              <w:spacing w:line="276"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初步评审索引表</w:t>
            </w:r>
          </w:p>
          <w:p>
            <w:pPr>
              <w:autoSpaceDE w:val="0"/>
              <w:autoSpaceDN w:val="0"/>
              <w:spacing w:line="276" w:lineRule="auto"/>
              <w:rPr>
                <w:color w:val="auto"/>
              </w:rPr>
            </w:pPr>
            <w:r>
              <w:rPr>
                <w:rFonts w:hint="eastAsia" w:ascii="仿宋" w:hAnsi="仿宋" w:eastAsia="仿宋" w:cs="仿宋"/>
                <w:b/>
                <w:color w:val="auto"/>
                <w:szCs w:val="21"/>
                <w:highlight w:val="none"/>
              </w:rPr>
              <w:t>详细评审索引表</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（一）响应函</w:t>
            </w:r>
          </w:p>
          <w:p>
            <w:pPr>
              <w:pStyle w:val="149"/>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（二）法定代表人（负责人）身份证明</w:t>
            </w:r>
          </w:p>
          <w:p>
            <w:pPr>
              <w:pStyle w:val="149"/>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（三）法定代表人（负责人）授权委托书</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（四）资格证明文件</w:t>
            </w:r>
          </w:p>
          <w:p>
            <w:pPr>
              <w:pStyle w:val="149"/>
              <w:spacing w:before="62" w:beforeLines="20" w:after="62" w:afterLines="20"/>
              <w:rPr>
                <w:rFonts w:hint="eastAsia" w:ascii="仿宋" w:hAnsi="仿宋" w:eastAsia="仿宋" w:cs="仿宋"/>
                <w:color w:val="auto"/>
                <w:highlight w:val="none"/>
              </w:rPr>
            </w:pPr>
            <w:r>
              <w:rPr>
                <w:rFonts w:hint="eastAsia" w:ascii="仿宋" w:hAnsi="仿宋" w:eastAsia="仿宋" w:cs="宋体"/>
                <w:color w:val="auto"/>
                <w:sz w:val="21"/>
                <w:szCs w:val="21"/>
                <w:highlight w:val="none"/>
              </w:rPr>
              <w:t>（五）供应商须知应答偏离表</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（六）合同条款应答偏离表</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（七）供应商行为准则承诺书</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宋体"/>
                <w:color w:val="auto"/>
                <w:highlight w:val="none"/>
              </w:rPr>
              <w:t>（八）供应商廉洁诚信承诺书</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（九）其他材料</w:t>
            </w:r>
            <w:r>
              <w:rPr>
                <w:rFonts w:hint="eastAsia" w:ascii="仿宋" w:hAnsi="仿宋" w:eastAsia="仿宋" w:cs="宋体"/>
                <w:color w:val="auto"/>
                <w:sz w:val="21"/>
                <w:szCs w:val="21"/>
                <w:highlight w:val="none"/>
              </w:rPr>
              <w:t>（如有）</w:t>
            </w:r>
          </w:p>
          <w:p>
            <w:pPr>
              <w:autoSpaceDE w:val="0"/>
              <w:autoSpaceDN w:val="0"/>
              <w:spacing w:line="276"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二、技术文件</w:t>
            </w:r>
          </w:p>
          <w:p>
            <w:pPr>
              <w:autoSpaceDE w:val="0"/>
              <w:autoSpaceDN w:val="0"/>
              <w:spacing w:line="276" w:lineRule="auto"/>
              <w:rPr>
                <w:rFonts w:ascii="仿宋" w:hAnsi="仿宋" w:eastAsia="仿宋" w:cs="仿宋"/>
                <w:b/>
                <w:color w:val="auto"/>
                <w:szCs w:val="21"/>
                <w:highlight w:val="none"/>
              </w:rPr>
            </w:pPr>
            <w:r>
              <w:rPr>
                <w:rFonts w:hint="eastAsia" w:ascii="仿宋" w:hAnsi="仿宋" w:eastAsia="仿宋" w:cs="仿宋"/>
                <w:b/>
                <w:color w:val="auto"/>
                <w:szCs w:val="21"/>
                <w:highlight w:val="none"/>
              </w:rPr>
              <w:t>详细评审索引表</w:t>
            </w:r>
          </w:p>
          <w:p>
            <w:pPr>
              <w:autoSpaceDE w:val="0"/>
              <w:autoSpaceDN w:val="0"/>
              <w:spacing w:line="276" w:lineRule="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（一）采购需求应答偏离表</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（二）技术方案</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（三）其他材料</w:t>
            </w:r>
            <w:r>
              <w:rPr>
                <w:rFonts w:hint="eastAsia" w:ascii="仿宋" w:hAnsi="仿宋" w:eastAsia="仿宋" w:cs="宋体"/>
                <w:color w:val="auto"/>
                <w:sz w:val="21"/>
                <w:szCs w:val="21"/>
                <w:highlight w:val="none"/>
              </w:rPr>
              <w:t>（如有）</w:t>
            </w:r>
          </w:p>
          <w:p>
            <w:pPr>
              <w:autoSpaceDE w:val="0"/>
              <w:autoSpaceDN w:val="0"/>
              <w:spacing w:line="276"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三、报价文件</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（一）报价一览表</w:t>
            </w:r>
          </w:p>
          <w:p>
            <w:pPr>
              <w:pStyle w:val="156"/>
              <w:spacing w:before="62" w:beforeLines="20" w:after="62" w:afterLines="20" w:line="276" w:lineRule="auto"/>
              <w:rPr>
                <w:rFonts w:hint="eastAsia" w:ascii="仿宋" w:hAnsi="仿宋" w:eastAsia="仿宋" w:cs="仿宋"/>
                <w:color w:val="auto"/>
                <w:highlight w:val="none"/>
              </w:rPr>
            </w:pPr>
            <w:r>
              <w:rPr>
                <w:rFonts w:hint="eastAsia" w:ascii="仿宋" w:hAnsi="仿宋" w:eastAsia="仿宋" w:cs="仿宋"/>
                <w:color w:val="auto"/>
                <w:highlight w:val="none"/>
              </w:rPr>
              <w:t>（二）分项报价表</w:t>
            </w:r>
            <w:r>
              <w:rPr>
                <w:rFonts w:hint="eastAsia" w:ascii="仿宋" w:hAnsi="仿宋" w:eastAsia="仿宋" w:cs="宋体"/>
                <w:color w:val="auto"/>
                <w:sz w:val="21"/>
                <w:szCs w:val="21"/>
                <w:highlight w:val="none"/>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响应文件的递交</w:t>
            </w:r>
          </w:p>
        </w:tc>
        <w:tc>
          <w:tcPr>
            <w:tcW w:w="3586" w:type="pct"/>
            <w:noWrap w:val="0"/>
            <w:vAlign w:val="center"/>
          </w:tcPr>
          <w:p>
            <w:pPr>
              <w:autoSpaceDE w:val="0"/>
              <w:autoSpaceDN w:val="0"/>
              <w:spacing w:line="360" w:lineRule="auto"/>
              <w:rPr>
                <w:rFonts w:hint="eastAsia" w:ascii="仿宋" w:hAnsi="仿宋" w:eastAsia="仿宋" w:cs="宋体"/>
                <w:bCs/>
                <w:color w:val="auto"/>
                <w:szCs w:val="21"/>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eastAsia="zh-CN"/>
              </w:rPr>
              <w:t>比选</w:t>
            </w:r>
            <w:r>
              <w:rPr>
                <w:rFonts w:hint="eastAsia" w:ascii="仿宋" w:hAnsi="仿宋" w:eastAsia="仿宋" w:cs="仿宋"/>
                <w:color w:val="auto"/>
                <w:highlight w:val="none"/>
                <w:u w:val="single"/>
              </w:rPr>
              <w:t>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Cambria Math"/>
                <w:color w:val="auto"/>
                <w:szCs w:val="21"/>
                <w:highlight w:val="none"/>
              </w:rPr>
              <w:t>★</w:t>
            </w:r>
            <w:r>
              <w:rPr>
                <w:rFonts w:hint="eastAsia" w:ascii="仿宋" w:hAnsi="仿宋" w:eastAsia="仿宋" w:cs="宋体"/>
                <w:color w:val="auto"/>
                <w:szCs w:val="21"/>
                <w:highlight w:val="none"/>
              </w:rPr>
              <w:t>响应文件的盖章或签字要求</w:t>
            </w:r>
          </w:p>
        </w:tc>
        <w:tc>
          <w:tcPr>
            <w:tcW w:w="3586" w:type="pct"/>
            <w:noWrap w:val="0"/>
            <w:vAlign w:val="center"/>
          </w:tcPr>
          <w:p>
            <w:pPr>
              <w:pStyle w:val="139"/>
              <w:topLinePunct/>
              <w:spacing w:before="62" w:beforeLines="20" w:after="62" w:afterLines="20"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（1）《法定代表人（负责人）身份证明》的落款处应加盖公章。</w:t>
            </w:r>
          </w:p>
          <w:p>
            <w:pPr>
              <w:pStyle w:val="139"/>
              <w:topLinePunct/>
              <w:spacing w:before="62" w:beforeLines="20" w:after="62" w:afterLines="20"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（2）《法定代表人（负责人）授权委托书》的落款处应加盖公章</w:t>
            </w:r>
            <w:r>
              <w:rPr>
                <w:rFonts w:hint="eastAsia" w:ascii="仿宋" w:hAnsi="仿宋" w:eastAsia="仿宋" w:cs="宋体"/>
                <w:b/>
                <w:color w:val="auto"/>
                <w:sz w:val="21"/>
                <w:szCs w:val="21"/>
                <w:highlight w:val="none"/>
              </w:rPr>
              <w:t>并由</w:t>
            </w:r>
            <w:r>
              <w:rPr>
                <w:rFonts w:hint="eastAsia" w:ascii="仿宋" w:hAnsi="仿宋" w:eastAsia="仿宋" w:cs="宋体"/>
                <w:color w:val="auto"/>
                <w:sz w:val="21"/>
                <w:szCs w:val="21"/>
                <w:highlight w:val="none"/>
              </w:rPr>
              <w:t>法定代表人（负责人）</w:t>
            </w:r>
            <w:r>
              <w:rPr>
                <w:rFonts w:hint="eastAsia" w:ascii="仿宋" w:hAnsi="仿宋" w:eastAsia="仿宋" w:cs="宋体"/>
                <w:b/>
                <w:color w:val="auto"/>
                <w:sz w:val="21"/>
                <w:szCs w:val="21"/>
                <w:highlight w:val="none"/>
              </w:rPr>
              <w:t>和</w:t>
            </w:r>
            <w:r>
              <w:rPr>
                <w:rFonts w:hint="eastAsia" w:ascii="仿宋" w:hAnsi="仿宋" w:eastAsia="仿宋" w:cs="宋体"/>
                <w:color w:val="auto"/>
                <w:sz w:val="21"/>
                <w:szCs w:val="21"/>
                <w:highlight w:val="none"/>
              </w:rPr>
              <w:t>其委托代理人</w:t>
            </w:r>
            <w:r>
              <w:rPr>
                <w:rFonts w:hint="eastAsia" w:ascii="仿宋" w:hAnsi="仿宋" w:eastAsia="仿宋" w:cs="宋体"/>
                <w:b/>
                <w:color w:val="auto"/>
                <w:sz w:val="21"/>
                <w:szCs w:val="21"/>
                <w:highlight w:val="none"/>
              </w:rPr>
              <w:t>双方</w:t>
            </w:r>
            <w:r>
              <w:rPr>
                <w:rFonts w:hint="eastAsia" w:ascii="仿宋" w:hAnsi="仿宋" w:eastAsia="仿宋" w:cs="宋体"/>
                <w:color w:val="auto"/>
                <w:sz w:val="21"/>
                <w:szCs w:val="21"/>
                <w:highlight w:val="none"/>
              </w:rPr>
              <w:t>签字。</w:t>
            </w:r>
          </w:p>
          <w:p>
            <w:pPr>
              <w:pStyle w:val="139"/>
              <w:topLinePunct/>
              <w:spacing w:before="62" w:beforeLines="20" w:after="62" w:afterLines="20"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（3）响应文件格式中其他有落款的文件，</w:t>
            </w:r>
            <w:r>
              <w:rPr>
                <w:rFonts w:hint="eastAsia" w:ascii="仿宋" w:hAnsi="仿宋" w:eastAsia="仿宋" w:cs="宋体"/>
                <w:b/>
                <w:color w:val="auto"/>
                <w:sz w:val="21"/>
                <w:szCs w:val="21"/>
                <w:highlight w:val="none"/>
              </w:rPr>
              <w:t>均需</w:t>
            </w:r>
            <w:r>
              <w:rPr>
                <w:rFonts w:hint="eastAsia" w:ascii="仿宋" w:hAnsi="仿宋" w:eastAsia="仿宋" w:cs="宋体"/>
                <w:color w:val="auto"/>
                <w:sz w:val="21"/>
                <w:szCs w:val="21"/>
                <w:highlight w:val="none"/>
              </w:rPr>
              <w:t>加盖公章。</w:t>
            </w:r>
          </w:p>
          <w:p>
            <w:pPr>
              <w:pStyle w:val="139"/>
              <w:topLinePunct/>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sz w:val="21"/>
                <w:szCs w:val="21"/>
                <w:highlight w:val="none"/>
              </w:rPr>
              <w:t>（4）响应文件的所有签字处均指手写签字</w:t>
            </w:r>
            <w:r>
              <w:rPr>
                <w:rFonts w:hint="eastAsia" w:ascii="仿宋" w:hAnsi="仿宋" w:eastAsia="仿宋" w:cs="宋体"/>
                <w:b/>
                <w:color w:val="auto"/>
                <w:sz w:val="21"/>
                <w:szCs w:val="21"/>
                <w:highlight w:val="none"/>
              </w:rPr>
              <w:t>或</w:t>
            </w:r>
            <w:r>
              <w:rPr>
                <w:rFonts w:hint="eastAsia" w:ascii="仿宋" w:hAnsi="仿宋" w:eastAsia="仿宋" w:cs="宋体"/>
                <w:color w:val="auto"/>
                <w:sz w:val="21"/>
                <w:szCs w:val="21"/>
                <w:highlight w:val="none"/>
              </w:rPr>
              <w:t>签名章/印章</w:t>
            </w:r>
            <w:r>
              <w:rPr>
                <w:rFonts w:hint="eastAsia" w:ascii="仿宋" w:hAnsi="仿宋" w:eastAsia="仿宋" w:cs="宋体"/>
                <w:b/>
                <w:bCs/>
                <w:color w:val="auto"/>
                <w:sz w:val="21"/>
                <w:szCs w:val="21"/>
                <w:highlight w:val="none"/>
              </w:rPr>
              <w:t>或</w:t>
            </w:r>
            <w:r>
              <w:rPr>
                <w:rFonts w:hint="eastAsia" w:ascii="仿宋" w:hAnsi="仿宋" w:eastAsia="仿宋" w:cs="宋体"/>
                <w:color w:val="auto"/>
                <w:sz w:val="21"/>
                <w:szCs w:val="21"/>
                <w:highlight w:val="none"/>
              </w:rPr>
              <w:t>CA签名章，</w:t>
            </w:r>
            <w:r>
              <w:rPr>
                <w:rFonts w:hint="eastAsia" w:ascii="仿宋" w:hAnsi="仿宋" w:eastAsia="仿宋" w:cs="宋体"/>
                <w:b/>
                <w:color w:val="auto"/>
                <w:sz w:val="21"/>
                <w:szCs w:val="21"/>
                <w:highlight w:val="none"/>
              </w:rPr>
              <w:t>不得</w:t>
            </w:r>
            <w:r>
              <w:rPr>
                <w:rFonts w:hint="eastAsia" w:ascii="仿宋" w:hAnsi="仿宋" w:eastAsia="仿宋" w:cs="宋体"/>
                <w:color w:val="auto"/>
                <w:sz w:val="21"/>
                <w:szCs w:val="21"/>
                <w:highlight w:val="none"/>
              </w:rPr>
              <w:t>以打印体代替。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磋商响应报价</w:t>
            </w:r>
          </w:p>
        </w:tc>
        <w:tc>
          <w:tcPr>
            <w:tcW w:w="3586"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1）供应商应结合自身实力与经验、市场价格竞争及合同实施风险等因素进行综合考虑进行报价。</w:t>
            </w:r>
          </w:p>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2）磋商小组将视磋商情况决定是否进行多轮次报价，供应商</w:t>
            </w:r>
            <w:r>
              <w:rPr>
                <w:rFonts w:hint="eastAsia" w:ascii="仿宋" w:hAnsi="仿宋" w:eastAsia="仿宋" w:cs="仿宋"/>
                <w:color w:val="auto"/>
                <w:highlight w:val="none"/>
                <w:u w:val="single"/>
              </w:rPr>
              <w:t>最后一轮磋商提交的报价</w:t>
            </w:r>
            <w:r>
              <w:rPr>
                <w:rFonts w:hint="eastAsia" w:ascii="仿宋" w:hAnsi="仿宋" w:eastAsia="仿宋" w:cs="仿宋"/>
                <w:color w:val="auto"/>
                <w:highlight w:val="none"/>
              </w:rPr>
              <w:t>将作为该供应商的</w:t>
            </w:r>
            <w:r>
              <w:rPr>
                <w:rFonts w:hint="eastAsia" w:ascii="仿宋" w:hAnsi="仿宋" w:eastAsia="仿宋" w:cs="仿宋"/>
                <w:b/>
                <w:bCs/>
                <w:color w:val="auto"/>
                <w:highlight w:val="none"/>
              </w:rPr>
              <w:t>最终报价</w:t>
            </w:r>
            <w:r>
              <w:rPr>
                <w:rFonts w:hint="eastAsia" w:ascii="仿宋" w:hAnsi="仿宋" w:eastAsia="仿宋" w:cs="仿宋"/>
                <w:color w:val="auto"/>
                <w:highlight w:val="none"/>
              </w:rPr>
              <w:t>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★磋商响应有效期</w:t>
            </w:r>
          </w:p>
        </w:tc>
        <w:tc>
          <w:tcPr>
            <w:tcW w:w="3586"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highlight w:val="none"/>
              </w:rPr>
              <w:t>磋商响应有效期：</w:t>
            </w:r>
            <w:r>
              <w:rPr>
                <w:rFonts w:hint="eastAsia" w:ascii="仿宋" w:hAnsi="仿宋" w:eastAsia="仿宋" w:cs="仿宋"/>
                <w:color w:val="auto"/>
                <w:highlight w:val="none"/>
                <w:u w:val="single"/>
                <w:lang w:val="en-US" w:eastAsia="zh-CN"/>
              </w:rPr>
              <w:t>90</w:t>
            </w:r>
            <w:r>
              <w:rPr>
                <w:rFonts w:hint="eastAsia" w:ascii="仿宋" w:hAnsi="仿宋" w:eastAsia="仿宋" w:cs="仿宋"/>
                <w:color w:val="auto"/>
                <w:highlight w:val="none"/>
                <w:u w:val="single"/>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default" w:ascii="仿宋" w:hAnsi="仿宋" w:eastAsia="仿宋" w:cs="仿宋"/>
                <w:color w:val="auto"/>
                <w:szCs w:val="21"/>
                <w:highlight w:val="none"/>
                <w:lang w:val="en-US" w:eastAsia="zh-CN"/>
              </w:rPr>
            </w:pPr>
            <w:r>
              <w:rPr>
                <w:rFonts w:hint="eastAsia" w:ascii="仿宋" w:hAnsi="仿宋" w:eastAsia="仿宋" w:cs="宋体"/>
                <w:color w:val="auto"/>
                <w:szCs w:val="21"/>
                <w:highlight w:val="none"/>
              </w:rPr>
              <w:t>★磋商保证金</w:t>
            </w:r>
            <w:r>
              <w:rPr>
                <w:rFonts w:hint="eastAsia" w:ascii="仿宋" w:hAnsi="仿宋" w:eastAsia="仿宋" w:cs="宋体"/>
                <w:color w:val="auto"/>
                <w:szCs w:val="21"/>
                <w:highlight w:val="none"/>
                <w:lang w:val="en-US" w:eastAsia="zh-CN"/>
              </w:rPr>
              <w:t>的金额</w:t>
            </w:r>
          </w:p>
        </w:tc>
        <w:tc>
          <w:tcPr>
            <w:tcW w:w="3588" w:type="pct"/>
            <w:gridSpan w:val="2"/>
            <w:noWrap w:val="0"/>
            <w:vAlign w:val="center"/>
          </w:tcPr>
          <w:p>
            <w:pPr>
              <w:pStyle w:val="156"/>
              <w:spacing w:before="62" w:beforeLines="20" w:after="62" w:afterLines="20"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磋商保证金金额：</w:t>
            </w:r>
            <w:r>
              <w:rPr>
                <w:rFonts w:hint="eastAsia" w:ascii="仿宋" w:hAnsi="仿宋" w:eastAsia="仿宋" w:cs="仿宋"/>
                <w:color w:val="auto"/>
                <w:highlight w:val="none"/>
                <w:u w:val="single"/>
                <w:lang w:val="en-US" w:eastAsia="zh-CN"/>
              </w:rPr>
              <w:t>无</w:t>
            </w:r>
            <w:r>
              <w:rPr>
                <w:rFonts w:hint="eastAsia" w:ascii="仿宋" w:hAnsi="仿宋" w:eastAsia="仿宋" w:cs="宋体"/>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pStyle w:val="156"/>
              <w:spacing w:before="62" w:beforeLines="20" w:after="62" w:afterLines="20" w:line="360" w:lineRule="auto"/>
              <w:jc w:val="center"/>
              <w:rPr>
                <w:rFonts w:hint="eastAsia" w:ascii="仿宋" w:hAnsi="仿宋" w:eastAsia="仿宋" w:cs="仿宋"/>
                <w:color w:val="auto"/>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响应文件的份数</w:t>
            </w:r>
          </w:p>
        </w:tc>
        <w:tc>
          <w:tcPr>
            <w:tcW w:w="3586" w:type="pct"/>
            <w:noWrap w:val="0"/>
            <w:vAlign w:val="center"/>
          </w:tcPr>
          <w:p>
            <w:pPr>
              <w:pStyle w:val="16"/>
              <w:rPr>
                <w:rFonts w:hint="eastAsia" w:ascii="仿宋" w:hAnsi="仿宋" w:eastAsia="仿宋" w:cs="宋体"/>
                <w:color w:val="auto"/>
                <w:highlight w:val="none"/>
              </w:rPr>
            </w:pPr>
            <w:r>
              <w:rPr>
                <w:rFonts w:hint="eastAsia" w:ascii="仿宋" w:hAnsi="仿宋" w:eastAsia="仿宋" w:cs="宋体"/>
                <w:color w:val="auto"/>
                <w:sz w:val="21"/>
                <w:szCs w:val="21"/>
                <w:highlight w:val="none"/>
              </w:rPr>
              <w:t>电子文件1份（具体格式要求：正本加盖公章及签字的彩色扫描件PDF版）；纸质文件正本 1 份，副本0份。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rPr>
              <w:t>纸质</w:t>
            </w:r>
            <w:r>
              <w:rPr>
                <w:rFonts w:hint="eastAsia" w:ascii="仿宋" w:hAnsi="仿宋" w:eastAsia="仿宋" w:cs="仿宋"/>
                <w:color w:val="auto"/>
                <w:szCs w:val="21"/>
                <w:highlight w:val="none"/>
              </w:rPr>
              <w:t>响应文件的装订、密封和标记</w:t>
            </w:r>
          </w:p>
        </w:tc>
        <w:tc>
          <w:tcPr>
            <w:tcW w:w="3586" w:type="pct"/>
            <w:noWrap w:val="0"/>
            <w:vAlign w:val="center"/>
          </w:tcPr>
          <w:p>
            <w:pPr>
              <w:spacing w:line="360" w:lineRule="auto"/>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（1）采用A4纸胶装，双面打印，商务、技术、报价文件分别装订成册，密封粘接缝隙加盖供应商公章或由法定代表人（负责人）或其委托代理人签字。未按要求密封的</w:t>
            </w:r>
            <w:r>
              <w:rPr>
                <w:rFonts w:hint="eastAsia" w:ascii="仿宋" w:hAnsi="仿宋" w:eastAsia="仿宋" w:cs="Cambria Math"/>
                <w:color w:val="auto"/>
                <w:szCs w:val="21"/>
                <w:highlight w:val="none"/>
                <w:lang w:eastAsia="zh-Hans"/>
              </w:rPr>
              <w:t>纸质</w:t>
            </w:r>
            <w:r>
              <w:rPr>
                <w:rFonts w:hint="eastAsia" w:ascii="仿宋" w:hAnsi="仿宋" w:eastAsia="仿宋" w:cs="Cambria Math"/>
                <w:color w:val="auto"/>
                <w:szCs w:val="21"/>
                <w:highlight w:val="none"/>
              </w:rPr>
              <w:t>响应文件不予接收。</w:t>
            </w:r>
          </w:p>
          <w:p>
            <w:pPr>
              <w:rPr>
                <w:rFonts w:ascii="仿宋" w:hAnsi="仿宋" w:eastAsia="仿宋"/>
                <w:color w:val="auto"/>
                <w:highlight w:val="none"/>
              </w:rPr>
            </w:pPr>
            <w:r>
              <w:rPr>
                <w:rFonts w:hint="eastAsia" w:ascii="仿宋" w:hAnsi="仿宋" w:eastAsia="仿宋" w:cs="Cambria Math"/>
                <w:color w:val="auto"/>
                <w:szCs w:val="21"/>
                <w:highlight w:val="none"/>
              </w:rPr>
              <w:t>（2）外层包封具体样式如下：</w:t>
            </w:r>
          </w:p>
          <w:p>
            <w:pPr>
              <w:pStyle w:val="156"/>
              <w:spacing w:before="62" w:beforeLines="20" w:after="62" w:afterLines="20" w:line="360" w:lineRule="auto"/>
              <w:rPr>
                <w:rFonts w:hint="eastAsia" w:ascii="仿宋" w:hAnsi="仿宋" w:eastAsia="仿宋" w:cs="Cambria Math"/>
                <w:b/>
                <w:color w:val="auto"/>
                <w:highlight w:val="none"/>
              </w:rPr>
            </w:pPr>
            <w:r>
              <w:rPr>
                <w:rFonts w:hint="eastAsia" w:ascii="仿宋" w:hAnsi="仿宋" w:eastAsia="仿宋" w:cs="仿宋"/>
                <w:color w:val="auto"/>
                <w:highlight w:val="none"/>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lang w:val="en-US" w:eastAsia="zh-CN"/>
                                    </w:rPr>
                                    <w:t>2026</w:t>
                                  </w:r>
                                  <w:r>
                                    <w:rPr>
                                      <w:rFonts w:hint="eastAsia" w:ascii="仿宋" w:hAnsi="仿宋" w:eastAsia="仿宋" w:cs="仿宋"/>
                                      <w:szCs w:val="21"/>
                                    </w:rPr>
                                    <w:t>】年【</w:t>
                                  </w:r>
                                  <w:r>
                                    <w:rPr>
                                      <w:rFonts w:hint="eastAsia" w:ascii="仿宋" w:hAnsi="仿宋" w:eastAsia="仿宋" w:cs="仿宋"/>
                                      <w:szCs w:val="21"/>
                                      <w:u w:val="single"/>
                                      <w:lang w:val="en-US" w:eastAsia="zh-CN"/>
                                    </w:rPr>
                                    <w:t>7</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lang w:val="en-US" w:eastAsia="zh-CN"/>
                              </w:rPr>
                              <w:t>2026</w:t>
                            </w:r>
                            <w:r>
                              <w:rPr>
                                <w:rFonts w:hint="eastAsia" w:ascii="仿宋" w:hAnsi="仿宋" w:eastAsia="仿宋" w:cs="仿宋"/>
                                <w:szCs w:val="21"/>
                              </w:rPr>
                              <w:t>】年【</w:t>
                            </w:r>
                            <w:r>
                              <w:rPr>
                                <w:rFonts w:hint="eastAsia" w:ascii="仿宋" w:hAnsi="仿宋" w:eastAsia="仿宋" w:cs="仿宋"/>
                                <w:szCs w:val="21"/>
                                <w:u w:val="single"/>
                                <w:lang w:val="en-US" w:eastAsia="zh-CN"/>
                              </w:rPr>
                              <w:t>7</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pStyle w:val="156"/>
              <w:spacing w:before="62" w:beforeLines="20" w:after="62" w:afterLines="20"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响应文件的递交</w:t>
            </w:r>
          </w:p>
        </w:tc>
        <w:tc>
          <w:tcPr>
            <w:tcW w:w="3586"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eastAsia="zh-CN"/>
              </w:rPr>
              <w:t>比选</w:t>
            </w:r>
            <w:r>
              <w:rPr>
                <w:rFonts w:hint="eastAsia" w:ascii="仿宋" w:hAnsi="仿宋" w:eastAsia="仿宋" w:cs="仿宋"/>
                <w:color w:val="auto"/>
                <w:highlight w:val="none"/>
                <w:u w:val="single"/>
              </w:rPr>
              <w:t>公告“五、响应文件的递交”</w:t>
            </w:r>
            <w:r>
              <w:rPr>
                <w:rFonts w:hint="eastAsia" w:ascii="仿宋" w:hAnsi="仿宋" w:eastAsia="仿宋" w:cs="仿宋"/>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组建磋商小组</w:t>
            </w:r>
          </w:p>
        </w:tc>
        <w:tc>
          <w:tcPr>
            <w:tcW w:w="3586"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本项目磋商小组成员人数为</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u w:val="singl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磋商程序及方式</w:t>
            </w:r>
          </w:p>
        </w:tc>
        <w:tc>
          <w:tcPr>
            <w:tcW w:w="3586"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（1）磋商小组将与通过初步评审的有效供应商按照</w:t>
            </w:r>
            <w:r>
              <w:rPr>
                <w:rFonts w:hint="eastAsia" w:ascii="仿宋" w:hAnsi="仿宋" w:eastAsia="仿宋" w:cs="仿宋"/>
                <w:color w:val="auto"/>
                <w:highlight w:val="none"/>
                <w:u w:val="single"/>
              </w:rPr>
              <w:t>响应文件递交顺序</w:t>
            </w:r>
            <w:r>
              <w:rPr>
                <w:rFonts w:hint="eastAsia" w:ascii="仿宋" w:hAnsi="仿宋" w:eastAsia="仿宋" w:cs="仿宋"/>
                <w:color w:val="auto"/>
                <w:highlight w:val="none"/>
              </w:rPr>
              <w:t>逐一进行磋商，供应商至少应派法定代表人或其授权委托人准时参会。</w:t>
            </w:r>
          </w:p>
          <w:p>
            <w:pPr>
              <w:pStyle w:val="156"/>
              <w:spacing w:before="62" w:beforeLines="20" w:after="62" w:afterLines="20" w:line="360" w:lineRule="auto"/>
              <w:rPr>
                <w:rFonts w:ascii="仿宋" w:hAnsi="仿宋" w:eastAsia="仿宋" w:cs="仿宋"/>
                <w:color w:val="auto"/>
                <w:highlight w:val="none"/>
              </w:rPr>
            </w:pPr>
            <w:r>
              <w:rPr>
                <w:rFonts w:hint="eastAsia" w:ascii="仿宋" w:hAnsi="仿宋" w:eastAsia="仿宋" w:cs="仿宋"/>
                <w:color w:val="auto"/>
                <w:highlight w:val="none"/>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磋商内容</w:t>
            </w:r>
          </w:p>
        </w:tc>
        <w:tc>
          <w:tcPr>
            <w:tcW w:w="3586"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rPr>
              <w:t>包含但不仅限于</w:t>
            </w:r>
            <w:r>
              <w:rPr>
                <w:rFonts w:hint="eastAsia" w:ascii="仿宋" w:hAnsi="仿宋" w:eastAsia="仿宋" w:cs="仿宋"/>
                <w:color w:val="auto"/>
                <w:highlight w:val="none"/>
                <w:u w:val="single"/>
              </w:rPr>
              <w:t>报价、对采购需求的理解、</w:t>
            </w:r>
            <w:r>
              <w:rPr>
                <w:rFonts w:hint="eastAsia" w:ascii="仿宋" w:hAnsi="仿宋" w:eastAsia="仿宋" w:cs="仿宋"/>
                <w:color w:val="auto"/>
                <w:highlight w:val="none"/>
                <w:u w:val="single"/>
                <w:lang w:val="en-US" w:eastAsia="zh-CN"/>
              </w:rPr>
              <w:t>食材配送</w:t>
            </w:r>
            <w:r>
              <w:rPr>
                <w:rFonts w:hint="eastAsia" w:ascii="仿宋" w:hAnsi="仿宋" w:eastAsia="仿宋" w:cs="仿宋"/>
                <w:color w:val="auto"/>
                <w:highlight w:val="none"/>
                <w:u w:val="single"/>
              </w:rPr>
              <w:t>、实施方案、人员配置、服务承诺、商务条款</w:t>
            </w:r>
            <w:r>
              <w:rPr>
                <w:rFonts w:hint="eastAsia" w:ascii="仿宋" w:hAnsi="仿宋" w:eastAsia="仿宋" w:cs="仿宋"/>
                <w:color w:val="auto"/>
                <w:highlight w:val="none"/>
              </w:rPr>
              <w:t>等</w:t>
            </w:r>
            <w:r>
              <w:rPr>
                <w:rFonts w:hint="eastAsia" w:ascii="仿宋" w:hAnsi="仿宋" w:eastAsia="仿宋" w:cs="仿宋"/>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trHeight w:val="622" w:hRule="atLeas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highlight w:val="none"/>
              </w:rPr>
              <w:t>成交候选人推荐原则</w:t>
            </w:r>
          </w:p>
        </w:tc>
        <w:tc>
          <w:tcPr>
            <w:tcW w:w="3586" w:type="pct"/>
            <w:noWrap w:val="0"/>
            <w:vAlign w:val="center"/>
          </w:tcPr>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磋商小组根据有效供应商</w:t>
            </w:r>
            <w:r>
              <w:rPr>
                <w:rFonts w:hint="eastAsia" w:ascii="仿宋" w:hAnsi="仿宋" w:eastAsia="仿宋" w:cs="宋体"/>
                <w:color w:val="auto"/>
                <w:highlight w:val="none"/>
              </w:rPr>
              <w:t>综合得分由高至低排出的名次，顺序推荐</w:t>
            </w:r>
            <w:r>
              <w:rPr>
                <w:rFonts w:hint="eastAsia" w:ascii="仿宋" w:hAnsi="仿宋" w:eastAsia="仿宋" w:cs="宋体"/>
                <w:color w:val="auto"/>
                <w:highlight w:val="none"/>
                <w:u w:val="single"/>
              </w:rPr>
              <w:t>综合得分前</w:t>
            </w:r>
            <w:r>
              <w:rPr>
                <w:rFonts w:hint="eastAsia" w:ascii="仿宋" w:hAnsi="仿宋" w:eastAsia="仿宋" w:cs="宋体"/>
                <w:color w:val="auto"/>
                <w:highlight w:val="none"/>
                <w:u w:val="single"/>
                <w:lang w:val="en-US" w:eastAsia="zh-CN"/>
              </w:rPr>
              <w:t>2</w:t>
            </w:r>
            <w:r>
              <w:rPr>
                <w:rFonts w:hint="eastAsia" w:ascii="仿宋" w:hAnsi="仿宋" w:eastAsia="仿宋" w:cs="宋体"/>
                <w:color w:val="auto"/>
                <w:highlight w:val="none"/>
                <w:u w:val="single"/>
              </w:rPr>
              <w:t>名</w:t>
            </w:r>
            <w:r>
              <w:rPr>
                <w:rFonts w:hint="eastAsia" w:ascii="仿宋" w:hAnsi="仿宋" w:eastAsia="仿宋" w:cs="宋体"/>
                <w:color w:val="auto"/>
                <w:highlight w:val="none"/>
              </w:rPr>
              <w:t>为成交候选人。</w:t>
            </w:r>
            <w:r>
              <w:rPr>
                <w:rFonts w:hint="eastAsia" w:ascii="仿宋" w:hAnsi="仿宋" w:eastAsia="仿宋" w:cs="仿宋"/>
                <w:color w:val="auto"/>
                <w:highlight w:val="none"/>
              </w:rPr>
              <w:t>综合得分相同时，价格得分高者排名优先；价格得分也相同时，</w:t>
            </w:r>
            <w:r>
              <w:rPr>
                <w:rFonts w:hint="eastAsia" w:ascii="仿宋" w:hAnsi="仿宋" w:eastAsia="仿宋" w:cs="仿宋"/>
                <w:color w:val="auto"/>
                <w:highlight w:val="none"/>
                <w:u w:val="single"/>
                <w:lang w:val="en-US" w:eastAsia="zh-CN"/>
              </w:rPr>
              <w:t>服务</w:t>
            </w:r>
            <w:r>
              <w:rPr>
                <w:rFonts w:hint="eastAsia" w:ascii="仿宋" w:hAnsi="仿宋" w:eastAsia="仿宋" w:cs="仿宋"/>
                <w:color w:val="auto"/>
                <w:highlight w:val="none"/>
              </w:rPr>
              <w:t>得分高者排名优先。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hint="eastAsia" w:ascii="仿宋" w:hAnsi="仿宋" w:eastAsia="仿宋" w:cs="仿宋"/>
                <w:color w:val="auto"/>
                <w:szCs w:val="21"/>
                <w:highlight w:val="none"/>
              </w:rPr>
            </w:pPr>
          </w:p>
        </w:tc>
        <w:tc>
          <w:tcPr>
            <w:tcW w:w="927" w:type="pct"/>
            <w:noWrap w:val="0"/>
            <w:vAlign w:val="center"/>
          </w:tcPr>
          <w:p>
            <w:pPr>
              <w:pStyle w:val="156"/>
              <w:spacing w:before="62" w:beforeLines="20" w:after="62" w:afterLines="20"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成交人数量</w:t>
            </w:r>
          </w:p>
        </w:tc>
        <w:tc>
          <w:tcPr>
            <w:tcW w:w="3586" w:type="pct"/>
            <w:noWrap w:val="0"/>
            <w:vAlign w:val="center"/>
          </w:tcPr>
          <w:p>
            <w:pPr>
              <w:pStyle w:val="156"/>
              <w:spacing w:before="62" w:beforeLines="20" w:after="62" w:afterLines="20"/>
              <w:rPr>
                <w:rFonts w:ascii="仿宋" w:hAnsi="仿宋" w:eastAsia="仿宋" w:cs="仿宋"/>
                <w:color w:val="auto"/>
                <w:highlight w:val="none"/>
                <w:u w:val="single"/>
              </w:rPr>
            </w:pPr>
            <w:r>
              <w:rPr>
                <w:rFonts w:hint="eastAsia" w:ascii="仿宋" w:hAnsi="仿宋" w:eastAsia="仿宋" w:cs="仿宋"/>
                <w:color w:val="auto"/>
                <w:highlight w:val="none"/>
              </w:rPr>
              <w:t>成交人数量：</w:t>
            </w:r>
            <w:r>
              <w:rPr>
                <w:rFonts w:hint="eastAsia" w:ascii="仿宋" w:hAnsi="仿宋" w:eastAsia="仿宋" w:cs="仿宋"/>
                <w:color w:val="auto"/>
                <w:highlight w:val="none"/>
                <w:u w:val="single"/>
                <w:lang w:val="en-US" w:eastAsia="zh-CN"/>
              </w:rPr>
              <w:t>2</w:t>
            </w:r>
            <w:r>
              <w:rPr>
                <w:rFonts w:hint="eastAsia" w:ascii="仿宋" w:hAnsi="仿宋" w:eastAsia="仿宋" w:cs="仿宋"/>
                <w:color w:val="auto"/>
                <w:highlight w:val="none"/>
                <w:u w:val="single"/>
              </w:rPr>
              <w:t>家</w:t>
            </w:r>
          </w:p>
          <w:p>
            <w:pPr>
              <w:pStyle w:val="156"/>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highlight w:val="none"/>
                <w:u w:val="single"/>
              </w:rPr>
              <w:t>综合排名前</w:t>
            </w:r>
            <w:r>
              <w:rPr>
                <w:rFonts w:hint="eastAsia" w:ascii="仿宋" w:hAnsi="仿宋" w:eastAsia="仿宋" w:cs="宋体"/>
                <w:color w:val="auto"/>
                <w:highlight w:val="none"/>
                <w:u w:val="single"/>
                <w:lang w:val="en-US" w:eastAsia="zh-CN"/>
              </w:rPr>
              <w:t>2</w:t>
            </w:r>
            <w:r>
              <w:rPr>
                <w:rFonts w:hint="eastAsia" w:ascii="仿宋" w:hAnsi="仿宋" w:eastAsia="仿宋" w:cs="宋体"/>
                <w:color w:val="auto"/>
                <w:highlight w:val="none"/>
                <w:u w:val="single"/>
              </w:rPr>
              <w:t>位中的某一个</w:t>
            </w:r>
            <w:r>
              <w:rPr>
                <w:rFonts w:hint="eastAsia" w:ascii="仿宋" w:hAnsi="仿宋" w:eastAsia="仿宋" w:cs="仿宋"/>
                <w:color w:val="auto"/>
                <w:highlight w:val="none"/>
              </w:rPr>
              <w:t>成交候选人放弃成交、因不可抗力不能履行合同、</w:t>
            </w:r>
            <w:r>
              <w:rPr>
                <w:rFonts w:hint="eastAsia" w:ascii="仿宋" w:hAnsi="仿宋" w:eastAsia="仿宋" w:cs="宋体"/>
                <w:color w:val="auto"/>
                <w:highlight w:val="none"/>
              </w:rPr>
              <w:t>不按照磋商文件要求</w:t>
            </w:r>
            <w:r>
              <w:rPr>
                <w:rFonts w:hint="eastAsia" w:ascii="仿宋" w:hAnsi="仿宋" w:eastAsia="仿宋" w:cs="仿宋"/>
                <w:color w:val="auto"/>
                <w:highlight w:val="none"/>
              </w:rPr>
              <w:t>、存在重大经营或法律风险、被查实存在影响采购结果的违法行为等情形，采购人按照磋商小组提出的成交候选人名单排序依次确定其他成交候选人为成交人</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经公开征集，最终报名或响应的供应商少于或等于2家时，可由比选变更采购方式为单一采购。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gridAfter w:val="1"/>
          <w:wAfter w:w="2" w:type="pct"/>
          <w:jc w:val="center"/>
        </w:trPr>
        <w:tc>
          <w:tcPr>
            <w:tcW w:w="483" w:type="pct"/>
            <w:noWrap w:val="0"/>
            <w:vAlign w:val="center"/>
          </w:tcPr>
          <w:p>
            <w:pPr>
              <w:adjustRightInd w:val="0"/>
              <w:snapToGrid w:val="0"/>
              <w:spacing w:line="360" w:lineRule="auto"/>
              <w:jc w:val="center"/>
              <w:rPr>
                <w:rFonts w:ascii="仿宋" w:hAnsi="仿宋" w:eastAsia="仿宋" w:cs="仿宋"/>
                <w:color w:val="auto"/>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履约保证金</w:t>
            </w:r>
          </w:p>
        </w:tc>
        <w:tc>
          <w:tcPr>
            <w:tcW w:w="3586" w:type="pct"/>
            <w:noWrap w:val="0"/>
            <w:vAlign w:val="center"/>
          </w:tcPr>
          <w:p>
            <w:pPr>
              <w:pStyle w:val="156"/>
              <w:spacing w:before="62" w:beforeLines="20" w:after="62" w:afterLines="20" w:line="360" w:lineRule="auto"/>
              <w:rPr>
                <w:rFonts w:ascii="仿宋" w:hAnsi="仿宋" w:eastAsia="仿宋" w:cs="宋体"/>
                <w:color w:val="auto"/>
                <w:highlight w:val="none"/>
              </w:rPr>
            </w:pPr>
            <w:r>
              <w:rPr>
                <w:rFonts w:hint="eastAsia" w:ascii="仿宋" w:hAnsi="仿宋" w:eastAsia="仿宋" w:cs="宋体"/>
                <w:color w:val="auto"/>
                <w:highlight w:val="none"/>
              </w:rPr>
              <w:t>□收取，形式及比例：</w:t>
            </w:r>
          </w:p>
          <w:p>
            <w:pPr>
              <w:autoSpaceDE w:val="0"/>
              <w:autoSpaceDN w:val="0"/>
              <w:spacing w:line="360" w:lineRule="auto"/>
              <w:rPr>
                <w:rFonts w:hint="eastAsia" w:ascii="仿宋" w:hAnsi="仿宋" w:eastAsia="仿宋" w:cs="仿宋"/>
                <w:color w:val="auto"/>
                <w:szCs w:val="21"/>
                <w:highlight w:val="none"/>
              </w:rPr>
            </w:pPr>
            <w:r>
              <w:rPr>
                <w:rFonts w:hint="eastAsia" w:ascii="仿宋" w:hAnsi="仿宋" w:eastAsia="仿宋" w:cs="宋体"/>
                <w:color w:val="auto"/>
                <w:szCs w:val="21"/>
                <w:highlight w:val="none"/>
                <w:lang w:eastAsia="zh-CN"/>
              </w:rPr>
              <w:t>☑</w:t>
            </w:r>
            <w:r>
              <w:rPr>
                <w:rFonts w:hint="eastAsia" w:ascii="仿宋" w:hAnsi="仿宋" w:eastAsia="仿宋" w:cs="宋体"/>
                <w:color w:val="auto"/>
                <w:szCs w:val="21"/>
                <w:highlight w:val="none"/>
              </w:rPr>
              <w:t>不收取</w:t>
            </w:r>
          </w:p>
        </w:tc>
      </w:tr>
    </w:tbl>
    <w:p>
      <w:pPr>
        <w:pStyle w:val="4"/>
        <w:ind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33" w:name="_Toc444891336"/>
      <w:bookmarkStart w:id="34" w:name="_Toc6047"/>
      <w:bookmarkStart w:id="35" w:name="_Toc517281816"/>
      <w:bookmarkStart w:id="36" w:name="_Toc287600118"/>
      <w:bookmarkStart w:id="37" w:name="_Toc11071"/>
      <w:bookmarkStart w:id="38" w:name="_Toc27232"/>
      <w:bookmarkStart w:id="39" w:name="_Toc20514"/>
      <w:bookmarkStart w:id="40" w:name="_Toc19783313"/>
      <w:bookmarkStart w:id="41" w:name="_Toc27220"/>
      <w:r>
        <w:rPr>
          <w:rFonts w:hint="eastAsia" w:ascii="仿宋" w:hAnsi="仿宋" w:eastAsia="仿宋" w:cs="仿宋"/>
          <w:color w:val="auto"/>
          <w:sz w:val="24"/>
          <w:szCs w:val="24"/>
          <w:highlight w:val="none"/>
        </w:rPr>
        <w:t>二、供应商须知</w:t>
      </w:r>
      <w:bookmarkEnd w:id="33"/>
      <w:bookmarkEnd w:id="34"/>
      <w:bookmarkEnd w:id="35"/>
      <w:bookmarkEnd w:id="36"/>
      <w:bookmarkEnd w:id="37"/>
      <w:bookmarkEnd w:id="38"/>
      <w:bookmarkEnd w:id="39"/>
      <w:bookmarkEnd w:id="40"/>
      <w:r>
        <w:rPr>
          <w:rFonts w:hint="eastAsia" w:ascii="仿宋" w:hAnsi="仿宋" w:eastAsia="仿宋" w:cs="仿宋"/>
          <w:color w:val="auto"/>
          <w:sz w:val="24"/>
          <w:szCs w:val="24"/>
          <w:highlight w:val="none"/>
        </w:rPr>
        <w:t>正文</w:t>
      </w:r>
      <w:bookmarkEnd w:id="41"/>
    </w:p>
    <w:p>
      <w:pPr>
        <w:pStyle w:val="5"/>
        <w:spacing w:before="0" w:after="0" w:line="360" w:lineRule="auto"/>
        <w:ind w:firstLine="482"/>
        <w:rPr>
          <w:rFonts w:hint="eastAsia" w:ascii="仿宋" w:hAnsi="仿宋" w:eastAsia="仿宋" w:cs="仿宋"/>
          <w:color w:val="auto"/>
          <w:sz w:val="24"/>
          <w:szCs w:val="24"/>
          <w:highlight w:val="none"/>
        </w:rPr>
      </w:pPr>
      <w:bookmarkStart w:id="42" w:name="_Toc6681"/>
      <w:bookmarkStart w:id="43" w:name="_Toc19783314"/>
      <w:bookmarkStart w:id="44" w:name="_Toc16441"/>
      <w:bookmarkStart w:id="45" w:name="_Toc11851"/>
      <w:bookmarkStart w:id="46" w:name="_Toc431"/>
      <w:bookmarkStart w:id="47" w:name="_Toc517281817"/>
      <w:bookmarkStart w:id="48" w:name="_Toc3678"/>
      <w:bookmarkStart w:id="49" w:name="_Toc22969"/>
      <w:bookmarkStart w:id="50" w:name="_Toc444891337"/>
      <w:bookmarkStart w:id="51" w:name="_Toc287600119"/>
      <w:r>
        <w:rPr>
          <w:rFonts w:hint="eastAsia" w:ascii="仿宋" w:hAnsi="仿宋" w:eastAsia="仿宋" w:cs="仿宋"/>
          <w:color w:val="auto"/>
          <w:sz w:val="24"/>
          <w:szCs w:val="24"/>
          <w:highlight w:val="none"/>
        </w:rPr>
        <w:t>（一）总 则</w:t>
      </w:r>
      <w:bookmarkEnd w:id="42"/>
      <w:bookmarkEnd w:id="43"/>
      <w:bookmarkEnd w:id="44"/>
      <w:bookmarkEnd w:id="45"/>
      <w:bookmarkEnd w:id="46"/>
      <w:bookmarkEnd w:id="47"/>
      <w:bookmarkEnd w:id="48"/>
      <w:bookmarkEnd w:id="49"/>
      <w:bookmarkEnd w:id="50"/>
      <w:bookmarkEnd w:id="51"/>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1.项目说明</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本项目按照中华人民共和国有关法律、行政法规和部门规章以及采购人的采购管理制度，通过</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方式确定签约供应商。</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2.采购范围</w:t>
      </w:r>
    </w:p>
    <w:p>
      <w:pPr>
        <w:tabs>
          <w:tab w:val="left" w:pos="3150"/>
          <w:tab w:val="left" w:pos="3780"/>
        </w:tabs>
        <w:spacing w:line="360" w:lineRule="auto"/>
        <w:jc w:val="left"/>
        <w:rPr>
          <w:rFonts w:hint="eastAsia" w:ascii="仿宋" w:hAnsi="仿宋" w:eastAsia="仿宋" w:cs="仿宋"/>
          <w:bCs/>
          <w:color w:val="auto"/>
          <w:sz w:val="24"/>
          <w:highlight w:val="none"/>
        </w:rPr>
      </w:pPr>
      <w:r>
        <w:rPr>
          <w:rFonts w:hint="eastAsia" w:ascii="仿宋" w:hAnsi="仿宋" w:eastAsia="仿宋" w:cs="仿宋"/>
          <w:color w:val="auto"/>
          <w:sz w:val="24"/>
          <w:highlight w:val="none"/>
          <w:u w:val="single"/>
        </w:rPr>
        <w:t>详见本须知前附表</w:t>
      </w:r>
      <w:r>
        <w:rPr>
          <w:rFonts w:hint="eastAsia" w:ascii="仿宋" w:hAnsi="仿宋" w:eastAsia="仿宋" w:cs="仿宋"/>
          <w:color w:val="auto"/>
          <w:sz w:val="24"/>
          <w:highlight w:val="none"/>
        </w:rPr>
        <w:t>，</w:t>
      </w:r>
      <w:r>
        <w:rPr>
          <w:rFonts w:hint="eastAsia" w:ascii="仿宋" w:hAnsi="仿宋" w:eastAsia="仿宋" w:cs="仿宋"/>
          <w:bCs/>
          <w:color w:val="auto"/>
          <w:sz w:val="24"/>
          <w:highlight w:val="none"/>
        </w:rPr>
        <w:t>详细内容详见第五章采购需求。</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3.资金来源</w:t>
      </w:r>
    </w:p>
    <w:p>
      <w:pPr>
        <w:tabs>
          <w:tab w:val="left" w:pos="3150"/>
          <w:tab w:val="left" w:pos="378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资金来源于</w:t>
      </w:r>
      <w:r>
        <w:rPr>
          <w:rFonts w:hint="eastAsia" w:ascii="仿宋" w:hAnsi="仿宋" w:eastAsia="仿宋" w:cs="仿宋"/>
          <w:color w:val="auto"/>
          <w:sz w:val="24"/>
          <w:highlight w:val="none"/>
          <w:lang w:val="en-US" w:eastAsia="zh-CN"/>
        </w:rPr>
        <w:t>中国人民财产保险股份有限公司昭苏支公司自付</w:t>
      </w:r>
      <w:r>
        <w:rPr>
          <w:rFonts w:hint="eastAsia" w:ascii="仿宋" w:hAnsi="仿宋" w:eastAsia="仿宋" w:cs="仿宋"/>
          <w:color w:val="auto"/>
          <w:sz w:val="24"/>
          <w:highlight w:val="none"/>
        </w:rPr>
        <w:t>（比例100%），且资金已落实。</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4.资格审查</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4.1</w:t>
      </w:r>
      <w:r>
        <w:rPr>
          <w:rFonts w:hint="eastAsia" w:ascii="仿宋" w:hAnsi="仿宋" w:eastAsia="仿宋" w:cs="宋体"/>
          <w:color w:val="auto"/>
          <w:kern w:val="0"/>
          <w:sz w:val="24"/>
          <w:highlight w:val="none"/>
        </w:rPr>
        <w:t>资格预审：是指在递交响应文件前对潜在供应商进行的资格审查。采用资格预审方式的，资格条件已经在磋商文件发出前的资格预审文件中作出规定。</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4</w:t>
      </w:r>
      <w:r>
        <w:rPr>
          <w:rFonts w:hint="eastAsia" w:ascii="仿宋" w:hAnsi="仿宋" w:eastAsia="仿宋" w:cs="宋体"/>
          <w:color w:val="auto"/>
          <w:kern w:val="0"/>
          <w:sz w:val="24"/>
          <w:highlight w:val="none"/>
        </w:rPr>
        <w:t>.2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kern w:val="0"/>
          <w:sz w:val="24"/>
          <w:highlight w:val="none"/>
          <w:u w:val="single"/>
        </w:rPr>
        <w:t>详见本须知前附表。</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5.磋商响应费用</w:t>
      </w:r>
    </w:p>
    <w:p>
      <w:pPr>
        <w:spacing w:line="360" w:lineRule="auto"/>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不论结果如何，</w:t>
      </w:r>
      <w:r>
        <w:rPr>
          <w:rFonts w:hint="eastAsia" w:ascii="仿宋" w:hAnsi="仿宋" w:eastAsia="仿宋" w:cs="仿宋"/>
          <w:color w:val="auto"/>
          <w:sz w:val="24"/>
          <w:highlight w:val="none"/>
        </w:rPr>
        <w:t>供应商</w:t>
      </w:r>
      <w:r>
        <w:rPr>
          <w:rFonts w:hint="eastAsia" w:ascii="仿宋" w:hAnsi="仿宋" w:eastAsia="仿宋" w:cs="宋体"/>
          <w:color w:val="auto"/>
          <w:sz w:val="24"/>
          <w:highlight w:val="none"/>
        </w:rPr>
        <w:t>自行承担所有准备和参与本次磋商响应的有关费用。</w:t>
      </w:r>
    </w:p>
    <w:p>
      <w:pPr>
        <w:pStyle w:val="5"/>
        <w:spacing w:after="0" w:line="360" w:lineRule="auto"/>
        <w:ind w:firstLine="482"/>
        <w:rPr>
          <w:rFonts w:hint="eastAsia" w:ascii="仿宋" w:hAnsi="仿宋" w:eastAsia="仿宋" w:cs="仿宋"/>
          <w:color w:val="auto"/>
          <w:sz w:val="24"/>
          <w:szCs w:val="24"/>
          <w:highlight w:val="none"/>
        </w:rPr>
      </w:pPr>
      <w:bookmarkStart w:id="52" w:name="_Toc517281818"/>
      <w:bookmarkStart w:id="53" w:name="_Toc5255"/>
      <w:bookmarkStart w:id="54" w:name="_Toc25513"/>
      <w:bookmarkStart w:id="55" w:name="_Toc10975"/>
      <w:bookmarkStart w:id="56" w:name="_Toc287600120"/>
      <w:bookmarkStart w:id="57" w:name="_Toc19783315"/>
      <w:bookmarkStart w:id="58" w:name="_Toc14164"/>
      <w:bookmarkStart w:id="59" w:name="_Toc444891338"/>
      <w:bookmarkStart w:id="60" w:name="_Toc24246"/>
      <w:bookmarkStart w:id="61" w:name="_Toc3016"/>
      <w:r>
        <w:rPr>
          <w:rFonts w:hint="eastAsia" w:ascii="仿宋" w:hAnsi="仿宋" w:eastAsia="仿宋" w:cs="仿宋"/>
          <w:color w:val="auto"/>
          <w:sz w:val="24"/>
          <w:szCs w:val="24"/>
          <w:highlight w:val="none"/>
        </w:rPr>
        <w:t>（二）磋商文件</w:t>
      </w:r>
      <w:bookmarkEnd w:id="52"/>
      <w:bookmarkEnd w:id="53"/>
      <w:bookmarkEnd w:id="54"/>
      <w:bookmarkEnd w:id="55"/>
      <w:bookmarkEnd w:id="56"/>
      <w:bookmarkEnd w:id="57"/>
      <w:bookmarkEnd w:id="58"/>
      <w:bookmarkEnd w:id="59"/>
      <w:bookmarkEnd w:id="60"/>
      <w:bookmarkEnd w:id="61"/>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6.磋商文件的组成</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6.1磋商文件包括下列内容：</w:t>
      </w:r>
    </w:p>
    <w:p>
      <w:pPr>
        <w:pStyle w:val="23"/>
        <w:widowControl/>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第一章 </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公告</w:t>
      </w:r>
    </w:p>
    <w:p>
      <w:pPr>
        <w:pStyle w:val="23"/>
        <w:widowControl/>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第二章 供应商须知</w:t>
      </w:r>
    </w:p>
    <w:p>
      <w:pPr>
        <w:pStyle w:val="23"/>
        <w:widowControl/>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第三章 评审办法</w:t>
      </w:r>
    </w:p>
    <w:p>
      <w:pPr>
        <w:pStyle w:val="23"/>
        <w:widowControl/>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第四章 合同格式</w:t>
      </w:r>
    </w:p>
    <w:p>
      <w:pPr>
        <w:tabs>
          <w:tab w:val="left" w:pos="540"/>
          <w:tab w:val="left" w:pos="72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第五章 采购需求</w:t>
      </w:r>
    </w:p>
    <w:p>
      <w:pPr>
        <w:tabs>
          <w:tab w:val="left" w:pos="540"/>
          <w:tab w:val="left" w:pos="720"/>
        </w:tabs>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第六章 响应文件格式</w:t>
      </w:r>
    </w:p>
    <w:p>
      <w:pPr>
        <w:widowControl/>
        <w:topLinePunct/>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w:t>
      </w:r>
      <w:r>
        <w:rPr>
          <w:rFonts w:ascii="仿宋" w:hAnsi="仿宋" w:eastAsia="仿宋" w:cs="仿宋"/>
          <w:color w:val="auto"/>
          <w:kern w:val="0"/>
          <w:sz w:val="24"/>
          <w:highlight w:val="none"/>
        </w:rPr>
        <w:t>2</w:t>
      </w:r>
      <w:r>
        <w:rPr>
          <w:rFonts w:hint="eastAsia" w:ascii="仿宋" w:hAnsi="仿宋" w:eastAsia="仿宋" w:cs="仿宋"/>
          <w:color w:val="auto"/>
          <w:kern w:val="0"/>
          <w:sz w:val="24"/>
          <w:highlight w:val="none"/>
        </w:rPr>
        <w:t>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auto"/>
          <w:kern w:val="0"/>
          <w:sz w:val="24"/>
          <w:highlight w:val="none"/>
          <w:u w:val="single"/>
        </w:rPr>
        <w:t>见本须知前附表</w:t>
      </w:r>
      <w:r>
        <w:rPr>
          <w:rFonts w:hint="eastAsia" w:ascii="仿宋" w:hAnsi="仿宋" w:eastAsia="仿宋" w:cs="仿宋"/>
          <w:color w:val="auto"/>
          <w:kern w:val="0"/>
          <w:sz w:val="24"/>
          <w:highlight w:val="none"/>
        </w:rPr>
        <w:t>。</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7.磋商文件的修改</w:t>
      </w:r>
    </w:p>
    <w:p>
      <w:pPr>
        <w:widowControl/>
        <w:topLinePunct/>
        <w:spacing w:line="360" w:lineRule="auto"/>
        <w:rPr>
          <w:rFonts w:ascii="仿宋" w:hAnsi="仿宋" w:eastAsia="仿宋" w:cs="宋体"/>
          <w:color w:val="auto"/>
          <w:kern w:val="0"/>
          <w:sz w:val="24"/>
          <w:highlight w:val="none"/>
        </w:rPr>
      </w:pPr>
      <w:r>
        <w:rPr>
          <w:rFonts w:hint="eastAsia" w:ascii="仿宋" w:hAnsi="仿宋" w:eastAsia="仿宋" w:cs="仿宋"/>
          <w:color w:val="auto"/>
          <w:sz w:val="24"/>
          <w:highlight w:val="none"/>
        </w:rPr>
        <w:t>7.1潜在</w:t>
      </w:r>
      <w:r>
        <w:rPr>
          <w:rFonts w:hint="eastAsia" w:ascii="仿宋" w:hAnsi="仿宋" w:eastAsia="仿宋" w:cs="宋体"/>
          <w:color w:val="auto"/>
          <w:kern w:val="0"/>
          <w:sz w:val="24"/>
          <w:highlight w:val="none"/>
        </w:rPr>
        <w:t>供应商对</w:t>
      </w:r>
      <w:r>
        <w:rPr>
          <w:rFonts w:hint="eastAsia" w:ascii="仿宋" w:hAnsi="仿宋" w:eastAsia="仿宋" w:cs="仿宋"/>
          <w:color w:val="auto"/>
          <w:sz w:val="24"/>
          <w:highlight w:val="none"/>
        </w:rPr>
        <w:t>磋商文件</w:t>
      </w:r>
      <w:r>
        <w:rPr>
          <w:rFonts w:hint="eastAsia" w:ascii="仿宋" w:hAnsi="仿宋" w:eastAsia="仿宋" w:cs="宋体"/>
          <w:color w:val="auto"/>
          <w:kern w:val="0"/>
          <w:sz w:val="24"/>
          <w:highlight w:val="none"/>
        </w:rPr>
        <w:t>有疑问的，应当按照</w:t>
      </w:r>
      <w:r>
        <w:rPr>
          <w:rFonts w:hint="eastAsia" w:ascii="仿宋" w:hAnsi="仿宋" w:eastAsia="仿宋" w:cs="宋体"/>
          <w:color w:val="auto"/>
          <w:kern w:val="0"/>
          <w:sz w:val="24"/>
          <w:highlight w:val="none"/>
          <w:u w:val="single"/>
        </w:rPr>
        <w:t>本须知前附表</w:t>
      </w:r>
      <w:r>
        <w:rPr>
          <w:rFonts w:hint="eastAsia" w:ascii="仿宋" w:hAnsi="仿宋" w:eastAsia="仿宋" w:cs="宋体"/>
          <w:color w:val="auto"/>
          <w:kern w:val="0"/>
          <w:sz w:val="24"/>
          <w:highlight w:val="none"/>
        </w:rPr>
        <w:t>规定的时间和方式，要求采购人对</w:t>
      </w:r>
      <w:r>
        <w:rPr>
          <w:rFonts w:hint="eastAsia" w:ascii="仿宋" w:hAnsi="仿宋" w:eastAsia="仿宋" w:cs="仿宋"/>
          <w:color w:val="auto"/>
          <w:sz w:val="24"/>
          <w:highlight w:val="none"/>
        </w:rPr>
        <w:t>磋商文件</w:t>
      </w:r>
      <w:r>
        <w:rPr>
          <w:rFonts w:hint="eastAsia" w:ascii="仿宋" w:hAnsi="仿宋" w:eastAsia="仿宋" w:cs="宋体"/>
          <w:color w:val="auto"/>
          <w:kern w:val="0"/>
          <w:sz w:val="24"/>
          <w:highlight w:val="none"/>
        </w:rPr>
        <w:t>进行澄清。</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7.2</w:t>
      </w:r>
      <w:r>
        <w:rPr>
          <w:rFonts w:hint="eastAsia" w:ascii="仿宋" w:hAnsi="仿宋" w:eastAsia="仿宋" w:cs="仿宋"/>
          <w:color w:val="auto"/>
          <w:sz w:val="24"/>
          <w:highlight w:val="none"/>
        </w:rPr>
        <w:t>采购人在响应文件递交截止时间前，可以书面形式发出的对磋商文件的澄清或修改内容，</w:t>
      </w:r>
      <w:r>
        <w:rPr>
          <w:rFonts w:hint="eastAsia" w:ascii="仿宋" w:hAnsi="仿宋" w:eastAsia="仿宋" w:cs="宋体"/>
          <w:color w:val="auto"/>
          <w:kern w:val="0"/>
          <w:sz w:val="24"/>
          <w:highlight w:val="none"/>
        </w:rPr>
        <w:t>如澄清或修改的内容可能影响响应文件编制的，原则上应当在响应文件递交截止之日3个工作日前，以书面形式通知所有获取</w:t>
      </w:r>
      <w:r>
        <w:rPr>
          <w:rFonts w:hint="eastAsia" w:ascii="仿宋" w:hAnsi="仿宋" w:eastAsia="仿宋" w:cs="仿宋"/>
          <w:color w:val="auto"/>
          <w:sz w:val="24"/>
          <w:highlight w:val="none"/>
        </w:rPr>
        <w:t>磋商文件</w:t>
      </w:r>
      <w:r>
        <w:rPr>
          <w:rFonts w:hint="eastAsia" w:ascii="仿宋" w:hAnsi="仿宋" w:eastAsia="仿宋" w:cs="宋体"/>
          <w:color w:val="auto"/>
          <w:kern w:val="0"/>
          <w:sz w:val="24"/>
          <w:highlight w:val="none"/>
        </w:rPr>
        <w:t>的潜在供应商，不足3个工作日的，原则上应顺延响应文件递交截止时间。</w:t>
      </w:r>
    </w:p>
    <w:p>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7.</w:t>
      </w:r>
      <w:r>
        <w:rPr>
          <w:rFonts w:ascii="仿宋" w:hAnsi="仿宋" w:eastAsia="仿宋" w:cs="宋体"/>
          <w:color w:val="auto"/>
          <w:kern w:val="0"/>
          <w:sz w:val="24"/>
          <w:highlight w:val="none"/>
        </w:rPr>
        <w:t>3</w:t>
      </w:r>
      <w:r>
        <w:rPr>
          <w:rFonts w:hint="eastAsia" w:ascii="仿宋" w:hAnsi="仿宋" w:eastAsia="仿宋" w:cs="宋体"/>
          <w:color w:val="auto"/>
          <w:kern w:val="0"/>
          <w:sz w:val="24"/>
          <w:highlight w:val="none"/>
        </w:rPr>
        <w:t xml:space="preserve">  供应商收到澄清或修改后，应当按照供应商须知前附表规定的时间和方式通知采购人，确认已收到该澄清或修改。</w:t>
      </w:r>
    </w:p>
    <w:p>
      <w:pPr>
        <w:spacing w:line="360" w:lineRule="auto"/>
        <w:jc w:val="left"/>
        <w:rPr>
          <w:rFonts w:ascii="仿宋" w:hAnsi="仿宋" w:eastAsia="仿宋" w:cs="仿宋"/>
          <w:color w:val="auto"/>
          <w:sz w:val="24"/>
          <w:highlight w:val="none"/>
        </w:rPr>
      </w:pPr>
      <w:r>
        <w:rPr>
          <w:rFonts w:hint="eastAsia" w:ascii="仿宋" w:hAnsi="仿宋" w:eastAsia="仿宋" w:cs="宋体"/>
          <w:color w:val="auto"/>
          <w:kern w:val="0"/>
          <w:sz w:val="24"/>
          <w:highlight w:val="none"/>
        </w:rPr>
        <w:t>7</w:t>
      </w:r>
      <w:r>
        <w:rPr>
          <w:rFonts w:ascii="仿宋" w:hAnsi="仿宋" w:eastAsia="仿宋" w:cs="宋体"/>
          <w:color w:val="auto"/>
          <w:kern w:val="0"/>
          <w:sz w:val="24"/>
          <w:highlight w:val="none"/>
        </w:rPr>
        <w:t>.</w:t>
      </w:r>
      <w:r>
        <w:rPr>
          <w:rFonts w:hint="eastAsia" w:ascii="仿宋" w:hAnsi="仿宋" w:eastAsia="仿宋" w:cs="宋体"/>
          <w:color w:val="auto"/>
          <w:kern w:val="0"/>
          <w:sz w:val="24"/>
          <w:highlight w:val="none"/>
        </w:rPr>
        <w:t>4</w:t>
      </w:r>
      <w:r>
        <w:rPr>
          <w:rFonts w:hint="eastAsia" w:ascii="仿宋" w:hAnsi="仿宋" w:eastAsia="仿宋" w:cs="仿宋"/>
          <w:color w:val="auto"/>
          <w:sz w:val="24"/>
          <w:highlight w:val="none"/>
        </w:rPr>
        <w:t xml:space="preserve"> </w:t>
      </w:r>
      <w:r>
        <w:rPr>
          <w:rFonts w:hint="eastAsia" w:ascii="仿宋" w:hAnsi="仿宋" w:eastAsia="仿宋" w:cs="宋体"/>
          <w:color w:val="auto"/>
          <w:kern w:val="0"/>
          <w:sz w:val="24"/>
          <w:highlight w:val="none"/>
        </w:rPr>
        <w:t>所有关于</w:t>
      </w:r>
      <w:r>
        <w:rPr>
          <w:rFonts w:hint="eastAsia" w:ascii="仿宋" w:hAnsi="仿宋" w:eastAsia="仿宋" w:cs="仿宋"/>
          <w:color w:val="auto"/>
          <w:sz w:val="24"/>
          <w:highlight w:val="none"/>
        </w:rPr>
        <w:t>磋商文件</w:t>
      </w:r>
      <w:r>
        <w:rPr>
          <w:rFonts w:hint="eastAsia" w:ascii="仿宋" w:hAnsi="仿宋" w:eastAsia="仿宋" w:cs="宋体"/>
          <w:color w:val="auto"/>
          <w:kern w:val="0"/>
          <w:sz w:val="24"/>
          <w:highlight w:val="none"/>
        </w:rPr>
        <w:t>的澄清和修改均作为</w:t>
      </w:r>
      <w:r>
        <w:rPr>
          <w:rFonts w:hint="eastAsia" w:ascii="仿宋" w:hAnsi="仿宋" w:eastAsia="仿宋" w:cs="仿宋"/>
          <w:color w:val="auto"/>
          <w:sz w:val="24"/>
          <w:highlight w:val="none"/>
        </w:rPr>
        <w:t>磋商文件</w:t>
      </w:r>
      <w:r>
        <w:rPr>
          <w:rFonts w:hint="eastAsia" w:ascii="仿宋" w:hAnsi="仿宋" w:eastAsia="仿宋" w:cs="宋体"/>
          <w:color w:val="auto"/>
          <w:kern w:val="0"/>
          <w:sz w:val="24"/>
          <w:highlight w:val="none"/>
        </w:rPr>
        <w:t>的补充部分。</w:t>
      </w:r>
      <w:r>
        <w:rPr>
          <w:rFonts w:hint="eastAsia" w:ascii="仿宋" w:hAnsi="仿宋" w:eastAsia="仿宋" w:cs="仿宋"/>
          <w:color w:val="auto"/>
          <w:sz w:val="24"/>
          <w:highlight w:val="none"/>
        </w:rPr>
        <w:t>当磋商文件、磋商文件的澄清或修改等在同一内容的表述上不一致时，以最后发出的书面文件为准。</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8.磋商响应预备会</w:t>
      </w:r>
    </w:p>
    <w:p>
      <w:pPr>
        <w:spacing w:line="360" w:lineRule="auto"/>
        <w:textAlignment w:val="baseline"/>
        <w:rPr>
          <w:rFonts w:hint="eastAsia" w:ascii="仿宋" w:hAnsi="仿宋" w:eastAsia="仿宋" w:cs="宋体"/>
          <w:color w:val="auto"/>
          <w:sz w:val="24"/>
          <w:highlight w:val="none"/>
          <w:u w:val="single"/>
          <w:lang w:eastAsia="zh-CN"/>
        </w:rPr>
      </w:pPr>
      <w:r>
        <w:rPr>
          <w:rFonts w:hint="eastAsia" w:ascii="仿宋" w:hAnsi="仿宋" w:eastAsia="仿宋" w:cs="宋体"/>
          <w:color w:val="auto"/>
          <w:sz w:val="24"/>
          <w:highlight w:val="none"/>
        </w:rPr>
        <w:t>采购人认为必要时，将召开磋商响应预备会(答疑会)，公开解答潜在供应商对磋商文件提出的疑问</w:t>
      </w:r>
      <w:r>
        <w:rPr>
          <w:rFonts w:hint="eastAsia" w:ascii="仿宋" w:hAnsi="仿宋" w:eastAsia="仿宋" w:cs="宋体"/>
          <w:color w:val="auto"/>
          <w:sz w:val="24"/>
          <w:highlight w:val="none"/>
          <w:lang w:eastAsia="zh-CN"/>
        </w:rPr>
        <w:t>。</w:t>
      </w:r>
    </w:p>
    <w:p>
      <w:pPr>
        <w:pStyle w:val="5"/>
        <w:numPr>
          <w:ilvl w:val="0"/>
          <w:numId w:val="0"/>
        </w:numPr>
        <w:spacing w:after="0" w:line="360" w:lineRule="auto"/>
        <w:jc w:val="center"/>
        <w:rPr>
          <w:rFonts w:hint="eastAsia" w:ascii="仿宋" w:hAnsi="仿宋" w:eastAsia="仿宋" w:cs="仿宋"/>
          <w:color w:val="auto"/>
          <w:sz w:val="24"/>
          <w:szCs w:val="24"/>
          <w:highlight w:val="none"/>
        </w:rPr>
      </w:pPr>
      <w:bookmarkStart w:id="62" w:name="_Toc27563"/>
      <w:bookmarkStart w:id="63" w:name="_Toc16985"/>
      <w:bookmarkStart w:id="64" w:name="_Toc27642"/>
      <w:bookmarkStart w:id="65" w:name="_Toc31141"/>
      <w:bookmarkStart w:id="66" w:name="_Toc14308"/>
      <w:bookmarkStart w:id="67" w:name="_Toc19783316"/>
      <w:bookmarkStart w:id="68" w:name="_Toc287600121"/>
      <w:bookmarkStart w:id="69" w:name="_Toc517281819"/>
      <w:bookmarkStart w:id="70" w:name="_Toc13691"/>
      <w:bookmarkStart w:id="71" w:name="_Toc444891339"/>
      <w:r>
        <w:rPr>
          <w:rFonts w:hint="eastAsia" w:ascii="仿宋" w:hAnsi="仿宋" w:eastAsia="仿宋" w:cs="仿宋"/>
          <w:color w:val="auto"/>
          <w:sz w:val="24"/>
          <w:szCs w:val="24"/>
          <w:highlight w:val="none"/>
        </w:rPr>
        <w:t>（三）响应文件</w:t>
      </w:r>
      <w:bookmarkEnd w:id="62"/>
      <w:bookmarkEnd w:id="63"/>
      <w:bookmarkEnd w:id="64"/>
      <w:bookmarkEnd w:id="65"/>
      <w:bookmarkEnd w:id="66"/>
      <w:bookmarkEnd w:id="67"/>
      <w:bookmarkEnd w:id="68"/>
      <w:bookmarkEnd w:id="69"/>
      <w:bookmarkEnd w:id="70"/>
      <w:bookmarkEnd w:id="71"/>
    </w:p>
    <w:p>
      <w:pPr>
        <w:pStyle w:val="6"/>
        <w:spacing w:before="0" w:after="0" w:line="360" w:lineRule="auto"/>
        <w:jc w:val="lef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9</w:t>
      </w:r>
      <w:r>
        <w:rPr>
          <w:rFonts w:hint="eastAsia" w:ascii="仿宋" w:hAnsi="仿宋" w:eastAsia="仿宋" w:cs="仿宋"/>
          <w:color w:val="auto"/>
          <w:sz w:val="24"/>
          <w:szCs w:val="24"/>
          <w:highlight w:val="none"/>
        </w:rPr>
        <w:t>.响应文件的组成</w:t>
      </w:r>
    </w:p>
    <w:p>
      <w:pPr>
        <w:spacing w:line="360" w:lineRule="auto"/>
        <w:jc w:val="left"/>
        <w:rPr>
          <w:rFonts w:hint="eastAsia" w:ascii="仿宋" w:hAnsi="仿宋" w:eastAsia="仿宋" w:cs="仿宋"/>
          <w:color w:val="auto"/>
          <w:sz w:val="24"/>
          <w:highlight w:val="none"/>
        </w:rPr>
      </w:pPr>
      <w:r>
        <w:rPr>
          <w:rFonts w:hint="eastAsia" w:ascii="仿宋" w:hAnsi="仿宋" w:eastAsia="仿宋" w:cs="宋体"/>
          <w:color w:val="auto"/>
          <w:sz w:val="24"/>
          <w:highlight w:val="none"/>
        </w:rPr>
        <w:t>供应商应当按照供应商须知前附表的要求制作并提交响应文件，具体组成</w:t>
      </w:r>
      <w:r>
        <w:rPr>
          <w:rFonts w:hint="eastAsia" w:ascii="仿宋" w:hAnsi="仿宋" w:eastAsia="仿宋" w:cs="仿宋"/>
          <w:color w:val="auto"/>
          <w:sz w:val="24"/>
          <w:highlight w:val="none"/>
          <w:u w:val="single"/>
        </w:rPr>
        <w:t>见本须知前附表</w:t>
      </w:r>
      <w:r>
        <w:rPr>
          <w:rFonts w:hint="eastAsia" w:ascii="仿宋" w:hAnsi="仿宋" w:eastAsia="仿宋" w:cs="仿宋"/>
          <w:color w:val="auto"/>
          <w:sz w:val="24"/>
          <w:highlight w:val="none"/>
        </w:rPr>
        <w:t>。</w:t>
      </w:r>
    </w:p>
    <w:p>
      <w:pPr>
        <w:pStyle w:val="6"/>
        <w:spacing w:before="0" w:after="0" w:line="360" w:lineRule="auto"/>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t>10</w:t>
      </w:r>
      <w:r>
        <w:rPr>
          <w:rFonts w:hint="eastAsia" w:ascii="仿宋" w:hAnsi="仿宋" w:eastAsia="仿宋" w:cs="仿宋"/>
          <w:color w:val="auto"/>
          <w:sz w:val="24"/>
          <w:szCs w:val="24"/>
          <w:highlight w:val="none"/>
        </w:rPr>
        <w:t>.响应文件的编制</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10</w:t>
      </w:r>
      <w:r>
        <w:rPr>
          <w:rFonts w:hint="eastAsia" w:ascii="仿宋" w:hAnsi="仿宋" w:eastAsia="仿宋" w:cs="宋体"/>
          <w:color w:val="auto"/>
          <w:kern w:val="0"/>
          <w:sz w:val="24"/>
          <w:highlight w:val="none"/>
        </w:rPr>
        <w:t xml:space="preserve">.1 供应商应当按照磋商文件的要求编制响应文件，并对其提交的响应文件的真实性、合法性承担法律责任。响应文件应当对磋商文件提出的实质性要求和条件作出响应。 </w:t>
      </w:r>
    </w:p>
    <w:p>
      <w:pPr>
        <w:widowControl/>
        <w:topLinePunct/>
        <w:spacing w:line="360" w:lineRule="auto"/>
        <w:rPr>
          <w:rFonts w:ascii="仿宋" w:hAnsi="仿宋" w:eastAsia="仿宋" w:cs="宋体"/>
          <w:color w:val="auto"/>
          <w:kern w:val="0"/>
          <w:sz w:val="24"/>
          <w:highlight w:val="none"/>
        </w:rPr>
      </w:pPr>
      <w:r>
        <w:rPr>
          <w:rFonts w:ascii="仿宋" w:hAnsi="仿宋" w:eastAsia="仿宋" w:cs="宋体"/>
          <w:color w:val="auto"/>
          <w:kern w:val="0"/>
          <w:sz w:val="24"/>
          <w:highlight w:val="none"/>
        </w:rPr>
        <w:t>10</w:t>
      </w:r>
      <w:r>
        <w:rPr>
          <w:rFonts w:hint="eastAsia" w:ascii="仿宋" w:hAnsi="仿宋" w:eastAsia="仿宋" w:cs="宋体"/>
          <w:color w:val="auto"/>
          <w:kern w:val="0"/>
          <w:sz w:val="24"/>
          <w:highlight w:val="none"/>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ascii="仿宋" w:hAnsi="仿宋" w:eastAsia="仿宋" w:cs="宋体"/>
          <w:color w:val="auto"/>
          <w:kern w:val="0"/>
          <w:sz w:val="24"/>
          <w:highlight w:val="none"/>
        </w:rPr>
        <w:t xml:space="preserve">0.3 </w:t>
      </w:r>
      <w:r>
        <w:rPr>
          <w:rFonts w:hint="eastAsia" w:ascii="仿宋" w:hAnsi="仿宋" w:eastAsia="仿宋" w:cs="宋体"/>
          <w:color w:val="auto"/>
          <w:kern w:val="0"/>
          <w:sz w:val="24"/>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ascii="仿宋" w:hAnsi="仿宋" w:eastAsia="仿宋" w:cs="宋体"/>
          <w:color w:val="auto"/>
          <w:kern w:val="0"/>
          <w:sz w:val="24"/>
          <w:highlight w:val="none"/>
        </w:rPr>
        <w:t xml:space="preserve">0.4 </w:t>
      </w:r>
      <w:r>
        <w:rPr>
          <w:rFonts w:hint="eastAsia" w:ascii="仿宋" w:hAnsi="仿宋" w:eastAsia="仿宋" w:cs="宋体"/>
          <w:color w:val="auto"/>
          <w:kern w:val="0"/>
          <w:sz w:val="24"/>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10</w:t>
      </w:r>
      <w:r>
        <w:rPr>
          <w:rFonts w:hint="eastAsia" w:ascii="仿宋" w:hAnsi="仿宋" w:eastAsia="仿宋" w:cs="宋体"/>
          <w:color w:val="auto"/>
          <w:kern w:val="0"/>
          <w:sz w:val="24"/>
          <w:highlight w:val="none"/>
        </w:rPr>
        <w:t>.</w:t>
      </w:r>
      <w:r>
        <w:rPr>
          <w:rFonts w:ascii="仿宋" w:hAnsi="仿宋" w:eastAsia="仿宋" w:cs="宋体"/>
          <w:color w:val="auto"/>
          <w:kern w:val="0"/>
          <w:sz w:val="24"/>
          <w:highlight w:val="none"/>
        </w:rPr>
        <w:t>5</w:t>
      </w:r>
      <w:r>
        <w:rPr>
          <w:rFonts w:hint="eastAsia" w:ascii="仿宋" w:hAnsi="仿宋" w:eastAsia="仿宋" w:cs="宋体"/>
          <w:color w:val="auto"/>
          <w:kern w:val="0"/>
          <w:sz w:val="24"/>
          <w:highlight w:val="none"/>
        </w:rPr>
        <w:t xml:space="preserve">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widowControl/>
        <w:topLinePunct/>
        <w:spacing w:line="360" w:lineRule="auto"/>
        <w:rPr>
          <w:rFonts w:hint="eastAsia" w:ascii="仿宋" w:hAnsi="仿宋" w:eastAsia="仿宋" w:cs="宋体"/>
          <w:color w:val="auto"/>
          <w:kern w:val="0"/>
          <w:sz w:val="24"/>
          <w:highlight w:val="none"/>
          <w:u w:val="single"/>
        </w:rPr>
      </w:pPr>
      <w:r>
        <w:rPr>
          <w:rFonts w:ascii="仿宋" w:hAnsi="仿宋" w:eastAsia="仿宋" w:cs="宋体"/>
          <w:color w:val="auto"/>
          <w:kern w:val="0"/>
          <w:sz w:val="24"/>
          <w:highlight w:val="none"/>
        </w:rPr>
        <w:t>10</w:t>
      </w:r>
      <w:r>
        <w:rPr>
          <w:rFonts w:hint="eastAsia" w:ascii="仿宋" w:hAnsi="仿宋" w:eastAsia="仿宋" w:cs="宋体"/>
          <w:color w:val="auto"/>
          <w:kern w:val="0"/>
          <w:sz w:val="24"/>
          <w:highlight w:val="none"/>
        </w:rPr>
        <w:t>.</w:t>
      </w:r>
      <w:r>
        <w:rPr>
          <w:rFonts w:ascii="仿宋" w:hAnsi="仿宋" w:eastAsia="仿宋" w:cs="宋体"/>
          <w:color w:val="auto"/>
          <w:kern w:val="0"/>
          <w:sz w:val="24"/>
          <w:highlight w:val="none"/>
        </w:rPr>
        <w:t>6</w:t>
      </w:r>
      <w:r>
        <w:rPr>
          <w:rFonts w:hint="eastAsia" w:ascii="仿宋" w:hAnsi="仿宋" w:eastAsia="仿宋" w:cs="宋体"/>
          <w:color w:val="auto"/>
          <w:kern w:val="0"/>
          <w:sz w:val="24"/>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2" w:name="_Hlk173250545"/>
      <w:r>
        <w:rPr>
          <w:rFonts w:hint="eastAsia" w:ascii="仿宋" w:hAnsi="仿宋" w:eastAsia="仿宋" w:cs="宋体"/>
          <w:color w:val="auto"/>
          <w:kern w:val="0"/>
          <w:sz w:val="24"/>
          <w:highlight w:val="none"/>
        </w:rPr>
        <w:t>盖章或者签字另有要求的，</w:t>
      </w:r>
      <w:r>
        <w:rPr>
          <w:rFonts w:hint="eastAsia" w:ascii="仿宋" w:hAnsi="仿宋" w:eastAsia="仿宋" w:cs="宋体"/>
          <w:color w:val="auto"/>
          <w:kern w:val="0"/>
          <w:sz w:val="24"/>
          <w:highlight w:val="none"/>
          <w:u w:val="single"/>
        </w:rPr>
        <w:t>见本须知前附表。</w:t>
      </w:r>
    </w:p>
    <w:bookmarkEnd w:id="72"/>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0.7</w:t>
      </w:r>
      <w:r>
        <w:rPr>
          <w:rFonts w:hint="eastAsia" w:ascii="仿宋" w:hAnsi="仿宋" w:eastAsia="仿宋" w:cs="仿宋"/>
          <w:color w:val="auto"/>
          <w:sz w:val="24"/>
          <w:highlight w:val="none"/>
        </w:rPr>
        <w:t>除工程规范另有规定外，响应文件使用的度量衡单位，均采用中华人民共和国法定计量单位。</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11.磋商响应报价</w:t>
      </w:r>
    </w:p>
    <w:p>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auto"/>
          <w:sz w:val="24"/>
          <w:highlight w:val="none"/>
        </w:rPr>
        <w:t>见</w:t>
      </w:r>
      <w:r>
        <w:rPr>
          <w:rFonts w:hint="eastAsia" w:ascii="仿宋" w:hAnsi="仿宋" w:eastAsia="仿宋" w:cs="仿宋"/>
          <w:color w:val="auto"/>
          <w:sz w:val="24"/>
          <w:highlight w:val="none"/>
          <w:u w:val="single"/>
        </w:rPr>
        <w:t>供应商须知前附表</w:t>
      </w:r>
      <w:r>
        <w:rPr>
          <w:rFonts w:hint="eastAsia" w:ascii="仿宋" w:hAnsi="仿宋" w:eastAsia="仿宋" w:cs="仿宋"/>
          <w:color w:val="auto"/>
          <w:sz w:val="24"/>
          <w:highlight w:val="none"/>
        </w:rPr>
        <w:t>。</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2</w:t>
      </w:r>
      <w:r>
        <w:rPr>
          <w:rFonts w:hint="eastAsia" w:ascii="仿宋" w:hAnsi="仿宋" w:eastAsia="仿宋" w:cs="仿宋"/>
          <w:color w:val="auto"/>
          <w:sz w:val="24"/>
          <w:szCs w:val="24"/>
          <w:highlight w:val="none"/>
        </w:rPr>
        <w:t>.磋商响应有效期</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12</w:t>
      </w:r>
      <w:r>
        <w:rPr>
          <w:rFonts w:hint="eastAsia" w:ascii="仿宋" w:hAnsi="仿宋" w:eastAsia="仿宋" w:cs="宋体"/>
          <w:color w:val="auto"/>
          <w:kern w:val="0"/>
          <w:sz w:val="24"/>
          <w:highlight w:val="none"/>
        </w:rPr>
        <w:t>.1 磋商响应有效期从响应文件递交截止之日起算，具体时间</w:t>
      </w:r>
      <w:r>
        <w:rPr>
          <w:rFonts w:hint="eastAsia" w:ascii="仿宋" w:hAnsi="仿宋" w:eastAsia="仿宋" w:cs="宋体"/>
          <w:color w:val="auto"/>
          <w:kern w:val="0"/>
          <w:sz w:val="24"/>
          <w:highlight w:val="none"/>
          <w:u w:val="single"/>
        </w:rPr>
        <w:t>见本须知前附表</w:t>
      </w:r>
      <w:r>
        <w:rPr>
          <w:rFonts w:hint="eastAsia" w:ascii="仿宋" w:hAnsi="仿宋" w:eastAsia="仿宋" w:cs="宋体"/>
          <w:color w:val="auto"/>
          <w:kern w:val="0"/>
          <w:sz w:val="24"/>
          <w:highlight w:val="none"/>
        </w:rPr>
        <w:t>，在此期间，供应商不得要求撤销或修改其响应文件。供应商承诺的磋商响应有效期必须不短于磋商文件规定的磋商响应有效期，否则将构成对磋商文件的非实质性响应，磋商响应将被否决。</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12</w:t>
      </w:r>
      <w:r>
        <w:rPr>
          <w:rFonts w:hint="eastAsia" w:ascii="仿宋" w:hAnsi="仿宋" w:eastAsia="仿宋" w:cs="宋体"/>
          <w:color w:val="auto"/>
          <w:kern w:val="0"/>
          <w:sz w:val="24"/>
          <w:highlight w:val="none"/>
        </w:rPr>
        <w:t>.2 在原磋商响应有效期结束前，出现特殊情况的，采购人可以书面形式要求所有供应商延长磋商响应有效期。供应商同意延长的，不得要求或被允许修改其响应文件的实质性内容</w:t>
      </w:r>
      <w:r>
        <w:rPr>
          <w:rFonts w:hint="eastAsia" w:ascii="仿宋" w:hAnsi="仿宋" w:eastAsia="仿宋" w:cs="宋体"/>
          <w:color w:val="auto"/>
          <w:kern w:val="0"/>
          <w:sz w:val="24"/>
          <w:highlight w:val="none"/>
          <w:lang w:eastAsia="zh-CN"/>
        </w:rPr>
        <w:t>。</w:t>
      </w:r>
      <w:r>
        <w:rPr>
          <w:rFonts w:hint="eastAsia" w:ascii="仿宋" w:hAnsi="仿宋" w:eastAsia="仿宋" w:cs="宋体"/>
          <w:color w:val="auto"/>
          <w:kern w:val="0"/>
          <w:sz w:val="24"/>
          <w:highlight w:val="none"/>
        </w:rPr>
        <w:t>供应商拒绝延长的，其磋商响应失效。</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.响应文件的式样、密封和标记</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w:t>
      </w:r>
      <w:r>
        <w:rPr>
          <w:rFonts w:hint="eastAsia" w:ascii="仿宋" w:hAnsi="仿宋" w:eastAsia="仿宋" w:cs="宋体"/>
          <w:color w:val="auto"/>
          <w:kern w:val="0"/>
          <w:sz w:val="24"/>
          <w:highlight w:val="none"/>
          <w:lang w:val="en-US" w:eastAsia="zh-CN"/>
        </w:rPr>
        <w:t>3</w:t>
      </w:r>
      <w:r>
        <w:rPr>
          <w:rFonts w:hint="eastAsia" w:ascii="仿宋" w:hAnsi="仿宋" w:eastAsia="仿宋" w:cs="宋体"/>
          <w:color w:val="auto"/>
          <w:kern w:val="0"/>
          <w:sz w:val="24"/>
          <w:highlight w:val="none"/>
        </w:rPr>
        <w:t>.1 供应商应当编制一份响应文件“正本”和</w:t>
      </w:r>
      <w:r>
        <w:rPr>
          <w:rFonts w:hint="eastAsia" w:ascii="仿宋" w:hAnsi="仿宋" w:eastAsia="仿宋" w:cs="宋体"/>
          <w:color w:val="auto"/>
          <w:kern w:val="0"/>
          <w:sz w:val="24"/>
          <w:highlight w:val="none"/>
          <w:u w:val="single"/>
        </w:rPr>
        <w:t>本须知前附表</w:t>
      </w:r>
      <w:r>
        <w:rPr>
          <w:rFonts w:hint="eastAsia" w:ascii="仿宋" w:hAnsi="仿宋" w:eastAsia="仿宋" w:cs="宋体"/>
          <w:color w:val="auto"/>
          <w:kern w:val="0"/>
          <w:sz w:val="24"/>
          <w:highlight w:val="none"/>
        </w:rPr>
        <w:t>所述份数的“副本”和“电子版”，副本为正本复印件。纸质版文件与电子版文件不一致时，以</w:t>
      </w:r>
      <w:r>
        <w:rPr>
          <w:rFonts w:hint="eastAsia" w:ascii="仿宋" w:hAnsi="仿宋" w:eastAsia="仿宋" w:cs="宋体"/>
          <w:b/>
          <w:bCs/>
          <w:color w:val="auto"/>
          <w:kern w:val="0"/>
          <w:sz w:val="24"/>
          <w:highlight w:val="none"/>
          <w:lang w:eastAsia="zh-Hans"/>
        </w:rPr>
        <w:t>电子版</w:t>
      </w:r>
      <w:r>
        <w:rPr>
          <w:rFonts w:hint="eastAsia" w:ascii="仿宋" w:hAnsi="仿宋" w:eastAsia="仿宋" w:cs="宋体"/>
          <w:color w:val="auto"/>
          <w:kern w:val="0"/>
          <w:sz w:val="24"/>
          <w:highlight w:val="none"/>
        </w:rPr>
        <w:t>文件为准;响应文件正本与副本不一致时，以正本为准</w:t>
      </w:r>
      <w:r>
        <w:rPr>
          <w:rFonts w:hint="eastAsia" w:ascii="仿宋" w:hAnsi="仿宋" w:eastAsia="仿宋" w:cs="宋体"/>
          <w:color w:val="auto"/>
          <w:kern w:val="0"/>
          <w:sz w:val="24"/>
          <w:highlight w:val="none"/>
          <w:lang w:eastAsia="zh-CN"/>
        </w:rPr>
        <w:t>。</w:t>
      </w:r>
      <w:r>
        <w:rPr>
          <w:rFonts w:hint="eastAsia" w:ascii="仿宋" w:hAnsi="仿宋" w:eastAsia="仿宋" w:cs="宋体"/>
          <w:color w:val="auto"/>
          <w:kern w:val="0"/>
          <w:sz w:val="24"/>
          <w:highlight w:val="none"/>
        </w:rPr>
        <w:t xml:space="preserve"> </w:t>
      </w:r>
    </w:p>
    <w:p>
      <w:pPr>
        <w:widowControl/>
        <w:topLinePunct/>
        <w:spacing w:line="360" w:lineRule="auto"/>
        <w:rPr>
          <w:rFonts w:ascii="仿宋" w:hAnsi="仿宋" w:eastAsia="仿宋" w:cs="宋体"/>
          <w:color w:val="auto"/>
          <w:kern w:val="0"/>
          <w:sz w:val="24"/>
          <w:highlight w:val="none"/>
        </w:rPr>
      </w:pPr>
      <w:r>
        <w:rPr>
          <w:rFonts w:ascii="仿宋" w:hAnsi="仿宋" w:eastAsia="仿宋" w:cs="宋体"/>
          <w:color w:val="auto"/>
          <w:kern w:val="0"/>
          <w:sz w:val="24"/>
          <w:highlight w:val="none"/>
        </w:rPr>
        <w:t>1</w:t>
      </w:r>
      <w:r>
        <w:rPr>
          <w:rFonts w:hint="eastAsia" w:ascii="仿宋" w:hAnsi="仿宋" w:eastAsia="仿宋" w:cs="宋体"/>
          <w:color w:val="auto"/>
          <w:kern w:val="0"/>
          <w:sz w:val="24"/>
          <w:highlight w:val="none"/>
          <w:lang w:val="en-US" w:eastAsia="zh-CN"/>
        </w:rPr>
        <w:t>3</w:t>
      </w:r>
      <w:r>
        <w:rPr>
          <w:rFonts w:hint="eastAsia" w:ascii="仿宋" w:hAnsi="仿宋" w:eastAsia="仿宋" w:cs="宋体"/>
          <w:color w:val="auto"/>
          <w:kern w:val="0"/>
          <w:sz w:val="24"/>
          <w:highlight w:val="none"/>
        </w:rPr>
        <w:t>.2 每份纸质文件响应文件的正本、副本应当分别装订，并于封面上明确标明“正本”“副本”字样。具体要求</w:t>
      </w:r>
      <w:r>
        <w:rPr>
          <w:rFonts w:hint="eastAsia" w:ascii="仿宋" w:hAnsi="仿宋" w:eastAsia="仿宋" w:cs="宋体"/>
          <w:color w:val="auto"/>
          <w:kern w:val="0"/>
          <w:sz w:val="24"/>
          <w:highlight w:val="none"/>
          <w:u w:val="single"/>
        </w:rPr>
        <w:t>见本须知前附表</w:t>
      </w:r>
      <w:r>
        <w:rPr>
          <w:rFonts w:hint="eastAsia" w:ascii="仿宋" w:hAnsi="仿宋" w:eastAsia="仿宋" w:cs="宋体"/>
          <w:color w:val="auto"/>
          <w:kern w:val="0"/>
          <w:sz w:val="24"/>
          <w:highlight w:val="none"/>
        </w:rPr>
        <w:t>。</w:t>
      </w:r>
    </w:p>
    <w:p>
      <w:pPr>
        <w:widowControl/>
        <w:topLinePunct/>
        <w:spacing w:line="360" w:lineRule="auto"/>
        <w:rPr>
          <w:rFonts w:hint="eastAsia" w:ascii="仿宋" w:hAnsi="仿宋" w:eastAsia="仿宋" w:cs="宋体"/>
          <w:color w:val="auto"/>
          <w:kern w:val="0"/>
          <w:sz w:val="24"/>
          <w:highlight w:val="none"/>
        </w:rPr>
      </w:pPr>
      <w:r>
        <w:rPr>
          <w:rFonts w:ascii="仿宋" w:hAnsi="仿宋" w:eastAsia="仿宋" w:cs="宋体"/>
          <w:color w:val="auto"/>
          <w:kern w:val="0"/>
          <w:sz w:val="24"/>
          <w:highlight w:val="none"/>
        </w:rPr>
        <w:t>1</w:t>
      </w:r>
      <w:r>
        <w:rPr>
          <w:rFonts w:hint="eastAsia" w:ascii="仿宋" w:hAnsi="仿宋" w:eastAsia="仿宋" w:cs="宋体"/>
          <w:color w:val="auto"/>
          <w:kern w:val="0"/>
          <w:sz w:val="24"/>
          <w:highlight w:val="none"/>
          <w:lang w:val="en-US" w:eastAsia="zh-CN"/>
        </w:rPr>
        <w:t>3</w:t>
      </w:r>
      <w:r>
        <w:rPr>
          <w:rFonts w:hint="eastAsia" w:ascii="仿宋" w:hAnsi="仿宋" w:eastAsia="仿宋" w:cs="宋体"/>
          <w:color w:val="auto"/>
          <w:kern w:val="0"/>
          <w:sz w:val="24"/>
          <w:highlight w:val="none"/>
        </w:rPr>
        <w:t>.</w:t>
      </w:r>
      <w:r>
        <w:rPr>
          <w:rFonts w:ascii="仿宋" w:hAnsi="仿宋" w:eastAsia="仿宋" w:cs="宋体"/>
          <w:color w:val="auto"/>
          <w:kern w:val="0"/>
          <w:sz w:val="24"/>
          <w:highlight w:val="none"/>
        </w:rPr>
        <w:t>3</w:t>
      </w:r>
      <w:r>
        <w:rPr>
          <w:rFonts w:hint="eastAsia" w:ascii="仿宋" w:hAnsi="仿宋" w:eastAsia="仿宋" w:cs="宋体"/>
          <w:color w:val="auto"/>
          <w:kern w:val="0"/>
          <w:sz w:val="24"/>
          <w:highlight w:val="none"/>
        </w:rPr>
        <w:t xml:space="preserve"> 对于磋商文件中提及的原件或复印件要求，照片件、扫描件、影印件、截图件等与其具有同等效力（磋商文件有特殊要求的除外）。</w:t>
      </w:r>
    </w:p>
    <w:p>
      <w:pPr>
        <w:pStyle w:val="5"/>
        <w:spacing w:after="0" w:line="360" w:lineRule="auto"/>
        <w:ind w:firstLine="482"/>
        <w:rPr>
          <w:rFonts w:hint="eastAsia" w:ascii="仿宋" w:hAnsi="仿宋" w:eastAsia="仿宋" w:cs="仿宋"/>
          <w:color w:val="auto"/>
          <w:sz w:val="24"/>
          <w:szCs w:val="24"/>
          <w:highlight w:val="none"/>
        </w:rPr>
      </w:pPr>
      <w:bookmarkStart w:id="73" w:name="_Toc21600"/>
      <w:bookmarkStart w:id="74" w:name="_Toc7129"/>
      <w:bookmarkStart w:id="75" w:name="_Toc14726"/>
      <w:bookmarkStart w:id="76" w:name="_Toc444891340"/>
      <w:bookmarkStart w:id="77" w:name="_Toc4155"/>
      <w:bookmarkStart w:id="78" w:name="_Toc19783317"/>
      <w:bookmarkStart w:id="79" w:name="_Toc287600122"/>
      <w:bookmarkStart w:id="80" w:name="_Toc18673"/>
      <w:bookmarkStart w:id="81" w:name="_Toc517281820"/>
      <w:bookmarkStart w:id="82" w:name="_Toc17865"/>
      <w:r>
        <w:rPr>
          <w:rFonts w:hint="eastAsia" w:ascii="仿宋" w:hAnsi="仿宋" w:eastAsia="仿宋" w:cs="仿宋"/>
          <w:color w:val="auto"/>
          <w:sz w:val="24"/>
          <w:szCs w:val="24"/>
          <w:highlight w:val="none"/>
        </w:rPr>
        <w:t>（四）响应文件的</w:t>
      </w:r>
      <w:bookmarkEnd w:id="73"/>
      <w:bookmarkEnd w:id="74"/>
      <w:bookmarkEnd w:id="75"/>
      <w:bookmarkEnd w:id="76"/>
      <w:bookmarkEnd w:id="77"/>
      <w:bookmarkEnd w:id="78"/>
      <w:bookmarkEnd w:id="79"/>
      <w:bookmarkEnd w:id="80"/>
      <w:bookmarkEnd w:id="81"/>
      <w:r>
        <w:rPr>
          <w:rFonts w:hint="eastAsia" w:ascii="仿宋" w:hAnsi="仿宋" w:eastAsia="仿宋" w:cs="仿宋"/>
          <w:color w:val="auto"/>
          <w:sz w:val="24"/>
          <w:szCs w:val="24"/>
          <w:highlight w:val="none"/>
        </w:rPr>
        <w:t>递交</w:t>
      </w:r>
      <w:bookmarkEnd w:id="82"/>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.响应文件的递交</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.1供应商应按</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rPr>
        <w:t>规定的时间、方式递交响应文件。</w:t>
      </w:r>
    </w:p>
    <w:p>
      <w:pPr>
        <w:spacing w:line="360" w:lineRule="auto"/>
        <w:jc w:val="left"/>
        <w:rPr>
          <w:rFonts w:hint="eastAsia" w:ascii="仿宋" w:hAnsi="仿宋" w:eastAsia="仿宋" w:cs="宋体"/>
          <w:b/>
          <w:bCs/>
          <w:color w:val="auto"/>
          <w:sz w:val="24"/>
          <w:highlight w:val="none"/>
        </w:rPr>
      </w:pPr>
      <w:r>
        <w:rPr>
          <w:rFonts w:hint="eastAsia" w:ascii="仿宋" w:hAnsi="仿宋" w:eastAsia="仿宋" w:cs="宋体"/>
          <w:color w:val="auto"/>
          <w:sz w:val="24"/>
          <w:highlight w:val="none"/>
        </w:rPr>
        <w:t>1</w:t>
      </w:r>
      <w:r>
        <w:rPr>
          <w:rFonts w:hint="eastAsia" w:ascii="仿宋" w:hAnsi="仿宋" w:eastAsia="仿宋" w:cs="宋体"/>
          <w:color w:val="auto"/>
          <w:sz w:val="24"/>
          <w:highlight w:val="none"/>
          <w:lang w:val="en-US" w:eastAsia="zh-CN"/>
        </w:rPr>
        <w:t>4</w:t>
      </w:r>
      <w:r>
        <w:rPr>
          <w:rFonts w:hint="eastAsia" w:ascii="仿宋" w:hAnsi="仿宋" w:eastAsia="仿宋" w:cs="宋体"/>
          <w:color w:val="auto"/>
          <w:sz w:val="24"/>
          <w:highlight w:val="none"/>
        </w:rPr>
        <w:t>.2出现下列情形之一时，</w:t>
      </w:r>
      <w:r>
        <w:rPr>
          <w:rFonts w:hint="eastAsia" w:ascii="仿宋" w:hAnsi="仿宋" w:eastAsia="仿宋" w:cs="宋体"/>
          <w:b/>
          <w:bCs/>
          <w:color w:val="auto"/>
          <w:sz w:val="24"/>
          <w:highlight w:val="none"/>
        </w:rPr>
        <w:t>响应文件不予接收或已经递交的响应文件无效；</w:t>
      </w:r>
    </w:p>
    <w:p>
      <w:pPr>
        <w:spacing w:line="360" w:lineRule="auto"/>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（1）电子响应文件逾期递交的；</w:t>
      </w:r>
    </w:p>
    <w:p>
      <w:pPr>
        <w:spacing w:line="360" w:lineRule="auto"/>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（2）纸质响应文件逾期递交或者未送达指定地点或者未按照磋商文件要求封装的；</w:t>
      </w:r>
    </w:p>
    <w:p>
      <w:pPr>
        <w:spacing w:line="360" w:lineRule="auto"/>
        <w:jc w:val="left"/>
        <w:rPr>
          <w:rFonts w:ascii="仿宋" w:hAnsi="仿宋" w:eastAsia="仿宋" w:cs="宋体"/>
          <w:color w:val="auto"/>
          <w:sz w:val="24"/>
          <w:highlight w:val="none"/>
        </w:rPr>
      </w:pPr>
      <w:r>
        <w:rPr>
          <w:rFonts w:hint="eastAsia" w:ascii="仿宋" w:hAnsi="仿宋" w:eastAsia="仿宋" w:cs="宋体"/>
          <w:color w:val="auto"/>
          <w:sz w:val="24"/>
          <w:highlight w:val="none"/>
        </w:rPr>
        <w:t>（3）未按磋商公告或者响应公告书要求获得本项目磋商文件的。</w:t>
      </w:r>
    </w:p>
    <w:p>
      <w:pPr>
        <w:pStyle w:val="6"/>
        <w:spacing w:before="0" w:after="0" w:line="360" w:lineRule="auto"/>
        <w:jc w:val="lef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.响应文件的修改、撤回和撤销</w:t>
      </w:r>
    </w:p>
    <w:p>
      <w:pPr>
        <w:spacing w:line="360" w:lineRule="auto"/>
        <w:jc w:val="left"/>
        <w:rPr>
          <w:rFonts w:hint="eastAsia" w:ascii="仿宋" w:hAnsi="仿宋" w:eastAsia="仿宋" w:cs="仿宋"/>
          <w:color w:val="auto"/>
          <w:sz w:val="24"/>
          <w:highlight w:val="none"/>
        </w:rPr>
      </w:pPr>
      <w:r>
        <w:rPr>
          <w:rFonts w:ascii="仿宋" w:hAnsi="仿宋" w:eastAsia="仿宋" w:cs="仿宋"/>
          <w:color w:val="auto"/>
          <w:sz w:val="24"/>
          <w:highlight w:val="none"/>
        </w:rPr>
        <w:t>1</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.1</w:t>
      </w:r>
      <w:r>
        <w:rPr>
          <w:rFonts w:hint="eastAsia" w:ascii="仿宋" w:hAnsi="仿宋" w:eastAsia="仿宋" w:cs="宋体"/>
          <w:color w:val="auto"/>
          <w:spacing w:val="-4"/>
          <w:kern w:val="0"/>
          <w:sz w:val="24"/>
          <w:highlight w:val="none"/>
        </w:rPr>
        <w:t>在</w:t>
      </w:r>
      <w:r>
        <w:rPr>
          <w:rFonts w:hint="eastAsia" w:ascii="仿宋" w:hAnsi="仿宋" w:eastAsia="仿宋" w:cs="宋体"/>
          <w:color w:val="auto"/>
          <w:kern w:val="0"/>
          <w:sz w:val="24"/>
          <w:highlight w:val="none"/>
        </w:rPr>
        <w:t>磋商文件</w:t>
      </w:r>
      <w:r>
        <w:rPr>
          <w:rFonts w:hint="eastAsia" w:ascii="仿宋" w:hAnsi="仿宋" w:eastAsia="仿宋" w:cs="宋体"/>
          <w:color w:val="auto"/>
          <w:spacing w:val="-4"/>
          <w:kern w:val="0"/>
          <w:sz w:val="24"/>
          <w:highlight w:val="none"/>
        </w:rPr>
        <w:t>规定的</w:t>
      </w:r>
      <w:r>
        <w:rPr>
          <w:rFonts w:hint="eastAsia" w:ascii="仿宋" w:hAnsi="仿宋" w:eastAsia="仿宋" w:cs="仿宋"/>
          <w:color w:val="auto"/>
          <w:sz w:val="24"/>
          <w:highlight w:val="none"/>
        </w:rPr>
        <w:t>响应文件</w:t>
      </w:r>
      <w:r>
        <w:rPr>
          <w:rFonts w:hint="eastAsia" w:ascii="仿宋" w:hAnsi="仿宋" w:eastAsia="仿宋" w:cs="宋体"/>
          <w:color w:val="auto"/>
          <w:spacing w:val="-4"/>
          <w:kern w:val="0"/>
          <w:sz w:val="24"/>
          <w:highlight w:val="none"/>
        </w:rPr>
        <w:t>递交截止时间前，</w:t>
      </w:r>
      <w:r>
        <w:rPr>
          <w:rFonts w:hint="eastAsia" w:ascii="仿宋" w:hAnsi="仿宋" w:eastAsia="仿宋" w:cs="宋体"/>
          <w:color w:val="auto"/>
          <w:kern w:val="0"/>
          <w:sz w:val="24"/>
          <w:highlight w:val="none"/>
        </w:rPr>
        <w:t>可以补充、修改或撤回已提交的响应文件。</w:t>
      </w:r>
      <w:r>
        <w:rPr>
          <w:rFonts w:ascii="仿宋" w:hAnsi="仿宋" w:eastAsia="仿宋" w:cs="宋体"/>
          <w:color w:val="auto"/>
          <w:kern w:val="0"/>
          <w:sz w:val="24"/>
          <w:highlight w:val="none"/>
        </w:rPr>
        <w:t>补充、修改的内容为</w:t>
      </w:r>
      <w:r>
        <w:rPr>
          <w:rFonts w:hint="eastAsia" w:ascii="仿宋" w:hAnsi="仿宋" w:eastAsia="仿宋" w:cs="宋体"/>
          <w:color w:val="auto"/>
          <w:kern w:val="0"/>
          <w:sz w:val="24"/>
          <w:highlight w:val="none"/>
        </w:rPr>
        <w:t>响应</w:t>
      </w:r>
      <w:r>
        <w:rPr>
          <w:rFonts w:ascii="仿宋" w:hAnsi="仿宋" w:eastAsia="仿宋" w:cs="宋体"/>
          <w:color w:val="auto"/>
          <w:kern w:val="0"/>
          <w:sz w:val="24"/>
          <w:highlight w:val="none"/>
        </w:rPr>
        <w:t>文件的组成部分</w:t>
      </w:r>
      <w:r>
        <w:rPr>
          <w:rFonts w:hint="eastAsia" w:ascii="仿宋" w:hAnsi="仿宋" w:eastAsia="仿宋" w:cs="宋体"/>
          <w:color w:val="auto"/>
          <w:kern w:val="0"/>
          <w:sz w:val="24"/>
          <w:highlight w:val="none"/>
        </w:rPr>
        <w:t>，应当在响应文件递交截止时间前按照磋商文件的规定进行递交。</w:t>
      </w:r>
    </w:p>
    <w:p>
      <w:pPr>
        <w:pStyle w:val="2"/>
        <w:spacing w:line="360" w:lineRule="auto"/>
        <w:jc w:val="left"/>
        <w:rPr>
          <w:rFonts w:hint="eastAsia"/>
          <w:color w:val="auto"/>
          <w:highlight w:val="none"/>
        </w:rPr>
      </w:pPr>
      <w:bookmarkStart w:id="83" w:name="_Toc246996202"/>
      <w:bookmarkStart w:id="84" w:name="_Toc334766948"/>
      <w:bookmarkStart w:id="85" w:name="_Toc326223561"/>
      <w:bookmarkStart w:id="86" w:name="_Toc246996945"/>
      <w:bookmarkStart w:id="87" w:name="_Toc152042334"/>
      <w:bookmarkStart w:id="88" w:name="_Toc144974526"/>
      <w:bookmarkStart w:id="89" w:name="_Toc179632576"/>
      <w:bookmarkStart w:id="90" w:name="_Toc152045558"/>
      <w:bookmarkStart w:id="91" w:name="_Toc247085716"/>
      <w:bookmarkStart w:id="92" w:name="_Toc332188194"/>
      <w:r>
        <w:rPr>
          <w:rFonts w:ascii="仿宋" w:hAnsi="仿宋" w:eastAsia="仿宋" w:cs="仿宋"/>
          <w:color w:val="auto"/>
          <w:sz w:val="24"/>
          <w:highlight w:val="none"/>
        </w:rPr>
        <w:t>1</w:t>
      </w:r>
      <w:r>
        <w:rPr>
          <w:rFonts w:hint="eastAsia" w:ascii="仿宋" w:hAnsi="仿宋" w:eastAsia="仿宋" w:cs="仿宋"/>
          <w:color w:val="auto"/>
          <w:sz w:val="24"/>
          <w:highlight w:val="none"/>
          <w:lang w:val="en-US" w:eastAsia="zh-CN"/>
        </w:rPr>
        <w:t>5</w:t>
      </w:r>
      <w:r>
        <w:rPr>
          <w:rFonts w:ascii="仿宋" w:hAnsi="仿宋" w:eastAsia="仿宋" w:cs="仿宋"/>
          <w:color w:val="auto"/>
          <w:sz w:val="24"/>
          <w:highlight w:val="none"/>
        </w:rPr>
        <w:t>.2</w:t>
      </w:r>
      <w:bookmarkEnd w:id="83"/>
      <w:bookmarkEnd w:id="84"/>
      <w:bookmarkEnd w:id="85"/>
      <w:bookmarkEnd w:id="86"/>
      <w:bookmarkEnd w:id="87"/>
      <w:bookmarkEnd w:id="88"/>
      <w:bookmarkEnd w:id="89"/>
      <w:bookmarkEnd w:id="90"/>
      <w:bookmarkEnd w:id="91"/>
      <w:bookmarkEnd w:id="92"/>
      <w:r>
        <w:rPr>
          <w:rFonts w:hint="eastAsia" w:ascii="仿宋" w:hAnsi="仿宋" w:eastAsia="仿宋" w:cs="仿宋"/>
          <w:color w:val="auto"/>
          <w:sz w:val="24"/>
          <w:highlight w:val="none"/>
          <w:lang w:val="en-US" w:eastAsia="zh-CN"/>
        </w:rPr>
        <w:t xml:space="preserve"> </w:t>
      </w:r>
      <w:r>
        <w:rPr>
          <w:rFonts w:hint="eastAsia" w:ascii="仿宋" w:hAnsi="仿宋" w:eastAsia="仿宋" w:cs="宋体"/>
          <w:color w:val="auto"/>
          <w:kern w:val="0"/>
          <w:sz w:val="24"/>
          <w:highlight w:val="none"/>
        </w:rPr>
        <w:t>响应文件递交截止时间后，供应商在响应有效期内撤销其响应文件。</w:t>
      </w:r>
    </w:p>
    <w:p>
      <w:pPr>
        <w:pStyle w:val="5"/>
        <w:spacing w:before="0" w:after="0" w:line="360" w:lineRule="auto"/>
        <w:ind w:firstLine="482"/>
        <w:rPr>
          <w:rFonts w:hint="eastAsia" w:ascii="仿宋" w:hAnsi="仿宋" w:eastAsia="仿宋" w:cs="仿宋"/>
          <w:color w:val="auto"/>
          <w:sz w:val="24"/>
          <w:szCs w:val="24"/>
          <w:highlight w:val="none"/>
        </w:rPr>
      </w:pPr>
      <w:bookmarkStart w:id="93" w:name="_Toc11361"/>
      <w:bookmarkStart w:id="94" w:name="_Toc2636"/>
      <w:bookmarkStart w:id="95" w:name="_Toc517281821"/>
      <w:bookmarkStart w:id="96" w:name="_Toc2055"/>
      <w:bookmarkStart w:id="97" w:name="_Toc30466"/>
      <w:bookmarkStart w:id="98" w:name="_Toc444891341"/>
      <w:bookmarkStart w:id="99" w:name="_Toc20741"/>
      <w:bookmarkStart w:id="100" w:name="_Toc287600123"/>
      <w:bookmarkStart w:id="101" w:name="_Toc12797"/>
      <w:r>
        <w:rPr>
          <w:rFonts w:hint="eastAsia" w:ascii="仿宋" w:hAnsi="仿宋" w:eastAsia="仿宋" w:cs="仿宋"/>
          <w:color w:val="auto"/>
          <w:sz w:val="24"/>
          <w:szCs w:val="24"/>
          <w:highlight w:val="none"/>
        </w:rPr>
        <w:t>（五）</w:t>
      </w:r>
      <w:r>
        <w:rPr>
          <w:rFonts w:hint="eastAsia" w:ascii="仿宋" w:hAnsi="仿宋" w:eastAsia="仿宋" w:cs="仿宋"/>
          <w:color w:val="auto"/>
          <w:sz w:val="24"/>
          <w:szCs w:val="24"/>
          <w:highlight w:val="none"/>
          <w:lang w:eastAsia="zh-CN"/>
        </w:rPr>
        <w:t>比选磋商</w:t>
      </w:r>
      <w:r>
        <w:rPr>
          <w:rFonts w:hint="eastAsia" w:ascii="仿宋" w:hAnsi="仿宋" w:eastAsia="仿宋" w:cs="仿宋"/>
          <w:color w:val="auto"/>
          <w:sz w:val="24"/>
          <w:szCs w:val="24"/>
          <w:highlight w:val="none"/>
        </w:rPr>
        <w:t>和评审</w:t>
      </w:r>
      <w:bookmarkEnd w:id="93"/>
      <w:bookmarkEnd w:id="94"/>
      <w:bookmarkEnd w:id="95"/>
      <w:bookmarkEnd w:id="96"/>
      <w:bookmarkEnd w:id="97"/>
      <w:bookmarkEnd w:id="98"/>
      <w:bookmarkEnd w:id="99"/>
      <w:bookmarkEnd w:id="100"/>
      <w:bookmarkEnd w:id="101"/>
    </w:p>
    <w:p>
      <w:pPr>
        <w:pStyle w:val="6"/>
        <w:spacing w:before="0" w:after="0" w:line="360" w:lineRule="auto"/>
        <w:jc w:val="left"/>
        <w:rPr>
          <w:rFonts w:hint="eastAsia" w:ascii="仿宋" w:hAnsi="仿宋" w:eastAsia="仿宋" w:cs="仿宋"/>
          <w:color w:val="auto"/>
          <w:sz w:val="24"/>
          <w:szCs w:val="24"/>
          <w:highlight w:val="none"/>
        </w:rPr>
      </w:pPr>
      <w:bookmarkStart w:id="102" w:name="_Toc234223229"/>
      <w:bookmarkStart w:id="103" w:name="_Toc234223227"/>
      <w:r>
        <w:rPr>
          <w:rFonts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.组建</w:t>
      </w:r>
      <w:bookmarkEnd w:id="102"/>
      <w:r>
        <w:rPr>
          <w:rFonts w:hint="eastAsia" w:ascii="仿宋" w:hAnsi="仿宋" w:eastAsia="仿宋" w:cs="仿宋"/>
          <w:color w:val="auto"/>
          <w:sz w:val="24"/>
          <w:szCs w:val="24"/>
          <w:highlight w:val="none"/>
        </w:rPr>
        <w:t>磋商小组</w:t>
      </w:r>
    </w:p>
    <w:p>
      <w:pPr>
        <w:widowControl/>
        <w:topLinePunct/>
        <w:spacing w:line="360" w:lineRule="auto"/>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hint="eastAsia" w:ascii="仿宋" w:hAnsi="仿宋" w:eastAsia="仿宋" w:cs="宋体"/>
          <w:color w:val="auto"/>
          <w:kern w:val="0"/>
          <w:sz w:val="24"/>
          <w:highlight w:val="none"/>
          <w:lang w:val="en-US" w:eastAsia="zh-CN"/>
        </w:rPr>
        <w:t>6</w:t>
      </w:r>
      <w:r>
        <w:rPr>
          <w:rFonts w:ascii="仿宋" w:hAnsi="仿宋" w:eastAsia="仿宋" w:cs="宋体"/>
          <w:color w:val="auto"/>
          <w:kern w:val="0"/>
          <w:sz w:val="24"/>
          <w:highlight w:val="none"/>
        </w:rPr>
        <w:t>.1</w:t>
      </w:r>
      <w:r>
        <w:rPr>
          <w:rFonts w:hint="eastAsia" w:ascii="仿宋" w:hAnsi="仿宋" w:eastAsia="仿宋" w:cs="宋体"/>
          <w:color w:val="auto"/>
          <w:kern w:val="0"/>
          <w:sz w:val="24"/>
          <w:highlight w:val="none"/>
        </w:rPr>
        <w:t>采购人依照企业采购管理制度的相关规定组建</w:t>
      </w:r>
      <w:r>
        <w:rPr>
          <w:rFonts w:hint="eastAsia" w:ascii="仿宋" w:hAnsi="仿宋" w:eastAsia="仿宋" w:cs="宋体"/>
          <w:color w:val="auto"/>
          <w:kern w:val="0"/>
          <w:sz w:val="24"/>
          <w:highlight w:val="none"/>
          <w:lang w:val="en-US" w:eastAsia="zh-CN"/>
        </w:rPr>
        <w:t>5</w:t>
      </w:r>
      <w:r>
        <w:rPr>
          <w:rFonts w:hint="eastAsia" w:ascii="仿宋" w:hAnsi="仿宋" w:eastAsia="仿宋" w:cs="宋体"/>
          <w:color w:val="auto"/>
          <w:kern w:val="0"/>
          <w:sz w:val="24"/>
          <w:highlight w:val="none"/>
        </w:rPr>
        <w:t>人及以上单数的磋商小组，具体人数</w:t>
      </w:r>
      <w:r>
        <w:rPr>
          <w:rFonts w:hint="eastAsia" w:ascii="仿宋" w:hAnsi="仿宋" w:eastAsia="仿宋" w:cs="仿宋"/>
          <w:color w:val="auto"/>
          <w:sz w:val="24"/>
          <w:highlight w:val="none"/>
        </w:rPr>
        <w:t>见</w:t>
      </w:r>
      <w:r>
        <w:rPr>
          <w:rFonts w:hint="eastAsia" w:ascii="仿宋" w:hAnsi="仿宋" w:eastAsia="仿宋" w:cs="仿宋"/>
          <w:color w:val="auto"/>
          <w:sz w:val="24"/>
          <w:highlight w:val="none"/>
          <w:u w:val="single"/>
        </w:rPr>
        <w:t>本须知前附表</w:t>
      </w:r>
      <w:r>
        <w:rPr>
          <w:rFonts w:hint="eastAsia" w:ascii="仿宋" w:hAnsi="仿宋" w:eastAsia="仿宋" w:cs="宋体"/>
          <w:color w:val="auto"/>
          <w:kern w:val="0"/>
          <w:sz w:val="24"/>
          <w:highlight w:val="none"/>
        </w:rPr>
        <w:t>，磋商小组成员名单在成交结果确定前保密。</w:t>
      </w:r>
    </w:p>
    <w:p>
      <w:pPr>
        <w:widowControl/>
        <w:topLinePunct/>
        <w:spacing w:line="360" w:lineRule="auto"/>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hint="eastAsia" w:ascii="仿宋" w:hAnsi="仿宋" w:eastAsia="仿宋" w:cs="宋体"/>
          <w:color w:val="auto"/>
          <w:kern w:val="0"/>
          <w:sz w:val="24"/>
          <w:highlight w:val="none"/>
          <w:lang w:val="en-US" w:eastAsia="zh-CN"/>
        </w:rPr>
        <w:t>6</w:t>
      </w:r>
      <w:r>
        <w:rPr>
          <w:rFonts w:ascii="仿宋" w:hAnsi="仿宋" w:eastAsia="仿宋" w:cs="宋体"/>
          <w:color w:val="auto"/>
          <w:kern w:val="0"/>
          <w:sz w:val="24"/>
          <w:highlight w:val="none"/>
        </w:rPr>
        <w:t>.2</w:t>
      </w:r>
      <w:r>
        <w:rPr>
          <w:rFonts w:hint="eastAsia" w:ascii="仿宋" w:hAnsi="仿宋" w:eastAsia="仿宋" w:cs="宋体"/>
          <w:color w:val="auto"/>
          <w:kern w:val="0"/>
          <w:sz w:val="24"/>
          <w:highlight w:val="none"/>
        </w:rPr>
        <w:t>磋商小组成员应当按照客观、公正、审慎的原则，根据磋商文件规定的评审程序、评审方法和评审标准进行独立评审。</w:t>
      </w:r>
    </w:p>
    <w:p>
      <w:pPr>
        <w:pStyle w:val="6"/>
        <w:spacing w:before="0" w:after="0" w:line="360" w:lineRule="auto"/>
        <w:jc w:val="left"/>
        <w:rPr>
          <w:rFonts w:ascii="仿宋" w:hAnsi="仿宋" w:eastAsia="仿宋" w:cs="仿宋"/>
          <w:color w:val="auto"/>
          <w:sz w:val="24"/>
          <w:szCs w:val="24"/>
          <w:highlight w:val="none"/>
        </w:rPr>
      </w:pPr>
      <w:bookmarkStart w:id="104" w:name="_Toc234223228"/>
      <w:r>
        <w:rPr>
          <w:rFonts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.初步评审</w:t>
      </w:r>
    </w:p>
    <w:p>
      <w:pPr>
        <w:widowControl/>
        <w:topLinePunct/>
        <w:spacing w:line="360" w:lineRule="auto"/>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1</w:t>
      </w:r>
      <w:r>
        <w:rPr>
          <w:rFonts w:hint="eastAsia" w:ascii="仿宋" w:hAnsi="仿宋" w:eastAsia="仿宋" w:cs="宋体"/>
          <w:color w:val="auto"/>
          <w:kern w:val="0"/>
          <w:sz w:val="24"/>
          <w:highlight w:val="none"/>
          <w:lang w:val="en-US" w:eastAsia="zh-CN"/>
        </w:rPr>
        <w:t>7</w:t>
      </w:r>
      <w:r>
        <w:rPr>
          <w:rFonts w:ascii="仿宋" w:hAnsi="仿宋" w:eastAsia="仿宋" w:cs="宋体"/>
          <w:color w:val="auto"/>
          <w:kern w:val="0"/>
          <w:sz w:val="24"/>
          <w:highlight w:val="none"/>
        </w:rPr>
        <w:t>.1</w:t>
      </w:r>
      <w:r>
        <w:rPr>
          <w:rFonts w:hint="eastAsia" w:ascii="仿宋" w:hAnsi="仿宋" w:eastAsia="仿宋" w:cs="宋体"/>
          <w:color w:val="auto"/>
          <w:kern w:val="0"/>
          <w:sz w:val="24"/>
          <w:highlight w:val="none"/>
        </w:rPr>
        <w:t>磋商小组按照第三章</w:t>
      </w:r>
      <w:r>
        <w:rPr>
          <w:rFonts w:hint="eastAsia" w:ascii="仿宋" w:hAnsi="仿宋" w:eastAsia="仿宋" w:cs="宋体"/>
          <w:color w:val="auto"/>
          <w:kern w:val="0"/>
          <w:sz w:val="24"/>
        </w:rPr>
        <w:t>评审办法中初步评审的内容及要求</w:t>
      </w:r>
      <w:r>
        <w:rPr>
          <w:rFonts w:hint="eastAsia" w:ascii="仿宋" w:hAnsi="仿宋" w:eastAsia="仿宋" w:cs="宋体"/>
          <w:color w:val="auto"/>
          <w:kern w:val="0"/>
          <w:sz w:val="24"/>
          <w:highlight w:val="none"/>
        </w:rPr>
        <w:t>，对响应文件进行初步评审。通过初步评审的供应商进入磋商环节，未通过初步评审的供应商，其磋商响应将被否决，不进入磋商、详细评审等后续环节。</w:t>
      </w:r>
    </w:p>
    <w:p>
      <w:pPr>
        <w:widowControl/>
        <w:topLinePunct/>
        <w:spacing w:line="360" w:lineRule="auto"/>
        <w:jc w:val="left"/>
        <w:rPr>
          <w:rFonts w:ascii="仿宋" w:hAnsi="仿宋" w:eastAsia="仿宋" w:cs="仿宋"/>
          <w:b/>
          <w:bCs/>
          <w:color w:val="auto"/>
          <w:sz w:val="24"/>
          <w:highlight w:val="none"/>
        </w:rPr>
      </w:pPr>
      <w:r>
        <w:rPr>
          <w:rFonts w:hint="eastAsia" w:ascii="仿宋" w:hAnsi="仿宋" w:eastAsia="仿宋" w:cs="宋体"/>
          <w:color w:val="auto"/>
          <w:kern w:val="0"/>
          <w:sz w:val="24"/>
          <w:highlight w:val="none"/>
        </w:rPr>
        <w:t>1</w:t>
      </w:r>
      <w:r>
        <w:rPr>
          <w:rFonts w:hint="eastAsia" w:ascii="仿宋" w:hAnsi="仿宋" w:eastAsia="仿宋" w:cs="宋体"/>
          <w:color w:val="auto"/>
          <w:kern w:val="0"/>
          <w:sz w:val="24"/>
          <w:highlight w:val="none"/>
          <w:lang w:val="en-US" w:eastAsia="zh-CN"/>
        </w:rPr>
        <w:t>7</w:t>
      </w:r>
      <w:r>
        <w:rPr>
          <w:rFonts w:ascii="仿宋" w:hAnsi="仿宋" w:eastAsia="仿宋" w:cs="宋体"/>
          <w:color w:val="auto"/>
          <w:kern w:val="0"/>
          <w:sz w:val="24"/>
          <w:highlight w:val="none"/>
        </w:rPr>
        <w:t>.2</w:t>
      </w:r>
      <w:r>
        <w:rPr>
          <w:rFonts w:hint="eastAsia" w:ascii="仿宋" w:hAnsi="仿宋" w:eastAsia="仿宋" w:cs="宋体"/>
          <w:color w:val="auto"/>
          <w:kern w:val="0"/>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r>
        <w:rPr>
          <w:rFonts w:hint="eastAsia" w:ascii="仿宋" w:hAnsi="仿宋" w:eastAsia="仿宋" w:cs="宋体"/>
          <w:color w:val="auto"/>
          <w:kern w:val="0"/>
          <w:sz w:val="24"/>
          <w:highlight w:val="none"/>
          <w:lang w:val="en-US" w:eastAsia="zh-CN"/>
        </w:rPr>
        <w:t xml:space="preserve">                                                            </w:t>
      </w:r>
      <w:r>
        <w:rPr>
          <w:rFonts w:hint="eastAsia" w:ascii="仿宋" w:hAnsi="仿宋" w:eastAsia="仿宋" w:cs="宋体"/>
          <w:color w:val="auto"/>
          <w:kern w:val="0"/>
          <w:sz w:val="24"/>
          <w:highlight w:val="none"/>
        </w:rPr>
        <w:t>1</w:t>
      </w:r>
      <w:r>
        <w:rPr>
          <w:rFonts w:hint="eastAsia" w:ascii="仿宋" w:hAnsi="仿宋" w:eastAsia="仿宋" w:cs="宋体"/>
          <w:color w:val="auto"/>
          <w:kern w:val="0"/>
          <w:sz w:val="24"/>
          <w:highlight w:val="none"/>
          <w:lang w:val="en-US" w:eastAsia="zh-CN"/>
        </w:rPr>
        <w:t>7</w:t>
      </w:r>
      <w:r>
        <w:rPr>
          <w:rFonts w:ascii="仿宋" w:hAnsi="仿宋" w:eastAsia="仿宋" w:cs="宋体"/>
          <w:color w:val="auto"/>
          <w:kern w:val="0"/>
          <w:sz w:val="24"/>
          <w:highlight w:val="none"/>
        </w:rPr>
        <w:t>.3</w:t>
      </w:r>
      <w:r>
        <w:rPr>
          <w:rFonts w:hint="eastAsia" w:ascii="仿宋" w:hAnsi="仿宋" w:eastAsia="仿宋" w:cs="宋体"/>
          <w:color w:val="auto"/>
          <w:kern w:val="0"/>
          <w:sz w:val="24"/>
          <w:highlight w:val="none"/>
        </w:rPr>
        <w:t>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color w:val="auto"/>
          <w:sz w:val="24"/>
          <w:highlight w:val="none"/>
        </w:rPr>
        <w:t>，磋商小组有权对其响应做否决处理。</w:t>
      </w:r>
    </w:p>
    <w:p>
      <w:pPr>
        <w:widowControl/>
        <w:topLinePunct/>
        <w:spacing w:line="360" w:lineRule="auto"/>
        <w:rPr>
          <w:rFonts w:hint="eastAsia"/>
          <w:color w:val="auto"/>
          <w:highlight w:val="none"/>
        </w:rPr>
      </w:pPr>
      <w:r>
        <w:rPr>
          <w:rFonts w:hint="eastAsia" w:ascii="仿宋" w:hAnsi="仿宋" w:eastAsia="仿宋" w:cs="宋体"/>
          <w:color w:val="auto"/>
          <w:kern w:val="0"/>
          <w:sz w:val="24"/>
          <w:highlight w:val="none"/>
        </w:rPr>
        <w:t>1</w:t>
      </w:r>
      <w:r>
        <w:rPr>
          <w:rFonts w:hint="eastAsia" w:ascii="仿宋" w:hAnsi="仿宋" w:eastAsia="仿宋" w:cs="宋体"/>
          <w:color w:val="auto"/>
          <w:kern w:val="0"/>
          <w:sz w:val="24"/>
          <w:highlight w:val="none"/>
          <w:lang w:val="en-US" w:eastAsia="zh-CN"/>
        </w:rPr>
        <w:t>7</w:t>
      </w:r>
      <w:r>
        <w:rPr>
          <w:rFonts w:ascii="仿宋" w:hAnsi="仿宋" w:eastAsia="仿宋" w:cs="宋体"/>
          <w:color w:val="auto"/>
          <w:kern w:val="0"/>
          <w:sz w:val="24"/>
          <w:highlight w:val="none"/>
        </w:rPr>
        <w:t>.4</w:t>
      </w:r>
      <w:r>
        <w:rPr>
          <w:rFonts w:hint="eastAsia" w:ascii="仿宋" w:hAnsi="仿宋" w:eastAsia="仿宋" w:cs="宋体"/>
          <w:color w:val="auto"/>
          <w:kern w:val="0"/>
          <w:sz w:val="24"/>
          <w:highlight w:val="none"/>
        </w:rPr>
        <w:t>磋商小组必要时可以要求供应商提交有关证明和证件的原件，以便核验。拒不按要求提供原件的供应商，</w:t>
      </w:r>
      <w:r>
        <w:rPr>
          <w:rFonts w:hint="eastAsia" w:ascii="仿宋" w:hAnsi="仿宋" w:eastAsia="仿宋" w:cs="仿宋"/>
          <w:b/>
          <w:bCs/>
          <w:color w:val="auto"/>
          <w:sz w:val="24"/>
          <w:highlight w:val="none"/>
        </w:rPr>
        <w:t>磋商小组有权对其响应做否决处理。</w:t>
      </w:r>
    </w:p>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8</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磋商程序</w:t>
      </w:r>
    </w:p>
    <w:p>
      <w:pPr>
        <w:spacing w:line="360" w:lineRule="auto"/>
        <w:jc w:val="left"/>
        <w:rPr>
          <w:rFonts w:ascii="仿宋" w:hAnsi="仿宋" w:eastAsia="仿宋" w:cs="仿宋"/>
          <w:color w:val="auto"/>
          <w:sz w:val="24"/>
          <w:highlight w:val="none"/>
          <w:u w:val="single"/>
        </w:rPr>
      </w:pPr>
      <w:r>
        <w:rPr>
          <w:rFonts w:ascii="仿宋" w:hAnsi="仿宋" w:eastAsia="仿宋" w:cs="仿宋"/>
          <w:color w:val="auto"/>
          <w:sz w:val="24"/>
          <w:highlight w:val="none"/>
        </w:rPr>
        <w:t>1</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auto"/>
          <w:sz w:val="24"/>
          <w:highlight w:val="none"/>
          <w:u w:val="single"/>
        </w:rPr>
        <w:t>详见本须知前附表。</w:t>
      </w:r>
    </w:p>
    <w:p>
      <w:pPr>
        <w:spacing w:line="360" w:lineRule="auto"/>
        <w:jc w:val="left"/>
        <w:rPr>
          <w:rFonts w:ascii="仿宋" w:hAnsi="仿宋" w:eastAsia="仿宋" w:cs="仿宋"/>
          <w:color w:val="auto"/>
          <w:sz w:val="24"/>
          <w:highlight w:val="none"/>
        </w:rPr>
      </w:pPr>
      <w:r>
        <w:rPr>
          <w:rFonts w:ascii="仿宋" w:hAnsi="仿宋" w:eastAsia="仿宋" w:cs="仿宋"/>
          <w:color w:val="auto"/>
          <w:sz w:val="24"/>
          <w:highlight w:val="none"/>
        </w:rPr>
        <w:t>1</w:t>
      </w:r>
      <w:r>
        <w:rPr>
          <w:rFonts w:hint="eastAsia" w:ascii="仿宋" w:hAnsi="仿宋" w:eastAsia="仿宋" w:cs="仿宋"/>
          <w:color w:val="auto"/>
          <w:sz w:val="24"/>
          <w:highlight w:val="none"/>
          <w:lang w:val="en-US" w:eastAsia="zh-CN"/>
        </w:rPr>
        <w:t>8</w:t>
      </w:r>
      <w:r>
        <w:rPr>
          <w:rFonts w:ascii="仿宋" w:hAnsi="仿宋" w:eastAsia="仿宋" w:cs="仿宋"/>
          <w:color w:val="auto"/>
          <w:sz w:val="24"/>
          <w:highlight w:val="none"/>
        </w:rPr>
        <w:t>.2</w:t>
      </w:r>
      <w:r>
        <w:rPr>
          <w:rFonts w:hint="eastAsia" w:ascii="仿宋" w:hAnsi="仿宋" w:eastAsia="仿宋" w:cs="仿宋"/>
          <w:color w:val="auto"/>
          <w:sz w:val="24"/>
          <w:highlight w:val="none"/>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rPr>
        <w:t>。</w:t>
      </w:r>
    </w:p>
    <w:p>
      <w:pPr>
        <w:spacing w:line="360" w:lineRule="auto"/>
        <w:jc w:val="left"/>
        <w:rPr>
          <w:rFonts w:ascii="仿宋" w:hAnsi="仿宋" w:eastAsia="仿宋" w:cs="仿宋"/>
          <w:color w:val="auto"/>
          <w:sz w:val="24"/>
          <w:highlight w:val="none"/>
        </w:rPr>
      </w:pPr>
      <w:r>
        <w:rPr>
          <w:rFonts w:ascii="仿宋" w:hAnsi="仿宋" w:eastAsia="仿宋" w:cs="仿宋"/>
          <w:color w:val="auto"/>
          <w:sz w:val="24"/>
          <w:highlight w:val="none"/>
        </w:rPr>
        <w:t>1</w:t>
      </w:r>
      <w:r>
        <w:rPr>
          <w:rFonts w:hint="eastAsia" w:ascii="仿宋" w:hAnsi="仿宋" w:eastAsia="仿宋" w:cs="仿宋"/>
          <w:color w:val="auto"/>
          <w:sz w:val="24"/>
          <w:highlight w:val="none"/>
          <w:lang w:val="en-US" w:eastAsia="zh-CN"/>
        </w:rPr>
        <w:t>8</w:t>
      </w:r>
      <w:r>
        <w:rPr>
          <w:rFonts w:ascii="仿宋" w:hAnsi="仿宋" w:eastAsia="仿宋" w:cs="仿宋"/>
          <w:color w:val="auto"/>
          <w:sz w:val="24"/>
          <w:highlight w:val="none"/>
        </w:rPr>
        <w:t>.3</w:t>
      </w:r>
      <w:r>
        <w:rPr>
          <w:rFonts w:hint="eastAsia" w:ascii="仿宋" w:hAnsi="仿宋" w:eastAsia="仿宋" w:cs="仿宋"/>
          <w:color w:val="auto"/>
          <w:sz w:val="24"/>
          <w:highlight w:val="none"/>
        </w:rPr>
        <w:t>磋商小组可视情况要求供应商进行多轮磋商及报价。磋商中，任何一方不得向第三方透露与磋商有关的任何信息。</w:t>
      </w:r>
    </w:p>
    <w:bookmarkEnd w:id="104"/>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.4各轮报价有算术错误的，磋商小组按照以下原则对报价进行修正，修正的价格经供应商书面确认后具有约束力。供应商不接受或不确认修正后价格的，磋商小组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auto"/>
          <w:sz w:val="24"/>
          <w:highlight w:val="none"/>
        </w:rPr>
        <w:t>应当否决其响应</w:t>
      </w:r>
      <w:r>
        <w:rPr>
          <w:rFonts w:hint="eastAsia" w:ascii="仿宋" w:hAnsi="仿宋" w:eastAsia="仿宋" w:cs="仿宋"/>
          <w:color w:val="auto"/>
          <w:sz w:val="24"/>
          <w:highlight w:val="none"/>
        </w:rPr>
        <w:t>。</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（1）大写金额与小写金额不一致的，以大写金额为准；</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（2）总价金额与根据单价计算出的结果不一致的，以单价金额为准修正总价，但单价金额小数点有明显错误的除外。</w:t>
      </w:r>
    </w:p>
    <w:bookmarkEnd w:id="103"/>
    <w:p>
      <w:pPr>
        <w:pStyle w:val="6"/>
        <w:spacing w:before="0" w:after="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19</w:t>
      </w:r>
      <w:r>
        <w:rPr>
          <w:rFonts w:hint="eastAsia" w:ascii="仿宋" w:hAnsi="仿宋" w:eastAsia="仿宋" w:cs="仿宋"/>
          <w:color w:val="auto"/>
          <w:sz w:val="24"/>
          <w:szCs w:val="24"/>
          <w:highlight w:val="none"/>
        </w:rPr>
        <w:t>.详细评审</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19</w:t>
      </w:r>
      <w:r>
        <w:rPr>
          <w:rFonts w:hint="eastAsia" w:ascii="仿宋" w:hAnsi="仿宋" w:eastAsia="仿宋" w:cs="仿宋"/>
          <w:color w:val="auto"/>
          <w:sz w:val="24"/>
          <w:highlight w:val="none"/>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19</w:t>
      </w:r>
      <w:r>
        <w:rPr>
          <w:rFonts w:hint="eastAsia" w:ascii="仿宋" w:hAnsi="仿宋" w:eastAsia="仿宋" w:cs="仿宋"/>
          <w:color w:val="auto"/>
          <w:sz w:val="24"/>
          <w:highlight w:val="none"/>
        </w:rPr>
        <w:t>.2发生以下情形之一的，原则上做终止采购处理：</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（1）出现影响采购公正的违法、违规行为的；</w:t>
      </w:r>
    </w:p>
    <w:p>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（2）成交候选人报价超过预算金额，采购需求方无法解决的</w:t>
      </w:r>
      <w:r>
        <w:rPr>
          <w:rFonts w:hint="eastAsia" w:ascii="仿宋" w:hAnsi="仿宋" w:eastAsia="仿宋" w:cs="仿宋"/>
          <w:color w:val="auto"/>
          <w:sz w:val="24"/>
          <w:highlight w:val="none"/>
          <w:lang w:eastAsia="zh-CN"/>
        </w:rPr>
        <w:t>。</w:t>
      </w:r>
    </w:p>
    <w:p>
      <w:pPr>
        <w:widowControl/>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19</w:t>
      </w:r>
      <w:r>
        <w:rPr>
          <w:rFonts w:hint="eastAsia" w:ascii="仿宋" w:hAnsi="仿宋" w:eastAsia="仿宋" w:cs="仿宋"/>
          <w:color w:val="auto"/>
          <w:sz w:val="24"/>
          <w:highlight w:val="none"/>
        </w:rPr>
        <w:t>.</w:t>
      </w:r>
      <w:r>
        <w:rPr>
          <w:rFonts w:ascii="仿宋" w:hAnsi="仿宋" w:eastAsia="仿宋" w:cs="仿宋"/>
          <w:color w:val="auto"/>
          <w:sz w:val="24"/>
          <w:highlight w:val="none"/>
        </w:rPr>
        <w:t>3</w:t>
      </w:r>
      <w:r>
        <w:rPr>
          <w:rFonts w:hint="eastAsia" w:ascii="仿宋" w:hAnsi="仿宋" w:eastAsia="仿宋" w:cs="仿宋"/>
          <w:color w:val="auto"/>
          <w:sz w:val="24"/>
          <w:highlight w:val="none"/>
        </w:rPr>
        <w:t>成交候选人推荐原则</w:t>
      </w:r>
      <w:r>
        <w:rPr>
          <w:rFonts w:hint="eastAsia" w:ascii="仿宋" w:hAnsi="仿宋" w:eastAsia="仿宋" w:cs="仿宋"/>
          <w:color w:val="auto"/>
          <w:sz w:val="24"/>
          <w:highlight w:val="none"/>
          <w:u w:val="single"/>
        </w:rPr>
        <w:t>详见本须知前附表</w:t>
      </w:r>
      <w:r>
        <w:rPr>
          <w:rFonts w:hint="eastAsia" w:ascii="仿宋" w:hAnsi="仿宋" w:eastAsia="仿宋" w:cs="仿宋"/>
          <w:color w:val="auto"/>
          <w:sz w:val="24"/>
          <w:highlight w:val="none"/>
        </w:rPr>
        <w:t>。</w:t>
      </w:r>
      <w:r>
        <w:rPr>
          <w:rFonts w:hint="eastAsia" w:ascii="仿宋" w:hAnsi="仿宋" w:eastAsia="仿宋" w:cs="宋体"/>
          <w:color w:val="auto"/>
          <w:kern w:val="0"/>
          <w:sz w:val="24"/>
          <w:highlight w:val="none"/>
        </w:rPr>
        <w:t>成交候选人的经营、财务状况发生较大变化或者存在违法行为，采购人认为可能影响其履约能力的，应当在发出成交通知书前由原磋商小组会按照磋商文件规定的标准和方法审查确认。</w:t>
      </w:r>
    </w:p>
    <w:p>
      <w:pPr>
        <w:pStyle w:val="5"/>
        <w:spacing w:before="0" w:after="0" w:line="360" w:lineRule="auto"/>
        <w:ind w:firstLine="482"/>
        <w:rPr>
          <w:rFonts w:hint="eastAsia" w:ascii="仿宋" w:hAnsi="仿宋" w:eastAsia="仿宋" w:cs="仿宋"/>
          <w:color w:val="auto"/>
          <w:sz w:val="24"/>
          <w:szCs w:val="24"/>
          <w:highlight w:val="none"/>
        </w:rPr>
      </w:pPr>
      <w:bookmarkStart w:id="105" w:name="_Toc517281822"/>
      <w:bookmarkStart w:id="106" w:name="_Toc13936"/>
      <w:bookmarkStart w:id="107" w:name="_Toc19451"/>
      <w:bookmarkStart w:id="108" w:name="_Toc444891342"/>
      <w:bookmarkStart w:id="109" w:name="_Toc28031"/>
      <w:bookmarkStart w:id="110" w:name="_Toc9911"/>
      <w:bookmarkStart w:id="111" w:name="_Toc234223231"/>
      <w:bookmarkStart w:id="112" w:name="_Toc16781"/>
      <w:bookmarkStart w:id="113" w:name="_Toc2322"/>
      <w:bookmarkStart w:id="114" w:name="_Toc287600124"/>
      <w:r>
        <w:rPr>
          <w:rFonts w:hint="eastAsia" w:ascii="仿宋" w:hAnsi="仿宋" w:eastAsia="仿宋" w:cs="仿宋"/>
          <w:color w:val="auto"/>
          <w:sz w:val="24"/>
          <w:szCs w:val="24"/>
          <w:highlight w:val="none"/>
        </w:rPr>
        <w:t>（六）授予合同</w:t>
      </w:r>
      <w:bookmarkEnd w:id="105"/>
      <w:bookmarkEnd w:id="106"/>
      <w:bookmarkEnd w:id="107"/>
      <w:bookmarkEnd w:id="108"/>
      <w:bookmarkEnd w:id="109"/>
      <w:bookmarkEnd w:id="110"/>
      <w:bookmarkEnd w:id="111"/>
      <w:bookmarkEnd w:id="112"/>
      <w:bookmarkEnd w:id="113"/>
      <w:bookmarkEnd w:id="114"/>
    </w:p>
    <w:p>
      <w:pPr>
        <w:pStyle w:val="6"/>
        <w:spacing w:before="0" w:after="0" w:line="360" w:lineRule="auto"/>
        <w:jc w:val="left"/>
        <w:rPr>
          <w:rFonts w:hint="eastAsia" w:ascii="仿宋" w:hAnsi="仿宋" w:eastAsia="仿宋" w:cs="仿宋"/>
          <w:color w:val="auto"/>
          <w:sz w:val="24"/>
          <w:szCs w:val="24"/>
          <w:highlight w:val="none"/>
        </w:rPr>
      </w:pPr>
      <w:bookmarkStart w:id="115" w:name="_Toc234223232"/>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.确定</w:t>
      </w:r>
      <w:bookmarkEnd w:id="115"/>
      <w:r>
        <w:rPr>
          <w:rFonts w:hint="eastAsia" w:ascii="仿宋" w:hAnsi="仿宋" w:eastAsia="仿宋" w:cs="仿宋"/>
          <w:color w:val="auto"/>
          <w:sz w:val="24"/>
          <w:szCs w:val="24"/>
          <w:highlight w:val="none"/>
        </w:rPr>
        <w:t>成交人</w:t>
      </w:r>
    </w:p>
    <w:p>
      <w:pPr>
        <w:spacing w:line="360" w:lineRule="auto"/>
        <w:jc w:val="left"/>
        <w:rPr>
          <w:rFonts w:ascii="仿宋" w:hAnsi="仿宋" w:eastAsia="仿宋" w:cs="仿宋"/>
          <w:color w:val="auto"/>
          <w:sz w:val="24"/>
          <w:highlight w:val="none"/>
        </w:rPr>
      </w:pPr>
      <w:r>
        <w:rPr>
          <w:rFonts w:ascii="仿宋" w:hAnsi="仿宋" w:eastAsia="仿宋" w:cs="仿宋"/>
          <w:color w:val="auto"/>
          <w:sz w:val="24"/>
          <w:highlight w:val="none"/>
        </w:rPr>
        <w:t>2</w:t>
      </w:r>
      <w:r>
        <w:rPr>
          <w:rFonts w:hint="eastAsia" w:ascii="仿宋" w:hAnsi="仿宋" w:eastAsia="仿宋" w:cs="仿宋"/>
          <w:color w:val="auto"/>
          <w:sz w:val="24"/>
          <w:highlight w:val="none"/>
          <w:lang w:val="en-US" w:eastAsia="zh-CN"/>
        </w:rPr>
        <w:t>0</w:t>
      </w:r>
      <w:r>
        <w:rPr>
          <w:rFonts w:ascii="仿宋" w:hAnsi="仿宋" w:eastAsia="仿宋" w:cs="仿宋"/>
          <w:color w:val="auto"/>
          <w:sz w:val="24"/>
          <w:highlight w:val="none"/>
        </w:rPr>
        <w:t>.1</w:t>
      </w:r>
      <w:r>
        <w:rPr>
          <w:rFonts w:hint="eastAsia" w:ascii="仿宋" w:hAnsi="仿宋" w:eastAsia="仿宋" w:cs="仿宋"/>
          <w:color w:val="auto"/>
          <w:sz w:val="24"/>
          <w:highlight w:val="none"/>
        </w:rPr>
        <w:t>采购人依据磋商小组推荐的成交候选人名单确定成交人，成交人数量</w:t>
      </w:r>
      <w:r>
        <w:rPr>
          <w:rFonts w:hint="eastAsia" w:ascii="仿宋" w:hAnsi="仿宋" w:eastAsia="仿宋" w:cs="仿宋"/>
          <w:color w:val="auto"/>
          <w:sz w:val="24"/>
          <w:highlight w:val="none"/>
          <w:u w:val="single"/>
        </w:rPr>
        <w:t>见本须知前附表</w:t>
      </w:r>
      <w:r>
        <w:rPr>
          <w:rFonts w:hint="eastAsia" w:ascii="仿宋" w:hAnsi="仿宋" w:eastAsia="仿宋" w:cs="仿宋"/>
          <w:color w:val="auto"/>
          <w:sz w:val="24"/>
          <w:highlight w:val="none"/>
        </w:rPr>
        <w:t>。</w:t>
      </w:r>
    </w:p>
    <w:p>
      <w:pPr>
        <w:widowControl/>
        <w:topLinePunct/>
        <w:spacing w:line="360" w:lineRule="auto"/>
        <w:rPr>
          <w:rFonts w:ascii="仿宋" w:hAnsi="仿宋" w:eastAsia="仿宋" w:cs="宋体"/>
          <w:color w:val="auto"/>
          <w:kern w:val="0"/>
          <w:sz w:val="24"/>
          <w:highlight w:val="none"/>
        </w:rPr>
      </w:pPr>
      <w:r>
        <w:rPr>
          <w:rFonts w:ascii="仿宋" w:hAnsi="仿宋" w:eastAsia="仿宋" w:cs="宋体"/>
          <w:color w:val="auto"/>
          <w:kern w:val="0"/>
          <w:sz w:val="24"/>
          <w:highlight w:val="none"/>
        </w:rPr>
        <w:t>2</w:t>
      </w:r>
      <w:r>
        <w:rPr>
          <w:rFonts w:hint="eastAsia" w:ascii="仿宋" w:hAnsi="仿宋" w:eastAsia="仿宋" w:cs="宋体"/>
          <w:color w:val="auto"/>
          <w:kern w:val="0"/>
          <w:sz w:val="24"/>
          <w:highlight w:val="none"/>
          <w:lang w:val="en-US" w:eastAsia="zh-CN"/>
        </w:rPr>
        <w:t>0</w:t>
      </w:r>
      <w:r>
        <w:rPr>
          <w:rFonts w:ascii="仿宋" w:hAnsi="仿宋" w:eastAsia="仿宋" w:cs="宋体"/>
          <w:color w:val="auto"/>
          <w:kern w:val="0"/>
          <w:sz w:val="24"/>
          <w:highlight w:val="none"/>
        </w:rPr>
        <w:t>.</w:t>
      </w:r>
      <w:r>
        <w:rPr>
          <w:rFonts w:hint="eastAsia" w:ascii="仿宋" w:hAnsi="仿宋" w:eastAsia="仿宋" w:cs="宋体"/>
          <w:color w:val="auto"/>
          <w:kern w:val="0"/>
          <w:sz w:val="24"/>
          <w:highlight w:val="none"/>
          <w:lang w:val="en-US" w:eastAsia="zh-CN"/>
        </w:rPr>
        <w:t>2</w:t>
      </w:r>
      <w:r>
        <w:rPr>
          <w:rFonts w:hint="eastAsia" w:ascii="仿宋" w:hAnsi="仿宋" w:eastAsia="仿宋" w:cs="宋体"/>
          <w:color w:val="auto"/>
          <w:kern w:val="0"/>
          <w:sz w:val="24"/>
          <w:highlight w:val="none"/>
        </w:rPr>
        <w:t>成交人确定后，采购人应当向成交人发出成交通知书，同时将成交结果通知所有未成交的供应商。成交通知书对采购人和成交人</w:t>
      </w:r>
      <w:r>
        <w:rPr>
          <w:rFonts w:hint="eastAsia" w:ascii="仿宋" w:hAnsi="仿宋" w:eastAsia="仿宋" w:cs="宋体"/>
          <w:color w:val="auto"/>
          <w:kern w:val="0"/>
          <w:sz w:val="24"/>
          <w:highlight w:val="none"/>
          <w:lang w:val="en-US" w:eastAsia="zh-CN"/>
        </w:rPr>
        <w:t>均</w:t>
      </w:r>
      <w:r>
        <w:rPr>
          <w:rFonts w:hint="eastAsia" w:ascii="仿宋" w:hAnsi="仿宋" w:eastAsia="仿宋" w:cs="宋体"/>
          <w:color w:val="auto"/>
          <w:kern w:val="0"/>
          <w:sz w:val="24"/>
          <w:highlight w:val="none"/>
        </w:rPr>
        <w:t>具有法律效力。成交人收到成交通知书后放弃成交的，应当承担法律责任。</w:t>
      </w:r>
    </w:p>
    <w:p>
      <w:pPr>
        <w:pStyle w:val="6"/>
        <w:spacing w:before="0" w:after="0"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1</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签订合同</w:t>
      </w:r>
    </w:p>
    <w:p>
      <w:pPr>
        <w:widowControl/>
        <w:topLinePunc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ascii="仿宋" w:hAnsi="仿宋" w:eastAsia="仿宋" w:cs="仿宋"/>
          <w:color w:val="auto"/>
          <w:sz w:val="24"/>
          <w:highlight w:val="none"/>
        </w:rPr>
        <w:t>.1</w:t>
      </w:r>
      <w:r>
        <w:rPr>
          <w:rFonts w:hint="eastAsia" w:ascii="仿宋" w:hAnsi="仿宋" w:eastAsia="仿宋" w:cs="仿宋"/>
          <w:color w:val="auto"/>
          <w:sz w:val="24"/>
          <w:highlight w:val="none"/>
        </w:rPr>
        <w:t>采购人与成交人按照磋商文件和成交人的响应文件</w:t>
      </w:r>
      <w:r>
        <w:rPr>
          <w:rFonts w:hint="eastAsia" w:ascii="仿宋" w:hAnsi="仿宋" w:eastAsia="仿宋" w:cs="宋体"/>
          <w:color w:val="auto"/>
          <w:kern w:val="0"/>
          <w:sz w:val="24"/>
          <w:highlight w:val="none"/>
        </w:rPr>
        <w:t>订立书面合同。合同的标的、价款、质量、履行期限等主要条款应当与</w:t>
      </w:r>
      <w:r>
        <w:rPr>
          <w:rFonts w:hint="eastAsia" w:ascii="仿宋" w:hAnsi="仿宋" w:eastAsia="仿宋" w:cs="仿宋"/>
          <w:color w:val="auto"/>
          <w:sz w:val="24"/>
          <w:highlight w:val="none"/>
        </w:rPr>
        <w:t>磋商</w:t>
      </w:r>
      <w:r>
        <w:rPr>
          <w:rFonts w:hint="eastAsia" w:ascii="仿宋" w:hAnsi="仿宋" w:eastAsia="仿宋" w:cs="宋体"/>
          <w:color w:val="auto"/>
          <w:kern w:val="0"/>
          <w:sz w:val="24"/>
          <w:highlight w:val="none"/>
        </w:rPr>
        <w:t>文件和</w:t>
      </w:r>
      <w:r>
        <w:rPr>
          <w:rFonts w:hint="eastAsia" w:ascii="仿宋" w:hAnsi="仿宋" w:eastAsia="仿宋" w:cs="仿宋"/>
          <w:color w:val="auto"/>
          <w:sz w:val="24"/>
          <w:highlight w:val="none"/>
        </w:rPr>
        <w:t>成交</w:t>
      </w:r>
      <w:r>
        <w:rPr>
          <w:rFonts w:hint="eastAsia" w:ascii="仿宋" w:hAnsi="仿宋" w:eastAsia="仿宋" w:cs="宋体"/>
          <w:color w:val="auto"/>
          <w:kern w:val="0"/>
          <w:sz w:val="24"/>
          <w:highlight w:val="none"/>
        </w:rPr>
        <w:t>人的</w:t>
      </w:r>
      <w:r>
        <w:rPr>
          <w:rFonts w:hint="eastAsia" w:ascii="仿宋" w:hAnsi="仿宋" w:eastAsia="仿宋" w:cs="仿宋"/>
          <w:color w:val="auto"/>
          <w:sz w:val="24"/>
          <w:highlight w:val="none"/>
        </w:rPr>
        <w:t>响应</w:t>
      </w:r>
      <w:r>
        <w:rPr>
          <w:rFonts w:hint="eastAsia" w:ascii="仿宋" w:hAnsi="仿宋" w:eastAsia="仿宋" w:cs="宋体"/>
          <w:color w:val="auto"/>
          <w:kern w:val="0"/>
          <w:sz w:val="24"/>
          <w:highlight w:val="none"/>
        </w:rPr>
        <w:t>文件的内容一致。</w:t>
      </w:r>
    </w:p>
    <w:p>
      <w:pPr>
        <w:widowControl/>
        <w:topLinePunct/>
        <w:spacing w:line="360" w:lineRule="auto"/>
        <w:rPr>
          <w:rFonts w:hint="eastAsia" w:ascii="仿宋" w:hAnsi="仿宋" w:eastAsia="仿宋" w:cs="宋体"/>
          <w:color w:val="auto"/>
          <w:kern w:val="0"/>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ascii="仿宋" w:hAnsi="仿宋" w:eastAsia="仿宋" w:cs="仿宋"/>
          <w:color w:val="auto"/>
          <w:sz w:val="24"/>
          <w:highlight w:val="none"/>
        </w:rPr>
        <w:t>.2</w:t>
      </w:r>
      <w:r>
        <w:rPr>
          <w:rFonts w:hint="eastAsia" w:ascii="仿宋" w:hAnsi="仿宋" w:eastAsia="仿宋" w:cs="宋体"/>
          <w:color w:val="auto"/>
          <w:kern w:val="0"/>
          <w:sz w:val="24"/>
          <w:highlight w:val="none"/>
        </w:rPr>
        <w:t>成交人无正当理由不与采购人订立合同，在签订合同时向采购人提出附加条件，将取消其成交资格。给采购人造成损失的，成交人应当予以赔偿。</w:t>
      </w:r>
    </w:p>
    <w:p>
      <w:pPr>
        <w:widowControl/>
        <w:topLinePunct/>
        <w:spacing w:line="360" w:lineRule="auto"/>
        <w:rPr>
          <w:rFonts w:ascii="仿宋" w:hAnsi="仿宋" w:eastAsia="仿宋" w:cs="宋体"/>
          <w:color w:val="auto"/>
          <w:kern w:val="0"/>
          <w:sz w:val="24"/>
          <w:highlight w:val="none"/>
        </w:rPr>
      </w:pPr>
      <w:r>
        <w:rPr>
          <w:rFonts w:ascii="仿宋" w:hAnsi="仿宋" w:eastAsia="仿宋" w:cs="宋体"/>
          <w:color w:val="auto"/>
          <w:kern w:val="0"/>
          <w:sz w:val="24"/>
          <w:highlight w:val="none"/>
        </w:rPr>
        <w:t>2</w:t>
      </w:r>
      <w:r>
        <w:rPr>
          <w:rFonts w:hint="eastAsia" w:ascii="仿宋" w:hAnsi="仿宋" w:eastAsia="仿宋" w:cs="宋体"/>
          <w:color w:val="auto"/>
          <w:kern w:val="0"/>
          <w:sz w:val="24"/>
          <w:highlight w:val="none"/>
          <w:lang w:val="en-US" w:eastAsia="zh-CN"/>
        </w:rPr>
        <w:t>1</w:t>
      </w:r>
      <w:r>
        <w:rPr>
          <w:rFonts w:ascii="仿宋" w:hAnsi="仿宋" w:eastAsia="仿宋" w:cs="宋体"/>
          <w:color w:val="auto"/>
          <w:kern w:val="0"/>
          <w:sz w:val="24"/>
          <w:highlight w:val="none"/>
        </w:rPr>
        <w:t>.3</w:t>
      </w:r>
      <w:r>
        <w:rPr>
          <w:rFonts w:hint="eastAsia" w:ascii="仿宋" w:hAnsi="仿宋" w:eastAsia="仿宋" w:cs="宋体"/>
          <w:color w:val="auto"/>
          <w:kern w:val="0"/>
          <w:sz w:val="24"/>
          <w:highlight w:val="none"/>
        </w:rPr>
        <w:t>成交供应商</w:t>
      </w:r>
      <w:r>
        <w:rPr>
          <w:rFonts w:ascii="仿宋" w:hAnsi="仿宋" w:eastAsia="仿宋" w:cs="宋体"/>
          <w:color w:val="auto"/>
          <w:kern w:val="0"/>
          <w:sz w:val="24"/>
          <w:highlight w:val="none"/>
        </w:rPr>
        <w:t>不履行与</w:t>
      </w:r>
      <w:r>
        <w:rPr>
          <w:rFonts w:hint="eastAsia" w:ascii="仿宋" w:hAnsi="仿宋" w:eastAsia="仿宋" w:cs="宋体"/>
          <w:color w:val="auto"/>
          <w:kern w:val="0"/>
          <w:sz w:val="24"/>
          <w:highlight w:val="none"/>
        </w:rPr>
        <w:t>采购</w:t>
      </w:r>
      <w:r>
        <w:rPr>
          <w:rFonts w:ascii="仿宋" w:hAnsi="仿宋" w:eastAsia="仿宋" w:cs="宋体"/>
          <w:color w:val="auto"/>
          <w:kern w:val="0"/>
          <w:sz w:val="24"/>
          <w:highlight w:val="none"/>
        </w:rPr>
        <w:t>人订立的合同的，应当对</w:t>
      </w:r>
      <w:r>
        <w:rPr>
          <w:rFonts w:hint="eastAsia" w:ascii="仿宋" w:hAnsi="仿宋" w:eastAsia="仿宋" w:cs="宋体"/>
          <w:color w:val="auto"/>
          <w:kern w:val="0"/>
          <w:sz w:val="24"/>
          <w:highlight w:val="none"/>
        </w:rPr>
        <w:t>采购</w:t>
      </w:r>
      <w:r>
        <w:rPr>
          <w:rFonts w:ascii="仿宋" w:hAnsi="仿宋" w:eastAsia="仿宋" w:cs="宋体"/>
          <w:color w:val="auto"/>
          <w:kern w:val="0"/>
          <w:sz w:val="24"/>
          <w:highlight w:val="none"/>
        </w:rPr>
        <w:t>人的损失承担赔偿责任。</w:t>
      </w:r>
    </w:p>
    <w:p>
      <w:pPr>
        <w:widowControl/>
        <w:topLinePunct/>
        <w:spacing w:line="360" w:lineRule="auto"/>
        <w:rPr>
          <w:rFonts w:ascii="仿宋" w:hAnsi="仿宋" w:eastAsia="仿宋" w:cs="宋体"/>
          <w:color w:val="auto"/>
          <w:kern w:val="0"/>
          <w:sz w:val="24"/>
          <w:highlight w:val="none"/>
        </w:rPr>
      </w:pPr>
      <w:bookmarkStart w:id="116" w:name="_Toc6132"/>
      <w:bookmarkStart w:id="117" w:name="_Toc14533"/>
      <w:bookmarkStart w:id="118" w:name="_Toc234223235"/>
      <w:r>
        <w:rPr>
          <w:rFonts w:hint="eastAsia" w:ascii="仿宋" w:hAnsi="仿宋" w:eastAsia="仿宋" w:cs="宋体"/>
          <w:color w:val="auto"/>
          <w:kern w:val="0"/>
          <w:sz w:val="24"/>
          <w:highlight w:val="none"/>
        </w:rPr>
        <w:t>22.4成交供应商</w:t>
      </w:r>
      <w:r>
        <w:rPr>
          <w:rFonts w:ascii="仿宋" w:hAnsi="仿宋" w:eastAsia="仿宋" w:cs="宋体"/>
          <w:color w:val="auto"/>
          <w:kern w:val="0"/>
          <w:sz w:val="24"/>
          <w:highlight w:val="none"/>
        </w:rPr>
        <w:t>不履行与</w:t>
      </w:r>
      <w:r>
        <w:rPr>
          <w:rFonts w:hint="eastAsia" w:ascii="仿宋" w:hAnsi="仿宋" w:eastAsia="仿宋" w:cs="宋体"/>
          <w:color w:val="auto"/>
          <w:kern w:val="0"/>
          <w:sz w:val="24"/>
          <w:highlight w:val="none"/>
        </w:rPr>
        <w:t>采购</w:t>
      </w:r>
      <w:r>
        <w:rPr>
          <w:rFonts w:ascii="仿宋" w:hAnsi="仿宋" w:eastAsia="仿宋" w:cs="宋体"/>
          <w:color w:val="auto"/>
          <w:kern w:val="0"/>
          <w:sz w:val="24"/>
          <w:highlight w:val="none"/>
        </w:rPr>
        <w:t>人订立的合同的，</w:t>
      </w:r>
      <w:r>
        <w:rPr>
          <w:rFonts w:hint="eastAsia" w:ascii="仿宋" w:hAnsi="仿宋" w:eastAsia="仿宋" w:cs="宋体"/>
          <w:color w:val="auto"/>
          <w:kern w:val="0"/>
          <w:sz w:val="24"/>
          <w:highlight w:val="none"/>
        </w:rPr>
        <w:t>履约</w:t>
      </w:r>
      <w:r>
        <w:rPr>
          <w:rFonts w:ascii="仿宋" w:hAnsi="仿宋" w:eastAsia="仿宋" w:cs="宋体"/>
          <w:color w:val="auto"/>
          <w:kern w:val="0"/>
          <w:sz w:val="24"/>
          <w:highlight w:val="none"/>
        </w:rPr>
        <w:t>保证金不予退还，给</w:t>
      </w:r>
      <w:r>
        <w:rPr>
          <w:rFonts w:hint="eastAsia" w:ascii="仿宋" w:hAnsi="仿宋" w:eastAsia="仿宋" w:cs="宋体"/>
          <w:color w:val="auto"/>
          <w:kern w:val="0"/>
          <w:sz w:val="24"/>
          <w:highlight w:val="none"/>
        </w:rPr>
        <w:t>采购</w:t>
      </w:r>
      <w:r>
        <w:rPr>
          <w:rFonts w:ascii="仿宋" w:hAnsi="仿宋" w:eastAsia="仿宋" w:cs="宋体"/>
          <w:color w:val="auto"/>
          <w:kern w:val="0"/>
          <w:sz w:val="24"/>
          <w:highlight w:val="none"/>
        </w:rPr>
        <w:t>人造成的损失超过履约保证金数额的，还应当对超过部分予以赔偿；没有提交履约保证金的，应当对</w:t>
      </w:r>
      <w:r>
        <w:rPr>
          <w:rFonts w:hint="eastAsia" w:ascii="仿宋" w:hAnsi="仿宋" w:eastAsia="仿宋" w:cs="宋体"/>
          <w:color w:val="auto"/>
          <w:kern w:val="0"/>
          <w:sz w:val="24"/>
          <w:highlight w:val="none"/>
        </w:rPr>
        <w:t>采购</w:t>
      </w:r>
      <w:r>
        <w:rPr>
          <w:rFonts w:ascii="仿宋" w:hAnsi="仿宋" w:eastAsia="仿宋" w:cs="宋体"/>
          <w:color w:val="auto"/>
          <w:kern w:val="0"/>
          <w:sz w:val="24"/>
          <w:highlight w:val="none"/>
        </w:rPr>
        <w:t>人的损失承担赔偿责任。</w:t>
      </w:r>
    </w:p>
    <w:p>
      <w:pPr>
        <w:pStyle w:val="5"/>
        <w:spacing w:before="0" w:after="0" w:line="360" w:lineRule="auto"/>
        <w:ind w:firstLine="482"/>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（七）其他</w:t>
      </w:r>
      <w:bookmarkEnd w:id="116"/>
      <w:bookmarkEnd w:id="117"/>
    </w:p>
    <w:p>
      <w:pPr>
        <w:pStyle w:val="6"/>
        <w:spacing w:before="0" w:after="0" w:line="360" w:lineRule="auto"/>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2</w:t>
      </w:r>
      <w:r>
        <w:rPr>
          <w:rFonts w:hint="eastAsia" w:ascii="仿宋" w:hAnsi="仿宋" w:eastAsia="仿宋" w:cs="仿宋"/>
          <w:bCs w:val="0"/>
          <w:color w:val="auto"/>
          <w:sz w:val="24"/>
          <w:szCs w:val="24"/>
          <w:highlight w:val="none"/>
          <w:lang w:val="en-US" w:eastAsia="zh-CN"/>
        </w:rPr>
        <w:t>2</w:t>
      </w:r>
      <w:r>
        <w:rPr>
          <w:rFonts w:hint="eastAsia" w:ascii="仿宋" w:hAnsi="仿宋" w:eastAsia="仿宋" w:cs="仿宋"/>
          <w:bCs w:val="0"/>
          <w:color w:val="auto"/>
          <w:sz w:val="24"/>
          <w:szCs w:val="24"/>
          <w:highlight w:val="none"/>
        </w:rPr>
        <w:t>.</w:t>
      </w:r>
      <w:bookmarkEnd w:id="118"/>
      <w:r>
        <w:rPr>
          <w:rFonts w:hint="eastAsia" w:ascii="仿宋" w:hAnsi="仿宋" w:eastAsia="仿宋" w:cs="仿宋"/>
          <w:bCs w:val="0"/>
          <w:color w:val="auto"/>
          <w:sz w:val="24"/>
          <w:szCs w:val="24"/>
          <w:highlight w:val="none"/>
        </w:rPr>
        <w:t>其他情况</w:t>
      </w:r>
    </w:p>
    <w:p>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详见</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rPr>
        <w:t>。</w:t>
      </w:r>
    </w:p>
    <w:p>
      <w:pPr>
        <w:rPr>
          <w:color w:val="auto"/>
          <w:highlight w:val="none"/>
        </w:rPr>
        <w:sectPr>
          <w:footerReference r:id="rId10" w:type="default"/>
          <w:pgSz w:w="11906" w:h="16838"/>
          <w:pgMar w:top="1417" w:right="1134" w:bottom="1134" w:left="1134" w:header="851" w:footer="992" w:gutter="0"/>
          <w:cols w:space="720" w:num="1"/>
          <w:docGrid w:type="lines" w:linePitch="312" w:charSpace="0"/>
        </w:sectPr>
      </w:pPr>
    </w:p>
    <w:p>
      <w:pPr>
        <w:pStyle w:val="3"/>
        <w:spacing w:before="0" w:after="0" w:line="360" w:lineRule="auto"/>
        <w:jc w:val="center"/>
        <w:rPr>
          <w:rFonts w:hint="eastAsia" w:ascii="仿宋" w:hAnsi="仿宋" w:eastAsia="仿宋" w:cs="仿宋"/>
          <w:color w:val="auto"/>
          <w:sz w:val="28"/>
          <w:szCs w:val="28"/>
          <w:highlight w:val="none"/>
        </w:rPr>
      </w:pPr>
      <w:bookmarkStart w:id="119" w:name="_Toc10670"/>
      <w:bookmarkStart w:id="120" w:name="_Toc517281824"/>
      <w:bookmarkStart w:id="121" w:name="_Toc444891343"/>
      <w:r>
        <w:rPr>
          <w:rFonts w:hint="eastAsia" w:ascii="仿宋" w:hAnsi="仿宋" w:eastAsia="仿宋" w:cs="仿宋"/>
          <w:color w:val="auto"/>
          <w:sz w:val="28"/>
          <w:szCs w:val="28"/>
          <w:highlight w:val="none"/>
        </w:rPr>
        <w:t>第三章 评审办法</w:t>
      </w:r>
      <w:bookmarkEnd w:id="119"/>
    </w:p>
    <w:p>
      <w:pPr>
        <w:pStyle w:val="4"/>
        <w:ind w:firstLine="0" w:firstLineChars="0"/>
        <w:jc w:val="left"/>
        <w:rPr>
          <w:rFonts w:hint="eastAsia" w:ascii="仿宋" w:hAnsi="仿宋" w:eastAsia="仿宋" w:cs="仿宋"/>
          <w:color w:val="auto"/>
          <w:sz w:val="24"/>
          <w:szCs w:val="24"/>
          <w:highlight w:val="none"/>
        </w:rPr>
      </w:pPr>
      <w:bookmarkStart w:id="122" w:name="_Toc517281825"/>
      <w:bookmarkStart w:id="123" w:name="_Toc7201"/>
      <w:bookmarkStart w:id="124" w:name="_Toc444891344"/>
      <w:bookmarkStart w:id="125" w:name="_Toc227057964"/>
      <w:bookmarkStart w:id="126" w:name="_Toc226969358"/>
      <w:r>
        <w:rPr>
          <w:rFonts w:hint="eastAsia" w:ascii="仿宋" w:hAnsi="仿宋" w:eastAsia="仿宋" w:cs="仿宋"/>
          <w:color w:val="auto"/>
          <w:sz w:val="24"/>
          <w:szCs w:val="24"/>
          <w:highlight w:val="none"/>
        </w:rPr>
        <w:t>一、评审程序</w:t>
      </w:r>
      <w:bookmarkEnd w:id="122"/>
      <w:bookmarkEnd w:id="123"/>
      <w:bookmarkEnd w:id="124"/>
    </w:p>
    <w:p>
      <w:pPr>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磋商小组</w:t>
      </w:r>
      <w:r>
        <w:rPr>
          <w:rFonts w:hint="eastAsia" w:ascii="仿宋" w:hAnsi="仿宋" w:eastAsia="仿宋" w:cs="仿宋"/>
          <w:color w:val="auto"/>
          <w:kern w:val="0"/>
          <w:sz w:val="24"/>
          <w:highlight w:val="none"/>
        </w:rPr>
        <w:t>对响应文件中的相关内容进行评审。评审按照以下程序进行：</w:t>
      </w:r>
    </w:p>
    <w:p>
      <w:pPr>
        <w:spacing w:line="360" w:lineRule="auto"/>
        <w:ind w:firstLine="420" w:firstLineChars="175"/>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1.</w:t>
      </w:r>
      <w:r>
        <w:rPr>
          <w:rFonts w:hint="eastAsia" w:ascii="仿宋" w:hAnsi="仿宋" w:eastAsia="仿宋" w:cs="仿宋"/>
          <w:color w:val="auto"/>
          <w:kern w:val="0"/>
          <w:sz w:val="24"/>
          <w:highlight w:val="none"/>
        </w:rPr>
        <w:t>熟悉磋商文件；</w:t>
      </w:r>
    </w:p>
    <w:p>
      <w:pPr>
        <w:spacing w:line="360" w:lineRule="auto"/>
        <w:ind w:firstLine="420" w:firstLineChars="175"/>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kern w:val="0"/>
          <w:sz w:val="24"/>
          <w:highlight w:val="none"/>
        </w:rPr>
        <w:t>对响应文件进行初步评审，检查响应文件是否满足磋商文件的初审要求；初步评审中不符合评审标准的，将做否决磋商响应处理；</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3.</w:t>
      </w:r>
      <w:r>
        <w:rPr>
          <w:rFonts w:hint="eastAsia" w:ascii="仿宋" w:hAnsi="仿宋" w:eastAsia="仿宋" w:cs="仿宋"/>
          <w:color w:val="auto"/>
          <w:kern w:val="0"/>
          <w:sz w:val="24"/>
          <w:highlight w:val="none"/>
        </w:rPr>
        <w:t>供应商有以下情形之一的，磋商小组应当否决其磋商响应：</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（1）按照</w:t>
      </w:r>
      <w:r>
        <w:rPr>
          <w:rFonts w:hint="eastAsia" w:ascii="仿宋" w:hAnsi="仿宋" w:eastAsia="仿宋" w:cs="仿宋"/>
          <w:color w:val="auto"/>
          <w:kern w:val="0"/>
          <w:sz w:val="24"/>
          <w:highlight w:val="none"/>
          <w:lang w:val="en-US" w:eastAsia="zh-CN"/>
        </w:rPr>
        <w:t>磋商</w:t>
      </w:r>
      <w:r>
        <w:rPr>
          <w:rFonts w:hint="eastAsia" w:ascii="仿宋" w:hAnsi="仿宋" w:eastAsia="仿宋" w:cs="仿宋"/>
          <w:color w:val="auto"/>
          <w:kern w:val="0"/>
          <w:sz w:val="24"/>
          <w:highlight w:val="none"/>
        </w:rPr>
        <w:t>公告要求已经递交电子</w:t>
      </w:r>
      <w:r>
        <w:rPr>
          <w:rFonts w:hint="eastAsia" w:ascii="仿宋" w:hAnsi="仿宋" w:eastAsia="仿宋" w:cs="仿宋"/>
          <w:color w:val="auto"/>
          <w:kern w:val="0"/>
          <w:sz w:val="24"/>
          <w:highlight w:val="none"/>
          <w:lang w:val="en-US" w:eastAsia="zh-CN"/>
        </w:rPr>
        <w:t>响应</w:t>
      </w:r>
      <w:r>
        <w:rPr>
          <w:rFonts w:hint="eastAsia" w:ascii="仿宋" w:hAnsi="仿宋" w:eastAsia="仿宋" w:cs="仿宋"/>
          <w:color w:val="auto"/>
          <w:kern w:val="0"/>
          <w:sz w:val="24"/>
          <w:highlight w:val="none"/>
        </w:rPr>
        <w:t>文件，</w:t>
      </w:r>
      <w:r>
        <w:rPr>
          <w:rFonts w:hint="eastAsia" w:ascii="仿宋" w:hAnsi="仿宋" w:eastAsia="仿宋" w:cs="仿宋"/>
          <w:color w:val="auto"/>
          <w:kern w:val="0"/>
          <w:sz w:val="24"/>
          <w:highlight w:val="none"/>
          <w:lang w:val="en-US" w:eastAsia="zh-CN"/>
        </w:rPr>
        <w:t>但</w:t>
      </w:r>
      <w:r>
        <w:rPr>
          <w:rFonts w:hint="eastAsia" w:ascii="仿宋" w:hAnsi="仿宋" w:eastAsia="仿宋" w:cs="仿宋"/>
          <w:color w:val="auto"/>
          <w:kern w:val="0"/>
          <w:sz w:val="24"/>
          <w:highlight w:val="none"/>
        </w:rPr>
        <w:t>未按要求递交纸质响应文件；</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（2）响应文件未经供应商盖章和单位负责人签字；</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（3）允许联合体响应的，联合体没有递交共同响应协议；</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（4）不符合国家或者磋商文件规定的资格条件；</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（5）同一供应商提交两个以上不同的响应文件或者响应报价，但磋商文件要求提交备选文件的除外；</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6</w:t>
      </w:r>
      <w:r>
        <w:rPr>
          <w:rFonts w:hint="eastAsia" w:ascii="仿宋" w:hAnsi="仿宋" w:eastAsia="仿宋" w:cs="仿宋"/>
          <w:color w:val="auto"/>
          <w:kern w:val="0"/>
          <w:sz w:val="24"/>
          <w:highlight w:val="none"/>
          <w:lang w:eastAsia="zh-CN"/>
        </w:rPr>
        <w:t>）</w:t>
      </w:r>
      <w:r>
        <w:rPr>
          <w:rFonts w:hint="eastAsia" w:ascii="仿宋" w:hAnsi="仿宋" w:eastAsia="仿宋" w:cs="宋体"/>
          <w:color w:val="auto"/>
          <w:kern w:val="0"/>
          <w:sz w:val="24"/>
          <w:szCs w:val="24"/>
          <w:highlight w:val="none"/>
          <w:lang w:val="en-US" w:eastAsia="zh-CN"/>
        </w:rPr>
        <w:t>最终</w:t>
      </w:r>
      <w:r>
        <w:rPr>
          <w:rFonts w:hint="eastAsia" w:ascii="仿宋" w:hAnsi="仿宋" w:eastAsia="仿宋" w:cs="宋体"/>
          <w:color w:val="auto"/>
          <w:kern w:val="0"/>
          <w:sz w:val="24"/>
          <w:szCs w:val="24"/>
          <w:highlight w:val="none"/>
        </w:rPr>
        <w:t>报价低于成本或者高于</w:t>
      </w:r>
      <w:r>
        <w:rPr>
          <w:rFonts w:hint="eastAsia" w:ascii="仿宋" w:hAnsi="仿宋" w:eastAsia="仿宋" w:cs="宋体"/>
          <w:color w:val="auto"/>
          <w:kern w:val="0"/>
          <w:sz w:val="24"/>
          <w:szCs w:val="24"/>
          <w:highlight w:val="none"/>
          <w:lang w:val="en-US" w:eastAsia="zh-CN"/>
        </w:rPr>
        <w:t>磋商</w:t>
      </w:r>
      <w:r>
        <w:rPr>
          <w:rFonts w:hint="eastAsia" w:ascii="仿宋" w:hAnsi="仿宋" w:eastAsia="仿宋" w:cs="宋体"/>
          <w:color w:val="auto"/>
          <w:kern w:val="0"/>
          <w:sz w:val="24"/>
          <w:szCs w:val="24"/>
          <w:highlight w:val="none"/>
        </w:rPr>
        <w:t>文件设定的最高投标限价；</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（7）</w:t>
      </w:r>
      <w:r>
        <w:rPr>
          <w:rFonts w:hint="eastAsia" w:ascii="仿宋" w:hAnsi="仿宋" w:eastAsia="仿宋" w:cs="宋体"/>
          <w:color w:val="auto"/>
          <w:kern w:val="0"/>
          <w:sz w:val="24"/>
          <w:szCs w:val="24"/>
          <w:highlight w:val="none"/>
          <w:lang w:val="en-US" w:eastAsia="zh-CN"/>
        </w:rPr>
        <w:t>响应</w:t>
      </w:r>
      <w:r>
        <w:rPr>
          <w:rFonts w:hint="eastAsia" w:ascii="仿宋" w:hAnsi="仿宋" w:eastAsia="仿宋" w:cs="宋体"/>
          <w:color w:val="auto"/>
          <w:kern w:val="0"/>
          <w:sz w:val="24"/>
          <w:szCs w:val="24"/>
          <w:highlight w:val="none"/>
        </w:rPr>
        <w:t>文件未对</w:t>
      </w:r>
      <w:r>
        <w:rPr>
          <w:rFonts w:hint="eastAsia" w:ascii="仿宋" w:hAnsi="仿宋" w:eastAsia="仿宋" w:cs="宋体"/>
          <w:color w:val="auto"/>
          <w:kern w:val="0"/>
          <w:sz w:val="24"/>
          <w:szCs w:val="24"/>
          <w:highlight w:val="none"/>
          <w:lang w:val="en-US" w:eastAsia="zh-CN"/>
        </w:rPr>
        <w:t>磋商</w:t>
      </w:r>
      <w:r>
        <w:rPr>
          <w:rFonts w:hint="eastAsia" w:ascii="仿宋" w:hAnsi="仿宋" w:eastAsia="仿宋" w:cs="宋体"/>
          <w:color w:val="auto"/>
          <w:kern w:val="0"/>
          <w:sz w:val="24"/>
          <w:szCs w:val="24"/>
          <w:highlight w:val="none"/>
        </w:rPr>
        <w:t xml:space="preserve">文件的实质性要求和条件作出响应； </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（8）</w:t>
      </w:r>
      <w:r>
        <w:rPr>
          <w:rFonts w:hint="eastAsia" w:ascii="仿宋" w:hAnsi="仿宋" w:eastAsia="仿宋" w:cs="宋体"/>
          <w:color w:val="auto"/>
          <w:kern w:val="0"/>
          <w:sz w:val="24"/>
          <w:szCs w:val="24"/>
          <w:highlight w:val="none"/>
          <w:lang w:val="en-US" w:eastAsia="zh-CN"/>
        </w:rPr>
        <w:t>供应商</w:t>
      </w:r>
      <w:r>
        <w:rPr>
          <w:rFonts w:hint="eastAsia" w:ascii="仿宋" w:hAnsi="仿宋" w:eastAsia="仿宋" w:cs="宋体"/>
          <w:color w:val="auto"/>
          <w:kern w:val="0"/>
          <w:sz w:val="24"/>
          <w:szCs w:val="24"/>
          <w:highlight w:val="none"/>
        </w:rPr>
        <w:t>有串通投标、弄虚作假、行贿等违法行为；</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（9）不接受或不确认因算术性错误进行的价格修正；</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（10）</w:t>
      </w:r>
      <w:r>
        <w:rPr>
          <w:rFonts w:hint="eastAsia" w:ascii="仿宋" w:hAnsi="仿宋" w:eastAsia="仿宋" w:cs="宋体"/>
          <w:color w:val="auto"/>
          <w:kern w:val="0"/>
          <w:sz w:val="24"/>
          <w:szCs w:val="24"/>
          <w:highlight w:val="none"/>
          <w:lang w:val="en-US" w:eastAsia="zh-CN"/>
        </w:rPr>
        <w:t>响应</w:t>
      </w:r>
      <w:r>
        <w:rPr>
          <w:rFonts w:hint="eastAsia" w:ascii="仿宋" w:hAnsi="仿宋" w:eastAsia="仿宋" w:cs="宋体"/>
          <w:color w:val="auto"/>
          <w:kern w:val="0"/>
          <w:sz w:val="24"/>
          <w:szCs w:val="24"/>
          <w:highlight w:val="none"/>
        </w:rPr>
        <w:t>文件附有</w:t>
      </w:r>
      <w:r>
        <w:rPr>
          <w:rFonts w:hint="eastAsia" w:ascii="仿宋" w:hAnsi="仿宋" w:eastAsia="仿宋" w:cs="宋体"/>
          <w:color w:val="auto"/>
          <w:kern w:val="0"/>
          <w:sz w:val="24"/>
          <w:szCs w:val="24"/>
          <w:highlight w:val="none"/>
          <w:lang w:val="en-US" w:eastAsia="zh-CN"/>
        </w:rPr>
        <w:t>采购</w:t>
      </w:r>
      <w:r>
        <w:rPr>
          <w:rFonts w:hint="eastAsia" w:ascii="仿宋" w:hAnsi="仿宋" w:eastAsia="仿宋" w:cs="宋体"/>
          <w:color w:val="auto"/>
          <w:kern w:val="0"/>
          <w:sz w:val="24"/>
          <w:szCs w:val="24"/>
          <w:highlight w:val="none"/>
        </w:rPr>
        <w:t>人不能接受的条件；</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（11）不符合</w:t>
      </w:r>
      <w:r>
        <w:rPr>
          <w:rFonts w:hint="eastAsia" w:ascii="仿宋" w:hAnsi="仿宋" w:eastAsia="仿宋" w:cs="宋体"/>
          <w:color w:val="auto"/>
          <w:kern w:val="0"/>
          <w:sz w:val="24"/>
          <w:szCs w:val="24"/>
          <w:highlight w:val="none"/>
          <w:lang w:val="en-US" w:eastAsia="zh-CN"/>
        </w:rPr>
        <w:t>磋商</w:t>
      </w:r>
      <w:r>
        <w:rPr>
          <w:rFonts w:hint="eastAsia" w:ascii="仿宋" w:hAnsi="仿宋" w:eastAsia="仿宋" w:cs="宋体"/>
          <w:color w:val="auto"/>
          <w:kern w:val="0"/>
          <w:sz w:val="24"/>
          <w:szCs w:val="24"/>
          <w:highlight w:val="none"/>
        </w:rPr>
        <w:t>文件中规定的其他实质性要求。</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4.初步评审</w:t>
      </w:r>
      <w:r>
        <w:rPr>
          <w:rFonts w:hint="eastAsia" w:ascii="仿宋" w:hAnsi="仿宋" w:eastAsia="仿宋" w:cs="仿宋"/>
          <w:color w:val="auto"/>
          <w:kern w:val="0"/>
          <w:sz w:val="24"/>
          <w:highlight w:val="none"/>
          <w:lang w:val="zh-CN" w:eastAsia="zh-CN"/>
        </w:rPr>
        <w:t>内容允许在磋商过程中按磋商小组规定的时间内补充，若未在规定时间内补充则将导致响应无效。</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5.</w:t>
      </w:r>
      <w:r>
        <w:rPr>
          <w:rFonts w:hint="eastAsia" w:ascii="仿宋" w:hAnsi="仿宋" w:eastAsia="仿宋" w:cs="仿宋"/>
          <w:color w:val="auto"/>
          <w:kern w:val="0"/>
          <w:sz w:val="24"/>
          <w:highlight w:val="none"/>
        </w:rPr>
        <w:t>通过初步评审的供应商分别进行磋商；</w:t>
      </w:r>
    </w:p>
    <w:p>
      <w:pPr>
        <w:spacing w:line="360" w:lineRule="auto"/>
        <w:ind w:firstLine="420" w:firstLineChars="175"/>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6.</w:t>
      </w:r>
      <w:r>
        <w:rPr>
          <w:rFonts w:hint="eastAsia" w:ascii="仿宋" w:hAnsi="仿宋" w:eastAsia="仿宋" w:cs="仿宋"/>
          <w:color w:val="auto"/>
          <w:kern w:val="0"/>
          <w:sz w:val="24"/>
          <w:highlight w:val="none"/>
        </w:rPr>
        <w:t>通过初步评审的供应商进行最终报价；</w:t>
      </w:r>
    </w:p>
    <w:p>
      <w:pPr>
        <w:spacing w:line="360" w:lineRule="auto"/>
        <w:ind w:firstLine="420" w:firstLineChars="175"/>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7.</w:t>
      </w:r>
      <w:r>
        <w:rPr>
          <w:rFonts w:hint="eastAsia" w:ascii="仿宋" w:hAnsi="仿宋" w:eastAsia="仿宋" w:cs="仿宋"/>
          <w:color w:val="auto"/>
          <w:kern w:val="0"/>
          <w:sz w:val="24"/>
          <w:highlight w:val="none"/>
        </w:rPr>
        <w:t>通过初步评审的响应文件进行详细评审及打分；</w:t>
      </w:r>
    </w:p>
    <w:p>
      <w:pPr>
        <w:spacing w:line="360" w:lineRule="auto"/>
        <w:ind w:firstLine="420" w:firstLineChars="175"/>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8.</w:t>
      </w:r>
      <w:r>
        <w:rPr>
          <w:rFonts w:hint="eastAsia" w:ascii="仿宋" w:hAnsi="仿宋" w:eastAsia="仿宋" w:cs="仿宋"/>
          <w:color w:val="auto"/>
          <w:kern w:val="0"/>
          <w:sz w:val="24"/>
          <w:highlight w:val="none"/>
        </w:rPr>
        <w:t>按照综合评分由高到低的次序推荐成交候选人，提交评审报告，评审报告应包含评审情况说明、排名次序、推荐成交候选人名单及其他说明事项。</w:t>
      </w:r>
    </w:p>
    <w:p>
      <w:pPr>
        <w:pStyle w:val="4"/>
        <w:ind w:firstLine="0" w:firstLineChars="0"/>
        <w:jc w:val="left"/>
        <w:rPr>
          <w:rFonts w:hint="eastAsia" w:ascii="仿宋" w:hAnsi="仿宋" w:eastAsia="仿宋" w:cs="仿宋"/>
          <w:color w:val="auto"/>
          <w:sz w:val="24"/>
          <w:szCs w:val="24"/>
          <w:highlight w:val="none"/>
        </w:rPr>
      </w:pPr>
      <w:bookmarkStart w:id="127" w:name="_Toc444891345"/>
      <w:bookmarkStart w:id="128" w:name="_Toc517281826"/>
      <w:r>
        <w:rPr>
          <w:rFonts w:hint="eastAsia" w:ascii="仿宋" w:hAnsi="仿宋" w:eastAsia="仿宋" w:cs="仿宋"/>
          <w:color w:val="auto"/>
          <w:sz w:val="24"/>
          <w:szCs w:val="24"/>
          <w:highlight w:val="none"/>
        </w:rPr>
        <w:br w:type="page"/>
      </w:r>
      <w:bookmarkStart w:id="129" w:name="_Toc32019"/>
      <w:r>
        <w:rPr>
          <w:rFonts w:hint="eastAsia" w:ascii="仿宋" w:hAnsi="仿宋" w:eastAsia="仿宋" w:cs="仿宋"/>
          <w:color w:val="auto"/>
          <w:sz w:val="24"/>
          <w:szCs w:val="24"/>
          <w:highlight w:val="none"/>
        </w:rPr>
        <w:t>二、初步评审</w:t>
      </w:r>
      <w:bookmarkEnd w:id="127"/>
      <w:bookmarkEnd w:id="128"/>
      <w:bookmarkEnd w:id="129"/>
    </w:p>
    <w:bookmarkEnd w:id="125"/>
    <w:bookmarkEnd w:id="126"/>
    <w:tbl>
      <w:tblPr>
        <w:tblStyle w:val="40"/>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56"/>
        <w:gridCol w:w="1167"/>
        <w:gridCol w:w="1950"/>
        <w:gridCol w:w="6081"/>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noWrap w:val="0"/>
            <w:vAlign w:val="center"/>
          </w:tcPr>
          <w:p>
            <w:pPr>
              <w:widowControl/>
              <w:spacing w:line="360" w:lineRule="auto"/>
              <w:jc w:val="center"/>
              <w:rPr>
                <w:rFonts w:hint="eastAsia" w:ascii="仿宋" w:hAnsi="仿宋" w:eastAsia="仿宋" w:cs="仿宋"/>
                <w:b/>
                <w:color w:val="auto"/>
                <w:kern w:val="0"/>
                <w:szCs w:val="21"/>
                <w:highlight w:val="none"/>
              </w:rPr>
            </w:pPr>
            <w:bookmarkStart w:id="130" w:name="_Toc13468"/>
            <w:bookmarkStart w:id="131" w:name="_Toc4633"/>
            <w:bookmarkStart w:id="132" w:name="_Toc426620345"/>
            <w:bookmarkStart w:id="133" w:name="_Toc9003"/>
            <w:bookmarkStart w:id="134" w:name="_Toc444891346"/>
            <w:bookmarkStart w:id="135" w:name="_Toc517281827"/>
            <w:r>
              <w:rPr>
                <w:rFonts w:hint="eastAsia" w:ascii="仿宋" w:hAnsi="仿宋" w:eastAsia="仿宋" w:cs="仿宋"/>
                <w:b/>
                <w:color w:val="auto"/>
                <w:kern w:val="0"/>
                <w:szCs w:val="21"/>
                <w:highlight w:val="none"/>
              </w:rPr>
              <w:t>序号</w:t>
            </w:r>
          </w:p>
        </w:tc>
        <w:tc>
          <w:tcPr>
            <w:tcW w:w="592" w:type="pct"/>
            <w:noWrap w:val="0"/>
            <w:vAlign w:val="top"/>
          </w:tcPr>
          <w:p>
            <w:pPr>
              <w:widowControl/>
              <w:spacing w:before="24" w:after="24" w:line="360" w:lineRule="auto"/>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评审环节</w:t>
            </w:r>
          </w:p>
        </w:tc>
        <w:tc>
          <w:tcPr>
            <w:tcW w:w="989" w:type="pct"/>
            <w:noWrap w:val="0"/>
            <w:vAlign w:val="center"/>
          </w:tcPr>
          <w:p>
            <w:pPr>
              <w:widowControl/>
              <w:spacing w:before="24" w:after="24" w:line="360" w:lineRule="auto"/>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评审因素</w:t>
            </w:r>
          </w:p>
        </w:tc>
        <w:tc>
          <w:tcPr>
            <w:tcW w:w="3085" w:type="pct"/>
            <w:noWrap w:val="0"/>
            <w:vAlign w:val="center"/>
          </w:tcPr>
          <w:p>
            <w:pPr>
              <w:widowControl/>
              <w:spacing w:line="360" w:lineRule="auto"/>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restart"/>
            <w:noWrap w:val="0"/>
            <w:vAlign w:val="center"/>
          </w:tcPr>
          <w:p>
            <w:pPr>
              <w:widowControl/>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592" w:type="pct"/>
            <w:vMerge w:val="restart"/>
            <w:noWrap w:val="0"/>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形式评审标准</w:t>
            </w:r>
          </w:p>
        </w:tc>
        <w:tc>
          <w:tcPr>
            <w:tcW w:w="989" w:type="pct"/>
            <w:noWrap w:val="0"/>
            <w:vAlign w:val="center"/>
          </w:tcPr>
          <w:p>
            <w:pPr>
              <w:spacing w:before="24" w:after="24" w:line="276" w:lineRule="auto"/>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供应商名称</w:t>
            </w:r>
          </w:p>
        </w:tc>
        <w:tc>
          <w:tcPr>
            <w:tcW w:w="3085" w:type="pct"/>
            <w:noWrap w:val="0"/>
            <w:vAlign w:val="center"/>
          </w:tcPr>
          <w:p>
            <w:pPr>
              <w:spacing w:before="24" w:after="24" w:line="276" w:lineRule="auto"/>
              <w:jc w:val="left"/>
              <w:rPr>
                <w:rFonts w:hint="eastAsia" w:ascii="仿宋" w:hAnsi="仿宋" w:eastAsia="仿宋" w:cs="仿宋"/>
                <w:color w:val="auto"/>
                <w:kern w:val="0"/>
                <w:szCs w:val="21"/>
                <w:highlight w:val="none"/>
              </w:rPr>
            </w:pPr>
            <w:r>
              <w:rPr>
                <w:rFonts w:hint="eastAsia" w:ascii="仿宋" w:hAnsi="仿宋" w:eastAsia="仿宋" w:cs="Cambria Math"/>
                <w:color w:val="auto"/>
                <w:szCs w:val="21"/>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spacing w:before="24" w:after="24" w:line="276" w:lineRule="auto"/>
              <w:jc w:val="center"/>
              <w:rPr>
                <w:rFonts w:hint="eastAsia" w:ascii="仿宋" w:hAnsi="仿宋" w:eastAsia="仿宋" w:cs="仿宋"/>
                <w:color w:val="auto"/>
                <w:spacing w:val="-4"/>
                <w:kern w:val="0"/>
                <w:szCs w:val="21"/>
                <w:highlight w:val="none"/>
              </w:rPr>
            </w:pPr>
            <w:r>
              <w:rPr>
                <w:rFonts w:hint="eastAsia" w:ascii="仿宋" w:hAnsi="仿宋" w:eastAsia="仿宋" w:cs="仿宋"/>
                <w:color w:val="auto"/>
                <w:szCs w:val="21"/>
                <w:highlight w:val="none"/>
              </w:rPr>
              <w:t>法定代表人（负责人）身份证明</w:t>
            </w:r>
          </w:p>
        </w:tc>
        <w:tc>
          <w:tcPr>
            <w:tcW w:w="3085" w:type="pct"/>
            <w:noWrap w:val="0"/>
            <w:vAlign w:val="center"/>
          </w:tcPr>
          <w:p>
            <w:pPr>
              <w:pStyle w:val="174"/>
              <w:topLinePun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1、提供法定代表人（负责人）身份证复印件。</w:t>
            </w:r>
          </w:p>
          <w:p>
            <w:pPr>
              <w:pStyle w:val="137"/>
              <w:tabs>
                <w:tab w:val="left" w:pos="630"/>
              </w:tabs>
              <w:topLinePunct/>
              <w:spacing w:before="62" w:beforeLines="20" w:after="62" w:afterLines="20"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2"/>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法定代表人（负责人）授权委托书</w:t>
            </w:r>
          </w:p>
        </w:tc>
        <w:tc>
          <w:tcPr>
            <w:tcW w:w="3085" w:type="pct"/>
            <w:noWrap w:val="0"/>
            <w:vAlign w:val="center"/>
          </w:tcPr>
          <w:p>
            <w:pPr>
              <w:pStyle w:val="174"/>
              <w:topLinePunct/>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1、提供委托代理人身份证复印件。</w:t>
            </w:r>
          </w:p>
          <w:p>
            <w:pPr>
              <w:pStyle w:val="174"/>
              <w:topLinePunct/>
              <w:spacing w:line="276" w:lineRule="auto"/>
              <w:rPr>
                <w:rFonts w:hint="eastAsia" w:ascii="仿宋" w:hAnsi="仿宋" w:eastAsia="仿宋" w:cs="Cambria Math"/>
                <w:color w:val="auto"/>
                <w:sz w:val="21"/>
                <w:szCs w:val="21"/>
                <w:highlight w:val="none"/>
              </w:rPr>
            </w:pPr>
            <w:r>
              <w:rPr>
                <w:rFonts w:hint="eastAsia" w:ascii="仿宋" w:hAnsi="仿宋" w:eastAsia="仿宋" w:cs="仿宋"/>
                <w:color w:val="auto"/>
                <w:sz w:val="22"/>
                <w:highlight w:val="none"/>
              </w:rPr>
              <w:t>2、落款</w:t>
            </w:r>
            <w:r>
              <w:rPr>
                <w:rFonts w:hint="eastAsia" w:ascii="仿宋" w:hAnsi="仿宋" w:eastAsia="仿宋" w:cs="仿宋"/>
                <w:bCs/>
                <w:color w:val="auto"/>
                <w:sz w:val="22"/>
                <w:highlight w:val="none"/>
              </w:rPr>
              <w:t>加盖公章</w:t>
            </w:r>
            <w:r>
              <w:rPr>
                <w:rFonts w:hint="eastAsia" w:ascii="仿宋" w:hAnsi="仿宋" w:eastAsia="仿宋" w:cs="仿宋"/>
                <w:b/>
                <w:bCs/>
                <w:color w:val="auto"/>
                <w:sz w:val="22"/>
                <w:highlight w:val="none"/>
              </w:rPr>
              <w:t>并由</w:t>
            </w:r>
            <w:r>
              <w:rPr>
                <w:rFonts w:hint="eastAsia" w:ascii="仿宋" w:hAnsi="仿宋" w:eastAsia="仿宋" w:cs="仿宋"/>
                <w:color w:val="auto"/>
                <w:sz w:val="22"/>
                <w:highlight w:val="none"/>
              </w:rPr>
              <w:t>法定代表人（负责人）签字</w:t>
            </w:r>
            <w:r>
              <w:rPr>
                <w:rFonts w:hint="eastAsia" w:ascii="仿宋" w:hAnsi="仿宋" w:eastAsia="仿宋" w:cs="仿宋"/>
                <w:b/>
                <w:bCs/>
                <w:color w:val="auto"/>
                <w:sz w:val="22"/>
                <w:highlight w:val="none"/>
              </w:rPr>
              <w:t>和</w:t>
            </w:r>
            <w:r>
              <w:rPr>
                <w:rFonts w:hint="eastAsia" w:ascii="仿宋" w:hAnsi="仿宋" w:eastAsia="仿宋" w:cs="仿宋"/>
                <w:color w:val="auto"/>
                <w:sz w:val="22"/>
                <w:highlight w:val="none"/>
              </w:rPr>
              <w:t>其委托代理人</w:t>
            </w:r>
            <w:r>
              <w:rPr>
                <w:rFonts w:hint="eastAsia" w:ascii="仿宋" w:hAnsi="仿宋" w:eastAsia="仿宋" w:cs="仿宋"/>
                <w:b/>
                <w:bCs/>
                <w:color w:val="auto"/>
                <w:sz w:val="22"/>
                <w:highlight w:val="none"/>
              </w:rPr>
              <w:t>双方</w:t>
            </w:r>
            <w:r>
              <w:rPr>
                <w:rFonts w:hint="eastAsia" w:ascii="仿宋" w:hAnsi="仿宋" w:eastAsia="仿宋" w:cs="仿宋"/>
                <w:bCs/>
                <w:color w:val="auto"/>
                <w:sz w:val="22"/>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spacing w:before="24" w:after="24" w:line="276" w:lineRule="auto"/>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响应文件签字或盖章</w:t>
            </w:r>
          </w:p>
        </w:tc>
        <w:tc>
          <w:tcPr>
            <w:tcW w:w="3085" w:type="pct"/>
            <w:noWrap w:val="0"/>
            <w:vAlign w:val="center"/>
          </w:tcPr>
          <w:p>
            <w:pPr>
              <w:spacing w:before="24" w:after="24"/>
              <w:jc w:val="left"/>
              <w:rPr>
                <w:rFonts w:hint="eastAsia" w:ascii="仿宋" w:hAnsi="仿宋" w:eastAsia="仿宋" w:cs="宋体"/>
                <w:color w:val="auto"/>
                <w:szCs w:val="21"/>
                <w:highlight w:val="none"/>
              </w:rPr>
            </w:pPr>
            <w:r>
              <w:rPr>
                <w:rFonts w:hint="eastAsia" w:ascii="仿宋" w:hAnsi="仿宋" w:eastAsia="仿宋" w:cs="宋体"/>
                <w:color w:val="auto"/>
                <w:szCs w:val="21"/>
                <w:highlight w:val="none"/>
              </w:rPr>
              <w:t>1、上述两款以外的响应文件格式中有落款的文件，</w:t>
            </w:r>
            <w:r>
              <w:rPr>
                <w:rFonts w:hint="eastAsia" w:ascii="仿宋" w:hAnsi="仿宋" w:eastAsia="仿宋" w:cs="宋体"/>
                <w:b/>
                <w:color w:val="auto"/>
                <w:szCs w:val="21"/>
                <w:highlight w:val="none"/>
              </w:rPr>
              <w:t>均需</w:t>
            </w:r>
            <w:r>
              <w:rPr>
                <w:rFonts w:hint="eastAsia" w:ascii="仿宋" w:hAnsi="仿宋" w:eastAsia="仿宋" w:cs="宋体"/>
                <w:color w:val="auto"/>
                <w:szCs w:val="21"/>
                <w:highlight w:val="none"/>
              </w:rPr>
              <w:t>加盖公章</w:t>
            </w:r>
            <w:r>
              <w:rPr>
                <w:rFonts w:hint="eastAsia" w:ascii="仿宋" w:hAnsi="仿宋" w:eastAsia="仿宋" w:cs="宋体"/>
                <w:b/>
                <w:color w:val="auto"/>
                <w:szCs w:val="21"/>
                <w:highlight w:val="none"/>
              </w:rPr>
              <w:t>或</w:t>
            </w:r>
            <w:r>
              <w:rPr>
                <w:rFonts w:hint="eastAsia" w:ascii="仿宋" w:hAnsi="仿宋" w:eastAsia="仿宋" w:cs="宋体"/>
                <w:color w:val="auto"/>
                <w:szCs w:val="21"/>
                <w:highlight w:val="none"/>
              </w:rPr>
              <w:t>由法定代表人（负责人）签字</w:t>
            </w:r>
            <w:r>
              <w:rPr>
                <w:rFonts w:hint="eastAsia" w:ascii="仿宋" w:hAnsi="仿宋" w:eastAsia="仿宋" w:cs="宋体"/>
                <w:b/>
                <w:color w:val="auto"/>
                <w:szCs w:val="21"/>
                <w:highlight w:val="none"/>
              </w:rPr>
              <w:t>或</w:t>
            </w:r>
            <w:r>
              <w:rPr>
                <w:rFonts w:hint="eastAsia" w:ascii="仿宋" w:hAnsi="仿宋" w:eastAsia="仿宋" w:cs="宋体"/>
                <w:color w:val="auto"/>
                <w:szCs w:val="21"/>
                <w:highlight w:val="none"/>
              </w:rPr>
              <w:t>其委托代理人签字。</w:t>
            </w:r>
          </w:p>
          <w:p>
            <w:pPr>
              <w:pStyle w:val="156"/>
              <w:spacing w:before="62" w:beforeLines="20" w:after="62" w:afterLines="20" w:line="276" w:lineRule="auto"/>
              <w:rPr>
                <w:rFonts w:hint="eastAsia" w:ascii="仿宋" w:hAnsi="仿宋" w:eastAsia="仿宋" w:cs="宋体"/>
                <w:color w:val="auto"/>
                <w:highlight w:val="none"/>
              </w:rPr>
            </w:pPr>
            <w:r>
              <w:rPr>
                <w:rFonts w:hint="eastAsia" w:ascii="仿宋" w:hAnsi="仿宋" w:eastAsia="仿宋" w:cs="宋体"/>
                <w:color w:val="auto"/>
                <w:highlight w:val="none"/>
              </w:rPr>
              <w:t>2、响应文件的所有签字处均指手写签字</w:t>
            </w:r>
            <w:r>
              <w:rPr>
                <w:rFonts w:hint="eastAsia" w:ascii="仿宋" w:hAnsi="仿宋" w:eastAsia="仿宋" w:cs="宋体"/>
                <w:b/>
                <w:color w:val="auto"/>
                <w:highlight w:val="none"/>
              </w:rPr>
              <w:t>或</w:t>
            </w:r>
            <w:r>
              <w:rPr>
                <w:rFonts w:hint="eastAsia" w:ascii="仿宋" w:hAnsi="仿宋" w:eastAsia="仿宋" w:cs="宋体"/>
                <w:color w:val="auto"/>
                <w:highlight w:val="none"/>
              </w:rPr>
              <w:t>签名章/印章</w:t>
            </w:r>
            <w:r>
              <w:rPr>
                <w:rFonts w:hint="eastAsia" w:ascii="仿宋" w:hAnsi="仿宋" w:eastAsia="仿宋" w:cs="宋体"/>
                <w:b/>
                <w:bCs/>
                <w:color w:val="auto"/>
                <w:highlight w:val="none"/>
              </w:rPr>
              <w:t>或</w:t>
            </w:r>
            <w:r>
              <w:rPr>
                <w:rFonts w:hint="eastAsia" w:ascii="仿宋" w:hAnsi="仿宋" w:eastAsia="仿宋" w:cs="宋体"/>
                <w:color w:val="auto"/>
                <w:highlight w:val="none"/>
              </w:rPr>
              <w:t>CA签名章，</w:t>
            </w:r>
            <w:r>
              <w:rPr>
                <w:rFonts w:hint="eastAsia" w:ascii="仿宋" w:hAnsi="仿宋" w:eastAsia="仿宋" w:cs="宋体"/>
                <w:b/>
                <w:color w:val="auto"/>
                <w:highlight w:val="none"/>
              </w:rPr>
              <w:t>不得</w:t>
            </w:r>
            <w:r>
              <w:rPr>
                <w:rFonts w:hint="eastAsia" w:ascii="仿宋" w:hAnsi="仿宋" w:eastAsia="仿宋" w:cs="宋体"/>
                <w:color w:val="auto"/>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restart"/>
            <w:noWrap w:val="0"/>
            <w:vAlign w:val="center"/>
          </w:tcPr>
          <w:p>
            <w:pPr>
              <w:widowControl/>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592" w:type="pct"/>
            <w:vMerge w:val="restart"/>
            <w:noWrap w:val="0"/>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资格评审标准</w:t>
            </w:r>
          </w:p>
        </w:tc>
        <w:tc>
          <w:tcPr>
            <w:tcW w:w="989" w:type="pct"/>
            <w:noWrap w:val="0"/>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营业执照</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银行资信证明</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szCs w:val="21"/>
                <w:highlight w:val="none"/>
              </w:rPr>
            </w:pPr>
            <w:r>
              <w:rPr>
                <w:rFonts w:hint="eastAsia" w:ascii="仿宋" w:hAnsi="仿宋" w:eastAsia="仿宋" w:cs="Monaco"/>
                <w:color w:val="auto"/>
                <w:szCs w:val="21"/>
                <w:highlight w:val="none"/>
              </w:rPr>
              <w:t>业绩证明材料</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default" w:ascii="仿宋" w:hAnsi="仿宋" w:eastAsia="仿宋" w:cs="仿宋"/>
                <w:color w:val="auto"/>
                <w:kern w:val="0"/>
                <w:szCs w:val="21"/>
                <w:highlight w:val="none"/>
                <w:lang w:val="en-US" w:eastAsia="zh-CN"/>
              </w:rPr>
            </w:pPr>
            <w:r>
              <w:rPr>
                <w:rFonts w:hint="eastAsia" w:ascii="仿宋" w:hAnsi="仿宋" w:eastAsia="仿宋" w:cs="Cambria Math"/>
                <w:color w:val="auto"/>
                <w:szCs w:val="21"/>
                <w:highlight w:val="none"/>
              </w:rPr>
              <w:t>税收和社会保障资金缴纳凭证</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无违法违规记录</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Monaco"/>
                <w:color w:val="auto"/>
                <w:szCs w:val="21"/>
                <w:highlight w:val="none"/>
              </w:rPr>
              <w:t>未被列入黑名单</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Cambria Math"/>
                <w:color w:val="auto"/>
                <w:szCs w:val="21"/>
                <w:highlight w:val="none"/>
              </w:rPr>
              <w:t>控股及管理关系</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Cambria Math"/>
                <w:color w:val="auto"/>
                <w:szCs w:val="21"/>
                <w:highlight w:val="none"/>
                <w:lang w:eastAsia="zh-CN"/>
              </w:rPr>
            </w:pPr>
            <w:r>
              <w:rPr>
                <w:rFonts w:hint="eastAsia" w:ascii="仿宋" w:hAnsi="仿宋" w:eastAsia="仿宋" w:cs="仿宋"/>
                <w:color w:val="auto"/>
                <w:szCs w:val="21"/>
                <w:highlight w:val="none"/>
                <w:lang w:val="en-US" w:eastAsia="zh-CN"/>
              </w:rPr>
              <w:t>其他</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w:t>
            </w:r>
            <w:r>
              <w:rPr>
                <w:rFonts w:hint="eastAsia" w:ascii="仿宋" w:hAnsi="仿宋" w:eastAsia="仿宋" w:cs="仿宋"/>
                <w:color w:val="auto"/>
                <w:szCs w:val="21"/>
                <w:highlight w:val="none"/>
                <w:lang w:eastAsia="zh-CN"/>
              </w:rPr>
              <w:t>比选</w:t>
            </w:r>
            <w:r>
              <w:rPr>
                <w:rFonts w:hint="eastAsia" w:ascii="仿宋" w:hAnsi="仿宋" w:eastAsia="仿宋" w:cs="仿宋"/>
                <w:color w:val="auto"/>
                <w:szCs w:val="21"/>
                <w:highlight w:val="none"/>
              </w:rPr>
              <w:t>公告”</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restart"/>
            <w:noWrap w:val="0"/>
            <w:vAlign w:val="center"/>
          </w:tcPr>
          <w:p>
            <w:pPr>
              <w:widowControl/>
              <w:spacing w:line="360" w:lineRule="auto"/>
              <w:jc w:val="center"/>
              <w:rPr>
                <w:rFonts w:hint="eastAsia" w:ascii="仿宋" w:hAnsi="仿宋" w:eastAsia="仿宋" w:cs="仿宋"/>
                <w:color w:val="auto"/>
                <w:kern w:val="0"/>
                <w:szCs w:val="21"/>
                <w:highlight w:val="none"/>
              </w:rPr>
            </w:pPr>
            <w:r>
              <w:rPr>
                <w:rFonts w:ascii="仿宋" w:hAnsi="仿宋" w:eastAsia="仿宋" w:cs="仿宋"/>
                <w:color w:val="auto"/>
                <w:kern w:val="0"/>
                <w:szCs w:val="21"/>
                <w:highlight w:val="none"/>
              </w:rPr>
              <w:t>3</w:t>
            </w:r>
          </w:p>
        </w:tc>
        <w:tc>
          <w:tcPr>
            <w:tcW w:w="592" w:type="pct"/>
            <w:vMerge w:val="restart"/>
            <w:noWrap w:val="0"/>
            <w:vAlign w:val="center"/>
          </w:tcPr>
          <w:p>
            <w:pPr>
              <w:spacing w:before="24" w:after="24"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响应性评审标准</w:t>
            </w:r>
          </w:p>
        </w:tc>
        <w:tc>
          <w:tcPr>
            <w:tcW w:w="989" w:type="pct"/>
            <w:noWrap w:val="0"/>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响应函</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olor w:val="auto"/>
                <w:szCs w:val="21"/>
                <w:highlight w:val="none"/>
              </w:rPr>
              <w:t>除填写双方名称、项目名称外，未修改原文内容</w:t>
            </w:r>
            <w:r>
              <w:rPr>
                <w:rFonts w:hint="eastAsia" w:ascii="仿宋" w:hAnsi="仿宋" w:eastAsia="仿宋" w:cs="Cambria Math"/>
                <w:color w:val="auto"/>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供应商行为准则承诺书</w:t>
            </w:r>
          </w:p>
        </w:tc>
        <w:tc>
          <w:tcPr>
            <w:tcW w:w="3085" w:type="pct"/>
            <w:noWrap w:val="0"/>
            <w:vAlign w:val="center"/>
          </w:tcPr>
          <w:p>
            <w:pPr>
              <w:spacing w:before="24" w:after="24" w:line="276" w:lineRule="auto"/>
              <w:jc w:val="left"/>
              <w:rPr>
                <w:rFonts w:hint="eastAsia" w:ascii="仿宋" w:hAnsi="仿宋" w:eastAsia="仿宋" w:cs="Cambria Math"/>
                <w:color w:val="auto"/>
                <w:szCs w:val="21"/>
                <w:highlight w:val="none"/>
              </w:rPr>
            </w:pPr>
            <w:r>
              <w:rPr>
                <w:rFonts w:hint="eastAsia" w:ascii="仿宋" w:hAnsi="仿宋" w:eastAsia="仿宋" w:cs="仿宋"/>
                <w:color w:val="auto"/>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供应商廉洁诚信承诺书</w:t>
            </w:r>
          </w:p>
        </w:tc>
        <w:tc>
          <w:tcPr>
            <w:tcW w:w="3085" w:type="pct"/>
            <w:noWrap w:val="0"/>
            <w:vAlign w:val="center"/>
          </w:tcPr>
          <w:p>
            <w:pPr>
              <w:spacing w:before="24" w:after="24" w:line="276" w:lineRule="auto"/>
              <w:jc w:val="left"/>
              <w:rPr>
                <w:rFonts w:hint="eastAsia" w:ascii="仿宋" w:hAnsi="仿宋" w:eastAsia="仿宋" w:cs="Cambria Math"/>
                <w:color w:val="auto"/>
                <w:szCs w:val="21"/>
                <w:highlight w:val="none"/>
              </w:rPr>
            </w:pPr>
            <w:r>
              <w:rPr>
                <w:rFonts w:hint="eastAsia" w:ascii="仿宋" w:hAnsi="仿宋" w:eastAsia="仿宋" w:cs="仿宋"/>
                <w:color w:val="auto"/>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noWrap w:val="0"/>
            <w:vAlign w:val="center"/>
          </w:tcPr>
          <w:p>
            <w:pPr>
              <w:widowControl/>
              <w:spacing w:line="360" w:lineRule="auto"/>
              <w:jc w:val="center"/>
              <w:rPr>
                <w:rFonts w:ascii="仿宋" w:hAnsi="仿宋" w:eastAsia="仿宋" w:cs="仿宋"/>
                <w:color w:val="auto"/>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spacing w:before="24" w:after="24" w:line="276" w:lineRule="auto"/>
              <w:jc w:val="center"/>
              <w:rPr>
                <w:rFonts w:ascii="仿宋" w:hAnsi="仿宋" w:eastAsia="仿宋" w:cs="仿宋"/>
                <w:color w:val="auto"/>
                <w:kern w:val="0"/>
                <w:szCs w:val="21"/>
                <w:highlight w:val="none"/>
              </w:rPr>
            </w:pPr>
            <w:r>
              <w:rPr>
                <w:rFonts w:hint="eastAsia" w:ascii="仿宋" w:hAnsi="仿宋" w:eastAsia="仿宋" w:cs="Cambria Math"/>
                <w:color w:val="auto"/>
                <w:szCs w:val="21"/>
                <w:highlight w:val="none"/>
              </w:rPr>
              <w:t>供应商偏离应答</w:t>
            </w:r>
          </w:p>
        </w:tc>
        <w:tc>
          <w:tcPr>
            <w:tcW w:w="3085"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《供应商须知应答偏离表》、《合同条款应答偏离表》、《采购需求应答偏离表》》进行了符合第二章“供应商须知”的应答</w:t>
            </w:r>
          </w:p>
        </w:tc>
      </w:tr>
    </w:tbl>
    <w:p>
      <w:pPr>
        <w:pageBreakBefore w:val="0"/>
        <w:widowControl/>
        <w:numPr>
          <w:ilvl w:val="0"/>
          <w:numId w:val="4"/>
        </w:numPr>
        <w:kinsoku/>
        <w:wordWrap/>
        <w:overflowPunct/>
        <w:topLinePunct w:val="0"/>
        <w:autoSpaceDE/>
        <w:autoSpaceDN/>
        <w:bidi w:val="0"/>
        <w:adjustRightInd w:val="0"/>
        <w:snapToGrid w:val="0"/>
        <w:spacing w:line="600" w:lineRule="exac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val="0"/>
          <w:bCs w:val="0"/>
          <w:color w:val="auto"/>
          <w:sz w:val="21"/>
          <w:szCs w:val="21"/>
          <w:highlight w:val="none"/>
        </w:rPr>
        <w:br w:type="page"/>
      </w:r>
      <w:bookmarkEnd w:id="130"/>
      <w:bookmarkEnd w:id="131"/>
      <w:bookmarkEnd w:id="132"/>
      <w:bookmarkEnd w:id="133"/>
      <w:bookmarkEnd w:id="134"/>
      <w:bookmarkEnd w:id="135"/>
      <w:bookmarkStart w:id="136" w:name="_Toc15254"/>
      <w:r>
        <w:rPr>
          <w:rFonts w:hint="eastAsia" w:ascii="仿宋" w:hAnsi="仿宋" w:eastAsia="仿宋" w:cs="仿宋"/>
          <w:b/>
          <w:bCs/>
          <w:color w:val="auto"/>
          <w:kern w:val="2"/>
          <w:sz w:val="24"/>
          <w:szCs w:val="24"/>
          <w:highlight w:val="none"/>
          <w:lang w:val="en-US" w:eastAsia="zh-CN" w:bidi="ar-SA"/>
        </w:rPr>
        <w:t>详细评审</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lang w:val="en-US" w:eastAsia="zh-CN"/>
        </w:rPr>
        <w:t>采</w:t>
      </w:r>
      <w:r>
        <w:rPr>
          <w:rFonts w:hint="eastAsia" w:ascii="仿宋" w:hAnsi="仿宋" w:eastAsia="仿宋" w:cs="宋体"/>
          <w:color w:val="auto"/>
          <w:kern w:val="0"/>
          <w:sz w:val="24"/>
          <w:szCs w:val="24"/>
          <w:highlight w:val="none"/>
        </w:rPr>
        <w:t>购评审标准由项目</w:t>
      </w:r>
      <w:r>
        <w:rPr>
          <w:rFonts w:hint="eastAsia" w:ascii="仿宋" w:hAnsi="仿宋" w:eastAsia="仿宋" w:cs="宋体"/>
          <w:color w:val="auto"/>
          <w:kern w:val="0"/>
          <w:sz w:val="24"/>
          <w:szCs w:val="24"/>
          <w:highlight w:val="none"/>
          <w:lang w:val="en-US" w:eastAsia="zh-CN"/>
        </w:rPr>
        <w:t>价格得分</w:t>
      </w:r>
      <w:r>
        <w:rPr>
          <w:rFonts w:hint="eastAsia" w:ascii="仿宋" w:hAnsi="仿宋" w:eastAsia="仿宋" w:cs="宋体"/>
          <w:color w:val="auto"/>
          <w:kern w:val="0"/>
          <w:sz w:val="24"/>
          <w:szCs w:val="24"/>
          <w:highlight w:val="none"/>
        </w:rPr>
        <w:t>、技术及服务和</w:t>
      </w:r>
      <w:r>
        <w:rPr>
          <w:rFonts w:hint="eastAsia" w:ascii="仿宋" w:hAnsi="仿宋" w:eastAsia="仿宋" w:cs="宋体"/>
          <w:color w:val="auto"/>
          <w:kern w:val="0"/>
          <w:sz w:val="24"/>
          <w:szCs w:val="24"/>
          <w:highlight w:val="none"/>
          <w:lang w:val="en-US" w:eastAsia="zh-CN"/>
        </w:rPr>
        <w:t>商务</w:t>
      </w:r>
      <w:r>
        <w:rPr>
          <w:rFonts w:hint="eastAsia" w:ascii="仿宋" w:hAnsi="仿宋" w:eastAsia="仿宋" w:cs="宋体"/>
          <w:color w:val="auto"/>
          <w:kern w:val="0"/>
          <w:sz w:val="24"/>
          <w:szCs w:val="24"/>
          <w:highlight w:val="none"/>
        </w:rPr>
        <w:t>水平三项标准构成，评审专家将依据</w:t>
      </w:r>
      <w:r>
        <w:rPr>
          <w:rFonts w:hint="eastAsia" w:ascii="仿宋" w:hAnsi="仿宋" w:eastAsia="仿宋" w:cs="宋体"/>
          <w:color w:val="auto"/>
          <w:kern w:val="0"/>
          <w:sz w:val="24"/>
          <w:szCs w:val="24"/>
          <w:highlight w:val="none"/>
          <w:lang w:val="en-US" w:eastAsia="zh-CN"/>
        </w:rPr>
        <w:t>比选</w:t>
      </w:r>
      <w:r>
        <w:rPr>
          <w:rFonts w:hint="eastAsia" w:ascii="仿宋" w:hAnsi="仿宋" w:eastAsia="仿宋" w:cs="宋体"/>
          <w:color w:val="auto"/>
          <w:kern w:val="0"/>
          <w:sz w:val="24"/>
          <w:szCs w:val="24"/>
          <w:highlight w:val="none"/>
        </w:rPr>
        <w:t>邀请文件要求，结合项目最终报价表、技术方案、服务方案等情况进行评分。各有效供应商的综合得分为各评审专家所评分值的算术平均值，若总得分相同，以价格得分高者排序在先。将把合同授予被确定为实质上响应</w:t>
      </w:r>
      <w:r>
        <w:rPr>
          <w:rFonts w:hint="eastAsia" w:ascii="仿宋" w:hAnsi="仿宋" w:eastAsia="仿宋" w:cs="宋体"/>
          <w:color w:val="auto"/>
          <w:kern w:val="0"/>
          <w:sz w:val="24"/>
          <w:szCs w:val="24"/>
          <w:highlight w:val="none"/>
          <w:lang w:val="en-US" w:eastAsia="zh-CN"/>
        </w:rPr>
        <w:t>比选</w:t>
      </w:r>
      <w:r>
        <w:rPr>
          <w:rFonts w:hint="eastAsia" w:ascii="仿宋" w:hAnsi="仿宋" w:eastAsia="仿宋" w:cs="宋体"/>
          <w:color w:val="auto"/>
          <w:kern w:val="0"/>
          <w:sz w:val="24"/>
          <w:szCs w:val="24"/>
          <w:highlight w:val="none"/>
        </w:rPr>
        <w:t>文件要求且评标得分最高的供应商。</w:t>
      </w:r>
    </w:p>
    <w:p>
      <w:pPr>
        <w:spacing w:line="360" w:lineRule="auto"/>
        <w:ind w:firstLine="420" w:firstLineChars="175"/>
        <w:jc w:val="left"/>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评审标准如下：</w:t>
      </w:r>
    </w:p>
    <w:tbl>
      <w:tblPr>
        <w:tblStyle w:val="40"/>
        <w:tblpPr w:leftFromText="180" w:rightFromText="180" w:vertAnchor="text" w:horzAnchor="page" w:tblpX="1257" w:tblpY="468"/>
        <w:tblOverlap w:val="never"/>
        <w:tblW w:w="475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2"/>
        <w:gridCol w:w="1067"/>
        <w:gridCol w:w="6653"/>
        <w:gridCol w:w="5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4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bookmarkStart w:id="137" w:name="_Toc9339"/>
            <w:bookmarkStart w:id="138" w:name="_Toc20073"/>
            <w:bookmarkStart w:id="139" w:name="_Toc18549"/>
            <w:bookmarkStart w:id="140" w:name="_Toc65682983"/>
            <w:r>
              <w:rPr>
                <w:rStyle w:val="117"/>
                <w:rFonts w:hint="eastAsia" w:ascii="仿宋" w:hAnsi="仿宋" w:eastAsia="仿宋" w:cs="仿宋"/>
                <w:color w:val="auto"/>
                <w:sz w:val="21"/>
                <w:szCs w:val="21"/>
                <w:highlight w:val="none"/>
                <w:lang w:bidi="ar"/>
              </w:rPr>
              <w:t>评审项</w:t>
            </w:r>
          </w:p>
        </w:tc>
        <w:tc>
          <w:tcPr>
            <w:tcW w:w="58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评审因素</w:t>
            </w:r>
          </w:p>
        </w:tc>
        <w:tc>
          <w:tcPr>
            <w:tcW w:w="36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评分说明</w:t>
            </w: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7" w:hRule="atLeast"/>
        </w:trPr>
        <w:tc>
          <w:tcPr>
            <w:tcW w:w="4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价</w:t>
            </w:r>
            <w:r>
              <w:rPr>
                <w:rStyle w:val="117"/>
                <w:rFonts w:hint="eastAsia" w:ascii="仿宋" w:hAnsi="仿宋" w:eastAsia="仿宋" w:cs="仿宋"/>
                <w:color w:val="auto"/>
                <w:sz w:val="21"/>
                <w:szCs w:val="21"/>
                <w:highlight w:val="none"/>
                <w:lang w:val="en-US" w:bidi="ar"/>
              </w:rPr>
              <w:t xml:space="preserve">   </w:t>
            </w:r>
            <w:r>
              <w:rPr>
                <w:rStyle w:val="117"/>
                <w:rFonts w:hint="eastAsia" w:ascii="仿宋" w:hAnsi="仿宋" w:eastAsia="仿宋" w:cs="仿宋"/>
                <w:color w:val="auto"/>
                <w:sz w:val="21"/>
                <w:szCs w:val="21"/>
                <w:highlight w:val="none"/>
                <w:lang w:bidi="ar"/>
              </w:rPr>
              <w:t>格</w:t>
            </w:r>
            <w:r>
              <w:rPr>
                <w:rStyle w:val="117"/>
                <w:rFonts w:hint="eastAsia" w:ascii="仿宋" w:hAnsi="仿宋" w:eastAsia="仿宋" w:cs="仿宋"/>
                <w:color w:val="auto"/>
                <w:sz w:val="21"/>
                <w:szCs w:val="21"/>
                <w:highlight w:val="none"/>
                <w:lang w:val="en-US" w:bidi="ar"/>
              </w:rPr>
              <w:t xml:space="preserve">   </w:t>
            </w:r>
            <w:r>
              <w:rPr>
                <w:rStyle w:val="117"/>
                <w:rFonts w:hint="eastAsia" w:ascii="仿宋" w:hAnsi="仿宋" w:eastAsia="仿宋" w:cs="仿宋"/>
                <w:color w:val="auto"/>
                <w:sz w:val="21"/>
                <w:szCs w:val="21"/>
                <w:highlight w:val="none"/>
                <w:lang w:bidi="ar"/>
              </w:rPr>
              <w:t>得</w:t>
            </w:r>
            <w:r>
              <w:rPr>
                <w:rStyle w:val="117"/>
                <w:rFonts w:hint="eastAsia" w:ascii="仿宋" w:hAnsi="仿宋" w:eastAsia="仿宋" w:cs="仿宋"/>
                <w:color w:val="auto"/>
                <w:sz w:val="21"/>
                <w:szCs w:val="21"/>
                <w:highlight w:val="none"/>
                <w:lang w:val="en-US" w:bidi="ar"/>
              </w:rPr>
              <w:t xml:space="preserve">   </w:t>
            </w:r>
            <w:r>
              <w:rPr>
                <w:rStyle w:val="117"/>
                <w:rFonts w:hint="eastAsia" w:ascii="仿宋" w:hAnsi="仿宋" w:eastAsia="仿宋" w:cs="仿宋"/>
                <w:color w:val="auto"/>
                <w:sz w:val="21"/>
                <w:szCs w:val="21"/>
                <w:highlight w:val="none"/>
                <w:lang w:bidi="ar"/>
              </w:rPr>
              <w:t>分</w:t>
            </w:r>
          </w:p>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（50</w:t>
            </w:r>
            <w:r>
              <w:rPr>
                <w:rStyle w:val="117"/>
                <w:rFonts w:hint="eastAsia" w:ascii="仿宋" w:hAnsi="仿宋" w:eastAsia="仿宋" w:cs="仿宋"/>
                <w:color w:val="auto"/>
                <w:sz w:val="21"/>
                <w:szCs w:val="21"/>
                <w:highlight w:val="none"/>
                <w:lang w:val="en-US" w:eastAsia="zh-CN" w:bidi="ar"/>
              </w:rPr>
              <w:t>分</w:t>
            </w:r>
            <w:r>
              <w:rPr>
                <w:rStyle w:val="117"/>
                <w:rFonts w:hint="eastAsia" w:ascii="仿宋" w:hAnsi="仿宋" w:eastAsia="仿宋" w:cs="仿宋"/>
                <w:color w:val="auto"/>
                <w:sz w:val="21"/>
                <w:szCs w:val="21"/>
                <w:highlight w:val="none"/>
                <w:lang w:eastAsia="zh-CN" w:bidi="ar"/>
              </w:rPr>
              <w:t>）</w:t>
            </w:r>
          </w:p>
        </w:tc>
        <w:tc>
          <w:tcPr>
            <w:tcW w:w="5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投标</w:t>
            </w:r>
          </w:p>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报价</w:t>
            </w:r>
          </w:p>
        </w:tc>
        <w:tc>
          <w:tcPr>
            <w:tcW w:w="36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numPr>
                <w:ilvl w:val="0"/>
                <w:numId w:val="0"/>
              </w:numPr>
              <w:suppressLineNumbers w:val="0"/>
              <w:spacing w:before="0" w:beforeAutospacing="0" w:after="0" w:afterAutospacing="0" w:line="240" w:lineRule="auto"/>
              <w:ind w:right="0" w:rightChars="0"/>
              <w:rPr>
                <w:rStyle w:val="117"/>
                <w:rFonts w:hint="eastAsia" w:ascii="仿宋" w:hAnsi="仿宋" w:eastAsia="仿宋" w:cs="仿宋"/>
                <w:color w:val="auto"/>
                <w:sz w:val="21"/>
                <w:szCs w:val="21"/>
                <w:highlight w:val="none"/>
                <w:lang w:val="en-US" w:bidi="ar"/>
              </w:rPr>
            </w:pPr>
            <w:r>
              <w:rPr>
                <w:rStyle w:val="117"/>
                <w:rFonts w:hint="eastAsia" w:ascii="仿宋" w:hAnsi="仿宋" w:eastAsia="仿宋" w:cs="仿宋"/>
                <w:color w:val="auto"/>
                <w:sz w:val="21"/>
                <w:szCs w:val="21"/>
                <w:highlight w:val="none"/>
                <w:lang w:val="en-US" w:bidi="ar"/>
              </w:rPr>
              <w:t>1.低价优先法：（有效投标人少于5家（不含本数）），评标折扣率为各有效投标人的综合折扣率。</w:t>
            </w:r>
          </w:p>
          <w:p>
            <w:pPr>
              <w:keepNext w:val="0"/>
              <w:keepLines w:val="0"/>
              <w:numPr>
                <w:ilvl w:val="0"/>
                <w:numId w:val="0"/>
              </w:numPr>
              <w:suppressLineNumbers w:val="0"/>
              <w:spacing w:before="0" w:beforeAutospacing="0" w:after="0" w:afterAutospacing="0" w:line="240" w:lineRule="auto"/>
              <w:ind w:right="0" w:rightChars="0" w:firstLine="420" w:firstLineChars="200"/>
              <w:rPr>
                <w:rStyle w:val="117"/>
                <w:rFonts w:hint="eastAsia" w:ascii="仿宋" w:hAnsi="仿宋" w:eastAsia="仿宋" w:cs="仿宋"/>
                <w:color w:val="auto"/>
                <w:sz w:val="21"/>
                <w:szCs w:val="21"/>
                <w:highlight w:val="none"/>
                <w:lang w:val="en-US" w:bidi="ar"/>
              </w:rPr>
            </w:pPr>
            <w:r>
              <w:rPr>
                <w:rStyle w:val="117"/>
                <w:rFonts w:hint="eastAsia" w:ascii="仿宋" w:hAnsi="仿宋" w:eastAsia="仿宋" w:cs="仿宋"/>
                <w:color w:val="auto"/>
                <w:sz w:val="21"/>
                <w:szCs w:val="21"/>
                <w:highlight w:val="none"/>
                <w:lang w:val="en-US" w:bidi="ar"/>
              </w:rPr>
              <w:t>满足招标文件全部要求的最低有效评标折扣率作为评标基准折扣率，评标折扣率等于评标基准折扣率的，价格项得满分50分。其他投标人的价格得分统一按照下列公式计算，精确到小数点后两位：</w:t>
            </w:r>
          </w:p>
          <w:p>
            <w:pPr>
              <w:keepNext w:val="0"/>
              <w:keepLines w:val="0"/>
              <w:numPr>
                <w:ilvl w:val="0"/>
                <w:numId w:val="0"/>
              </w:numPr>
              <w:suppressLineNumbers w:val="0"/>
              <w:spacing w:before="0" w:beforeAutospacing="0" w:after="0" w:afterAutospacing="0" w:line="240" w:lineRule="auto"/>
              <w:ind w:right="0" w:rightChars="0"/>
              <w:rPr>
                <w:rStyle w:val="117"/>
                <w:rFonts w:hint="eastAsia" w:ascii="仿宋" w:hAnsi="仿宋" w:eastAsia="仿宋" w:cs="仿宋"/>
                <w:color w:val="auto"/>
                <w:sz w:val="21"/>
                <w:szCs w:val="21"/>
                <w:highlight w:val="none"/>
                <w:lang w:val="en-US" w:bidi="ar"/>
              </w:rPr>
            </w:pPr>
            <w:r>
              <w:rPr>
                <w:rStyle w:val="117"/>
                <w:rFonts w:hint="eastAsia" w:ascii="仿宋" w:hAnsi="仿宋" w:eastAsia="仿宋" w:cs="仿宋"/>
                <w:color w:val="auto"/>
                <w:sz w:val="21"/>
                <w:szCs w:val="21"/>
                <w:highlight w:val="none"/>
                <w:lang w:val="en-US" w:bidi="ar"/>
              </w:rPr>
              <w:t>价格得分＝（评标基准折扣率/该投标人的评标折扣率）×50；</w:t>
            </w:r>
          </w:p>
          <w:p>
            <w:pPr>
              <w:pStyle w:val="2"/>
              <w:numPr>
                <w:ilvl w:val="0"/>
                <w:numId w:val="0"/>
              </w:numPr>
              <w:jc w:val="both"/>
              <w:rPr>
                <w:rStyle w:val="117"/>
                <w:rFonts w:hint="eastAsia"/>
                <w:color w:val="auto"/>
                <w:kern w:val="2"/>
                <w:sz w:val="21"/>
                <w:szCs w:val="21"/>
                <w:highlight w:val="none"/>
                <w:lang w:val="en-US" w:eastAsia="zh-CN" w:bidi="ar"/>
              </w:rPr>
            </w:pPr>
            <w:r>
              <w:rPr>
                <w:rStyle w:val="117"/>
                <w:rFonts w:hint="eastAsia"/>
                <w:color w:val="auto"/>
                <w:kern w:val="2"/>
                <w:sz w:val="21"/>
                <w:szCs w:val="21"/>
                <w:highlight w:val="none"/>
                <w:lang w:val="en-US" w:eastAsia="zh-CN" w:bidi="ar"/>
              </w:rPr>
              <w:t>2.偏离度计算法：（有效投标人大于等于5家时使用），设置评标基准折扣率：取所有有效评标折扣率的算术平均值，计算结果保留小数点后两位。按照以下公式计算得分：</w:t>
            </w:r>
          </w:p>
          <w:p>
            <w:pPr>
              <w:pStyle w:val="2"/>
              <w:numPr>
                <w:ilvl w:val="0"/>
                <w:numId w:val="0"/>
              </w:numPr>
              <w:jc w:val="both"/>
              <w:rPr>
                <w:rStyle w:val="117"/>
                <w:rFonts w:hint="default"/>
                <w:color w:val="auto"/>
                <w:kern w:val="2"/>
                <w:sz w:val="21"/>
                <w:szCs w:val="21"/>
                <w:highlight w:val="none"/>
                <w:lang w:val="en-US" w:eastAsia="zh-CN" w:bidi="ar"/>
              </w:rPr>
            </w:pPr>
            <w:r>
              <w:rPr>
                <w:rStyle w:val="117"/>
                <w:rFonts w:hint="eastAsia"/>
                <w:color w:val="auto"/>
                <w:kern w:val="2"/>
                <w:sz w:val="21"/>
                <w:szCs w:val="21"/>
                <w:highlight w:val="none"/>
                <w:lang w:val="en-US" w:eastAsia="zh-CN" w:bidi="ar"/>
              </w:rPr>
              <w:t>价格得分=(1-A*│1－该投标人的评标折扣率／评标基准折扣率│)*50  （A为折扣率调整系数，当该投标人的评标折扣率低于评标基准折扣率时，A=0.5；当该投标人的评标折扣率高于评标基准折扣率时，A=1；当价格得分&lt;0时，取0。）</w:t>
            </w:r>
          </w:p>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6" w:hRule="atLeast"/>
        </w:trPr>
        <w:tc>
          <w:tcPr>
            <w:tcW w:w="469"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技术及服务得分</w:t>
            </w:r>
            <w:bookmarkStart w:id="141" w:name="_Toc19430"/>
            <w:bookmarkStart w:id="142" w:name="_Toc11316"/>
            <w:r>
              <w:rPr>
                <w:rStyle w:val="117"/>
                <w:rFonts w:hint="eastAsia" w:ascii="仿宋" w:hAnsi="仿宋" w:eastAsia="仿宋" w:cs="仿宋"/>
                <w:color w:val="auto"/>
                <w:sz w:val="21"/>
                <w:szCs w:val="21"/>
                <w:highlight w:val="none"/>
                <w:lang w:bidi="ar"/>
              </w:rPr>
              <w:t>（40分）</w:t>
            </w:r>
            <w:bookmarkEnd w:id="141"/>
            <w:bookmarkEnd w:id="142"/>
          </w:p>
        </w:tc>
        <w:tc>
          <w:tcPr>
            <w:tcW w:w="581"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供应保障能 力</w:t>
            </w:r>
          </w:p>
        </w:tc>
        <w:tc>
          <w:tcPr>
            <w:tcW w:w="3623"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1.投标人具有仓储库房或门店（提供详细地址及图片等相关证明资料）得2分；</w:t>
            </w:r>
          </w:p>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2.拥有独立配送物资的车辆（提供相关车辆照片、车辆租赁合同或车辆行驶证等证明材料）得3分。</w:t>
            </w: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val="en-US" w:eastAsia="zh-CN" w:bidi="ar"/>
              </w:rPr>
            </w:pPr>
            <w:r>
              <w:rPr>
                <w:rStyle w:val="117"/>
                <w:rFonts w:hint="eastAsia" w:ascii="仿宋" w:hAnsi="仿宋" w:eastAsia="仿宋" w:cs="仿宋"/>
                <w:color w:val="auto"/>
                <w:sz w:val="21"/>
                <w:szCs w:val="21"/>
                <w:highlight w:val="none"/>
                <w:lang w:val="en-US" w:eastAsia="zh-CN" w:bidi="ar"/>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469" w:type="pct"/>
            <w:vMerge w:val="continue"/>
            <w:tcBorders>
              <w:left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p>
        </w:tc>
        <w:tc>
          <w:tcPr>
            <w:tcW w:w="58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人员配备</w:t>
            </w:r>
          </w:p>
        </w:tc>
        <w:tc>
          <w:tcPr>
            <w:tcW w:w="36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根据</w:t>
            </w:r>
            <w:r>
              <w:rPr>
                <w:rStyle w:val="117"/>
                <w:rFonts w:hint="eastAsia" w:ascii="仿宋" w:hAnsi="仿宋" w:eastAsia="仿宋" w:cs="仿宋"/>
                <w:color w:val="auto"/>
                <w:sz w:val="21"/>
                <w:szCs w:val="21"/>
                <w:highlight w:val="none"/>
                <w:lang w:val="en-US" w:eastAsia="zh-CN" w:bidi="ar"/>
              </w:rPr>
              <w:t>投标人</w:t>
            </w:r>
            <w:r>
              <w:rPr>
                <w:rStyle w:val="117"/>
                <w:rFonts w:hint="eastAsia" w:ascii="仿宋" w:hAnsi="仿宋" w:eastAsia="仿宋" w:cs="仿宋"/>
                <w:color w:val="auto"/>
                <w:sz w:val="21"/>
                <w:szCs w:val="21"/>
                <w:highlight w:val="none"/>
                <w:lang w:bidi="ar"/>
              </w:rPr>
              <w:t>拟投入本项目的实施团队人员构成情况，综合考虑人员配备齐全度、</w:t>
            </w:r>
            <w:r>
              <w:rPr>
                <w:rStyle w:val="117"/>
                <w:rFonts w:hint="eastAsia" w:ascii="仿宋" w:hAnsi="仿宋" w:eastAsia="仿宋" w:cs="仿宋"/>
                <w:color w:val="auto"/>
                <w:sz w:val="21"/>
                <w:szCs w:val="21"/>
                <w:highlight w:val="none"/>
                <w:lang w:val="en-US" w:bidi="ar"/>
              </w:rPr>
              <w:t>配送人员或团队、</w:t>
            </w:r>
            <w:r>
              <w:rPr>
                <w:rStyle w:val="117"/>
                <w:rFonts w:hint="eastAsia" w:ascii="仿宋" w:hAnsi="仿宋" w:eastAsia="仿宋" w:cs="仿宋"/>
                <w:color w:val="auto"/>
                <w:sz w:val="21"/>
                <w:szCs w:val="21"/>
                <w:highlight w:val="none"/>
                <w:lang w:bidi="ar"/>
              </w:rPr>
              <w:t>职责分工情况、专业、工作经验、人员素质、等内容</w:t>
            </w:r>
            <w:r>
              <w:rPr>
                <w:rStyle w:val="117"/>
                <w:rFonts w:hint="eastAsia" w:ascii="仿宋" w:hAnsi="仿宋" w:eastAsia="仿宋" w:cs="仿宋"/>
                <w:color w:val="auto"/>
                <w:sz w:val="21"/>
                <w:szCs w:val="21"/>
                <w:highlight w:val="none"/>
                <w:lang w:val="en-US" w:eastAsia="zh-CN" w:bidi="ar"/>
              </w:rPr>
              <w:t>横向比较</w:t>
            </w:r>
            <w:r>
              <w:rPr>
                <w:rStyle w:val="117"/>
                <w:rFonts w:hint="eastAsia" w:ascii="仿宋" w:hAnsi="仿宋" w:eastAsia="仿宋" w:cs="仿宋"/>
                <w:color w:val="auto"/>
                <w:sz w:val="21"/>
                <w:szCs w:val="21"/>
                <w:highlight w:val="none"/>
                <w:lang w:bidi="ar"/>
              </w:rPr>
              <w:t>进行评分。评价为优得</w:t>
            </w:r>
            <w:r>
              <w:rPr>
                <w:rStyle w:val="117"/>
                <w:rFonts w:hint="eastAsia" w:ascii="仿宋" w:hAnsi="仿宋" w:eastAsia="仿宋" w:cs="仿宋"/>
                <w:color w:val="auto"/>
                <w:sz w:val="21"/>
                <w:szCs w:val="21"/>
                <w:highlight w:val="none"/>
                <w:lang w:val="en-US" w:eastAsia="zh-CN" w:bidi="ar"/>
              </w:rPr>
              <w:t>5</w:t>
            </w:r>
            <w:r>
              <w:rPr>
                <w:rStyle w:val="117"/>
                <w:rFonts w:hint="eastAsia" w:ascii="仿宋" w:hAnsi="仿宋" w:eastAsia="仿宋" w:cs="仿宋"/>
                <w:color w:val="auto"/>
                <w:sz w:val="21"/>
                <w:szCs w:val="21"/>
                <w:highlight w:val="none"/>
                <w:lang w:bidi="ar"/>
              </w:rPr>
              <w:t>分，</w:t>
            </w:r>
            <w:r>
              <w:rPr>
                <w:rStyle w:val="117"/>
                <w:rFonts w:hint="eastAsia" w:ascii="仿宋" w:hAnsi="仿宋" w:eastAsia="仿宋" w:cs="仿宋"/>
                <w:color w:val="auto"/>
                <w:sz w:val="21"/>
                <w:szCs w:val="21"/>
                <w:highlight w:val="none"/>
                <w:lang w:val="en-US" w:eastAsia="zh-CN" w:bidi="ar"/>
              </w:rPr>
              <w:t>良好</w:t>
            </w:r>
            <w:r>
              <w:rPr>
                <w:rStyle w:val="117"/>
                <w:rFonts w:hint="eastAsia" w:ascii="仿宋" w:hAnsi="仿宋" w:eastAsia="仿宋" w:cs="仿宋"/>
                <w:color w:val="auto"/>
                <w:sz w:val="21"/>
                <w:szCs w:val="21"/>
                <w:highlight w:val="none"/>
                <w:lang w:bidi="ar"/>
              </w:rPr>
              <w:t>得</w:t>
            </w:r>
            <w:r>
              <w:rPr>
                <w:rStyle w:val="117"/>
                <w:rFonts w:hint="eastAsia" w:ascii="仿宋" w:hAnsi="仿宋" w:eastAsia="仿宋" w:cs="仿宋"/>
                <w:color w:val="auto"/>
                <w:sz w:val="21"/>
                <w:szCs w:val="21"/>
                <w:highlight w:val="none"/>
                <w:lang w:val="en-US" w:eastAsia="zh-CN" w:bidi="ar"/>
              </w:rPr>
              <w:t>3</w:t>
            </w:r>
            <w:r>
              <w:rPr>
                <w:rStyle w:val="117"/>
                <w:rFonts w:hint="eastAsia" w:ascii="仿宋" w:hAnsi="仿宋" w:eastAsia="仿宋" w:cs="仿宋"/>
                <w:color w:val="auto"/>
                <w:sz w:val="21"/>
                <w:szCs w:val="21"/>
                <w:highlight w:val="none"/>
                <w:lang w:bidi="ar"/>
              </w:rPr>
              <w:t>-</w:t>
            </w:r>
            <w:r>
              <w:rPr>
                <w:rStyle w:val="117"/>
                <w:rFonts w:hint="eastAsia" w:ascii="仿宋" w:hAnsi="仿宋" w:eastAsia="仿宋" w:cs="仿宋"/>
                <w:color w:val="auto"/>
                <w:sz w:val="21"/>
                <w:szCs w:val="21"/>
                <w:highlight w:val="none"/>
                <w:lang w:val="en-US" w:eastAsia="zh-CN" w:bidi="ar"/>
              </w:rPr>
              <w:t>4</w:t>
            </w:r>
            <w:r>
              <w:rPr>
                <w:rStyle w:val="117"/>
                <w:rFonts w:hint="eastAsia" w:ascii="仿宋" w:hAnsi="仿宋" w:eastAsia="仿宋" w:cs="仿宋"/>
                <w:color w:val="auto"/>
                <w:sz w:val="21"/>
                <w:szCs w:val="21"/>
                <w:highlight w:val="none"/>
                <w:lang w:bidi="ar"/>
              </w:rPr>
              <w:t>分，一般得</w:t>
            </w:r>
            <w:r>
              <w:rPr>
                <w:rStyle w:val="117"/>
                <w:rFonts w:hint="eastAsia" w:ascii="仿宋" w:hAnsi="仿宋" w:eastAsia="仿宋" w:cs="仿宋"/>
                <w:color w:val="auto"/>
                <w:sz w:val="21"/>
                <w:szCs w:val="21"/>
                <w:highlight w:val="none"/>
                <w:lang w:val="en-US" w:eastAsia="zh-CN" w:bidi="ar"/>
              </w:rPr>
              <w:t>1-2</w:t>
            </w:r>
            <w:r>
              <w:rPr>
                <w:rStyle w:val="117"/>
                <w:rFonts w:hint="eastAsia" w:ascii="仿宋" w:hAnsi="仿宋" w:eastAsia="仿宋" w:cs="仿宋"/>
                <w:color w:val="auto"/>
                <w:sz w:val="21"/>
                <w:szCs w:val="21"/>
                <w:highlight w:val="none"/>
                <w:lang w:bidi="ar"/>
              </w:rPr>
              <w:t>分。</w:t>
            </w: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val="en-US" w:eastAsia="zh-CN" w:bidi="ar"/>
              </w:rPr>
            </w:pPr>
            <w:r>
              <w:rPr>
                <w:rStyle w:val="117"/>
                <w:rFonts w:hint="eastAsia" w:ascii="仿宋" w:hAnsi="仿宋" w:eastAsia="仿宋" w:cs="仿宋"/>
                <w:color w:val="auto"/>
                <w:sz w:val="21"/>
                <w:szCs w:val="21"/>
                <w:highlight w:val="none"/>
                <w:lang w:val="en-US" w:eastAsia="zh-CN" w:bidi="ar"/>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69" w:type="pct"/>
            <w:vMerge w:val="continue"/>
            <w:tcBorders>
              <w:left w:val="single" w:color="000000" w:sz="4" w:space="0"/>
              <w:bottom w:val="single" w:color="auto"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p>
        </w:tc>
        <w:tc>
          <w:tcPr>
            <w:tcW w:w="581"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服务方案</w:t>
            </w:r>
          </w:p>
        </w:tc>
        <w:tc>
          <w:tcPr>
            <w:tcW w:w="36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根据投标人提供的服务方案横向比较，综合考虑服务方案的可行性、全面性等内容进行评分。</w:t>
            </w:r>
            <w:r>
              <w:rPr>
                <w:rStyle w:val="117"/>
                <w:rFonts w:hint="eastAsia" w:ascii="仿宋" w:hAnsi="仿宋" w:eastAsia="仿宋" w:cs="仿宋"/>
                <w:color w:val="auto"/>
                <w:sz w:val="21"/>
                <w:szCs w:val="21"/>
                <w:highlight w:val="none"/>
                <w:lang w:bidi="ar"/>
              </w:rPr>
              <w:t>评价为优得</w:t>
            </w:r>
            <w:r>
              <w:rPr>
                <w:rStyle w:val="117"/>
                <w:rFonts w:hint="eastAsia" w:ascii="仿宋" w:hAnsi="仿宋" w:eastAsia="仿宋" w:cs="仿宋"/>
                <w:color w:val="auto"/>
                <w:sz w:val="21"/>
                <w:szCs w:val="21"/>
                <w:highlight w:val="none"/>
                <w:lang w:val="en-US" w:eastAsia="zh-CN" w:bidi="ar"/>
              </w:rPr>
              <w:t>5</w:t>
            </w:r>
            <w:r>
              <w:rPr>
                <w:rStyle w:val="117"/>
                <w:rFonts w:hint="eastAsia" w:ascii="仿宋" w:hAnsi="仿宋" w:eastAsia="仿宋" w:cs="仿宋"/>
                <w:color w:val="auto"/>
                <w:sz w:val="21"/>
                <w:szCs w:val="21"/>
                <w:highlight w:val="none"/>
                <w:lang w:bidi="ar"/>
              </w:rPr>
              <w:t>分，</w:t>
            </w:r>
            <w:r>
              <w:rPr>
                <w:rStyle w:val="117"/>
                <w:rFonts w:hint="eastAsia" w:ascii="仿宋" w:hAnsi="仿宋" w:eastAsia="仿宋" w:cs="仿宋"/>
                <w:color w:val="auto"/>
                <w:sz w:val="21"/>
                <w:szCs w:val="21"/>
                <w:highlight w:val="none"/>
                <w:lang w:val="en-US" w:eastAsia="zh-CN" w:bidi="ar"/>
              </w:rPr>
              <w:t>良好</w:t>
            </w:r>
            <w:r>
              <w:rPr>
                <w:rStyle w:val="117"/>
                <w:rFonts w:hint="eastAsia" w:ascii="仿宋" w:hAnsi="仿宋" w:eastAsia="仿宋" w:cs="仿宋"/>
                <w:color w:val="auto"/>
                <w:sz w:val="21"/>
                <w:szCs w:val="21"/>
                <w:highlight w:val="none"/>
                <w:lang w:bidi="ar"/>
              </w:rPr>
              <w:t>得</w:t>
            </w:r>
            <w:r>
              <w:rPr>
                <w:rStyle w:val="117"/>
                <w:rFonts w:hint="eastAsia" w:ascii="仿宋" w:hAnsi="仿宋" w:eastAsia="仿宋" w:cs="仿宋"/>
                <w:color w:val="auto"/>
                <w:sz w:val="21"/>
                <w:szCs w:val="21"/>
                <w:highlight w:val="none"/>
                <w:lang w:val="en-US" w:eastAsia="zh-CN" w:bidi="ar"/>
              </w:rPr>
              <w:t>3</w:t>
            </w:r>
            <w:r>
              <w:rPr>
                <w:rStyle w:val="117"/>
                <w:rFonts w:hint="eastAsia" w:ascii="仿宋" w:hAnsi="仿宋" w:eastAsia="仿宋" w:cs="仿宋"/>
                <w:color w:val="auto"/>
                <w:sz w:val="21"/>
                <w:szCs w:val="21"/>
                <w:highlight w:val="none"/>
                <w:lang w:bidi="ar"/>
              </w:rPr>
              <w:t>-</w:t>
            </w:r>
            <w:r>
              <w:rPr>
                <w:rStyle w:val="117"/>
                <w:rFonts w:hint="eastAsia" w:ascii="仿宋" w:hAnsi="仿宋" w:eastAsia="仿宋" w:cs="仿宋"/>
                <w:color w:val="auto"/>
                <w:sz w:val="21"/>
                <w:szCs w:val="21"/>
                <w:highlight w:val="none"/>
                <w:lang w:val="en-US" w:eastAsia="zh-CN" w:bidi="ar"/>
              </w:rPr>
              <w:t>4</w:t>
            </w:r>
            <w:r>
              <w:rPr>
                <w:rStyle w:val="117"/>
                <w:rFonts w:hint="eastAsia" w:ascii="仿宋" w:hAnsi="仿宋" w:eastAsia="仿宋" w:cs="仿宋"/>
                <w:color w:val="auto"/>
                <w:sz w:val="21"/>
                <w:szCs w:val="21"/>
                <w:highlight w:val="none"/>
                <w:lang w:bidi="ar"/>
              </w:rPr>
              <w:t>分，一般得</w:t>
            </w:r>
            <w:r>
              <w:rPr>
                <w:rStyle w:val="117"/>
                <w:rFonts w:hint="eastAsia" w:ascii="仿宋" w:hAnsi="仿宋" w:eastAsia="仿宋" w:cs="仿宋"/>
                <w:color w:val="auto"/>
                <w:sz w:val="21"/>
                <w:szCs w:val="21"/>
                <w:highlight w:val="none"/>
                <w:lang w:val="en-US" w:eastAsia="zh-CN" w:bidi="ar"/>
              </w:rPr>
              <w:t>1-2</w:t>
            </w:r>
            <w:r>
              <w:rPr>
                <w:rStyle w:val="117"/>
                <w:rFonts w:hint="eastAsia" w:ascii="仿宋" w:hAnsi="仿宋" w:eastAsia="仿宋" w:cs="仿宋"/>
                <w:color w:val="auto"/>
                <w:sz w:val="21"/>
                <w:szCs w:val="21"/>
                <w:highlight w:val="none"/>
                <w:lang w:bidi="ar"/>
              </w:rPr>
              <w:t>分。</w:t>
            </w: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val="en-US" w:eastAsia="zh-CN" w:bidi="ar"/>
              </w:rPr>
            </w:pPr>
            <w:r>
              <w:rPr>
                <w:rStyle w:val="117"/>
                <w:rFonts w:hint="eastAsia" w:ascii="仿宋" w:hAnsi="仿宋" w:eastAsia="仿宋" w:cs="仿宋"/>
                <w:color w:val="auto"/>
                <w:sz w:val="21"/>
                <w:szCs w:val="21"/>
                <w:highlight w:val="none"/>
                <w:lang w:val="en-US" w:eastAsia="zh-CN" w:bidi="ar"/>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69" w:type="pct"/>
            <w:vMerge w:val="continue"/>
            <w:tcBorders>
              <w:left w:val="single" w:color="000000" w:sz="4" w:space="0"/>
              <w:bottom w:val="single" w:color="auto"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p>
        </w:tc>
        <w:tc>
          <w:tcPr>
            <w:tcW w:w="581"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配送方案、配送时效及退换货时 效</w:t>
            </w:r>
          </w:p>
        </w:tc>
        <w:tc>
          <w:tcPr>
            <w:tcW w:w="36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根据投标人提供的配送方案、承诺的配送时效及产品出现质量问题时保障退换货的退换时间等方面横向比较，综合评分。</w:t>
            </w:r>
            <w:r>
              <w:rPr>
                <w:rStyle w:val="117"/>
                <w:rFonts w:hint="eastAsia" w:ascii="仿宋" w:hAnsi="仿宋" w:eastAsia="仿宋" w:cs="仿宋"/>
                <w:color w:val="auto"/>
                <w:sz w:val="21"/>
                <w:szCs w:val="21"/>
                <w:highlight w:val="none"/>
                <w:lang w:bidi="ar"/>
              </w:rPr>
              <w:t>评价为优得</w:t>
            </w:r>
            <w:r>
              <w:rPr>
                <w:rStyle w:val="117"/>
                <w:rFonts w:hint="eastAsia" w:ascii="仿宋" w:hAnsi="仿宋" w:eastAsia="仿宋" w:cs="仿宋"/>
                <w:color w:val="auto"/>
                <w:sz w:val="21"/>
                <w:szCs w:val="21"/>
                <w:highlight w:val="none"/>
                <w:lang w:val="en-US" w:eastAsia="zh-CN" w:bidi="ar"/>
              </w:rPr>
              <w:t>5</w:t>
            </w:r>
            <w:r>
              <w:rPr>
                <w:rStyle w:val="117"/>
                <w:rFonts w:hint="eastAsia" w:ascii="仿宋" w:hAnsi="仿宋" w:eastAsia="仿宋" w:cs="仿宋"/>
                <w:color w:val="auto"/>
                <w:sz w:val="21"/>
                <w:szCs w:val="21"/>
                <w:highlight w:val="none"/>
                <w:lang w:bidi="ar"/>
              </w:rPr>
              <w:t>分，</w:t>
            </w:r>
            <w:r>
              <w:rPr>
                <w:rStyle w:val="117"/>
                <w:rFonts w:hint="eastAsia" w:ascii="仿宋" w:hAnsi="仿宋" w:eastAsia="仿宋" w:cs="仿宋"/>
                <w:color w:val="auto"/>
                <w:sz w:val="21"/>
                <w:szCs w:val="21"/>
                <w:highlight w:val="none"/>
                <w:lang w:val="en-US" w:eastAsia="zh-CN" w:bidi="ar"/>
              </w:rPr>
              <w:t>良好</w:t>
            </w:r>
            <w:r>
              <w:rPr>
                <w:rStyle w:val="117"/>
                <w:rFonts w:hint="eastAsia" w:ascii="仿宋" w:hAnsi="仿宋" w:eastAsia="仿宋" w:cs="仿宋"/>
                <w:color w:val="auto"/>
                <w:sz w:val="21"/>
                <w:szCs w:val="21"/>
                <w:highlight w:val="none"/>
                <w:lang w:bidi="ar"/>
              </w:rPr>
              <w:t>得</w:t>
            </w:r>
            <w:r>
              <w:rPr>
                <w:rStyle w:val="117"/>
                <w:rFonts w:hint="eastAsia" w:ascii="仿宋" w:hAnsi="仿宋" w:eastAsia="仿宋" w:cs="仿宋"/>
                <w:color w:val="auto"/>
                <w:sz w:val="21"/>
                <w:szCs w:val="21"/>
                <w:highlight w:val="none"/>
                <w:lang w:val="en-US" w:eastAsia="zh-CN" w:bidi="ar"/>
              </w:rPr>
              <w:t>3</w:t>
            </w:r>
            <w:r>
              <w:rPr>
                <w:rStyle w:val="117"/>
                <w:rFonts w:hint="eastAsia" w:ascii="仿宋" w:hAnsi="仿宋" w:eastAsia="仿宋" w:cs="仿宋"/>
                <w:color w:val="auto"/>
                <w:sz w:val="21"/>
                <w:szCs w:val="21"/>
                <w:highlight w:val="none"/>
                <w:lang w:bidi="ar"/>
              </w:rPr>
              <w:t>-</w:t>
            </w:r>
            <w:r>
              <w:rPr>
                <w:rStyle w:val="117"/>
                <w:rFonts w:hint="eastAsia" w:ascii="仿宋" w:hAnsi="仿宋" w:eastAsia="仿宋" w:cs="仿宋"/>
                <w:color w:val="auto"/>
                <w:sz w:val="21"/>
                <w:szCs w:val="21"/>
                <w:highlight w:val="none"/>
                <w:lang w:val="en-US" w:eastAsia="zh-CN" w:bidi="ar"/>
              </w:rPr>
              <w:t>4</w:t>
            </w:r>
            <w:r>
              <w:rPr>
                <w:rStyle w:val="117"/>
                <w:rFonts w:hint="eastAsia" w:ascii="仿宋" w:hAnsi="仿宋" w:eastAsia="仿宋" w:cs="仿宋"/>
                <w:color w:val="auto"/>
                <w:sz w:val="21"/>
                <w:szCs w:val="21"/>
                <w:highlight w:val="none"/>
                <w:lang w:bidi="ar"/>
              </w:rPr>
              <w:t>分，一般得</w:t>
            </w:r>
            <w:r>
              <w:rPr>
                <w:rStyle w:val="117"/>
                <w:rFonts w:hint="eastAsia" w:ascii="仿宋" w:hAnsi="仿宋" w:eastAsia="仿宋" w:cs="仿宋"/>
                <w:color w:val="auto"/>
                <w:sz w:val="21"/>
                <w:szCs w:val="21"/>
                <w:highlight w:val="none"/>
                <w:lang w:val="en-US" w:eastAsia="zh-CN" w:bidi="ar"/>
              </w:rPr>
              <w:t>1-2</w:t>
            </w:r>
            <w:r>
              <w:rPr>
                <w:rStyle w:val="117"/>
                <w:rFonts w:hint="eastAsia" w:ascii="仿宋" w:hAnsi="仿宋" w:eastAsia="仿宋" w:cs="仿宋"/>
                <w:color w:val="auto"/>
                <w:sz w:val="21"/>
                <w:szCs w:val="21"/>
                <w:highlight w:val="none"/>
                <w:lang w:bidi="ar"/>
              </w:rPr>
              <w:t>分。</w:t>
            </w: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val="en-US" w:eastAsia="zh-CN" w:bidi="ar"/>
              </w:rPr>
            </w:pPr>
            <w:r>
              <w:rPr>
                <w:rStyle w:val="117"/>
                <w:rFonts w:hint="eastAsia" w:ascii="仿宋" w:hAnsi="仿宋" w:eastAsia="仿宋" w:cs="仿宋"/>
                <w:color w:val="auto"/>
                <w:sz w:val="21"/>
                <w:szCs w:val="21"/>
                <w:highlight w:val="none"/>
                <w:lang w:val="en-US" w:eastAsia="zh-CN" w:bidi="ar"/>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69" w:type="pct"/>
            <w:vMerge w:val="continue"/>
            <w:tcBorders>
              <w:left w:val="single" w:color="000000" w:sz="4" w:space="0"/>
              <w:bottom w:val="single" w:color="auto"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p>
        </w:tc>
        <w:tc>
          <w:tcPr>
            <w:tcW w:w="581"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食品安全保障方案及产品溯源</w:t>
            </w:r>
          </w:p>
        </w:tc>
        <w:tc>
          <w:tcPr>
            <w:tcW w:w="36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根据投标人提供的食品安全保障、产品溯源情况等方面横向比较，综合评分。评价为优得8-10分，良好得4-7分，一般得1-3分。</w:t>
            </w: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val="en-US" w:eastAsia="zh-CN" w:bidi="ar"/>
              </w:rPr>
            </w:pPr>
            <w:r>
              <w:rPr>
                <w:rStyle w:val="117"/>
                <w:rFonts w:hint="eastAsia" w:ascii="仿宋" w:hAnsi="仿宋" w:eastAsia="仿宋" w:cs="仿宋"/>
                <w:color w:val="auto"/>
                <w:sz w:val="21"/>
                <w:szCs w:val="21"/>
                <w:highlight w:val="none"/>
                <w:lang w:val="en-US" w:eastAsia="zh-CN" w:bidi="ar"/>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69" w:type="pct"/>
            <w:vMerge w:val="continue"/>
            <w:tcBorders>
              <w:left w:val="single" w:color="000000" w:sz="4" w:space="0"/>
              <w:bottom w:val="single" w:color="auto"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p>
        </w:tc>
        <w:tc>
          <w:tcPr>
            <w:tcW w:w="581"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val="en-US" w:eastAsia="zh-CN" w:bidi="ar"/>
              </w:rPr>
              <w:t>增值服务</w:t>
            </w:r>
          </w:p>
        </w:tc>
        <w:tc>
          <w:tcPr>
            <w:tcW w:w="36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根据</w:t>
            </w:r>
            <w:r>
              <w:rPr>
                <w:rStyle w:val="117"/>
                <w:rFonts w:hint="eastAsia" w:ascii="仿宋" w:hAnsi="仿宋" w:eastAsia="仿宋" w:cs="仿宋"/>
                <w:color w:val="auto"/>
                <w:sz w:val="21"/>
                <w:szCs w:val="21"/>
                <w:highlight w:val="none"/>
                <w:lang w:val="en-US" w:eastAsia="zh-CN" w:bidi="ar"/>
              </w:rPr>
              <w:t>投标人提供的</w:t>
            </w:r>
            <w:r>
              <w:rPr>
                <w:rStyle w:val="117"/>
                <w:rFonts w:hint="eastAsia" w:ascii="仿宋" w:hAnsi="仿宋" w:eastAsia="仿宋" w:cs="仿宋"/>
                <w:color w:val="auto"/>
                <w:sz w:val="21"/>
                <w:szCs w:val="21"/>
                <w:highlight w:val="none"/>
                <w:lang w:eastAsia="zh-CN" w:bidi="ar"/>
              </w:rPr>
              <w:t>的</w:t>
            </w:r>
            <w:r>
              <w:rPr>
                <w:rStyle w:val="117"/>
                <w:rFonts w:hint="eastAsia" w:ascii="仿宋" w:hAnsi="仿宋" w:eastAsia="仿宋" w:cs="仿宋"/>
                <w:color w:val="auto"/>
                <w:sz w:val="21"/>
                <w:szCs w:val="21"/>
                <w:highlight w:val="none"/>
                <w:lang w:val="en-US" w:eastAsia="zh-CN" w:bidi="ar"/>
              </w:rPr>
              <w:t>增值服务（如可线上下单之类的智能数字服务），横向比较，综合评价。</w:t>
            </w:r>
            <w:r>
              <w:rPr>
                <w:rStyle w:val="117"/>
                <w:rFonts w:hint="eastAsia" w:ascii="仿宋" w:hAnsi="仿宋" w:eastAsia="仿宋" w:cs="仿宋"/>
                <w:color w:val="auto"/>
                <w:sz w:val="21"/>
                <w:szCs w:val="21"/>
                <w:highlight w:val="none"/>
                <w:lang w:bidi="ar"/>
              </w:rPr>
              <w:t>评价为优得</w:t>
            </w:r>
            <w:r>
              <w:rPr>
                <w:rStyle w:val="117"/>
                <w:rFonts w:hint="eastAsia" w:ascii="仿宋" w:hAnsi="仿宋" w:eastAsia="仿宋" w:cs="仿宋"/>
                <w:color w:val="auto"/>
                <w:sz w:val="21"/>
                <w:szCs w:val="21"/>
                <w:highlight w:val="none"/>
                <w:lang w:val="en-US" w:eastAsia="zh-CN" w:bidi="ar"/>
              </w:rPr>
              <w:t>5</w:t>
            </w:r>
            <w:r>
              <w:rPr>
                <w:rStyle w:val="117"/>
                <w:rFonts w:hint="eastAsia" w:ascii="仿宋" w:hAnsi="仿宋" w:eastAsia="仿宋" w:cs="仿宋"/>
                <w:color w:val="auto"/>
                <w:sz w:val="21"/>
                <w:szCs w:val="21"/>
                <w:highlight w:val="none"/>
                <w:lang w:bidi="ar"/>
              </w:rPr>
              <w:t>分，</w:t>
            </w:r>
            <w:r>
              <w:rPr>
                <w:rStyle w:val="117"/>
                <w:rFonts w:hint="eastAsia" w:ascii="仿宋" w:hAnsi="仿宋" w:eastAsia="仿宋" w:cs="仿宋"/>
                <w:color w:val="auto"/>
                <w:sz w:val="21"/>
                <w:szCs w:val="21"/>
                <w:highlight w:val="none"/>
                <w:lang w:val="en-US" w:eastAsia="zh-CN" w:bidi="ar"/>
              </w:rPr>
              <w:t>良好</w:t>
            </w:r>
            <w:r>
              <w:rPr>
                <w:rStyle w:val="117"/>
                <w:rFonts w:hint="eastAsia" w:ascii="仿宋" w:hAnsi="仿宋" w:eastAsia="仿宋" w:cs="仿宋"/>
                <w:color w:val="auto"/>
                <w:sz w:val="21"/>
                <w:szCs w:val="21"/>
                <w:highlight w:val="none"/>
                <w:lang w:bidi="ar"/>
              </w:rPr>
              <w:t>得</w:t>
            </w:r>
            <w:r>
              <w:rPr>
                <w:rStyle w:val="117"/>
                <w:rFonts w:hint="eastAsia" w:ascii="仿宋" w:hAnsi="仿宋" w:eastAsia="仿宋" w:cs="仿宋"/>
                <w:color w:val="auto"/>
                <w:sz w:val="21"/>
                <w:szCs w:val="21"/>
                <w:highlight w:val="none"/>
                <w:lang w:val="en-US" w:eastAsia="zh-CN" w:bidi="ar"/>
              </w:rPr>
              <w:t>3</w:t>
            </w:r>
            <w:r>
              <w:rPr>
                <w:rStyle w:val="117"/>
                <w:rFonts w:hint="eastAsia" w:ascii="仿宋" w:hAnsi="仿宋" w:eastAsia="仿宋" w:cs="仿宋"/>
                <w:color w:val="auto"/>
                <w:sz w:val="21"/>
                <w:szCs w:val="21"/>
                <w:highlight w:val="none"/>
                <w:lang w:bidi="ar"/>
              </w:rPr>
              <w:t>-</w:t>
            </w:r>
            <w:r>
              <w:rPr>
                <w:rStyle w:val="117"/>
                <w:rFonts w:hint="eastAsia" w:ascii="仿宋" w:hAnsi="仿宋" w:eastAsia="仿宋" w:cs="仿宋"/>
                <w:color w:val="auto"/>
                <w:sz w:val="21"/>
                <w:szCs w:val="21"/>
                <w:highlight w:val="none"/>
                <w:lang w:val="en-US" w:eastAsia="zh-CN" w:bidi="ar"/>
              </w:rPr>
              <w:t>4</w:t>
            </w:r>
            <w:r>
              <w:rPr>
                <w:rStyle w:val="117"/>
                <w:rFonts w:hint="eastAsia" w:ascii="仿宋" w:hAnsi="仿宋" w:eastAsia="仿宋" w:cs="仿宋"/>
                <w:color w:val="auto"/>
                <w:sz w:val="21"/>
                <w:szCs w:val="21"/>
                <w:highlight w:val="none"/>
                <w:lang w:bidi="ar"/>
              </w:rPr>
              <w:t>分，一般得</w:t>
            </w:r>
            <w:r>
              <w:rPr>
                <w:rStyle w:val="117"/>
                <w:rFonts w:hint="eastAsia" w:ascii="仿宋" w:hAnsi="仿宋" w:eastAsia="仿宋" w:cs="仿宋"/>
                <w:color w:val="auto"/>
                <w:sz w:val="21"/>
                <w:szCs w:val="21"/>
                <w:highlight w:val="none"/>
                <w:lang w:val="en-US" w:eastAsia="zh-CN" w:bidi="ar"/>
              </w:rPr>
              <w:t>1-2</w:t>
            </w:r>
            <w:r>
              <w:rPr>
                <w:rStyle w:val="117"/>
                <w:rFonts w:hint="eastAsia" w:ascii="仿宋" w:hAnsi="仿宋" w:eastAsia="仿宋" w:cs="仿宋"/>
                <w:color w:val="auto"/>
                <w:sz w:val="21"/>
                <w:szCs w:val="21"/>
                <w:highlight w:val="none"/>
                <w:lang w:bidi="ar"/>
              </w:rPr>
              <w:t>分。</w:t>
            </w: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right="0"/>
              <w:jc w:val="center"/>
              <w:rPr>
                <w:rStyle w:val="117"/>
                <w:rFonts w:hint="eastAsia" w:ascii="仿宋" w:hAnsi="仿宋" w:eastAsia="仿宋" w:cs="仿宋"/>
                <w:color w:val="auto"/>
                <w:sz w:val="21"/>
                <w:szCs w:val="21"/>
                <w:highlight w:val="none"/>
                <w:lang w:val="en-US" w:eastAsia="zh-CN" w:bidi="ar"/>
              </w:rPr>
            </w:pPr>
            <w:r>
              <w:rPr>
                <w:rStyle w:val="117"/>
                <w:rFonts w:hint="eastAsia" w:ascii="仿宋" w:hAnsi="仿宋" w:eastAsia="仿宋" w:cs="仿宋"/>
                <w:color w:val="auto"/>
                <w:sz w:val="21"/>
                <w:szCs w:val="21"/>
                <w:highlight w:val="none"/>
                <w:lang w:val="en-US" w:eastAsia="zh-CN" w:bidi="ar"/>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469" w:type="pct"/>
            <w:vMerge w:val="restart"/>
            <w:tcBorders>
              <w:top w:val="single" w:color="auto" w:sz="4" w:space="0"/>
              <w:left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val="en-US" w:eastAsia="zh-CN" w:bidi="ar"/>
              </w:rPr>
              <w:t>商务</w:t>
            </w:r>
            <w:r>
              <w:rPr>
                <w:rFonts w:hint="eastAsia" w:ascii="仿宋" w:hAnsi="仿宋" w:eastAsia="仿宋" w:cs="仿宋"/>
                <w:color w:val="auto"/>
                <w:sz w:val="21"/>
                <w:szCs w:val="21"/>
                <w:highlight w:val="none"/>
                <w:lang w:bidi="ar"/>
              </w:rPr>
              <w:t>得分</w:t>
            </w:r>
          </w:p>
          <w:p>
            <w:pPr>
              <w:keepNext w:val="0"/>
              <w:keepLines w:val="0"/>
              <w:suppressLineNumbers w:val="0"/>
              <w:spacing w:before="0" w:beforeAutospacing="0" w:after="0" w:afterAutospacing="0"/>
              <w:ind w:left="0" w:leftChars="0" w:right="0" w:rightChars="0"/>
              <w:jc w:val="center"/>
              <w:textAlignment w:val="center"/>
              <w:rPr>
                <w:rStyle w:val="117"/>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w:t>
            </w:r>
            <w:r>
              <w:rPr>
                <w:rFonts w:hint="eastAsia" w:ascii="仿宋" w:hAnsi="仿宋" w:eastAsia="仿宋" w:cs="仿宋"/>
                <w:color w:val="auto"/>
                <w:sz w:val="21"/>
                <w:szCs w:val="21"/>
                <w:highlight w:val="none"/>
                <w:lang w:val="en-US" w:eastAsia="zh-CN" w:bidi="ar"/>
              </w:rPr>
              <w:t>10</w:t>
            </w:r>
            <w:r>
              <w:rPr>
                <w:rFonts w:hint="eastAsia" w:ascii="仿宋" w:hAnsi="仿宋" w:eastAsia="仿宋" w:cs="仿宋"/>
                <w:color w:val="auto"/>
                <w:sz w:val="21"/>
                <w:szCs w:val="21"/>
                <w:highlight w:val="none"/>
                <w:lang w:bidi="ar"/>
              </w:rPr>
              <w:t>分）</w:t>
            </w:r>
          </w:p>
        </w:tc>
        <w:tc>
          <w:tcPr>
            <w:tcW w:w="581" w:type="pct"/>
            <w:tcBorders>
              <w:top w:val="single" w:color="auto"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ind w:left="0" w:leftChars="0" w:right="0" w:rightChars="0"/>
              <w:jc w:val="center"/>
              <w:textAlignment w:val="center"/>
              <w:rPr>
                <w:rStyle w:val="117"/>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综合实力</w:t>
            </w:r>
          </w:p>
        </w:tc>
        <w:tc>
          <w:tcPr>
            <w:tcW w:w="36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leftChars="0" w:right="0" w:rightChars="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根据投标人</w:t>
            </w:r>
            <w:r>
              <w:rPr>
                <w:rStyle w:val="117"/>
                <w:rFonts w:hint="eastAsia" w:ascii="仿宋" w:hAnsi="仿宋" w:eastAsia="仿宋" w:cs="仿宋"/>
                <w:bCs/>
                <w:color w:val="auto"/>
                <w:sz w:val="21"/>
                <w:szCs w:val="21"/>
                <w:highlight w:val="none"/>
                <w:lang w:val="en-US" w:eastAsia="zh-CN" w:bidi="ar"/>
              </w:rPr>
              <w:t>财务状况、信誉状况、从业人员</w:t>
            </w:r>
            <w:r>
              <w:rPr>
                <w:rStyle w:val="117"/>
                <w:rFonts w:hint="eastAsia" w:ascii="仿宋" w:hAnsi="仿宋" w:eastAsia="仿宋" w:cs="仿宋"/>
                <w:bCs/>
                <w:color w:val="auto"/>
                <w:sz w:val="21"/>
                <w:szCs w:val="21"/>
                <w:highlight w:val="none"/>
                <w:lang w:bidi="ar"/>
              </w:rPr>
              <w:t>等</w:t>
            </w:r>
            <w:r>
              <w:rPr>
                <w:rStyle w:val="117"/>
                <w:rFonts w:hint="eastAsia" w:ascii="仿宋" w:hAnsi="仿宋" w:eastAsia="仿宋" w:cs="仿宋"/>
                <w:color w:val="auto"/>
                <w:sz w:val="21"/>
                <w:szCs w:val="21"/>
                <w:highlight w:val="none"/>
                <w:lang w:bidi="ar"/>
              </w:rPr>
              <w:t>情况进行横向比较评分（需提供相应证明材料），评标为优得</w:t>
            </w:r>
            <w:r>
              <w:rPr>
                <w:rStyle w:val="117"/>
                <w:rFonts w:hint="eastAsia" w:ascii="仿宋" w:hAnsi="仿宋" w:eastAsia="仿宋" w:cs="仿宋"/>
                <w:color w:val="auto"/>
                <w:sz w:val="21"/>
                <w:szCs w:val="21"/>
                <w:highlight w:val="none"/>
                <w:lang w:val="en-US" w:bidi="ar"/>
              </w:rPr>
              <w:t>4-5</w:t>
            </w:r>
            <w:r>
              <w:rPr>
                <w:rStyle w:val="117"/>
                <w:rFonts w:hint="eastAsia" w:ascii="仿宋" w:hAnsi="仿宋" w:eastAsia="仿宋" w:cs="仿宋"/>
                <w:color w:val="auto"/>
                <w:sz w:val="21"/>
                <w:szCs w:val="21"/>
                <w:highlight w:val="none"/>
                <w:lang w:bidi="ar"/>
              </w:rPr>
              <w:t>分，良好得</w:t>
            </w:r>
            <w:r>
              <w:rPr>
                <w:rStyle w:val="117"/>
                <w:rFonts w:hint="eastAsia" w:ascii="仿宋" w:hAnsi="仿宋" w:eastAsia="仿宋" w:cs="仿宋"/>
                <w:color w:val="auto"/>
                <w:sz w:val="21"/>
                <w:szCs w:val="21"/>
                <w:highlight w:val="none"/>
                <w:lang w:val="en-US" w:bidi="ar"/>
              </w:rPr>
              <w:t>2-3</w:t>
            </w:r>
            <w:r>
              <w:rPr>
                <w:rStyle w:val="117"/>
                <w:rFonts w:hint="eastAsia" w:ascii="仿宋" w:hAnsi="仿宋" w:eastAsia="仿宋" w:cs="仿宋"/>
                <w:color w:val="auto"/>
                <w:sz w:val="21"/>
                <w:szCs w:val="21"/>
                <w:highlight w:val="none"/>
                <w:lang w:bidi="ar"/>
              </w:rPr>
              <w:t>分，一般得</w:t>
            </w:r>
            <w:r>
              <w:rPr>
                <w:rStyle w:val="117"/>
                <w:rFonts w:hint="eastAsia" w:ascii="仿宋" w:hAnsi="仿宋" w:eastAsia="仿宋" w:cs="仿宋"/>
                <w:color w:val="auto"/>
                <w:sz w:val="21"/>
                <w:szCs w:val="21"/>
                <w:highlight w:val="none"/>
                <w:lang w:val="en-US" w:bidi="ar"/>
              </w:rPr>
              <w:t>0-1</w:t>
            </w:r>
            <w:r>
              <w:rPr>
                <w:rStyle w:val="117"/>
                <w:rFonts w:hint="eastAsia" w:ascii="仿宋" w:hAnsi="仿宋" w:eastAsia="仿宋" w:cs="仿宋"/>
                <w:color w:val="auto"/>
                <w:sz w:val="21"/>
                <w:szCs w:val="21"/>
                <w:highlight w:val="none"/>
                <w:lang w:bidi="ar"/>
              </w:rPr>
              <w:t>分。</w:t>
            </w: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leftChars="0" w:right="0" w:rightChars="0"/>
              <w:jc w:val="center"/>
              <w:rPr>
                <w:rStyle w:val="117"/>
                <w:rFonts w:hint="eastAsia" w:ascii="仿宋" w:hAnsi="仿宋" w:eastAsia="仿宋" w:cs="仿宋"/>
                <w:color w:val="auto"/>
                <w:sz w:val="21"/>
                <w:szCs w:val="21"/>
                <w:highlight w:val="none"/>
                <w:lang w:val="en-US" w:eastAsia="zh-CN" w:bidi="ar"/>
              </w:rPr>
            </w:pPr>
            <w:r>
              <w:rPr>
                <w:rStyle w:val="117"/>
                <w:rFonts w:hint="eastAsia" w:cs="宋体"/>
                <w:color w:val="auto"/>
                <w:sz w:val="21"/>
                <w:szCs w:val="21"/>
                <w:highlight w:val="none"/>
                <w:lang w:val="en-US" w:bidi="ar"/>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469" w:type="pct"/>
            <w:vMerge w:val="continue"/>
            <w:tcBorders>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jc w:val="center"/>
              <w:textAlignment w:val="center"/>
              <w:rPr>
                <w:rFonts w:hint="eastAsia" w:ascii="仿宋" w:hAnsi="仿宋" w:eastAsia="仿宋" w:cs="仿宋"/>
                <w:color w:val="auto"/>
                <w:sz w:val="21"/>
                <w:szCs w:val="21"/>
                <w:highlight w:val="none"/>
                <w:lang w:bidi="ar"/>
              </w:rPr>
            </w:pPr>
          </w:p>
        </w:tc>
        <w:tc>
          <w:tcPr>
            <w:tcW w:w="581"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ind w:left="0" w:leftChars="0" w:right="0" w:rightChars="0"/>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eastAsia="zh-CN" w:bidi="ar"/>
              </w:rPr>
              <w:t>成功案例</w:t>
            </w:r>
          </w:p>
        </w:tc>
        <w:tc>
          <w:tcPr>
            <w:tcW w:w="36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pPr>
              <w:keepNext w:val="0"/>
              <w:keepLines w:val="0"/>
              <w:suppressLineNumbers w:val="0"/>
              <w:spacing w:before="0" w:beforeAutospacing="0" w:after="0" w:afterAutospacing="0" w:line="240" w:lineRule="auto"/>
              <w:ind w:left="0" w:right="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根据投标人近三年（202</w:t>
            </w:r>
            <w:r>
              <w:rPr>
                <w:rStyle w:val="117"/>
                <w:rFonts w:hint="eastAsia" w:ascii="仿宋" w:hAnsi="仿宋" w:eastAsia="仿宋" w:cs="仿宋"/>
                <w:color w:val="auto"/>
                <w:sz w:val="21"/>
                <w:szCs w:val="21"/>
                <w:highlight w:val="none"/>
                <w:lang w:val="en-US" w:eastAsia="zh-CN" w:bidi="ar"/>
              </w:rPr>
              <w:t>3</w:t>
            </w:r>
            <w:r>
              <w:rPr>
                <w:rStyle w:val="117"/>
                <w:rFonts w:hint="eastAsia" w:ascii="仿宋" w:hAnsi="仿宋" w:eastAsia="仿宋" w:cs="仿宋"/>
                <w:color w:val="auto"/>
                <w:sz w:val="21"/>
                <w:szCs w:val="21"/>
                <w:highlight w:val="none"/>
                <w:lang w:bidi="ar"/>
              </w:rPr>
              <w:t>年1月1日至开标日，以</w:t>
            </w:r>
            <w:r>
              <w:rPr>
                <w:rStyle w:val="117"/>
                <w:rFonts w:hint="eastAsia" w:ascii="仿宋" w:hAnsi="仿宋" w:eastAsia="仿宋" w:cs="仿宋"/>
                <w:color w:val="auto"/>
                <w:sz w:val="21"/>
                <w:szCs w:val="21"/>
                <w:highlight w:val="none"/>
                <w:lang w:val="en-US" w:eastAsia="zh-CN" w:bidi="ar"/>
              </w:rPr>
              <w:t>服务</w:t>
            </w:r>
            <w:r>
              <w:rPr>
                <w:rStyle w:val="117"/>
                <w:rFonts w:hint="eastAsia" w:ascii="仿宋" w:hAnsi="仿宋" w:eastAsia="仿宋" w:cs="仿宋"/>
                <w:color w:val="auto"/>
                <w:sz w:val="21"/>
                <w:szCs w:val="21"/>
                <w:highlight w:val="none"/>
                <w:lang w:bidi="ar"/>
              </w:rPr>
              <w:t>签订日期为准）具有类似项目实施案例进行打分，在满足资格要求的基础上，每增加提供1个有效的案例得</w:t>
            </w:r>
            <w:r>
              <w:rPr>
                <w:rStyle w:val="117"/>
                <w:rFonts w:hint="eastAsia" w:ascii="仿宋" w:hAnsi="仿宋" w:eastAsia="仿宋" w:cs="仿宋"/>
                <w:color w:val="auto"/>
                <w:sz w:val="21"/>
                <w:szCs w:val="21"/>
                <w:highlight w:val="none"/>
                <w:lang w:val="en-US" w:bidi="ar"/>
              </w:rPr>
              <w:t>1</w:t>
            </w:r>
            <w:r>
              <w:rPr>
                <w:rStyle w:val="117"/>
                <w:rFonts w:hint="eastAsia" w:ascii="仿宋" w:hAnsi="仿宋" w:eastAsia="仿宋" w:cs="仿宋"/>
                <w:color w:val="auto"/>
                <w:sz w:val="21"/>
                <w:szCs w:val="21"/>
                <w:highlight w:val="none"/>
                <w:lang w:bidi="ar"/>
              </w:rPr>
              <w:t>分，最多得</w:t>
            </w:r>
            <w:r>
              <w:rPr>
                <w:rStyle w:val="117"/>
                <w:rFonts w:hint="eastAsia" w:ascii="仿宋" w:hAnsi="仿宋" w:eastAsia="仿宋" w:cs="仿宋"/>
                <w:color w:val="auto"/>
                <w:sz w:val="21"/>
                <w:szCs w:val="21"/>
                <w:highlight w:val="none"/>
                <w:lang w:val="en-US" w:bidi="ar"/>
              </w:rPr>
              <w:t>5</w:t>
            </w:r>
            <w:r>
              <w:rPr>
                <w:rStyle w:val="117"/>
                <w:rFonts w:hint="eastAsia" w:ascii="仿宋" w:hAnsi="仿宋" w:eastAsia="仿宋" w:cs="仿宋"/>
                <w:color w:val="auto"/>
                <w:sz w:val="21"/>
                <w:szCs w:val="21"/>
                <w:highlight w:val="none"/>
                <w:lang w:bidi="ar"/>
              </w:rPr>
              <w:t>分。</w:t>
            </w:r>
          </w:p>
          <w:p>
            <w:pPr>
              <w:keepNext w:val="0"/>
              <w:keepLines w:val="0"/>
              <w:suppressLineNumbers w:val="0"/>
              <w:spacing w:before="0" w:beforeAutospacing="0" w:after="0" w:afterAutospacing="0" w:line="240" w:lineRule="auto"/>
              <w:ind w:left="0" w:leftChars="0" w:right="0" w:rightChars="0"/>
              <w:rPr>
                <w:rStyle w:val="117"/>
                <w:rFonts w:hint="eastAsia" w:ascii="仿宋" w:hAnsi="仿宋" w:eastAsia="仿宋" w:cs="仿宋"/>
                <w:color w:val="auto"/>
                <w:sz w:val="21"/>
                <w:szCs w:val="21"/>
                <w:highlight w:val="none"/>
                <w:lang w:bidi="ar"/>
              </w:rPr>
            </w:pPr>
            <w:r>
              <w:rPr>
                <w:rStyle w:val="117"/>
                <w:rFonts w:hint="eastAsia" w:ascii="仿宋" w:hAnsi="仿宋" w:eastAsia="仿宋" w:cs="仿宋"/>
                <w:color w:val="auto"/>
                <w:sz w:val="21"/>
                <w:szCs w:val="21"/>
                <w:highlight w:val="none"/>
                <w:lang w:bidi="ar"/>
              </w:rPr>
              <w:t>需提供合同关键页复印件（包括合同首页、体现项目内容页、签署日期页及盖章页）作为有效证明文件。</w:t>
            </w:r>
          </w:p>
        </w:tc>
        <w:tc>
          <w:tcPr>
            <w:tcW w:w="32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line="240" w:lineRule="auto"/>
              <w:ind w:left="0" w:leftChars="0" w:right="0" w:rightChars="0"/>
              <w:jc w:val="center"/>
              <w:rPr>
                <w:rStyle w:val="117"/>
                <w:rFonts w:hint="eastAsia" w:cs="宋体"/>
                <w:color w:val="auto"/>
                <w:sz w:val="21"/>
                <w:szCs w:val="21"/>
                <w:highlight w:val="none"/>
                <w:lang w:val="en-US" w:bidi="ar"/>
              </w:rPr>
            </w:pPr>
            <w:r>
              <w:rPr>
                <w:rStyle w:val="117"/>
                <w:rFonts w:hint="eastAsia" w:cs="宋体"/>
                <w:color w:val="auto"/>
                <w:sz w:val="21"/>
                <w:szCs w:val="21"/>
                <w:highlight w:val="none"/>
                <w:lang w:val="en-US" w:bidi="ar"/>
              </w:rPr>
              <w:t>5</w:t>
            </w:r>
          </w:p>
        </w:tc>
      </w:tr>
      <w:bookmarkEnd w:id="137"/>
      <w:bookmarkEnd w:id="138"/>
      <w:bookmarkEnd w:id="139"/>
      <w:bookmarkEnd w:id="140"/>
    </w:tbl>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color w:val="auto"/>
          <w:sz w:val="28"/>
          <w:szCs w:val="28"/>
          <w:highlight w:val="none"/>
          <w:lang w:eastAsia="zh-CN"/>
        </w:rPr>
      </w:pPr>
    </w:p>
    <w:p>
      <w:pPr>
        <w:pStyle w:val="111"/>
        <w:tabs>
          <w:tab w:val="left" w:pos="0"/>
        </w:tabs>
        <w:adjustRightInd w:val="0"/>
        <w:snapToGrid w:val="0"/>
        <w:spacing w:line="360" w:lineRule="auto"/>
        <w:ind w:left="0" w:leftChars="0" w:firstLine="0" w:firstLineChars="0"/>
        <w:jc w:val="both"/>
        <w:rPr>
          <w:rFonts w:hint="eastAsia" w:ascii="仿宋" w:hAnsi="仿宋" w:eastAsia="仿宋" w:cs="仿宋"/>
          <w:b/>
          <w:bCs/>
          <w:color w:val="auto"/>
          <w:sz w:val="28"/>
          <w:szCs w:val="28"/>
          <w:highlight w:val="none"/>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b/>
          <w:bCs/>
          <w:color w:val="auto"/>
          <w:sz w:val="28"/>
          <w:szCs w:val="28"/>
          <w:highlight w:val="none"/>
        </w:rPr>
      </w:pPr>
    </w:p>
    <w:p>
      <w:pPr>
        <w:pStyle w:val="111"/>
        <w:tabs>
          <w:tab w:val="left" w:pos="0"/>
        </w:tabs>
        <w:adjustRightInd w:val="0"/>
        <w:snapToGrid w:val="0"/>
        <w:spacing w:line="360" w:lineRule="auto"/>
        <w:ind w:left="0" w:leftChars="0" w:firstLine="0" w:firstLineChars="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第</w:t>
      </w:r>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章 合同条款</w:t>
      </w:r>
      <w:bookmarkEnd w:id="136"/>
    </w:p>
    <w:p>
      <w:pPr>
        <w:pageBreakBefore w:val="0"/>
        <w:kinsoku/>
        <w:wordWrap/>
        <w:overflowPunct/>
        <w:topLinePunct w:val="0"/>
        <w:autoSpaceDE/>
        <w:autoSpaceDN/>
        <w:bidi w:val="0"/>
        <w:spacing w:line="600" w:lineRule="exact"/>
        <w:jc w:val="center"/>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kern w:val="0"/>
          <w:sz w:val="24"/>
          <w:szCs w:val="24"/>
          <w:lang w:val="en-US" w:eastAsia="zh-CN" w:bidi="ar-SA"/>
        </w:rPr>
        <w:t>商务部分</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第一条 </w:t>
      </w:r>
      <w:r>
        <w:rPr>
          <w:rFonts w:hint="eastAsia" w:ascii="仿宋" w:hAnsi="仿宋" w:eastAsia="仿宋" w:cs="仿宋"/>
          <w:b/>
          <w:bCs/>
          <w:color w:val="auto"/>
          <w:sz w:val="24"/>
          <w:szCs w:val="24"/>
        </w:rPr>
        <w:t>项目内容及要求</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一</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项目内容及要求 </w:t>
      </w:r>
    </w:p>
    <w:p>
      <w:pPr>
        <w:keepNext w:val="0"/>
        <w:keepLines w:val="0"/>
        <w:pageBreakBefore w:val="0"/>
        <w:widowControl w:val="0"/>
        <w:numPr>
          <w:ilvl w:val="0"/>
          <w:numId w:val="5"/>
        </w:numPr>
        <w:kinsoku/>
        <w:wordWrap/>
        <w:overflowPunct/>
        <w:topLinePunct w:val="0"/>
        <w:autoSpaceDE/>
        <w:autoSpaceDN/>
        <w:bidi w:val="0"/>
        <w:adjustRightInd/>
        <w:snapToGrid/>
        <w:spacing w:line="600" w:lineRule="exact"/>
        <w:ind w:left="-62" w:leftChars="0" w:firstLine="482"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本合同项下甲乙双方约定的项目内容及要求见本合同【附件】。</w:t>
      </w:r>
    </w:p>
    <w:p>
      <w:pPr>
        <w:keepNext w:val="0"/>
        <w:keepLines w:val="0"/>
        <w:pageBreakBefore w:val="0"/>
        <w:widowControl w:val="0"/>
        <w:numPr>
          <w:ilvl w:val="0"/>
          <w:numId w:val="5"/>
        </w:numPr>
        <w:kinsoku/>
        <w:wordWrap/>
        <w:overflowPunct/>
        <w:topLinePunct w:val="0"/>
        <w:autoSpaceDE/>
        <w:autoSpaceDN/>
        <w:bidi w:val="0"/>
        <w:adjustRightInd/>
        <w:snapToGrid/>
        <w:spacing w:line="600" w:lineRule="exact"/>
        <w:ind w:left="-62" w:leftChars="0" w:firstLine="482" w:firstLineChars="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乙方应向甲方交付合同【附件】中列明的全部合同货物，负责合同货物的运输、安装、调试， 并向甲方提供合同【附件】列明的技术服务。 </w:t>
      </w:r>
    </w:p>
    <w:p>
      <w:pPr>
        <w:keepNext w:val="0"/>
        <w:keepLines w:val="0"/>
        <w:pageBreakBefore w:val="0"/>
        <w:widowControl w:val="0"/>
        <w:numPr>
          <w:ilvl w:val="0"/>
          <w:numId w:val="5"/>
        </w:numPr>
        <w:kinsoku/>
        <w:wordWrap/>
        <w:overflowPunct/>
        <w:topLinePunct w:val="0"/>
        <w:autoSpaceDE/>
        <w:autoSpaceDN/>
        <w:bidi w:val="0"/>
        <w:adjustRightInd/>
        <w:snapToGrid/>
        <w:spacing w:line="600" w:lineRule="exact"/>
        <w:ind w:left="-62" w:leftChars="0" w:firstLine="482"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乙方须向甲方提供包括但不限于保修、维修、咨询、培训等在内的一系列服务。</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二</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质量标准 乙方根据本合同向甲方供应的合同货物，应是原厂生产的、未经使用的并且是安全的、经济的、 成熟可靠的货物。双方约定合同货物的质量应满足同类货物的国家标准、部颁标准、行业标准中 的最高标准。同时，如双方约定合同货物质量标准的，乙方交付的货物应符合约定的质量标准。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第二条 合同价格</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一</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合同价格明细见【附件】。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二</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本合同价格包括合同货物价格、合同货物安装调试费、技术服务费、售后服务费等 费用，还包括合同货物的税费、技术资料费、运输费、装卸费、包装费、仓储费、保险费等与本 合同有关的所有费用。除合同价格外，甲方无须就本合同项下乙方的任何义务支付任何额外费用。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420" w:left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三</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本合同付款安排见【附件】。 </w:t>
      </w:r>
    </w:p>
    <w:p>
      <w:pPr>
        <w:keepNext w:val="0"/>
        <w:keepLines w:val="0"/>
        <w:pageBreakBefore w:val="0"/>
        <w:widowControl w:val="0"/>
        <w:numPr>
          <w:ilvl w:val="0"/>
          <w:numId w:val="6"/>
        </w:numPr>
        <w:kinsoku/>
        <w:wordWrap/>
        <w:overflowPunct/>
        <w:topLinePunct w:val="0"/>
        <w:autoSpaceDE/>
        <w:autoSpaceDN/>
        <w:bidi w:val="0"/>
        <w:adjustRightInd/>
        <w:snapToGrid/>
        <w:spacing w:line="600" w:lineRule="exact"/>
        <w:ind w:leftChars="0"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包装和运输</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一</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包装</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1</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乙方应提供合同货物运至合同约定的最终目的地所需要的包装，以防止货物在转运中损坏或 变质。乙方提供的包装应采取防潮、防晒、防锈、防腐蚀、防震动及防止其它损坏的必要保护措 施，从而保护货物能够经受多次搬运、装卸及长途运输。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乙方需在每一包装箱（物）表面显著位置以显著方式标明合同号、箱号、收货人、目的地、 内件品名、尺寸规格、数量、重量等内容，并对每一包装箱内合同货物附以标签，标明其在安装 图纸中的编号。另外，乙方应根据合同货物的特点及其对装卸操作的要求在包装箱显著位置以中 文标明“保持干燥”、“小心轻放”、“此面向上”等国际惯用图示。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3</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乙方应承担由于其包装或其防护措施不妥而引起的包括但不限于货物锈蚀、损坏或丢失的任 何货物损失。 </w:t>
      </w:r>
    </w:p>
    <w:p>
      <w:pPr>
        <w:keepNext w:val="0"/>
        <w:keepLines w:val="0"/>
        <w:pageBreakBefore w:val="0"/>
        <w:widowControl w:val="0"/>
        <w:numPr>
          <w:ilvl w:val="0"/>
          <w:numId w:val="6"/>
        </w:numPr>
        <w:kinsoku/>
        <w:wordWrap/>
        <w:overflowPunct/>
        <w:topLinePunct w:val="0"/>
        <w:autoSpaceDE/>
        <w:autoSpaceDN/>
        <w:bidi w:val="0"/>
        <w:adjustRightInd/>
        <w:snapToGrid/>
        <w:spacing w:line="600" w:lineRule="exact"/>
        <w:ind w:left="0" w:leftChars="0"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交付和收货</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一</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乙方应按合同约定的交付时间将合同货物运至甲方指定地点，并完成货物的安装和 调试。交付和质量标准信息见【附件】。</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二</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收货 </w:t>
      </w:r>
    </w:p>
    <w:p>
      <w:pPr>
        <w:keepNext w:val="0"/>
        <w:keepLines w:val="0"/>
        <w:pageBreakBefore w:val="0"/>
        <w:widowControl w:val="0"/>
        <w:numPr>
          <w:ilvl w:val="0"/>
          <w:numId w:val="7"/>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乙方将合同货物安装完毕后，应当通知甲方进行收货，甲方应及时组织收货。 </w:t>
      </w:r>
    </w:p>
    <w:p>
      <w:pPr>
        <w:keepNext w:val="0"/>
        <w:keepLines w:val="0"/>
        <w:pageBreakBefore w:val="0"/>
        <w:widowControl w:val="0"/>
        <w:numPr>
          <w:ilvl w:val="0"/>
          <w:numId w:val="7"/>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甲方指定收货人在收货单上签字确认的日期视为乙方正式交付合同货物的日期。 </w:t>
      </w:r>
    </w:p>
    <w:p>
      <w:pPr>
        <w:keepNext w:val="0"/>
        <w:keepLines w:val="0"/>
        <w:pageBreakBefore w:val="0"/>
        <w:widowControl w:val="0"/>
        <w:numPr>
          <w:ilvl w:val="0"/>
          <w:numId w:val="7"/>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甲方在收货单上的签字确认不使甲方丧失因质量问题而向乙方索赔和求偿的权利，同时不解 除乙方对于合同货物质量缺陷或瑕疵负有的相应质量保证责任。 </w:t>
      </w:r>
      <w:r>
        <w:rPr>
          <w:rFonts w:hint="eastAsia" w:ascii="仿宋" w:hAnsi="仿宋" w:eastAsia="仿宋" w:cs="仿宋"/>
          <w:b w:val="0"/>
          <w:bCs w:val="0"/>
          <w:color w:val="auto"/>
          <w:sz w:val="24"/>
          <w:szCs w:val="24"/>
          <w:lang w:val="en-US" w:eastAsia="zh-CN"/>
        </w:rPr>
        <w:t xml:space="preserve">         </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第五条 </w:t>
      </w:r>
      <w:r>
        <w:rPr>
          <w:rFonts w:hint="eastAsia" w:ascii="仿宋" w:hAnsi="仿宋" w:eastAsia="仿宋" w:cs="仿宋"/>
          <w:b/>
          <w:bCs/>
          <w:color w:val="auto"/>
          <w:sz w:val="24"/>
          <w:szCs w:val="24"/>
        </w:rPr>
        <w:t>保修和维修</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bCs/>
          <w:color w:val="auto"/>
          <w:sz w:val="24"/>
          <w:szCs w:val="24"/>
          <w:lang w:val="en-US" w:eastAsia="zh-CN"/>
        </w:rPr>
      </w:pPr>
      <w:r>
        <w:rPr>
          <w:rFonts w:hint="eastAsia" w:ascii="仿宋" w:hAnsi="仿宋" w:eastAsia="仿宋" w:cs="仿宋"/>
          <w:b w:val="0"/>
          <w:bCs w:val="0"/>
          <w:color w:val="auto"/>
          <w:sz w:val="24"/>
          <w:szCs w:val="24"/>
        </w:rPr>
        <w:t>保修保修期内乙方对货物提供技术支持和保修维护服务，具体内容及方式见【附件】，甲方不再就此支付任何费用。</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第六条 </w:t>
      </w:r>
      <w:r>
        <w:rPr>
          <w:rFonts w:hint="eastAsia" w:ascii="仿宋" w:hAnsi="仿宋" w:eastAsia="仿宋" w:cs="仿宋"/>
          <w:b/>
          <w:bCs/>
          <w:color w:val="auto"/>
          <w:sz w:val="24"/>
          <w:szCs w:val="24"/>
        </w:rPr>
        <w:t xml:space="preserve">违约责任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甲、乙任一方或双方违约的，违约一方应当向相对方承担相应的违约责任。违约责任的具体约定 见【附件】。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firstLine="482" w:firstLineChars="200"/>
        <w:jc w:val="center"/>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通用部分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第七条 </w:t>
      </w:r>
      <w:r>
        <w:rPr>
          <w:rFonts w:hint="eastAsia" w:ascii="仿宋" w:hAnsi="仿宋" w:eastAsia="仿宋" w:cs="仿宋"/>
          <w:b/>
          <w:bCs/>
          <w:color w:val="auto"/>
          <w:sz w:val="24"/>
          <w:szCs w:val="24"/>
        </w:rPr>
        <w:t>定义</w:t>
      </w:r>
      <w:r>
        <w:rPr>
          <w:rFonts w:hint="eastAsia" w:ascii="仿宋" w:hAnsi="仿宋" w:eastAsia="仿宋" w:cs="仿宋"/>
          <w:b w:val="0"/>
          <w:bCs w:val="0"/>
          <w:color w:val="auto"/>
          <w:sz w:val="24"/>
          <w:szCs w:val="24"/>
        </w:rPr>
        <w:t xml:space="preserve">（适用于货物购买合同）  </w:t>
      </w:r>
    </w:p>
    <w:p>
      <w:pPr>
        <w:keepNext w:val="0"/>
        <w:keepLines w:val="0"/>
        <w:pageBreakBefore w:val="0"/>
        <w:widowControl w:val="0"/>
        <w:numPr>
          <w:ilvl w:val="0"/>
          <w:numId w:val="8"/>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“合同”是指甲乙双方所达成的本合同以及所有与之有关的附件。 </w:t>
      </w:r>
    </w:p>
    <w:p>
      <w:pPr>
        <w:keepNext w:val="0"/>
        <w:keepLines w:val="0"/>
        <w:pageBreakBefore w:val="0"/>
        <w:widowControl w:val="0"/>
        <w:numPr>
          <w:ilvl w:val="0"/>
          <w:numId w:val="8"/>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“合同价格”是指在乙方完全和适当地履行其合同义务后，甲方根据合同约定应支付给乙方 的价款。 </w:t>
      </w:r>
    </w:p>
    <w:p>
      <w:pPr>
        <w:keepNext w:val="0"/>
        <w:keepLines w:val="0"/>
        <w:pageBreakBefore w:val="0"/>
        <w:widowControl w:val="0"/>
        <w:numPr>
          <w:ilvl w:val="0"/>
          <w:numId w:val="8"/>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“技术资料”是指关于合同货物及其相关的安装、调试、验收的所有文件和信息。 </w:t>
      </w:r>
    </w:p>
    <w:p>
      <w:pPr>
        <w:keepNext w:val="0"/>
        <w:keepLines w:val="0"/>
        <w:pageBreakBefore w:val="0"/>
        <w:widowControl w:val="0"/>
        <w:numPr>
          <w:ilvl w:val="0"/>
          <w:numId w:val="8"/>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“合同货物”是指乙方根据合同应向甲方提供的全部货物。 </w:t>
      </w:r>
    </w:p>
    <w:p>
      <w:pPr>
        <w:keepNext w:val="0"/>
        <w:keepLines w:val="0"/>
        <w:pageBreakBefore w:val="0"/>
        <w:widowControl w:val="0"/>
        <w:numPr>
          <w:ilvl w:val="0"/>
          <w:numId w:val="8"/>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“技术服务”指的是根据合同约定，应由乙方向甲方提供的包括但不限于货物安装与调试、 保修、维修、技术咨询与培训等所有服务。 </w:t>
      </w:r>
    </w:p>
    <w:p>
      <w:pPr>
        <w:keepNext w:val="0"/>
        <w:keepLines w:val="0"/>
        <w:pageBreakBefore w:val="0"/>
        <w:widowControl w:val="0"/>
        <w:numPr>
          <w:ilvl w:val="0"/>
          <w:numId w:val="8"/>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“日”、“天”：均指日历日。合同中期限的最后一日为</w:t>
      </w:r>
      <w:r>
        <w:rPr>
          <w:rFonts w:hint="eastAsia" w:ascii="仿宋" w:hAnsi="仿宋" w:eastAsia="仿宋" w:cs="仿宋"/>
          <w:b w:val="0"/>
          <w:bCs w:val="0"/>
          <w:color w:val="auto"/>
          <w:sz w:val="24"/>
          <w:szCs w:val="24"/>
          <w:lang w:val="en-US" w:eastAsia="zh-CN"/>
        </w:rPr>
        <w:t xml:space="preserve"> </w:t>
      </w:r>
      <w:r>
        <w:rPr>
          <w:rFonts w:hint="eastAsia" w:ascii="仿宋" w:hAnsi="仿宋" w:eastAsia="仿宋" w:cs="仿宋"/>
          <w:b w:val="0"/>
          <w:bCs w:val="0"/>
          <w:color w:val="auto"/>
          <w:sz w:val="24"/>
          <w:szCs w:val="24"/>
        </w:rPr>
        <w:t xml:space="preserve">国家法定节假日的，顺延至节假日 后的第一个工作日。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bCs/>
          <w:color w:val="auto"/>
          <w:sz w:val="24"/>
          <w:szCs w:val="24"/>
        </w:rPr>
      </w:pPr>
      <w:r>
        <w:rPr>
          <w:rStyle w:val="176"/>
          <w:rFonts w:hint="eastAsia" w:ascii="仿宋" w:hAnsi="仿宋" w:eastAsia="仿宋" w:cs="仿宋"/>
          <w:b/>
          <w:bCs/>
          <w:color w:val="auto"/>
          <w:sz w:val="24"/>
          <w:szCs w:val="24"/>
          <w:lang w:val="en-US" w:eastAsia="zh-CN"/>
        </w:rPr>
        <w:t>第八条</w:t>
      </w:r>
      <w:r>
        <w:rPr>
          <w:rFonts w:hint="eastAsia" w:ascii="仿宋" w:hAnsi="仿宋" w:eastAsia="仿宋" w:cs="仿宋"/>
          <w:b/>
          <w:bCs/>
          <w:color w:val="auto"/>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第九条 双方的权利和义务</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（一） 甲方的权利和义务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（1）甲方有权获得本合同项下乙方应提供的全部合格的货物并享有乙方提供的全部合格的服务；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（2）甲方有权在合同期内对乙方的供货及服务进行监督；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（3）乙方未按照合同约定履行义务的，甲方有权采取相应的措施；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（4）甲方应按照合同约定向乙方支付合同价款；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（5）甲方享有其它双方约定的权利、承担其它双方约定的义务。</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（二） 乙方的权利和义务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（1）乙方有权获得甲方支付的合同价款；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（2）乙方应按照合同约定向甲方提供全部合格的货物和服务；</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（3）乙方应按照合同约定履行相应的维护和保修义务；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（4）乙方享有其它双方约定的权利、承担其它双方约定的义务。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第十条 禁止转让</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未经甲方事先书面同意，乙方不得将其本合同项下之全部义务或其中一部分义务转让给第三方执 行。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第十一条 </w:t>
      </w:r>
      <w:r>
        <w:rPr>
          <w:rFonts w:hint="eastAsia" w:ascii="仿宋" w:hAnsi="仿宋" w:eastAsia="仿宋" w:cs="仿宋"/>
          <w:b/>
          <w:bCs/>
          <w:color w:val="auto"/>
          <w:sz w:val="24"/>
          <w:szCs w:val="24"/>
        </w:rPr>
        <w:t>权利保证</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乙方确保甲方不因签署本合同、接受或使用本合同中约定的事项侵犯甲方或任何第三方权利。如 乙方违反本保证，导致第三方主张权利或者甲方遭受索赔，乙方应负责解决并应当赔偿甲方为此 而支付的一切费用以及因此而给甲方造成的全部损失（包括但不限于甲方支出的律师费、仲裁费、 诉讼费以及向第三方支付的赔偿金）。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第十二条 </w:t>
      </w:r>
      <w:r>
        <w:rPr>
          <w:rFonts w:hint="eastAsia" w:ascii="仿宋" w:hAnsi="仿宋" w:eastAsia="仿宋" w:cs="仿宋"/>
          <w:b/>
          <w:bCs/>
          <w:color w:val="auto"/>
          <w:sz w:val="24"/>
          <w:szCs w:val="24"/>
        </w:rPr>
        <w:t>违约责任</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9"/>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如果甲方无正当理由未能在合同约定的时间内向乙方支付相关合同价款，每迟延一 日，甲方应向乙方支付应付价款部分的_______%作为违约金。 </w:t>
      </w:r>
    </w:p>
    <w:p>
      <w:pPr>
        <w:keepNext w:val="0"/>
        <w:keepLines w:val="0"/>
        <w:pageBreakBefore w:val="0"/>
        <w:widowControl w:val="0"/>
        <w:numPr>
          <w:ilvl w:val="0"/>
          <w:numId w:val="9"/>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如果乙方未能按约定时间向甲方交付符合要求的合同货物并取得甲方收货确认，每 迟延一日，乙方应向甲方支付当期货款的_______%作为违约金。乙方逾期超过约定 10 个工作日不 能交付货物的，甲方有权单方面解除合同，甲方受到的损失超出违约金的部分，由乙方继续承担 赔偿责任。 </w:t>
      </w:r>
    </w:p>
    <w:p>
      <w:pPr>
        <w:keepNext w:val="0"/>
        <w:keepLines w:val="0"/>
        <w:pageBreakBefore w:val="0"/>
        <w:widowControl w:val="0"/>
        <w:numPr>
          <w:ilvl w:val="0"/>
          <w:numId w:val="9"/>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乙方所交付的货物不能全部满足合同约定的，包括但不限于货物品种、型号、规格、 技术参数、质量不符合合同约定标准的，甲方有权拒收。乙方同意更换货物但逾期交付的，按乙 方逾期交付货物处理。乙方拒绝更换货物的，甲方有权单方面解除合同，乙方应向甲方支付相当 于当期价款的_______%作为违约金。甲方受到的损失超出违约金的部分，由乙方继续承担赔偿责 任。 </w:t>
      </w:r>
    </w:p>
    <w:p>
      <w:pPr>
        <w:keepNext w:val="0"/>
        <w:keepLines w:val="0"/>
        <w:pageBreakBefore w:val="0"/>
        <w:widowControl w:val="0"/>
        <w:numPr>
          <w:ilvl w:val="0"/>
          <w:numId w:val="9"/>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如果乙方违反本合同约定的保密义务，乙方应向甲方支付_______的违约金，甲方受 到的损失超出违约金的部分，由乙方继续承担赔偿责任。 （五）除本合同的约定外，因乙方的违约行为给甲方造成损失的，乙方应向甲方支付_______ 的违约金，如甲方受到的损失超过违约金的，超出部分由乙方继续承担赔偿责任。 </w:t>
      </w:r>
      <w:r>
        <w:rPr>
          <w:rFonts w:hint="eastAsia" w:ascii="仿宋" w:hAnsi="仿宋" w:eastAsia="仿宋" w:cs="仿宋"/>
          <w:b w:val="0"/>
          <w:bCs w:val="0"/>
          <w:color w:val="auto"/>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第十三条 </w:t>
      </w:r>
      <w:r>
        <w:rPr>
          <w:rFonts w:hint="eastAsia" w:ascii="仿宋" w:hAnsi="仿宋" w:eastAsia="仿宋" w:cs="仿宋"/>
          <w:b/>
          <w:bCs/>
          <w:color w:val="auto"/>
          <w:sz w:val="24"/>
          <w:szCs w:val="24"/>
        </w:rPr>
        <w:t xml:space="preserve">保密义务 </w:t>
      </w:r>
    </w:p>
    <w:p>
      <w:pPr>
        <w:keepNext w:val="0"/>
        <w:keepLines w:val="0"/>
        <w:pageBreakBefore w:val="0"/>
        <w:widowControl w:val="0"/>
        <w:numPr>
          <w:ilvl w:val="0"/>
          <w:numId w:val="1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乙方应保证对本合同的所有相关内容及其因履行本合同所获知的各种甲方的具有保 密性质的信息（包括但不限于经营、管理、商务、技术、营销、发展规划等）负有保密义务，未34 经甲方事前书面许可，不得将上述信息用于本合同目的之外；除为履行其职责而确有必要知悉保 密资料的乙方工作人员或其他第三方外，乙方不向其他任何人披露上述信息，且乙方应确保上述 人员承担与本合同约定同等严格的保密义务。 </w:t>
      </w:r>
    </w:p>
    <w:p>
      <w:pPr>
        <w:keepNext w:val="0"/>
        <w:keepLines w:val="0"/>
        <w:pageBreakBefore w:val="0"/>
        <w:widowControl w:val="0"/>
        <w:numPr>
          <w:ilvl w:val="0"/>
          <w:numId w:val="10"/>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乙方在本合同中所受领的保密信息应及时返还甲方或在甲方监督下予以销毁。乙方 擅自留存备份信息，视为违反保密约定。 </w:t>
      </w:r>
    </w:p>
    <w:p>
      <w:pPr>
        <w:keepNext w:val="0"/>
        <w:keepLines w:val="0"/>
        <w:pageBreakBefore w:val="0"/>
        <w:widowControl w:val="0"/>
        <w:numPr>
          <w:ilvl w:val="0"/>
          <w:numId w:val="10"/>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无论本合同因何种原因终止，本保密条款依然有效。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第十四条 </w:t>
      </w:r>
      <w:r>
        <w:rPr>
          <w:rFonts w:hint="eastAsia" w:ascii="仿宋" w:hAnsi="仿宋" w:eastAsia="仿宋" w:cs="仿宋"/>
          <w:b/>
          <w:bCs/>
          <w:color w:val="auto"/>
          <w:sz w:val="24"/>
          <w:szCs w:val="24"/>
        </w:rPr>
        <w:t>不可抗力</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11"/>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本合同任何一方因不可抗力不能履行本合同约定的全部或部分义务，应尽快通知另 一方，并应在不可抗力发生后 3 日内以书面形式向对方提供详细情况报告及不可抗力对履行本合 同影响程度的说明。甲、乙双方应根据不可抗力对合同履行的影响程度，协商确定是否终止合同， 或继续履行本合同。 </w:t>
      </w:r>
    </w:p>
    <w:p>
      <w:pPr>
        <w:keepNext w:val="0"/>
        <w:keepLines w:val="0"/>
        <w:pageBreakBefore w:val="0"/>
        <w:widowControl w:val="0"/>
        <w:numPr>
          <w:ilvl w:val="0"/>
          <w:numId w:val="11"/>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本合同任何一方均不对因不可抗力无法履行或迟延履行义务而使对方遭受到任何损 失承担责任，但遭受不可抗力影响的一方有责任采取适当和必要的措施减轻或消除不可抗力的影 响。遭受不可抗力影响的一方应当对未尽本项责任造成或扩大的损失承担责任。</w:t>
      </w:r>
    </w:p>
    <w:p>
      <w:pPr>
        <w:keepNext w:val="0"/>
        <w:keepLines w:val="0"/>
        <w:pageBreakBefore w:val="0"/>
        <w:widowControl w:val="0"/>
        <w:numPr>
          <w:ilvl w:val="0"/>
          <w:numId w:val="11"/>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合同一方迟延履行后发生不可抗力的，不能免除其责任。 第十五条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第十五条 </w:t>
      </w:r>
      <w:r>
        <w:rPr>
          <w:rFonts w:hint="eastAsia" w:ascii="仿宋" w:hAnsi="仿宋" w:eastAsia="仿宋" w:cs="仿宋"/>
          <w:b/>
          <w:bCs/>
          <w:color w:val="auto"/>
          <w:sz w:val="24"/>
          <w:szCs w:val="24"/>
        </w:rPr>
        <w:t>合同变更</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合同变更 对本合同的任何变更或补充，须经甲乙双方协商一致，并另行签订书面补充协议。</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val="en-US" w:eastAsia="zh-CN"/>
        </w:rPr>
        <w:t xml:space="preserve">第十六条 </w:t>
      </w:r>
      <w:r>
        <w:rPr>
          <w:rFonts w:hint="eastAsia" w:ascii="仿宋" w:hAnsi="仿宋" w:eastAsia="仿宋" w:cs="仿宋"/>
          <w:b/>
          <w:bCs/>
          <w:color w:val="auto"/>
          <w:sz w:val="24"/>
          <w:szCs w:val="24"/>
        </w:rPr>
        <w:t>合同特别终止</w:t>
      </w:r>
    </w:p>
    <w:p>
      <w:pPr>
        <w:keepNext w:val="0"/>
        <w:keepLines w:val="0"/>
        <w:pageBreakBefore w:val="0"/>
        <w:widowControl w:val="0"/>
        <w:numPr>
          <w:ilvl w:val="0"/>
          <w:numId w:val="12"/>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甲乙双方同意在乙方出现下列情形时，甲方可以书面形式通知乙方（或者乙方的破 产清算组或相关管理人）提出终止合同而不向其提供任何补偿：</w:t>
      </w:r>
      <w:r>
        <w:rPr>
          <w:rFonts w:hint="eastAsia" w:ascii="仿宋" w:hAnsi="仿宋" w:eastAsia="仿宋" w:cs="仿宋"/>
          <w:b w:val="0"/>
          <w:bCs w:val="0"/>
          <w:color w:val="auto"/>
          <w:sz w:val="24"/>
          <w:szCs w:val="24"/>
          <w:lang w:val="en-US" w:eastAsia="zh-CN"/>
        </w:rPr>
        <w:t xml:space="preserve">  </w:t>
      </w:r>
    </w:p>
    <w:p>
      <w:pPr>
        <w:keepNext w:val="0"/>
        <w:keepLines w:val="0"/>
        <w:pageBreakBefore w:val="0"/>
        <w:widowControl w:val="0"/>
        <w:numPr>
          <w:ilvl w:val="0"/>
          <w:numId w:val="13"/>
        </w:numPr>
        <w:kinsoku/>
        <w:wordWrap/>
        <w:overflowPunct/>
        <w:topLinePunct w:val="0"/>
        <w:autoSpaceDE/>
        <w:autoSpaceDN/>
        <w:bidi w:val="0"/>
        <w:adjustRightInd/>
        <w:snapToGrid/>
        <w:spacing w:line="600" w:lineRule="exact"/>
        <w:ind w:left="-62" w:leftChars="0" w:firstLine="482"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乙方破产、解散（包括但不限于乙方股东会决议解散、乙方被吊销营业执照、被责令关闭、 被撤销、被司法机关裁决解散等情形）； </w:t>
      </w:r>
    </w:p>
    <w:p>
      <w:pPr>
        <w:keepNext w:val="0"/>
        <w:keepLines w:val="0"/>
        <w:pageBreakBefore w:val="0"/>
        <w:widowControl w:val="0"/>
        <w:numPr>
          <w:ilvl w:val="0"/>
          <w:numId w:val="13"/>
        </w:numPr>
        <w:kinsoku/>
        <w:wordWrap/>
        <w:overflowPunct/>
        <w:topLinePunct w:val="0"/>
        <w:autoSpaceDE/>
        <w:autoSpaceDN/>
        <w:bidi w:val="0"/>
        <w:adjustRightInd/>
        <w:snapToGrid/>
        <w:spacing w:line="600" w:lineRule="exact"/>
        <w:ind w:left="-62" w:leftChars="0" w:firstLine="482"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乙方发生未经甲方书面同意的重大产权变更（包括但不限于合并、分立、注销等情形)；（如 系上市公司）被勒令停止上市；以及任何原因背负重大债务导致无履行能力。</w:t>
      </w:r>
    </w:p>
    <w:p>
      <w:pPr>
        <w:keepNext w:val="0"/>
        <w:keepLines w:val="0"/>
        <w:pageBreakBefore w:val="0"/>
        <w:widowControl w:val="0"/>
        <w:numPr>
          <w:ilvl w:val="0"/>
          <w:numId w:val="12"/>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如果因上述原因导致本合同终止，甲方已经采取或者将要采取任何补救措施的权利 不受任何影响。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第十七条 </w:t>
      </w:r>
      <w:r>
        <w:rPr>
          <w:rFonts w:hint="eastAsia" w:ascii="仿宋" w:hAnsi="仿宋" w:eastAsia="仿宋" w:cs="仿宋"/>
          <w:b/>
          <w:bCs/>
          <w:color w:val="auto"/>
          <w:sz w:val="24"/>
          <w:szCs w:val="24"/>
        </w:rPr>
        <w:t>法律适用与争议解决</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14"/>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本合同的订立、效力、解释、履行和争议的解决均适用中华人民共和国法律（不包 括港澳台地区法律）。 </w:t>
      </w:r>
    </w:p>
    <w:p>
      <w:pPr>
        <w:keepNext w:val="0"/>
        <w:keepLines w:val="0"/>
        <w:pageBreakBefore w:val="0"/>
        <w:widowControl w:val="0"/>
        <w:numPr>
          <w:ilvl w:val="0"/>
          <w:numId w:val="14"/>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凡因本合同引起的或与本合同有关的任何争议，双方首先应友好协商解决。协商不 成的，任何一方均可向甲方所在地有管辖权的法院提起诉讼。</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第十八条 </w:t>
      </w:r>
      <w:r>
        <w:rPr>
          <w:rFonts w:hint="eastAsia" w:ascii="仿宋" w:hAnsi="仿宋" w:eastAsia="仿宋" w:cs="仿宋"/>
          <w:b/>
          <w:bCs/>
          <w:color w:val="auto"/>
          <w:sz w:val="24"/>
          <w:szCs w:val="24"/>
        </w:rPr>
        <w:t>合同生效及其他</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15"/>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本合同经甲乙双方法定代表人或授权代表签字并加盖公章或合同专用章后生效。 </w:t>
      </w:r>
    </w:p>
    <w:p>
      <w:pPr>
        <w:keepNext w:val="0"/>
        <w:keepLines w:val="0"/>
        <w:pageBreakBefore w:val="0"/>
        <w:widowControl w:val="0"/>
        <w:numPr>
          <w:ilvl w:val="0"/>
          <w:numId w:val="15"/>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合同期限自_______年_______月_______日始，至_______年_______月_______日止。 </w:t>
      </w:r>
    </w:p>
    <w:p>
      <w:pPr>
        <w:keepNext w:val="0"/>
        <w:keepLines w:val="0"/>
        <w:pageBreakBefore w:val="0"/>
        <w:widowControl w:val="0"/>
        <w:numPr>
          <w:ilvl w:val="0"/>
          <w:numId w:val="15"/>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本合同一式_______份，其中正本_______份，副本_______份。甲方执_______份正 本，_______份副本；乙方执_______份正本，_______份副本。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第十九条 </w:t>
      </w:r>
      <w:r>
        <w:rPr>
          <w:rFonts w:hint="eastAsia" w:ascii="仿宋" w:hAnsi="仿宋" w:eastAsia="仿宋" w:cs="仿宋"/>
          <w:b/>
          <w:bCs/>
          <w:color w:val="auto"/>
          <w:sz w:val="24"/>
          <w:szCs w:val="24"/>
        </w:rPr>
        <w:t>合同效力</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16"/>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无论本合同是否有相反约定，本合同附件（如有）作为本合同的组成部分，与本合 同具有同等法律效力，当附件条款与本合同条款发生冲突时，以本合同条款为准</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rPr>
        <w:t xml:space="preserve"> </w:t>
      </w:r>
    </w:p>
    <w:p>
      <w:pPr>
        <w:keepNext w:val="0"/>
        <w:keepLines w:val="0"/>
        <w:pageBreakBefore w:val="0"/>
        <w:widowControl w:val="0"/>
        <w:numPr>
          <w:ilvl w:val="0"/>
          <w:numId w:val="16"/>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本合同及合同附件（如有）是甲乙双方关于本次交易所最终确定的全部内容，甲乙 双方均承认其已审阅、理解本合同及合同附件的内容，并同意取代甲乙双方之间此前关于本次交 易所做出的任何口头或书面的承诺。 </w:t>
      </w:r>
    </w:p>
    <w:p>
      <w:pPr>
        <w:keepNext w:val="0"/>
        <w:keepLines w:val="0"/>
        <w:pageBreakBefore w:val="0"/>
        <w:widowControl w:val="0"/>
        <w:numPr>
          <w:ilvl w:val="0"/>
          <w:numId w:val="16"/>
        </w:numPr>
        <w:kinsoku/>
        <w:wordWrap/>
        <w:overflowPunct/>
        <w:topLinePunct w:val="0"/>
        <w:autoSpaceDE/>
        <w:autoSpaceDN/>
        <w:bidi w:val="0"/>
        <w:adjustRightInd/>
        <w:snapToGrid/>
        <w:spacing w:line="600" w:lineRule="exact"/>
        <w:ind w:left="0" w:leftChars="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由于法律和法规、政策而导致本合同任何条款无效或无法执行，则该条款无效，但 不影响剩余其他条款的效力。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第二十条 </w:t>
      </w:r>
      <w:r>
        <w:rPr>
          <w:rFonts w:hint="eastAsia" w:ascii="仿宋" w:hAnsi="仿宋" w:eastAsia="仿宋" w:cs="仿宋"/>
          <w:b/>
          <w:bCs/>
          <w:color w:val="auto"/>
          <w:sz w:val="24"/>
          <w:szCs w:val="24"/>
        </w:rPr>
        <w:t>附件的组成</w:t>
      </w:r>
      <w:r>
        <w:rPr>
          <w:rFonts w:hint="eastAsia" w:ascii="仿宋" w:hAnsi="仿宋" w:eastAsia="仿宋" w:cs="仿宋"/>
          <w:b w:val="0"/>
          <w:bCs w:val="0"/>
          <w:color w:val="auto"/>
          <w:sz w:val="24"/>
          <w:szCs w:val="24"/>
        </w:rPr>
        <w:t xml:space="preserve">（适用于货物购买合同）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附件的组成 附件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b w:val="0"/>
          <w:bCs w:val="0"/>
          <w:color w:val="auto"/>
          <w:sz w:val="24"/>
          <w:szCs w:val="24"/>
          <w:lang w:val="en-US" w:eastAsia="zh-CN"/>
        </w:rPr>
        <w:t xml:space="preserve">    </w:t>
      </w:r>
      <w:r>
        <w:rPr>
          <w:rFonts w:hint="eastAsia" w:ascii="仿宋" w:hAnsi="仿宋" w:eastAsia="仿宋" w:cs="仿宋"/>
          <w:b/>
          <w:bCs/>
          <w:color w:val="auto"/>
          <w:sz w:val="24"/>
          <w:szCs w:val="24"/>
          <w:lang w:val="en-US" w:eastAsia="zh-CN"/>
        </w:rPr>
        <w:t>第二十一条 ...</w:t>
      </w:r>
      <w:r>
        <w:rPr>
          <w:rFonts w:hint="eastAsia" w:ascii="仿宋" w:hAnsi="仿宋" w:eastAsia="仿宋" w:cs="仿宋"/>
          <w:color w:val="auto"/>
          <w:kern w:val="0"/>
          <w:sz w:val="24"/>
          <w:szCs w:val="24"/>
          <w:lang w:val="en-US" w:eastAsia="zh-CN" w:bidi="ar"/>
        </w:rPr>
        <w:t>...</w:t>
      </w:r>
    </w:p>
    <w:p>
      <w:pPr>
        <w:pStyle w:val="2"/>
        <w:pageBreakBefore w:val="0"/>
        <w:kinsoku/>
        <w:wordWrap/>
        <w:overflowPunct/>
        <w:topLinePunct w:val="0"/>
        <w:autoSpaceDE/>
        <w:autoSpaceDN/>
        <w:bidi w:val="0"/>
        <w:spacing w:line="600" w:lineRule="exact"/>
        <w:rPr>
          <w:rFonts w:hint="eastAsia" w:ascii="仿宋" w:hAnsi="仿宋" w:eastAsia="仿宋" w:cs="仿宋"/>
          <w:color w:val="auto"/>
          <w:sz w:val="24"/>
          <w:szCs w:val="24"/>
          <w:lang w:val="en-US" w:eastAsia="zh-CN"/>
        </w:rPr>
      </w:pPr>
    </w:p>
    <w:p>
      <w:pPr>
        <w:pageBreakBefore w:val="0"/>
        <w:numPr>
          <w:ilvl w:val="0"/>
          <w:numId w:val="0"/>
        </w:numPr>
        <w:kinsoku/>
        <w:wordWrap/>
        <w:overflowPunct/>
        <w:topLinePunct w:val="0"/>
        <w:autoSpaceDE/>
        <w:autoSpaceDN/>
        <w:bidi w:val="0"/>
        <w:spacing w:line="600" w:lineRule="exact"/>
        <w:ind w:leftChars="200"/>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Chars="200"/>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Chars="200"/>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Chars="200"/>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Chars="200"/>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Chars="200"/>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Chars="200"/>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Chars="200"/>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Chars="200"/>
        <w:jc w:val="both"/>
        <w:textAlignment w:val="auto"/>
        <w:rPr>
          <w:rFonts w:hint="eastAsia" w:ascii="仿宋" w:hAnsi="仿宋" w:eastAsia="仿宋" w:cs="仿宋"/>
          <w:b w:val="0"/>
          <w:bCs w:val="0"/>
          <w:color w:val="auto"/>
          <w:sz w:val="24"/>
          <w:szCs w:val="24"/>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pStyle w:val="2"/>
        <w:rPr>
          <w:rFonts w:hint="eastAsia"/>
          <w:lang w:val="en-US" w:eastAsia="zh-CN"/>
        </w:rPr>
      </w:pPr>
    </w:p>
    <w:p>
      <w:pPr>
        <w:pStyle w:val="2"/>
        <w:rPr>
          <w:rFonts w:hint="eastAsia"/>
          <w:lang w:val="en-US" w:eastAsia="zh-CN"/>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附件一：</w:t>
      </w:r>
      <w:r>
        <w:rPr>
          <w:rFonts w:hint="eastAsia" w:ascii="仿宋" w:hAnsi="仿宋" w:eastAsia="仿宋" w:cs="仿宋"/>
          <w:color w:val="auto"/>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spacing w:line="600" w:lineRule="exact"/>
        <w:jc w:val="center"/>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240" w:lineRule="auto"/>
        <w:jc w:val="center"/>
        <w:textAlignment w:val="auto"/>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合同货物和价格清单</w:t>
      </w:r>
    </w:p>
    <w:tbl>
      <w:tblPr>
        <w:tblStyle w:val="40"/>
        <w:tblpPr w:leftFromText="180" w:rightFromText="180" w:vertAnchor="text" w:horzAnchor="page" w:tblpX="1210" w:tblpY="298"/>
        <w:tblOverlap w:val="never"/>
        <w:tblW w:w="9565" w:type="dxa"/>
        <w:tblInd w:w="0"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3790"/>
        <w:gridCol w:w="1575"/>
        <w:gridCol w:w="2190"/>
        <w:gridCol w:w="2010"/>
      </w:tblGrid>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1060" w:hRule="exact"/>
        </w:trPr>
        <w:tc>
          <w:tcPr>
            <w:tcW w:w="3790" w:type="dxa"/>
            <w:tcBorders>
              <w:tl2br w:val="nil"/>
              <w:tr2bl w:val="nil"/>
            </w:tcBorders>
            <w:noWrap w:val="0"/>
            <w:vAlign w:val="center"/>
          </w:tcPr>
          <w:p>
            <w:pPr>
              <w:pageBreakBefore w:val="0"/>
              <w:kinsoku/>
              <w:wordWrap/>
              <w:overflowPunct/>
              <w:topLinePunct w:val="0"/>
              <w:autoSpaceDE/>
              <w:autoSpaceDN/>
              <w:bidi w:val="0"/>
              <w:adjustRightInd w:val="0"/>
              <w:snapToGrid w:val="0"/>
              <w:spacing w:line="560" w:lineRule="exact"/>
              <w:jc w:val="center"/>
              <w:textAlignment w:val="auto"/>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t>品类</w:t>
            </w:r>
          </w:p>
        </w:tc>
        <w:tc>
          <w:tcPr>
            <w:tcW w:w="1575" w:type="dxa"/>
            <w:tcBorders>
              <w:tl2br w:val="nil"/>
              <w:tr2bl w:val="nil"/>
            </w:tcBorders>
            <w:noWrap w:val="0"/>
            <w:vAlign w:val="center"/>
          </w:tcPr>
          <w:p>
            <w:pPr>
              <w:pageBreakBefore w:val="0"/>
              <w:kinsoku/>
              <w:wordWrap/>
              <w:overflowPunct/>
              <w:topLinePunct w:val="0"/>
              <w:autoSpaceDE/>
              <w:autoSpaceDN/>
              <w:bidi w:val="0"/>
              <w:adjustRightInd w:val="0"/>
              <w:snapToGrid w:val="0"/>
              <w:spacing w:line="560" w:lineRule="exact"/>
              <w:jc w:val="center"/>
              <w:textAlignment w:val="auto"/>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t>发票类型</w:t>
            </w:r>
          </w:p>
        </w:tc>
        <w:tc>
          <w:tcPr>
            <w:tcW w:w="2190" w:type="dxa"/>
            <w:tcBorders>
              <w:tl2br w:val="nil"/>
              <w:tr2bl w:val="nil"/>
            </w:tcBorders>
            <w:noWrap w:val="0"/>
            <w:vAlign w:val="center"/>
          </w:tcPr>
          <w:p>
            <w:pPr>
              <w:pageBreakBefore w:val="0"/>
              <w:kinsoku/>
              <w:wordWrap/>
              <w:overflowPunct/>
              <w:topLinePunct w:val="0"/>
              <w:autoSpaceDE/>
              <w:autoSpaceDN/>
              <w:bidi w:val="0"/>
              <w:adjustRightInd w:val="0"/>
              <w:snapToGrid w:val="0"/>
              <w:spacing w:line="560" w:lineRule="exact"/>
              <w:jc w:val="center"/>
              <w:textAlignment w:val="auto"/>
              <w:rPr>
                <w:rFonts w:hint="default"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t>综合折扣率</w:t>
            </w:r>
          </w:p>
        </w:tc>
        <w:tc>
          <w:tcPr>
            <w:tcW w:w="2010" w:type="dxa"/>
            <w:tcBorders>
              <w:tl2br w:val="nil"/>
              <w:tr2bl w:val="nil"/>
            </w:tcBorders>
            <w:noWrap w:val="0"/>
            <w:vAlign w:val="center"/>
          </w:tcPr>
          <w:p>
            <w:pPr>
              <w:pageBreakBefore w:val="0"/>
              <w:kinsoku/>
              <w:wordWrap/>
              <w:overflowPunct/>
              <w:topLinePunct w:val="0"/>
              <w:autoSpaceDE/>
              <w:autoSpaceDN/>
              <w:bidi w:val="0"/>
              <w:adjustRightInd w:val="0"/>
              <w:snapToGrid w:val="0"/>
              <w:spacing w:line="560" w:lineRule="exact"/>
              <w:jc w:val="center"/>
              <w:textAlignment w:val="auto"/>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5055" w:hRule="exact"/>
        </w:trPr>
        <w:tc>
          <w:tcPr>
            <w:tcW w:w="3790" w:type="dxa"/>
            <w:tcBorders>
              <w:tl2br w:val="nil"/>
              <w:tr2bl w:val="nil"/>
            </w:tcBorders>
            <w:noWrap w:val="0"/>
            <w:vAlign w:val="center"/>
          </w:tcPr>
          <w:p>
            <w:pPr>
              <w:pageBreakBefore w:val="0"/>
              <w:kinsoku/>
              <w:wordWrap/>
              <w:overflowPunct/>
              <w:topLinePunct w:val="0"/>
              <w:autoSpaceDE/>
              <w:autoSpaceDN/>
              <w:bidi w:val="0"/>
              <w:adjustRightInd w:val="0"/>
              <w:snapToGrid w:val="0"/>
              <w:spacing w:line="560" w:lineRule="exact"/>
              <w:jc w:val="both"/>
              <w:textAlignment w:val="auto"/>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t>米面粮油干货类、蔬菜瓜果类、肉类、豆蛋奶调料类、水产类等食堂食材</w:t>
            </w:r>
          </w:p>
        </w:tc>
        <w:tc>
          <w:tcPr>
            <w:tcW w:w="1575" w:type="dxa"/>
            <w:tcBorders>
              <w:tl2br w:val="nil"/>
              <w:tr2bl w:val="nil"/>
            </w:tcBorders>
            <w:noWrap w:val="0"/>
            <w:vAlign w:val="center"/>
          </w:tcPr>
          <w:p>
            <w:pPr>
              <w:pageBreakBefore w:val="0"/>
              <w:kinsoku/>
              <w:wordWrap/>
              <w:overflowPunct/>
              <w:topLinePunct w:val="0"/>
              <w:autoSpaceDE/>
              <w:autoSpaceDN/>
              <w:bidi w:val="0"/>
              <w:adjustRightInd w:val="0"/>
              <w:snapToGrid w:val="0"/>
              <w:spacing w:line="560" w:lineRule="exact"/>
              <w:jc w:val="center"/>
              <w:textAlignment w:val="auto"/>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t xml:space="preserve"> 增值税普通发票 </w:t>
            </w:r>
          </w:p>
          <w:p>
            <w:pPr>
              <w:pageBreakBefore w:val="0"/>
              <w:kinsoku/>
              <w:wordWrap/>
              <w:overflowPunct/>
              <w:topLinePunct w:val="0"/>
              <w:autoSpaceDE/>
              <w:autoSpaceDN/>
              <w:bidi w:val="0"/>
              <w:adjustRightInd w:val="0"/>
              <w:snapToGrid w:val="0"/>
              <w:spacing w:line="560" w:lineRule="exact"/>
              <w:jc w:val="center"/>
              <w:textAlignment w:val="auto"/>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t xml:space="preserve"> </w:t>
            </w:r>
          </w:p>
        </w:tc>
        <w:tc>
          <w:tcPr>
            <w:tcW w:w="2190" w:type="dxa"/>
            <w:tcBorders>
              <w:tl2br w:val="nil"/>
              <w:tr2bl w:val="nil"/>
            </w:tcBorders>
            <w:noWrap w:val="0"/>
            <w:vAlign w:val="center"/>
          </w:tcPr>
          <w:p>
            <w:pPr>
              <w:pageBreakBefore w:val="0"/>
              <w:kinsoku/>
              <w:wordWrap/>
              <w:overflowPunct/>
              <w:topLinePunct w:val="0"/>
              <w:autoSpaceDE/>
              <w:autoSpaceDN/>
              <w:bidi w:val="0"/>
              <w:adjustRightInd w:val="0"/>
              <w:snapToGrid w:val="0"/>
              <w:spacing w:line="560" w:lineRule="exact"/>
              <w:jc w:val="center"/>
              <w:textAlignment w:val="auto"/>
              <w:rPr>
                <w:rFonts w:hint="eastAsia" w:ascii="仿宋" w:hAnsi="仿宋" w:eastAsia="仿宋" w:cs="仿宋"/>
                <w:b w:val="0"/>
                <w:bCs w:val="0"/>
                <w:color w:val="auto"/>
                <w:sz w:val="28"/>
                <w:szCs w:val="28"/>
              </w:rPr>
            </w:pPr>
          </w:p>
        </w:tc>
        <w:tc>
          <w:tcPr>
            <w:tcW w:w="2010" w:type="dxa"/>
            <w:tcBorders>
              <w:tl2br w:val="nil"/>
              <w:tr2bl w:val="nil"/>
            </w:tcBorders>
            <w:shd w:val="clear" w:color="auto" w:fill="auto"/>
            <w:noWrap w:val="0"/>
            <w:vAlign w:val="center"/>
          </w:tcPr>
          <w:p>
            <w:pPr>
              <w:pageBreakBefore w:val="0"/>
              <w:kinsoku/>
              <w:wordWrap/>
              <w:overflowPunct/>
              <w:topLinePunct w:val="0"/>
              <w:autoSpaceDE/>
              <w:autoSpaceDN/>
              <w:bidi w:val="0"/>
              <w:adjustRightInd w:val="0"/>
              <w:snapToGrid w:val="0"/>
              <w:spacing w:line="560" w:lineRule="exact"/>
              <w:jc w:val="both"/>
              <w:textAlignment w:val="auto"/>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t>供应商供货价格以昭苏县满疆农商广场同期商品销售价格为基准给予相应折扣率</w:t>
            </w:r>
          </w:p>
        </w:tc>
      </w:tr>
    </w:tbl>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备注：</w:t>
      </w:r>
    </w:p>
    <w:p>
      <w:pPr>
        <w:numPr>
          <w:ilvl w:val="0"/>
          <w:numId w:val="0"/>
        </w:numPr>
        <w:spacing w:line="360" w:lineRule="auto"/>
        <w:rPr>
          <w:rFonts w:hint="eastAsia" w:ascii="仿宋" w:hAnsi="仿宋" w:eastAsia="仿宋"/>
          <w:bCs/>
          <w:color w:val="auto"/>
          <w:sz w:val="24"/>
          <w:highlight w:val="none"/>
        </w:rPr>
      </w:pPr>
      <w:r>
        <w:rPr>
          <w:rFonts w:hint="eastAsia" w:ascii="仿宋" w:hAnsi="仿宋" w:eastAsia="仿宋"/>
          <w:bCs/>
          <w:color w:val="auto"/>
          <w:sz w:val="24"/>
          <w:highlight w:val="none"/>
          <w:lang w:val="en-US" w:eastAsia="zh-CN"/>
        </w:rPr>
        <w:t>1.</w:t>
      </w:r>
      <w:r>
        <w:rPr>
          <w:rFonts w:hint="eastAsia" w:ascii="仿宋" w:hAnsi="仿宋" w:eastAsia="仿宋"/>
          <w:bCs/>
          <w:color w:val="auto"/>
          <w:sz w:val="24"/>
          <w:highlight w:val="none"/>
        </w:rPr>
        <w:t>本次</w:t>
      </w:r>
      <w:r>
        <w:rPr>
          <w:rFonts w:hint="eastAsia" w:ascii="仿宋" w:hAnsi="仿宋" w:eastAsia="仿宋"/>
          <w:bCs/>
          <w:color w:val="auto"/>
          <w:sz w:val="24"/>
          <w:highlight w:val="none"/>
          <w:lang w:val="en-US" w:eastAsia="zh-CN"/>
        </w:rPr>
        <w:t>折扣率</w:t>
      </w:r>
      <w:r>
        <w:rPr>
          <w:rFonts w:hint="eastAsia" w:ascii="仿宋" w:hAnsi="仿宋" w:eastAsia="仿宋"/>
          <w:bCs/>
          <w:color w:val="auto"/>
          <w:sz w:val="24"/>
          <w:highlight w:val="none"/>
        </w:rPr>
        <w:t>为全部食堂食材品类综合折扣率，精确到小数点后两位（四舍五入）。</w:t>
      </w:r>
    </w:p>
    <w:p>
      <w:pPr>
        <w:pStyle w:val="107"/>
        <w:numPr>
          <w:ilvl w:val="0"/>
          <w:numId w:val="0"/>
        </w:numPr>
        <w:spacing w:line="360" w:lineRule="auto"/>
        <w:rPr>
          <w:rFonts w:hint="eastAsia" w:ascii="仿宋" w:hAnsi="仿宋" w:eastAsia="仿宋" w:cs="宋体"/>
          <w:bCs/>
          <w:color w:val="auto"/>
          <w:sz w:val="24"/>
          <w:highlight w:val="none"/>
          <w:lang w:val="en-US" w:eastAsia="zh-CN"/>
        </w:rPr>
      </w:pPr>
      <w:r>
        <w:rPr>
          <w:rFonts w:hint="eastAsia" w:ascii="仿宋" w:hAnsi="仿宋" w:eastAsia="仿宋" w:cs="宋体"/>
          <w:bCs/>
          <w:color w:val="auto"/>
          <w:sz w:val="24"/>
          <w:highlight w:val="none"/>
          <w:lang w:val="en-US" w:eastAsia="zh-CN"/>
        </w:rPr>
        <w:t>2.供应商供货价格以昭苏县满疆农商广场同期商品销售价格为基准给予相应折扣率。</w:t>
      </w:r>
    </w:p>
    <w:p>
      <w:pPr>
        <w:pStyle w:val="107"/>
        <w:numPr>
          <w:ilvl w:val="0"/>
          <w:numId w:val="0"/>
        </w:numPr>
        <w:spacing w:line="360" w:lineRule="auto"/>
        <w:rPr>
          <w:rFonts w:hint="eastAsia" w:ascii="仿宋" w:hAnsi="仿宋" w:eastAsia="仿宋" w:cs="宋体"/>
          <w:bCs/>
          <w:color w:val="auto"/>
          <w:sz w:val="24"/>
          <w:highlight w:val="none"/>
          <w:lang w:val="en-US" w:eastAsia="zh-CN"/>
        </w:rPr>
      </w:pPr>
      <w:r>
        <w:rPr>
          <w:rFonts w:hint="eastAsia" w:ascii="仿宋" w:hAnsi="仿宋" w:eastAsia="仿宋" w:cs="宋体"/>
          <w:bCs/>
          <w:color w:val="auto"/>
          <w:sz w:val="24"/>
          <w:highlight w:val="none"/>
          <w:lang w:val="en-US" w:eastAsia="zh-CN"/>
        </w:rPr>
        <w:t>3.综合折扣率小于100%。</w:t>
      </w:r>
    </w:p>
    <w:p>
      <w:pPr>
        <w:pStyle w:val="107"/>
        <w:numPr>
          <w:ilvl w:val="0"/>
          <w:numId w:val="0"/>
        </w:numPr>
        <w:spacing w:line="360" w:lineRule="auto"/>
        <w:rPr>
          <w:rFonts w:hint="eastAsia" w:ascii="仿宋" w:hAnsi="仿宋" w:eastAsia="仿宋" w:cs="宋体"/>
          <w:bCs/>
          <w:color w:val="auto"/>
          <w:sz w:val="24"/>
          <w:highlight w:val="none"/>
          <w:lang w:val="en-US" w:eastAsia="zh-CN"/>
        </w:rPr>
      </w:pPr>
    </w:p>
    <w:p>
      <w:pPr>
        <w:pageBreakBefore w:val="0"/>
        <w:numPr>
          <w:ilvl w:val="0"/>
          <w:numId w:val="0"/>
        </w:numPr>
        <w:kinsoku/>
        <w:wordWrap/>
        <w:overflowPunct/>
        <w:topLinePunct w:val="0"/>
        <w:autoSpaceDE/>
        <w:autoSpaceDN/>
        <w:bidi w:val="0"/>
        <w:spacing w:line="600" w:lineRule="exact"/>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240" w:hanging="240" w:hangingChars="100"/>
        <w:jc w:val="both"/>
        <w:textAlignment w:val="auto"/>
        <w:rPr>
          <w:rFonts w:hint="eastAsia" w:ascii="仿宋" w:hAnsi="仿宋" w:eastAsia="仿宋" w:cs="仿宋"/>
          <w:b w:val="0"/>
          <w:bCs w:val="0"/>
          <w:color w:val="auto"/>
          <w:sz w:val="24"/>
          <w:szCs w:val="24"/>
        </w:rPr>
      </w:pPr>
    </w:p>
    <w:p>
      <w:pPr>
        <w:pageBreakBefore w:val="0"/>
        <w:numPr>
          <w:ilvl w:val="0"/>
          <w:numId w:val="0"/>
        </w:numPr>
        <w:kinsoku/>
        <w:wordWrap/>
        <w:overflowPunct/>
        <w:topLinePunct w:val="0"/>
        <w:autoSpaceDE/>
        <w:autoSpaceDN/>
        <w:bidi w:val="0"/>
        <w:spacing w:line="600" w:lineRule="exact"/>
        <w:ind w:left="240" w:hanging="240" w:hangingChars="100"/>
        <w:jc w:val="both"/>
        <w:textAlignment w:val="auto"/>
        <w:rPr>
          <w:rFonts w:hint="eastAsia" w:ascii="仿宋" w:hAnsi="仿宋" w:eastAsia="仿宋" w:cs="仿宋"/>
          <w:b w:val="0"/>
          <w:bCs w:val="0"/>
          <w:color w:val="auto"/>
          <w:sz w:val="24"/>
          <w:szCs w:val="24"/>
        </w:rPr>
      </w:pPr>
    </w:p>
    <w:p>
      <w:pPr>
        <w:pStyle w:val="2"/>
        <w:rPr>
          <w:rFonts w:hint="eastAsia" w:ascii="仿宋" w:hAnsi="仿宋" w:eastAsia="仿宋" w:cs="仿宋"/>
          <w:b w:val="0"/>
          <w:bCs w:val="0"/>
          <w:color w:val="auto"/>
          <w:sz w:val="24"/>
          <w:szCs w:val="24"/>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附件二：</w:t>
      </w:r>
      <w:r>
        <w:rPr>
          <w:rFonts w:hint="eastAsia" w:ascii="仿宋" w:hAnsi="仿宋" w:eastAsia="仿宋" w:cs="仿宋"/>
          <w:color w:val="auto"/>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spacing w:line="600" w:lineRule="exact"/>
        <w:jc w:val="cente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技术服务方案</w:t>
      </w:r>
    </w:p>
    <w:p>
      <w:pPr>
        <w:pStyle w:val="2"/>
        <w:pageBreakBefore w:val="0"/>
        <w:kinsoku/>
        <w:wordWrap/>
        <w:overflowPunct/>
        <w:topLinePunct w:val="0"/>
        <w:autoSpaceDE/>
        <w:autoSpaceDN/>
        <w:bidi w:val="0"/>
        <w:spacing w:line="600" w:lineRule="exact"/>
        <w:rPr>
          <w:rFonts w:hint="eastAsia" w:ascii="仿宋" w:hAnsi="仿宋" w:eastAsia="仿宋" w:cs="仿宋"/>
          <w:color w:val="auto"/>
          <w:sz w:val="24"/>
          <w:szCs w:val="24"/>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1．自正式交付之日起，乙方对项目提供免费技术支持和保修维护服务，保修期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为自交付之日起的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个月。 </w:t>
      </w:r>
    </w:p>
    <w:p>
      <w:pPr>
        <w:keepNext w:val="0"/>
        <w:keepLines w:val="0"/>
        <w:pageBreakBefore w:val="0"/>
        <w:widowControl/>
        <w:numPr>
          <w:ilvl w:val="0"/>
          <w:numId w:val="17"/>
        </w:numPr>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技术服务内容和方式如下：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（1）技术培训：乙方到甲方现场对甲方实际操作人员进行培训，使甲方操作人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员能正确理解和掌握设备的操作方法、保养、修理等技能。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（2）故障处理：诊断、解决设备系统故障，对其错误及缺陷进行排错，乙方应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 xml:space="preserve">在甲方提出书面要求后 24 小时内予以排除。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（3）技术咨询：解答设备使用中的常见问题，乙方应在甲方提出口头或书面要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 xml:space="preserve">求后 24 小时内予以解答。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（4）服务方式：电话、信函、邮件、远程技术支持、传真、上门服务。乙方将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先以电话或邮件等方式了解甲方需要解决的问题，并为甲方提出解决方案，指导甲方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解决问题，甲方无法解决时，乙方将指派专业技术人员上门进行排除，对出现故障的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部件、元件或零件免费进行修理或更换。乙方上门服务时要对对甲方的故障问题进行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服务请求分析、服务请求处理，协调相关技术资源以解决故障。完成服务后要向甲方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出具服务实施报告。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3．保修期结束后，如甲方需要乙方提供维护服务，乙方应予提供，具体服务内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容和维护价格由双方另行商定，且服务水平不低于保修期的服务水平。</w:t>
      </w: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pStyle w:val="2"/>
        <w:jc w:val="both"/>
        <w:rPr>
          <w:rFonts w:hint="eastAsia"/>
          <w:lang w:val="en-US" w:eastAsia="zh-CN"/>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 xml:space="preserve">附件三: </w:t>
      </w:r>
    </w:p>
    <w:p>
      <w:pPr>
        <w:keepNext w:val="0"/>
        <w:keepLines w:val="0"/>
        <w:pageBreakBefore w:val="0"/>
        <w:widowControl/>
        <w:suppressLineNumbers w:val="0"/>
        <w:kinsoku/>
        <w:wordWrap/>
        <w:overflowPunct/>
        <w:topLinePunct w:val="0"/>
        <w:autoSpaceDE/>
        <w:autoSpaceDN/>
        <w:bidi w:val="0"/>
        <w:spacing w:line="600" w:lineRule="exact"/>
        <w:jc w:val="cente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付款</w:t>
      </w:r>
    </w:p>
    <w:p>
      <w:pPr>
        <w:pStyle w:val="2"/>
        <w:pageBreakBefore w:val="0"/>
        <w:kinsoku/>
        <w:wordWrap/>
        <w:overflowPunct/>
        <w:topLinePunct w:val="0"/>
        <w:autoSpaceDE/>
        <w:autoSpaceDN/>
        <w:bidi w:val="0"/>
        <w:spacing w:line="600" w:lineRule="exact"/>
        <w:rPr>
          <w:rFonts w:hint="eastAsia" w:ascii="仿宋" w:hAnsi="仿宋" w:eastAsia="仿宋" w:cs="仿宋"/>
          <w:color w:val="auto"/>
          <w:sz w:val="24"/>
          <w:szCs w:val="24"/>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 本合同使用货币种类为人民币。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 付款方式：转账[现金/支票]。双方采用转账方式付款的，甲方应向乙方以下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账户进行付费：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u w:val="single"/>
          <w:lang w:val="en-US"/>
        </w:rPr>
      </w:pPr>
      <w:r>
        <w:rPr>
          <w:rFonts w:hint="eastAsia" w:ascii="仿宋" w:hAnsi="仿宋" w:eastAsia="仿宋" w:cs="仿宋"/>
          <w:color w:val="auto"/>
          <w:kern w:val="0"/>
          <w:sz w:val="24"/>
          <w:szCs w:val="24"/>
          <w:lang w:val="en-US" w:eastAsia="zh-CN" w:bidi="ar"/>
        </w:rPr>
        <w:t xml:space="preserve">乙方： </w:t>
      </w:r>
      <w:r>
        <w:rPr>
          <w:rFonts w:hint="eastAsia" w:ascii="仿宋" w:hAnsi="仿宋" w:eastAsia="仿宋" w:cs="仿宋"/>
          <w:color w:val="auto"/>
          <w:kern w:val="0"/>
          <w:sz w:val="24"/>
          <w:szCs w:val="24"/>
          <w:u w:val="singl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u w:val="single"/>
          <w:lang w:val="en-US"/>
        </w:rPr>
      </w:pPr>
      <w:r>
        <w:rPr>
          <w:rFonts w:hint="eastAsia" w:ascii="仿宋" w:hAnsi="仿宋" w:eastAsia="仿宋" w:cs="仿宋"/>
          <w:color w:val="auto"/>
          <w:kern w:val="0"/>
          <w:sz w:val="24"/>
          <w:szCs w:val="24"/>
          <w:lang w:val="en-US" w:eastAsia="zh-CN" w:bidi="ar"/>
        </w:rPr>
        <w:t xml:space="preserve">开户行： </w:t>
      </w:r>
      <w:r>
        <w:rPr>
          <w:rFonts w:hint="eastAsia" w:ascii="仿宋" w:hAnsi="仿宋" w:eastAsia="仿宋" w:cs="仿宋"/>
          <w:color w:val="auto"/>
          <w:kern w:val="0"/>
          <w:sz w:val="24"/>
          <w:szCs w:val="24"/>
          <w:u w:val="singl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u w:val="single"/>
          <w:lang w:val="en-US"/>
        </w:rPr>
      </w:pPr>
      <w:r>
        <w:rPr>
          <w:rFonts w:hint="eastAsia" w:ascii="仿宋" w:hAnsi="仿宋" w:eastAsia="仿宋" w:cs="仿宋"/>
          <w:color w:val="auto"/>
          <w:kern w:val="0"/>
          <w:sz w:val="24"/>
          <w:szCs w:val="24"/>
          <w:lang w:val="en-US" w:eastAsia="zh-CN" w:bidi="ar"/>
        </w:rPr>
        <w:t xml:space="preserve">账户名称： </w:t>
      </w:r>
      <w:r>
        <w:rPr>
          <w:rFonts w:hint="eastAsia" w:ascii="仿宋" w:hAnsi="仿宋" w:eastAsia="仿宋" w:cs="仿宋"/>
          <w:color w:val="auto"/>
          <w:kern w:val="0"/>
          <w:sz w:val="24"/>
          <w:szCs w:val="24"/>
          <w:u w:val="singl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账号：</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乙方如需改变上述账户，应提前 10 日以书面通知甲方。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3．付款安排：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（1）乙方按本合同约定将合同货物运到指定地点，经甲方收货且收到足额有效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增值税普通发票</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 工作日内，甲方向乙方支付合同价格总额的</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 %，即RMB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 xml:space="preserve">元（大写： </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整）；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（2）待 </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且收到足额有效增值税普通发票后 </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个日内，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甲方向乙方支付合同价格总额的 </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%，即RMB </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元（大写：</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 整）；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（3）剩余合同价格的 10%，即 RMB </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元（大写： </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整）作为合同货物质量保证金，待保修期满且未发现任何质量问题的，甲方依据乙方足额有效的增值税普通发票，在保修期期满后在 15 个工作日内支付给乙方剩余合同价款，如有质量问题，应扣除相应的质量保证金后再行支付。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4. 发票开具：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（1）乙方应向甲方开具增值税普通发票，甲方开票信息如下：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公司名称： _______________________________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纳税识别号： _____________________________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银行账号： _______________________________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开户银行： _______________________________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开票地址： _______________________________</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开票电话： _______________________________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（2）乙方同时向甲方公司及其分支机构提供产品及服务的，双方应在合同中约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定甲方的分支机构和对应的价款。乙方应分别对清单中的费用承担方开具相应金额的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增值税普通发票；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（3）乙方应在每次增值税普通发票开具后的 30 个自然日内向甲方提交相应增值 税普通发票，否则甲方有权拒收发票。经多次分批的增值税普通发票的开具、提交以及双方收付款，乙方开具并提交甲方的增值税普通发票的价税合计金额应与甲方已经支付的价税合计款项保持一致；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（4）乙方必须严格遵照相关税收法规和文件，开具合法的增值税普通发票。因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乙方开具的增值税普通发票不符合税收法规与税务机关相关规定而给甲方造成经济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损失的，乙方负责赔偿。即乙方如不能提供增值税普通发票，则采购对应的进项税额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由乙方承担；如提供的票面税率与承诺不一致，则差额由乙方承担；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（5）乙方开具的增值税普通发票在送达甲方前如发生丢失、灭失或被盗等情况，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导致相应票据未能顺利送达甲方的，乙方应负责按相关税收法律法规的规定提供相应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资料，以保证甲方顺利获得抵扣，否则甲方因此遭受的经济损失由乙方负责赔偿；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（6）为保证取得的发票可以及时并成功获得抵扣，乙方开具的增值税普通发票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送达并经甲方签收后，若发生丢失，乙方应积极协助甲方，按照相关税收法规和文件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的规定提供相应资料，并确保甲方顺利获得抵扣；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（7）本合同项下的业务发生销售折让、销售退回或其它按照国家规定需要开具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红字发票或重新开票的情况，乙方有义务按照国家税收规定向甲方开具红字发票或重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新开票。如果乙方需要甲方提供开具红字发票或重新开票的有关资料，甲方应视具体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情况予以提供。</w:t>
      </w:r>
    </w:p>
    <w:p>
      <w:pPr>
        <w:pStyle w:val="2"/>
        <w:pageBreakBefore w:val="0"/>
        <w:kinsoku/>
        <w:wordWrap/>
        <w:overflowPunct/>
        <w:topLinePunct w:val="0"/>
        <w:autoSpaceDE/>
        <w:autoSpaceDN/>
        <w:bidi w:val="0"/>
        <w:spacing w:line="600" w:lineRule="exact"/>
        <w:rPr>
          <w:rFonts w:hint="eastAsia" w:ascii="仿宋" w:hAnsi="仿宋" w:eastAsia="仿宋" w:cs="仿宋"/>
          <w:color w:val="auto"/>
          <w:sz w:val="24"/>
          <w:szCs w:val="24"/>
        </w:rPr>
      </w:pPr>
    </w:p>
    <w:p>
      <w:pPr>
        <w:pageBreakBefore w:val="0"/>
        <w:numPr>
          <w:ilvl w:val="0"/>
          <w:numId w:val="0"/>
        </w:numPr>
        <w:kinsoku/>
        <w:wordWrap/>
        <w:overflowPunct/>
        <w:topLinePunct w:val="0"/>
        <w:autoSpaceDE/>
        <w:autoSpaceDN/>
        <w:bidi w:val="0"/>
        <w:spacing w:line="600" w:lineRule="exact"/>
        <w:ind w:left="240" w:hanging="240" w:hangingChars="100"/>
        <w:jc w:val="both"/>
        <w:textAlignment w:val="auto"/>
        <w:rPr>
          <w:rFonts w:hint="eastAsia" w:ascii="仿宋" w:hAnsi="仿宋" w:eastAsia="仿宋" w:cs="仿宋"/>
          <w:b w:val="0"/>
          <w:bCs w:val="0"/>
          <w:color w:val="auto"/>
          <w:sz w:val="24"/>
          <w:szCs w:val="24"/>
        </w:rPr>
      </w:pPr>
    </w:p>
    <w:p>
      <w:pPr>
        <w:pStyle w:val="2"/>
        <w:pageBreakBefore w:val="0"/>
        <w:kinsoku/>
        <w:wordWrap/>
        <w:overflowPunct/>
        <w:topLinePunct w:val="0"/>
        <w:autoSpaceDE/>
        <w:autoSpaceDN/>
        <w:bidi w:val="0"/>
        <w:spacing w:line="600" w:lineRule="exact"/>
        <w:rPr>
          <w:rFonts w:hint="eastAsia" w:ascii="仿宋" w:hAnsi="仿宋" w:eastAsia="仿宋" w:cs="仿宋"/>
          <w:b w:val="0"/>
          <w:bCs w:val="0"/>
          <w:color w:val="auto"/>
          <w:sz w:val="24"/>
          <w:szCs w:val="24"/>
        </w:rPr>
      </w:pPr>
    </w:p>
    <w:p>
      <w:pPr>
        <w:pageBreakBefore w:val="0"/>
        <w:kinsoku/>
        <w:wordWrap/>
        <w:overflowPunct/>
        <w:topLinePunct w:val="0"/>
        <w:autoSpaceDE/>
        <w:autoSpaceDN/>
        <w:bidi w:val="0"/>
        <w:spacing w:line="600" w:lineRule="exact"/>
        <w:rPr>
          <w:rFonts w:hint="eastAsia" w:ascii="仿宋" w:hAnsi="仿宋" w:eastAsia="仿宋" w:cs="仿宋"/>
          <w:b w:val="0"/>
          <w:bCs w:val="0"/>
          <w:color w:val="auto"/>
          <w:sz w:val="24"/>
          <w:szCs w:val="24"/>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附件四：</w:t>
      </w:r>
      <w:r>
        <w:rPr>
          <w:rFonts w:hint="eastAsia" w:ascii="仿宋" w:hAnsi="仿宋" w:eastAsia="仿宋" w:cs="仿宋"/>
          <w:color w:val="auto"/>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spacing w:line="600" w:lineRule="exact"/>
        <w:jc w:val="cente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双方的权利和义务</w:t>
      </w:r>
    </w:p>
    <w:p>
      <w:pPr>
        <w:pStyle w:val="2"/>
        <w:pageBreakBefore w:val="0"/>
        <w:kinsoku/>
        <w:wordWrap/>
        <w:overflowPunct/>
        <w:topLinePunct w:val="0"/>
        <w:autoSpaceDE/>
        <w:autoSpaceDN/>
        <w:bidi w:val="0"/>
        <w:spacing w:line="600" w:lineRule="exact"/>
        <w:rPr>
          <w:rFonts w:hint="eastAsia" w:ascii="仿宋" w:hAnsi="仿宋" w:eastAsia="仿宋" w:cs="仿宋"/>
          <w:color w:val="auto"/>
          <w:sz w:val="24"/>
          <w:szCs w:val="24"/>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 甲方的权利和义务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（1）甲方有权指派监督人员或代表对乙方的供货及服务的进度与质量予以监督；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（2）甲方发现合同货物或乙方服务不符合双方约定的，甲方有权要求乙方在指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 xml:space="preserve">定期限内改正；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（3）甲方应指定协调人员，协助乙方解决供货及提供服务过程中应解决的问题，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如电供应、临时仓库以及施工场地协调等准备性工作。确实因甲方协调问题致使供货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或安装调试延误的，双方可协商顺延供货期限或安装调试期限；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（4）甲方应当按照双方的约定按时足额付款，但双方另有约定的除外；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（5）本合同其他条款中约定的甲方的权利和义务。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 乙方的权利和义务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（1）乙方有权收取合同价款；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（2）乙方所提供的合同货物应随附售后质量保证说明书或保修卡。乙方承诺在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保修期内，如合同货物发生故障，免费给予维修；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（3）合同货物运输过程中的保险由乙方负责办理并承担所有费用；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0" w:firstLineChars="1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（4）本合同其他条款中约定的乙方的权利和义务。</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1" w:firstLineChars="100"/>
        <w:jc w:val="left"/>
        <w:textAlignment w:val="auto"/>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1" w:firstLineChars="100"/>
        <w:jc w:val="left"/>
        <w:textAlignment w:val="auto"/>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1" w:firstLineChars="100"/>
        <w:jc w:val="left"/>
        <w:textAlignment w:val="auto"/>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1" w:firstLineChars="100"/>
        <w:jc w:val="left"/>
        <w:textAlignment w:val="auto"/>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1" w:firstLineChars="100"/>
        <w:jc w:val="left"/>
        <w:textAlignment w:val="auto"/>
        <w:rPr>
          <w:rFonts w:hint="eastAsia" w:ascii="仿宋" w:hAnsi="仿宋" w:eastAsia="仿宋" w:cs="仿宋"/>
          <w:b/>
          <w:bCs/>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241" w:firstLineChars="100"/>
        <w:jc w:val="left"/>
        <w:textAlignment w:val="auto"/>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附件五：</w:t>
      </w:r>
      <w:r>
        <w:rPr>
          <w:rFonts w:hint="eastAsia" w:ascii="仿宋" w:hAnsi="仿宋" w:eastAsia="仿宋" w:cs="仿宋"/>
          <w:color w:val="auto"/>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spacing w:line="600" w:lineRule="exact"/>
        <w:jc w:val="cente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交付与质量标准</w:t>
      </w:r>
    </w:p>
    <w:p>
      <w:pPr>
        <w:pStyle w:val="2"/>
        <w:pageBreakBefore w:val="0"/>
        <w:kinsoku/>
        <w:wordWrap/>
        <w:overflowPunct/>
        <w:topLinePunct w:val="0"/>
        <w:autoSpaceDE/>
        <w:autoSpaceDN/>
        <w:bidi w:val="0"/>
        <w:spacing w:line="600" w:lineRule="exact"/>
        <w:rPr>
          <w:rFonts w:hint="eastAsia" w:ascii="仿宋" w:hAnsi="仿宋" w:eastAsia="仿宋" w:cs="仿宋"/>
          <w:color w:val="auto"/>
          <w:sz w:val="24"/>
          <w:szCs w:val="24"/>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1.乙方应在合同签订后 日内将合同货物运至甲方指定地点：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2.乙方交付的合同货物，除应符合合同约定的货物标准以外，还应当满足以下标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准：</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u w:val="single"/>
          <w:lang w:val="en-US"/>
        </w:rPr>
      </w:pPr>
      <w:r>
        <w:rPr>
          <w:rFonts w:hint="eastAsia" w:ascii="仿宋" w:hAnsi="仿宋" w:eastAsia="仿宋" w:cs="仿宋"/>
          <w:color w:val="auto"/>
          <w:kern w:val="0"/>
          <w:sz w:val="24"/>
          <w:szCs w:val="24"/>
          <w:lang w:val="en-US" w:eastAsia="zh-CN" w:bidi="ar"/>
        </w:rPr>
        <w:t xml:space="preserve">    </w:t>
      </w:r>
      <w:r>
        <w:rPr>
          <w:rFonts w:hint="eastAsia" w:ascii="仿宋" w:hAnsi="仿宋" w:eastAsia="仿宋" w:cs="仿宋"/>
          <w:color w:val="auto"/>
          <w:kern w:val="0"/>
          <w:sz w:val="24"/>
          <w:szCs w:val="24"/>
          <w:u w:val="single"/>
          <w:lang w:val="en-US" w:eastAsia="zh-CN" w:bidi="ar"/>
        </w:rPr>
        <w:t xml:space="preserve">                                              </w:t>
      </w:r>
    </w:p>
    <w:p>
      <w:pPr>
        <w:pageBreakBefore w:val="0"/>
        <w:numPr>
          <w:ilvl w:val="0"/>
          <w:numId w:val="0"/>
        </w:numPr>
        <w:kinsoku/>
        <w:wordWrap/>
        <w:overflowPunct/>
        <w:topLinePunct w:val="0"/>
        <w:autoSpaceDE/>
        <w:autoSpaceDN/>
        <w:bidi w:val="0"/>
        <w:spacing w:line="600" w:lineRule="exact"/>
        <w:ind w:left="240" w:hanging="240" w:hangingChars="100"/>
        <w:jc w:val="both"/>
        <w:textAlignment w:val="auto"/>
        <w:rPr>
          <w:rFonts w:hint="eastAsia" w:ascii="仿宋" w:hAnsi="仿宋" w:eastAsia="仿宋" w:cs="仿宋"/>
          <w:b w:val="0"/>
          <w:bCs w:val="0"/>
          <w:color w:val="auto"/>
          <w:sz w:val="24"/>
          <w:szCs w:val="24"/>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附件六：</w:t>
      </w:r>
      <w:r>
        <w:rPr>
          <w:rFonts w:hint="eastAsia" w:ascii="仿宋" w:hAnsi="仿宋" w:eastAsia="仿宋" w:cs="仿宋"/>
          <w:color w:val="auto"/>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spacing w:line="600" w:lineRule="exact"/>
        <w:jc w:val="cente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保修和维修</w:t>
      </w:r>
    </w:p>
    <w:p>
      <w:pPr>
        <w:pStyle w:val="2"/>
        <w:keepNext w:val="0"/>
        <w:keepLines w:val="0"/>
        <w:pageBreakBefore w:val="0"/>
        <w:kinsoku/>
        <w:wordWrap/>
        <w:overflowPunct/>
        <w:topLinePunct w:val="0"/>
        <w:autoSpaceDE/>
        <w:autoSpaceDN/>
        <w:bidi w:val="0"/>
        <w:adjustRightInd/>
        <w:snapToGrid/>
        <w:spacing w:line="600" w:lineRule="exact"/>
        <w:textAlignment w:val="auto"/>
        <w:rPr>
          <w:rFonts w:hint="eastAsia" w:ascii="仿宋" w:hAnsi="仿宋" w:eastAsia="仿宋" w:cs="仿宋"/>
          <w:color w:val="auto"/>
          <w:sz w:val="24"/>
          <w:szCs w:val="24"/>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1.乙方对于合同货物向甲方提供的保修期为自交付之日起的 </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个月。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2.在双方约定的保修期内，乙方对合同货物运行过程中出现的故障指派专业技术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人员进行排除，对出现故障的部件、元件或零件免费进行修理或更换。除合同另有约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定外，乙方应在接到故障通知后及时响应，并根据甲方要求到场维修或更换相关配件。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同时，如双方约定其他保修服务的，乙方应提供约定的其他保修服务。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3.保修期内，对保修范围内的保修服务所发生的全部物质损耗和人员费用，均由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乙方承担。乙方未及时承担保修责任的，甲方有权采用其他渠道和方式对货物进行维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修，由此产生的费用由乙方承担。对因货物在保修期内发生的质量缺陷造成的甲方和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（或）第三人财产和（或）人身损失，甲方有权向乙方追索。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4.保修期满，乙方应持续对货物使用期间出现的故障提供维修服务。对维修所需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费用，乙方应仅收取正常的成本费用。</w:t>
      </w:r>
    </w:p>
    <w:p>
      <w:pPr>
        <w:pStyle w:val="2"/>
        <w:pageBreakBefore w:val="0"/>
        <w:kinsoku/>
        <w:wordWrap/>
        <w:overflowPunct/>
        <w:topLinePunct w:val="0"/>
        <w:autoSpaceDE/>
        <w:autoSpaceDN/>
        <w:bidi w:val="0"/>
        <w:spacing w:line="600" w:lineRule="exact"/>
        <w:rPr>
          <w:rFonts w:hint="eastAsia" w:ascii="仿宋" w:hAnsi="仿宋" w:eastAsia="仿宋" w:cs="仿宋"/>
          <w:b w:val="0"/>
          <w:bCs w:val="0"/>
          <w:color w:val="auto"/>
          <w:sz w:val="24"/>
          <w:szCs w:val="24"/>
        </w:rPr>
      </w:pPr>
    </w:p>
    <w:p>
      <w:pPr>
        <w:keepNext w:val="0"/>
        <w:keepLines w:val="0"/>
        <w:pageBreakBefore w:val="0"/>
        <w:widowControl/>
        <w:suppressLineNumbers w:val="0"/>
        <w:kinsoku/>
        <w:wordWrap/>
        <w:overflowPunct/>
        <w:topLinePunct w:val="0"/>
        <w:autoSpaceDE/>
        <w:autoSpaceDN/>
        <w:bidi w:val="0"/>
        <w:spacing w:line="600" w:lineRule="exact"/>
        <w:jc w:val="left"/>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附件七：</w:t>
      </w:r>
      <w:r>
        <w:rPr>
          <w:rFonts w:hint="eastAsia" w:ascii="仿宋" w:hAnsi="仿宋" w:eastAsia="仿宋" w:cs="仿宋"/>
          <w:color w:val="auto"/>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spacing w:line="600" w:lineRule="exact"/>
        <w:jc w:val="center"/>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违约责任</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除合同约定的违约责任以外，任何一方存在以下约定情形的，应承担相应的违约 </w:t>
      </w:r>
    </w:p>
    <w:p>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责任：</w:t>
      </w:r>
      <w:r>
        <w:rPr>
          <w:rFonts w:hint="eastAsia" w:ascii="仿宋" w:hAnsi="仿宋" w:eastAsia="仿宋" w:cs="仿宋"/>
          <w:color w:val="auto"/>
          <w:kern w:val="0"/>
          <w:sz w:val="24"/>
          <w:szCs w:val="24"/>
          <w:u w:val="single"/>
          <w:lang w:val="en-US" w:eastAsia="zh-CN" w:bidi="ar"/>
        </w:rPr>
        <w:t xml:space="preserve">                                         </w:t>
      </w:r>
      <w:r>
        <w:rPr>
          <w:rFonts w:hint="eastAsia" w:ascii="仿宋" w:hAnsi="仿宋" w:eastAsia="仿宋" w:cs="仿宋"/>
          <w:color w:val="auto"/>
          <w:kern w:val="0"/>
          <w:sz w:val="24"/>
          <w:szCs w:val="24"/>
          <w:lang w:val="en-US" w:eastAsia="zh-CN" w:bidi="ar"/>
        </w:rPr>
        <w:t xml:space="preserve"> </w:t>
      </w:r>
    </w:p>
    <w:p>
      <w:pPr>
        <w:pageBreakBefore w:val="0"/>
        <w:numPr>
          <w:ilvl w:val="0"/>
          <w:numId w:val="0"/>
        </w:numPr>
        <w:kinsoku/>
        <w:wordWrap/>
        <w:overflowPunct/>
        <w:topLinePunct w:val="0"/>
        <w:autoSpaceDE/>
        <w:autoSpaceDN/>
        <w:bidi w:val="0"/>
        <w:spacing w:line="600" w:lineRule="exact"/>
        <w:jc w:val="both"/>
        <w:textAlignment w:val="auto"/>
        <w:rPr>
          <w:rFonts w:hint="eastAsia" w:ascii="仿宋" w:hAnsi="仿宋" w:eastAsia="仿宋" w:cs="仿宋"/>
          <w:b/>
          <w:bCs/>
          <w:color w:val="auto"/>
          <w:sz w:val="24"/>
          <w:szCs w:val="24"/>
        </w:rPr>
      </w:pPr>
    </w:p>
    <w:p>
      <w:pPr>
        <w:pageBreakBefore w:val="0"/>
        <w:numPr>
          <w:ilvl w:val="0"/>
          <w:numId w:val="0"/>
        </w:numPr>
        <w:kinsoku/>
        <w:wordWrap/>
        <w:overflowPunct/>
        <w:topLinePunct w:val="0"/>
        <w:autoSpaceDE/>
        <w:autoSpaceDN/>
        <w:bidi w:val="0"/>
        <w:spacing w:line="600" w:lineRule="exact"/>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附件八</w:t>
      </w:r>
    </w:p>
    <w:p>
      <w:pPr>
        <w:pageBreakBefore w:val="0"/>
        <w:numPr>
          <w:ilvl w:val="0"/>
          <w:numId w:val="0"/>
        </w:numPr>
        <w:kinsoku/>
        <w:wordWrap/>
        <w:overflowPunct/>
        <w:topLinePunct w:val="0"/>
        <w:autoSpaceDE/>
        <w:autoSpaceDN/>
        <w:bidi w:val="0"/>
        <w:spacing w:line="600" w:lineRule="exact"/>
        <w:ind w:left="240" w:hanging="241" w:hangingChars="10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廉洁诚信协议</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根据《中华人民共和国民法典》《中华人民共和国反不正当竞争法》《关于禁止 商业贿赂行为的暂行规定》等法律、法规及部门规章等有关规定，为了维护公平竞争 的市场秩序和公正透明的商业环境，防止各类谋取不正当利益的违法违规违纪行为的 发生，双方经协商一致订立本协议，以资共同遵守。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第一条 </w:t>
      </w:r>
      <w:r>
        <w:rPr>
          <w:rFonts w:hint="eastAsia" w:ascii="仿宋" w:hAnsi="仿宋" w:eastAsia="仿宋" w:cs="仿宋"/>
          <w:b/>
          <w:bCs/>
          <w:color w:val="auto"/>
          <w:sz w:val="24"/>
          <w:szCs w:val="24"/>
        </w:rPr>
        <w:t xml:space="preserve">总则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1.1 甲乙双方均应当严格遵守国家法律法规和甲方集中采购管理、供应商管理的 相关要求，不从事任何违法违规违纪行为。坚持诚实守信原则，恪守商业道德和职业 道德，规范商务人员廉洁从业行为。</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1.2 采取有效措施，约束双方及双方相关主体自觉履行廉洁从业义务，不得弄虚 作假、串通操纵、损公肥私，防止商业贿赂、利益输送、关联交易等各种谋取不正当 利益行为发生，维护好双方企业形象、产品品牌和合法权益。 </w:t>
      </w:r>
    </w:p>
    <w:p>
      <w:pPr>
        <w:pageBreakBefore w:val="0"/>
        <w:numPr>
          <w:ilvl w:val="0"/>
          <w:numId w:val="0"/>
        </w:numPr>
        <w:kinsoku/>
        <w:wordWrap/>
        <w:overflowPunct/>
        <w:topLinePunct w:val="0"/>
        <w:autoSpaceDE/>
        <w:autoSpaceDN/>
        <w:bidi w:val="0"/>
        <w:spacing w:line="600" w:lineRule="exact"/>
        <w:ind w:left="479" w:leftChars="228" w:firstLine="0"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1.3 本协议所称相关主体，对任何一方而言，包括但不限于以下单位或者个人： （1）一方或其关联方之工作人员； </w:t>
      </w:r>
    </w:p>
    <w:p>
      <w:pPr>
        <w:pageBreakBefore w:val="0"/>
        <w:numPr>
          <w:ilvl w:val="0"/>
          <w:numId w:val="0"/>
        </w:numPr>
        <w:kinsoku/>
        <w:wordWrap/>
        <w:overflowPunct/>
        <w:topLinePunct w:val="0"/>
        <w:autoSpaceDE/>
        <w:autoSpaceDN/>
        <w:bidi w:val="0"/>
        <w:spacing w:line="600" w:lineRule="exact"/>
        <w:ind w:left="479" w:leftChars="228" w:firstLine="0"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（2）受一方委托办理相关事务的单位或者个人； </w:t>
      </w:r>
    </w:p>
    <w:p>
      <w:pPr>
        <w:pageBreakBefore w:val="0"/>
        <w:numPr>
          <w:ilvl w:val="0"/>
          <w:numId w:val="0"/>
        </w:numPr>
        <w:kinsoku/>
        <w:wordWrap/>
        <w:overflowPunct/>
        <w:topLinePunct w:val="0"/>
        <w:autoSpaceDE/>
        <w:autoSpaceDN/>
        <w:bidi w:val="0"/>
        <w:spacing w:line="600" w:lineRule="exact"/>
        <w:ind w:left="479" w:leftChars="228" w:firstLine="0"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（3）利用职权或者影响力影响交易的单位或者个人； </w:t>
      </w:r>
    </w:p>
    <w:p>
      <w:pPr>
        <w:pageBreakBefore w:val="0"/>
        <w:numPr>
          <w:ilvl w:val="0"/>
          <w:numId w:val="0"/>
        </w:numPr>
        <w:kinsoku/>
        <w:wordWrap/>
        <w:overflowPunct/>
        <w:topLinePunct w:val="0"/>
        <w:autoSpaceDE/>
        <w:autoSpaceDN/>
        <w:bidi w:val="0"/>
        <w:spacing w:line="600" w:lineRule="exact"/>
        <w:ind w:left="479" w:leftChars="228" w:firstLine="0"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（4）前述相关人员的亲属； </w:t>
      </w:r>
    </w:p>
    <w:p>
      <w:pPr>
        <w:pageBreakBefore w:val="0"/>
        <w:numPr>
          <w:ilvl w:val="0"/>
          <w:numId w:val="0"/>
        </w:numPr>
        <w:kinsoku/>
        <w:wordWrap/>
        <w:overflowPunct/>
        <w:topLinePunct w:val="0"/>
        <w:autoSpaceDE/>
        <w:autoSpaceDN/>
        <w:bidi w:val="0"/>
        <w:spacing w:line="600" w:lineRule="exact"/>
        <w:ind w:left="479" w:leftChars="228" w:firstLine="0"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（5）与前述相关主体存在利害关系的其他单位或者人员。</w:t>
      </w:r>
    </w:p>
    <w:p>
      <w:pPr>
        <w:pageBreakBefore w:val="0"/>
        <w:numPr>
          <w:ilvl w:val="0"/>
          <w:numId w:val="0"/>
        </w:numPr>
        <w:kinsoku/>
        <w:wordWrap/>
        <w:overflowPunct/>
        <w:topLinePunct w:val="0"/>
        <w:autoSpaceDE/>
        <w:autoSpaceDN/>
        <w:bidi w:val="0"/>
        <w:spacing w:line="600" w:lineRule="exact"/>
        <w:ind w:left="479" w:leftChars="228" w:firstLine="0"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 乙方相关主体实施违反本协议约定之行为的，均应视为乙方实施行为。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 1.4 一方监督发现对方相关主体在业务合作中存在违规行为的，应当及时提醒并有权向对方纪检部门举报。情节严重构成犯罪的，任何一方均有权向司法机关报案， 追究相关单位或者人员的刑事责任。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第二条 </w:t>
      </w:r>
      <w:r>
        <w:rPr>
          <w:rFonts w:hint="eastAsia" w:ascii="仿宋" w:hAnsi="仿宋" w:eastAsia="仿宋" w:cs="仿宋"/>
          <w:b/>
          <w:bCs/>
          <w:color w:val="auto"/>
          <w:sz w:val="24"/>
          <w:szCs w:val="24"/>
        </w:rPr>
        <w:t xml:space="preserve">商业贿赂 </w:t>
      </w:r>
      <w:r>
        <w:rPr>
          <w:rFonts w:hint="eastAsia" w:ascii="仿宋" w:hAnsi="仿宋" w:eastAsia="仿宋" w:cs="仿宋"/>
          <w:b/>
          <w:bCs/>
          <w:color w:val="auto"/>
          <w:sz w:val="24"/>
          <w:szCs w:val="24"/>
          <w:lang w:val="en-US" w:eastAsia="zh-CN"/>
        </w:rPr>
        <w:t xml:space="preserve">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2.1 本协议所称商业贿赂，是指乙方或乙方相关主体为获取或意图获取交易机会 或者竞争优势，采用财物或者其他形式贿赂甲方或甲方相关主体的行为。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2.2 本条第 1 款所称财物，是指乙方为促成合作，采用金钱（包括各种币钞和其45 他具有支付、结算功能的各类有价币、卡、券或账户，有价证券，减免债务、提供资 金借贷，或代为还款还贷，或给予其他具有折扣、储值功能的券、卡等）、实物（包 括各种高档生活用品、奢侈消费品、工艺品、收藏品等，房屋、车辆等大宗商品，以 及其他具有一定经济价值的各种礼品、藏品或物品，虽然不具有支付、结算功能但具 有一定面额的票、卡、提货单等，以租借等方式长期免费或低价供给、使用的物品等）， 或者以报销各种费用等方式，给付甲方或甲方相关主体的财物。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2.3 本条第 1 款所称其他形式，包括但不限于：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（1）以任何方式实施商业贿赂或违规提供回扣、折扣、宴请与游玩活动或其他 不正当利益；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（2）为甲方或甲方相关主体安排有可能影响公平、公正交易的宴请、健身、娱 乐等活动；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（3）为甲方或甲方相关主体投资入股、个人借款或买卖股票、债券等提供方便；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（4）为甲方或甲方相关主体购买或装修住房、婚丧嫁娶、配偶子女上学或工作 安排以及出国出境、旅游等提供方便；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（5）违反规定为甲方或甲方相关主体在乙方相关企业工作、挂名兼职、合伙经 营、介绍承揽业务等提供方便；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（6）向甲方或甲方相关主体提供借款、融资、担保等；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（7）给予或承诺给予其不正当利益的其他行为；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（8）其他违反国家法律法规或商业道德准则的影响公正交易的行为。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第三条 回扣</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 </w:t>
      </w:r>
      <w:r>
        <w:rPr>
          <w:rFonts w:hint="eastAsia" w:ascii="仿宋" w:hAnsi="仿宋" w:eastAsia="仿宋" w:cs="仿宋"/>
          <w:b w:val="0"/>
          <w:bCs w:val="0"/>
          <w:color w:val="auto"/>
          <w:sz w:val="24"/>
          <w:szCs w:val="24"/>
        </w:rPr>
        <w:t>3.1 本协议所称回扣，是指乙方促成合作时在账外暗中以现金、实物或者其他方 式退给甲方或甲方相关主体一定比例的商品或服务价款。</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 3.2 本条第 1 款所称账外，是指未在依法设立的反映其生产经营活动或者行政事 业经费收支的财务账上按照财务会计制度规定明确如实记载，包括不记入财务账、转 入其他财务账或者做假账等。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3.3 乙方在账外暗中给予甲方相关主体回扣的，视为实施商业贿赂行为。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第四条 折扣</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 </w:t>
      </w:r>
      <w:r>
        <w:rPr>
          <w:rFonts w:hint="eastAsia" w:ascii="仿宋" w:hAnsi="仿宋" w:eastAsia="仿宋" w:cs="仿宋"/>
          <w:b w:val="0"/>
          <w:bCs w:val="0"/>
          <w:color w:val="auto"/>
          <w:sz w:val="24"/>
          <w:szCs w:val="24"/>
        </w:rPr>
        <w:t xml:space="preserve">4.1 本协议所称折扣，是指乙方在销售商品或提供服务时，以明示并如实入账的 方式给予甲方的价格优惠，包括支付价款时对价款总额按一定比例即时予以扣除和支46 付价款总额后再按一定比例予以退还两种形式。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4.2 乙方提供的商品或服务，可以以明示方式给予甲方折扣。乙方给予甲方折扣 的，必须在采购协议中予以明确并如实入账。</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 4.3 本条第 1 款所称如实入账，是指根据采购或合作协议约定的金额和支付方式， 在依法设立的反映甲方生产经营活动收支的财务账上按照财务会计制度规定明确如 实记载。</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 4.4 乙方违反本条约定的，视为实施商业贿赂行为。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第五条 宴请与游玩活动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5.1 乙方不得为甲方相关主体提供各种场合、各种规格的餐饮请吃、住宿等。但 因公务活动持续到用餐时间，乙方基于公认的商务礼仪和便利而参照接待甲方普通员 工餐标准安排的工作餐除外，且乙方提供的工作餐应当从简。</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 5.2 乙方不得为甲方相关主体提供各种形式的旅游、健身、KTV、酒吧、按摩、赌 博、色情等娱乐休闲活动。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 xml:space="preserve">5.3 乙方违反本条约定的，视为实施商业贿赂行为。 </w:t>
      </w:r>
      <w:r>
        <w:rPr>
          <w:rFonts w:hint="eastAsia" w:ascii="仿宋" w:hAnsi="仿宋" w:eastAsia="仿宋" w:cs="仿宋"/>
          <w:b w:val="0"/>
          <w:bCs w:val="0"/>
          <w:color w:val="auto"/>
          <w:sz w:val="24"/>
          <w:szCs w:val="24"/>
          <w:lang w:val="en-US" w:eastAsia="zh-CN"/>
        </w:rPr>
        <w:t xml:space="preserve">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第六条 禁止行为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双方一致同意双方或双方相关主体的如下行为是应当禁止的营私舞弊或腐败行为：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6.1 甲方及甲方相关主体向乙方索要或收受财物或其他形式的财产性利益、非财 产性利益。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6.2 乙方及乙方相关主体向甲方或甲方相关主体提供财物或其他形式的财产性利 益、非财产性利益，包括但不限于：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（1）报销甲方相关主体的私人费用；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（2）提供超过宴请标准的宴请或娱乐活动；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（3）介绍甲方相关主体亲友到乙方处工作； </w:t>
      </w:r>
    </w:p>
    <w:p>
      <w:pPr>
        <w:pageBreakBefore w:val="0"/>
        <w:numPr>
          <w:ilvl w:val="0"/>
          <w:numId w:val="0"/>
        </w:numPr>
        <w:kinsoku/>
        <w:wordWrap/>
        <w:overflowPunct/>
        <w:topLinePunct w:val="0"/>
        <w:autoSpaceDE/>
        <w:autoSpaceDN/>
        <w:bidi w:val="0"/>
        <w:spacing w:line="600" w:lineRule="exact"/>
        <w:ind w:left="479" w:leftChars="228" w:firstLine="0" w:firstLineChars="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（4）提出、邀请或事实上接受甲方相关主体在乙方参股或参与乙方经营活动； （5）组织或向甲方相关主体提供旅游等代偿活动利益；</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（6）向甲方相关主体提供借款、融资、担保等；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（7）给予或承诺给予甲方相关主体不正当利益的其他行为；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（8）其他违反本协议约定、国家法律法规或商业道德准则的影响公正交易的行 为。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第七条 乙方承诺</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 </w:t>
      </w:r>
      <w:r>
        <w:rPr>
          <w:rFonts w:hint="eastAsia" w:ascii="仿宋" w:hAnsi="仿宋" w:eastAsia="仿宋" w:cs="仿宋"/>
          <w:b w:val="0"/>
          <w:bCs w:val="0"/>
          <w:color w:val="auto"/>
          <w:sz w:val="24"/>
          <w:szCs w:val="24"/>
        </w:rPr>
        <w:t xml:space="preserve">乙方承诺在双方的商务接洽、合同关系、交易过程中遵守如下要求：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7.1 避免利害关系 </w:t>
      </w:r>
      <w:r>
        <w:rPr>
          <w:rFonts w:hint="eastAsia" w:ascii="仿宋" w:hAnsi="仿宋" w:eastAsia="仿宋" w:cs="仿宋"/>
          <w:b w:val="0"/>
          <w:bCs w:val="0"/>
          <w:color w:val="auto"/>
          <w:sz w:val="24"/>
          <w:szCs w:val="24"/>
        </w:rPr>
        <w:t xml:space="preserve">在采购过程中主动申报与甲方及甲方相关主体的关联及利害关系，包括乙方经办 合作或交易事宜的相关主体与甲方及甲方相关主体的关联及利害关系，避免任何可能 影响公平竞争的关系或利益冲突，主动披露任何可能影响采购或合作决策的利益关 系，并采取必要的措施确保采购及合作过程的公正性。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7.2 恪守廉洁自律原则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7.2.1 不以任何方式实施本协议所述的商业贿赂行为、营私舞弊或腐败行为等禁 止行为，也不会以任何方式向甲方或甲方相关主体索要金钱、实物等不正当利益，或 收受甲方或甲方相关主体给予的金钱、实物等不正当利益。</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 7.2.2 支持甲方的廉洁诚信建设，承诺承担实名举报的义务，若乙方或乙方相关 主体对甲方或甲方相关主体的索贿行为不拒绝、不申报，并满足其要求的，则该行为视同乙方实施商业贿赂行为。</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val="0"/>
          <w:bCs w:val="0"/>
          <w:color w:val="auto"/>
          <w:sz w:val="24"/>
          <w:szCs w:val="24"/>
        </w:rPr>
        <w:t xml:space="preserve"> </w:t>
      </w:r>
      <w:r>
        <w:rPr>
          <w:rFonts w:hint="eastAsia" w:ascii="仿宋" w:hAnsi="仿宋" w:eastAsia="仿宋" w:cs="仿宋"/>
          <w:b/>
          <w:bCs/>
          <w:color w:val="auto"/>
          <w:sz w:val="24"/>
          <w:szCs w:val="24"/>
        </w:rPr>
        <w:t xml:space="preserve">7.3 恪守诚实信用原则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7.3.1 在与甲方的业务往来过程中，向甲方提供的信息、文件、资料、数据及相关书面和口头陈述等保证真实、准确和完整，并不存在任何虚假、误导和重大遗漏， 且已按甲方要求向甲方提供或披露了与该等文件资料有关的其他辅助文件资料和信 息。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7.3.2 严格遵守向甲方做出的承诺、双方签署的合同、协议和备忘录等，确保产 品质量和服务质量，不隐瞒任何可能对甲方利益造成影响的信息，积极配合甲方的审 计。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7.3.3 严格遵守甲方的供应商行为准则、合作协议、保密承诺书等政策文件中的 相关规定。</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7.3.4 严格遵守甲方的品牌管理的相关规定，未经甲方授权不擅自使用甲方字样、 授权合作伙伴等类似容易对外产生混淆的字样。</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7.3.5 严格遵守国家相关法律法规及甲方的管理规定，不参与任何违法</w:t>
      </w:r>
      <w:r>
        <w:rPr>
          <w:rFonts w:hint="eastAsia" w:ascii="仿宋" w:hAnsi="仿宋" w:eastAsia="仿宋" w:cs="仿宋"/>
          <w:b w:val="0"/>
          <w:bCs w:val="0"/>
          <w:color w:val="auto"/>
          <w:sz w:val="24"/>
          <w:szCs w:val="24"/>
          <w:lang w:val="en-US" w:eastAsia="zh-CN"/>
        </w:rPr>
        <w:t>活。</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7.3.6 承诺实事求是，不对内部或社会传递任何虚假信息，严格遵守保密协议，不透露任何甲方的商业机密。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7.3.7 未经甲方同意，不向任何新闻媒体、第三方述及有关甲方工作人员恪守商 业道德方面的评价、信息。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7.3.8 依法合规参加招投标活动和业务合作并诚实守则，不出借、转让资质证书， 不伙同他人串标、围标或非法排挤竞争对手，不以他人名义参与或者以其他方式弄虚 作假，不夸大自身技术和提供服务的能力，损害甲方合法权益。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7.4 确保信息公开透明 </w:t>
      </w:r>
      <w:r>
        <w:rPr>
          <w:rFonts w:hint="eastAsia" w:ascii="仿宋" w:hAnsi="仿宋" w:eastAsia="仿宋" w:cs="仿宋"/>
          <w:b w:val="0"/>
          <w:bCs w:val="0"/>
          <w:color w:val="auto"/>
          <w:sz w:val="24"/>
          <w:szCs w:val="24"/>
        </w:rPr>
        <w:t xml:space="preserve">7.4.1 主动向甲方披露与采购项目相关的信息，包括乙方真实情况、产品价格、 技术参数、服务团队信息、履约情况等。 7.4.2 不利用非法手段向甲方及甲方相关主体打探有关涉及甲方及甲方相关主体 的商业秘密、人员信息、采购信息等。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7.5 积极配合监督举报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7.5.1 乙方承诺积极配合甲方或第三方机构的监督和检查，对发现的违规行为及 时纠正，并严肃处理涉嫌违规的相关主体，确保采购过程和项目合作的公正性和透明 度。甲方对乙方及乙方相关主体涉嫌违法违规违纪的商业行为进行调查时，乙方有配 合提供证据、作证的义务。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7.5.2 如乙方有知悉或怀疑甲方相关主体有违反上述约定的，应及时采取措施并 有权向甲方纪检部门举报。甲方会对所有信息提供者及所提供的全部资料严格保密。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7.6 加强内部廉洁管理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7.6.1 加强内部管理：加强对员工的廉洁教育和培训，提高员工的道德素质和法律意识，建立健全内部管理制度，确保员工行为的合规性和廉洁性。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7.6.2 设立监督机制：通过专门的监督机构或人员，对乙方的业务活动进行实时 监督，确保员工行为的合规性。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7.6.3 建立举报制度：鼓励员工积极举报违规行为，对举报人予以保护并给予奖 励。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第八条 违约责任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8.1 若甲方人员违反本协议第六条规定的，按照甲方内部管理权限，依据有关法 律和规定给予处分或组织处理，涉嫌犯罪的，移交司法机关追究刑事责任。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8.2 如乙方违反本协议任何约定或承诺，甲方有权依据甲方采购管理、供应商管 理和采购文件相关要求，对乙方进行严肃处理，相关处罚结果记入供应商诚信档案。</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val="0"/>
          <w:bCs w:val="0"/>
          <w:color w:val="auto"/>
          <w:sz w:val="24"/>
          <w:szCs w:val="24"/>
        </w:rPr>
        <w:t>8.3 如乙方违反本协议任何约定或承诺，</w:t>
      </w:r>
      <w:r>
        <w:rPr>
          <w:rFonts w:hint="eastAsia" w:ascii="仿宋" w:hAnsi="仿宋" w:eastAsia="仿宋" w:cs="仿宋"/>
          <w:b/>
          <w:bCs/>
          <w:color w:val="auto"/>
          <w:sz w:val="24"/>
          <w:szCs w:val="24"/>
        </w:rPr>
        <w:t>甲方及甲方子公司有权根据情节严重程 度选择单方全面终止与乙方的合同及合作，且无需承担任何责任。乙方给甲方造成损 失的，甲方有权要求乙方承担全部赔偿责任。</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rPr>
        <w:t xml:space="preserve"> </w:t>
      </w:r>
      <w:r>
        <w:rPr>
          <w:rFonts w:hint="eastAsia" w:ascii="仿宋" w:hAnsi="仿宋" w:eastAsia="仿宋" w:cs="仿宋"/>
          <w:b w:val="0"/>
          <w:bCs w:val="0"/>
          <w:color w:val="auto"/>
          <w:sz w:val="24"/>
          <w:szCs w:val="24"/>
        </w:rPr>
        <w:t xml:space="preserve">8.4 </w:t>
      </w:r>
      <w:r>
        <w:rPr>
          <w:rFonts w:hint="eastAsia" w:ascii="仿宋" w:hAnsi="仿宋" w:eastAsia="仿宋" w:cs="仿宋"/>
          <w:b/>
          <w:bCs/>
          <w:color w:val="auto"/>
          <w:sz w:val="24"/>
          <w:szCs w:val="24"/>
        </w:rPr>
        <w:t>甲方及甲方子公司按照前述条款要求乙方承担赔偿责任的，</w:t>
      </w:r>
      <w:r>
        <w:rPr>
          <w:rFonts w:hint="eastAsia" w:ascii="仿宋" w:hAnsi="仿宋" w:eastAsia="仿宋" w:cs="仿宋"/>
          <w:b w:val="0"/>
          <w:bCs w:val="0"/>
          <w:color w:val="auto"/>
          <w:sz w:val="24"/>
          <w:szCs w:val="24"/>
        </w:rPr>
        <w:t xml:space="preserve">乙方应于甲方发 出赔偿通知之日起【10】个工作日内支付，如未及时支付，甲方及甲方子公司有权从 主合同款项中直接扣除。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8.5 乙方知悉并同意，对于上述情形的处理甲方有完全的判断权和自主权。 </w:t>
      </w:r>
    </w:p>
    <w:p>
      <w:pPr>
        <w:pageBreakBefore w:val="0"/>
        <w:numPr>
          <w:ilvl w:val="0"/>
          <w:numId w:val="0"/>
        </w:numPr>
        <w:kinsoku/>
        <w:wordWrap/>
        <w:overflowPunct/>
        <w:topLinePunct w:val="0"/>
        <w:autoSpaceDE/>
        <w:autoSpaceDN/>
        <w:bidi w:val="0"/>
        <w:spacing w:line="600" w:lineRule="exact"/>
        <w:ind w:firstLine="482" w:firstLineChars="200"/>
        <w:jc w:val="both"/>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第九条 附则</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9.1 本协议的标题及各条款的标题仅为检索方便而设置，具体内容应当以各条款 的具体规定为准，而不应参考该标题进行解释。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9.2 除非另有书面规定，甲方未能行使或者延迟行使在本协议项下的任何权利， 不得被视为放弃行使该等权利，且任何权利的单独或部分行使亦不得妨碍该等权利的 进一步或其他任何权利的行使。甲方在任何时候放弃追究乙方违反本协议任何条款约 定的违约行为的，不得被视为甲方放弃追究其他各方面的违约行为。</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 9.3 本协议之解释、效力、履行及其他未尽事宜均依中华人民共和国（仅为本协 议之目的，不含香港特别行政区、澳门特别行政区和台湾地区）法律为准，任何关于 本协议产生的争议，由双方协商解决，协商不成的，双方同意任何一方均可向甲方所 在地有管辖权的法院提起诉讼。 </w:t>
      </w:r>
    </w:p>
    <w:p>
      <w:pPr>
        <w:pageBreakBefore w:val="0"/>
        <w:numPr>
          <w:ilvl w:val="0"/>
          <w:numId w:val="0"/>
        </w:numPr>
        <w:kinsoku/>
        <w:wordWrap/>
        <w:overflowPunct/>
        <w:topLinePunct w:val="0"/>
        <w:autoSpaceDE/>
        <w:autoSpaceDN/>
        <w:bidi w:val="0"/>
        <w:spacing w:line="600" w:lineRule="exact"/>
        <w:ind w:firstLine="480" w:firstLineChars="200"/>
        <w:jc w:val="both"/>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9.4 本协议未尽事宜以双方签订的主合同为准。本协议与主合同约定不一致的， 根据约定内容对双方提出的廉洁诚信要求，以较为严格的约定为准。若双方未签订主 合同或主合同终止、解除的，本协议应独立执行。</w:t>
      </w:r>
    </w:p>
    <w:p>
      <w:pPr>
        <w:tabs>
          <w:tab w:val="left" w:pos="3702"/>
        </w:tabs>
        <w:bidi w:val="0"/>
        <w:ind w:firstLine="480" w:firstLineChars="200"/>
        <w:jc w:val="left"/>
        <w:rPr>
          <w:rFonts w:hint="eastAsia" w:ascii="仿宋" w:hAnsi="仿宋" w:eastAsia="仿宋" w:cs="仿宋"/>
          <w:color w:val="auto"/>
          <w:kern w:val="2"/>
          <w:sz w:val="24"/>
          <w:szCs w:val="24"/>
          <w:lang w:val="en-US" w:eastAsia="zh-CN" w:bidi="ar-SA"/>
        </w:rPr>
        <w:sectPr>
          <w:footerReference r:id="rId11" w:type="default"/>
          <w:pgSz w:w="11906" w:h="16838"/>
          <w:pgMar w:top="1417" w:right="1134" w:bottom="1134" w:left="1134" w:header="851" w:footer="992" w:gutter="0"/>
          <w:cols w:space="720" w:num="1"/>
          <w:titlePg/>
          <w:docGrid w:type="lines" w:linePitch="312" w:charSpace="0"/>
        </w:sectPr>
      </w:pPr>
      <w:r>
        <w:rPr>
          <w:rFonts w:hint="eastAsia" w:ascii="仿宋" w:hAnsi="仿宋" w:eastAsia="仿宋" w:cs="仿宋"/>
          <w:b w:val="0"/>
          <w:bCs w:val="0"/>
          <w:color w:val="auto"/>
          <w:sz w:val="24"/>
          <w:szCs w:val="24"/>
        </w:rPr>
        <w:t>9.5 本协议长期有效。</w:t>
      </w:r>
    </w:p>
    <w:bookmarkEnd w:id="120"/>
    <w:bookmarkEnd w:id="121"/>
    <w:p>
      <w:pPr>
        <w:pStyle w:val="3"/>
        <w:spacing w:before="0" w:after="0" w:line="360" w:lineRule="auto"/>
        <w:jc w:val="center"/>
        <w:rPr>
          <w:rFonts w:hint="eastAsia" w:ascii="仿宋" w:hAnsi="仿宋" w:eastAsia="仿宋" w:cs="仿宋"/>
          <w:color w:val="auto"/>
          <w:sz w:val="28"/>
          <w:szCs w:val="28"/>
          <w:highlight w:val="none"/>
        </w:rPr>
      </w:pPr>
      <w:bookmarkStart w:id="143" w:name="_Toc16424"/>
      <w:bookmarkStart w:id="144" w:name="_Toc24217"/>
      <w:bookmarkStart w:id="145" w:name="_Toc444891347"/>
      <w:bookmarkStart w:id="146" w:name="_Toc24143"/>
      <w:bookmarkStart w:id="147" w:name="_Toc28349"/>
      <w:bookmarkStart w:id="148" w:name="_Toc22083"/>
      <w:bookmarkStart w:id="149" w:name="_Toc517281828"/>
      <w:r>
        <w:rPr>
          <w:rFonts w:hint="eastAsia" w:ascii="仿宋" w:hAnsi="仿宋" w:eastAsia="仿宋" w:cs="仿宋"/>
          <w:color w:val="auto"/>
          <w:sz w:val="28"/>
          <w:szCs w:val="28"/>
          <w:highlight w:val="none"/>
        </w:rPr>
        <w:t xml:space="preserve">第五章 </w:t>
      </w:r>
      <w:bookmarkEnd w:id="143"/>
      <w:bookmarkEnd w:id="144"/>
      <w:bookmarkEnd w:id="145"/>
      <w:bookmarkEnd w:id="146"/>
      <w:bookmarkEnd w:id="147"/>
      <w:r>
        <w:rPr>
          <w:rFonts w:hint="eastAsia" w:ascii="仿宋" w:hAnsi="仿宋" w:eastAsia="仿宋" w:cs="仿宋"/>
          <w:color w:val="auto"/>
          <w:sz w:val="28"/>
          <w:szCs w:val="28"/>
          <w:highlight w:val="none"/>
        </w:rPr>
        <w:t>采购需求</w:t>
      </w:r>
      <w:bookmarkEnd w:id="148"/>
      <w:bookmarkEnd w:id="149"/>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bookmarkStart w:id="150" w:name="_Toc287600128"/>
      <w:bookmarkStart w:id="151" w:name="_Toc517281835"/>
      <w:bookmarkStart w:id="152" w:name="_Toc10693"/>
      <w:bookmarkStart w:id="153" w:name="_Toc21125"/>
      <w:bookmarkStart w:id="154" w:name="_Toc17141"/>
      <w:bookmarkStart w:id="155" w:name="_Toc11206"/>
      <w:bookmarkStart w:id="156" w:name="_Toc444891352"/>
      <w:r>
        <w:rPr>
          <w:rFonts w:hint="eastAsia" w:ascii="仿宋" w:hAnsi="仿宋" w:eastAsia="仿宋" w:cs="仿宋"/>
          <w:color w:val="auto"/>
          <w:kern w:val="2"/>
          <w:sz w:val="24"/>
          <w:szCs w:val="24"/>
          <w:highlight w:val="none"/>
          <w:lang w:val="en-US" w:eastAsia="zh-CN" w:bidi="ar-SA"/>
        </w:rPr>
        <w:t>本项目拟选定2家供应商，为我公司提供为期3年的职工餐厅食材供应服务。2家入围供应商，全部按最低折扣率签订采购合同。</w:t>
      </w:r>
    </w:p>
    <w:p>
      <w:pPr>
        <w:keepNext w:val="0"/>
        <w:keepLines w:val="0"/>
        <w:pageBreakBefore w:val="0"/>
        <w:widowControl/>
        <w:numPr>
          <w:ilvl w:val="0"/>
          <w:numId w:val="18"/>
        </w:numPr>
        <w:kinsoku/>
        <w:wordWrap/>
        <w:overflowPunct/>
        <w:topLinePunct w:val="0"/>
        <w:autoSpaceDE/>
        <w:autoSpaceDN/>
        <w:bidi w:val="0"/>
        <w:adjustRightInd/>
        <w:snapToGrid/>
        <w:spacing w:line="600" w:lineRule="exact"/>
        <w:ind w:firstLine="640"/>
        <w:jc w:val="left"/>
        <w:textAlignment w:val="auto"/>
        <w:rPr>
          <w:rFonts w:hint="eastAsia" w:eastAsia="仿宋_GB2312" w:cs="Times New Roman"/>
          <w:b/>
          <w:bCs/>
          <w:color w:val="auto"/>
          <w:sz w:val="24"/>
          <w:szCs w:val="24"/>
          <w:highlight w:val="none"/>
          <w:lang w:val="en-US" w:eastAsia="zh-CN"/>
        </w:rPr>
      </w:pPr>
      <w:r>
        <w:rPr>
          <w:rFonts w:hint="eastAsia" w:eastAsia="仿宋_GB2312" w:cs="Times New Roman"/>
          <w:b/>
          <w:bCs/>
          <w:color w:val="auto"/>
          <w:sz w:val="24"/>
          <w:szCs w:val="24"/>
          <w:highlight w:val="none"/>
          <w:lang w:val="en-US" w:eastAsia="zh-CN"/>
        </w:rPr>
        <w:t>具体采购需求</w:t>
      </w:r>
    </w:p>
    <w:p>
      <w:pPr>
        <w:keepNext w:val="0"/>
        <w:keepLines w:val="0"/>
        <w:pageBreakBefore w:val="0"/>
        <w:widowControl/>
        <w:numPr>
          <w:ilvl w:val="0"/>
          <w:numId w:val="0"/>
        </w:numPr>
        <w:kinsoku/>
        <w:wordWrap/>
        <w:overflowPunct/>
        <w:topLinePunct w:val="0"/>
        <w:autoSpaceDE/>
        <w:autoSpaceDN/>
        <w:bidi w:val="0"/>
        <w:adjustRightInd/>
        <w:snapToGrid/>
        <w:spacing w:line="600" w:lineRule="exact"/>
        <w:ind w:firstLine="720" w:firstLineChars="300"/>
        <w:jc w:val="left"/>
        <w:textAlignment w:val="auto"/>
        <w:rPr>
          <w:rFonts w:hint="eastAsia"/>
          <w:b w:val="0"/>
          <w:bCs w:val="0"/>
          <w:color w:val="auto"/>
          <w:sz w:val="24"/>
          <w:szCs w:val="24"/>
          <w:highlight w:val="none"/>
          <w:lang w:eastAsia="zh-CN"/>
        </w:rPr>
      </w:pPr>
      <w:r>
        <w:rPr>
          <w:rFonts w:hint="eastAsia" w:eastAsia="仿宋_GB2312" w:cs="Times New Roman"/>
          <w:b w:val="0"/>
          <w:bCs w:val="0"/>
          <w:color w:val="auto"/>
          <w:sz w:val="24"/>
          <w:szCs w:val="24"/>
          <w:highlight w:val="none"/>
          <w:lang w:val="en-US" w:eastAsia="zh-CN"/>
        </w:rPr>
        <w:t>1.品类，需求量报价方式：</w:t>
      </w:r>
    </w:p>
    <w:tbl>
      <w:tblPr>
        <w:tblStyle w:val="41"/>
        <w:tblpPr w:leftFromText="180" w:rightFromText="180" w:vertAnchor="text" w:horzAnchor="page" w:tblpX="1440" w:tblpY="51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5"/>
        <w:gridCol w:w="2850"/>
        <w:gridCol w:w="35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5" w:type="dxa"/>
          </w:tcPr>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食材品类</w:t>
            </w:r>
          </w:p>
        </w:tc>
        <w:tc>
          <w:tcPr>
            <w:tcW w:w="2850" w:type="dxa"/>
          </w:tcPr>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数量需求</w:t>
            </w:r>
          </w:p>
        </w:tc>
        <w:tc>
          <w:tcPr>
            <w:tcW w:w="3510" w:type="dxa"/>
          </w:tcPr>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5" w:hRule="atLeast"/>
        </w:trPr>
        <w:tc>
          <w:tcPr>
            <w:tcW w:w="3025" w:type="dxa"/>
            <w:vAlign w:val="center"/>
          </w:tcPr>
          <w:p>
            <w:pPr>
              <w:pageBreakBefore w:val="0"/>
              <w:kinsoku/>
              <w:wordWrap/>
              <w:overflowPunct/>
              <w:topLinePunct w:val="0"/>
              <w:autoSpaceDE/>
              <w:autoSpaceDN/>
              <w:bidi w:val="0"/>
              <w:spacing w:line="6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米面粮油干货类、蔬菜瓜果类、肉类、豆蛋奶调料类、水产类等食堂食材</w:t>
            </w:r>
          </w:p>
        </w:tc>
        <w:tc>
          <w:tcPr>
            <w:tcW w:w="2850" w:type="dxa"/>
            <w:vAlign w:val="center"/>
          </w:tcPr>
          <w:p>
            <w:pPr>
              <w:pageBreakBefore w:val="0"/>
              <w:kinsoku/>
              <w:wordWrap/>
              <w:overflowPunct/>
              <w:topLinePunct w:val="0"/>
              <w:autoSpaceDE/>
              <w:autoSpaceDN/>
              <w:bidi w:val="0"/>
              <w:spacing w:line="600" w:lineRule="exact"/>
              <w:ind w:firstLine="480" w:firstLineChars="200"/>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用餐人数约19人，人均餐标620元/月，工作日提供早、午餐。</w:t>
            </w:r>
          </w:p>
        </w:tc>
        <w:tc>
          <w:tcPr>
            <w:tcW w:w="3510" w:type="dxa"/>
            <w:vAlign w:val="center"/>
          </w:tcPr>
          <w:p>
            <w:pPr>
              <w:pageBreakBefore w:val="0"/>
              <w:kinsoku/>
              <w:wordWrap/>
              <w:overflowPunct/>
              <w:topLinePunct w:val="0"/>
              <w:autoSpaceDE/>
              <w:autoSpaceDN/>
              <w:bidi w:val="0"/>
              <w:spacing w:line="600" w:lineRule="exact"/>
              <w:ind w:firstLine="480" w:firstLineChars="200"/>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供应商供货价格以昭苏县满疆农商广场同期商品销售价格为基准给予相应折扣率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25" w:type="dxa"/>
          </w:tcPr>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合计</w:t>
            </w:r>
          </w:p>
        </w:tc>
        <w:tc>
          <w:tcPr>
            <w:tcW w:w="2850" w:type="dxa"/>
          </w:tcPr>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p>
        </w:tc>
        <w:tc>
          <w:tcPr>
            <w:tcW w:w="3510" w:type="dxa"/>
          </w:tcPr>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p>
        </w:tc>
      </w:tr>
    </w:tbl>
    <w:p>
      <w:pPr>
        <w:pageBreakBefore w:val="0"/>
        <w:kinsoku/>
        <w:wordWrap/>
        <w:overflowPunct/>
        <w:topLinePunct w:val="0"/>
        <w:autoSpaceDE/>
        <w:autoSpaceDN/>
        <w:bidi w:val="0"/>
        <w:spacing w:line="600" w:lineRule="exact"/>
        <w:ind w:left="479" w:leftChars="228" w:firstLine="0" w:firstLine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供应商报价按全品类综合折扣率。</w:t>
      </w:r>
      <w:bookmarkStart w:id="157" w:name="_Toc3675"/>
    </w:p>
    <w:p>
      <w:pPr>
        <w:pageBreakBefore w:val="0"/>
        <w:kinsoku/>
        <w:wordWrap/>
        <w:overflowPunct/>
        <w:topLinePunct w:val="0"/>
        <w:autoSpaceDE/>
        <w:autoSpaceDN/>
        <w:bidi w:val="0"/>
        <w:spacing w:line="600" w:lineRule="exact"/>
        <w:ind w:left="479" w:leftChars="228" w:firstLine="0" w:firstLineChars="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2.食材质量方面：</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米面粮油干货杂粮类：米面无霉变、无虫蛀、无结块、无陈化粮；食用油正规品牌资质齐全，清澈无浑浊、无沉淀物，无变质，杜绝散装劣质油、勾兑油；杂粮干货干净无杂质、无受潮发霉、无硫磺熏制，色泽自然，干货干燥紧实，无掺假掺次，包装完好生产日期近，符合食用标准；</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（2）蔬菜瓜果类：新鲜无腐烂、蔬菜无黄叶，无农药残留超标，无严重虫眼、无冻伤枯萎、时令优先；</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（3）肉类：冷鲜新鲜肉质紧实，色泽正常，无注水、无淤血、无异味，有动物检疫合格证明，无病死肉、冻久僵尸肉；</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（4）豆制品、蛋奶、调料等副食类：蛋壳完好无破损，当日鲜货，无变质发酸发黏，无违规添加剂，调料包装完整，生产日期清晰，临期、破损、异味一律拒收，符合食用安全标准。</w:t>
      </w:r>
    </w:p>
    <w:p>
      <w:pPr>
        <w:pageBreakBefore w:val="0"/>
        <w:kinsoku/>
        <w:wordWrap/>
        <w:overflowPunct/>
        <w:topLinePunct w:val="0"/>
        <w:autoSpaceDE/>
        <w:autoSpaceDN/>
        <w:bidi w:val="0"/>
        <w:spacing w:line="600" w:lineRule="exact"/>
        <w:ind w:firstLine="480" w:firstLineChars="200"/>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（5）水产：体表完整无损伤，无腥臭味、无腐坏、无变质，杜绝死腐水产。</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 配送、应急、售后服务方面：</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（1）配送要求</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具有完善稳定的人员服务体系，能够提供运输装卸、食材及时配送、送货上门等服务；有配送/仓储场所，能够满足食材存放、分拣等工作需要，场地设施完善；能根据采购方发送的菜品清单，按时按量配送到指定地点。</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（2）应急服务要求</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应急补送：食材短缺、临时加餐、突发用量增加，1小时内紧急配送到位，保障正常开餐；延时配送：早高峰、节假日、加班用餐可提前预约早送、晚送，灵活调整配送时段；应急替换：遇恶劣天气、道路受阻、货源临时断供，第一时间调换同等品质替代食材；突发缺货处置：供货方临时无货，须提前告知并协调调配，不得无故断供影响就餐；破损应急调换：运输挤压破损、淋水受潮食材，当场更换，不拖延、不凑数。</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（3）售后服务要求</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对送达的食材经检查有腐烂、变质、超保质期等不合格问题能及时更换，未造成严重影响的所供食材在接到项目食堂组投诉后，能够立即给与响应并妥善处理；工作人员热情专业；能够主动沟通，持续优化供货服务。</w:t>
      </w:r>
    </w:p>
    <w:p>
      <w:pPr>
        <w:pageBreakBefore w:val="0"/>
        <w:kinsoku/>
        <w:wordWrap/>
        <w:overflowPunct/>
        <w:topLinePunct w:val="0"/>
        <w:autoSpaceDE/>
        <w:autoSpaceDN/>
        <w:bidi w:val="0"/>
        <w:spacing w:line="600" w:lineRule="exact"/>
        <w:ind w:firstLine="482" w:firstLineChars="200"/>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（二）验收</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米面粮油干货杂粮：包装完好、日期新鲜无过期，无霉变虫蛀结块，油品无异味浑浊，干货干爽无发霉，重量足额，票据齐全。</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 xml:space="preserve">2. 蔬菜瓜果：新鲜无腐烂黄叶、无虫伤枯萎，干净少泥沙，成熟适中，变质残次品直接拒收。 </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 肉类：肉质新鲜紧实无注水异味，附正规检疫证明，非病死肉、久冻劣质肉，品相达标。</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 豆制品蛋奶调料副食：豆、奶制品新鲜无发酸变质，蛋类完好无散黄，副食调料在保质期内，包装完整无破损漏损。</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 水产类：鲜活有力无异味，冰鲜肉质紧实不发黏，非死腐、变质水产。</w:t>
      </w:r>
    </w:p>
    <w:p>
      <w:pPr>
        <w:pageBreakBefore w:val="0"/>
        <w:kinsoku/>
        <w:wordWrap/>
        <w:overflowPunct/>
        <w:topLinePunct w:val="0"/>
        <w:autoSpaceDE/>
        <w:autoSpaceDN/>
        <w:bidi w:val="0"/>
        <w:spacing w:line="600" w:lineRule="exact"/>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6.由食堂管理员按品类填写《食材验收情况表》，用于监督食材质量及供应商服务情况等。</w:t>
      </w:r>
    </w:p>
    <w:p>
      <w:pPr>
        <w:pageBreakBefore w:val="0"/>
        <w:kinsoku/>
        <w:wordWrap/>
        <w:overflowPunct/>
        <w:topLinePunct w:val="0"/>
        <w:autoSpaceDE/>
        <w:autoSpaceDN/>
        <w:bidi w:val="0"/>
        <w:spacing w:line="600" w:lineRule="exact"/>
        <w:ind w:firstLine="482" w:firstLineChars="200"/>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（三）入围供应商的使用规则</w:t>
      </w:r>
    </w:p>
    <w:p>
      <w:pPr>
        <w:pageBreakBefore w:val="0"/>
        <w:kinsoku/>
        <w:wordWrap/>
        <w:overflowPunct/>
        <w:topLinePunct w:val="0"/>
        <w:autoSpaceDE/>
        <w:autoSpaceDN/>
        <w:bidi w:val="0"/>
        <w:spacing w:line="600" w:lineRule="exact"/>
        <w:ind w:firstLine="480" w:firstLineChars="200"/>
        <w:rPr>
          <w:rFonts w:hint="default" w:ascii="仿宋" w:hAnsi="仿宋" w:eastAsia="仿宋" w:cs="仿宋"/>
          <w:color w:val="auto"/>
          <w:kern w:val="2"/>
          <w:sz w:val="24"/>
          <w:szCs w:val="24"/>
          <w:highlight w:val="none"/>
          <w:lang w:val="en-US" w:eastAsia="zh-CN" w:bidi="ar-SA"/>
        </w:rPr>
      </w:pPr>
      <w:r>
        <w:rPr>
          <w:rFonts w:hint="default" w:ascii="仿宋" w:hAnsi="仿宋" w:eastAsia="仿宋" w:cs="仿宋"/>
          <w:color w:val="auto"/>
          <w:kern w:val="2"/>
          <w:sz w:val="24"/>
          <w:szCs w:val="24"/>
          <w:highlight w:val="none"/>
          <w:lang w:val="en-US" w:eastAsia="zh-CN" w:bidi="ar-SA"/>
        </w:rPr>
        <w:t>为了避免单一供应因商突发问题（如极端天气、食材质量不达标等）导致食堂断供；同时通过2家供应商形成有效竞争机制，促使供应商维持食材品质与服务效率，减少长期依赖单一供应商的议价被动与成本失控风险。故本项目拟选定2家供应商，为我公司提供食堂食材供应。</w:t>
      </w:r>
    </w:p>
    <w:p>
      <w:pPr>
        <w:pageBreakBefore w:val="0"/>
        <w:kinsoku/>
        <w:wordWrap/>
        <w:overflowPunct/>
        <w:topLinePunct w:val="0"/>
        <w:autoSpaceDE/>
        <w:autoSpaceDN/>
        <w:bidi w:val="0"/>
        <w:spacing w:line="600" w:lineRule="exact"/>
        <w:ind w:firstLine="480" w:firstLineChars="200"/>
        <w:rPr>
          <w:rFonts w:hint="default" w:ascii="仿宋" w:hAnsi="仿宋" w:eastAsia="仿宋" w:cs="仿宋"/>
          <w:color w:val="auto"/>
          <w:kern w:val="2"/>
          <w:sz w:val="24"/>
          <w:szCs w:val="24"/>
          <w:highlight w:val="none"/>
          <w:lang w:val="en-US" w:eastAsia="zh-CN" w:bidi="ar-SA"/>
        </w:rPr>
      </w:pPr>
      <w:r>
        <w:rPr>
          <w:rFonts w:hint="default" w:ascii="仿宋" w:hAnsi="仿宋" w:eastAsia="仿宋" w:cs="仿宋"/>
          <w:color w:val="auto"/>
          <w:kern w:val="2"/>
          <w:sz w:val="24"/>
          <w:szCs w:val="24"/>
          <w:highlight w:val="none"/>
          <w:lang w:val="en-US" w:eastAsia="zh-CN" w:bidi="ar-SA"/>
        </w:rPr>
        <w:t>1.供应商使用规则：本项目实行自然季度轮换，两家供应商交替配送，配送折扣率统一取双方最低报价。合同生效日若不是自然季度起点，生效日至本季度结束期间，由综合得分第一名供应商负责配送；后续按自然季度开展轮换。首季度由得分第一的供应商供货，季度结束次月起双方季度交替轮换。</w:t>
      </w:r>
    </w:p>
    <w:p>
      <w:pPr>
        <w:pageBreakBefore w:val="0"/>
        <w:kinsoku/>
        <w:wordWrap/>
        <w:overflowPunct/>
        <w:topLinePunct w:val="0"/>
        <w:autoSpaceDE/>
        <w:autoSpaceDN/>
        <w:bidi w:val="0"/>
        <w:spacing w:line="600" w:lineRule="exact"/>
        <w:ind w:firstLine="480" w:firstLineChars="200"/>
        <w:rPr>
          <w:rFonts w:hint="default" w:ascii="仿宋" w:hAnsi="仿宋" w:eastAsia="仿宋" w:cs="仿宋"/>
          <w:color w:val="auto"/>
          <w:kern w:val="2"/>
          <w:sz w:val="24"/>
          <w:szCs w:val="24"/>
          <w:highlight w:val="none"/>
          <w:lang w:val="en-US" w:eastAsia="zh-CN" w:bidi="ar-SA"/>
        </w:rPr>
      </w:pPr>
      <w:r>
        <w:rPr>
          <w:rFonts w:hint="default" w:ascii="仿宋" w:hAnsi="仿宋" w:eastAsia="仿宋" w:cs="仿宋"/>
          <w:color w:val="auto"/>
          <w:kern w:val="2"/>
          <w:sz w:val="24"/>
          <w:szCs w:val="24"/>
          <w:highlight w:val="none"/>
          <w:lang w:val="en-US" w:eastAsia="zh-CN" w:bidi="ar-SA"/>
        </w:rPr>
        <w:t>2.中途应急及异常切换：在供应商供货期间，如出现质量不合格、配送超时、缺货、售后不及时，当即暂停配送，剩余需求临时由另一名选中供应商供应。</w:t>
      </w:r>
    </w:p>
    <w:p>
      <w:pPr>
        <w:pageBreakBefore w:val="0"/>
        <w:kinsoku/>
        <w:wordWrap/>
        <w:overflowPunct/>
        <w:topLinePunct w:val="0"/>
        <w:autoSpaceDE/>
        <w:autoSpaceDN/>
        <w:bidi w:val="0"/>
        <w:spacing w:line="600" w:lineRule="exact"/>
        <w:ind w:firstLine="480" w:firstLineChars="200"/>
        <w:rPr>
          <w:rFonts w:hint="default" w:ascii="仿宋" w:hAnsi="仿宋" w:eastAsia="仿宋" w:cs="仿宋"/>
          <w:color w:val="auto"/>
          <w:kern w:val="2"/>
          <w:sz w:val="24"/>
          <w:szCs w:val="24"/>
          <w:highlight w:val="none"/>
          <w:lang w:val="en-US" w:eastAsia="zh-CN" w:bidi="ar-SA"/>
        </w:rPr>
      </w:pPr>
      <w:r>
        <w:rPr>
          <w:rFonts w:hint="default" w:ascii="仿宋" w:hAnsi="仿宋" w:eastAsia="仿宋" w:cs="仿宋"/>
          <w:color w:val="auto"/>
          <w:kern w:val="2"/>
          <w:sz w:val="24"/>
          <w:szCs w:val="24"/>
          <w:highlight w:val="none"/>
          <w:lang w:val="en-US" w:eastAsia="zh-CN" w:bidi="ar-SA"/>
        </w:rPr>
        <w:t>供应商动态管理：依据《食材验收情况表》，可视情况调整供应商供货顺序。服务期间如出现重大食品安全问题，直接终止当月配送资格，全部由另一名中选供应商接替。</w:t>
      </w:r>
    </w:p>
    <w:p>
      <w:pPr>
        <w:pageBreakBefore w:val="0"/>
        <w:kinsoku/>
        <w:wordWrap/>
        <w:overflowPunct/>
        <w:topLinePunct w:val="0"/>
        <w:autoSpaceDE/>
        <w:autoSpaceDN/>
        <w:bidi w:val="0"/>
        <w:spacing w:line="600" w:lineRule="exact"/>
        <w:ind w:firstLine="482" w:firstLineChars="200"/>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（四）付款安排</w:t>
      </w:r>
    </w:p>
    <w:p>
      <w:pPr>
        <w:pageBreakBefore w:val="0"/>
        <w:kinsoku/>
        <w:wordWrap/>
        <w:overflowPunct/>
        <w:topLinePunct w:val="0"/>
        <w:autoSpaceDE/>
        <w:autoSpaceDN/>
        <w:bidi w:val="0"/>
        <w:spacing w:line="600" w:lineRule="exact"/>
        <w:ind w:firstLine="480" w:firstLineChars="200"/>
        <w:rPr>
          <w:rFonts w:hint="default" w:ascii="仿宋" w:hAnsi="仿宋" w:eastAsia="仿宋" w:cs="仿宋"/>
          <w:color w:val="auto"/>
          <w:kern w:val="2"/>
          <w:sz w:val="24"/>
          <w:szCs w:val="24"/>
          <w:highlight w:val="none"/>
          <w:lang w:val="en-US" w:eastAsia="zh-CN" w:bidi="ar-SA"/>
        </w:rPr>
      </w:pPr>
      <w:r>
        <w:rPr>
          <w:rFonts w:hint="default" w:ascii="仿宋" w:hAnsi="仿宋" w:eastAsia="仿宋" w:cs="仿宋"/>
          <w:color w:val="auto"/>
          <w:kern w:val="2"/>
          <w:sz w:val="24"/>
          <w:szCs w:val="24"/>
          <w:highlight w:val="none"/>
          <w:lang w:val="en-US" w:eastAsia="zh-CN" w:bidi="ar-SA"/>
        </w:rPr>
        <w:t>以自然月为一个周期，次月初由供货商提供上月商品总清单，双方核对无误后签字，供货商开具合规的增值税发票，我方自收到发票的15个工作日内</w:t>
      </w:r>
      <w:r>
        <w:rPr>
          <w:rFonts w:hint="eastAsia" w:ascii="仿宋" w:hAnsi="仿宋" w:eastAsia="仿宋" w:cs="仿宋"/>
          <w:color w:val="auto"/>
          <w:kern w:val="2"/>
          <w:sz w:val="24"/>
          <w:szCs w:val="24"/>
          <w:highlight w:val="none"/>
          <w:lang w:val="en-US" w:eastAsia="zh-CN" w:bidi="ar-SA"/>
        </w:rPr>
        <w:t>排付款</w:t>
      </w:r>
      <w:r>
        <w:rPr>
          <w:rFonts w:hint="default" w:ascii="仿宋" w:hAnsi="仿宋" w:eastAsia="仿宋" w:cs="仿宋"/>
          <w:color w:val="auto"/>
          <w:kern w:val="2"/>
          <w:sz w:val="24"/>
          <w:szCs w:val="24"/>
          <w:highlight w:val="none"/>
          <w:lang w:val="en-US" w:eastAsia="zh-CN" w:bidi="ar-SA"/>
        </w:rPr>
        <w:t>。</w:t>
      </w:r>
    </w:p>
    <w:p>
      <w:pPr>
        <w:pStyle w:val="2"/>
        <w:rPr>
          <w:rFonts w:hint="default"/>
          <w:lang w:val="en-US" w:eastAsia="zh-CN"/>
        </w:rPr>
      </w:pPr>
    </w:p>
    <w:p>
      <w:pPr>
        <w:pStyle w:val="3"/>
        <w:numPr>
          <w:ilvl w:val="0"/>
          <w:numId w:val="19"/>
        </w:numPr>
        <w:spacing w:before="0" w:after="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响应文件格式</w:t>
      </w:r>
      <w:bookmarkEnd w:id="150"/>
      <w:bookmarkEnd w:id="151"/>
      <w:bookmarkEnd w:id="152"/>
      <w:bookmarkEnd w:id="153"/>
      <w:bookmarkEnd w:id="154"/>
      <w:bookmarkEnd w:id="155"/>
      <w:bookmarkEnd w:id="156"/>
      <w:bookmarkEnd w:id="157"/>
    </w:p>
    <w:p>
      <w:pPr>
        <w:spacing w:line="360" w:lineRule="auto"/>
        <w:rPr>
          <w:rFonts w:hint="eastAsia" w:ascii="仿宋" w:hAnsi="仿宋" w:eastAsia="仿宋" w:cs="仿宋"/>
          <w:b/>
          <w:color w:val="auto"/>
          <w:highlight w:val="none"/>
        </w:rPr>
      </w:pPr>
      <w:r>
        <w:rPr>
          <w:rFonts w:hint="eastAsia" w:ascii="仿宋" w:hAnsi="仿宋" w:eastAsia="仿宋" w:cs="宋体"/>
          <w:b/>
          <w:color w:val="auto"/>
          <w:sz w:val="24"/>
          <w:highlight w:val="none"/>
        </w:rPr>
        <w:t>封面格式</w:t>
      </w:r>
    </w:p>
    <w:tbl>
      <w:tblPr>
        <w:tblStyle w:val="4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pPr>
              <w:pStyle w:val="156"/>
              <w:spacing w:before="156" w:after="312"/>
              <w:ind w:right="508"/>
              <w:jc w:val="right"/>
              <w:rPr>
                <w:rFonts w:hint="eastAsia" w:ascii="仿宋" w:hAnsi="仿宋" w:eastAsia="仿宋" w:cs="仿宋"/>
                <w:color w:val="auto"/>
                <w:sz w:val="32"/>
                <w:highlight w:val="none"/>
              </w:rPr>
            </w:pPr>
            <w:r>
              <w:rPr>
                <w:rFonts w:hint="eastAsia" w:ascii="仿宋" w:hAnsi="仿宋" w:eastAsia="仿宋" w:cs="仿宋"/>
                <w:color w:val="auto"/>
                <w:sz w:val="32"/>
                <w:highlight w:val="none"/>
              </w:rPr>
              <w:t>正本/副本</w:t>
            </w:r>
          </w:p>
          <w:p>
            <w:pPr>
              <w:pStyle w:val="156"/>
              <w:spacing w:before="156" w:after="312"/>
              <w:ind w:right="-284"/>
              <w:jc w:val="center"/>
              <w:rPr>
                <w:rFonts w:hint="eastAsia" w:ascii="仿宋" w:hAnsi="仿宋" w:eastAsia="仿宋" w:cs="仿宋"/>
                <w:color w:val="auto"/>
                <w:sz w:val="32"/>
                <w:highlight w:val="none"/>
              </w:rPr>
            </w:pPr>
            <w:r>
              <w:rPr>
                <w:rFonts w:hint="eastAsia" w:ascii="仿宋" w:hAnsi="仿宋" w:eastAsia="仿宋" w:cs="仿宋"/>
                <w:color w:val="auto"/>
                <w:sz w:val="32"/>
                <w:highlight w:val="none"/>
              </w:rPr>
              <w:t>（人保财险新疆</w:t>
            </w:r>
            <w:r>
              <w:rPr>
                <w:rFonts w:hint="eastAsia" w:ascii="仿宋" w:hAnsi="仿宋" w:eastAsia="仿宋" w:cs="仿宋"/>
                <w:color w:val="auto"/>
                <w:sz w:val="32"/>
                <w:highlight w:val="none"/>
                <w:lang w:val="en-US" w:eastAsia="zh-CN"/>
              </w:rPr>
              <w:t>昭苏</w:t>
            </w:r>
            <w:r>
              <w:rPr>
                <w:rFonts w:hint="eastAsia" w:ascii="仿宋" w:hAnsi="仿宋" w:eastAsia="仿宋" w:cs="仿宋"/>
                <w:color w:val="auto"/>
                <w:sz w:val="32"/>
                <w:highlight w:val="none"/>
              </w:rPr>
              <w:t>支公司职工食堂食材供应商采购项目）项目</w:t>
            </w:r>
          </w:p>
          <w:p>
            <w:pPr>
              <w:pStyle w:val="156"/>
              <w:ind w:right="-284" w:firstLine="2240"/>
              <w:rPr>
                <w:rFonts w:hint="eastAsia" w:ascii="仿宋" w:hAnsi="仿宋" w:eastAsia="仿宋" w:cs="仿宋"/>
                <w:color w:val="auto"/>
                <w:sz w:val="28"/>
                <w:highlight w:val="none"/>
                <w:u w:val="single"/>
              </w:rPr>
            </w:pPr>
          </w:p>
          <w:p>
            <w:pPr>
              <w:pStyle w:val="156"/>
              <w:spacing w:before="624" w:after="156" w:line="160" w:lineRule="atLeast"/>
              <w:ind w:right="-284"/>
              <w:jc w:val="center"/>
              <w:rPr>
                <w:rFonts w:hint="eastAsia" w:ascii="仿宋" w:hAnsi="仿宋" w:eastAsia="仿宋" w:cs="仿宋"/>
                <w:color w:val="auto"/>
                <w:sz w:val="52"/>
                <w:highlight w:val="none"/>
              </w:rPr>
            </w:pPr>
            <w:r>
              <w:rPr>
                <w:rFonts w:hint="eastAsia" w:ascii="仿宋" w:hAnsi="仿宋" w:eastAsia="仿宋" w:cs="仿宋"/>
                <w:color w:val="auto"/>
                <w:sz w:val="52"/>
                <w:highlight w:val="none"/>
              </w:rPr>
              <w:t>磋商响应文件</w:t>
            </w:r>
          </w:p>
          <w:p>
            <w:pPr>
              <w:pStyle w:val="156"/>
              <w:spacing w:before="624" w:after="156" w:line="160" w:lineRule="atLeast"/>
              <w:ind w:right="-284"/>
              <w:jc w:val="center"/>
              <w:rPr>
                <w:rFonts w:hint="eastAsia" w:ascii="仿宋" w:hAnsi="仿宋" w:eastAsia="仿宋" w:cs="仿宋"/>
                <w:color w:val="auto"/>
                <w:sz w:val="52"/>
                <w:highlight w:val="none"/>
              </w:rPr>
            </w:pPr>
          </w:p>
          <w:p>
            <w:pPr>
              <w:pStyle w:val="156"/>
              <w:spacing w:before="624" w:after="156" w:line="240" w:lineRule="atLeast"/>
              <w:jc w:val="center"/>
              <w:rPr>
                <w:rFonts w:hint="eastAsia" w:ascii="仿宋" w:hAnsi="仿宋" w:eastAsia="仿宋" w:cs="仿宋"/>
                <w:color w:val="auto"/>
                <w:sz w:val="40"/>
                <w:highlight w:val="none"/>
              </w:rPr>
            </w:pPr>
            <w:r>
              <w:rPr>
                <w:rFonts w:hint="eastAsia" w:ascii="仿宋" w:hAnsi="仿宋" w:eastAsia="仿宋" w:cs="仿宋"/>
                <w:color w:val="auto"/>
                <w:sz w:val="40"/>
                <w:highlight w:val="none"/>
              </w:rPr>
              <w:t>（商务文件/技术文件/报价文件）</w:t>
            </w:r>
          </w:p>
          <w:p>
            <w:pPr>
              <w:pStyle w:val="156"/>
              <w:spacing w:before="1560" w:line="400" w:lineRule="atLeast"/>
              <w:ind w:right="-284" w:firstLine="2520" w:firstLineChars="105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（盖章）</w:t>
            </w:r>
          </w:p>
          <w:p>
            <w:pPr>
              <w:pStyle w:val="156"/>
              <w:spacing w:after="156" w:line="400" w:lineRule="atLeast"/>
              <w:ind w:right="-284"/>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法定代表人或其委托的代理人：（签字或盖章）</w:t>
            </w:r>
          </w:p>
          <w:p>
            <w:pPr>
              <w:pStyle w:val="156"/>
              <w:spacing w:after="624"/>
              <w:ind w:right="-284"/>
              <w:jc w:val="center"/>
              <w:rPr>
                <w:rFonts w:hint="eastAsia" w:ascii="仿宋" w:hAnsi="仿宋" w:eastAsia="仿宋" w:cs="仿宋"/>
                <w:color w:val="auto"/>
                <w:sz w:val="24"/>
                <w:highlight w:val="none"/>
              </w:rPr>
            </w:pPr>
          </w:p>
          <w:p>
            <w:pPr>
              <w:pStyle w:val="156"/>
              <w:spacing w:after="624"/>
              <w:ind w:right="-284"/>
              <w:jc w:val="center"/>
              <w:rPr>
                <w:rFonts w:hint="eastAsia" w:ascii="仿宋" w:hAnsi="仿宋" w:eastAsia="仿宋" w:cs="仿宋"/>
                <w:color w:val="auto"/>
                <w:highlight w:val="none"/>
              </w:rPr>
            </w:pPr>
            <w:r>
              <w:rPr>
                <w:rFonts w:hint="eastAsia" w:ascii="仿宋" w:hAnsi="仿宋" w:eastAsia="仿宋" w:cs="仿宋"/>
                <w:color w:val="auto"/>
                <w:sz w:val="24"/>
                <w:highlight w:val="none"/>
              </w:rPr>
              <w:t>年     月      日</w:t>
            </w:r>
          </w:p>
        </w:tc>
      </w:tr>
    </w:tbl>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格式：封口</w:t>
      </w:r>
    </w:p>
    <w:tbl>
      <w:tblPr>
        <w:tblStyle w:val="40"/>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156"/>
              <w:ind w:right="-284"/>
              <w:jc w:val="center"/>
              <w:rPr>
                <w:rFonts w:hint="eastAsia" w:ascii="仿宋" w:hAnsi="仿宋" w:eastAsia="仿宋" w:cs="仿宋"/>
                <w:b/>
                <w:color w:val="auto"/>
                <w:highlight w:val="none"/>
              </w:rPr>
            </w:pPr>
            <w:r>
              <w:rPr>
                <w:rFonts w:hint="eastAsia" w:ascii="仿宋" w:hAnsi="仿宋" w:eastAsia="仿宋" w:cs="仿宋"/>
                <w:b/>
                <w:color w:val="auto"/>
                <w:highlight w:val="none"/>
              </w:rPr>
              <w:t>-------------于年月日时分之前不准启封（公章）------------</w:t>
            </w:r>
          </w:p>
        </w:tc>
      </w:tr>
    </w:tbl>
    <w:p>
      <w:pPr>
        <w:rPr>
          <w:rFonts w:hint="eastAsia" w:ascii="仿宋" w:hAnsi="仿宋" w:eastAsia="仿宋" w:cs="仿宋"/>
          <w:color w:val="auto"/>
          <w:kern w:val="0"/>
          <w:szCs w:val="21"/>
          <w:highlight w:val="none"/>
        </w:rPr>
      </w:pPr>
    </w:p>
    <w:p>
      <w:pPr>
        <w:pStyle w:val="4"/>
        <w:numPr>
          <w:ilvl w:val="0"/>
          <w:numId w:val="0"/>
        </w:numPr>
        <w:ind w:leftChars="0"/>
        <w:jc w:val="both"/>
        <w:rPr>
          <w:rFonts w:ascii="仿宋" w:hAnsi="仿宋" w:eastAsia="仿宋" w:cs="仿宋"/>
          <w:color w:val="auto"/>
          <w:sz w:val="24"/>
          <w:szCs w:val="24"/>
          <w:highlight w:val="none"/>
        </w:rPr>
      </w:pPr>
      <w:bookmarkStart w:id="158" w:name="_Toc3936"/>
      <w:bookmarkStart w:id="159" w:name="_Toc517281836"/>
      <w:bookmarkStart w:id="160" w:name="_Toc25957"/>
      <w:bookmarkStart w:id="161" w:name="_Toc21280"/>
      <w:bookmarkStart w:id="162" w:name="_Toc19910"/>
      <w:bookmarkStart w:id="163" w:name="_Toc19783362"/>
      <w:bookmarkStart w:id="164" w:name="_Toc444891353"/>
      <w:bookmarkStart w:id="165" w:name="_Toc11783"/>
      <w:bookmarkStart w:id="166" w:name="_Toc287600131"/>
      <w:r>
        <w:rPr>
          <w:rFonts w:ascii="仿宋" w:hAnsi="仿宋" w:eastAsia="仿宋" w:cs="仿宋"/>
          <w:color w:val="auto"/>
          <w:sz w:val="24"/>
          <w:szCs w:val="24"/>
          <w:highlight w:val="none"/>
        </w:rPr>
        <w:br w:type="page"/>
      </w:r>
      <w:bookmarkStart w:id="167" w:name="_Toc17191"/>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商务文件</w:t>
      </w:r>
      <w:bookmarkEnd w:id="158"/>
      <w:bookmarkEnd w:id="167"/>
    </w:p>
    <w:p>
      <w:pPr>
        <w:bidi w:val="0"/>
        <w:jc w:val="center"/>
        <w:rPr>
          <w:rFonts w:hint="eastAsia"/>
          <w:color w:val="auto"/>
        </w:rPr>
      </w:pPr>
      <w:bookmarkStart w:id="168" w:name="_Toc26744"/>
      <w:r>
        <w:rPr>
          <w:rFonts w:hint="eastAsia" w:ascii="仿宋" w:hAnsi="仿宋" w:eastAsia="仿宋" w:cs="仿宋"/>
          <w:b/>
          <w:bCs/>
          <w:color w:val="auto"/>
          <w:sz w:val="24"/>
          <w:szCs w:val="24"/>
        </w:rPr>
        <w:t>初步评审索引表</w:t>
      </w:r>
      <w:bookmarkEnd w:id="168"/>
    </w:p>
    <w:tbl>
      <w:tblPr>
        <w:tblStyle w:val="40"/>
        <w:tblW w:w="4997"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52"/>
        <w:gridCol w:w="1165"/>
        <w:gridCol w:w="1949"/>
        <w:gridCol w:w="6082"/>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noWrap w:val="0"/>
            <w:vAlign w:val="center"/>
          </w:tcPr>
          <w:p>
            <w:pPr>
              <w:widowControl/>
              <w:spacing w:line="360" w:lineRule="auto"/>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序号</w:t>
            </w:r>
          </w:p>
        </w:tc>
        <w:tc>
          <w:tcPr>
            <w:tcW w:w="591" w:type="pct"/>
            <w:noWrap w:val="0"/>
            <w:vAlign w:val="top"/>
          </w:tcPr>
          <w:p>
            <w:pPr>
              <w:widowControl/>
              <w:spacing w:before="24" w:after="24" w:line="360" w:lineRule="auto"/>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评审环节</w:t>
            </w:r>
          </w:p>
        </w:tc>
        <w:tc>
          <w:tcPr>
            <w:tcW w:w="989" w:type="pct"/>
            <w:noWrap w:val="0"/>
            <w:vAlign w:val="center"/>
          </w:tcPr>
          <w:p>
            <w:pPr>
              <w:widowControl/>
              <w:spacing w:before="24" w:after="24" w:line="360" w:lineRule="auto"/>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评审因素</w:t>
            </w:r>
          </w:p>
        </w:tc>
        <w:tc>
          <w:tcPr>
            <w:tcW w:w="3086" w:type="pct"/>
            <w:noWrap w:val="0"/>
            <w:vAlign w:val="center"/>
          </w:tcPr>
          <w:p>
            <w:pPr>
              <w:widowControl/>
              <w:spacing w:line="360" w:lineRule="auto"/>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restart"/>
            <w:noWrap w:val="0"/>
            <w:vAlign w:val="center"/>
          </w:tcPr>
          <w:p>
            <w:pPr>
              <w:widowControl/>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591" w:type="pct"/>
            <w:vMerge w:val="restart"/>
            <w:noWrap w:val="0"/>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形式评审标准</w:t>
            </w:r>
          </w:p>
        </w:tc>
        <w:tc>
          <w:tcPr>
            <w:tcW w:w="989" w:type="pct"/>
            <w:noWrap w:val="0"/>
            <w:vAlign w:val="center"/>
          </w:tcPr>
          <w:p>
            <w:pPr>
              <w:spacing w:before="24" w:after="24" w:line="276" w:lineRule="auto"/>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供应商名称</w:t>
            </w:r>
          </w:p>
        </w:tc>
        <w:tc>
          <w:tcPr>
            <w:tcW w:w="3086" w:type="pct"/>
            <w:noWrap w:val="0"/>
            <w:vAlign w:val="center"/>
          </w:tcPr>
          <w:p>
            <w:pPr>
              <w:spacing w:before="24" w:after="24" w:line="276" w:lineRule="auto"/>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top"/>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spacing w:before="24" w:after="24" w:line="276" w:lineRule="auto"/>
              <w:jc w:val="center"/>
              <w:rPr>
                <w:rFonts w:hint="eastAsia" w:ascii="仿宋" w:hAnsi="仿宋" w:eastAsia="仿宋" w:cs="仿宋"/>
                <w:color w:val="auto"/>
                <w:spacing w:val="-4"/>
                <w:kern w:val="0"/>
                <w:szCs w:val="21"/>
                <w:highlight w:val="none"/>
              </w:rPr>
            </w:pPr>
            <w:r>
              <w:rPr>
                <w:rFonts w:hint="eastAsia" w:ascii="仿宋" w:hAnsi="仿宋" w:eastAsia="仿宋" w:cs="仿宋"/>
                <w:color w:val="auto"/>
                <w:szCs w:val="21"/>
                <w:highlight w:val="none"/>
              </w:rPr>
              <w:t>法定代表人（负责人）身份证明</w:t>
            </w:r>
          </w:p>
        </w:tc>
        <w:tc>
          <w:tcPr>
            <w:tcW w:w="3086" w:type="pct"/>
            <w:noWrap w:val="0"/>
            <w:vAlign w:val="center"/>
          </w:tcPr>
          <w:p>
            <w:pPr>
              <w:pStyle w:val="137"/>
              <w:tabs>
                <w:tab w:val="left" w:pos="630"/>
              </w:tabs>
              <w:topLinePunct/>
              <w:spacing w:before="62" w:beforeLines="20" w:after="62" w:afterLines="20" w:line="276" w:lineRule="auto"/>
              <w:rPr>
                <w:rFonts w:hint="eastAsia" w:ascii="仿宋" w:hAnsi="仿宋" w:eastAsia="仿宋" w:cs="仿宋"/>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top"/>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法定代表人（负责人）授权委托书</w:t>
            </w:r>
          </w:p>
        </w:tc>
        <w:tc>
          <w:tcPr>
            <w:tcW w:w="3086" w:type="pct"/>
            <w:noWrap w:val="0"/>
            <w:vAlign w:val="center"/>
          </w:tcPr>
          <w:p>
            <w:pPr>
              <w:pStyle w:val="137"/>
              <w:tabs>
                <w:tab w:val="left" w:pos="630"/>
              </w:tabs>
              <w:topLinePunct/>
              <w:spacing w:before="48" w:beforeLines="20" w:after="48" w:afterLines="20" w:line="276" w:lineRule="auto"/>
              <w:rPr>
                <w:rFonts w:hint="eastAsia" w:ascii="仿宋" w:hAnsi="仿宋" w:eastAsia="仿宋" w:cs="Cambria Math"/>
                <w:color w:val="auto"/>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top"/>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spacing w:before="24" w:after="24" w:line="276" w:lineRule="auto"/>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响应文件签字或盖章</w:t>
            </w:r>
          </w:p>
        </w:tc>
        <w:tc>
          <w:tcPr>
            <w:tcW w:w="3086" w:type="pct"/>
            <w:noWrap w:val="0"/>
            <w:vAlign w:val="center"/>
          </w:tcPr>
          <w:p>
            <w:pPr>
              <w:pStyle w:val="137"/>
              <w:tabs>
                <w:tab w:val="left" w:pos="630"/>
              </w:tabs>
              <w:topLinePunct/>
              <w:spacing w:before="48" w:beforeLines="20" w:after="48" w:afterLines="20" w:line="276" w:lineRule="auto"/>
              <w:rPr>
                <w:rFonts w:hint="eastAsia" w:ascii="仿宋" w:hAnsi="仿宋" w:eastAsia="仿宋" w:cs="宋体"/>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restart"/>
            <w:noWrap w:val="0"/>
            <w:vAlign w:val="center"/>
          </w:tcPr>
          <w:p>
            <w:pPr>
              <w:widowControl/>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591" w:type="pct"/>
            <w:vMerge w:val="restart"/>
            <w:noWrap w:val="0"/>
            <w:vAlign w:val="center"/>
          </w:tcPr>
          <w:p>
            <w:pPr>
              <w:spacing w:before="24" w:after="24"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资格评审标准</w:t>
            </w:r>
          </w:p>
        </w:tc>
        <w:tc>
          <w:tcPr>
            <w:tcW w:w="989" w:type="pct"/>
            <w:noWrap w:val="0"/>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营业执照</w:t>
            </w:r>
          </w:p>
        </w:tc>
        <w:tc>
          <w:tcPr>
            <w:tcW w:w="3086" w:type="pct"/>
            <w:noWrap w:val="0"/>
            <w:vAlign w:val="center"/>
          </w:tcPr>
          <w:p>
            <w:pPr>
              <w:pStyle w:val="156"/>
              <w:spacing w:before="48" w:beforeLines="20" w:after="48" w:afterLines="20" w:line="276" w:lineRule="auto"/>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center"/>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银行资信证明</w:t>
            </w:r>
          </w:p>
        </w:tc>
        <w:tc>
          <w:tcPr>
            <w:tcW w:w="3086" w:type="pct"/>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center"/>
          </w:tcPr>
          <w:p>
            <w:pPr>
              <w:spacing w:before="24" w:after="24" w:line="360" w:lineRule="auto"/>
              <w:jc w:val="center"/>
              <w:rPr>
                <w:rFonts w:hint="eastAsia" w:ascii="仿宋" w:hAnsi="仿宋" w:eastAsia="仿宋" w:cs="仿宋"/>
                <w:color w:val="auto"/>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szCs w:val="21"/>
                <w:highlight w:val="none"/>
              </w:rPr>
            </w:pPr>
            <w:r>
              <w:rPr>
                <w:rFonts w:hint="eastAsia" w:ascii="仿宋" w:hAnsi="仿宋" w:eastAsia="仿宋" w:cs="Monaco"/>
                <w:color w:val="auto"/>
                <w:szCs w:val="21"/>
                <w:highlight w:val="none"/>
              </w:rPr>
              <w:t>业绩证明材料</w:t>
            </w:r>
          </w:p>
        </w:tc>
        <w:tc>
          <w:tcPr>
            <w:tcW w:w="3086" w:type="pct"/>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default" w:ascii="仿宋" w:hAnsi="仿宋" w:eastAsia="仿宋" w:cs="仿宋"/>
                <w:color w:val="auto"/>
                <w:kern w:val="0"/>
                <w:szCs w:val="21"/>
                <w:highlight w:val="none"/>
                <w:lang w:val="en-US" w:eastAsia="zh-CN"/>
              </w:rPr>
            </w:pPr>
            <w:r>
              <w:rPr>
                <w:rFonts w:hint="eastAsia" w:ascii="仿宋" w:hAnsi="仿宋" w:eastAsia="仿宋" w:cs="Cambria Math"/>
                <w:color w:val="auto"/>
                <w:szCs w:val="21"/>
                <w:highlight w:val="none"/>
              </w:rPr>
              <w:t>税收和社会保障资金缴纳凭证</w:t>
            </w:r>
          </w:p>
        </w:tc>
        <w:tc>
          <w:tcPr>
            <w:tcW w:w="3086" w:type="pct"/>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无违法违规记录</w:t>
            </w:r>
          </w:p>
        </w:tc>
        <w:tc>
          <w:tcPr>
            <w:tcW w:w="3086" w:type="pct"/>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Monaco"/>
                <w:color w:val="auto"/>
                <w:szCs w:val="21"/>
                <w:highlight w:val="none"/>
              </w:rPr>
              <w:t>未被列入黑名单</w:t>
            </w:r>
          </w:p>
        </w:tc>
        <w:tc>
          <w:tcPr>
            <w:tcW w:w="3086" w:type="pct"/>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Cambria Math"/>
                <w:color w:val="auto"/>
                <w:szCs w:val="21"/>
                <w:highlight w:val="none"/>
              </w:rPr>
              <w:t>控股及管理关系</w:t>
            </w:r>
          </w:p>
        </w:tc>
        <w:tc>
          <w:tcPr>
            <w:tcW w:w="3086" w:type="pct"/>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top"/>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Cambria Math"/>
                <w:color w:val="auto"/>
                <w:szCs w:val="21"/>
                <w:highlight w:val="none"/>
                <w:lang w:eastAsia="zh-CN"/>
              </w:rPr>
            </w:pPr>
            <w:r>
              <w:rPr>
                <w:rFonts w:hint="eastAsia" w:ascii="仿宋" w:hAnsi="仿宋" w:eastAsia="仿宋" w:cs="仿宋"/>
                <w:color w:val="auto"/>
                <w:szCs w:val="21"/>
                <w:highlight w:val="none"/>
                <w:lang w:val="en-US" w:eastAsia="zh-CN"/>
              </w:rPr>
              <w:t>其他</w:t>
            </w:r>
          </w:p>
        </w:tc>
        <w:tc>
          <w:tcPr>
            <w:tcW w:w="3086" w:type="pct"/>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restart"/>
            <w:noWrap w:val="0"/>
            <w:vAlign w:val="center"/>
          </w:tcPr>
          <w:p>
            <w:pPr>
              <w:widowControl/>
              <w:spacing w:line="360" w:lineRule="auto"/>
              <w:jc w:val="center"/>
              <w:rPr>
                <w:rFonts w:hint="eastAsia" w:ascii="仿宋" w:hAnsi="仿宋" w:eastAsia="仿宋" w:cs="仿宋"/>
                <w:color w:val="auto"/>
                <w:kern w:val="0"/>
                <w:szCs w:val="21"/>
                <w:highlight w:val="none"/>
              </w:rPr>
            </w:pPr>
            <w:r>
              <w:rPr>
                <w:rFonts w:ascii="仿宋" w:hAnsi="仿宋" w:eastAsia="仿宋" w:cs="仿宋"/>
                <w:color w:val="auto"/>
                <w:kern w:val="0"/>
                <w:szCs w:val="21"/>
                <w:highlight w:val="none"/>
              </w:rPr>
              <w:t>3</w:t>
            </w:r>
          </w:p>
        </w:tc>
        <w:tc>
          <w:tcPr>
            <w:tcW w:w="591" w:type="pct"/>
            <w:vMerge w:val="restart"/>
            <w:noWrap w:val="0"/>
            <w:vAlign w:val="center"/>
          </w:tcPr>
          <w:p>
            <w:pPr>
              <w:spacing w:before="24" w:after="24"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响应性评审标准</w:t>
            </w:r>
          </w:p>
        </w:tc>
        <w:tc>
          <w:tcPr>
            <w:tcW w:w="989" w:type="pct"/>
            <w:noWrap w:val="0"/>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响应函</w:t>
            </w:r>
          </w:p>
        </w:tc>
        <w:tc>
          <w:tcPr>
            <w:tcW w:w="3086" w:type="pct"/>
            <w:noWrap w:val="0"/>
            <w:vAlign w:val="center"/>
          </w:tcPr>
          <w:p>
            <w:pPr>
              <w:spacing w:before="24" w:after="24" w:line="276" w:lineRule="auto"/>
              <w:jc w:val="left"/>
              <w:rPr>
                <w:rFonts w:hint="eastAsia"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center"/>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供应商行为准则承诺书</w:t>
            </w:r>
          </w:p>
        </w:tc>
        <w:tc>
          <w:tcPr>
            <w:tcW w:w="3086" w:type="pct"/>
            <w:noWrap w:val="0"/>
            <w:vAlign w:val="center"/>
          </w:tcPr>
          <w:p>
            <w:pPr>
              <w:spacing w:before="24" w:after="24" w:line="276" w:lineRule="auto"/>
              <w:jc w:val="left"/>
              <w:rPr>
                <w:rFonts w:hint="eastAsia" w:ascii="仿宋" w:hAnsi="仿宋" w:eastAsia="仿宋" w:cs="Cambria Math"/>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hint="eastAsia" w:ascii="仿宋" w:hAnsi="仿宋" w:eastAsia="仿宋" w:cs="仿宋"/>
                <w:color w:val="auto"/>
                <w:kern w:val="0"/>
                <w:szCs w:val="21"/>
                <w:highlight w:val="none"/>
              </w:rPr>
            </w:pPr>
          </w:p>
        </w:tc>
        <w:tc>
          <w:tcPr>
            <w:tcW w:w="591" w:type="pct"/>
            <w:vMerge w:val="continue"/>
            <w:noWrap w:val="0"/>
            <w:vAlign w:val="center"/>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供应商廉洁诚信承诺书</w:t>
            </w:r>
          </w:p>
        </w:tc>
        <w:tc>
          <w:tcPr>
            <w:tcW w:w="3086" w:type="pct"/>
            <w:noWrap w:val="0"/>
            <w:vAlign w:val="center"/>
          </w:tcPr>
          <w:p>
            <w:pPr>
              <w:spacing w:before="24" w:after="24" w:line="276" w:lineRule="auto"/>
              <w:jc w:val="left"/>
              <w:rPr>
                <w:rFonts w:hint="eastAsia" w:ascii="仿宋" w:hAnsi="仿宋" w:eastAsia="仿宋" w:cs="Cambria Math"/>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1" w:type="pct"/>
            <w:vMerge w:val="continue"/>
            <w:noWrap w:val="0"/>
            <w:vAlign w:val="center"/>
          </w:tcPr>
          <w:p>
            <w:pPr>
              <w:widowControl/>
              <w:spacing w:line="360" w:lineRule="auto"/>
              <w:jc w:val="center"/>
              <w:rPr>
                <w:rFonts w:ascii="仿宋" w:hAnsi="仿宋" w:eastAsia="仿宋" w:cs="仿宋"/>
                <w:color w:val="auto"/>
                <w:kern w:val="0"/>
                <w:szCs w:val="21"/>
                <w:highlight w:val="none"/>
              </w:rPr>
            </w:pPr>
          </w:p>
        </w:tc>
        <w:tc>
          <w:tcPr>
            <w:tcW w:w="591" w:type="pct"/>
            <w:vMerge w:val="continue"/>
            <w:noWrap w:val="0"/>
            <w:vAlign w:val="center"/>
          </w:tcPr>
          <w:p>
            <w:pPr>
              <w:spacing w:before="24" w:after="24" w:line="360" w:lineRule="auto"/>
              <w:jc w:val="center"/>
              <w:rPr>
                <w:rFonts w:hint="eastAsia" w:ascii="仿宋" w:hAnsi="仿宋" w:eastAsia="仿宋" w:cs="仿宋"/>
                <w:color w:val="auto"/>
                <w:kern w:val="0"/>
                <w:szCs w:val="21"/>
                <w:highlight w:val="none"/>
              </w:rPr>
            </w:pPr>
          </w:p>
        </w:tc>
        <w:tc>
          <w:tcPr>
            <w:tcW w:w="989" w:type="pct"/>
            <w:noWrap w:val="0"/>
            <w:vAlign w:val="center"/>
          </w:tcPr>
          <w:p>
            <w:pPr>
              <w:spacing w:before="24" w:after="24" w:line="276" w:lineRule="auto"/>
              <w:jc w:val="center"/>
              <w:rPr>
                <w:rFonts w:ascii="仿宋" w:hAnsi="仿宋" w:eastAsia="仿宋" w:cs="仿宋"/>
                <w:color w:val="auto"/>
                <w:kern w:val="0"/>
                <w:szCs w:val="21"/>
                <w:highlight w:val="none"/>
              </w:rPr>
            </w:pPr>
            <w:r>
              <w:rPr>
                <w:rFonts w:hint="eastAsia" w:ascii="仿宋" w:hAnsi="仿宋" w:eastAsia="仿宋" w:cs="Cambria Math"/>
                <w:color w:val="auto"/>
                <w:szCs w:val="21"/>
                <w:highlight w:val="none"/>
              </w:rPr>
              <w:t>供应商偏离应答</w:t>
            </w:r>
          </w:p>
        </w:tc>
        <w:tc>
          <w:tcPr>
            <w:tcW w:w="3086" w:type="pct"/>
            <w:noWrap w:val="0"/>
            <w:vAlign w:val="center"/>
          </w:tcPr>
          <w:p>
            <w:pPr>
              <w:spacing w:before="24" w:after="24" w:line="276" w:lineRule="auto"/>
              <w:jc w:val="left"/>
              <w:rPr>
                <w:rFonts w:hint="eastAsia" w:ascii="仿宋" w:hAnsi="仿宋" w:eastAsia="仿宋" w:cs="仿宋"/>
                <w:color w:val="auto"/>
                <w:szCs w:val="21"/>
                <w:highlight w:val="none"/>
              </w:rPr>
            </w:pPr>
          </w:p>
        </w:tc>
      </w:tr>
    </w:tbl>
    <w:p>
      <w:pPr>
        <w:rPr>
          <w:rFonts w:hint="eastAsia" w:ascii="宋体" w:hAnsi="宋体"/>
          <w:color w:val="auto"/>
          <w:kern w:val="0"/>
          <w:szCs w:val="21"/>
          <w:highlight w:val="none"/>
        </w:rPr>
        <w:sectPr>
          <w:footerReference r:id="rId12" w:type="default"/>
          <w:pgSz w:w="11906" w:h="16838"/>
          <w:pgMar w:top="1417" w:right="1134" w:bottom="1134" w:left="1134" w:header="964" w:footer="964" w:gutter="0"/>
          <w:cols w:space="720" w:num="1"/>
          <w:docGrid w:linePitch="312" w:charSpace="0"/>
        </w:sectPr>
      </w:pPr>
    </w:p>
    <w:bookmarkEnd w:id="159"/>
    <w:bookmarkEnd w:id="160"/>
    <w:bookmarkEnd w:id="161"/>
    <w:bookmarkEnd w:id="162"/>
    <w:bookmarkEnd w:id="163"/>
    <w:bookmarkEnd w:id="164"/>
    <w:bookmarkEnd w:id="165"/>
    <w:bookmarkEnd w:id="166"/>
    <w:p>
      <w:pPr>
        <w:bidi w:val="0"/>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详细评审索引表</w:t>
      </w:r>
    </w:p>
    <w:tbl>
      <w:tblPr>
        <w:tblStyle w:val="4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b/>
                <w:color w:val="auto"/>
                <w:szCs w:val="21"/>
                <w:highlight w:val="none"/>
              </w:rPr>
            </w:pPr>
            <w:r>
              <w:rPr>
                <w:rFonts w:hint="eastAsia" w:ascii="仿宋" w:hAnsi="仿宋" w:eastAsia="仿宋" w:cs="宋体"/>
                <w:b/>
                <w:color w:val="auto"/>
                <w:kern w:val="0"/>
                <w:szCs w:val="21"/>
                <w:highlight w:val="none"/>
                <w:lang w:bidi="ar"/>
              </w:rPr>
              <w:t>序号</w:t>
            </w:r>
          </w:p>
        </w:tc>
        <w:tc>
          <w:tcPr>
            <w:tcW w:w="1696" w:type="dxa"/>
            <w:noWrap w:val="0"/>
            <w:tcMar>
              <w:top w:w="15" w:type="dxa"/>
              <w:left w:w="15" w:type="dxa"/>
              <w:right w:w="15" w:type="dxa"/>
            </w:tcMar>
            <w:vAlign w:val="center"/>
          </w:tcPr>
          <w:p>
            <w:pPr>
              <w:jc w:val="center"/>
              <w:rPr>
                <w:rFonts w:hint="eastAsia" w:ascii="仿宋" w:hAnsi="仿宋" w:eastAsia="仿宋" w:cs="宋体"/>
                <w:b/>
                <w:color w:val="auto"/>
                <w:kern w:val="0"/>
                <w:szCs w:val="21"/>
                <w:highlight w:val="none"/>
                <w:lang w:bidi="ar"/>
              </w:rPr>
            </w:pPr>
            <w:r>
              <w:rPr>
                <w:rFonts w:hint="eastAsia" w:ascii="仿宋" w:hAnsi="仿宋" w:eastAsia="仿宋" w:cs="宋体"/>
                <w:b/>
                <w:bCs/>
                <w:color w:val="auto"/>
                <w:szCs w:val="21"/>
                <w:highlight w:val="none"/>
              </w:rPr>
              <w:t>评审项</w:t>
            </w:r>
          </w:p>
        </w:tc>
        <w:tc>
          <w:tcPr>
            <w:tcW w:w="2268" w:type="dxa"/>
            <w:noWrap w:val="0"/>
            <w:vAlign w:val="top"/>
          </w:tcPr>
          <w:p>
            <w:pPr>
              <w:widowControl/>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lang w:bidi="ar"/>
              </w:rPr>
              <w:t>评审因素</w:t>
            </w:r>
          </w:p>
        </w:tc>
        <w:tc>
          <w:tcPr>
            <w:tcW w:w="4820" w:type="dxa"/>
            <w:noWrap w:val="0"/>
            <w:tcMar>
              <w:top w:w="15" w:type="dxa"/>
              <w:left w:w="15" w:type="dxa"/>
              <w:right w:w="15" w:type="dxa"/>
            </w:tcMar>
            <w:vAlign w:val="center"/>
          </w:tcPr>
          <w:p>
            <w:pPr>
              <w:widowControl/>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1</w:t>
            </w:r>
          </w:p>
        </w:tc>
        <w:tc>
          <w:tcPr>
            <w:tcW w:w="1696" w:type="dxa"/>
            <w:vMerge w:val="restart"/>
            <w:noWrap w:val="0"/>
            <w:tcMar>
              <w:top w:w="15" w:type="dxa"/>
              <w:left w:w="15" w:type="dxa"/>
              <w:right w:w="15" w:type="dxa"/>
            </w:tcMar>
            <w:vAlign w:val="center"/>
          </w:tcPr>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商务得分</w:t>
            </w:r>
          </w:p>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（XX分）</w:t>
            </w:r>
          </w:p>
        </w:tc>
        <w:tc>
          <w:tcPr>
            <w:tcW w:w="2268" w:type="dxa"/>
            <w:noWrap w:val="0"/>
            <w:vAlign w:val="center"/>
          </w:tcPr>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综合实力</w:t>
            </w:r>
          </w:p>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（XX分）</w:t>
            </w:r>
          </w:p>
        </w:tc>
        <w:tc>
          <w:tcPr>
            <w:tcW w:w="4820" w:type="dxa"/>
            <w:noWrap w:val="0"/>
            <w:tcMar>
              <w:top w:w="15" w:type="dxa"/>
              <w:left w:w="15" w:type="dxa"/>
              <w:right w:w="15" w:type="dxa"/>
            </w:tcMar>
            <w:vAlign w:val="center"/>
          </w:tcPr>
          <w:p>
            <w:pPr>
              <w:widowControl/>
              <w:adjustRightInd w:val="0"/>
              <w:snapToGrid w:val="0"/>
              <w:rPr>
                <w:rFonts w:hint="eastAsia" w:ascii="仿宋" w:hAnsi="仿宋" w:eastAsia="仿宋" w:cs="宋体"/>
                <w:color w:val="auto"/>
                <w:kern w:val="0"/>
                <w:szCs w:val="21"/>
                <w:highlight w:val="none"/>
              </w:rPr>
            </w:pPr>
            <w:r>
              <w:rPr>
                <w:rFonts w:hint="eastAsia" w:ascii="仿宋" w:hAnsi="仿宋" w:eastAsia="仿宋" w:cs="宋体"/>
                <w:color w:val="auto"/>
                <w:kern w:val="0"/>
                <w:szCs w:val="21"/>
                <w:highlight w:val="none"/>
              </w:rPr>
              <w:t>说明：XX</w:t>
            </w:r>
          </w:p>
          <w:p>
            <w:pPr>
              <w:rPr>
                <w:rStyle w:val="117"/>
                <w:rFonts w:hint="default" w:cs="宋体"/>
                <w:color w:val="auto"/>
                <w:highlight w:val="none"/>
                <w:lang w:bidi="ar"/>
              </w:rPr>
            </w:pPr>
            <w:r>
              <w:rPr>
                <w:rFonts w:hint="eastAsia" w:ascii="仿宋" w:hAnsi="仿宋" w:eastAsia="仿宋" w:cs="宋体"/>
                <w:color w:val="auto"/>
                <w:kern w:val="0"/>
                <w:szCs w:val="21"/>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2</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auto"/>
                <w:kern w:val="0"/>
                <w:szCs w:val="21"/>
                <w:highlight w:val="none"/>
                <w:lang w:bidi="ar"/>
              </w:rPr>
            </w:pPr>
          </w:p>
        </w:tc>
        <w:tc>
          <w:tcPr>
            <w:tcW w:w="2268" w:type="dxa"/>
            <w:noWrap w:val="0"/>
            <w:vAlign w:val="center"/>
          </w:tcPr>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同类业绩</w:t>
            </w:r>
          </w:p>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（XX分）</w:t>
            </w:r>
          </w:p>
        </w:tc>
        <w:tc>
          <w:tcPr>
            <w:tcW w:w="4820" w:type="dxa"/>
            <w:noWrap w:val="0"/>
            <w:tcMar>
              <w:top w:w="15" w:type="dxa"/>
              <w:left w:w="15" w:type="dxa"/>
              <w:right w:w="15" w:type="dxa"/>
            </w:tcMar>
            <w:vAlign w:val="center"/>
          </w:tcPr>
          <w:p>
            <w:pPr>
              <w:rPr>
                <w:rStyle w:val="117"/>
                <w:rFonts w:hint="default" w:cs="宋体"/>
                <w:color w:val="auto"/>
                <w:highlight w:val="none"/>
                <w:lang w:bidi="ar"/>
              </w:rPr>
            </w:pPr>
          </w:p>
        </w:tc>
      </w:tr>
    </w:tbl>
    <w:p>
      <w:pPr>
        <w:rPr>
          <w:rFonts w:hint="eastAsia"/>
          <w:color w:val="auto"/>
        </w:rPr>
      </w:pPr>
      <w:r>
        <w:rPr>
          <w:rFonts w:hint="eastAsia" w:ascii="仿宋" w:hAnsi="仿宋" w:eastAsia="仿宋" w:cs="仿宋"/>
          <w:color w:val="auto"/>
          <w:sz w:val="28"/>
          <w:szCs w:val="28"/>
          <w:highlight w:val="none"/>
        </w:rPr>
        <w:br w:type="page"/>
      </w:r>
    </w:p>
    <w:p>
      <w:pPr>
        <w:pStyle w:val="5"/>
        <w:numPr>
          <w:ilvl w:val="0"/>
          <w:numId w:val="0"/>
        </w:numPr>
        <w:spacing w:before="0" w:line="440" w:lineRule="exact"/>
        <w:rPr>
          <w:rFonts w:hint="eastAsia" w:ascii="仿宋" w:hAnsi="仿宋" w:eastAsia="仿宋" w:cs="仿宋"/>
          <w:color w:val="auto"/>
          <w:sz w:val="24"/>
          <w:szCs w:val="24"/>
          <w:highlight w:val="none"/>
        </w:rPr>
      </w:pPr>
      <w:bookmarkStart w:id="169" w:name="_Toc27958"/>
      <w:bookmarkStart w:id="170" w:name="_Toc444891354"/>
      <w:bookmarkStart w:id="171" w:name="_Toc12140"/>
      <w:bookmarkStart w:id="172" w:name="_Toc517281837"/>
      <w:bookmarkStart w:id="173" w:name="_Toc19783360"/>
      <w:bookmarkStart w:id="174" w:name="_Toc7202"/>
      <w:bookmarkStart w:id="175" w:name="_Toc27799"/>
      <w:bookmarkStart w:id="176" w:name="_Toc287600129"/>
      <w:bookmarkStart w:id="177" w:name="_Toc25121"/>
      <w:r>
        <w:rPr>
          <w:rFonts w:hint="eastAsia" w:ascii="仿宋" w:hAnsi="仿宋" w:eastAsia="仿宋" w:cs="仿宋"/>
          <w:color w:val="auto"/>
          <w:sz w:val="24"/>
          <w:szCs w:val="24"/>
          <w:highlight w:val="none"/>
        </w:rPr>
        <w:t>（一）响应函</w:t>
      </w:r>
      <w:bookmarkEnd w:id="169"/>
    </w:p>
    <w:p>
      <w:pPr>
        <w:pStyle w:val="156"/>
        <w:spacing w:line="440" w:lineRule="exact"/>
        <w:rPr>
          <w:rFonts w:hint="eastAsia" w:ascii="仿宋" w:hAnsi="仿宋" w:eastAsia="仿宋" w:cs="Cambria Math"/>
          <w:color w:val="auto"/>
          <w:sz w:val="24"/>
          <w:szCs w:val="24"/>
          <w:highlight w:val="none"/>
          <w:u w:val="single"/>
        </w:rPr>
      </w:pPr>
      <w:r>
        <w:rPr>
          <w:rFonts w:hint="eastAsia" w:ascii="仿宋" w:hAnsi="仿宋" w:eastAsia="仿宋" w:cs="Cambria Math"/>
          <w:color w:val="auto"/>
          <w:sz w:val="24"/>
          <w:szCs w:val="24"/>
          <w:highlight w:val="none"/>
          <w:u w:val="single"/>
        </w:rPr>
        <w:t>致：</w:t>
      </w:r>
      <w:r>
        <w:rPr>
          <w:rFonts w:hint="eastAsia" w:ascii="仿宋" w:hAnsi="仿宋" w:eastAsia="仿宋" w:cs="Cambria Math"/>
          <w:color w:val="auto"/>
          <w:sz w:val="24"/>
          <w:szCs w:val="24"/>
          <w:highlight w:val="none"/>
          <w:u w:val="single"/>
          <w:lang w:eastAsia="zh-CN"/>
        </w:rPr>
        <w:t>中国人民财产保险股份有限公司</w:t>
      </w:r>
      <w:r>
        <w:rPr>
          <w:rFonts w:hint="eastAsia" w:ascii="仿宋" w:hAnsi="仿宋" w:eastAsia="仿宋" w:cs="Cambria Math"/>
          <w:color w:val="auto"/>
          <w:sz w:val="24"/>
          <w:szCs w:val="24"/>
          <w:highlight w:val="none"/>
          <w:u w:val="single"/>
          <w:lang w:val="en-US" w:eastAsia="zh-CN"/>
        </w:rPr>
        <w:t>昭苏支</w:t>
      </w:r>
      <w:r>
        <w:rPr>
          <w:rFonts w:hint="eastAsia" w:ascii="仿宋" w:hAnsi="仿宋" w:eastAsia="仿宋" w:cs="Cambria Math"/>
          <w:color w:val="auto"/>
          <w:sz w:val="24"/>
          <w:szCs w:val="24"/>
          <w:highlight w:val="none"/>
          <w:u w:val="single"/>
          <w:lang w:eastAsia="zh-CN"/>
        </w:rPr>
        <w:t>公司</w:t>
      </w:r>
      <w:r>
        <w:rPr>
          <w:rFonts w:hint="eastAsia" w:ascii="仿宋" w:hAnsi="仿宋" w:eastAsia="仿宋" w:cs="Cambria Math"/>
          <w:color w:val="auto"/>
          <w:sz w:val="24"/>
          <w:szCs w:val="24"/>
          <w:highlight w:val="none"/>
          <w:u w:val="single"/>
        </w:rPr>
        <w:t xml:space="preserve">     </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u w:val="single"/>
        </w:rPr>
        <w:t xml:space="preserve">   （供应商名称）   </w:t>
      </w:r>
      <w:r>
        <w:rPr>
          <w:rFonts w:hint="eastAsia" w:ascii="仿宋" w:hAnsi="仿宋" w:eastAsia="仿宋" w:cs="Cambria Math"/>
          <w:color w:val="auto"/>
          <w:kern w:val="0"/>
          <w:sz w:val="24"/>
          <w:highlight w:val="none"/>
        </w:rPr>
        <w:t>（以下称“我方”）已仔细研究了</w:t>
      </w:r>
      <w:r>
        <w:rPr>
          <w:rFonts w:hint="eastAsia" w:ascii="仿宋" w:hAnsi="仿宋" w:eastAsia="仿宋" w:cs="Cambria Math"/>
          <w:color w:val="auto"/>
          <w:kern w:val="0"/>
          <w:sz w:val="24"/>
          <w:highlight w:val="none"/>
          <w:u w:val="single"/>
        </w:rPr>
        <w:t xml:space="preserve"> </w:t>
      </w:r>
      <w:r>
        <w:rPr>
          <w:rFonts w:ascii="仿宋" w:hAnsi="仿宋" w:eastAsia="仿宋" w:cs="Cambria Math"/>
          <w:color w:val="auto"/>
          <w:kern w:val="0"/>
          <w:sz w:val="24"/>
          <w:highlight w:val="none"/>
          <w:u w:val="single"/>
        </w:rPr>
        <w:t xml:space="preserve"> </w:t>
      </w:r>
      <w:r>
        <w:rPr>
          <w:rFonts w:hint="eastAsia" w:ascii="仿宋" w:hAnsi="仿宋" w:eastAsia="仿宋" w:cs="Cambria Math"/>
          <w:color w:val="auto"/>
          <w:kern w:val="0"/>
          <w:sz w:val="24"/>
          <w:highlight w:val="none"/>
          <w:u w:val="single"/>
        </w:rPr>
        <w:t>人保财险新疆</w:t>
      </w:r>
      <w:r>
        <w:rPr>
          <w:rFonts w:hint="eastAsia" w:ascii="仿宋" w:hAnsi="仿宋" w:eastAsia="仿宋" w:cs="Cambria Math"/>
          <w:color w:val="auto"/>
          <w:kern w:val="0"/>
          <w:sz w:val="24"/>
          <w:highlight w:val="none"/>
          <w:u w:val="single"/>
          <w:lang w:val="en-US" w:eastAsia="zh-CN"/>
        </w:rPr>
        <w:t>昭苏</w:t>
      </w:r>
      <w:r>
        <w:rPr>
          <w:rFonts w:hint="eastAsia" w:ascii="仿宋" w:hAnsi="仿宋" w:eastAsia="仿宋" w:cs="Cambria Math"/>
          <w:color w:val="auto"/>
          <w:kern w:val="0"/>
          <w:sz w:val="24"/>
          <w:highlight w:val="none"/>
          <w:u w:val="single"/>
        </w:rPr>
        <w:t xml:space="preserve">支公司职工食堂食材供应商采购项目    </w:t>
      </w:r>
      <w:r>
        <w:rPr>
          <w:rFonts w:hint="eastAsia" w:ascii="仿宋" w:hAnsi="仿宋" w:eastAsia="仿宋" w:cs="Cambria Math"/>
          <w:color w:val="auto"/>
          <w:kern w:val="0"/>
          <w:sz w:val="24"/>
          <w:highlight w:val="none"/>
          <w:lang w:eastAsia="zh-CN"/>
        </w:rPr>
        <w:t>比选</w:t>
      </w:r>
      <w:r>
        <w:rPr>
          <w:rFonts w:hint="eastAsia" w:ascii="仿宋" w:hAnsi="仿宋" w:eastAsia="仿宋" w:cs="Cambria Math"/>
          <w:color w:val="auto"/>
          <w:kern w:val="0"/>
          <w:sz w:val="24"/>
          <w:highlight w:val="none"/>
        </w:rPr>
        <w:t>文件的全部内容，包括澄清或者修改文件以及有关附件，我方将严格按照</w:t>
      </w:r>
      <w:r>
        <w:rPr>
          <w:rFonts w:hint="eastAsia" w:ascii="仿宋" w:hAnsi="仿宋" w:eastAsia="仿宋" w:cs="Cambria Math"/>
          <w:color w:val="auto"/>
          <w:kern w:val="0"/>
          <w:sz w:val="24"/>
          <w:highlight w:val="none"/>
          <w:lang w:eastAsia="zh-CN"/>
        </w:rPr>
        <w:t>比选</w:t>
      </w:r>
      <w:r>
        <w:rPr>
          <w:rFonts w:hint="eastAsia" w:ascii="仿宋" w:hAnsi="仿宋" w:eastAsia="仿宋" w:cs="Cambria Math"/>
          <w:color w:val="auto"/>
          <w:kern w:val="0"/>
          <w:sz w:val="24"/>
          <w:highlight w:val="none"/>
        </w:rPr>
        <w:t>文件要求递交符合要求的全部磋商响应文件。</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现我方承诺如下内容：</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1. 本响应函及磋商响应文件自磋商响应文件提交截止日起有效期为</w:t>
      </w:r>
      <w:r>
        <w:rPr>
          <w:rFonts w:hint="eastAsia" w:ascii="仿宋" w:hAnsi="仿宋" w:eastAsia="仿宋" w:cs="Cambria Math"/>
          <w:color w:val="auto"/>
          <w:kern w:val="0"/>
          <w:sz w:val="24"/>
          <w:highlight w:val="none"/>
          <w:u w:val="single"/>
          <w:lang w:val="en-US" w:eastAsia="zh-CN"/>
        </w:rPr>
        <w:t>30</w:t>
      </w:r>
      <w:r>
        <w:rPr>
          <w:rFonts w:hint="eastAsia" w:ascii="仿宋" w:hAnsi="仿宋" w:eastAsia="仿宋" w:cs="Cambria Math"/>
          <w:color w:val="auto"/>
          <w:kern w:val="0"/>
          <w:sz w:val="24"/>
          <w:highlight w:val="none"/>
          <w:u w:val="single"/>
        </w:rPr>
        <w:t>天</w:t>
      </w:r>
      <w:r>
        <w:rPr>
          <w:rFonts w:hint="eastAsia" w:ascii="仿宋" w:hAnsi="仿宋" w:eastAsia="仿宋" w:cs="Cambria Math"/>
          <w:color w:val="auto"/>
          <w:kern w:val="0"/>
          <w:sz w:val="24"/>
          <w:highlight w:val="none"/>
        </w:rPr>
        <w:t>，我方承诺在响应有效期内不修改、撤销磋商响应文件。</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lang w:val="en-US" w:eastAsia="zh-CN"/>
        </w:rPr>
        <w:t>2</w:t>
      </w:r>
      <w:r>
        <w:rPr>
          <w:rFonts w:hint="eastAsia" w:ascii="仿宋" w:hAnsi="仿宋" w:eastAsia="仿宋" w:cs="Cambria Math"/>
          <w:color w:val="auto"/>
          <w:kern w:val="0"/>
          <w:sz w:val="24"/>
          <w:highlight w:val="none"/>
        </w:rPr>
        <w:t>. 我方承诺提供磋商过程中可能要求的澄清、说明、补正或者算术性错误修正确认，并同意我方提供的以上材料构成我方响应文件的组成部分。</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lang w:val="en-US" w:eastAsia="zh-CN"/>
        </w:rPr>
        <w:t>3</w:t>
      </w:r>
      <w:r>
        <w:rPr>
          <w:rFonts w:hint="eastAsia" w:ascii="仿宋" w:hAnsi="仿宋" w:eastAsia="仿宋" w:cs="Cambria Math"/>
          <w:color w:val="auto"/>
          <w:kern w:val="0"/>
          <w:sz w:val="24"/>
          <w:highlight w:val="none"/>
        </w:rPr>
        <w:t>. 我方同意提供贵方可能要求的与我方响应文件有关的一切数据、资料、证明原件、证件原件，并完全理解贵方不一定接受最低价的响应。</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lang w:val="en-US" w:eastAsia="zh-CN"/>
        </w:rPr>
        <w:t>4</w:t>
      </w:r>
      <w:r>
        <w:rPr>
          <w:rFonts w:hint="eastAsia" w:ascii="仿宋" w:hAnsi="仿宋" w:eastAsia="仿宋" w:cs="Cambria Math"/>
          <w:color w:val="auto"/>
          <w:kern w:val="0"/>
          <w:sz w:val="24"/>
          <w:highlight w:val="none"/>
        </w:rPr>
        <w:t>．我方承诺对在本次采购活动过程中所获知贵方一切商业秘密保密，不会向任何第三方泄露，不会用于本次采购活动之外的任何其他目的。</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宋体"/>
          <w:color w:val="auto"/>
          <w:kern w:val="0"/>
          <w:sz w:val="24"/>
          <w:highlight w:val="none"/>
          <w:lang w:val="en-US" w:eastAsia="zh-CN"/>
        </w:rPr>
        <w:t>5</w:t>
      </w:r>
      <w:r>
        <w:rPr>
          <w:rFonts w:hint="eastAsia" w:ascii="仿宋" w:hAnsi="仿宋" w:eastAsia="仿宋" w:cs="宋体"/>
          <w:color w:val="auto"/>
          <w:kern w:val="0"/>
          <w:sz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lang w:val="en-US" w:eastAsia="zh-CN"/>
        </w:rPr>
        <w:t>6</w:t>
      </w:r>
      <w:r>
        <w:rPr>
          <w:rFonts w:hint="eastAsia" w:ascii="仿宋" w:hAnsi="仿宋" w:eastAsia="仿宋" w:cs="Cambria Math"/>
          <w:color w:val="auto"/>
          <w:kern w:val="0"/>
          <w:sz w:val="24"/>
          <w:highlight w:val="none"/>
        </w:rPr>
        <w:t>. 如我方成交：</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（1）我方承诺在收到成交通知书后，在成交通知书规定的期限内与贵方签订合同。</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（2）我方承诺按照</w:t>
      </w:r>
      <w:r>
        <w:rPr>
          <w:rFonts w:hint="eastAsia" w:ascii="仿宋" w:hAnsi="仿宋" w:eastAsia="仿宋" w:cs="Cambria Math"/>
          <w:color w:val="auto"/>
          <w:kern w:val="0"/>
          <w:sz w:val="24"/>
          <w:highlight w:val="none"/>
          <w:lang w:eastAsia="zh-CN"/>
        </w:rPr>
        <w:t>比选</w:t>
      </w:r>
      <w:r>
        <w:rPr>
          <w:rFonts w:hint="eastAsia" w:ascii="仿宋" w:hAnsi="仿宋" w:eastAsia="仿宋" w:cs="Cambria Math"/>
          <w:color w:val="auto"/>
          <w:kern w:val="0"/>
          <w:sz w:val="24"/>
          <w:highlight w:val="none"/>
        </w:rPr>
        <w:t>文件规定递交履约保证金、支付采购代理服务费。</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（3）我方承诺按照</w:t>
      </w:r>
      <w:r>
        <w:rPr>
          <w:rFonts w:hint="eastAsia" w:ascii="仿宋" w:hAnsi="仿宋" w:eastAsia="仿宋" w:cs="Cambria Math"/>
          <w:color w:val="auto"/>
          <w:kern w:val="0"/>
          <w:sz w:val="24"/>
          <w:highlight w:val="none"/>
          <w:lang w:eastAsia="zh-CN"/>
        </w:rPr>
        <w:t>比选</w:t>
      </w:r>
      <w:r>
        <w:rPr>
          <w:rFonts w:hint="eastAsia" w:ascii="仿宋" w:hAnsi="仿宋" w:eastAsia="仿宋" w:cs="Cambria Math"/>
          <w:color w:val="auto"/>
          <w:kern w:val="0"/>
          <w:sz w:val="24"/>
          <w:highlight w:val="none"/>
        </w:rPr>
        <w:t>文件的规定及合同约定履行相关责任和义务。</w:t>
      </w:r>
    </w:p>
    <w:p>
      <w:pPr>
        <w:widowControl/>
        <w:spacing w:line="440" w:lineRule="exact"/>
        <w:ind w:firstLine="420"/>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（4）我方在此承诺，双方合作后可开具增值税</w:t>
      </w:r>
      <w:r>
        <w:rPr>
          <w:rFonts w:hint="eastAsia" w:ascii="仿宋" w:hAnsi="仿宋" w:eastAsia="仿宋" w:cs="Cambria Math"/>
          <w:color w:val="auto"/>
          <w:kern w:val="0"/>
          <w:sz w:val="24"/>
          <w:highlight w:val="none"/>
          <w:lang w:eastAsia="zh-CN"/>
        </w:rPr>
        <w:t>普通发票</w:t>
      </w:r>
      <w:r>
        <w:rPr>
          <w:rFonts w:hint="eastAsia" w:ascii="仿宋" w:hAnsi="仿宋" w:eastAsia="仿宋" w:cs="Cambria Math"/>
          <w:color w:val="auto"/>
          <w:kern w:val="0"/>
          <w:sz w:val="24"/>
          <w:highlight w:val="none"/>
        </w:rPr>
        <w:t>。</w:t>
      </w:r>
    </w:p>
    <w:p>
      <w:pPr>
        <w:spacing w:line="440" w:lineRule="exact"/>
        <w:ind w:firstLine="4080" w:firstLineChars="1700"/>
        <w:jc w:val="right"/>
        <w:rPr>
          <w:rFonts w:ascii="仿宋" w:hAnsi="仿宋" w:eastAsia="仿宋" w:cs="仿宋"/>
          <w:color w:val="auto"/>
          <w:sz w:val="24"/>
          <w:highlight w:val="none"/>
        </w:rPr>
      </w:pPr>
    </w:p>
    <w:p>
      <w:pPr>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pPr>
        <w:spacing w:line="44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pStyle w:val="5"/>
        <w:numPr>
          <w:ilvl w:val="0"/>
          <w:numId w:val="0"/>
        </w:numPr>
        <w:spacing w:before="0" w:after="0" w:line="360" w:lineRule="auto"/>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br w:type="page"/>
      </w:r>
      <w:bookmarkEnd w:id="170"/>
      <w:bookmarkEnd w:id="171"/>
      <w:bookmarkEnd w:id="172"/>
      <w:bookmarkEnd w:id="173"/>
      <w:bookmarkEnd w:id="174"/>
      <w:bookmarkEnd w:id="175"/>
      <w:bookmarkEnd w:id="176"/>
      <w:bookmarkEnd w:id="177"/>
      <w:bookmarkStart w:id="178" w:name="_Toc13983"/>
      <w:r>
        <w:rPr>
          <w:rFonts w:hint="eastAsia" w:ascii="仿宋" w:hAnsi="仿宋" w:eastAsia="仿宋" w:cs="仿宋"/>
          <w:color w:val="auto"/>
          <w:sz w:val="24"/>
          <w:szCs w:val="24"/>
          <w:highlight w:val="none"/>
        </w:rPr>
        <w:t>（二）法定代表人（负责人）身份证明书</w:t>
      </w:r>
      <w:bookmarkEnd w:id="178"/>
      <w:r>
        <w:rPr>
          <w:rFonts w:hint="eastAsia" w:ascii="仿宋" w:hAnsi="仿宋" w:eastAsia="仿宋" w:cs="仿宋"/>
          <w:color w:val="auto"/>
          <w:sz w:val="24"/>
          <w:szCs w:val="24"/>
          <w:highlight w:val="none"/>
        </w:rPr>
        <w:tab/>
      </w:r>
    </w:p>
    <w:p>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法定代表人（负责人）身份证明书</w:t>
      </w:r>
      <w:r>
        <w:rPr>
          <w:rFonts w:hint="eastAsia" w:ascii="仿宋" w:hAnsi="仿宋" w:eastAsia="仿宋" w:cs="仿宋"/>
          <w:b/>
          <w:color w:val="auto"/>
          <w:sz w:val="24"/>
          <w:highlight w:val="none"/>
        </w:rPr>
        <w:tab/>
      </w:r>
    </w:p>
    <w:p>
      <w:pPr>
        <w:spacing w:line="360" w:lineRule="auto"/>
        <w:rPr>
          <w:rFonts w:hint="eastAsia" w:ascii="仿宋" w:hAnsi="仿宋" w:eastAsia="仿宋" w:cs="仿宋"/>
          <w:b/>
          <w:color w:val="auto"/>
          <w:sz w:val="24"/>
          <w:highlight w:val="none"/>
        </w:rPr>
      </w:pPr>
    </w:p>
    <w:p>
      <w:pPr>
        <w:widowControl/>
        <w:topLinePunct/>
        <w:spacing w:line="360" w:lineRule="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供应商名称：</w:t>
      </w:r>
      <w:r>
        <w:rPr>
          <w:rFonts w:hint="eastAsia" w:ascii="仿宋" w:hAnsi="仿宋" w:eastAsia="仿宋" w:cs="仿宋"/>
          <w:color w:val="auto"/>
          <w:kern w:val="0"/>
          <w:sz w:val="24"/>
          <w:highlight w:val="none"/>
          <w:u w:val="single"/>
        </w:rPr>
        <w:t xml:space="preserve">                         </w:t>
      </w:r>
    </w:p>
    <w:p>
      <w:pPr>
        <w:widowControl/>
        <w:topLinePunct/>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成立时间：</w:t>
      </w:r>
      <w:r>
        <w:rPr>
          <w:rFonts w:hint="eastAsia" w:ascii="仿宋" w:hAnsi="仿宋" w:eastAsia="仿宋" w:cs="仿宋"/>
          <w:color w:val="auto"/>
          <w:kern w:val="0"/>
          <w:sz w:val="24"/>
          <w:highlight w:val="none"/>
          <w:u w:val="single"/>
        </w:rPr>
        <w:t xml:space="preserve"> </w:t>
      </w:r>
      <w:r>
        <w:rPr>
          <w:rFonts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pPr>
        <w:widowControl/>
        <w:topLinePunct/>
        <w:spacing w:line="360" w:lineRule="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姓名：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性别：</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年龄：</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职务：</w:t>
      </w:r>
      <w:r>
        <w:rPr>
          <w:rFonts w:hint="eastAsia" w:ascii="仿宋" w:hAnsi="仿宋" w:eastAsia="仿宋" w:cs="仿宋"/>
          <w:color w:val="auto"/>
          <w:kern w:val="0"/>
          <w:sz w:val="24"/>
          <w:highlight w:val="none"/>
          <w:u w:val="single"/>
        </w:rPr>
        <w:t xml:space="preserve">         </w:t>
      </w:r>
    </w:p>
    <w:p>
      <w:pPr>
        <w:widowControl/>
        <w:topLinePunct/>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系</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（供应商名称）的法定代表人</w:t>
      </w:r>
      <w:r>
        <w:rPr>
          <w:rFonts w:hint="eastAsia" w:ascii="仿宋" w:hAnsi="仿宋" w:eastAsia="仿宋" w:cs="仿宋"/>
          <w:color w:val="auto"/>
          <w:sz w:val="24"/>
          <w:highlight w:val="none"/>
        </w:rPr>
        <w:t>（负责人）</w:t>
      </w:r>
      <w:r>
        <w:rPr>
          <w:rFonts w:hint="eastAsia" w:ascii="仿宋" w:hAnsi="仿宋" w:eastAsia="仿宋" w:cs="仿宋"/>
          <w:color w:val="auto"/>
          <w:kern w:val="0"/>
          <w:sz w:val="24"/>
          <w:highlight w:val="none"/>
        </w:rPr>
        <w:t>。</w:t>
      </w:r>
    </w:p>
    <w:p>
      <w:pPr>
        <w:widowControl/>
        <w:topLinePunct/>
        <w:spacing w:line="360" w:lineRule="auto"/>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特此证明。</w:t>
      </w:r>
    </w:p>
    <w:p>
      <w:pPr>
        <w:widowControl/>
        <w:topLinePunct/>
        <w:spacing w:line="360" w:lineRule="auto"/>
        <w:rPr>
          <w:rFonts w:ascii="仿宋" w:hAnsi="仿宋" w:eastAsia="仿宋" w:cs="仿宋"/>
          <w:color w:val="auto"/>
          <w:kern w:val="0"/>
          <w:sz w:val="24"/>
          <w:highlight w:val="none"/>
        </w:rPr>
      </w:pPr>
    </w:p>
    <w:p>
      <w:pPr>
        <w:widowControl/>
        <w:spacing w:line="360" w:lineRule="auto"/>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附：法定代表人（负责人）身份证复印件（需同时提供正面及背面）。</w:t>
      </w:r>
    </w:p>
    <w:p>
      <w:pPr>
        <w:widowControl/>
        <w:spacing w:line="360" w:lineRule="auto"/>
        <w:rPr>
          <w:rFonts w:hint="eastAsia" w:ascii="仿宋" w:hAnsi="仿宋" w:eastAsia="仿宋" w:cs="仿宋"/>
          <w:color w:val="auto"/>
          <w:kern w:val="0"/>
          <w:highlight w:val="none"/>
        </w:rPr>
      </w:pPr>
      <w:r>
        <w:rPr>
          <w:rFonts w:hint="eastAsia" w:ascii="仿宋" w:hAnsi="仿宋" w:eastAsia="仿宋" w:cs="仿宋"/>
          <w:color w:val="auto"/>
          <w:kern w:val="0"/>
          <w:highlight w:val="none"/>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1312;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156"/>
        <w:spacing w:line="440" w:lineRule="atLeast"/>
        <w:ind w:firstLine="480"/>
        <w:jc w:val="left"/>
        <w:rPr>
          <w:rFonts w:hint="eastAsia" w:ascii="仿宋" w:hAnsi="仿宋" w:eastAsia="仿宋" w:cs="仿宋"/>
          <w:color w:val="auto"/>
          <w:highlight w:val="none"/>
        </w:rPr>
      </w:pPr>
    </w:p>
    <w:p>
      <w:pPr>
        <w:pStyle w:val="156"/>
        <w:spacing w:line="440" w:lineRule="atLeast"/>
        <w:ind w:firstLine="480"/>
        <w:jc w:val="left"/>
        <w:rPr>
          <w:rFonts w:hint="eastAsia" w:ascii="仿宋" w:hAnsi="仿宋" w:eastAsia="仿宋" w:cs="仿宋"/>
          <w:color w:val="auto"/>
          <w:highlight w:val="none"/>
        </w:rPr>
      </w:pPr>
    </w:p>
    <w:p>
      <w:pPr>
        <w:pStyle w:val="156"/>
        <w:spacing w:line="440" w:lineRule="atLeast"/>
        <w:ind w:firstLine="480"/>
        <w:jc w:val="left"/>
        <w:rPr>
          <w:rFonts w:hint="eastAsia" w:ascii="仿宋" w:hAnsi="仿宋" w:eastAsia="仿宋" w:cs="仿宋"/>
          <w:color w:val="auto"/>
          <w:highlight w:val="none"/>
        </w:rPr>
      </w:pPr>
    </w:p>
    <w:p>
      <w:pPr>
        <w:spacing w:line="360" w:lineRule="auto"/>
        <w:ind w:firstLine="610"/>
        <w:rPr>
          <w:rFonts w:hint="eastAsia" w:ascii="仿宋" w:hAnsi="仿宋" w:eastAsia="仿宋" w:cs="仿宋"/>
          <w:color w:val="auto"/>
          <w:sz w:val="24"/>
          <w:highlight w:val="none"/>
        </w:rPr>
      </w:pPr>
    </w:p>
    <w:p>
      <w:pPr>
        <w:tabs>
          <w:tab w:val="left" w:pos="720"/>
          <w:tab w:val="left" w:pos="900"/>
        </w:tabs>
        <w:spacing w:line="360" w:lineRule="auto"/>
        <w:rPr>
          <w:rFonts w:hint="eastAsia" w:ascii="仿宋" w:hAnsi="仿宋" w:eastAsia="仿宋" w:cs="仿宋"/>
          <w:color w:val="auto"/>
          <w:sz w:val="24"/>
          <w:highlight w:val="none"/>
        </w:rPr>
      </w:pPr>
    </w:p>
    <w:p>
      <w:pPr>
        <w:spacing w:line="440" w:lineRule="exact"/>
        <w:ind w:firstLine="4080" w:firstLineChars="1700"/>
        <w:jc w:val="right"/>
        <w:rPr>
          <w:rFonts w:hint="eastAsia" w:ascii="仿宋" w:hAnsi="仿宋" w:eastAsia="仿宋" w:cs="仿宋"/>
          <w:color w:val="auto"/>
          <w:sz w:val="24"/>
          <w:highlight w:val="none"/>
        </w:rPr>
      </w:pPr>
    </w:p>
    <w:p>
      <w:pPr>
        <w:wordWrap w:val="0"/>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ascii="仿宋" w:hAnsi="仿宋" w:eastAsia="仿宋" w:cs="仿宋"/>
          <w:color w:val="auto"/>
          <w:sz w:val="24"/>
          <w:highlight w:val="none"/>
        </w:rPr>
        <w:t xml:space="preserve">  </w:t>
      </w:r>
    </w:p>
    <w:p>
      <w:pPr>
        <w:spacing w:line="440" w:lineRule="exact"/>
        <w:ind w:firstLine="4080" w:firstLineChars="1700"/>
        <w:jc w:val="right"/>
        <w:rPr>
          <w:rFonts w:ascii="仿宋" w:hAnsi="仿宋" w:eastAsia="仿宋" w:cs="仿宋"/>
          <w:color w:val="auto"/>
          <w:sz w:val="24"/>
          <w:highlight w:val="none"/>
        </w:rPr>
      </w:pPr>
      <w:r>
        <w:rPr>
          <w:rFonts w:ascii="仿宋" w:hAnsi="仿宋" w:eastAsia="仿宋" w:cs="仿宋"/>
          <w:color w:val="auto"/>
          <w:sz w:val="24"/>
          <w:highlight w:val="none"/>
        </w:rPr>
        <w:t xml:space="preserve">    </w:t>
      </w:r>
    </w:p>
    <w:p>
      <w:pPr>
        <w:spacing w:line="440" w:lineRule="exact"/>
        <w:ind w:firstLine="4080" w:firstLineChars="1700"/>
        <w:jc w:val="right"/>
        <w:rPr>
          <w:rFonts w:ascii="仿宋" w:hAnsi="仿宋" w:eastAsia="仿宋" w:cs="仿宋"/>
          <w:color w:val="auto"/>
          <w:sz w:val="24"/>
          <w:highlight w:val="none"/>
        </w:rPr>
      </w:pPr>
      <w:r>
        <w:rPr>
          <w:rFonts w:ascii="仿宋" w:hAnsi="仿宋" w:eastAsia="仿宋" w:cs="仿宋"/>
          <w:color w:val="auto"/>
          <w:sz w:val="24"/>
          <w:highlight w:val="none"/>
        </w:rPr>
        <w:t xml:space="preserve"> </w:t>
      </w:r>
      <w:r>
        <w:rPr>
          <w:rFonts w:hint="eastAsia" w:ascii="仿宋" w:hAnsi="仿宋" w:eastAsia="仿宋" w:cs="仿宋"/>
          <w:color w:val="auto"/>
          <w:sz w:val="24"/>
          <w:highlight w:val="none"/>
        </w:rPr>
        <w:t xml:space="preserve"> </w:t>
      </w:r>
      <w:r>
        <w:rPr>
          <w:rFonts w:ascii="仿宋" w:hAnsi="仿宋" w:eastAsia="仿宋" w:cs="仿宋"/>
          <w:color w:val="auto"/>
          <w:sz w:val="24"/>
          <w:highlight w:val="none"/>
        </w:rPr>
        <w:t xml:space="preserve">   </w:t>
      </w:r>
    </w:p>
    <w:p>
      <w:pPr>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pPr>
        <w:spacing w:line="440" w:lineRule="exact"/>
        <w:jc w:val="righ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tabs>
          <w:tab w:val="left" w:pos="720"/>
          <w:tab w:val="left" w:pos="900"/>
        </w:tabs>
        <w:spacing w:line="360" w:lineRule="auto"/>
        <w:ind w:left="1078"/>
        <w:rPr>
          <w:rFonts w:hint="eastAsia" w:ascii="仿宋" w:hAnsi="仿宋" w:eastAsia="仿宋" w:cs="仿宋"/>
          <w:color w:val="auto"/>
          <w:sz w:val="24"/>
          <w:highlight w:val="none"/>
        </w:rPr>
      </w:pPr>
    </w:p>
    <w:p>
      <w:pPr>
        <w:tabs>
          <w:tab w:val="left" w:pos="720"/>
          <w:tab w:val="left" w:pos="900"/>
        </w:tabs>
        <w:spacing w:line="360" w:lineRule="auto"/>
        <w:ind w:left="1078"/>
        <w:rPr>
          <w:rFonts w:hint="eastAsia" w:ascii="仿宋" w:hAnsi="仿宋" w:eastAsia="仿宋" w:cs="仿宋"/>
          <w:color w:val="auto"/>
          <w:sz w:val="24"/>
          <w:highlight w:val="none"/>
        </w:rPr>
      </w:pPr>
    </w:p>
    <w:p>
      <w:pPr>
        <w:pStyle w:val="5"/>
        <w:numPr>
          <w:ilvl w:val="0"/>
          <w:numId w:val="0"/>
        </w:numPr>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179" w:name="_Toc19783361"/>
      <w:bookmarkStart w:id="180" w:name="_Toc287600130"/>
      <w:bookmarkStart w:id="181" w:name="_Toc24788"/>
      <w:bookmarkStart w:id="182" w:name="_Toc20707"/>
      <w:bookmarkStart w:id="183" w:name="_Toc26267"/>
      <w:bookmarkStart w:id="184" w:name="_Toc5582"/>
      <w:bookmarkStart w:id="185" w:name="_Toc4426"/>
      <w:bookmarkStart w:id="186" w:name="_Toc444891355"/>
      <w:bookmarkStart w:id="187" w:name="_Toc517281838"/>
      <w:r>
        <w:rPr>
          <w:rFonts w:hint="eastAsia" w:ascii="仿宋" w:hAnsi="仿宋" w:eastAsia="仿宋" w:cs="仿宋"/>
          <w:color w:val="auto"/>
          <w:sz w:val="24"/>
          <w:szCs w:val="24"/>
          <w:highlight w:val="none"/>
        </w:rPr>
        <w:t>（三）法定代表人（负责人）授权委托书</w:t>
      </w:r>
      <w:bookmarkEnd w:id="179"/>
      <w:bookmarkEnd w:id="180"/>
      <w:bookmarkEnd w:id="181"/>
      <w:bookmarkEnd w:id="182"/>
      <w:bookmarkEnd w:id="183"/>
      <w:bookmarkEnd w:id="184"/>
      <w:bookmarkEnd w:id="185"/>
      <w:bookmarkEnd w:id="186"/>
      <w:bookmarkEnd w:id="187"/>
    </w:p>
    <w:p>
      <w:pPr>
        <w:pStyle w:val="156"/>
        <w:spacing w:before="240" w:after="240" w:line="360" w:lineRule="auto"/>
        <w:jc w:val="center"/>
        <w:rPr>
          <w:rFonts w:hint="eastAsia" w:ascii="仿宋" w:hAnsi="仿宋" w:eastAsia="仿宋" w:cs="Cambria Math"/>
          <w:b/>
          <w:color w:val="auto"/>
          <w:sz w:val="24"/>
          <w:szCs w:val="24"/>
          <w:highlight w:val="none"/>
        </w:rPr>
      </w:pPr>
      <w:r>
        <w:rPr>
          <w:rFonts w:hint="eastAsia" w:ascii="仿宋" w:hAnsi="仿宋" w:eastAsia="仿宋" w:cs="Cambria Math"/>
          <w:b/>
          <w:color w:val="auto"/>
          <w:sz w:val="24"/>
          <w:szCs w:val="24"/>
          <w:highlight w:val="none"/>
        </w:rPr>
        <w:t>法定代表人（负责人）授权委托书</w:t>
      </w:r>
    </w:p>
    <w:p>
      <w:pPr>
        <w:pStyle w:val="156"/>
        <w:topLinePunct/>
        <w:spacing w:line="360" w:lineRule="auto"/>
        <w:ind w:firstLine="480" w:firstLineChars="200"/>
        <w:rPr>
          <w:rFonts w:hint="eastAsia" w:ascii="仿宋" w:hAnsi="仿宋" w:eastAsia="仿宋" w:cs="Cambria Math"/>
          <w:color w:val="auto"/>
          <w:sz w:val="24"/>
          <w:szCs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（供应商名称）</w:t>
      </w:r>
      <w:r>
        <w:rPr>
          <w:rFonts w:hint="eastAsia" w:ascii="仿宋" w:hAnsi="仿宋" w:eastAsia="仿宋" w:cs="仿宋"/>
          <w:color w:val="auto"/>
          <w:sz w:val="24"/>
          <w:highlight w:val="none"/>
        </w:rPr>
        <w:t>的法定代表人</w:t>
      </w:r>
      <w:r>
        <w:rPr>
          <w:rFonts w:hint="eastAsia" w:ascii="仿宋" w:hAnsi="仿宋" w:eastAsia="仿宋" w:cs="仿宋"/>
          <w:color w:val="auto"/>
          <w:sz w:val="24"/>
          <w:szCs w:val="24"/>
          <w:highlight w:val="none"/>
        </w:rPr>
        <w:t>（负责人）</w:t>
      </w:r>
      <w:r>
        <w:rPr>
          <w:rFonts w:hint="eastAsia" w:ascii="仿宋" w:hAnsi="仿宋" w:eastAsia="仿宋" w:cs="仿宋"/>
          <w:color w:val="auto"/>
          <w:sz w:val="24"/>
          <w:highlight w:val="none"/>
        </w:rPr>
        <w:t>，现授权委托</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为我方代理人。</w:t>
      </w:r>
      <w:r>
        <w:rPr>
          <w:rFonts w:hint="eastAsia" w:ascii="仿宋" w:hAnsi="仿宋" w:eastAsia="仿宋" w:cs="Cambria Math"/>
          <w:color w:val="auto"/>
          <w:sz w:val="24"/>
          <w:szCs w:val="24"/>
          <w:highlight w:val="none"/>
        </w:rPr>
        <w:t>代理人根据授权，以我方名义签署、澄清、说明、补正、递交、撤回、修改</w:t>
      </w:r>
      <w:r>
        <w:rPr>
          <w:rFonts w:hint="eastAsia" w:ascii="仿宋" w:hAnsi="仿宋" w:eastAsia="仿宋" w:cs="Cambria Math"/>
          <w:color w:val="auto"/>
          <w:sz w:val="24"/>
          <w:szCs w:val="24"/>
          <w:highlight w:val="none"/>
          <w:u w:val="single"/>
        </w:rPr>
        <w:t>（项目名称）</w:t>
      </w:r>
      <w:r>
        <w:rPr>
          <w:rFonts w:hint="eastAsia" w:ascii="仿宋" w:hAnsi="仿宋" w:eastAsia="仿宋" w:cs="Cambria Math"/>
          <w:color w:val="auto"/>
          <w:sz w:val="24"/>
          <w:szCs w:val="24"/>
          <w:highlight w:val="none"/>
        </w:rPr>
        <w:t>磋商响应文件、签订合同和处理有关事宜，其法律后果由我方承担。</w:t>
      </w:r>
    </w:p>
    <w:p>
      <w:pPr>
        <w:widowControl/>
        <w:spacing w:line="360" w:lineRule="auto"/>
        <w:ind w:firstLine="480" w:firstLineChars="200"/>
        <w:jc w:val="left"/>
        <w:rPr>
          <w:rFonts w:hint="eastAsia" w:ascii="仿宋" w:hAnsi="仿宋" w:eastAsia="仿宋" w:cs="Cambria Math"/>
          <w:color w:val="auto"/>
          <w:kern w:val="0"/>
          <w:sz w:val="24"/>
          <w:highlight w:val="none"/>
        </w:rPr>
      </w:pPr>
      <w:r>
        <w:rPr>
          <w:rFonts w:hint="eastAsia" w:ascii="仿宋" w:hAnsi="仿宋" w:eastAsia="仿宋" w:cs="Cambria Math"/>
          <w:color w:val="auto"/>
          <w:kern w:val="0"/>
          <w:sz w:val="24"/>
          <w:highlight w:val="none"/>
        </w:rPr>
        <w:t>委托期限：</w:t>
      </w:r>
      <w:r>
        <w:rPr>
          <w:rFonts w:hint="eastAsia" w:ascii="仿宋" w:hAnsi="仿宋" w:eastAsia="仿宋" w:cs="Cambria Math"/>
          <w:color w:val="auto"/>
          <w:kern w:val="0"/>
          <w:sz w:val="24"/>
          <w:highlight w:val="none"/>
          <w:u w:val="single"/>
        </w:rPr>
        <w:t xml:space="preserve"> 自</w:t>
      </w:r>
      <w:r>
        <w:rPr>
          <w:rFonts w:hint="eastAsia" w:ascii="仿宋" w:hAnsi="仿宋" w:eastAsia="仿宋" w:cs="微软雅黑"/>
          <w:color w:val="auto"/>
          <w:kern w:val="0"/>
          <w:sz w:val="24"/>
          <w:highlight w:val="none"/>
          <w:u w:val="single"/>
        </w:rPr>
        <w:t>本委托书签字盖章生效</w:t>
      </w:r>
      <w:r>
        <w:rPr>
          <w:rFonts w:hint="eastAsia" w:ascii="仿宋" w:hAnsi="仿宋" w:eastAsia="仿宋" w:cs="Cambria Math"/>
          <w:color w:val="auto"/>
          <w:kern w:val="0"/>
          <w:sz w:val="24"/>
          <w:highlight w:val="none"/>
          <w:u w:val="single"/>
        </w:rPr>
        <w:t xml:space="preserve">之日起至磋商响应有效期到期之日为止 </w:t>
      </w:r>
      <w:r>
        <w:rPr>
          <w:rFonts w:hint="eastAsia" w:ascii="仿宋" w:hAnsi="仿宋" w:eastAsia="仿宋" w:cs="Cambria Math"/>
          <w:color w:val="auto"/>
          <w:kern w:val="0"/>
          <w:sz w:val="24"/>
          <w:highlight w:val="none"/>
        </w:rPr>
        <w:t>。</w:t>
      </w:r>
    </w:p>
    <w:p>
      <w:pPr>
        <w:pStyle w:val="156"/>
        <w:spacing w:line="360" w:lineRule="auto"/>
        <w:ind w:firstLine="480" w:firstLineChars="200"/>
        <w:rPr>
          <w:rFonts w:hint="eastAsia"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代理人无转委托权。</w:t>
      </w:r>
    </w:p>
    <w:p>
      <w:pPr>
        <w:pStyle w:val="156"/>
        <w:spacing w:line="360" w:lineRule="auto"/>
        <w:ind w:firstLine="482" w:firstLineChars="200"/>
        <w:rPr>
          <w:rFonts w:ascii="仿宋" w:hAnsi="仿宋" w:eastAsia="仿宋" w:cs="Cambria Math"/>
          <w:b/>
          <w:bCs/>
          <w:color w:val="auto"/>
          <w:sz w:val="24"/>
          <w:szCs w:val="24"/>
          <w:highlight w:val="none"/>
        </w:rPr>
      </w:pPr>
    </w:p>
    <w:p>
      <w:pPr>
        <w:pStyle w:val="156"/>
        <w:spacing w:line="360" w:lineRule="auto"/>
        <w:ind w:firstLine="482" w:firstLineChars="200"/>
        <w:rPr>
          <w:rFonts w:ascii="仿宋" w:hAnsi="仿宋" w:eastAsia="仿宋" w:cs="Cambria Math"/>
          <w:color w:val="auto"/>
          <w:sz w:val="24"/>
          <w:szCs w:val="24"/>
          <w:highlight w:val="none"/>
        </w:rPr>
      </w:pPr>
      <w:r>
        <w:rPr>
          <w:rFonts w:hint="eastAsia" w:ascii="仿宋" w:hAnsi="仿宋" w:eastAsia="仿宋" w:cs="Cambria Math"/>
          <w:b/>
          <w:bCs/>
          <w:color w:val="auto"/>
          <w:sz w:val="24"/>
          <w:szCs w:val="24"/>
          <w:highlight w:val="none"/>
        </w:rPr>
        <w:t>附：委托代理人身份证复印件（需同时提供正面及背面）</w:t>
      </w:r>
      <w:r>
        <w:rPr>
          <w:rFonts w:hint="eastAsia" w:ascii="仿宋" w:hAnsi="仿宋" w:eastAsia="仿宋" w:cs="Cambria Math"/>
          <w:color w:val="auto"/>
          <w:sz w:val="24"/>
          <w:szCs w:val="24"/>
          <w:highlight w:val="none"/>
        </w:rPr>
        <w:t>。</w:t>
      </w:r>
    </w:p>
    <w:p>
      <w:pPr>
        <w:pStyle w:val="156"/>
        <w:spacing w:line="440" w:lineRule="atLeast"/>
        <w:ind w:firstLine="480"/>
        <w:jc w:val="left"/>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156"/>
        <w:spacing w:line="440" w:lineRule="atLeast"/>
        <w:ind w:firstLine="480"/>
        <w:jc w:val="left"/>
        <w:rPr>
          <w:rFonts w:hint="eastAsia" w:ascii="仿宋" w:hAnsi="仿宋" w:eastAsia="仿宋" w:cs="仿宋"/>
          <w:color w:val="auto"/>
          <w:highlight w:val="none"/>
        </w:rPr>
      </w:pPr>
    </w:p>
    <w:p>
      <w:pPr>
        <w:spacing w:line="360" w:lineRule="auto"/>
        <w:ind w:left="720"/>
        <w:rPr>
          <w:rFonts w:hint="eastAsia" w:ascii="仿宋" w:hAnsi="仿宋" w:eastAsia="仿宋" w:cs="仿宋"/>
          <w:b/>
          <w:color w:val="auto"/>
          <w:sz w:val="24"/>
          <w:highlight w:val="none"/>
        </w:rPr>
      </w:pPr>
    </w:p>
    <w:p>
      <w:pPr>
        <w:tabs>
          <w:tab w:val="left" w:pos="540"/>
        </w:tabs>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ab/>
      </w:r>
    </w:p>
    <w:p>
      <w:pPr>
        <w:pStyle w:val="2"/>
        <w:rPr>
          <w:rFonts w:ascii="宋体" w:hAnsi="宋体"/>
          <w:color w:val="auto"/>
          <w:kern w:val="0"/>
          <w:szCs w:val="21"/>
          <w:highlight w:val="none"/>
        </w:rPr>
      </w:pPr>
    </w:p>
    <w:p>
      <w:pPr>
        <w:pStyle w:val="2"/>
        <w:rPr>
          <w:rFonts w:ascii="宋体" w:hAnsi="宋体"/>
          <w:color w:val="auto"/>
          <w:kern w:val="0"/>
          <w:szCs w:val="21"/>
          <w:highlight w:val="none"/>
        </w:rPr>
      </w:pPr>
    </w:p>
    <w:p>
      <w:pPr>
        <w:pStyle w:val="2"/>
        <w:rPr>
          <w:rFonts w:ascii="宋体" w:hAnsi="宋体"/>
          <w:color w:val="auto"/>
          <w:kern w:val="0"/>
          <w:szCs w:val="21"/>
          <w:highlight w:val="none"/>
        </w:rPr>
      </w:pPr>
    </w:p>
    <w:p>
      <w:pPr>
        <w:spacing w:line="360" w:lineRule="auto"/>
        <w:ind w:right="420" w:firstLine="4200" w:firstLineChars="1750"/>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供应商名称：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pPr>
        <w:spacing w:line="360" w:lineRule="auto"/>
        <w:ind w:right="420" w:firstLine="3120" w:firstLineChars="1300"/>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法定代表人（负责人）：</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（签字或盖章）</w:t>
      </w:r>
    </w:p>
    <w:p>
      <w:pPr>
        <w:pStyle w:val="156"/>
        <w:wordWrap w:val="0"/>
        <w:spacing w:line="360" w:lineRule="auto"/>
        <w:ind w:right="105" w:firstLine="4200" w:firstLineChars="1750"/>
        <w:rPr>
          <w:rFonts w:hint="eastAsia"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委托代理人：</w:t>
      </w:r>
      <w:r>
        <w:rPr>
          <w:rFonts w:hint="eastAsia" w:ascii="仿宋" w:hAnsi="仿宋" w:eastAsia="仿宋" w:cs="Cambria Math"/>
          <w:color w:val="auto"/>
          <w:sz w:val="24"/>
          <w:szCs w:val="24"/>
          <w:highlight w:val="none"/>
          <w:u w:val="single"/>
        </w:rPr>
        <w:t xml:space="preserve">               </w:t>
      </w:r>
      <w:r>
        <w:rPr>
          <w:rFonts w:hint="eastAsia" w:ascii="仿宋" w:hAnsi="仿宋" w:eastAsia="仿宋" w:cs="Cambria Math"/>
          <w:color w:val="auto"/>
          <w:sz w:val="24"/>
          <w:szCs w:val="24"/>
          <w:highlight w:val="none"/>
        </w:rPr>
        <w:t>（签字</w:t>
      </w:r>
      <w:r>
        <w:rPr>
          <w:rFonts w:hint="eastAsia" w:ascii="仿宋" w:hAnsi="仿宋" w:eastAsia="仿宋" w:cs="Cambria Math"/>
          <w:color w:val="auto"/>
          <w:sz w:val="24"/>
          <w:highlight w:val="none"/>
        </w:rPr>
        <w:t>或盖章</w:t>
      </w:r>
      <w:r>
        <w:rPr>
          <w:rFonts w:hint="eastAsia" w:ascii="仿宋" w:hAnsi="仿宋" w:eastAsia="仿宋" w:cs="Cambria Math"/>
          <w:color w:val="auto"/>
          <w:sz w:val="24"/>
          <w:szCs w:val="24"/>
          <w:highlight w:val="none"/>
        </w:rPr>
        <w:t xml:space="preserve">） </w:t>
      </w:r>
    </w:p>
    <w:p>
      <w:pPr>
        <w:wordWrap w:val="0"/>
        <w:spacing w:line="360" w:lineRule="auto"/>
        <w:ind w:firstLine="4200" w:firstLineChars="1750"/>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pPr>
        <w:tabs>
          <w:tab w:val="left" w:pos="540"/>
        </w:tabs>
        <w:rPr>
          <w:rFonts w:hint="eastAsia" w:ascii="仿宋" w:hAnsi="仿宋" w:eastAsia="仿宋" w:cs="仿宋"/>
          <w:color w:val="auto"/>
          <w:kern w:val="0"/>
          <w:szCs w:val="21"/>
          <w:highlight w:val="none"/>
        </w:rPr>
        <w:sectPr>
          <w:footerReference r:id="rId13" w:type="default"/>
          <w:pgSz w:w="11906" w:h="16838"/>
          <w:pgMar w:top="1417" w:right="1134" w:bottom="1134" w:left="1134" w:header="851" w:footer="992" w:gutter="0"/>
          <w:cols w:space="720" w:num="1"/>
          <w:titlePg/>
          <w:docGrid w:type="lines" w:linePitch="312" w:charSpace="0"/>
        </w:sectPr>
      </w:pPr>
    </w:p>
    <w:p>
      <w:pPr>
        <w:pStyle w:val="5"/>
        <w:numPr>
          <w:ilvl w:val="0"/>
          <w:numId w:val="0"/>
        </w:numPr>
        <w:spacing w:before="0" w:after="0" w:line="360" w:lineRule="auto"/>
        <w:rPr>
          <w:rFonts w:hint="eastAsia" w:ascii="仿宋" w:hAnsi="仿宋" w:eastAsia="仿宋" w:cs="仿宋"/>
          <w:color w:val="auto"/>
          <w:sz w:val="24"/>
          <w:szCs w:val="24"/>
          <w:highlight w:val="none"/>
        </w:rPr>
      </w:pPr>
      <w:bookmarkStart w:id="188" w:name="_Toc30551"/>
      <w:bookmarkStart w:id="189" w:name="_Toc517281841"/>
      <w:bookmarkStart w:id="190" w:name="_Toc287600132"/>
      <w:bookmarkStart w:id="191" w:name="_Toc16561"/>
      <w:bookmarkStart w:id="192" w:name="_Toc5406"/>
      <w:bookmarkStart w:id="193" w:name="_Toc27026"/>
      <w:bookmarkStart w:id="194" w:name="_Toc11396"/>
      <w:bookmarkStart w:id="195" w:name="_Toc444891357"/>
      <w:bookmarkStart w:id="196" w:name="_Toc34779170"/>
      <w:bookmarkStart w:id="197" w:name="_Toc34779216"/>
      <w:bookmarkStart w:id="198" w:name="_Toc34822258"/>
      <w:bookmarkStart w:id="199" w:name="_Toc34779120"/>
      <w:bookmarkStart w:id="200" w:name="_Toc287600135"/>
      <w:bookmarkStart w:id="201" w:name="_Toc35957216"/>
      <w:r>
        <w:rPr>
          <w:rFonts w:hint="eastAsia" w:ascii="仿宋" w:hAnsi="仿宋" w:eastAsia="仿宋" w:cs="仿宋"/>
          <w:color w:val="auto"/>
          <w:sz w:val="24"/>
          <w:szCs w:val="24"/>
          <w:highlight w:val="none"/>
        </w:rPr>
        <w:t>（四）资格证明文件</w:t>
      </w:r>
      <w:bookmarkEnd w:id="188"/>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1、供应商基本情况信息表</w:t>
      </w:r>
    </w:p>
    <w:p>
      <w:pPr>
        <w:pStyle w:val="156"/>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供应商基本情况信息表</w:t>
      </w:r>
    </w:p>
    <w:tbl>
      <w:tblPr>
        <w:tblStyle w:val="4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1789"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平米</w:t>
            </w: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联系人</w:t>
            </w:r>
          </w:p>
        </w:tc>
        <w:tc>
          <w:tcPr>
            <w:tcW w:w="2447"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rPr>
                <w:rFonts w:hint="eastAsia" w:ascii="仿宋" w:hAnsi="仿宋" w:eastAsia="仿宋" w:cs="仿宋"/>
                <w:color w:val="auto"/>
                <w:szCs w:val="21"/>
                <w:highlight w:val="none"/>
              </w:rPr>
            </w:pPr>
          </w:p>
        </w:tc>
        <w:tc>
          <w:tcPr>
            <w:tcW w:w="114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传真</w:t>
            </w:r>
          </w:p>
        </w:tc>
        <w:tc>
          <w:tcPr>
            <w:tcW w:w="2447"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网址</w:t>
            </w:r>
          </w:p>
        </w:tc>
        <w:tc>
          <w:tcPr>
            <w:tcW w:w="2232"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法定代表人</w:t>
            </w:r>
          </w:p>
        </w:tc>
        <w:tc>
          <w:tcPr>
            <w:tcW w:w="77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985"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技术负责人</w:t>
            </w:r>
          </w:p>
        </w:tc>
        <w:tc>
          <w:tcPr>
            <w:tcW w:w="77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1468"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98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5489" w:type="dxa"/>
            <w:gridSpan w:val="6"/>
            <w:tcBorders>
              <w:top w:val="nil"/>
              <w:left w:val="nil"/>
              <w:bottom w:val="single" w:color="000000" w:sz="4" w:space="0"/>
              <w:right w:val="single" w:color="000000" w:sz="4" w:space="0"/>
            </w:tcBorders>
            <w:noWrap w:val="0"/>
            <w:vAlign w:val="center"/>
          </w:tcPr>
          <w:p>
            <w:pPr>
              <w:pStyle w:val="156"/>
              <w:topLinePunct/>
              <w:ind w:firstLine="105"/>
              <w:jc w:val="center"/>
              <w:rPr>
                <w:rFonts w:hint="eastAsia" w:ascii="仿宋" w:hAnsi="仿宋" w:eastAsia="仿宋" w:cs="仿宋"/>
                <w:color w:val="auto"/>
                <w:highlight w:val="none"/>
              </w:rPr>
            </w:pPr>
            <w:r>
              <w:rPr>
                <w:rFonts w:hint="eastAsia" w:ascii="仿宋" w:hAnsi="仿宋" w:eastAsia="仿宋" w:cs="仿宋"/>
                <w:color w:val="auto"/>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713" w:type="dxa"/>
            <w:vMerge w:val="restart"/>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auto"/>
                <w:szCs w:val="21"/>
                <w:highlight w:val="none"/>
              </w:rPr>
            </w:pPr>
          </w:p>
        </w:tc>
        <w:tc>
          <w:tcPr>
            <w:tcW w:w="2646" w:type="dxa"/>
            <w:gridSpan w:val="3"/>
            <w:vMerge w:val="restart"/>
            <w:tcBorders>
              <w:top w:val="nil"/>
              <w:left w:val="nil"/>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初级职称人员</w:t>
            </w:r>
          </w:p>
        </w:tc>
        <w:tc>
          <w:tcPr>
            <w:tcW w:w="2130" w:type="dxa"/>
            <w:gridSpan w:val="2"/>
            <w:vMerge w:val="restart"/>
            <w:tcBorders>
              <w:top w:val="nil"/>
              <w:left w:val="nil"/>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账号</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auto"/>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c>
          <w:tcPr>
            <w:tcW w:w="2130" w:type="dxa"/>
            <w:gridSpan w:val="2"/>
            <w:vMerge w:val="continue"/>
            <w:tcBorders>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ind w:firstLine="210"/>
              <w:jc w:val="center"/>
              <w:rPr>
                <w:rFonts w:hint="eastAsia" w:ascii="仿宋" w:hAnsi="仿宋" w:eastAsia="仿宋" w:cs="仿宋"/>
                <w:color w:val="auto"/>
                <w:highlight w:val="none"/>
              </w:rPr>
            </w:pPr>
            <w:r>
              <w:rPr>
                <w:rFonts w:hint="eastAsia" w:ascii="仿宋" w:hAnsi="仿宋" w:eastAsia="仿宋" w:cs="仿宋"/>
                <w:color w:val="auto"/>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pPr>
              <w:pStyle w:val="156"/>
              <w:topLinePunct/>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r>
              <w:rPr>
                <w:rFonts w:hint="eastAsia" w:ascii="仿宋" w:hAnsi="仿宋" w:eastAsia="仿宋" w:cs="仿宋"/>
                <w:color w:val="auto"/>
                <w:highlight w:val="none"/>
              </w:rPr>
              <w:t>备注</w:t>
            </w:r>
          </w:p>
        </w:tc>
        <w:tc>
          <w:tcPr>
            <w:tcW w:w="7609" w:type="dxa"/>
            <w:gridSpan w:val="9"/>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auto"/>
                <w:highlight w:val="none"/>
              </w:rPr>
            </w:pPr>
          </w:p>
        </w:tc>
      </w:tr>
    </w:tbl>
    <w:p>
      <w:pPr>
        <w:pStyle w:val="156"/>
        <w:jc w:val="left"/>
        <w:rPr>
          <w:rFonts w:hint="eastAsia" w:ascii="仿宋" w:hAnsi="仿宋" w:eastAsia="仿宋" w:cs="仿宋"/>
          <w:b/>
          <w:color w:val="auto"/>
          <w:sz w:val="24"/>
          <w:szCs w:val="24"/>
          <w:highlight w:val="none"/>
        </w:rPr>
      </w:pPr>
      <w:r>
        <w:rPr>
          <w:rFonts w:hint="eastAsia" w:ascii="仿宋" w:hAnsi="仿宋" w:eastAsia="仿宋" w:cs="宋体"/>
          <w:b/>
          <w:color w:val="auto"/>
          <w:sz w:val="24"/>
          <w:szCs w:val="24"/>
          <w:highlight w:val="none"/>
        </w:rPr>
        <w:t>注：</w:t>
      </w:r>
      <w:r>
        <w:rPr>
          <w:rFonts w:hint="eastAsia" w:ascii="仿宋" w:hAnsi="仿宋" w:eastAsia="仿宋" w:cs="宋体"/>
          <w:b/>
          <w:color w:val="auto"/>
          <w:sz w:val="24"/>
          <w:szCs w:val="24"/>
        </w:rPr>
        <w:t>提供由工商部门核发的最新营业执照（正副本皆可）。</w:t>
      </w:r>
    </w:p>
    <w:p>
      <w:pPr>
        <w:pStyle w:val="156"/>
        <w:jc w:val="left"/>
        <w:rPr>
          <w:rFonts w:hint="eastAsia" w:ascii="仿宋" w:hAnsi="仿宋" w:eastAsia="仿宋" w:cs="仿宋"/>
          <w:b/>
          <w:color w:val="auto"/>
          <w:highlight w:val="none"/>
        </w:rPr>
      </w:pPr>
    </w:p>
    <w:p>
      <w:pPr>
        <w:pStyle w:val="156"/>
        <w:jc w:val="left"/>
        <w:rPr>
          <w:rFonts w:hint="eastAsia" w:ascii="仿宋" w:hAnsi="仿宋" w:eastAsia="仿宋" w:cs="仿宋"/>
          <w:b/>
          <w:color w:val="auto"/>
          <w:highlight w:val="none"/>
          <w:lang w:eastAsia="zh-CN"/>
        </w:rPr>
      </w:pPr>
    </w:p>
    <w:p>
      <w:pPr>
        <w:pStyle w:val="156"/>
        <w:jc w:val="left"/>
        <w:rPr>
          <w:rFonts w:hint="eastAsia" w:ascii="仿宋" w:hAnsi="仿宋" w:eastAsia="仿宋" w:cs="仿宋"/>
          <w:b/>
          <w:color w:val="auto"/>
          <w:highlight w:val="none"/>
          <w:lang w:eastAsia="zh-CN"/>
        </w:rPr>
      </w:pPr>
    </w:p>
    <w:p>
      <w:pPr>
        <w:spacing w:line="360" w:lineRule="auto"/>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lang w:val="en-US" w:eastAsia="zh-CN"/>
        </w:rPr>
        <w:t>供应商</w:t>
      </w:r>
      <w:r>
        <w:rPr>
          <w:rFonts w:hint="eastAsia" w:ascii="仿宋" w:hAnsi="仿宋" w:eastAsia="仿宋" w:cs="Cambria Math"/>
          <w:color w:val="auto"/>
          <w:sz w:val="24"/>
          <w:highlight w:val="none"/>
        </w:rPr>
        <w:t>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pPr>
        <w:spacing w:line="360" w:lineRule="auto"/>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pPr>
        <w:rPr>
          <w:rFonts w:hint="eastAsia" w:ascii="仿宋" w:hAnsi="仿宋" w:eastAsia="仿宋" w:cs="仿宋"/>
          <w:color w:val="auto"/>
          <w:sz w:val="24"/>
          <w:szCs w:val="24"/>
          <w:highlight w:val="none"/>
        </w:rPr>
      </w:pPr>
      <w:r>
        <w:rPr>
          <w:rFonts w:hint="eastAsia" w:ascii="仿宋" w:hAnsi="仿宋" w:cs="仿宋"/>
          <w:color w:val="auto"/>
          <w:highlight w:val="none"/>
        </w:rPr>
        <w:br w:type="page"/>
      </w:r>
    </w:p>
    <w:p>
      <w:pPr>
        <w:pStyle w:val="6"/>
        <w:numPr>
          <w:ilvl w:val="0"/>
          <w:numId w:val="0"/>
        </w:numPr>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财务审计报告或银行资信证明</w:t>
      </w:r>
    </w:p>
    <w:p>
      <w:pPr>
        <w:pStyle w:val="6"/>
        <w:spacing w:before="0" w:after="0" w:line="360" w:lineRule="auto"/>
        <w:ind w:firstLine="480" w:firstLineChars="20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提供2025年度经会计师事务所或审计机构审计的财务审计报告及财务报表（至少包含会计师事务所或审计机构签章页、资产负债表、现金流量表、损益表/利润表）或响应文件递交截止日前6个月内开具的银行资信证明。</w:t>
      </w:r>
    </w:p>
    <w:p>
      <w:pPr>
        <w:pStyle w:val="6"/>
        <w:spacing w:before="0" w:after="0" w:line="360" w:lineRule="auto"/>
        <w:ind w:firstLine="482" w:firstLineChars="200"/>
        <w:rPr>
          <w:rFonts w:hint="eastAsia" w:ascii="仿宋" w:hAnsi="仿宋" w:eastAsia="仿宋" w:cs="仿宋"/>
          <w:color w:val="auto"/>
          <w:sz w:val="24"/>
          <w:highlight w:val="none"/>
        </w:rPr>
      </w:pPr>
    </w:p>
    <w:p>
      <w:pPr>
        <w:pStyle w:val="6"/>
        <w:spacing w:before="0" w:after="0" w:line="360" w:lineRule="auto"/>
        <w:ind w:firstLine="482" w:firstLineChars="200"/>
        <w:rPr>
          <w:rFonts w:hint="eastAsia" w:ascii="仿宋" w:hAnsi="仿宋" w:eastAsia="仿宋" w:cs="仿宋"/>
          <w:color w:val="auto"/>
          <w:sz w:val="24"/>
          <w:highlight w:val="none"/>
        </w:rPr>
      </w:pPr>
    </w:p>
    <w:p>
      <w:pPr>
        <w:pStyle w:val="6"/>
        <w:spacing w:before="0" w:after="0" w:line="360" w:lineRule="auto"/>
        <w:ind w:firstLine="482" w:firstLineChars="200"/>
        <w:rPr>
          <w:rFonts w:hint="eastAsia" w:ascii="仿宋" w:hAnsi="仿宋" w:eastAsia="仿宋" w:cs="仿宋"/>
          <w:color w:val="auto"/>
          <w:sz w:val="24"/>
          <w:highlight w:val="none"/>
        </w:rPr>
      </w:pPr>
    </w:p>
    <w:p>
      <w:pPr>
        <w:pStyle w:val="6"/>
        <w:spacing w:before="0" w:after="0" w:line="360" w:lineRule="auto"/>
        <w:ind w:firstLine="482" w:firstLineChars="200"/>
        <w:rPr>
          <w:rFonts w:hint="eastAsia" w:ascii="仿宋" w:hAnsi="仿宋" w:eastAsia="仿宋" w:cs="仿宋"/>
          <w:color w:val="auto"/>
          <w:sz w:val="24"/>
          <w:highlight w:val="none"/>
        </w:rPr>
      </w:pPr>
    </w:p>
    <w:p>
      <w:pPr>
        <w:pStyle w:val="6"/>
        <w:spacing w:before="0" w:after="0" w:line="360" w:lineRule="auto"/>
        <w:ind w:firstLine="482" w:firstLineChars="200"/>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ascii="仿宋" w:hAnsi="仿宋" w:eastAsia="仿宋" w:cs="仿宋"/>
          <w:color w:val="auto"/>
          <w:sz w:val="24"/>
          <w:highlight w:val="none"/>
        </w:rPr>
      </w:pPr>
    </w:p>
    <w:p>
      <w:pPr>
        <w:pStyle w:val="6"/>
        <w:spacing w:before="0" w:after="0" w:line="360" w:lineRule="auto"/>
        <w:rPr>
          <w:rFonts w:hint="eastAsia" w:ascii="仿宋" w:hAnsi="仿宋" w:eastAsia="仿宋" w:cs="仿宋"/>
          <w:color w:val="auto"/>
          <w:sz w:val="24"/>
          <w:highlight w:val="none"/>
        </w:rPr>
      </w:pPr>
    </w:p>
    <w:p>
      <w:pPr>
        <w:rPr>
          <w:rFonts w:hint="eastAsia" w:ascii="仿宋" w:hAnsi="仿宋" w:eastAsia="仿宋" w:cs="仿宋"/>
          <w:color w:val="auto"/>
          <w:sz w:val="24"/>
          <w:highlight w:val="none"/>
        </w:rPr>
      </w:pPr>
    </w:p>
    <w:p>
      <w:pPr>
        <w:pStyle w:val="2"/>
        <w:rPr>
          <w:rFonts w:hint="eastAsia"/>
          <w:color w:val="auto"/>
        </w:rPr>
      </w:pPr>
    </w:p>
    <w:p>
      <w:pPr>
        <w:pStyle w:val="6"/>
        <w:numPr>
          <w:ilvl w:val="0"/>
          <w:numId w:val="0"/>
        </w:numPr>
        <w:spacing w:before="0"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同类项目实施经验</w:t>
      </w:r>
      <w:r>
        <w:rPr>
          <w:rFonts w:hint="eastAsia" w:ascii="仿宋" w:hAnsi="仿宋" w:eastAsia="仿宋" w:cs="仿宋"/>
          <w:b w:val="0"/>
          <w:bCs w:val="0"/>
          <w:color w:val="auto"/>
          <w:sz w:val="24"/>
          <w:szCs w:val="24"/>
          <w:highlight w:val="none"/>
        </w:rPr>
        <w:t xml:space="preserve"> </w:t>
      </w:r>
    </w:p>
    <w:p>
      <w:pPr>
        <w:bidi w:val="0"/>
        <w:rPr>
          <w:rFonts w:hint="eastAsia"/>
          <w:color w:val="auto"/>
        </w:rPr>
      </w:pPr>
    </w:p>
    <w:tbl>
      <w:tblPr>
        <w:tblStyle w:val="4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471"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合同名称</w:t>
            </w:r>
          </w:p>
        </w:tc>
        <w:tc>
          <w:tcPr>
            <w:tcW w:w="678"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合同签订时间</w:t>
            </w:r>
          </w:p>
        </w:tc>
        <w:tc>
          <w:tcPr>
            <w:tcW w:w="645"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采购内容</w:t>
            </w:r>
          </w:p>
        </w:tc>
        <w:tc>
          <w:tcPr>
            <w:tcW w:w="641"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合同金额（万元）</w:t>
            </w:r>
          </w:p>
        </w:tc>
        <w:tc>
          <w:tcPr>
            <w:tcW w:w="565"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合同甲方</w:t>
            </w:r>
          </w:p>
        </w:tc>
        <w:tc>
          <w:tcPr>
            <w:tcW w:w="821"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合同甲方联系人及电话</w:t>
            </w:r>
          </w:p>
        </w:tc>
        <w:tc>
          <w:tcPr>
            <w:tcW w:w="709" w:type="pct"/>
            <w:noWrap w:val="0"/>
            <w:vAlign w:val="center"/>
          </w:tcPr>
          <w:p>
            <w:pP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color w:val="auto"/>
                <w:szCs w:val="21"/>
                <w:highlight w:val="none"/>
              </w:rPr>
            </w:pPr>
          </w:p>
        </w:tc>
        <w:tc>
          <w:tcPr>
            <w:tcW w:w="471" w:type="pct"/>
            <w:noWrap w:val="0"/>
            <w:vAlign w:val="center"/>
          </w:tcPr>
          <w:p>
            <w:pPr>
              <w:jc w:val="center"/>
              <w:rPr>
                <w:rFonts w:hint="eastAsia" w:ascii="仿宋" w:hAnsi="仿宋" w:eastAsia="仿宋" w:cs="仿宋"/>
                <w:color w:val="auto"/>
                <w:szCs w:val="21"/>
                <w:highlight w:val="none"/>
              </w:rPr>
            </w:pPr>
          </w:p>
        </w:tc>
        <w:tc>
          <w:tcPr>
            <w:tcW w:w="678" w:type="pct"/>
            <w:noWrap w:val="0"/>
            <w:vAlign w:val="center"/>
          </w:tcPr>
          <w:p>
            <w:pPr>
              <w:jc w:val="center"/>
              <w:rPr>
                <w:rFonts w:hint="eastAsia" w:ascii="仿宋" w:hAnsi="仿宋" w:eastAsia="仿宋" w:cs="仿宋"/>
                <w:color w:val="auto"/>
                <w:szCs w:val="21"/>
                <w:highlight w:val="none"/>
              </w:rPr>
            </w:pPr>
          </w:p>
        </w:tc>
        <w:tc>
          <w:tcPr>
            <w:tcW w:w="645" w:type="pct"/>
            <w:noWrap w:val="0"/>
            <w:vAlign w:val="center"/>
          </w:tcPr>
          <w:p>
            <w:pPr>
              <w:jc w:val="center"/>
              <w:rPr>
                <w:rFonts w:hint="eastAsia" w:ascii="仿宋" w:hAnsi="仿宋" w:eastAsia="仿宋" w:cs="仿宋"/>
                <w:color w:val="auto"/>
                <w:szCs w:val="21"/>
                <w:highlight w:val="none"/>
              </w:rPr>
            </w:pPr>
          </w:p>
        </w:tc>
        <w:tc>
          <w:tcPr>
            <w:tcW w:w="641" w:type="pct"/>
            <w:noWrap w:val="0"/>
            <w:vAlign w:val="center"/>
          </w:tcPr>
          <w:p>
            <w:pPr>
              <w:jc w:val="center"/>
              <w:rPr>
                <w:rFonts w:hint="eastAsia" w:ascii="仿宋" w:hAnsi="仿宋" w:eastAsia="仿宋" w:cs="仿宋"/>
                <w:color w:val="auto"/>
                <w:szCs w:val="21"/>
                <w:highlight w:val="none"/>
              </w:rPr>
            </w:pPr>
          </w:p>
        </w:tc>
        <w:tc>
          <w:tcPr>
            <w:tcW w:w="565" w:type="pct"/>
            <w:noWrap w:val="0"/>
            <w:vAlign w:val="center"/>
          </w:tcPr>
          <w:p>
            <w:pPr>
              <w:jc w:val="center"/>
              <w:rPr>
                <w:rFonts w:hint="eastAsia" w:ascii="仿宋" w:hAnsi="仿宋" w:eastAsia="仿宋" w:cs="仿宋"/>
                <w:color w:val="auto"/>
                <w:szCs w:val="21"/>
                <w:highlight w:val="none"/>
              </w:rPr>
            </w:pPr>
          </w:p>
        </w:tc>
        <w:tc>
          <w:tcPr>
            <w:tcW w:w="821" w:type="pct"/>
            <w:noWrap w:val="0"/>
            <w:vAlign w:val="center"/>
          </w:tcPr>
          <w:p>
            <w:pPr>
              <w:jc w:val="center"/>
              <w:rPr>
                <w:rFonts w:hint="eastAsia" w:ascii="仿宋" w:hAnsi="仿宋" w:eastAsia="仿宋" w:cs="仿宋"/>
                <w:color w:val="auto"/>
                <w:szCs w:val="21"/>
                <w:highlight w:val="none"/>
              </w:rPr>
            </w:pPr>
          </w:p>
        </w:tc>
        <w:tc>
          <w:tcPr>
            <w:tcW w:w="709" w:type="pct"/>
            <w:noWrap w:val="0"/>
            <w:vAlign w:val="center"/>
          </w:tcPr>
          <w:p>
            <w:pPr>
              <w:jc w:val="center"/>
              <w:rPr>
                <w:rFonts w:hint="eastAsia" w:ascii="仿宋" w:hAnsi="仿宋" w:eastAsia="仿宋" w:cs="仿宋"/>
                <w:color w:val="auto"/>
                <w:szCs w:val="21"/>
                <w:highlight w:val="none"/>
              </w:rPr>
            </w:pPr>
          </w:p>
        </w:tc>
      </w:tr>
    </w:tbl>
    <w:p>
      <w:pPr>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备注：</w:t>
      </w:r>
    </w:p>
    <w:p>
      <w:pPr>
        <w:spacing w:line="360" w:lineRule="auto"/>
        <w:textAlignment w:val="baseline"/>
        <w:rPr>
          <w:rFonts w:hint="eastAsia" w:ascii="仿宋" w:hAnsi="仿宋" w:eastAsia="仿宋"/>
          <w:b/>
          <w:color w:val="auto"/>
          <w:sz w:val="24"/>
          <w:highlight w:val="none"/>
        </w:rPr>
      </w:pPr>
      <w:r>
        <w:rPr>
          <w:rFonts w:hint="eastAsia" w:ascii="仿宋" w:hAnsi="仿宋" w:eastAsia="仿宋"/>
          <w:b/>
          <w:color w:val="auto"/>
          <w:sz w:val="24"/>
          <w:highlight w:val="none"/>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hint="eastAsia" w:ascii="仿宋" w:hAnsi="仿宋" w:eastAsia="仿宋"/>
          <w:b/>
          <w:color w:val="auto"/>
          <w:sz w:val="24"/>
          <w:highlight w:val="none"/>
        </w:rPr>
      </w:pPr>
      <w:r>
        <w:rPr>
          <w:rFonts w:hint="eastAsia" w:ascii="仿宋" w:hAnsi="仿宋" w:eastAsia="仿宋"/>
          <w:b/>
          <w:color w:val="auto"/>
          <w:sz w:val="24"/>
          <w:highlight w:val="none"/>
        </w:rPr>
        <w:t>2）按照磋商公告的资格要求提供有效的实施经验证明材料，作为资格后审的评审依据。</w:t>
      </w:r>
    </w:p>
    <w:p>
      <w:pPr>
        <w:spacing w:line="360" w:lineRule="auto"/>
        <w:textAlignment w:val="baseline"/>
        <w:rPr>
          <w:rFonts w:hint="eastAsia" w:ascii="仿宋" w:hAnsi="仿宋" w:eastAsia="仿宋"/>
          <w:b/>
          <w:color w:val="auto"/>
          <w:sz w:val="24"/>
          <w:highlight w:val="none"/>
        </w:rPr>
      </w:pPr>
      <w:r>
        <w:rPr>
          <w:rFonts w:hint="eastAsia" w:ascii="仿宋" w:hAnsi="仿宋" w:eastAsia="仿宋"/>
          <w:b/>
          <w:color w:val="auto"/>
          <w:sz w:val="24"/>
          <w:highlight w:val="none"/>
        </w:rPr>
        <w:t>3）本业绩表及证明材料也作为详细评审中对供应商同类项目实施经验的评审及打分依据，供应商需根据详细评审标准的要求，提供符合要求的业绩证明材料。</w:t>
      </w:r>
    </w:p>
    <w:p>
      <w:pPr>
        <w:pStyle w:val="6"/>
        <w:numPr>
          <w:ilvl w:val="0"/>
          <w:numId w:val="0"/>
        </w:numPr>
        <w:spacing w:before="0" w:after="0" w:line="360" w:lineRule="auto"/>
        <w:rPr>
          <w:rFonts w:hint="eastAsia" w:ascii="仿宋" w:hAnsi="仿宋" w:eastAsia="仿宋" w:cs="仿宋"/>
          <w:color w:val="auto"/>
          <w:sz w:val="24"/>
          <w:szCs w:val="24"/>
          <w:highlight w:val="none"/>
          <w:lang w:val="en-US" w:eastAsia="zh-CN"/>
        </w:rPr>
      </w:pPr>
    </w:p>
    <w:p>
      <w:pPr>
        <w:pStyle w:val="6"/>
        <w:numPr>
          <w:ilvl w:val="0"/>
          <w:numId w:val="0"/>
        </w:numPr>
        <w:spacing w:before="0" w:after="0" w:line="360" w:lineRule="auto"/>
        <w:rPr>
          <w:rFonts w:hint="eastAsia" w:ascii="仿宋" w:hAnsi="仿宋" w:eastAsia="仿宋" w:cs="仿宋"/>
          <w:color w:val="auto"/>
          <w:sz w:val="24"/>
          <w:szCs w:val="24"/>
          <w:highlight w:val="none"/>
          <w:lang w:val="en-US" w:eastAsia="zh-CN"/>
        </w:rPr>
      </w:pPr>
    </w:p>
    <w:p>
      <w:pPr>
        <w:pStyle w:val="6"/>
        <w:numPr>
          <w:ilvl w:val="0"/>
          <w:numId w:val="0"/>
        </w:numPr>
        <w:spacing w:before="0" w:after="0" w:line="360" w:lineRule="auto"/>
        <w:rPr>
          <w:rFonts w:hint="eastAsia" w:ascii="仿宋" w:hAnsi="仿宋" w:eastAsia="仿宋" w:cs="仿宋"/>
          <w:color w:val="auto"/>
          <w:sz w:val="24"/>
          <w:szCs w:val="24"/>
          <w:highlight w:val="none"/>
          <w:lang w:val="en-US" w:eastAsia="zh-CN"/>
        </w:rPr>
      </w:pPr>
    </w:p>
    <w:p>
      <w:pPr>
        <w:pStyle w:val="6"/>
        <w:numPr>
          <w:ilvl w:val="0"/>
          <w:numId w:val="0"/>
        </w:numPr>
        <w:spacing w:before="0" w:after="0" w:line="360" w:lineRule="auto"/>
        <w:rPr>
          <w:rFonts w:hint="eastAsia" w:ascii="仿宋" w:hAnsi="仿宋" w:eastAsia="仿宋" w:cs="仿宋"/>
          <w:color w:val="auto"/>
          <w:sz w:val="24"/>
          <w:szCs w:val="24"/>
          <w:highlight w:val="none"/>
          <w:lang w:val="en-US" w:eastAsia="zh-CN"/>
        </w:rPr>
      </w:pPr>
    </w:p>
    <w:p>
      <w:pPr>
        <w:pStyle w:val="6"/>
        <w:numPr>
          <w:ilvl w:val="0"/>
          <w:numId w:val="0"/>
        </w:numPr>
        <w:spacing w:before="0" w:after="0" w:line="360" w:lineRule="auto"/>
        <w:rPr>
          <w:rFonts w:hint="eastAsia" w:ascii="仿宋" w:hAnsi="仿宋" w:eastAsia="仿宋" w:cs="仿宋"/>
          <w:color w:val="auto"/>
          <w:sz w:val="24"/>
          <w:szCs w:val="24"/>
          <w:highlight w:val="none"/>
          <w:lang w:val="en-US" w:eastAsia="zh-CN"/>
        </w:rPr>
      </w:pPr>
    </w:p>
    <w:p>
      <w:pPr>
        <w:pStyle w:val="6"/>
        <w:numPr>
          <w:ilvl w:val="0"/>
          <w:numId w:val="0"/>
        </w:numPr>
        <w:spacing w:before="0" w:after="0" w:line="360" w:lineRule="auto"/>
        <w:rPr>
          <w:rFonts w:hint="eastAsia" w:ascii="仿宋" w:hAnsi="仿宋" w:eastAsia="仿宋" w:cs="仿宋"/>
          <w:color w:val="auto"/>
          <w:sz w:val="24"/>
          <w:szCs w:val="24"/>
          <w:highlight w:val="none"/>
          <w:lang w:val="en-US" w:eastAsia="zh-CN"/>
        </w:rPr>
      </w:pPr>
    </w:p>
    <w:p>
      <w:pPr>
        <w:rPr>
          <w:rFonts w:hint="eastAsia" w:ascii="仿宋" w:hAnsi="仿宋" w:eastAsia="仿宋" w:cs="仿宋"/>
          <w:color w:val="auto"/>
          <w:sz w:val="24"/>
          <w:szCs w:val="24"/>
          <w:highlight w:val="none"/>
          <w:lang w:val="en-US" w:eastAsia="zh-CN"/>
        </w:rPr>
      </w:pPr>
    </w:p>
    <w:p>
      <w:pPr>
        <w:pStyle w:val="2"/>
        <w:rPr>
          <w:rFonts w:hint="eastAsia" w:ascii="仿宋" w:hAnsi="仿宋" w:eastAsia="仿宋" w:cs="仿宋"/>
          <w:color w:val="auto"/>
          <w:sz w:val="24"/>
          <w:szCs w:val="24"/>
          <w:highlight w:val="none"/>
          <w:lang w:val="en-US" w:eastAsia="zh-CN"/>
        </w:rPr>
      </w:pPr>
    </w:p>
    <w:p>
      <w:pPr>
        <w:pStyle w:val="6"/>
        <w:numPr>
          <w:ilvl w:val="0"/>
          <w:numId w:val="0"/>
        </w:numPr>
        <w:spacing w:before="0" w:after="0" w:line="360" w:lineRule="auto"/>
        <w:rPr>
          <w:rFonts w:hint="eastAsia" w:ascii="仿宋" w:hAnsi="仿宋" w:eastAsia="仿宋" w:cs="仿宋"/>
          <w:color w:val="auto"/>
          <w:sz w:val="24"/>
          <w:szCs w:val="24"/>
          <w:highlight w:val="none"/>
          <w:lang w:val="en-US" w:eastAsia="zh-CN"/>
        </w:rPr>
      </w:pPr>
    </w:p>
    <w:p>
      <w:pPr>
        <w:rPr>
          <w:rFonts w:hint="eastAsia"/>
          <w:color w:val="auto"/>
          <w:lang w:val="en-US" w:eastAsia="zh-CN"/>
        </w:rPr>
      </w:pPr>
    </w:p>
    <w:p>
      <w:pPr>
        <w:pStyle w:val="6"/>
        <w:numPr>
          <w:ilvl w:val="0"/>
          <w:numId w:val="0"/>
        </w:numPr>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税收和社保证明材料</w:t>
      </w:r>
    </w:p>
    <w:p>
      <w:pPr>
        <w:spacing w:line="360" w:lineRule="auto"/>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提供6个月任意一个月的企业税收和社会保障资金缴纳凭证。</w:t>
      </w: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pStyle w:val="6"/>
        <w:spacing w:before="0" w:after="0" w:line="360" w:lineRule="auto"/>
        <w:ind w:firstLine="482" w:firstLineChars="200"/>
        <w:rPr>
          <w:rFonts w:hint="eastAsia" w:ascii="仿宋" w:hAnsi="仿宋" w:eastAsia="仿宋" w:cs="仿宋"/>
          <w:color w:val="auto"/>
          <w:sz w:val="24"/>
          <w:szCs w:val="24"/>
          <w:highlight w:val="none"/>
          <w:lang w:val="en-US" w:eastAsia="zh-CN"/>
        </w:rPr>
      </w:pPr>
    </w:p>
    <w:p>
      <w:pPr>
        <w:spacing w:line="360" w:lineRule="auto"/>
        <w:textAlignment w:val="baseline"/>
        <w:rPr>
          <w:rFonts w:hint="eastAsia" w:ascii="仿宋" w:hAnsi="仿宋" w:eastAsia="仿宋" w:cs="Cambria Math"/>
          <w:color w:val="auto"/>
          <w:sz w:val="24"/>
          <w:highlight w:val="none"/>
        </w:rPr>
      </w:pPr>
    </w:p>
    <w:p>
      <w:pPr>
        <w:spacing w:line="360" w:lineRule="auto"/>
        <w:textAlignment w:val="baseline"/>
        <w:rPr>
          <w:rFonts w:hint="eastAsia" w:ascii="仿宋" w:hAnsi="仿宋" w:eastAsia="仿宋" w:cs="Cambria Math"/>
          <w:color w:val="auto"/>
          <w:sz w:val="24"/>
          <w:highlight w:val="none"/>
        </w:rPr>
      </w:pP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、无违法违规记录查询截图</w:t>
      </w:r>
    </w:p>
    <w:p>
      <w:pPr>
        <w:spacing w:line="360" w:lineRule="auto"/>
        <w:ind w:firstLine="480" w:firstLineChars="200"/>
        <w:textAlignment w:val="baseline"/>
        <w:rPr>
          <w:rStyle w:val="49"/>
          <w:color w:val="auto"/>
        </w:rPr>
      </w:pPr>
      <w:r>
        <w:rPr>
          <w:rFonts w:hint="eastAsia" w:ascii="仿宋" w:hAnsi="仿宋" w:eastAsia="仿宋" w:cs="Cambria Math"/>
          <w:color w:val="auto"/>
          <w:sz w:val="24"/>
          <w:lang w:val="en-US" w:eastAsia="zh-CN"/>
        </w:rPr>
        <w:t>信用中国</w:t>
      </w:r>
      <w:r>
        <w:rPr>
          <w:rFonts w:hint="eastAsia" w:ascii="仿宋" w:hAnsi="仿宋" w:eastAsia="仿宋" w:cs="Cambria Math"/>
          <w:color w:val="auto"/>
          <w:sz w:val="24"/>
        </w:rPr>
        <w:t>查询网址：</w:t>
      </w:r>
      <w:r>
        <w:rPr>
          <w:color w:val="auto"/>
        </w:rPr>
        <w:fldChar w:fldCharType="begin"/>
      </w:r>
      <w:r>
        <w:rPr>
          <w:rStyle w:val="49"/>
          <w:color w:val="auto"/>
        </w:rPr>
        <w:instrText xml:space="preserve"> </w:instrText>
      </w:r>
      <w:r>
        <w:rPr>
          <w:rStyle w:val="49"/>
          <w:rFonts w:hint="eastAsia"/>
          <w:color w:val="auto"/>
        </w:rPr>
        <w:instrText xml:space="preserve">HYPERLINK "https://www.creditchina.gov.cn/xinyongfuwu/?navPage=5"</w:instrText>
      </w:r>
      <w:r>
        <w:rPr>
          <w:rStyle w:val="49"/>
          <w:color w:val="auto"/>
        </w:rPr>
        <w:instrText xml:space="preserve"> </w:instrText>
      </w:r>
      <w:r>
        <w:rPr>
          <w:color w:val="auto"/>
        </w:rPr>
        <w:fldChar w:fldCharType="separate"/>
      </w:r>
      <w:r>
        <w:rPr>
          <w:rStyle w:val="49"/>
          <w:rFonts w:hint="eastAsia"/>
          <w:color w:val="auto"/>
        </w:rPr>
        <w:t>https://www.creditchina.gov.cn/xinyongfuwu/?navPage=5</w:t>
      </w:r>
      <w:r>
        <w:rPr>
          <w:color w:val="auto"/>
        </w:rPr>
        <w:fldChar w:fldCharType="end"/>
      </w:r>
    </w:p>
    <w:p>
      <w:pPr>
        <w:spacing w:line="360" w:lineRule="auto"/>
        <w:textAlignment w:val="baseline"/>
        <w:rPr>
          <w:color w:val="auto"/>
          <w:highlight w:val="none"/>
        </w:rPr>
      </w:pPr>
      <w:r>
        <w:rPr>
          <w:rFonts w:hint="eastAsia" w:ascii="仿宋" w:hAnsi="仿宋" w:eastAsia="仿宋" w:cs="Cambria Math"/>
          <w:color w:val="auto"/>
          <w:sz w:val="24"/>
          <w:highlight w:val="none"/>
        </w:rPr>
        <w:t>（1）失信被执行人查询截图范例：</w:t>
      </w:r>
    </w:p>
    <w:p>
      <w:pPr>
        <w:ind w:firstLine="210" w:firstLineChars="100"/>
        <w:rPr>
          <w:color w:val="auto"/>
          <w:highlight w:val="none"/>
        </w:rPr>
      </w:pPr>
      <w:r>
        <w:rPr>
          <w:color w:val="auto"/>
          <w:highlight w:val="none"/>
        </w:rPr>
        <w:drawing>
          <wp:inline distT="0" distB="0" distL="114300" distR="114300">
            <wp:extent cx="5909310" cy="3769360"/>
            <wp:effectExtent l="0" t="0" r="8890" b="254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5"/>
                    <a:srcRect b="11951"/>
                    <a:stretch>
                      <a:fillRect/>
                    </a:stretch>
                  </pic:blipFill>
                  <pic:spPr>
                    <a:xfrm>
                      <a:off x="0" y="0"/>
                      <a:ext cx="5909310" cy="3769360"/>
                    </a:xfrm>
                    <a:prstGeom prst="rect">
                      <a:avLst/>
                    </a:prstGeom>
                    <a:noFill/>
                    <a:ln>
                      <a:noFill/>
                    </a:ln>
                  </pic:spPr>
                </pic:pic>
              </a:graphicData>
            </a:graphic>
          </wp:inline>
        </w:drawing>
      </w:r>
    </w:p>
    <w:p>
      <w:pPr>
        <w:rPr>
          <w:rFonts w:hint="eastAsia" w:ascii="仿宋" w:hAnsi="仿宋" w:eastAsia="仿宋"/>
          <w:color w:val="auto"/>
          <w:szCs w:val="21"/>
          <w:highlight w:val="none"/>
        </w:rPr>
      </w:pPr>
      <w:r>
        <w:rPr>
          <w:rFonts w:hint="eastAsia" w:ascii="仿宋" w:hAnsi="仿宋" w:eastAsia="仿宋" w:cs="Cambria Math"/>
          <w:color w:val="auto"/>
          <w:sz w:val="24"/>
          <w:highlight w:val="none"/>
        </w:rPr>
        <w:t>（2）</w:t>
      </w:r>
      <w:r>
        <w:rPr>
          <w:rFonts w:hint="eastAsia" w:ascii="仿宋" w:hAnsi="仿宋" w:eastAsia="仿宋" w:cs="微软雅黑"/>
          <w:color w:val="auto"/>
          <w:sz w:val="24"/>
          <w:highlight w:val="none"/>
        </w:rPr>
        <w:t>重大</w:t>
      </w:r>
      <w:r>
        <w:rPr>
          <w:rFonts w:hint="eastAsia" w:ascii="仿宋" w:hAnsi="仿宋" w:eastAsia="仿宋" w:cs="仿宋"/>
          <w:color w:val="auto"/>
          <w:sz w:val="24"/>
          <w:highlight w:val="none"/>
        </w:rPr>
        <w:t>税收违法失信主体</w:t>
      </w:r>
      <w:r>
        <w:rPr>
          <w:rFonts w:hint="eastAsia" w:ascii="仿宋" w:hAnsi="仿宋" w:eastAsia="仿宋" w:cs="微软雅黑"/>
          <w:color w:val="auto"/>
          <w:sz w:val="24"/>
          <w:highlight w:val="none"/>
        </w:rPr>
        <w:t>查询截图范例：</w:t>
      </w:r>
    </w:p>
    <w:p>
      <w:pPr>
        <w:rPr>
          <w:rFonts w:hint="eastAsia" w:ascii="仿宋" w:hAnsi="仿宋" w:eastAsia="仿宋" w:cs="Cambria Math"/>
          <w:color w:val="auto"/>
          <w:sz w:val="24"/>
          <w:highlight w:val="none"/>
        </w:rPr>
      </w:pPr>
      <w:r>
        <w:rPr>
          <w:rFonts w:ascii="仿宋" w:hAnsi="仿宋" w:eastAsia="仿宋"/>
          <w:color w:val="auto"/>
          <w:szCs w:val="21"/>
          <w:highlight w:val="none"/>
        </w:rPr>
        <w:drawing>
          <wp:inline distT="0" distB="0" distL="114300" distR="114300">
            <wp:extent cx="6119495" cy="3312795"/>
            <wp:effectExtent l="0" t="0" r="1905" b="1905"/>
            <wp:docPr id="7"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微信图片_20220713154746"/>
                    <pic:cNvPicPr>
                      <a:picLocks noChangeAspect="1"/>
                    </pic:cNvPicPr>
                  </pic:nvPicPr>
                  <pic:blipFill>
                    <a:blip r:embed="rId16"/>
                    <a:stretch>
                      <a:fillRect/>
                    </a:stretch>
                  </pic:blipFill>
                  <pic:spPr>
                    <a:xfrm>
                      <a:off x="0" y="0"/>
                      <a:ext cx="6119495" cy="3312795"/>
                    </a:xfrm>
                    <a:prstGeom prst="rect">
                      <a:avLst/>
                    </a:prstGeom>
                    <a:noFill/>
                    <a:ln>
                      <a:noFill/>
                    </a:ln>
                  </pic:spPr>
                </pic:pic>
              </a:graphicData>
            </a:graphic>
          </wp:inline>
        </w:drawing>
      </w:r>
    </w:p>
    <w:p>
      <w:pPr>
        <w:ind w:firstLine="240" w:firstLineChars="100"/>
        <w:rPr>
          <w:rFonts w:ascii="仿宋" w:hAnsi="仿宋" w:eastAsia="仿宋" w:cs="Cambria Math"/>
          <w:color w:val="auto"/>
          <w:sz w:val="24"/>
          <w:highlight w:val="none"/>
        </w:rPr>
      </w:pPr>
      <w:r>
        <w:rPr>
          <w:rFonts w:hint="eastAsia" w:ascii="仿宋" w:hAnsi="仿宋" w:eastAsia="仿宋" w:cs="Cambria Math"/>
          <w:color w:val="auto"/>
          <w:sz w:val="24"/>
          <w:highlight w:val="none"/>
        </w:rPr>
        <w:t>（3）政府采购严重违法失信行为记录名单查询截图范例：</w:t>
      </w:r>
    </w:p>
    <w:p>
      <w:pPr>
        <w:ind w:firstLine="210" w:firstLineChars="100"/>
        <w:rPr>
          <w:color w:val="auto"/>
          <w:highlight w:val="none"/>
        </w:rPr>
      </w:pPr>
      <w:r>
        <w:rPr>
          <w:color w:val="auto"/>
          <w:highlight w:val="none"/>
        </w:rP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7"/>
                    <a:stretch>
                      <a:fillRect/>
                    </a:stretch>
                  </pic:blipFill>
                  <pic:spPr>
                    <a:xfrm>
                      <a:off x="0" y="0"/>
                      <a:ext cx="5976620" cy="3242310"/>
                    </a:xfrm>
                    <a:prstGeom prst="rect">
                      <a:avLst/>
                    </a:prstGeom>
                    <a:noFill/>
                    <a:ln>
                      <a:noFill/>
                    </a:ln>
                  </pic:spPr>
                </pic:pic>
              </a:graphicData>
            </a:graphic>
          </wp:inline>
        </w:drawing>
      </w:r>
    </w:p>
    <w:p>
      <w:pPr>
        <w:pStyle w:val="6"/>
        <w:spacing w:before="0" w:after="0" w:line="360" w:lineRule="auto"/>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br w:type="page"/>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、未列入供应商黑名单且未在禁入期承诺函</w:t>
      </w:r>
    </w:p>
    <w:p>
      <w:pPr>
        <w:pStyle w:val="2"/>
        <w:spacing w:before="240"/>
        <w:jc w:val="both"/>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致：</w:t>
      </w:r>
      <w:r>
        <w:rPr>
          <w:rFonts w:hint="eastAsia" w:ascii="仿宋" w:hAnsi="仿宋" w:eastAsia="仿宋" w:cs="Cambria Math"/>
          <w:color w:val="auto"/>
          <w:sz w:val="24"/>
          <w:highlight w:val="none"/>
          <w:u w:val="single"/>
          <w:lang w:eastAsia="zh-CN"/>
        </w:rPr>
        <w:t>中国人民财产保险股份有限公司</w:t>
      </w:r>
      <w:r>
        <w:rPr>
          <w:rFonts w:hint="eastAsia" w:ascii="仿宋" w:hAnsi="仿宋" w:eastAsia="仿宋" w:cs="Cambria Math"/>
          <w:color w:val="auto"/>
          <w:sz w:val="24"/>
          <w:highlight w:val="none"/>
          <w:u w:val="single"/>
          <w:lang w:val="en-US" w:eastAsia="zh-CN"/>
        </w:rPr>
        <w:t>昭苏支</w:t>
      </w:r>
      <w:r>
        <w:rPr>
          <w:rFonts w:hint="eastAsia" w:ascii="仿宋" w:hAnsi="仿宋" w:eastAsia="仿宋" w:cs="Cambria Math"/>
          <w:color w:val="auto"/>
          <w:sz w:val="24"/>
          <w:highlight w:val="none"/>
          <w:u w:val="single"/>
          <w:lang w:eastAsia="zh-CN"/>
        </w:rPr>
        <w:t>公司</w:t>
      </w:r>
      <w:r>
        <w:rPr>
          <w:rFonts w:hint="eastAsia" w:ascii="仿宋" w:hAnsi="仿宋" w:eastAsia="仿宋" w:cs="Cambria Math"/>
          <w:color w:val="auto"/>
          <w:sz w:val="24"/>
          <w:highlight w:val="none"/>
        </w:rPr>
        <w:t>：</w:t>
      </w:r>
    </w:p>
    <w:p>
      <w:pPr>
        <w:adjustRightInd w:val="0"/>
        <w:snapToGrid w:val="0"/>
        <w:spacing w:before="240" w:line="360" w:lineRule="auto"/>
        <w:ind w:firstLine="480" w:firstLineChars="200"/>
        <w:rPr>
          <w:rFonts w:ascii="仿宋" w:hAnsi="仿宋" w:eastAsia="仿宋" w:cs="Cambria Math"/>
          <w:color w:val="auto"/>
          <w:sz w:val="24"/>
          <w:highlight w:val="none"/>
        </w:rPr>
      </w:pPr>
      <w:r>
        <w:rPr>
          <w:rFonts w:hint="eastAsia" w:ascii="仿宋" w:hAnsi="仿宋" w:eastAsia="仿宋" w:cs="Cambria Math"/>
          <w:color w:val="auto"/>
          <w:sz w:val="24"/>
          <w:highlight w:val="none"/>
        </w:rPr>
        <w:t>我方</w:t>
      </w:r>
      <w:r>
        <w:rPr>
          <w:rFonts w:hint="eastAsia" w:ascii="仿宋" w:hAnsi="仿宋" w:eastAsia="仿宋" w:cs="Cambria Math"/>
          <w:color w:val="auto"/>
          <w:sz w:val="24"/>
          <w:highlight w:val="none"/>
          <w:u w:val="single"/>
        </w:rPr>
        <w:t xml:space="preserve">     </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（供应商名称）</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承诺截至本项目响应文件递交截止时间，我方未被列入</w:t>
      </w:r>
      <w:r>
        <w:rPr>
          <w:rFonts w:hint="eastAsia" w:ascii="仿宋" w:hAnsi="仿宋" w:eastAsia="仿宋" w:cs="Cambria Math"/>
          <w:color w:val="auto"/>
          <w:sz w:val="24"/>
          <w:highlight w:val="none"/>
          <w:lang w:val="en-US" w:eastAsia="zh-CN"/>
        </w:rPr>
        <w:t>采购</w:t>
      </w:r>
      <w:r>
        <w:rPr>
          <w:rFonts w:hint="eastAsia" w:ascii="仿宋" w:hAnsi="仿宋" w:eastAsia="仿宋" w:cs="Cambria Math"/>
          <w:color w:val="auto"/>
          <w:sz w:val="24"/>
          <w:highlight w:val="none"/>
        </w:rPr>
        <w:t>人及其所隶属的中国人民保险各级机构的供应商黑名单且未在禁入期内。</w:t>
      </w:r>
    </w:p>
    <w:p>
      <w:pPr>
        <w:pStyle w:val="2"/>
        <w:ind w:firstLine="480" w:firstLineChars="200"/>
        <w:jc w:val="both"/>
        <w:rPr>
          <w:rFonts w:ascii="仿宋" w:hAnsi="仿宋" w:eastAsia="仿宋" w:cs="Cambria Math"/>
          <w:color w:val="auto"/>
          <w:sz w:val="24"/>
          <w:highlight w:val="none"/>
        </w:rPr>
      </w:pPr>
    </w:p>
    <w:p>
      <w:pPr>
        <w:pStyle w:val="2"/>
        <w:ind w:firstLine="480" w:firstLineChars="200"/>
        <w:jc w:val="both"/>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特此承诺。</w:t>
      </w:r>
    </w:p>
    <w:p>
      <w:pPr>
        <w:pStyle w:val="126"/>
        <w:ind w:firstLine="640"/>
        <w:rPr>
          <w:rFonts w:ascii="仿宋" w:hAnsi="仿宋" w:eastAsia="仿宋"/>
          <w:color w:val="auto"/>
          <w:highlight w:val="none"/>
        </w:rPr>
      </w:pPr>
    </w:p>
    <w:p>
      <w:pPr>
        <w:pStyle w:val="126"/>
        <w:ind w:firstLine="640"/>
        <w:rPr>
          <w:rFonts w:ascii="仿宋" w:hAnsi="仿宋" w:eastAsia="仿宋"/>
          <w:color w:val="auto"/>
          <w:highlight w:val="none"/>
        </w:rPr>
      </w:pPr>
    </w:p>
    <w:p>
      <w:pPr>
        <w:spacing w:line="360" w:lineRule="auto"/>
        <w:ind w:firstLine="4080" w:firstLineChars="1700"/>
        <w:jc w:val="right"/>
        <w:rPr>
          <w:rFonts w:ascii="仿宋" w:hAnsi="仿宋" w:eastAsia="仿宋" w:cs="Cambria Math"/>
          <w:color w:val="auto"/>
          <w:sz w:val="24"/>
          <w:highlight w:val="none"/>
        </w:rPr>
      </w:pPr>
    </w:p>
    <w:p>
      <w:pPr>
        <w:spacing w:line="360" w:lineRule="auto"/>
        <w:ind w:firstLine="4080" w:firstLineChars="1700"/>
        <w:jc w:val="right"/>
        <w:rPr>
          <w:rFonts w:ascii="仿宋" w:hAnsi="仿宋" w:eastAsia="仿宋" w:cs="Cambria Math"/>
          <w:color w:val="auto"/>
          <w:sz w:val="24"/>
          <w:highlight w:val="none"/>
        </w:rPr>
      </w:pPr>
    </w:p>
    <w:p>
      <w:pPr>
        <w:spacing w:line="360" w:lineRule="auto"/>
        <w:ind w:firstLine="4080" w:firstLineChars="1700"/>
        <w:jc w:val="right"/>
        <w:rPr>
          <w:rFonts w:ascii="仿宋" w:hAnsi="仿宋" w:eastAsia="仿宋" w:cs="Cambria Math"/>
          <w:color w:val="auto"/>
          <w:sz w:val="24"/>
          <w:highlight w:val="none"/>
        </w:rPr>
      </w:pPr>
    </w:p>
    <w:p>
      <w:pPr>
        <w:spacing w:line="360" w:lineRule="auto"/>
        <w:ind w:firstLine="4080" w:firstLineChars="1700"/>
        <w:jc w:val="right"/>
        <w:rPr>
          <w:rFonts w:ascii="仿宋" w:hAnsi="仿宋" w:eastAsia="仿宋" w:cs="Cambria Math"/>
          <w:color w:val="auto"/>
          <w:sz w:val="24"/>
          <w:highlight w:val="none"/>
        </w:rPr>
      </w:pPr>
    </w:p>
    <w:p>
      <w:pPr>
        <w:spacing w:line="360" w:lineRule="auto"/>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供应商名称：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pPr>
        <w:spacing w:line="360" w:lineRule="auto"/>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pPr>
        <w:pStyle w:val="149"/>
        <w:spacing w:line="360" w:lineRule="auto"/>
        <w:rPr>
          <w:rFonts w:hint="eastAsia" w:ascii="仿宋" w:hAnsi="仿宋" w:eastAsia="仿宋" w:cs="仿宋"/>
          <w:color w:val="auto"/>
          <w:highlight w:val="none"/>
        </w:rPr>
      </w:pPr>
      <w:r>
        <w:rPr>
          <w:rFonts w:hint="eastAsia" w:ascii="仿宋" w:hAnsi="仿宋" w:eastAsia="仿宋" w:cs="仿宋"/>
          <w:color w:val="auto"/>
          <w:szCs w:val="24"/>
          <w:highlight w:val="none"/>
        </w:rPr>
        <w:br w:type="page"/>
      </w:r>
    </w:p>
    <w:p>
      <w:pPr>
        <w:pStyle w:val="6"/>
        <w:spacing w:before="0" w:after="0" w:line="360" w:lineRule="auto"/>
        <w:rPr>
          <w:rFonts w:hint="eastAsia" w:ascii="仿宋" w:hAnsi="仿宋" w:eastAsia="仿宋" w:cs="仿宋"/>
          <w:color w:val="auto"/>
          <w:sz w:val="24"/>
          <w:szCs w:val="24"/>
          <w:highlight w:val="none"/>
        </w:rPr>
      </w:pPr>
      <w:bookmarkStart w:id="202" w:name="_Hlk69983040"/>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、供应商控股及管理关系情况申报表</w:t>
      </w:r>
    </w:p>
    <w:p>
      <w:pPr>
        <w:pStyle w:val="107"/>
        <w:spacing w:before="240" w:after="240" w:line="360" w:lineRule="auto"/>
        <w:ind w:firstLine="0" w:firstLineChars="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供应商控股及管理关系情况申报表</w:t>
      </w:r>
    </w:p>
    <w:p>
      <w:pPr>
        <w:adjustRightInd w:val="0"/>
        <w:snapToGrid w:val="0"/>
        <w:spacing w:line="360" w:lineRule="auto"/>
        <w:ind w:left="0" w:leftChars="-295" w:hanging="619" w:hangingChars="258"/>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致：</w:t>
      </w:r>
      <w:r>
        <w:rPr>
          <w:rFonts w:hint="eastAsia" w:ascii="仿宋" w:hAnsi="仿宋" w:eastAsia="仿宋" w:cs="宋体"/>
          <w:color w:val="auto"/>
          <w:sz w:val="24"/>
          <w:szCs w:val="24"/>
          <w:highlight w:val="none"/>
          <w:u w:val="single"/>
        </w:rPr>
        <w:t xml:space="preserve">  中国人民财产保险股份有限公司</w:t>
      </w:r>
      <w:r>
        <w:rPr>
          <w:rFonts w:hint="eastAsia" w:ascii="仿宋" w:hAnsi="仿宋" w:eastAsia="仿宋" w:cs="宋体"/>
          <w:color w:val="auto"/>
          <w:sz w:val="24"/>
          <w:szCs w:val="24"/>
          <w:highlight w:val="none"/>
          <w:u w:val="single"/>
          <w:lang w:val="en-US" w:eastAsia="zh-CN"/>
        </w:rPr>
        <w:t>昭苏支</w:t>
      </w:r>
      <w:r>
        <w:rPr>
          <w:rFonts w:hint="eastAsia" w:ascii="仿宋" w:hAnsi="仿宋" w:eastAsia="仿宋" w:cs="宋体"/>
          <w:color w:val="auto"/>
          <w:sz w:val="24"/>
          <w:szCs w:val="24"/>
          <w:highlight w:val="none"/>
          <w:u w:val="single"/>
        </w:rPr>
        <w:t xml:space="preserve">公司  </w:t>
      </w:r>
      <w:r>
        <w:rPr>
          <w:rFonts w:hint="eastAsia" w:ascii="仿宋" w:hAnsi="仿宋" w:eastAsia="仿宋" w:cs="宋体"/>
          <w:color w:val="auto"/>
          <w:sz w:val="24"/>
          <w:szCs w:val="24"/>
          <w:highlight w:val="none"/>
        </w:rPr>
        <w:t>：</w:t>
      </w:r>
    </w:p>
    <w:p>
      <w:pPr>
        <w:adjustRightInd w:val="0"/>
        <w:snapToGrid w:val="0"/>
        <w:spacing w:line="360" w:lineRule="auto"/>
        <w:ind w:left="-617" w:leftChars="-294" w:right="-512" w:rightChars="-244" w:firstLine="616" w:firstLineChars="257"/>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我方参加</w:t>
      </w:r>
      <w:r>
        <w:rPr>
          <w:rFonts w:hint="eastAsia" w:ascii="仿宋" w:hAnsi="仿宋" w:eastAsia="仿宋" w:cs="宋体"/>
          <w:color w:val="auto"/>
          <w:sz w:val="24"/>
          <w:szCs w:val="24"/>
          <w:highlight w:val="none"/>
          <w:u w:val="single"/>
        </w:rPr>
        <w:t xml:space="preserve"> 人保财险新疆</w:t>
      </w:r>
      <w:r>
        <w:rPr>
          <w:rFonts w:hint="eastAsia" w:ascii="仿宋" w:hAnsi="仿宋" w:eastAsia="仿宋" w:cs="宋体"/>
          <w:color w:val="auto"/>
          <w:sz w:val="24"/>
          <w:szCs w:val="24"/>
          <w:highlight w:val="none"/>
          <w:u w:val="single"/>
          <w:lang w:val="en-US" w:eastAsia="zh-CN"/>
        </w:rPr>
        <w:t>昭苏</w:t>
      </w:r>
      <w:r>
        <w:rPr>
          <w:rFonts w:hint="eastAsia" w:ascii="仿宋" w:hAnsi="仿宋" w:eastAsia="仿宋" w:cs="宋体"/>
          <w:color w:val="auto"/>
          <w:sz w:val="24"/>
          <w:szCs w:val="24"/>
          <w:highlight w:val="none"/>
          <w:u w:val="single"/>
        </w:rPr>
        <w:t xml:space="preserve">支公司职工食堂食材供应商采购项目 </w:t>
      </w:r>
      <w:r>
        <w:rPr>
          <w:rFonts w:hint="eastAsia" w:ascii="仿宋" w:hAnsi="仿宋" w:eastAsia="仿宋" w:cs="宋体"/>
          <w:color w:val="auto"/>
          <w:sz w:val="24"/>
          <w:szCs w:val="24"/>
          <w:highlight w:val="none"/>
        </w:rPr>
        <w:t>的</w:t>
      </w:r>
      <w:r>
        <w:rPr>
          <w:rFonts w:hint="eastAsia" w:ascii="仿宋" w:hAnsi="仿宋" w:eastAsia="仿宋" w:cs="宋体"/>
          <w:color w:val="auto"/>
          <w:sz w:val="24"/>
          <w:szCs w:val="24"/>
          <w:highlight w:val="none"/>
          <w:lang w:val="en-US" w:eastAsia="zh-CN"/>
        </w:rPr>
        <w:t>磋商</w:t>
      </w:r>
      <w:r>
        <w:rPr>
          <w:rFonts w:hint="eastAsia" w:ascii="仿宋" w:hAnsi="仿宋" w:eastAsia="仿宋" w:cs="宋体"/>
          <w:color w:val="auto"/>
          <w:sz w:val="24"/>
          <w:szCs w:val="24"/>
          <w:highlight w:val="none"/>
        </w:rPr>
        <w:t>，根据法律法规维护投标公正性的相关规定，</w:t>
      </w:r>
      <w:r>
        <w:rPr>
          <w:rFonts w:hint="eastAsia" w:ascii="仿宋" w:hAnsi="仿宋" w:eastAsia="仿宋" w:cs="宋体"/>
          <w:color w:val="auto"/>
          <w:sz w:val="24"/>
          <w:szCs w:val="24"/>
          <w:highlight w:val="none"/>
          <w:lang w:val="en-US" w:eastAsia="zh-CN"/>
        </w:rPr>
        <w:t>我方与采购人之间不存在利害关系可能影响采购公正性的法人、其他组织或者个人，</w:t>
      </w:r>
      <w:r>
        <w:rPr>
          <w:rFonts w:hint="eastAsia" w:ascii="仿宋" w:hAnsi="仿宋" w:eastAsia="仿宋" w:cs="宋体"/>
          <w:color w:val="auto"/>
          <w:sz w:val="24"/>
          <w:szCs w:val="24"/>
          <w:highlight w:val="none"/>
        </w:rPr>
        <w:t>特就本单位控股及管理关系情况申报如下</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并承担申报不实的责任</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如我方中选该项目并签署合同后，一旦发现我方申报不实，采购人可无条件终止合同</w:t>
      </w:r>
      <w:r>
        <w:rPr>
          <w:rFonts w:hint="eastAsia" w:ascii="仿宋" w:hAnsi="仿宋" w:eastAsia="仿宋" w:cs="宋体"/>
          <w:color w:val="auto"/>
          <w:sz w:val="24"/>
          <w:szCs w:val="24"/>
          <w:highlight w:val="none"/>
        </w:rPr>
        <w:t>。</w:t>
      </w:r>
    </w:p>
    <w:tbl>
      <w:tblPr>
        <w:tblStyle w:val="4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rPr>
              <w:t>申报人名称</w:t>
            </w:r>
          </w:p>
        </w:tc>
        <w:tc>
          <w:tcPr>
            <w:tcW w:w="7926" w:type="dxa"/>
            <w:gridSpan w:val="2"/>
            <w:noWrap w:val="0"/>
            <w:vAlign w:val="center"/>
          </w:tcPr>
          <w:p>
            <w:pPr>
              <w:adjustRightInd w:val="0"/>
              <w:snapToGrid w:val="0"/>
              <w:spacing w:line="440" w:lineRule="exact"/>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rPr>
              <w:t>法定代表人/单位负责人</w:t>
            </w:r>
          </w:p>
        </w:tc>
        <w:tc>
          <w:tcPr>
            <w:tcW w:w="2356" w:type="dxa"/>
            <w:noWrap w:val="0"/>
            <w:vAlign w:val="center"/>
          </w:tcPr>
          <w:p>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rPr>
              <w:t>姓    名</w:t>
            </w:r>
          </w:p>
        </w:tc>
        <w:tc>
          <w:tcPr>
            <w:tcW w:w="5570" w:type="dxa"/>
            <w:noWrap w:val="0"/>
            <w:vAlign w:val="center"/>
          </w:tcPr>
          <w:p>
            <w:pPr>
              <w:adjustRightInd w:val="0"/>
              <w:snapToGrid w:val="0"/>
              <w:spacing w:line="440" w:lineRule="exact"/>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auto"/>
                <w:highlight w:val="none"/>
              </w:rPr>
            </w:pPr>
          </w:p>
        </w:tc>
        <w:tc>
          <w:tcPr>
            <w:tcW w:w="2356" w:type="dxa"/>
            <w:noWrap w:val="0"/>
            <w:vAlign w:val="center"/>
          </w:tcPr>
          <w:p>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rPr>
              <w:t>身份证号</w:t>
            </w:r>
          </w:p>
        </w:tc>
        <w:tc>
          <w:tcPr>
            <w:tcW w:w="5570" w:type="dxa"/>
            <w:noWrap w:val="0"/>
            <w:vAlign w:val="center"/>
          </w:tcPr>
          <w:p>
            <w:pPr>
              <w:adjustRightInd w:val="0"/>
              <w:snapToGrid w:val="0"/>
              <w:spacing w:line="440" w:lineRule="exact"/>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pPr>
              <w:adjustRightInd w:val="0"/>
              <w:snapToGrid w:val="0"/>
              <w:spacing w:line="440" w:lineRule="exact"/>
              <w:rPr>
                <w:rFonts w:hint="default" w:ascii="仿宋" w:hAnsi="仿宋" w:eastAsia="仿宋" w:cs="宋体"/>
                <w:color w:val="auto"/>
                <w:highlight w:val="none"/>
                <w:lang w:val="en-US" w:eastAsia="zh-CN"/>
              </w:rPr>
            </w:pPr>
            <w:r>
              <w:rPr>
                <w:rFonts w:hint="eastAsia" w:ascii="仿宋" w:hAnsi="仿宋" w:eastAsia="仿宋" w:cs="宋体"/>
                <w:color w:val="auto"/>
                <w:highlight w:val="none"/>
                <w:lang w:val="en-US" w:eastAsia="zh-CN"/>
              </w:rPr>
              <w:t>单位负责人为同一人单位名称</w:t>
            </w:r>
          </w:p>
        </w:tc>
        <w:tc>
          <w:tcPr>
            <w:tcW w:w="7926" w:type="dxa"/>
            <w:gridSpan w:val="2"/>
            <w:noWrap w:val="0"/>
            <w:vAlign w:val="center"/>
          </w:tcPr>
          <w:p>
            <w:pPr>
              <w:adjustRightInd w:val="0"/>
              <w:snapToGrid w:val="0"/>
              <w:spacing w:line="440" w:lineRule="exact"/>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auto"/>
                <w:highlight w:val="none"/>
                <w:lang w:eastAsia="zh-CN"/>
              </w:rPr>
            </w:pPr>
            <w:r>
              <w:rPr>
                <w:rFonts w:hint="eastAsia" w:ascii="仿宋" w:hAnsi="仿宋" w:eastAsia="仿宋" w:cs="宋体"/>
                <w:color w:val="auto"/>
                <w:highlight w:val="none"/>
              </w:rPr>
              <w:t>控股</w:t>
            </w:r>
            <w:r>
              <w:rPr>
                <w:rFonts w:hint="eastAsia" w:ascii="仿宋" w:hAnsi="仿宋" w:eastAsia="仿宋" w:cs="宋体"/>
                <w:color w:val="auto"/>
                <w:highlight w:val="none"/>
                <w:lang w:val="en-US" w:eastAsia="zh-CN"/>
              </w:rPr>
              <w:t>关系</w:t>
            </w:r>
          </w:p>
        </w:tc>
        <w:tc>
          <w:tcPr>
            <w:tcW w:w="2356" w:type="dxa"/>
            <w:noWrap w:val="0"/>
            <w:vAlign w:val="center"/>
          </w:tcPr>
          <w:p>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rPr>
              <w:t>控股股东/投资人名称及出资比例</w:t>
            </w:r>
          </w:p>
        </w:tc>
        <w:tc>
          <w:tcPr>
            <w:tcW w:w="5570" w:type="dxa"/>
            <w:noWrap w:val="0"/>
            <w:vAlign w:val="center"/>
          </w:tcPr>
          <w:p>
            <w:pPr>
              <w:adjustRightInd w:val="0"/>
              <w:snapToGrid w:val="0"/>
              <w:spacing w:line="440" w:lineRule="exact"/>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auto"/>
                <w:highlight w:val="none"/>
              </w:rPr>
            </w:pPr>
          </w:p>
        </w:tc>
        <w:tc>
          <w:tcPr>
            <w:tcW w:w="2356" w:type="dxa"/>
            <w:noWrap w:val="0"/>
            <w:vAlign w:val="center"/>
          </w:tcPr>
          <w:p>
            <w:pPr>
              <w:adjustRightInd w:val="0"/>
              <w:snapToGrid w:val="0"/>
              <w:spacing w:line="440" w:lineRule="exact"/>
              <w:rPr>
                <w:rFonts w:hint="eastAsia" w:ascii="仿宋" w:hAnsi="仿宋" w:eastAsia="仿宋" w:cs="宋体"/>
                <w:color w:val="auto"/>
                <w:highlight w:val="none"/>
              </w:rPr>
            </w:pPr>
            <w:r>
              <w:rPr>
                <w:rFonts w:hint="eastAsia" w:ascii="仿宋" w:hAnsi="仿宋" w:eastAsia="仿宋" w:cs="宋体"/>
                <w:color w:val="auto"/>
                <w:highlight w:val="none"/>
                <w:lang w:val="en-US" w:eastAsia="zh-CN"/>
              </w:rPr>
              <w:t>被</w:t>
            </w:r>
            <w:r>
              <w:rPr>
                <w:rFonts w:hint="eastAsia" w:ascii="仿宋" w:hAnsi="仿宋" w:eastAsia="仿宋" w:cs="宋体"/>
                <w:color w:val="auto"/>
                <w:highlight w:val="none"/>
              </w:rPr>
              <w:t>控股/</w:t>
            </w:r>
            <w:r>
              <w:rPr>
                <w:rFonts w:hint="eastAsia" w:ascii="仿宋" w:hAnsi="仿宋" w:eastAsia="仿宋" w:cs="宋体"/>
                <w:color w:val="auto"/>
                <w:highlight w:val="none"/>
                <w:lang w:val="en-US" w:eastAsia="zh-CN"/>
              </w:rPr>
              <w:t>被</w:t>
            </w:r>
            <w:r>
              <w:rPr>
                <w:rFonts w:hint="eastAsia" w:ascii="仿宋" w:hAnsi="仿宋" w:eastAsia="仿宋" w:cs="宋体"/>
                <w:color w:val="auto"/>
                <w:highlight w:val="none"/>
              </w:rPr>
              <w:t>投资</w:t>
            </w:r>
            <w:r>
              <w:rPr>
                <w:rFonts w:hint="eastAsia" w:ascii="仿宋" w:hAnsi="仿宋" w:eastAsia="仿宋" w:cs="宋体"/>
                <w:color w:val="auto"/>
                <w:highlight w:val="none"/>
                <w:lang w:val="en-US" w:eastAsia="zh-CN"/>
              </w:rPr>
              <w:t>单位</w:t>
            </w:r>
            <w:r>
              <w:rPr>
                <w:rFonts w:hint="eastAsia" w:ascii="仿宋" w:hAnsi="仿宋" w:eastAsia="仿宋" w:cs="宋体"/>
                <w:color w:val="auto"/>
                <w:highlight w:val="none"/>
              </w:rPr>
              <w:t>名称及出资比例</w:t>
            </w:r>
          </w:p>
        </w:tc>
        <w:tc>
          <w:tcPr>
            <w:tcW w:w="5570" w:type="dxa"/>
            <w:noWrap w:val="0"/>
            <w:vAlign w:val="center"/>
          </w:tcPr>
          <w:p>
            <w:pPr>
              <w:adjustRightInd w:val="0"/>
              <w:snapToGrid w:val="0"/>
              <w:spacing w:line="440" w:lineRule="exact"/>
              <w:rPr>
                <w:rFonts w:hint="eastAsia"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auto"/>
              </w:rPr>
            </w:pPr>
            <w:r>
              <w:rPr>
                <w:rFonts w:hint="eastAsia" w:ascii="仿宋" w:hAnsi="仿宋" w:eastAsia="仿宋" w:cs="宋体"/>
                <w:color w:val="auto"/>
              </w:rPr>
              <w:t>管理关系</w:t>
            </w:r>
          </w:p>
        </w:tc>
        <w:tc>
          <w:tcPr>
            <w:tcW w:w="2356" w:type="dxa"/>
            <w:noWrap w:val="0"/>
            <w:vAlign w:val="center"/>
          </w:tcPr>
          <w:p>
            <w:pPr>
              <w:adjustRightInd w:val="0"/>
              <w:snapToGrid w:val="0"/>
              <w:spacing w:line="440" w:lineRule="exact"/>
              <w:rPr>
                <w:rFonts w:hint="eastAsia" w:ascii="仿宋" w:hAnsi="仿宋" w:eastAsia="仿宋" w:cs="宋体"/>
                <w:color w:val="auto"/>
              </w:rPr>
            </w:pPr>
            <w:r>
              <w:rPr>
                <w:rFonts w:hint="eastAsia" w:ascii="仿宋" w:hAnsi="仿宋" w:eastAsia="仿宋" w:cs="宋体"/>
                <w:color w:val="auto"/>
              </w:rPr>
              <w:t>管理关系单位名称</w:t>
            </w:r>
          </w:p>
        </w:tc>
        <w:tc>
          <w:tcPr>
            <w:tcW w:w="5570" w:type="dxa"/>
            <w:noWrap w:val="0"/>
            <w:vAlign w:val="center"/>
          </w:tcPr>
          <w:p>
            <w:pPr>
              <w:adjustRightInd w:val="0"/>
              <w:snapToGrid w:val="0"/>
              <w:spacing w:line="440" w:lineRule="exact"/>
              <w:rPr>
                <w:rFonts w:hint="eastAsia"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auto"/>
              </w:rPr>
            </w:pPr>
          </w:p>
        </w:tc>
        <w:tc>
          <w:tcPr>
            <w:tcW w:w="2356" w:type="dxa"/>
            <w:noWrap w:val="0"/>
            <w:vAlign w:val="center"/>
          </w:tcPr>
          <w:p>
            <w:pPr>
              <w:adjustRightInd w:val="0"/>
              <w:snapToGrid w:val="0"/>
              <w:spacing w:line="440" w:lineRule="exact"/>
              <w:rPr>
                <w:rFonts w:hint="eastAsia" w:ascii="仿宋" w:hAnsi="仿宋" w:eastAsia="仿宋" w:cs="宋体"/>
                <w:color w:val="auto"/>
              </w:rPr>
            </w:pPr>
            <w:r>
              <w:rPr>
                <w:rFonts w:hint="eastAsia" w:ascii="仿宋" w:hAnsi="仿宋" w:eastAsia="仿宋" w:cs="宋体"/>
                <w:color w:val="auto"/>
              </w:rPr>
              <w:t>被管理关系单位名称</w:t>
            </w:r>
          </w:p>
        </w:tc>
        <w:tc>
          <w:tcPr>
            <w:tcW w:w="5570" w:type="dxa"/>
            <w:noWrap w:val="0"/>
            <w:vAlign w:val="center"/>
          </w:tcPr>
          <w:p>
            <w:pPr>
              <w:adjustRightInd w:val="0"/>
              <w:snapToGrid w:val="0"/>
              <w:spacing w:line="440" w:lineRule="exact"/>
              <w:rPr>
                <w:rFonts w:hint="eastAsia"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pPr>
              <w:adjustRightInd w:val="0"/>
              <w:snapToGrid w:val="0"/>
              <w:spacing w:line="440" w:lineRule="exact"/>
              <w:rPr>
                <w:rFonts w:hint="eastAsia" w:ascii="仿宋" w:hAnsi="仿宋" w:eastAsia="仿宋" w:cs="宋体"/>
                <w:color w:val="auto"/>
              </w:rPr>
            </w:pPr>
            <w:r>
              <w:rPr>
                <w:rFonts w:hint="eastAsia" w:ascii="仿宋" w:hAnsi="仿宋" w:eastAsia="仿宋" w:cs="宋体"/>
                <w:color w:val="auto"/>
              </w:rPr>
              <w:t>备注：</w:t>
            </w:r>
          </w:p>
        </w:tc>
      </w:tr>
    </w:tbl>
    <w:p>
      <w:pPr>
        <w:adjustRightInd w:val="0"/>
        <w:snapToGrid w:val="0"/>
        <w:spacing w:line="360" w:lineRule="auto"/>
        <w:ind w:left="0" w:leftChars="0" w:firstLine="0" w:firstLineChars="0"/>
        <w:rPr>
          <w:rFonts w:hint="eastAsia" w:ascii="仿宋" w:hAnsi="仿宋" w:eastAsia="仿宋" w:cs="宋体"/>
          <w:color w:val="auto"/>
          <w:sz w:val="24"/>
          <w:szCs w:val="24"/>
        </w:rPr>
      </w:pPr>
      <w:r>
        <w:rPr>
          <w:rFonts w:hint="eastAsia" w:ascii="仿宋" w:hAnsi="仿宋" w:eastAsia="仿宋" w:cs="宋体"/>
          <w:color w:val="auto"/>
          <w:sz w:val="24"/>
          <w:szCs w:val="24"/>
        </w:rPr>
        <w:t>注：</w:t>
      </w:r>
    </w:p>
    <w:p>
      <w:pPr>
        <w:adjustRightInd w:val="0"/>
        <w:snapToGrid w:val="0"/>
        <w:spacing w:line="360" w:lineRule="auto"/>
        <w:ind w:left="0" w:leftChars="0" w:firstLine="0" w:firstLineChars="0"/>
        <w:rPr>
          <w:rFonts w:hint="eastAsia" w:ascii="仿宋" w:hAnsi="仿宋" w:eastAsia="仿宋" w:cs="宋体"/>
          <w:color w:val="auto"/>
          <w:sz w:val="24"/>
        </w:rPr>
      </w:pPr>
      <w:r>
        <w:rPr>
          <w:rFonts w:hint="eastAsia" w:ascii="仿宋" w:hAnsi="仿宋" w:eastAsia="仿宋" w:cs="宋体"/>
          <w:color w:val="auto"/>
          <w:sz w:val="24"/>
          <w:szCs w:val="24"/>
          <w:lang w:val="en-US" w:eastAsia="zh-CN"/>
        </w:rPr>
        <w:t>1.</w:t>
      </w:r>
      <w:r>
        <w:rPr>
          <w:rFonts w:hint="eastAsia" w:ascii="仿宋" w:hAnsi="仿宋" w:eastAsia="仿宋" w:cs="宋体"/>
          <w:color w:val="auto"/>
          <w:sz w:val="24"/>
        </w:rPr>
        <w:t>控股股东/投资人是指出资比例在50%以上，或者出资比例不足50%，但享有公司股东会/董事会控制权的投资方（含单位或者个人）</w:t>
      </w:r>
    </w:p>
    <w:p>
      <w:pPr>
        <w:numPr>
          <w:ilvl w:val="0"/>
          <w:numId w:val="0"/>
        </w:numPr>
        <w:adjustRightInd w:val="0"/>
        <w:snapToGrid w:val="0"/>
        <w:spacing w:line="360" w:lineRule="auto"/>
        <w:ind w:leftChars="5"/>
        <w:rPr>
          <w:rFonts w:hint="eastAsia" w:ascii="仿宋" w:hAnsi="仿宋" w:eastAsia="仿宋" w:cs="宋体"/>
          <w:color w:val="auto"/>
          <w:sz w:val="24"/>
        </w:rPr>
      </w:pPr>
      <w:r>
        <w:rPr>
          <w:rFonts w:hint="eastAsia" w:ascii="仿宋" w:hAnsi="仿宋" w:eastAsia="仿宋" w:cs="宋体"/>
          <w:color w:val="auto"/>
          <w:sz w:val="24"/>
          <w:lang w:val="en-US" w:eastAsia="zh-CN"/>
        </w:rPr>
        <w:t>2.</w:t>
      </w:r>
      <w:r>
        <w:rPr>
          <w:rFonts w:hint="eastAsia" w:ascii="仿宋" w:hAnsi="仿宋" w:eastAsia="仿宋" w:cs="宋体"/>
          <w:color w:val="auto"/>
          <w:sz w:val="24"/>
        </w:rPr>
        <w:t xml:space="preserve">管理关系单位是指与不具有出资持股关系的其他单位之间存在管理与被管理关系的单位； </w:t>
      </w:r>
    </w:p>
    <w:p>
      <w:pPr>
        <w:numPr>
          <w:ilvl w:val="0"/>
          <w:numId w:val="0"/>
        </w:numPr>
        <w:adjustRightInd w:val="0"/>
        <w:snapToGrid w:val="0"/>
        <w:spacing w:line="360" w:lineRule="auto"/>
        <w:rPr>
          <w:rFonts w:hint="eastAsia" w:ascii="仿宋" w:hAnsi="仿宋" w:eastAsia="仿宋" w:cs="宋体"/>
          <w:color w:val="auto"/>
          <w:sz w:val="24"/>
        </w:rPr>
      </w:pPr>
      <w:r>
        <w:rPr>
          <w:rFonts w:hint="eastAsia" w:ascii="仿宋" w:hAnsi="仿宋" w:eastAsia="仿宋" w:cs="宋体"/>
          <w:color w:val="auto"/>
          <w:sz w:val="24"/>
        </w:rPr>
        <w:t>3.如未有相关情况，请在相应栏填写“无”。</w:t>
      </w:r>
    </w:p>
    <w:p>
      <w:pPr>
        <w:pStyle w:val="161"/>
        <w:numPr>
          <w:ilvl w:val="0"/>
          <w:numId w:val="0"/>
        </w:numPr>
        <w:adjustRightInd w:val="0"/>
        <w:snapToGrid w:val="0"/>
        <w:spacing w:line="360" w:lineRule="auto"/>
        <w:ind w:leftChars="0"/>
        <w:rPr>
          <w:rFonts w:hint="eastAsia" w:ascii="仿宋" w:hAnsi="仿宋" w:eastAsia="仿宋" w:cs="宋体"/>
          <w:color w:val="auto"/>
          <w:sz w:val="24"/>
        </w:rPr>
      </w:pPr>
      <w:r>
        <w:rPr>
          <w:rFonts w:hint="eastAsia" w:ascii="仿宋" w:hAnsi="仿宋" w:eastAsia="仿宋" w:cs="宋体"/>
          <w:color w:val="auto"/>
          <w:sz w:val="24"/>
          <w:lang w:val="en-US" w:eastAsia="zh-CN"/>
        </w:rPr>
        <w:t>2.</w:t>
      </w:r>
      <w:r>
        <w:rPr>
          <w:rFonts w:hint="eastAsia" w:ascii="仿宋" w:hAnsi="仿宋" w:eastAsia="仿宋" w:cs="宋体"/>
          <w:color w:val="auto"/>
          <w:sz w:val="24"/>
        </w:rPr>
        <w:t xml:space="preserve">管理关系单位是指与不具有出资持股关系的其他单位之间存在管理与被管理关系的单位； </w:t>
      </w:r>
    </w:p>
    <w:p>
      <w:pPr>
        <w:pStyle w:val="161"/>
        <w:numPr>
          <w:ilvl w:val="0"/>
          <w:numId w:val="0"/>
        </w:numPr>
        <w:adjustRightInd w:val="0"/>
        <w:snapToGrid w:val="0"/>
        <w:spacing w:line="360" w:lineRule="auto"/>
        <w:ind w:leftChars="0"/>
        <w:rPr>
          <w:rFonts w:hint="eastAsia" w:ascii="仿宋" w:hAnsi="仿宋" w:eastAsia="仿宋" w:cs="宋体"/>
          <w:color w:val="auto"/>
          <w:sz w:val="24"/>
        </w:rPr>
      </w:pPr>
      <w:r>
        <w:rPr>
          <w:rFonts w:hint="eastAsia" w:ascii="仿宋" w:hAnsi="仿宋" w:eastAsia="仿宋" w:cs="宋体"/>
          <w:color w:val="auto"/>
          <w:sz w:val="24"/>
          <w:lang w:val="en-US" w:eastAsia="zh-CN"/>
        </w:rPr>
        <w:t>3.</w:t>
      </w:r>
      <w:r>
        <w:rPr>
          <w:rFonts w:hint="eastAsia" w:ascii="仿宋" w:hAnsi="仿宋" w:eastAsia="仿宋" w:cs="宋体"/>
          <w:color w:val="auto"/>
          <w:sz w:val="24"/>
        </w:rPr>
        <w:t>如未有相关情况，请在相应栏填写“无”。</w:t>
      </w:r>
    </w:p>
    <w:p>
      <w:pPr>
        <w:spacing w:line="360" w:lineRule="auto"/>
        <w:ind w:left="480" w:hanging="480" w:hangingChars="200"/>
        <w:rPr>
          <w:rFonts w:hint="eastAsia" w:ascii="仿宋" w:hAnsi="仿宋" w:eastAsia="仿宋" w:cs="宋体"/>
          <w:color w:val="auto"/>
          <w:sz w:val="24"/>
          <w:szCs w:val="24"/>
        </w:rPr>
      </w:pPr>
    </w:p>
    <w:p>
      <w:pPr>
        <w:spacing w:line="360" w:lineRule="auto"/>
        <w:ind w:firstLine="4080" w:firstLineChars="1700"/>
        <w:jc w:val="right"/>
        <w:rPr>
          <w:rFonts w:hint="eastAsia" w:ascii="仿宋" w:hAnsi="仿宋" w:eastAsia="仿宋" w:cs="宋体"/>
          <w:color w:val="auto"/>
          <w:sz w:val="24"/>
          <w:szCs w:val="24"/>
        </w:rPr>
      </w:pPr>
      <w:r>
        <w:rPr>
          <w:rFonts w:hint="eastAsia" w:ascii="仿宋" w:hAnsi="仿宋" w:eastAsia="仿宋" w:cs="宋体"/>
          <w:color w:val="auto"/>
          <w:sz w:val="24"/>
          <w:szCs w:val="24"/>
          <w:lang w:val="en-US" w:eastAsia="zh-CN"/>
        </w:rPr>
        <w:t>供应商</w:t>
      </w:r>
      <w:r>
        <w:rPr>
          <w:rFonts w:hint="eastAsia" w:ascii="仿宋" w:hAnsi="仿宋" w:eastAsia="仿宋" w:cs="宋体"/>
          <w:color w:val="auto"/>
          <w:sz w:val="24"/>
          <w:szCs w:val="24"/>
        </w:rPr>
        <w:t>名称：</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（盖章）</w:t>
      </w:r>
    </w:p>
    <w:p>
      <w:pPr>
        <w:spacing w:line="360" w:lineRule="auto"/>
        <w:jc w:val="right"/>
        <w:rPr>
          <w:rFonts w:hint="eastAsia" w:ascii="仿宋" w:hAnsi="仿宋" w:eastAsia="仿宋" w:cs="Cambria Math"/>
          <w:b/>
          <w:bCs/>
          <w:color w:val="auto"/>
          <w:sz w:val="24"/>
          <w:highlight w:val="none"/>
        </w:rPr>
      </w:pPr>
      <w:r>
        <w:rPr>
          <w:rFonts w:hint="eastAsia" w:ascii="仿宋" w:hAnsi="仿宋" w:eastAsia="仿宋" w:cs="宋体"/>
          <w:color w:val="auto"/>
          <w:sz w:val="24"/>
          <w:szCs w:val="24"/>
        </w:rPr>
        <w:t>日期：</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年</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月</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日</w:t>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End w:id="189"/>
      <w:bookmarkEnd w:id="202"/>
      <w:bookmarkStart w:id="203" w:name="_Toc20195"/>
      <w:bookmarkStart w:id="204" w:name="_Toc71192048"/>
      <w:bookmarkStart w:id="205" w:name="_Toc517281859"/>
      <w:bookmarkStart w:id="206" w:name="_Toc432420841"/>
    </w:p>
    <w:p>
      <w:pPr>
        <w:pStyle w:val="5"/>
        <w:numPr>
          <w:ilvl w:val="0"/>
          <w:numId w:val="0"/>
        </w:numPr>
        <w:spacing w:before="0" w:after="0" w:line="360" w:lineRule="auto"/>
        <w:rPr>
          <w:rFonts w:hint="eastAsia" w:ascii="仿宋" w:hAnsi="仿宋" w:eastAsia="仿宋" w:cs="宋体"/>
          <w:color w:val="auto"/>
          <w:sz w:val="24"/>
          <w:highlight w:val="none"/>
        </w:rPr>
        <w:sectPr>
          <w:pgSz w:w="11906" w:h="16838"/>
          <w:pgMar w:top="1417" w:right="1134" w:bottom="1134" w:left="1134" w:header="851" w:footer="992" w:gutter="0"/>
          <w:cols w:space="720" w:num="1"/>
          <w:titlePg/>
          <w:docGrid w:type="lines" w:linePitch="312" w:charSpace="0"/>
        </w:sectPr>
      </w:pPr>
    </w:p>
    <w:p>
      <w:pPr>
        <w:pStyle w:val="6"/>
        <w:numPr>
          <w:ilvl w:val="0"/>
          <w:numId w:val="0"/>
        </w:numPr>
        <w:spacing w:before="0" w:after="0" w:line="360" w:lineRule="auto"/>
        <w:rPr>
          <w:rFonts w:hint="eastAsia" w:ascii="仿宋" w:hAnsi="仿宋" w:eastAsia="仿宋" w:cs="仿宋"/>
          <w:color w:val="auto"/>
          <w:sz w:val="24"/>
          <w:szCs w:val="24"/>
          <w:highlight w:val="none"/>
        </w:rPr>
      </w:pPr>
      <w:bookmarkStart w:id="207" w:name="_Toc144139212"/>
      <w:bookmarkStart w:id="208" w:name="_Toc65683009"/>
      <w:bookmarkStart w:id="209" w:name="_Toc15130"/>
      <w:bookmarkStart w:id="210" w:name="_Toc112068411"/>
      <w:bookmarkStart w:id="211" w:name="_Toc18208"/>
      <w:bookmarkStart w:id="212" w:name="_Toc17890"/>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非联合体磋商响应声明</w:t>
      </w:r>
    </w:p>
    <w:p>
      <w:pPr>
        <w:bidi w:val="0"/>
        <w:rPr>
          <w:rFonts w:hint="eastAsia"/>
          <w:color w:val="auto"/>
        </w:rPr>
      </w:pPr>
      <w:r>
        <w:rPr>
          <w:rFonts w:hint="eastAsia" w:ascii="仿宋" w:hAnsi="仿宋" w:eastAsia="仿宋" w:cs="仿宋"/>
          <w:b w:val="0"/>
          <w:bCs w:val="0"/>
          <w:color w:val="auto"/>
          <w:sz w:val="24"/>
          <w:szCs w:val="24"/>
          <w:highlight w:val="none"/>
        </w:rPr>
        <w:t>（可以根据项目实际情况选择是否设置）</w:t>
      </w:r>
    </w:p>
    <w:p>
      <w:pPr>
        <w:pStyle w:val="2"/>
        <w:spacing w:before="240"/>
        <w:rPr>
          <w:rFonts w:hint="eastAsia" w:ascii="仿宋" w:hAnsi="仿宋" w:eastAsia="仿宋" w:cs="Cambria Math"/>
          <w:b/>
          <w:bCs/>
          <w:color w:val="auto"/>
          <w:sz w:val="24"/>
          <w:highlight w:val="none"/>
        </w:rPr>
      </w:pPr>
      <w:r>
        <w:rPr>
          <w:rFonts w:hint="eastAsia" w:ascii="仿宋" w:hAnsi="仿宋" w:eastAsia="仿宋" w:cs="Cambria Math"/>
          <w:b/>
          <w:bCs/>
          <w:color w:val="auto"/>
          <w:sz w:val="24"/>
          <w:highlight w:val="none"/>
        </w:rPr>
        <w:t>非联合体磋商响应声明</w:t>
      </w:r>
    </w:p>
    <w:p>
      <w:pPr>
        <w:adjustRightInd w:val="0"/>
        <w:snapToGrid w:val="0"/>
        <w:spacing w:before="240" w:line="360" w:lineRule="auto"/>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致：</w:t>
      </w:r>
      <w:r>
        <w:rPr>
          <w:rFonts w:hint="eastAsia" w:ascii="仿宋" w:hAnsi="仿宋" w:eastAsia="仿宋" w:cs="Cambria Math"/>
          <w:color w:val="auto"/>
          <w:sz w:val="24"/>
          <w:highlight w:val="none"/>
          <w:lang w:eastAsia="zh-CN"/>
        </w:rPr>
        <w:t>（</w:t>
      </w:r>
      <w:r>
        <w:rPr>
          <w:rFonts w:hint="eastAsia" w:ascii="仿宋" w:hAnsi="仿宋" w:eastAsia="仿宋" w:cs="Cambria Math"/>
          <w:color w:val="auto"/>
          <w:sz w:val="24"/>
          <w:highlight w:val="none"/>
          <w:lang w:val="en-US" w:eastAsia="zh-CN"/>
        </w:rPr>
        <w:t>采购人</w:t>
      </w:r>
      <w:r>
        <w:rPr>
          <w:rFonts w:hint="eastAsia" w:ascii="仿宋" w:hAnsi="仿宋" w:eastAsia="仿宋" w:cs="Cambria Math"/>
          <w:color w:val="auto"/>
          <w:sz w:val="24"/>
          <w:highlight w:val="none"/>
          <w:lang w:eastAsia="zh-CN"/>
        </w:rPr>
        <w:t>）</w:t>
      </w:r>
      <w:r>
        <w:rPr>
          <w:rFonts w:hint="eastAsia" w:ascii="仿宋" w:hAnsi="仿宋" w:eastAsia="仿宋" w:cs="Cambria Math"/>
          <w:color w:val="auto"/>
          <w:sz w:val="24"/>
          <w:highlight w:val="none"/>
        </w:rPr>
        <w:t>：中国人民财产保险股份有限公司</w:t>
      </w:r>
      <w:r>
        <w:rPr>
          <w:rFonts w:hint="eastAsia" w:ascii="仿宋" w:hAnsi="仿宋" w:eastAsia="仿宋" w:cs="Cambria Math"/>
          <w:color w:val="auto"/>
          <w:sz w:val="24"/>
          <w:highlight w:val="none"/>
          <w:lang w:val="en-US" w:eastAsia="zh-CN"/>
        </w:rPr>
        <w:t>昭苏</w:t>
      </w:r>
      <w:r>
        <w:rPr>
          <w:rFonts w:hint="eastAsia" w:ascii="仿宋" w:hAnsi="仿宋" w:eastAsia="仿宋" w:cs="Cambria Math"/>
          <w:color w:val="auto"/>
          <w:sz w:val="24"/>
          <w:highlight w:val="none"/>
        </w:rPr>
        <w:t>支公司</w:t>
      </w:r>
    </w:p>
    <w:p>
      <w:pPr>
        <w:adjustRightInd w:val="0"/>
        <w:snapToGrid w:val="0"/>
        <w:spacing w:before="240" w:line="360" w:lineRule="auto"/>
        <w:ind w:firstLine="480" w:firstLineChars="200"/>
        <w:rPr>
          <w:rFonts w:ascii="仿宋" w:hAnsi="仿宋" w:eastAsia="仿宋" w:cs="Cambria Math"/>
          <w:color w:val="auto"/>
          <w:sz w:val="24"/>
          <w:highlight w:val="none"/>
        </w:rPr>
      </w:pPr>
      <w:r>
        <w:rPr>
          <w:rFonts w:hint="eastAsia" w:ascii="仿宋" w:hAnsi="仿宋" w:eastAsia="仿宋" w:cs="Cambria Math"/>
          <w:color w:val="auto"/>
          <w:sz w:val="24"/>
          <w:highlight w:val="none"/>
        </w:rPr>
        <w:t>我方</w:t>
      </w:r>
      <w:r>
        <w:rPr>
          <w:rFonts w:hint="eastAsia" w:ascii="仿宋" w:hAnsi="仿宋" w:eastAsia="仿宋" w:cs="Cambria Math"/>
          <w:color w:val="auto"/>
          <w:sz w:val="24"/>
          <w:highlight w:val="none"/>
          <w:u w:val="single"/>
        </w:rPr>
        <w:t xml:space="preserve">     </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u w:val="single"/>
        </w:rPr>
        <w:t>（供应商名称）</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独立参与</w:t>
      </w:r>
      <w:r>
        <w:rPr>
          <w:rFonts w:hint="eastAsia" w:ascii="仿宋" w:hAnsi="仿宋" w:eastAsia="仿宋" w:cs="Cambria Math"/>
          <w:color w:val="auto"/>
          <w:sz w:val="24"/>
          <w:highlight w:val="none"/>
          <w:u w:val="single"/>
        </w:rPr>
        <w:t>人保财险新疆</w:t>
      </w:r>
      <w:r>
        <w:rPr>
          <w:rFonts w:hint="eastAsia" w:ascii="仿宋" w:hAnsi="仿宋" w:eastAsia="仿宋" w:cs="Cambria Math"/>
          <w:color w:val="auto"/>
          <w:sz w:val="24"/>
          <w:highlight w:val="none"/>
          <w:u w:val="single"/>
          <w:lang w:val="en-US" w:eastAsia="zh-CN"/>
        </w:rPr>
        <w:t>昭苏</w:t>
      </w:r>
      <w:r>
        <w:rPr>
          <w:rFonts w:hint="eastAsia" w:ascii="仿宋" w:hAnsi="仿宋" w:eastAsia="仿宋" w:cs="Cambria Math"/>
          <w:color w:val="auto"/>
          <w:sz w:val="24"/>
          <w:highlight w:val="none"/>
          <w:u w:val="single"/>
        </w:rPr>
        <w:t>支公司职工食堂食材供应商采购项目</w:t>
      </w:r>
      <w:r>
        <w:rPr>
          <w:rFonts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磋商响应，非联合体参与磋商响应。</w:t>
      </w:r>
      <w:r>
        <w:rPr>
          <w:rFonts w:ascii="仿宋" w:hAnsi="仿宋" w:eastAsia="仿宋" w:cs="Cambria Math"/>
          <w:color w:val="auto"/>
          <w:sz w:val="24"/>
          <w:highlight w:val="none"/>
        </w:rPr>
        <w:t xml:space="preserve"> </w:t>
      </w:r>
    </w:p>
    <w:p>
      <w:pPr>
        <w:pStyle w:val="2"/>
        <w:ind w:firstLine="480" w:firstLineChars="200"/>
        <w:jc w:val="both"/>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特此声明。</w:t>
      </w:r>
    </w:p>
    <w:p>
      <w:pPr>
        <w:pStyle w:val="126"/>
        <w:ind w:firstLine="640"/>
        <w:rPr>
          <w:rFonts w:ascii="仿宋" w:hAnsi="仿宋" w:eastAsia="仿宋"/>
          <w:color w:val="auto"/>
          <w:highlight w:val="none"/>
        </w:rPr>
      </w:pPr>
    </w:p>
    <w:p>
      <w:pPr>
        <w:pStyle w:val="126"/>
        <w:ind w:firstLine="640"/>
        <w:rPr>
          <w:rFonts w:ascii="仿宋" w:hAnsi="仿宋" w:eastAsia="仿宋"/>
          <w:color w:val="auto"/>
          <w:highlight w:val="none"/>
        </w:rPr>
      </w:pPr>
    </w:p>
    <w:p>
      <w:pPr>
        <w:pStyle w:val="126"/>
        <w:ind w:firstLine="640"/>
        <w:rPr>
          <w:rFonts w:ascii="仿宋" w:hAnsi="仿宋" w:eastAsia="仿宋"/>
          <w:color w:val="auto"/>
          <w:highlight w:val="none"/>
        </w:rPr>
      </w:pPr>
    </w:p>
    <w:p>
      <w:pPr>
        <w:pStyle w:val="126"/>
        <w:ind w:firstLine="640"/>
        <w:rPr>
          <w:rFonts w:ascii="仿宋" w:hAnsi="仿宋" w:eastAsia="仿宋"/>
          <w:color w:val="auto"/>
          <w:highlight w:val="none"/>
        </w:rPr>
      </w:pPr>
    </w:p>
    <w:p>
      <w:pPr>
        <w:pStyle w:val="126"/>
        <w:ind w:firstLine="640"/>
        <w:rPr>
          <w:rFonts w:ascii="仿宋" w:hAnsi="仿宋" w:eastAsia="仿宋"/>
          <w:color w:val="auto"/>
          <w:highlight w:val="none"/>
        </w:rPr>
      </w:pPr>
    </w:p>
    <w:p>
      <w:pPr>
        <w:pStyle w:val="126"/>
        <w:ind w:firstLine="640"/>
        <w:rPr>
          <w:rFonts w:ascii="仿宋" w:hAnsi="仿宋" w:eastAsia="仿宋"/>
          <w:color w:val="auto"/>
          <w:highlight w:val="none"/>
        </w:rPr>
      </w:pPr>
    </w:p>
    <w:p>
      <w:pPr>
        <w:pStyle w:val="126"/>
        <w:ind w:firstLine="640"/>
        <w:rPr>
          <w:rFonts w:hint="eastAsia" w:ascii="仿宋" w:hAnsi="仿宋" w:eastAsia="仿宋"/>
          <w:color w:val="auto"/>
          <w:highlight w:val="none"/>
        </w:rPr>
      </w:pPr>
    </w:p>
    <w:p>
      <w:pPr>
        <w:spacing w:line="360" w:lineRule="auto"/>
        <w:ind w:firstLine="4080" w:firstLineChars="1700"/>
        <w:jc w:val="right"/>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供应商名称：</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（盖章）</w:t>
      </w:r>
    </w:p>
    <w:p>
      <w:pPr>
        <w:spacing w:line="360" w:lineRule="auto"/>
        <w:jc w:val="right"/>
        <w:rPr>
          <w:rFonts w:hint="eastAsia" w:ascii="仿宋" w:hAnsi="仿宋" w:eastAsia="仿宋" w:cs="Cambria Math"/>
          <w:b/>
          <w:bCs/>
          <w:color w:val="auto"/>
          <w:sz w:val="24"/>
          <w:highlight w:val="none"/>
        </w:rPr>
      </w:pPr>
      <w:r>
        <w:rPr>
          <w:rFonts w:hint="eastAsia" w:ascii="仿宋" w:hAnsi="仿宋" w:eastAsia="仿宋" w:cs="Cambria Math"/>
          <w:color w:val="auto"/>
          <w:sz w:val="24"/>
          <w:highlight w:val="none"/>
        </w:rPr>
        <w:t>日期：</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年</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月</w:t>
      </w:r>
      <w:r>
        <w:rPr>
          <w:rFonts w:hint="eastAsia" w:ascii="仿宋" w:hAnsi="仿宋" w:eastAsia="仿宋" w:cs="Cambria Math"/>
          <w:color w:val="auto"/>
          <w:sz w:val="24"/>
          <w:highlight w:val="none"/>
          <w:u w:val="single"/>
        </w:rPr>
        <w:t xml:space="preserve">   </w:t>
      </w:r>
      <w:r>
        <w:rPr>
          <w:rFonts w:hint="eastAsia" w:ascii="仿宋" w:hAnsi="仿宋" w:eastAsia="仿宋" w:cs="Cambria Math"/>
          <w:color w:val="auto"/>
          <w:sz w:val="24"/>
          <w:highlight w:val="none"/>
        </w:rPr>
        <w:t>日</w:t>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br w:type="page"/>
      </w:r>
    </w:p>
    <w:p>
      <w:pPr>
        <w:pStyle w:val="5"/>
        <w:numPr>
          <w:ilvl w:val="0"/>
          <w:numId w:val="0"/>
        </w:numPr>
        <w:tabs>
          <w:tab w:val="clear" w:pos="1440"/>
        </w:tabs>
        <w:spacing w:before="0" w:after="0" w:line="360" w:lineRule="auto"/>
        <w:rPr>
          <w:rFonts w:ascii="仿宋" w:hAnsi="仿宋" w:cs="宋体"/>
          <w:color w:val="auto"/>
          <w:szCs w:val="24"/>
          <w:highlight w:val="none"/>
        </w:rPr>
      </w:pP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五</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供应商</w:t>
      </w:r>
      <w:r>
        <w:rPr>
          <w:rFonts w:ascii="仿宋" w:hAnsi="仿宋" w:eastAsia="仿宋" w:cs="仿宋"/>
          <w:color w:val="auto"/>
          <w:sz w:val="24"/>
          <w:szCs w:val="24"/>
          <w:highlight w:val="none"/>
        </w:rPr>
        <w:t>须知应答偏离表</w:t>
      </w:r>
      <w:bookmarkEnd w:id="207"/>
      <w:bookmarkEnd w:id="208"/>
      <w:bookmarkEnd w:id="209"/>
      <w:bookmarkEnd w:id="210"/>
      <w:bookmarkEnd w:id="211"/>
    </w:p>
    <w:p>
      <w:pPr>
        <w:spacing w:line="360" w:lineRule="auto"/>
        <w:jc w:val="center"/>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供应商须知应答偏离表</w:t>
      </w:r>
    </w:p>
    <w:p>
      <w:pPr>
        <w:spacing w:line="360" w:lineRule="auto"/>
        <w:rPr>
          <w:rFonts w:hint="eastAsia" w:ascii="仿宋" w:hAnsi="仿宋" w:eastAsia="仿宋" w:cs="宋体"/>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序号</w:t>
            </w:r>
          </w:p>
        </w:tc>
        <w:tc>
          <w:tcPr>
            <w:tcW w:w="2285" w:type="dxa"/>
            <w:noWrap w:val="0"/>
            <w:vAlign w:val="center"/>
          </w:tcPr>
          <w:p>
            <w:pPr>
              <w:spacing w:line="360" w:lineRule="auto"/>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条目号</w:t>
            </w:r>
          </w:p>
        </w:tc>
        <w:tc>
          <w:tcPr>
            <w:tcW w:w="2495" w:type="dxa"/>
            <w:noWrap w:val="0"/>
            <w:vAlign w:val="center"/>
          </w:tcPr>
          <w:p>
            <w:pPr>
              <w:spacing w:line="360" w:lineRule="auto"/>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原文内容</w:t>
            </w:r>
          </w:p>
        </w:tc>
        <w:tc>
          <w:tcPr>
            <w:tcW w:w="2704" w:type="dxa"/>
            <w:noWrap w:val="0"/>
            <w:vAlign w:val="center"/>
          </w:tcPr>
          <w:p>
            <w:pPr>
              <w:spacing w:line="360" w:lineRule="auto"/>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应答</w:t>
            </w:r>
          </w:p>
        </w:tc>
        <w:tc>
          <w:tcPr>
            <w:tcW w:w="1408" w:type="dxa"/>
            <w:noWrap w:val="0"/>
            <w:vAlign w:val="center"/>
          </w:tcPr>
          <w:p>
            <w:pPr>
              <w:spacing w:line="360" w:lineRule="auto"/>
              <w:jc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auto"/>
                <w:szCs w:val="21"/>
                <w:highlight w:val="none"/>
              </w:rPr>
            </w:pPr>
          </w:p>
        </w:tc>
        <w:tc>
          <w:tcPr>
            <w:tcW w:w="2285" w:type="dxa"/>
            <w:noWrap w:val="0"/>
            <w:vAlign w:val="top"/>
          </w:tcPr>
          <w:p>
            <w:pPr>
              <w:spacing w:line="360" w:lineRule="auto"/>
              <w:rPr>
                <w:rFonts w:hint="eastAsia" w:ascii="仿宋" w:hAnsi="仿宋" w:eastAsia="仿宋" w:cs="宋体"/>
                <w:color w:val="auto"/>
                <w:szCs w:val="21"/>
                <w:highlight w:val="none"/>
              </w:rPr>
            </w:pPr>
          </w:p>
        </w:tc>
        <w:tc>
          <w:tcPr>
            <w:tcW w:w="2495" w:type="dxa"/>
            <w:noWrap w:val="0"/>
            <w:vAlign w:val="top"/>
          </w:tcPr>
          <w:p>
            <w:pPr>
              <w:spacing w:line="360" w:lineRule="auto"/>
              <w:rPr>
                <w:rFonts w:hint="eastAsia" w:ascii="仿宋" w:hAnsi="仿宋" w:eastAsia="仿宋" w:cs="宋体"/>
                <w:color w:val="auto"/>
                <w:szCs w:val="21"/>
                <w:highlight w:val="none"/>
              </w:rPr>
            </w:pPr>
          </w:p>
        </w:tc>
        <w:tc>
          <w:tcPr>
            <w:tcW w:w="2704" w:type="dxa"/>
            <w:noWrap w:val="0"/>
            <w:vAlign w:val="top"/>
          </w:tcPr>
          <w:p>
            <w:pPr>
              <w:spacing w:line="360" w:lineRule="auto"/>
              <w:rPr>
                <w:rFonts w:hint="eastAsia" w:ascii="仿宋" w:hAnsi="仿宋" w:eastAsia="仿宋" w:cs="宋体"/>
                <w:color w:val="auto"/>
                <w:szCs w:val="21"/>
                <w:highlight w:val="none"/>
              </w:rPr>
            </w:pPr>
          </w:p>
        </w:tc>
        <w:tc>
          <w:tcPr>
            <w:tcW w:w="1408" w:type="dxa"/>
            <w:noWrap w:val="0"/>
            <w:vAlign w:val="top"/>
          </w:tcPr>
          <w:p>
            <w:pPr>
              <w:spacing w:line="360" w:lineRule="auto"/>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宋体"/>
                <w:color w:val="auto"/>
                <w:szCs w:val="21"/>
                <w:highlight w:val="none"/>
              </w:rPr>
            </w:pPr>
          </w:p>
        </w:tc>
        <w:tc>
          <w:tcPr>
            <w:tcW w:w="2285" w:type="dxa"/>
            <w:noWrap w:val="0"/>
            <w:vAlign w:val="top"/>
          </w:tcPr>
          <w:p>
            <w:pPr>
              <w:spacing w:line="360" w:lineRule="auto"/>
              <w:rPr>
                <w:rFonts w:hint="eastAsia" w:ascii="仿宋" w:hAnsi="仿宋" w:eastAsia="仿宋" w:cs="宋体"/>
                <w:color w:val="auto"/>
                <w:szCs w:val="21"/>
                <w:highlight w:val="none"/>
              </w:rPr>
            </w:pPr>
          </w:p>
        </w:tc>
        <w:tc>
          <w:tcPr>
            <w:tcW w:w="2495" w:type="dxa"/>
            <w:noWrap w:val="0"/>
            <w:vAlign w:val="top"/>
          </w:tcPr>
          <w:p>
            <w:pPr>
              <w:spacing w:line="360" w:lineRule="auto"/>
              <w:rPr>
                <w:rFonts w:hint="eastAsia" w:ascii="仿宋" w:hAnsi="仿宋" w:eastAsia="仿宋" w:cs="宋体"/>
                <w:color w:val="auto"/>
                <w:szCs w:val="21"/>
                <w:highlight w:val="none"/>
              </w:rPr>
            </w:pPr>
          </w:p>
        </w:tc>
        <w:tc>
          <w:tcPr>
            <w:tcW w:w="2704" w:type="dxa"/>
            <w:noWrap w:val="0"/>
            <w:vAlign w:val="top"/>
          </w:tcPr>
          <w:p>
            <w:pPr>
              <w:spacing w:line="360" w:lineRule="auto"/>
              <w:rPr>
                <w:rFonts w:hint="eastAsia" w:ascii="仿宋" w:hAnsi="仿宋" w:eastAsia="仿宋" w:cs="宋体"/>
                <w:color w:val="auto"/>
                <w:szCs w:val="21"/>
                <w:highlight w:val="none"/>
              </w:rPr>
            </w:pPr>
          </w:p>
        </w:tc>
        <w:tc>
          <w:tcPr>
            <w:tcW w:w="1408" w:type="dxa"/>
            <w:noWrap w:val="0"/>
            <w:vAlign w:val="top"/>
          </w:tcPr>
          <w:p>
            <w:pPr>
              <w:spacing w:line="360" w:lineRule="auto"/>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auto"/>
                <w:szCs w:val="21"/>
                <w:highlight w:val="none"/>
              </w:rPr>
            </w:pPr>
          </w:p>
        </w:tc>
        <w:tc>
          <w:tcPr>
            <w:tcW w:w="2285" w:type="dxa"/>
            <w:noWrap w:val="0"/>
            <w:vAlign w:val="top"/>
          </w:tcPr>
          <w:p>
            <w:pPr>
              <w:spacing w:line="360" w:lineRule="auto"/>
              <w:rPr>
                <w:rFonts w:hint="eastAsia" w:ascii="仿宋" w:hAnsi="仿宋" w:eastAsia="仿宋" w:cs="宋体"/>
                <w:color w:val="auto"/>
                <w:szCs w:val="21"/>
                <w:highlight w:val="none"/>
              </w:rPr>
            </w:pPr>
          </w:p>
        </w:tc>
        <w:tc>
          <w:tcPr>
            <w:tcW w:w="2495" w:type="dxa"/>
            <w:noWrap w:val="0"/>
            <w:vAlign w:val="top"/>
          </w:tcPr>
          <w:p>
            <w:pPr>
              <w:spacing w:line="360" w:lineRule="auto"/>
              <w:rPr>
                <w:rFonts w:hint="eastAsia" w:ascii="仿宋" w:hAnsi="仿宋" w:eastAsia="仿宋" w:cs="宋体"/>
                <w:color w:val="auto"/>
                <w:szCs w:val="21"/>
                <w:highlight w:val="none"/>
              </w:rPr>
            </w:pPr>
          </w:p>
        </w:tc>
        <w:tc>
          <w:tcPr>
            <w:tcW w:w="2704" w:type="dxa"/>
            <w:noWrap w:val="0"/>
            <w:vAlign w:val="top"/>
          </w:tcPr>
          <w:p>
            <w:pPr>
              <w:spacing w:line="360" w:lineRule="auto"/>
              <w:rPr>
                <w:rFonts w:hint="eastAsia" w:ascii="仿宋" w:hAnsi="仿宋" w:eastAsia="仿宋" w:cs="宋体"/>
                <w:color w:val="auto"/>
                <w:szCs w:val="21"/>
                <w:highlight w:val="none"/>
              </w:rPr>
            </w:pPr>
          </w:p>
        </w:tc>
        <w:tc>
          <w:tcPr>
            <w:tcW w:w="1408" w:type="dxa"/>
            <w:noWrap w:val="0"/>
            <w:vAlign w:val="top"/>
          </w:tcPr>
          <w:p>
            <w:pPr>
              <w:spacing w:line="360" w:lineRule="auto"/>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auto"/>
                <w:szCs w:val="21"/>
                <w:highlight w:val="none"/>
              </w:rPr>
            </w:pPr>
          </w:p>
        </w:tc>
        <w:tc>
          <w:tcPr>
            <w:tcW w:w="2285" w:type="dxa"/>
            <w:noWrap w:val="0"/>
            <w:vAlign w:val="top"/>
          </w:tcPr>
          <w:p>
            <w:pPr>
              <w:spacing w:line="360" w:lineRule="auto"/>
              <w:rPr>
                <w:rFonts w:hint="eastAsia" w:ascii="仿宋" w:hAnsi="仿宋" w:eastAsia="仿宋" w:cs="宋体"/>
                <w:color w:val="auto"/>
                <w:szCs w:val="21"/>
                <w:highlight w:val="none"/>
              </w:rPr>
            </w:pPr>
          </w:p>
        </w:tc>
        <w:tc>
          <w:tcPr>
            <w:tcW w:w="2495" w:type="dxa"/>
            <w:noWrap w:val="0"/>
            <w:vAlign w:val="top"/>
          </w:tcPr>
          <w:p>
            <w:pPr>
              <w:spacing w:line="360" w:lineRule="auto"/>
              <w:rPr>
                <w:rFonts w:hint="eastAsia" w:ascii="仿宋" w:hAnsi="仿宋" w:eastAsia="仿宋" w:cs="宋体"/>
                <w:color w:val="auto"/>
                <w:szCs w:val="21"/>
                <w:highlight w:val="none"/>
              </w:rPr>
            </w:pPr>
          </w:p>
        </w:tc>
        <w:tc>
          <w:tcPr>
            <w:tcW w:w="2704" w:type="dxa"/>
            <w:noWrap w:val="0"/>
            <w:vAlign w:val="top"/>
          </w:tcPr>
          <w:p>
            <w:pPr>
              <w:spacing w:line="360" w:lineRule="auto"/>
              <w:rPr>
                <w:rFonts w:hint="eastAsia" w:ascii="仿宋" w:hAnsi="仿宋" w:eastAsia="仿宋" w:cs="宋体"/>
                <w:color w:val="auto"/>
                <w:szCs w:val="21"/>
                <w:highlight w:val="none"/>
              </w:rPr>
            </w:pPr>
          </w:p>
        </w:tc>
        <w:tc>
          <w:tcPr>
            <w:tcW w:w="1408" w:type="dxa"/>
            <w:noWrap w:val="0"/>
            <w:vAlign w:val="top"/>
          </w:tcPr>
          <w:p>
            <w:pPr>
              <w:spacing w:line="360" w:lineRule="auto"/>
              <w:rPr>
                <w:rFonts w:hint="eastAsia"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宋体"/>
                <w:color w:val="auto"/>
                <w:szCs w:val="21"/>
                <w:highlight w:val="none"/>
              </w:rPr>
            </w:pPr>
          </w:p>
        </w:tc>
        <w:tc>
          <w:tcPr>
            <w:tcW w:w="2285" w:type="dxa"/>
            <w:noWrap w:val="0"/>
            <w:vAlign w:val="top"/>
          </w:tcPr>
          <w:p>
            <w:pPr>
              <w:spacing w:line="360" w:lineRule="auto"/>
              <w:rPr>
                <w:rFonts w:hint="eastAsia" w:ascii="仿宋" w:hAnsi="仿宋" w:eastAsia="仿宋" w:cs="宋体"/>
                <w:color w:val="auto"/>
                <w:szCs w:val="21"/>
                <w:highlight w:val="none"/>
              </w:rPr>
            </w:pPr>
          </w:p>
        </w:tc>
        <w:tc>
          <w:tcPr>
            <w:tcW w:w="2495" w:type="dxa"/>
            <w:noWrap w:val="0"/>
            <w:vAlign w:val="top"/>
          </w:tcPr>
          <w:p>
            <w:pPr>
              <w:spacing w:line="360" w:lineRule="auto"/>
              <w:rPr>
                <w:rFonts w:hint="eastAsia" w:ascii="仿宋" w:hAnsi="仿宋" w:eastAsia="仿宋" w:cs="宋体"/>
                <w:color w:val="auto"/>
                <w:szCs w:val="21"/>
                <w:highlight w:val="none"/>
              </w:rPr>
            </w:pPr>
          </w:p>
        </w:tc>
        <w:tc>
          <w:tcPr>
            <w:tcW w:w="2704" w:type="dxa"/>
            <w:noWrap w:val="0"/>
            <w:vAlign w:val="top"/>
          </w:tcPr>
          <w:p>
            <w:pPr>
              <w:spacing w:line="360" w:lineRule="auto"/>
              <w:rPr>
                <w:rFonts w:hint="eastAsia" w:ascii="仿宋" w:hAnsi="仿宋" w:eastAsia="仿宋" w:cs="宋体"/>
                <w:color w:val="auto"/>
                <w:szCs w:val="21"/>
                <w:highlight w:val="none"/>
              </w:rPr>
            </w:pPr>
          </w:p>
        </w:tc>
        <w:tc>
          <w:tcPr>
            <w:tcW w:w="1408" w:type="dxa"/>
            <w:noWrap w:val="0"/>
            <w:vAlign w:val="top"/>
          </w:tcPr>
          <w:p>
            <w:pPr>
              <w:spacing w:line="360" w:lineRule="auto"/>
              <w:rPr>
                <w:rFonts w:hint="eastAsia" w:ascii="仿宋" w:hAnsi="仿宋" w:eastAsia="仿宋" w:cs="宋体"/>
                <w:color w:val="auto"/>
                <w:szCs w:val="21"/>
                <w:highlight w:val="none"/>
              </w:rPr>
            </w:pPr>
          </w:p>
        </w:tc>
      </w:tr>
    </w:tbl>
    <w:p>
      <w:pPr>
        <w:spacing w:line="360" w:lineRule="auto"/>
        <w:ind w:left="480" w:hanging="480" w:hangingChars="200"/>
        <w:rPr>
          <w:rFonts w:hint="eastAsia" w:ascii="仿宋" w:hAnsi="仿宋" w:eastAsia="仿宋" w:cs="宋体"/>
          <w:b/>
          <w:bCs/>
          <w:color w:val="auto"/>
          <w:sz w:val="24"/>
          <w:highlight w:val="none"/>
        </w:rPr>
      </w:pPr>
      <w:r>
        <w:rPr>
          <w:rFonts w:hint="eastAsia" w:ascii="仿宋" w:hAnsi="仿宋" w:eastAsia="仿宋" w:cs="宋体"/>
          <w:color w:val="auto"/>
          <w:sz w:val="24"/>
          <w:highlight w:val="none"/>
        </w:rPr>
        <w:t>注：所有偏离须在本表中列出，未在本偏离表中列出偏离，将视为供应商已完全接受磋商文件要求</w:t>
      </w:r>
      <w:r>
        <w:rPr>
          <w:rFonts w:hint="eastAsia" w:ascii="仿宋" w:hAnsi="仿宋" w:eastAsia="仿宋" w:cs="宋体"/>
          <w:b/>
          <w:bCs/>
          <w:color w:val="auto"/>
          <w:sz w:val="24"/>
          <w:highlight w:val="none"/>
        </w:rPr>
        <w:t>。如全部满足，在偏离表中应答“全部满足”即可。</w:t>
      </w:r>
    </w:p>
    <w:p>
      <w:pPr>
        <w:spacing w:line="360" w:lineRule="auto"/>
        <w:ind w:firstLine="4080" w:firstLineChars="1700"/>
        <w:jc w:val="right"/>
        <w:rPr>
          <w:rFonts w:ascii="仿宋" w:hAnsi="仿宋" w:eastAsia="仿宋" w:cs="宋体"/>
          <w:color w:val="auto"/>
          <w:sz w:val="24"/>
          <w:highlight w:val="none"/>
        </w:rPr>
      </w:pPr>
    </w:p>
    <w:p>
      <w:pPr>
        <w:spacing w:line="360" w:lineRule="auto"/>
        <w:ind w:firstLine="4080" w:firstLineChars="1700"/>
        <w:jc w:val="right"/>
        <w:rPr>
          <w:rFonts w:ascii="仿宋" w:hAnsi="仿宋" w:eastAsia="仿宋" w:cs="宋体"/>
          <w:color w:val="auto"/>
          <w:sz w:val="24"/>
          <w:highlight w:val="none"/>
        </w:rPr>
      </w:pPr>
    </w:p>
    <w:p>
      <w:pPr>
        <w:spacing w:line="360" w:lineRule="auto"/>
        <w:ind w:firstLine="4080" w:firstLineChars="1700"/>
        <w:jc w:val="right"/>
        <w:rPr>
          <w:rFonts w:ascii="仿宋" w:hAnsi="仿宋" w:eastAsia="仿宋" w:cs="宋体"/>
          <w:color w:val="auto"/>
          <w:sz w:val="24"/>
          <w:highlight w:val="none"/>
        </w:rPr>
      </w:pPr>
    </w:p>
    <w:p>
      <w:pPr>
        <w:spacing w:line="360" w:lineRule="auto"/>
        <w:ind w:firstLine="4080" w:firstLineChars="1700"/>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供应商名称：</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（盖章）</w:t>
      </w:r>
    </w:p>
    <w:p>
      <w:pPr>
        <w:spacing w:line="360" w:lineRule="auto"/>
        <w:jc w:val="right"/>
        <w:rPr>
          <w:rFonts w:hint="eastAsia" w:ascii="仿宋" w:hAnsi="仿宋" w:eastAsia="仿宋" w:cs="宋体"/>
          <w:color w:val="auto"/>
          <w:sz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auto"/>
          <w:sz w:val="24"/>
          <w:highlight w:val="none"/>
        </w:rPr>
        <w:t>日期：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日</w:t>
      </w:r>
    </w:p>
    <w:p>
      <w:pPr>
        <w:numPr>
          <w:ilvl w:val="0"/>
          <w:numId w:val="0"/>
        </w:numPr>
        <w:spacing w:line="360" w:lineRule="auto"/>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合同条款应答偏</w:t>
      </w:r>
      <w:r>
        <w:rPr>
          <w:rFonts w:ascii="仿宋" w:hAnsi="仿宋" w:eastAsia="仿宋" w:cs="仿宋"/>
          <w:b/>
          <w:bCs/>
          <w:color w:val="auto"/>
          <w:sz w:val="24"/>
          <w:szCs w:val="24"/>
          <w:highlight w:val="none"/>
        </w:rPr>
        <w:t>离表</w:t>
      </w:r>
    </w:p>
    <w:p>
      <w:pPr>
        <w:numPr>
          <w:ilvl w:val="0"/>
          <w:numId w:val="0"/>
        </w:num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合同条款应答偏离表</w:t>
      </w:r>
    </w:p>
    <w:p>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序号</w:t>
            </w:r>
          </w:p>
        </w:tc>
        <w:tc>
          <w:tcPr>
            <w:tcW w:w="2285" w:type="dxa"/>
            <w:noWrap w:val="0"/>
            <w:vAlign w:val="center"/>
          </w:tcPr>
          <w:p>
            <w:pPr>
              <w:spacing w:line="360" w:lineRule="auto"/>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条目号</w:t>
            </w:r>
          </w:p>
        </w:tc>
        <w:tc>
          <w:tcPr>
            <w:tcW w:w="2495" w:type="dxa"/>
            <w:noWrap w:val="0"/>
            <w:vAlign w:val="center"/>
          </w:tcPr>
          <w:p>
            <w:pPr>
              <w:spacing w:line="360" w:lineRule="auto"/>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原文内容</w:t>
            </w:r>
          </w:p>
        </w:tc>
        <w:tc>
          <w:tcPr>
            <w:tcW w:w="2704" w:type="dxa"/>
            <w:noWrap w:val="0"/>
            <w:vAlign w:val="center"/>
          </w:tcPr>
          <w:p>
            <w:pPr>
              <w:spacing w:line="360" w:lineRule="auto"/>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应答</w:t>
            </w:r>
          </w:p>
        </w:tc>
        <w:tc>
          <w:tcPr>
            <w:tcW w:w="1408" w:type="dxa"/>
            <w:noWrap w:val="0"/>
            <w:vAlign w:val="center"/>
          </w:tcPr>
          <w:p>
            <w:pPr>
              <w:spacing w:line="360" w:lineRule="auto"/>
              <w:jc w:val="center"/>
              <w:rPr>
                <w:rFonts w:hint="eastAsia" w:ascii="仿宋" w:hAnsi="仿宋" w:eastAsia="仿宋" w:cs="Cambria Math"/>
                <w:color w:val="auto"/>
                <w:szCs w:val="21"/>
                <w:highlight w:val="none"/>
              </w:rPr>
            </w:pPr>
            <w:r>
              <w:rPr>
                <w:rFonts w:hint="eastAsia" w:ascii="仿宋" w:hAnsi="仿宋" w:eastAsia="仿宋" w:cs="Cambria Math"/>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auto"/>
                <w:szCs w:val="21"/>
                <w:highlight w:val="none"/>
              </w:rPr>
            </w:pPr>
          </w:p>
        </w:tc>
        <w:tc>
          <w:tcPr>
            <w:tcW w:w="2285" w:type="dxa"/>
            <w:noWrap w:val="0"/>
            <w:vAlign w:val="top"/>
          </w:tcPr>
          <w:p>
            <w:pPr>
              <w:spacing w:line="360" w:lineRule="auto"/>
              <w:rPr>
                <w:rFonts w:hint="eastAsia" w:ascii="仿宋" w:hAnsi="仿宋" w:eastAsia="仿宋" w:cs="Cambria Math"/>
                <w:color w:val="auto"/>
                <w:szCs w:val="21"/>
                <w:highlight w:val="none"/>
              </w:rPr>
            </w:pPr>
          </w:p>
        </w:tc>
        <w:tc>
          <w:tcPr>
            <w:tcW w:w="2495" w:type="dxa"/>
            <w:noWrap w:val="0"/>
            <w:vAlign w:val="top"/>
          </w:tcPr>
          <w:p>
            <w:pPr>
              <w:spacing w:line="360" w:lineRule="auto"/>
              <w:rPr>
                <w:rFonts w:hint="eastAsia" w:ascii="仿宋" w:hAnsi="仿宋" w:eastAsia="仿宋" w:cs="Cambria Math"/>
                <w:color w:val="auto"/>
                <w:szCs w:val="21"/>
                <w:highlight w:val="none"/>
              </w:rPr>
            </w:pPr>
          </w:p>
        </w:tc>
        <w:tc>
          <w:tcPr>
            <w:tcW w:w="2704" w:type="dxa"/>
            <w:noWrap w:val="0"/>
            <w:vAlign w:val="top"/>
          </w:tcPr>
          <w:p>
            <w:pPr>
              <w:spacing w:line="360" w:lineRule="auto"/>
              <w:rPr>
                <w:rFonts w:hint="eastAsia" w:ascii="仿宋" w:hAnsi="仿宋" w:eastAsia="仿宋" w:cs="Cambria Math"/>
                <w:color w:val="auto"/>
                <w:szCs w:val="21"/>
                <w:highlight w:val="none"/>
              </w:rPr>
            </w:pPr>
          </w:p>
        </w:tc>
        <w:tc>
          <w:tcPr>
            <w:tcW w:w="1408" w:type="dxa"/>
            <w:noWrap w:val="0"/>
            <w:vAlign w:val="top"/>
          </w:tcPr>
          <w:p>
            <w:pPr>
              <w:spacing w:line="360" w:lineRule="auto"/>
              <w:rPr>
                <w:rFonts w:hint="eastAsia" w:ascii="仿宋" w:hAnsi="仿宋" w:eastAsia="仿宋" w:cs="Cambria Math"/>
                <w:color w:val="auto"/>
                <w:szCs w:val="21"/>
                <w:highlight w:val="none"/>
              </w:rPr>
            </w:pPr>
          </w:p>
        </w:tc>
      </w:tr>
    </w:tbl>
    <w:p>
      <w:pPr>
        <w:spacing w:before="240" w:line="360" w:lineRule="auto"/>
        <w:ind w:left="480" w:hanging="480" w:hangingChars="200"/>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注：所有偏离必须在本表中列出，未在本偏离表中列出偏离，将视为供应商已完全接受</w:t>
      </w:r>
      <w:r>
        <w:rPr>
          <w:rFonts w:hint="eastAsia" w:ascii="仿宋" w:hAnsi="仿宋" w:eastAsia="仿宋" w:cs="Cambria Math"/>
          <w:color w:val="auto"/>
          <w:sz w:val="24"/>
          <w:highlight w:val="none"/>
          <w:lang w:eastAsia="zh-CN"/>
        </w:rPr>
        <w:t>比选</w:t>
      </w:r>
      <w:r>
        <w:rPr>
          <w:rFonts w:hint="eastAsia" w:ascii="仿宋" w:hAnsi="仿宋" w:eastAsia="仿宋" w:cs="Cambria Math"/>
          <w:color w:val="auto"/>
          <w:sz w:val="24"/>
          <w:highlight w:val="none"/>
        </w:rPr>
        <w:t>文件要求；</w:t>
      </w:r>
      <w:r>
        <w:rPr>
          <w:rFonts w:hint="eastAsia" w:ascii="仿宋" w:hAnsi="仿宋" w:eastAsia="仿宋" w:cs="Cambria Math"/>
          <w:b/>
          <w:bCs/>
          <w:color w:val="auto"/>
          <w:sz w:val="24"/>
          <w:highlight w:val="none"/>
        </w:rPr>
        <w:t>如全部满足，在偏离表中应答“全部满足”即可</w:t>
      </w:r>
      <w:r>
        <w:rPr>
          <w:rFonts w:hint="eastAsia" w:ascii="仿宋" w:hAnsi="仿宋" w:eastAsia="仿宋" w:cs="Cambria Math"/>
          <w:color w:val="auto"/>
          <w:sz w:val="24"/>
          <w:highlight w:val="none"/>
        </w:rPr>
        <w:t>。</w:t>
      </w:r>
    </w:p>
    <w:p>
      <w:pPr>
        <w:spacing w:line="600" w:lineRule="exact"/>
        <w:rPr>
          <w:rFonts w:hint="eastAsia" w:ascii="仿宋" w:hAnsi="仿宋" w:eastAsia="仿宋" w:cs="仿宋"/>
          <w:color w:val="auto"/>
          <w:szCs w:val="21"/>
          <w:highlight w:val="none"/>
        </w:rPr>
      </w:pPr>
    </w:p>
    <w:p>
      <w:pPr>
        <w:spacing w:line="360" w:lineRule="auto"/>
        <w:ind w:firstLine="420"/>
        <w:jc w:val="right"/>
        <w:rPr>
          <w:rFonts w:ascii="仿宋" w:hAnsi="仿宋" w:eastAsia="仿宋" w:cs="仿宋"/>
          <w:color w:val="auto"/>
          <w:sz w:val="24"/>
          <w:highlight w:val="none"/>
        </w:rPr>
      </w:pPr>
    </w:p>
    <w:p>
      <w:pPr>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pPr>
        <w:spacing w:line="440" w:lineRule="exact"/>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spacing w:line="360" w:lineRule="auto"/>
        <w:rPr>
          <w:rFonts w:hint="eastAsia" w:ascii="仿宋" w:hAnsi="仿宋" w:eastAsia="仿宋" w:cs="仿宋"/>
          <w:color w:val="auto"/>
          <w:highlight w:val="none"/>
          <w:u w:val="single"/>
        </w:rPr>
      </w:pPr>
    </w:p>
    <w:p>
      <w:pPr>
        <w:pStyle w:val="5"/>
        <w:numPr>
          <w:ilvl w:val="0"/>
          <w:numId w:val="0"/>
        </w:numPr>
        <w:spacing w:before="0" w:after="0" w:line="360" w:lineRule="auto"/>
        <w:rPr>
          <w:rFonts w:hint="eastAsia" w:ascii="仿宋" w:hAnsi="仿宋" w:eastAsia="仿宋" w:cs="宋体"/>
          <w:color w:val="auto"/>
          <w:sz w:val="24"/>
          <w:highlight w:val="none"/>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auto"/>
          <w:sz w:val="24"/>
          <w:szCs w:val="24"/>
          <w:highlight w:val="none"/>
        </w:rPr>
        <w:br w:type="page"/>
      </w:r>
    </w:p>
    <w:p>
      <w:pPr>
        <w:pStyle w:val="5"/>
        <w:numPr>
          <w:ilvl w:val="0"/>
          <w:numId w:val="0"/>
        </w:numPr>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）供应商行为准则承诺书</w:t>
      </w:r>
      <w:bookmarkEnd w:id="212"/>
    </w:p>
    <w:p>
      <w:pPr>
        <w:spacing w:line="240" w:lineRule="auto"/>
        <w:jc w:val="center"/>
        <w:rPr>
          <w:rFonts w:ascii="仿宋" w:hAnsi="仿宋" w:eastAsia="仿宋" w:cs="宋体"/>
          <w:b/>
          <w:bCs/>
          <w:color w:val="auto"/>
          <w:sz w:val="28"/>
          <w:szCs w:val="28"/>
          <w:highlight w:val="none"/>
        </w:rPr>
      </w:pPr>
      <w:bookmarkStart w:id="213" w:name="_Toc15599"/>
      <w:r>
        <w:rPr>
          <w:rFonts w:hint="eastAsia" w:ascii="仿宋" w:hAnsi="仿宋" w:eastAsia="仿宋" w:cs="宋体"/>
          <w:b/>
          <w:bCs/>
          <w:color w:val="auto"/>
          <w:sz w:val="28"/>
          <w:szCs w:val="28"/>
          <w:highlight w:val="none"/>
        </w:rPr>
        <w:t>供应商行为准则承诺书</w:t>
      </w:r>
    </w:p>
    <w:p>
      <w:pPr>
        <w:spacing w:line="360" w:lineRule="auto"/>
        <w:ind w:firstLine="480" w:firstLineChars="200"/>
        <w:rPr>
          <w:rFonts w:hint="eastAsia" w:ascii="仿宋" w:hAnsi="仿宋" w:eastAsia="仿宋" w:cs="仿宋"/>
          <w:color w:val="auto"/>
          <w:sz w:val="24"/>
        </w:rPr>
      </w:pP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公司名称（全称、盖章）：________________</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法定代表人（负责人）姓名、职务：__________________</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邮编：__________地址：__________________</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电话：__________传真：__________________</w:t>
      </w:r>
    </w:p>
    <w:p>
      <w:pPr>
        <w:pStyle w:val="141"/>
        <w:spacing w:line="360" w:lineRule="auto"/>
        <w:ind w:firstLine="480"/>
        <w:jc w:val="both"/>
        <w:rPr>
          <w:rFonts w:hint="eastAsia" w:ascii="仿宋" w:hAnsi="仿宋" w:eastAsia="仿宋" w:cs="仿宋"/>
          <w:b w:val="0"/>
          <w:bCs/>
          <w:color w:val="auto"/>
          <w:sz w:val="24"/>
        </w:rPr>
      </w:pPr>
      <w:r>
        <w:rPr>
          <w:rFonts w:hint="eastAsia" w:ascii="仿宋" w:hAnsi="仿宋" w:eastAsia="仿宋" w:cs="仿宋"/>
          <w:b w:val="0"/>
          <w:bCs/>
          <w:color w:val="auto"/>
          <w:sz w:val="24"/>
        </w:rPr>
        <w:t>法定代表人（负责人）或授权代表签字：______________</w:t>
      </w:r>
    </w:p>
    <w:p>
      <w:pPr>
        <w:pStyle w:val="5"/>
        <w:numPr>
          <w:ilvl w:val="0"/>
          <w:numId w:val="0"/>
        </w:numPr>
        <w:spacing w:before="0" w:after="0" w:line="360" w:lineRule="auto"/>
        <w:rPr>
          <w:rFonts w:ascii="仿宋" w:hAnsi="仿宋" w:cs="宋体"/>
          <w:color w:val="auto"/>
          <w:szCs w:val="24"/>
          <w:highlight w:val="none"/>
        </w:rPr>
      </w:pPr>
      <w:r>
        <w:rPr>
          <w:rFonts w:hint="eastAsia" w:ascii="仿宋" w:hAnsi="仿宋" w:eastAsia="仿宋" w:cs="仿宋"/>
          <w:color w:val="auto"/>
        </w:rPr>
        <w:br w:type="page"/>
      </w:r>
      <w:bookmarkStart w:id="214" w:name="_Toc8068"/>
      <w:r>
        <w:rPr>
          <w:rFonts w:hint="eastAsia" w:ascii="仿宋" w:hAnsi="仿宋" w:eastAsia="仿宋" w:cs="宋体"/>
          <w:bCs w:val="0"/>
          <w:color w:val="auto"/>
          <w:sz w:val="24"/>
          <w:szCs w:val="24"/>
          <w:highlight w:val="none"/>
        </w:rPr>
        <w:t>（</w:t>
      </w:r>
      <w:r>
        <w:rPr>
          <w:rFonts w:hint="eastAsia" w:ascii="仿宋" w:hAnsi="仿宋" w:eastAsia="仿宋" w:cs="宋体"/>
          <w:bCs w:val="0"/>
          <w:color w:val="auto"/>
          <w:sz w:val="24"/>
          <w:szCs w:val="24"/>
          <w:highlight w:val="none"/>
          <w:lang w:val="en-US" w:eastAsia="zh-CN"/>
        </w:rPr>
        <w:t>八</w:t>
      </w:r>
      <w:r>
        <w:rPr>
          <w:rFonts w:hint="eastAsia" w:ascii="仿宋" w:hAnsi="仿宋" w:eastAsia="仿宋" w:cs="宋体"/>
          <w:bCs w:val="0"/>
          <w:color w:val="auto"/>
          <w:sz w:val="24"/>
          <w:szCs w:val="24"/>
          <w:highlight w:val="none"/>
        </w:rPr>
        <w:t>）供应商廉洁诚信承诺书</w:t>
      </w:r>
      <w:bookmarkEnd w:id="213"/>
      <w:bookmarkEnd w:id="214"/>
    </w:p>
    <w:p>
      <w:pPr>
        <w:spacing w:line="600" w:lineRule="exact"/>
        <w:jc w:val="center"/>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供应商廉洁诚信承诺书</w:t>
      </w:r>
    </w:p>
    <w:p>
      <w:pPr>
        <w:spacing w:line="360" w:lineRule="auto"/>
        <w:ind w:firstLine="480" w:firstLineChars="200"/>
        <w:rPr>
          <w:rFonts w:hint="eastAsia" w:ascii="仿宋" w:hAnsi="仿宋" w:eastAsia="仿宋" w:cs="宋体"/>
          <w:color w:val="auto"/>
          <w:sz w:val="24"/>
        </w:rPr>
      </w:pP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为维护公平竞争的市场秩序和公正透明的商业环境，保证与</w:t>
      </w:r>
      <w:r>
        <w:rPr>
          <w:rFonts w:hint="eastAsia" w:ascii="仿宋" w:hAnsi="仿宋" w:eastAsia="仿宋" w:cs="仿宋"/>
          <w:color w:val="auto"/>
          <w:sz w:val="24"/>
        </w:rPr>
        <w:t>中国人民保险集团公司、各子公司以及各级分支机构（以下简称“中国人民保险”）</w:t>
      </w:r>
      <w:r>
        <w:rPr>
          <w:rFonts w:hint="eastAsia" w:ascii="仿宋" w:hAnsi="仿宋" w:eastAsia="仿宋" w:cs="宋体"/>
          <w:color w:val="auto"/>
          <w:sz w:val="24"/>
        </w:rPr>
        <w:t>合作项目的顺利进行，我方作为参与</w:t>
      </w:r>
      <w:r>
        <w:rPr>
          <w:rFonts w:hint="eastAsia" w:ascii="仿宋" w:hAnsi="仿宋" w:eastAsia="仿宋" w:cs="仿宋"/>
          <w:color w:val="auto"/>
          <w:sz w:val="24"/>
        </w:rPr>
        <w:t>中国人民保险</w:t>
      </w:r>
      <w:r>
        <w:rPr>
          <w:rFonts w:hint="eastAsia" w:ascii="仿宋" w:hAnsi="仿宋" w:eastAsia="仿宋" w:cs="宋体"/>
          <w:color w:val="auto"/>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sz w:val="24"/>
        </w:rPr>
        <w:t>中国人民保险</w:t>
      </w:r>
      <w:r>
        <w:rPr>
          <w:rFonts w:hint="eastAsia" w:ascii="仿宋" w:hAnsi="仿宋" w:eastAsia="仿宋" w:cs="宋体"/>
          <w:color w:val="auto"/>
          <w:sz w:val="24"/>
        </w:rPr>
        <w:t>的合作过程中郑重承诺如下：</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一、遵守法律法规承诺。我们将严格遵守《中华人民共和国反不正当竞争法》《关于禁止商业贿赂行为的暂行规定》等国家法律法规和</w:t>
      </w:r>
      <w:r>
        <w:rPr>
          <w:rFonts w:hint="eastAsia" w:ascii="仿宋" w:hAnsi="仿宋" w:eastAsia="仿宋" w:cs="仿宋"/>
          <w:color w:val="auto"/>
          <w:sz w:val="24"/>
        </w:rPr>
        <w:t>中国人民保险</w:t>
      </w:r>
      <w:r>
        <w:rPr>
          <w:rFonts w:hint="eastAsia" w:ascii="仿宋" w:hAnsi="仿宋" w:eastAsia="仿宋" w:cs="宋体"/>
          <w:color w:val="auto"/>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二、避免利害关系承诺。我们将在采购过程中主动申报与</w:t>
      </w:r>
      <w:r>
        <w:rPr>
          <w:rFonts w:hint="eastAsia" w:ascii="仿宋" w:hAnsi="仿宋" w:eastAsia="仿宋" w:cs="仿宋"/>
          <w:color w:val="auto"/>
          <w:sz w:val="24"/>
        </w:rPr>
        <w:t>中国人民保险</w:t>
      </w:r>
      <w:r>
        <w:rPr>
          <w:rFonts w:hint="eastAsia" w:ascii="仿宋" w:hAnsi="仿宋" w:eastAsia="仿宋" w:cs="宋体"/>
          <w:color w:val="auto"/>
          <w:sz w:val="24"/>
        </w:rPr>
        <w:t>及相关主体的关联及利害关系，包括我们的相关主体与</w:t>
      </w:r>
      <w:r>
        <w:rPr>
          <w:rFonts w:hint="eastAsia" w:ascii="仿宋" w:hAnsi="仿宋" w:eastAsia="仿宋" w:cs="仿宋"/>
          <w:color w:val="auto"/>
          <w:sz w:val="24"/>
        </w:rPr>
        <w:t>中国人民保险</w:t>
      </w:r>
      <w:r>
        <w:rPr>
          <w:rFonts w:hint="eastAsia" w:ascii="仿宋" w:hAnsi="仿宋" w:eastAsia="仿宋" w:cs="宋体"/>
          <w:color w:val="auto"/>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三、廉洁自律承诺。我们坚决不以任何形式为获取或意图获取交易机会、竞争优势或谋取不正当利益而向</w:t>
      </w:r>
      <w:r>
        <w:rPr>
          <w:rFonts w:hint="eastAsia" w:ascii="仿宋" w:hAnsi="仿宋" w:eastAsia="仿宋" w:cs="仿宋"/>
          <w:color w:val="auto"/>
          <w:sz w:val="24"/>
        </w:rPr>
        <w:t>中国人民保险</w:t>
      </w:r>
      <w:r>
        <w:rPr>
          <w:rFonts w:hint="eastAsia" w:ascii="仿宋" w:hAnsi="仿宋" w:eastAsia="仿宋" w:cs="宋体"/>
          <w:color w:val="auto"/>
          <w:sz w:val="24"/>
        </w:rPr>
        <w:t>或相关主体实施商业贿赂或营私舞弊行为，包括但不限于：</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（2）为其安排有可能影响公平、公正交易的宴请、健身、娱乐等活动；</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（3）为其投资入股、个人借款或买卖股票、债券等提供方便；</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（6）向其提供借款、融资、担保等；</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（7）给予或承诺给予其不正当利益的其他行为；</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（8）其他违反国家法律法规或商业道德准则的影响公正交易的行为。</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我们也不会以任何方式向</w:t>
      </w:r>
      <w:r>
        <w:rPr>
          <w:rFonts w:hint="eastAsia" w:ascii="仿宋" w:hAnsi="仿宋" w:eastAsia="仿宋" w:cs="仿宋"/>
          <w:color w:val="auto"/>
          <w:sz w:val="24"/>
        </w:rPr>
        <w:t>中国人民保险</w:t>
      </w:r>
      <w:r>
        <w:rPr>
          <w:rFonts w:hint="eastAsia" w:ascii="仿宋" w:hAnsi="仿宋" w:eastAsia="仿宋" w:cs="宋体"/>
          <w:color w:val="auto"/>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出借、转让资质证书；</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伙同他人串标、围标或非法排挤竞争对手；</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（4）隐瞒任何可能对贵方利益造成影响的信息，不配合贵方的审计。</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七、配合监督承诺。我们将积极配合</w:t>
      </w:r>
      <w:r>
        <w:rPr>
          <w:rFonts w:hint="eastAsia" w:ascii="仿宋" w:hAnsi="仿宋" w:eastAsia="仿宋" w:cs="仿宋"/>
          <w:color w:val="auto"/>
          <w:sz w:val="24"/>
        </w:rPr>
        <w:t>中国人民保险</w:t>
      </w:r>
      <w:r>
        <w:rPr>
          <w:rFonts w:hint="eastAsia" w:ascii="仿宋" w:hAnsi="仿宋" w:eastAsia="仿宋" w:cs="宋体"/>
          <w:color w:val="auto"/>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八、如违反上述承诺，我方自愿承担以下法律责任：</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（1）如我方及我方工作人员违反本承诺书承诺，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（2）如我方及我方工作人员违反本承诺书承诺，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及其子公司等所有关联主体有权限制或取消我方在</w:t>
      </w:r>
      <w:r>
        <w:rPr>
          <w:rFonts w:hint="eastAsia" w:ascii="仿宋" w:hAnsi="仿宋" w:eastAsia="仿宋" w:cs="仿宋"/>
          <w:color w:val="auto"/>
          <w:sz w:val="24"/>
        </w:rPr>
        <w:t>中国人民保险</w:t>
      </w:r>
      <w:r>
        <w:rPr>
          <w:rFonts w:hint="eastAsia" w:ascii="仿宋" w:hAnsi="仿宋" w:eastAsia="仿宋" w:cs="宋体"/>
          <w:color w:val="auto"/>
          <w:sz w:val="24"/>
        </w:rPr>
        <w:t>参与</w:t>
      </w:r>
      <w:r>
        <w:rPr>
          <w:rFonts w:hint="eastAsia" w:ascii="仿宋" w:hAnsi="仿宋" w:eastAsia="仿宋" w:cs="宋体"/>
          <w:color w:val="auto"/>
          <w:sz w:val="24"/>
          <w:lang w:val="en-US" w:eastAsia="zh-CN"/>
        </w:rPr>
        <w:t>采购</w:t>
      </w:r>
      <w:r>
        <w:rPr>
          <w:rFonts w:hint="eastAsia" w:ascii="仿宋" w:hAnsi="仿宋" w:eastAsia="仿宋" w:cs="宋体"/>
          <w:color w:val="auto"/>
          <w:sz w:val="24"/>
        </w:rPr>
        <w:t>项目的资格；</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（3）如我方及我方工作人员违反本承诺书承诺，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（4）如我方及我方工作人员违反本承诺书承诺，除承担前述（1）（2）（3）项责任外，</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auto"/>
          <w:sz w:val="24"/>
        </w:rPr>
      </w:pP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本承诺书自承诺方签字和盖章之日起生效。如我方成功中选</w:t>
      </w:r>
      <w:r>
        <w:rPr>
          <w:rFonts w:hint="eastAsia" w:ascii="仿宋" w:hAnsi="仿宋" w:eastAsia="仿宋" w:cs="仿宋"/>
          <w:color w:val="auto"/>
          <w:sz w:val="24"/>
        </w:rPr>
        <w:t>中国人民保险</w:t>
      </w:r>
      <w:r>
        <w:rPr>
          <w:rFonts w:hint="eastAsia" w:ascii="仿宋" w:hAnsi="仿宋" w:eastAsia="仿宋" w:cs="宋体"/>
          <w:color w:val="auto"/>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auto"/>
          <w:sz w:val="24"/>
        </w:rPr>
      </w:pPr>
    </w:p>
    <w:p>
      <w:pPr>
        <w:tabs>
          <w:tab w:val="left" w:pos="458"/>
        </w:tabs>
        <w:spacing w:line="360" w:lineRule="auto"/>
        <w:ind w:firstLine="3578" w:firstLineChars="1491"/>
        <w:rPr>
          <w:rFonts w:hint="eastAsia" w:ascii="仿宋" w:hAnsi="仿宋" w:eastAsia="仿宋" w:cs="仿宋"/>
          <w:color w:val="auto"/>
          <w:sz w:val="24"/>
        </w:rPr>
      </w:pPr>
      <w:r>
        <w:rPr>
          <w:rFonts w:hint="eastAsia" w:ascii="仿宋" w:hAnsi="仿宋" w:eastAsia="仿宋" w:cs="仿宋"/>
          <w:color w:val="auto"/>
          <w:sz w:val="24"/>
        </w:rPr>
        <w:t>公司名称（全称、盖章）：________________</w:t>
      </w:r>
    </w:p>
    <w:p>
      <w:pPr>
        <w:spacing w:line="360" w:lineRule="auto"/>
        <w:ind w:firstLine="3578" w:firstLineChars="1491"/>
        <w:rPr>
          <w:rFonts w:hint="eastAsia" w:ascii="仿宋" w:hAnsi="仿宋" w:eastAsia="仿宋" w:cs="仿宋"/>
          <w:color w:val="auto"/>
          <w:sz w:val="24"/>
        </w:rPr>
      </w:pPr>
      <w:r>
        <w:rPr>
          <w:rFonts w:hint="eastAsia" w:ascii="仿宋" w:hAnsi="仿宋" w:eastAsia="仿宋" w:cs="仿宋"/>
          <w:color w:val="auto"/>
          <w:sz w:val="24"/>
        </w:rPr>
        <w:t>法定代表人姓名、职务：__________________</w:t>
      </w:r>
    </w:p>
    <w:p>
      <w:pPr>
        <w:spacing w:line="360" w:lineRule="auto"/>
        <w:ind w:firstLine="3578" w:firstLineChars="1491"/>
        <w:rPr>
          <w:rFonts w:hint="eastAsia" w:ascii="仿宋" w:hAnsi="仿宋" w:eastAsia="仿宋" w:cs="仿宋"/>
          <w:color w:val="auto"/>
          <w:sz w:val="24"/>
        </w:rPr>
      </w:pPr>
      <w:r>
        <w:rPr>
          <w:rFonts w:hint="eastAsia" w:ascii="仿宋" w:hAnsi="仿宋" w:eastAsia="仿宋" w:cs="仿宋"/>
          <w:color w:val="auto"/>
          <w:sz w:val="24"/>
        </w:rPr>
        <w:t>法定代表人或授权代表签字：______________</w:t>
      </w:r>
    </w:p>
    <w:p>
      <w:pPr>
        <w:spacing w:line="360" w:lineRule="auto"/>
        <w:ind w:firstLine="3578" w:firstLineChars="1491"/>
        <w:rPr>
          <w:rFonts w:ascii="仿宋" w:hAnsi="仿宋" w:eastAsia="仿宋" w:cs="仿宋"/>
          <w:color w:val="auto"/>
          <w:sz w:val="24"/>
          <w:szCs w:val="24"/>
          <w:highlight w:val="none"/>
        </w:rPr>
      </w:pPr>
      <w:r>
        <w:rPr>
          <w:rFonts w:hint="eastAsia" w:ascii="仿宋" w:hAnsi="仿宋" w:eastAsia="仿宋" w:cs="仿宋"/>
          <w:b w:val="0"/>
          <w:bCs w:val="0"/>
          <w:color w:val="auto"/>
          <w:kern w:val="2"/>
          <w:sz w:val="24"/>
          <w:szCs w:val="24"/>
          <w:lang w:val="en-US" w:eastAsia="zh-CN" w:bidi="ar-SA"/>
        </w:rPr>
        <w:t>日期：__________________________________</w:t>
      </w:r>
      <w:r>
        <w:rPr>
          <w:rFonts w:hint="eastAsia" w:ascii="仿宋" w:hAnsi="仿宋" w:eastAsia="仿宋" w:cs="仿宋"/>
          <w:color w:val="auto"/>
          <w:highlight w:val="none"/>
        </w:rPr>
        <w:br w:type="page"/>
      </w:r>
      <w:r>
        <w:rPr>
          <w:rStyle w:val="58"/>
          <w:rFonts w:hint="eastAsia" w:ascii="仿宋" w:hAnsi="仿宋" w:eastAsia="仿宋" w:cs="仿宋"/>
          <w:color w:val="auto"/>
          <w:sz w:val="24"/>
          <w:szCs w:val="24"/>
        </w:rPr>
        <w:t>（</w:t>
      </w:r>
      <w:r>
        <w:rPr>
          <w:rStyle w:val="58"/>
          <w:rFonts w:hint="eastAsia" w:ascii="仿宋" w:hAnsi="仿宋" w:eastAsia="仿宋" w:cs="仿宋"/>
          <w:color w:val="auto"/>
          <w:sz w:val="24"/>
          <w:szCs w:val="24"/>
          <w:lang w:val="en-US" w:eastAsia="zh-CN"/>
        </w:rPr>
        <w:t>九</w:t>
      </w:r>
      <w:r>
        <w:rPr>
          <w:rStyle w:val="58"/>
          <w:rFonts w:hint="eastAsia" w:ascii="仿宋" w:hAnsi="仿宋" w:eastAsia="仿宋" w:cs="仿宋"/>
          <w:color w:val="auto"/>
          <w:sz w:val="24"/>
          <w:szCs w:val="24"/>
        </w:rPr>
        <w:t>）其他材料</w:t>
      </w:r>
    </w:p>
    <w:p>
      <w:pPr>
        <w:spacing w:line="360" w:lineRule="auto"/>
        <w:rPr>
          <w:rFonts w:hint="eastAsia" w:ascii="宋体" w:hAnsi="宋体"/>
          <w:color w:val="auto"/>
          <w:kern w:val="0"/>
          <w:szCs w:val="21"/>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auto"/>
          <w:sz w:val="24"/>
          <w:highlight w:val="none"/>
        </w:rPr>
        <w:t>供应商</w:t>
      </w:r>
      <w:r>
        <w:rPr>
          <w:rFonts w:ascii="仿宋" w:hAnsi="仿宋" w:eastAsia="仿宋" w:cs="Cambria Math"/>
          <w:color w:val="auto"/>
          <w:sz w:val="24"/>
          <w:highlight w:val="none"/>
        </w:rPr>
        <w:t>认为需提供的其他材料</w:t>
      </w:r>
      <w:r>
        <w:rPr>
          <w:rFonts w:hint="eastAsia" w:ascii="仿宋" w:hAnsi="仿宋" w:eastAsia="仿宋" w:cs="Cambria Math"/>
          <w:color w:val="auto"/>
          <w:sz w:val="24"/>
          <w:highlight w:val="none"/>
        </w:rPr>
        <w:t>。</w:t>
      </w:r>
    </w:p>
    <w:bookmarkEnd w:id="203"/>
    <w:bookmarkEnd w:id="204"/>
    <w:bookmarkEnd w:id="205"/>
    <w:bookmarkEnd w:id="206"/>
    <w:p>
      <w:pPr>
        <w:rPr>
          <w:rFonts w:hint="eastAsia" w:ascii="仿宋" w:hAnsi="仿宋" w:eastAsia="仿宋" w:cs="仿宋"/>
          <w:color w:val="auto"/>
          <w:sz w:val="24"/>
          <w:szCs w:val="24"/>
          <w:highlight w:val="none"/>
        </w:rPr>
      </w:pPr>
      <w:bookmarkStart w:id="215" w:name="_Toc23108"/>
      <w:r>
        <w:rPr>
          <w:rFonts w:hint="eastAsia" w:ascii="仿宋" w:hAnsi="仿宋" w:eastAsia="仿宋" w:cs="仿宋"/>
          <w:color w:val="auto"/>
          <w:sz w:val="24"/>
          <w:szCs w:val="24"/>
          <w:highlight w:val="none"/>
        </w:rPr>
        <w:br w:type="page"/>
      </w:r>
    </w:p>
    <w:bookmarkEnd w:id="190"/>
    <w:bookmarkEnd w:id="191"/>
    <w:bookmarkEnd w:id="192"/>
    <w:bookmarkEnd w:id="193"/>
    <w:bookmarkEnd w:id="194"/>
    <w:bookmarkEnd w:id="195"/>
    <w:bookmarkEnd w:id="215"/>
    <w:p>
      <w:pPr>
        <w:pStyle w:val="4"/>
        <w:ind w:firstLine="0" w:firstLineChars="0"/>
        <w:jc w:val="both"/>
        <w:rPr>
          <w:rFonts w:hint="eastAsia" w:ascii="仿宋" w:hAnsi="仿宋" w:eastAsia="仿宋" w:cs="仿宋"/>
          <w:color w:val="auto"/>
          <w:sz w:val="24"/>
          <w:szCs w:val="24"/>
          <w:highlight w:val="none"/>
        </w:rPr>
      </w:pPr>
      <w:bookmarkStart w:id="216" w:name="_Toc28698"/>
      <w:bookmarkStart w:id="217" w:name="_Toc444891358"/>
      <w:bookmarkStart w:id="218" w:name="_Toc517281860"/>
      <w:r>
        <w:rPr>
          <w:rFonts w:hint="eastAsia" w:ascii="仿宋" w:hAnsi="仿宋" w:eastAsia="仿宋" w:cs="仿宋"/>
          <w:color w:val="auto"/>
          <w:sz w:val="24"/>
          <w:szCs w:val="24"/>
          <w:highlight w:val="none"/>
        </w:rPr>
        <w:t>二、技术文件</w:t>
      </w:r>
      <w:bookmarkEnd w:id="216"/>
    </w:p>
    <w:p>
      <w:pPr>
        <w:bidi w:val="0"/>
        <w:jc w:val="center"/>
        <w:rPr>
          <w:rFonts w:hint="eastAsia" w:ascii="仿宋" w:hAnsi="仿宋" w:eastAsia="仿宋" w:cs="仿宋"/>
          <w:b/>
          <w:bCs/>
          <w:color w:val="auto"/>
          <w:sz w:val="24"/>
          <w:szCs w:val="24"/>
          <w:highlight w:val="none"/>
        </w:rPr>
      </w:pPr>
      <w:bookmarkStart w:id="219" w:name="_Toc30870"/>
      <w:r>
        <w:rPr>
          <w:rFonts w:hint="eastAsia" w:ascii="仿宋" w:hAnsi="仿宋" w:eastAsia="仿宋" w:cs="仿宋"/>
          <w:b/>
          <w:bCs/>
          <w:color w:val="auto"/>
          <w:sz w:val="24"/>
          <w:szCs w:val="24"/>
          <w:highlight w:val="none"/>
        </w:rPr>
        <w:t>详细评审索引表</w:t>
      </w:r>
      <w:bookmarkEnd w:id="219"/>
    </w:p>
    <w:tbl>
      <w:tblPr>
        <w:tblStyle w:val="4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b/>
                <w:color w:val="auto"/>
                <w:szCs w:val="21"/>
                <w:highlight w:val="none"/>
              </w:rPr>
            </w:pPr>
            <w:r>
              <w:rPr>
                <w:rFonts w:hint="eastAsia" w:ascii="仿宋" w:hAnsi="仿宋" w:eastAsia="仿宋" w:cs="宋体"/>
                <w:b/>
                <w:color w:val="auto"/>
                <w:kern w:val="0"/>
                <w:szCs w:val="21"/>
                <w:highlight w:val="none"/>
                <w:lang w:bidi="ar"/>
              </w:rPr>
              <w:t>序号</w:t>
            </w:r>
          </w:p>
        </w:tc>
        <w:tc>
          <w:tcPr>
            <w:tcW w:w="1696" w:type="dxa"/>
            <w:noWrap w:val="0"/>
            <w:tcMar>
              <w:top w:w="15" w:type="dxa"/>
              <w:left w:w="15" w:type="dxa"/>
              <w:right w:w="15" w:type="dxa"/>
            </w:tcMar>
            <w:vAlign w:val="center"/>
          </w:tcPr>
          <w:p>
            <w:pPr>
              <w:jc w:val="center"/>
              <w:rPr>
                <w:rFonts w:hint="eastAsia" w:ascii="仿宋" w:hAnsi="仿宋" w:eastAsia="仿宋" w:cs="宋体"/>
                <w:b/>
                <w:color w:val="auto"/>
                <w:kern w:val="0"/>
                <w:szCs w:val="21"/>
                <w:highlight w:val="none"/>
                <w:lang w:bidi="ar"/>
              </w:rPr>
            </w:pPr>
            <w:r>
              <w:rPr>
                <w:rFonts w:hint="eastAsia" w:ascii="仿宋" w:hAnsi="仿宋" w:eastAsia="仿宋" w:cs="宋体"/>
                <w:b/>
                <w:bCs/>
                <w:color w:val="auto"/>
                <w:szCs w:val="21"/>
                <w:highlight w:val="none"/>
              </w:rPr>
              <w:t>评审项</w:t>
            </w:r>
          </w:p>
        </w:tc>
        <w:tc>
          <w:tcPr>
            <w:tcW w:w="2268" w:type="dxa"/>
            <w:noWrap w:val="0"/>
            <w:vAlign w:val="top"/>
          </w:tcPr>
          <w:p>
            <w:pPr>
              <w:widowControl/>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lang w:bidi="ar"/>
              </w:rPr>
              <w:t>评审因素</w:t>
            </w:r>
          </w:p>
        </w:tc>
        <w:tc>
          <w:tcPr>
            <w:tcW w:w="4820" w:type="dxa"/>
            <w:noWrap w:val="0"/>
            <w:tcMar>
              <w:top w:w="15" w:type="dxa"/>
              <w:left w:w="15" w:type="dxa"/>
              <w:right w:w="15" w:type="dxa"/>
            </w:tcMar>
            <w:vAlign w:val="center"/>
          </w:tcPr>
          <w:p>
            <w:pPr>
              <w:widowControl/>
              <w:jc w:val="center"/>
              <w:rPr>
                <w:rFonts w:hint="eastAsia" w:ascii="仿宋" w:hAnsi="仿宋" w:eastAsia="仿宋" w:cs="宋体"/>
                <w:b/>
                <w:color w:val="auto"/>
                <w:kern w:val="0"/>
                <w:szCs w:val="21"/>
                <w:highlight w:val="none"/>
              </w:rPr>
            </w:pPr>
            <w:r>
              <w:rPr>
                <w:rFonts w:hint="eastAsia" w:ascii="仿宋" w:hAnsi="仿宋" w:eastAsia="仿宋" w:cs="宋体"/>
                <w:b/>
                <w:color w:val="auto"/>
                <w:kern w:val="0"/>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3</w:t>
            </w:r>
          </w:p>
        </w:tc>
        <w:tc>
          <w:tcPr>
            <w:tcW w:w="1696" w:type="dxa"/>
            <w:vMerge w:val="restart"/>
            <w:noWrap w:val="0"/>
            <w:tcMar>
              <w:top w:w="15" w:type="dxa"/>
              <w:left w:w="15" w:type="dxa"/>
              <w:right w:w="15" w:type="dxa"/>
            </w:tcMar>
            <w:vAlign w:val="center"/>
          </w:tcPr>
          <w:p>
            <w:pPr>
              <w:widowControl/>
              <w:jc w:val="center"/>
              <w:textAlignment w:val="center"/>
              <w:rPr>
                <w:rFonts w:hint="eastAsia" w:ascii="仿宋" w:hAnsi="仿宋" w:eastAsia="仿宋" w:cs="宋体"/>
                <w:color w:val="auto"/>
                <w:szCs w:val="21"/>
                <w:highlight w:val="none"/>
              </w:rPr>
            </w:pPr>
            <w:r>
              <w:rPr>
                <w:rFonts w:hint="eastAsia" w:ascii="仿宋" w:hAnsi="仿宋" w:eastAsia="仿宋" w:cs="宋体"/>
                <w:color w:val="auto"/>
                <w:szCs w:val="21"/>
                <w:highlight w:val="none"/>
              </w:rPr>
              <w:t>技术得分</w:t>
            </w:r>
          </w:p>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szCs w:val="21"/>
                <w:highlight w:val="none"/>
              </w:rPr>
              <w:t>（XX分）</w:t>
            </w:r>
          </w:p>
        </w:tc>
        <w:tc>
          <w:tcPr>
            <w:tcW w:w="2268" w:type="dxa"/>
            <w:noWrap w:val="0"/>
            <w:vAlign w:val="center"/>
          </w:tcPr>
          <w:p>
            <w:pPr>
              <w:jc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pPr>
              <w:rPr>
                <w:rStyle w:val="117"/>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4</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auto"/>
                <w:szCs w:val="21"/>
                <w:highlight w:val="none"/>
              </w:rPr>
            </w:pPr>
          </w:p>
        </w:tc>
        <w:tc>
          <w:tcPr>
            <w:tcW w:w="2268" w:type="dxa"/>
            <w:noWrap w:val="0"/>
            <w:vAlign w:val="center"/>
          </w:tcPr>
          <w:p>
            <w:pPr>
              <w:widowControl/>
              <w:jc w:val="center"/>
              <w:textAlignment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pPr>
              <w:rPr>
                <w:rStyle w:val="117"/>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5</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auto"/>
                <w:szCs w:val="21"/>
                <w:highlight w:val="none"/>
              </w:rPr>
            </w:pPr>
          </w:p>
        </w:tc>
        <w:tc>
          <w:tcPr>
            <w:tcW w:w="2268" w:type="dxa"/>
            <w:noWrap w:val="0"/>
            <w:vAlign w:val="center"/>
          </w:tcPr>
          <w:p>
            <w:pPr>
              <w:widowControl/>
              <w:jc w:val="center"/>
              <w:textAlignment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pPr>
              <w:rPr>
                <w:rStyle w:val="117"/>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auto"/>
                <w:kern w:val="0"/>
                <w:szCs w:val="21"/>
                <w:highlight w:val="none"/>
                <w:lang w:bidi="ar"/>
              </w:rPr>
            </w:pPr>
            <w:r>
              <w:rPr>
                <w:rFonts w:hint="eastAsia" w:ascii="仿宋" w:hAnsi="仿宋" w:eastAsia="仿宋" w:cs="宋体"/>
                <w:color w:val="auto"/>
                <w:kern w:val="0"/>
                <w:szCs w:val="21"/>
                <w:highlight w:val="none"/>
                <w:lang w:bidi="ar"/>
              </w:rPr>
              <w:t>6</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auto"/>
                <w:szCs w:val="21"/>
                <w:highlight w:val="none"/>
              </w:rPr>
            </w:pPr>
          </w:p>
        </w:tc>
        <w:tc>
          <w:tcPr>
            <w:tcW w:w="2268" w:type="dxa"/>
            <w:noWrap w:val="0"/>
            <w:vAlign w:val="center"/>
          </w:tcPr>
          <w:p>
            <w:pPr>
              <w:widowControl/>
              <w:jc w:val="center"/>
              <w:textAlignment w:val="center"/>
              <w:rPr>
                <w:rFonts w:hint="eastAsia" w:ascii="仿宋" w:hAnsi="仿宋" w:eastAsia="仿宋" w:cs="宋体"/>
                <w:color w:val="auto"/>
                <w:szCs w:val="21"/>
                <w:highlight w:val="none"/>
              </w:rPr>
            </w:pPr>
          </w:p>
        </w:tc>
        <w:tc>
          <w:tcPr>
            <w:tcW w:w="4820" w:type="dxa"/>
            <w:noWrap w:val="0"/>
            <w:tcMar>
              <w:top w:w="15" w:type="dxa"/>
              <w:left w:w="15" w:type="dxa"/>
              <w:right w:w="15" w:type="dxa"/>
            </w:tcMar>
            <w:vAlign w:val="center"/>
          </w:tcPr>
          <w:p>
            <w:pPr>
              <w:rPr>
                <w:rStyle w:val="117"/>
                <w:rFonts w:hint="default" w:cs="宋体"/>
                <w:color w:val="auto"/>
                <w:highlight w:val="none"/>
                <w:lang w:bidi="ar"/>
              </w:rPr>
            </w:pP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pPr>
        <w:pStyle w:val="5"/>
        <w:numPr>
          <w:ilvl w:val="0"/>
          <w:numId w:val="0"/>
        </w:numPr>
        <w:spacing w:before="0" w:after="0" w:line="360" w:lineRule="auto"/>
        <w:rPr>
          <w:rFonts w:hint="eastAsia" w:ascii="仿宋" w:hAnsi="仿宋" w:eastAsia="仿宋" w:cs="仿宋"/>
          <w:color w:val="auto"/>
          <w:sz w:val="24"/>
          <w:szCs w:val="24"/>
          <w:highlight w:val="none"/>
        </w:rPr>
      </w:pPr>
      <w:bookmarkStart w:id="220" w:name="_Toc17302"/>
      <w:r>
        <w:rPr>
          <w:rFonts w:hint="eastAsia" w:ascii="仿宋" w:hAnsi="仿宋" w:eastAsia="仿宋" w:cs="仿宋"/>
          <w:color w:val="auto"/>
          <w:sz w:val="24"/>
          <w:szCs w:val="24"/>
          <w:highlight w:val="none"/>
        </w:rPr>
        <w:t>（一）采购需求应答偏离表</w:t>
      </w:r>
      <w:bookmarkEnd w:id="220"/>
    </w:p>
    <w:p>
      <w:pPr>
        <w:spacing w:line="360" w:lineRule="auto"/>
        <w:jc w:val="center"/>
        <w:rPr>
          <w:rFonts w:hint="eastAsia" w:ascii="仿宋" w:hAnsi="仿宋" w:eastAsia="仿宋" w:cs="仿宋"/>
          <w:b/>
          <w:bCs/>
          <w:color w:val="auto"/>
          <w:sz w:val="24"/>
          <w:highlight w:val="none"/>
        </w:rPr>
      </w:pPr>
      <w:bookmarkStart w:id="221" w:name="_Toc293297544"/>
      <w:bookmarkStart w:id="222" w:name="_Toc125771198"/>
      <w:bookmarkStart w:id="223" w:name="_Toc125561188"/>
      <w:r>
        <w:rPr>
          <w:rFonts w:hint="eastAsia" w:ascii="仿宋" w:hAnsi="仿宋" w:eastAsia="仿宋" w:cs="仿宋"/>
          <w:b/>
          <w:bCs/>
          <w:color w:val="auto"/>
          <w:sz w:val="24"/>
          <w:highlight w:val="none"/>
        </w:rPr>
        <w:t>采购需求应答偏离表</w:t>
      </w:r>
      <w:bookmarkEnd w:id="221"/>
      <w:bookmarkEnd w:id="222"/>
      <w:bookmarkEnd w:id="223"/>
    </w:p>
    <w:p>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tbl>
      <w:tblPr>
        <w:tblStyle w:val="4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noWrap w:val="0"/>
            <w:vAlign w:val="center"/>
          </w:tcPr>
          <w:p>
            <w:pPr>
              <w:spacing w:line="360" w:lineRule="auto"/>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154"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254"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1355"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auto"/>
                <w:szCs w:val="21"/>
                <w:highlight w:val="none"/>
              </w:rPr>
            </w:pPr>
          </w:p>
        </w:tc>
        <w:tc>
          <w:tcPr>
            <w:tcW w:w="728" w:type="pct"/>
            <w:tcBorders>
              <w:top w:val="single" w:color="auto" w:sz="4" w:space="0"/>
              <w:left w:val="single" w:color="auto" w:sz="4" w:space="0"/>
              <w:bottom w:val="double" w:color="auto" w:sz="4" w:space="0"/>
              <w:right w:val="double" w:color="auto" w:sz="4" w:space="0"/>
            </w:tcBorders>
            <w:noWrap w:val="0"/>
            <w:vAlign w:val="top"/>
          </w:tcPr>
          <w:p>
            <w:pPr>
              <w:spacing w:line="360" w:lineRule="auto"/>
              <w:rPr>
                <w:rFonts w:hint="eastAsia" w:ascii="仿宋" w:hAnsi="仿宋" w:eastAsia="仿宋" w:cs="仿宋"/>
                <w:color w:val="auto"/>
                <w:szCs w:val="21"/>
                <w:highlight w:val="none"/>
              </w:rPr>
            </w:pPr>
          </w:p>
        </w:tc>
      </w:tr>
    </w:tbl>
    <w:p>
      <w:pPr>
        <w:spacing w:before="240" w:line="360" w:lineRule="auto"/>
        <w:rPr>
          <w:rFonts w:hint="eastAsia" w:ascii="仿宋" w:hAnsi="仿宋" w:eastAsia="仿宋" w:cs="Cambria Math"/>
          <w:color w:val="auto"/>
          <w:sz w:val="24"/>
          <w:highlight w:val="none"/>
        </w:rPr>
      </w:pPr>
      <w:r>
        <w:rPr>
          <w:rFonts w:hint="eastAsia" w:ascii="仿宋" w:hAnsi="仿宋" w:eastAsia="仿宋" w:cs="仿宋"/>
          <w:color w:val="auto"/>
          <w:sz w:val="24"/>
          <w:highlight w:val="none"/>
        </w:rPr>
        <w:t>注：</w:t>
      </w:r>
      <w:r>
        <w:rPr>
          <w:rFonts w:hint="eastAsia" w:ascii="仿宋" w:hAnsi="仿宋" w:eastAsia="仿宋" w:cs="Cambria Math"/>
          <w:color w:val="auto"/>
          <w:sz w:val="24"/>
          <w:highlight w:val="none"/>
        </w:rPr>
        <w:t>对于未列出的偏离内容视同供应商已完全接受</w:t>
      </w:r>
      <w:r>
        <w:rPr>
          <w:rFonts w:hint="eastAsia" w:ascii="仿宋" w:hAnsi="仿宋" w:eastAsia="仿宋" w:cs="Cambria Math"/>
          <w:color w:val="auto"/>
          <w:sz w:val="24"/>
          <w:highlight w:val="none"/>
          <w:lang w:eastAsia="zh-CN"/>
        </w:rPr>
        <w:t>比选</w:t>
      </w:r>
      <w:r>
        <w:rPr>
          <w:rFonts w:hint="eastAsia" w:ascii="仿宋" w:hAnsi="仿宋" w:eastAsia="仿宋" w:cs="Cambria Math"/>
          <w:color w:val="auto"/>
          <w:sz w:val="24"/>
          <w:highlight w:val="none"/>
        </w:rPr>
        <w:t>文件的要求，</w:t>
      </w:r>
      <w:r>
        <w:rPr>
          <w:rFonts w:hint="eastAsia" w:ascii="仿宋" w:hAnsi="仿宋" w:eastAsia="仿宋" w:cs="Cambria Math"/>
          <w:b/>
          <w:bCs/>
          <w:color w:val="auto"/>
          <w:sz w:val="24"/>
          <w:highlight w:val="none"/>
        </w:rPr>
        <w:t>如全部满足，在偏离表中应答“全部满足”即可</w:t>
      </w:r>
      <w:r>
        <w:rPr>
          <w:rFonts w:hint="eastAsia" w:ascii="仿宋" w:hAnsi="仿宋" w:eastAsia="仿宋" w:cs="Cambria Math"/>
          <w:color w:val="auto"/>
          <w:sz w:val="24"/>
          <w:highlight w:val="none"/>
        </w:rPr>
        <w:t>。</w:t>
      </w:r>
    </w:p>
    <w:p>
      <w:pPr>
        <w:spacing w:line="360" w:lineRule="auto"/>
        <w:ind w:left="480" w:hanging="480" w:hangingChars="200"/>
        <w:rPr>
          <w:rFonts w:hint="eastAsia" w:ascii="仿宋" w:hAnsi="仿宋" w:eastAsia="仿宋" w:cs="仿宋"/>
          <w:color w:val="auto"/>
          <w:sz w:val="24"/>
          <w:highlight w:val="none"/>
        </w:rPr>
      </w:pPr>
    </w:p>
    <w:p>
      <w:pPr>
        <w:spacing w:line="440" w:lineRule="exact"/>
        <w:ind w:firstLine="4080" w:firstLineChars="1700"/>
        <w:jc w:val="right"/>
        <w:rPr>
          <w:rFonts w:hint="eastAsia" w:ascii="仿宋" w:hAnsi="仿宋" w:eastAsia="仿宋" w:cs="仿宋"/>
          <w:color w:val="auto"/>
          <w:sz w:val="24"/>
          <w:highlight w:val="none"/>
        </w:rPr>
      </w:pPr>
    </w:p>
    <w:p>
      <w:pPr>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pPr>
        <w:spacing w:line="440" w:lineRule="exact"/>
        <w:jc w:val="righ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spacing w:line="360" w:lineRule="auto"/>
        <w:rPr>
          <w:rFonts w:hint="eastAsia" w:ascii="仿宋" w:hAnsi="仿宋" w:eastAsia="仿宋" w:cs="仿宋"/>
          <w:color w:val="auto"/>
          <w:sz w:val="24"/>
          <w:highlight w:val="yellow"/>
        </w:rPr>
      </w:pPr>
    </w:p>
    <w:p>
      <w:pPr>
        <w:pStyle w:val="5"/>
        <w:numPr>
          <w:ilvl w:val="0"/>
          <w:numId w:val="0"/>
        </w:numPr>
        <w:spacing w:before="0" w:after="0" w:line="360" w:lineRule="auto"/>
        <w:ind w:left="1152" w:hanging="1152"/>
        <w:rPr>
          <w:rFonts w:hint="eastAsia" w:ascii="仿宋" w:hAnsi="仿宋" w:eastAsia="仿宋" w:cs="仿宋"/>
          <w:color w:val="auto"/>
          <w:sz w:val="24"/>
          <w:szCs w:val="24"/>
          <w:highlight w:val="none"/>
        </w:rPr>
      </w:pPr>
      <w:r>
        <w:rPr>
          <w:rFonts w:hint="eastAsia" w:ascii="仿宋" w:hAnsi="仿宋" w:eastAsia="仿宋" w:cs="仿宋"/>
          <w:color w:val="auto"/>
          <w:highlight w:val="yellow"/>
        </w:rPr>
        <w:br w:type="page"/>
      </w:r>
      <w:bookmarkStart w:id="224" w:name="_Toc8284"/>
      <w:r>
        <w:rPr>
          <w:rFonts w:hint="eastAsia" w:ascii="仿宋" w:hAnsi="仿宋" w:eastAsia="仿宋" w:cs="仿宋"/>
          <w:color w:val="auto"/>
          <w:sz w:val="24"/>
          <w:szCs w:val="24"/>
          <w:highlight w:val="none"/>
        </w:rPr>
        <w:t>（二）技术方案</w:t>
      </w:r>
      <w:bookmarkEnd w:id="224"/>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供应商应根据采购需求的要求，提供相应的文件内容以及证明材料。 </w:t>
      </w:r>
      <w:r>
        <w:rPr>
          <w:rFonts w:hint="eastAsia" w:ascii="仿宋" w:hAnsi="仿宋" w:eastAsia="仿宋" w:cs="仿宋"/>
          <w:color w:val="auto"/>
          <w:sz w:val="24"/>
          <w:highlight w:val="none"/>
        </w:rPr>
        <w:br w:type="page"/>
      </w:r>
    </w:p>
    <w:bookmarkEnd w:id="196"/>
    <w:bookmarkEnd w:id="197"/>
    <w:bookmarkEnd w:id="198"/>
    <w:bookmarkEnd w:id="199"/>
    <w:bookmarkEnd w:id="200"/>
    <w:bookmarkEnd w:id="201"/>
    <w:bookmarkEnd w:id="217"/>
    <w:bookmarkEnd w:id="218"/>
    <w:p>
      <w:pPr>
        <w:pStyle w:val="6"/>
        <w:numPr>
          <w:ilvl w:val="0"/>
          <w:numId w:val="0"/>
        </w:numPr>
        <w:rPr>
          <w:rFonts w:hint="eastAsia" w:ascii="仿宋" w:hAnsi="仿宋" w:eastAsia="仿宋" w:cs="Cambria Math"/>
          <w:color w:val="auto"/>
          <w:sz w:val="24"/>
          <w:szCs w:val="24"/>
          <w:highlight w:val="none"/>
        </w:rPr>
      </w:pPr>
      <w:bookmarkStart w:id="225" w:name="_Toc20443"/>
      <w:r>
        <w:rPr>
          <w:rFonts w:hint="eastAsia" w:ascii="仿宋" w:hAnsi="仿宋" w:eastAsia="仿宋" w:cs="Cambria Math"/>
          <w:color w:val="auto"/>
          <w:sz w:val="24"/>
          <w:szCs w:val="24"/>
          <w:highlight w:val="none"/>
          <w:lang w:val="en-US" w:eastAsia="zh-CN"/>
        </w:rPr>
        <w:t>1、</w:t>
      </w:r>
      <w:r>
        <w:rPr>
          <w:rFonts w:hint="eastAsia" w:ascii="仿宋" w:hAnsi="仿宋" w:eastAsia="仿宋" w:cs="Cambria Math"/>
          <w:color w:val="auto"/>
          <w:sz w:val="24"/>
          <w:szCs w:val="24"/>
          <w:highlight w:val="none"/>
        </w:rPr>
        <w:t>拟派服务团队成员汇总表</w:t>
      </w:r>
    </w:p>
    <w:tbl>
      <w:tblPr>
        <w:tblStyle w:val="40"/>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260" w:type="dxa"/>
            <w:noWrap w:val="0"/>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姓名</w:t>
            </w:r>
          </w:p>
        </w:tc>
        <w:tc>
          <w:tcPr>
            <w:tcW w:w="851" w:type="dxa"/>
            <w:noWrap w:val="0"/>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学历</w:t>
            </w:r>
          </w:p>
        </w:tc>
        <w:tc>
          <w:tcPr>
            <w:tcW w:w="980" w:type="dxa"/>
            <w:noWrap w:val="0"/>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专业资质</w:t>
            </w:r>
          </w:p>
        </w:tc>
        <w:tc>
          <w:tcPr>
            <w:tcW w:w="992" w:type="dxa"/>
            <w:noWrap w:val="0"/>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工作年限</w:t>
            </w:r>
          </w:p>
        </w:tc>
        <w:tc>
          <w:tcPr>
            <w:tcW w:w="1276" w:type="dxa"/>
            <w:noWrap w:val="0"/>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本项目职务</w:t>
            </w:r>
          </w:p>
        </w:tc>
        <w:tc>
          <w:tcPr>
            <w:tcW w:w="1134" w:type="dxa"/>
            <w:noWrap w:val="0"/>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服务内容</w:t>
            </w:r>
          </w:p>
        </w:tc>
        <w:tc>
          <w:tcPr>
            <w:tcW w:w="1695" w:type="dxa"/>
            <w:noWrap w:val="0"/>
            <w:vAlign w:val="center"/>
          </w:tcPr>
          <w:p>
            <w:pPr>
              <w:snapToGrid w:val="0"/>
              <w:spacing w:line="300" w:lineRule="exact"/>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26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auto"/>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26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auto"/>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26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auto"/>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126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auto"/>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auto"/>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auto"/>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auto"/>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auto"/>
                <w:szCs w:val="21"/>
                <w:highlight w:val="none"/>
              </w:rPr>
            </w:pPr>
          </w:p>
        </w:tc>
      </w:tr>
    </w:tbl>
    <w:p>
      <w:pPr>
        <w:adjustRightInd w:val="0"/>
        <w:snapToGrid w:val="0"/>
        <w:spacing w:before="240" w:line="360" w:lineRule="auto"/>
        <w:ind w:firstLine="482" w:firstLineChars="200"/>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注：需按照采购需求中的相关要求，列明本项目服务团队所有人员信息及职责分工。</w:t>
      </w: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rPr>
          <w:rFonts w:hint="eastAsia" w:ascii="仿宋" w:hAnsi="仿宋" w:eastAsia="仿宋" w:cs="Cambria Math"/>
          <w:color w:val="auto"/>
          <w:sz w:val="24"/>
          <w:szCs w:val="24"/>
          <w:highlight w:val="none"/>
          <w:lang w:val="en-US" w:eastAsia="zh-CN"/>
        </w:rPr>
      </w:pPr>
    </w:p>
    <w:p>
      <w:pPr>
        <w:pStyle w:val="2"/>
        <w:rPr>
          <w:rFonts w:hint="eastAsia"/>
          <w:color w:val="auto"/>
          <w:lang w:val="en-US" w:eastAsia="zh-CN"/>
        </w:rPr>
      </w:pPr>
    </w:p>
    <w:p>
      <w:pPr>
        <w:pStyle w:val="6"/>
        <w:spacing w:before="0" w:after="0"/>
        <w:rPr>
          <w:rFonts w:hint="eastAsia" w:ascii="仿宋" w:hAnsi="仿宋" w:eastAsia="仿宋" w:cs="Cambria Math"/>
          <w:color w:val="auto"/>
          <w:sz w:val="24"/>
          <w:szCs w:val="24"/>
          <w:highlight w:val="none"/>
          <w:lang w:val="en-US" w:eastAsia="zh-CN"/>
        </w:rPr>
      </w:pPr>
    </w:p>
    <w:p>
      <w:pPr>
        <w:rPr>
          <w:rFonts w:hint="eastAsia"/>
          <w:lang w:val="en-US" w:eastAsia="zh-CN"/>
        </w:rPr>
      </w:pPr>
    </w:p>
    <w:p>
      <w:pPr>
        <w:pStyle w:val="6"/>
        <w:spacing w:before="0" w:after="0"/>
        <w:rPr>
          <w:rFonts w:hint="eastAsia" w:ascii="仿宋" w:hAnsi="仿宋" w:eastAsia="仿宋" w:cs="仿宋"/>
          <w:b w:val="0"/>
          <w:bCs w:val="0"/>
          <w:color w:val="auto"/>
          <w:sz w:val="24"/>
          <w:szCs w:val="24"/>
          <w:highlight w:val="none"/>
        </w:rPr>
      </w:pPr>
      <w:r>
        <w:rPr>
          <w:rFonts w:hint="eastAsia" w:ascii="仿宋" w:hAnsi="仿宋" w:eastAsia="仿宋" w:cs="Cambria Math"/>
          <w:color w:val="auto"/>
          <w:sz w:val="24"/>
          <w:szCs w:val="24"/>
          <w:highlight w:val="none"/>
          <w:lang w:val="en-US" w:eastAsia="zh-CN"/>
        </w:rPr>
        <w:t>2、</w:t>
      </w:r>
      <w:r>
        <w:rPr>
          <w:rFonts w:hint="eastAsia" w:ascii="仿宋" w:hAnsi="仿宋" w:eastAsia="仿宋" w:cs="Cambria Math"/>
          <w:color w:val="auto"/>
          <w:sz w:val="24"/>
          <w:szCs w:val="24"/>
          <w:highlight w:val="none"/>
        </w:rPr>
        <w:t>拟派团队成员简历表</w:t>
      </w:r>
    </w:p>
    <w:p>
      <w:pPr>
        <w:pStyle w:val="2"/>
        <w:rPr>
          <w:rFonts w:hint="eastAsia"/>
          <w:color w:val="auto"/>
        </w:rPr>
      </w:pPr>
    </w:p>
    <w:tbl>
      <w:tblPr>
        <w:tblStyle w:val="4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  名</w:t>
            </w:r>
          </w:p>
        </w:tc>
        <w:tc>
          <w:tcPr>
            <w:tcW w:w="1680" w:type="dxa"/>
            <w:gridSpan w:val="3"/>
            <w:noWrap w:val="0"/>
            <w:vAlign w:val="center"/>
          </w:tcPr>
          <w:p>
            <w:pPr>
              <w:jc w:val="center"/>
              <w:rPr>
                <w:rFonts w:hint="eastAsia" w:ascii="仿宋" w:hAnsi="仿宋" w:eastAsia="仿宋" w:cs="仿宋"/>
                <w:color w:val="auto"/>
                <w:sz w:val="24"/>
                <w:highlight w:val="none"/>
              </w:rPr>
            </w:pPr>
          </w:p>
        </w:tc>
        <w:tc>
          <w:tcPr>
            <w:tcW w:w="945" w:type="dxa"/>
            <w:gridSpan w:val="2"/>
            <w:noWrap w:val="0"/>
            <w:vAlign w:val="center"/>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性 别</w:t>
            </w:r>
          </w:p>
        </w:tc>
        <w:tc>
          <w:tcPr>
            <w:tcW w:w="945" w:type="dxa"/>
            <w:noWrap w:val="0"/>
            <w:vAlign w:val="center"/>
          </w:tcPr>
          <w:p>
            <w:pPr>
              <w:rPr>
                <w:rFonts w:hint="eastAsia" w:ascii="仿宋" w:hAnsi="仿宋" w:eastAsia="仿宋" w:cs="仿宋"/>
                <w:color w:val="auto"/>
                <w:sz w:val="24"/>
                <w:highlight w:val="none"/>
              </w:rPr>
            </w:pPr>
          </w:p>
        </w:tc>
        <w:tc>
          <w:tcPr>
            <w:tcW w:w="1854" w:type="dxa"/>
            <w:gridSpan w:val="2"/>
            <w:noWrap w:val="0"/>
            <w:vAlign w:val="center"/>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出 生 日 期</w:t>
            </w:r>
          </w:p>
        </w:tc>
        <w:tc>
          <w:tcPr>
            <w:tcW w:w="2694" w:type="dxa"/>
            <w:noWrap w:val="0"/>
            <w:vAlign w:val="center"/>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毕业院校及专业</w:t>
            </w:r>
          </w:p>
        </w:tc>
        <w:tc>
          <w:tcPr>
            <w:tcW w:w="3570" w:type="dxa"/>
            <w:gridSpan w:val="6"/>
            <w:noWrap w:val="0"/>
            <w:vAlign w:val="center"/>
          </w:tcPr>
          <w:p>
            <w:pPr>
              <w:rPr>
                <w:rFonts w:hint="eastAsia" w:ascii="仿宋" w:hAnsi="仿宋" w:eastAsia="仿宋" w:cs="仿宋"/>
                <w:color w:val="auto"/>
                <w:sz w:val="24"/>
                <w:highlight w:val="none"/>
              </w:rPr>
            </w:pPr>
          </w:p>
        </w:tc>
        <w:tc>
          <w:tcPr>
            <w:tcW w:w="1854" w:type="dxa"/>
            <w:gridSpan w:val="2"/>
            <w:noWrap w:val="0"/>
            <w:vAlign w:val="center"/>
          </w:tcPr>
          <w:p>
            <w:pPr>
              <w:ind w:left="-1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学历</w:t>
            </w:r>
          </w:p>
        </w:tc>
        <w:tc>
          <w:tcPr>
            <w:tcW w:w="2694" w:type="dxa"/>
            <w:noWrap w:val="0"/>
            <w:vAlign w:val="center"/>
          </w:tcPr>
          <w:p>
            <w:pPr>
              <w:ind w:left="4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工作年限</w:t>
            </w:r>
          </w:p>
        </w:tc>
        <w:tc>
          <w:tcPr>
            <w:tcW w:w="1974" w:type="dxa"/>
            <w:gridSpan w:val="2"/>
            <w:noWrap w:val="0"/>
            <w:vAlign w:val="center"/>
          </w:tcPr>
          <w:p>
            <w:pPr>
              <w:rPr>
                <w:rFonts w:hint="eastAsia" w:ascii="仿宋" w:hAnsi="仿宋" w:eastAsia="仿宋" w:cs="仿宋"/>
                <w:color w:val="auto"/>
                <w:sz w:val="24"/>
                <w:highlight w:val="none"/>
              </w:rPr>
            </w:pPr>
          </w:p>
        </w:tc>
        <w:tc>
          <w:tcPr>
            <w:tcW w:w="2835" w:type="dxa"/>
            <w:gridSpan w:val="4"/>
            <w:noWrap w:val="0"/>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为供应商服务时间</w:t>
            </w:r>
          </w:p>
        </w:tc>
        <w:tc>
          <w:tcPr>
            <w:tcW w:w="2694" w:type="dxa"/>
            <w:noWrap w:val="0"/>
            <w:vAlign w:val="center"/>
          </w:tcPr>
          <w:p>
            <w:pP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专业资质</w:t>
            </w:r>
          </w:p>
        </w:tc>
        <w:tc>
          <w:tcPr>
            <w:tcW w:w="1974" w:type="dxa"/>
            <w:gridSpan w:val="2"/>
            <w:noWrap w:val="0"/>
            <w:vAlign w:val="center"/>
          </w:tcPr>
          <w:p>
            <w:pPr>
              <w:rPr>
                <w:rFonts w:hint="eastAsia" w:ascii="仿宋" w:hAnsi="仿宋" w:eastAsia="仿宋" w:cs="仿宋"/>
                <w:color w:val="auto"/>
                <w:sz w:val="24"/>
                <w:highlight w:val="none"/>
              </w:rPr>
            </w:pPr>
          </w:p>
        </w:tc>
        <w:tc>
          <w:tcPr>
            <w:tcW w:w="2835" w:type="dxa"/>
            <w:gridSpan w:val="4"/>
            <w:noWrap w:val="0"/>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在本项目中的职务</w:t>
            </w:r>
          </w:p>
        </w:tc>
        <w:tc>
          <w:tcPr>
            <w:tcW w:w="2694" w:type="dxa"/>
            <w:noWrap w:val="0"/>
            <w:vAlign w:val="center"/>
          </w:tcPr>
          <w:p>
            <w:pP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noWrap w:val="0"/>
            <w:vAlign w:val="center"/>
          </w:tcPr>
          <w:p>
            <w:pPr>
              <w:ind w:firstLine="3360" w:firstLineChars="1400"/>
              <w:rPr>
                <w:rFonts w:hint="eastAsia" w:ascii="仿宋" w:hAnsi="仿宋" w:eastAsia="仿宋" w:cs="仿宋"/>
                <w:color w:val="auto"/>
                <w:sz w:val="24"/>
                <w:highlight w:val="none"/>
              </w:rPr>
            </w:pPr>
            <w:r>
              <w:rPr>
                <w:rFonts w:hint="eastAsia" w:ascii="仿宋" w:hAnsi="仿宋" w:eastAsia="仿宋" w:cs="仿宋"/>
                <w:color w:val="auto"/>
                <w:sz w:val="24"/>
                <w:highlight w:val="none"/>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noWrap w:val="0"/>
            <w:vAlign w:val="center"/>
          </w:tcPr>
          <w:p>
            <w:pP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noWrap w:val="0"/>
            <w:vAlign w:val="center"/>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noWrap w:val="0"/>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时   间</w:t>
            </w:r>
          </w:p>
        </w:tc>
        <w:tc>
          <w:tcPr>
            <w:tcW w:w="4536" w:type="dxa"/>
            <w:gridSpan w:val="6"/>
            <w:noWrap w:val="0"/>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同类项目名称及简要描述</w:t>
            </w:r>
          </w:p>
        </w:tc>
        <w:tc>
          <w:tcPr>
            <w:tcW w:w="3261" w:type="dxa"/>
            <w:gridSpan w:val="2"/>
            <w:noWrap w:val="0"/>
            <w:vAlign w:val="center"/>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noWrap w:val="0"/>
            <w:vAlign w:val="top"/>
          </w:tcPr>
          <w:p>
            <w:pPr>
              <w:rPr>
                <w:rFonts w:hint="eastAsia" w:ascii="仿宋" w:hAnsi="仿宋" w:eastAsia="仿宋" w:cs="仿宋"/>
                <w:color w:val="auto"/>
                <w:sz w:val="24"/>
                <w:highlight w:val="none"/>
              </w:rPr>
            </w:pPr>
          </w:p>
        </w:tc>
        <w:tc>
          <w:tcPr>
            <w:tcW w:w="4536" w:type="dxa"/>
            <w:gridSpan w:val="6"/>
            <w:noWrap w:val="0"/>
            <w:vAlign w:val="top"/>
          </w:tcPr>
          <w:p>
            <w:pPr>
              <w:rPr>
                <w:rFonts w:hint="eastAsia" w:ascii="仿宋" w:hAnsi="仿宋" w:eastAsia="仿宋" w:cs="仿宋"/>
                <w:color w:val="auto"/>
                <w:sz w:val="24"/>
                <w:highlight w:val="none"/>
              </w:rPr>
            </w:pPr>
          </w:p>
        </w:tc>
        <w:tc>
          <w:tcPr>
            <w:tcW w:w="3261" w:type="dxa"/>
            <w:gridSpan w:val="2"/>
            <w:noWrap w:val="0"/>
            <w:vAlign w:val="top"/>
          </w:tcPr>
          <w:p>
            <w:pP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vAlign w:val="top"/>
          </w:tcPr>
          <w:p>
            <w:pPr>
              <w:rPr>
                <w:rFonts w:hint="eastAsia" w:ascii="仿宋" w:hAnsi="仿宋" w:eastAsia="仿宋" w:cs="仿宋"/>
                <w:color w:val="auto"/>
                <w:sz w:val="24"/>
                <w:highlight w:val="none"/>
              </w:rPr>
            </w:pPr>
          </w:p>
        </w:tc>
        <w:tc>
          <w:tcPr>
            <w:tcW w:w="4536" w:type="dxa"/>
            <w:gridSpan w:val="6"/>
            <w:noWrap w:val="0"/>
            <w:vAlign w:val="top"/>
          </w:tcPr>
          <w:p>
            <w:pPr>
              <w:rPr>
                <w:rFonts w:hint="eastAsia" w:ascii="仿宋" w:hAnsi="仿宋" w:eastAsia="仿宋" w:cs="仿宋"/>
                <w:color w:val="auto"/>
                <w:sz w:val="24"/>
                <w:highlight w:val="none"/>
              </w:rPr>
            </w:pPr>
          </w:p>
        </w:tc>
        <w:tc>
          <w:tcPr>
            <w:tcW w:w="3261" w:type="dxa"/>
            <w:gridSpan w:val="2"/>
            <w:noWrap w:val="0"/>
            <w:vAlign w:val="top"/>
          </w:tcPr>
          <w:p>
            <w:pP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noWrap w:val="0"/>
            <w:vAlign w:val="top"/>
          </w:tcPr>
          <w:p>
            <w:pPr>
              <w:rPr>
                <w:rFonts w:hint="eastAsia" w:ascii="仿宋" w:hAnsi="仿宋" w:eastAsia="仿宋" w:cs="仿宋"/>
                <w:color w:val="auto"/>
                <w:sz w:val="24"/>
                <w:highlight w:val="none"/>
              </w:rPr>
            </w:pPr>
          </w:p>
        </w:tc>
        <w:tc>
          <w:tcPr>
            <w:tcW w:w="4536" w:type="dxa"/>
            <w:gridSpan w:val="6"/>
            <w:noWrap w:val="0"/>
            <w:vAlign w:val="top"/>
          </w:tcPr>
          <w:p>
            <w:pPr>
              <w:rPr>
                <w:rFonts w:hint="eastAsia" w:ascii="仿宋" w:hAnsi="仿宋" w:eastAsia="仿宋" w:cs="仿宋"/>
                <w:color w:val="auto"/>
                <w:sz w:val="24"/>
                <w:highlight w:val="none"/>
              </w:rPr>
            </w:pPr>
          </w:p>
        </w:tc>
        <w:tc>
          <w:tcPr>
            <w:tcW w:w="3261" w:type="dxa"/>
            <w:gridSpan w:val="2"/>
            <w:noWrap w:val="0"/>
            <w:vAlign w:val="top"/>
          </w:tcPr>
          <w:p>
            <w:pP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noWrap w:val="0"/>
            <w:vAlign w:val="top"/>
          </w:tcPr>
          <w:p>
            <w:pPr>
              <w:rPr>
                <w:rFonts w:hint="eastAsia" w:ascii="仿宋" w:hAnsi="仿宋" w:eastAsia="仿宋" w:cs="仿宋"/>
                <w:color w:val="auto"/>
                <w:sz w:val="24"/>
                <w:highlight w:val="none"/>
              </w:rPr>
            </w:pPr>
          </w:p>
        </w:tc>
        <w:tc>
          <w:tcPr>
            <w:tcW w:w="4536" w:type="dxa"/>
            <w:gridSpan w:val="6"/>
            <w:noWrap w:val="0"/>
            <w:vAlign w:val="top"/>
          </w:tcPr>
          <w:p>
            <w:pPr>
              <w:rPr>
                <w:rFonts w:hint="eastAsia" w:ascii="仿宋" w:hAnsi="仿宋" w:eastAsia="仿宋" w:cs="仿宋"/>
                <w:color w:val="auto"/>
                <w:sz w:val="24"/>
                <w:highlight w:val="none"/>
              </w:rPr>
            </w:pPr>
          </w:p>
        </w:tc>
        <w:tc>
          <w:tcPr>
            <w:tcW w:w="3261" w:type="dxa"/>
            <w:gridSpan w:val="2"/>
            <w:noWrap w:val="0"/>
            <w:vAlign w:val="top"/>
          </w:tcPr>
          <w:p>
            <w:pPr>
              <w:rPr>
                <w:rFonts w:hint="eastAsia" w:ascii="仿宋" w:hAnsi="仿宋" w:eastAsia="仿宋" w:cs="仿宋"/>
                <w:color w:val="auto"/>
                <w:sz w:val="24"/>
                <w:highlight w:val="none"/>
              </w:rPr>
            </w:pPr>
          </w:p>
        </w:tc>
      </w:tr>
    </w:tbl>
    <w:p>
      <w:pPr>
        <w:spacing w:before="240"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注：</w:t>
      </w:r>
    </w:p>
    <w:p>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1、需随此表附上团队成员的身份证、毕业证、专业资质证书、同类项目实施经验证明等材料。</w:t>
      </w:r>
    </w:p>
    <w:p>
      <w:pPr>
        <w:spacing w:line="360" w:lineRule="auto"/>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2、“先附简历、再附材料”为一个人员的完整材料，人员简历排放顺序需与人员汇总表一致。</w:t>
      </w:r>
    </w:p>
    <w:p>
      <w:pPr>
        <w:spacing w:line="360" w:lineRule="auto"/>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5"/>
        <w:numPr>
          <w:ilvl w:val="0"/>
          <w:numId w:val="0"/>
        </w:numPr>
        <w:spacing w:before="0" w:after="0" w:line="360" w:lineRule="auto"/>
        <w:rPr>
          <w:rFonts w:hint="eastAsia" w:ascii="仿宋" w:hAnsi="仿宋" w:eastAsia="仿宋" w:cs="仿宋"/>
          <w:color w:val="auto"/>
          <w:sz w:val="24"/>
          <w:szCs w:val="24"/>
          <w:highlight w:val="none"/>
        </w:rPr>
      </w:pPr>
      <w:bookmarkStart w:id="226" w:name="_Toc20365"/>
      <w:r>
        <w:rPr>
          <w:rFonts w:hint="eastAsia" w:ascii="仿宋" w:hAnsi="仿宋" w:eastAsia="仿宋" w:cs="仿宋"/>
          <w:color w:val="auto"/>
          <w:sz w:val="24"/>
          <w:szCs w:val="24"/>
          <w:highlight w:val="none"/>
        </w:rPr>
        <w:t>（三）其他材料</w:t>
      </w:r>
      <w:bookmarkEnd w:id="226"/>
    </w:p>
    <w:p>
      <w:pPr>
        <w:spacing w:line="360" w:lineRule="auto"/>
        <w:rPr>
          <w:rFonts w:hint="eastAsia" w:ascii="仿宋" w:hAnsi="仿宋" w:eastAsia="仿宋" w:cs="Cambria Math"/>
          <w:color w:val="auto"/>
          <w:sz w:val="24"/>
          <w:highlight w:val="none"/>
        </w:rPr>
      </w:pPr>
      <w:r>
        <w:rPr>
          <w:rFonts w:hint="eastAsia" w:ascii="仿宋" w:hAnsi="仿宋" w:eastAsia="仿宋" w:cs="Cambria Math"/>
          <w:color w:val="auto"/>
          <w:sz w:val="24"/>
          <w:highlight w:val="none"/>
        </w:rPr>
        <w:t>供应商</w:t>
      </w:r>
      <w:r>
        <w:rPr>
          <w:rFonts w:ascii="仿宋" w:hAnsi="仿宋" w:eastAsia="仿宋" w:cs="Cambria Math"/>
          <w:color w:val="auto"/>
          <w:sz w:val="24"/>
          <w:highlight w:val="none"/>
        </w:rPr>
        <w:t>认为需提供的其他材料</w:t>
      </w:r>
      <w:r>
        <w:rPr>
          <w:rFonts w:hint="eastAsia" w:ascii="仿宋" w:hAnsi="仿宋" w:eastAsia="仿宋" w:cs="Cambria Math"/>
          <w:color w:val="auto"/>
          <w:sz w:val="24"/>
          <w:highlight w:val="none"/>
        </w:rPr>
        <w:t>。</w:t>
      </w:r>
    </w:p>
    <w:p>
      <w:pPr>
        <w:spacing w:line="360" w:lineRule="auto"/>
        <w:rPr>
          <w:rFonts w:hint="eastAsia" w:ascii="仿宋" w:hAnsi="仿宋" w:eastAsia="仿宋" w:cs="仿宋"/>
          <w:color w:val="auto"/>
          <w:sz w:val="24"/>
          <w:highlight w:val="none"/>
        </w:rPr>
        <w:sectPr>
          <w:type w:val="continuous"/>
          <w:pgSz w:w="11906" w:h="16838"/>
          <w:pgMar w:top="1417" w:right="1134" w:bottom="1134" w:left="1134" w:header="964" w:footer="964" w:gutter="0"/>
          <w:cols w:space="720" w:num="1"/>
          <w:docGrid w:linePitch="312" w:charSpace="0"/>
        </w:sect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p>
    <w:p>
      <w:pPr>
        <w:pStyle w:val="4"/>
        <w:ind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三、报价文件</w:t>
      </w:r>
      <w:bookmarkEnd w:id="225"/>
    </w:p>
    <w:p>
      <w:pPr>
        <w:pStyle w:val="5"/>
        <w:spacing w:before="0" w:after="0" w:line="360" w:lineRule="auto"/>
        <w:ind w:firstLine="482"/>
        <w:rPr>
          <w:rFonts w:hint="eastAsia" w:ascii="仿宋" w:hAnsi="仿宋" w:eastAsia="仿宋" w:cs="仿宋"/>
          <w:color w:val="auto"/>
          <w:sz w:val="24"/>
          <w:szCs w:val="24"/>
          <w:highlight w:val="none"/>
        </w:rPr>
      </w:pPr>
      <w:bookmarkStart w:id="227" w:name="_Toc511726864"/>
      <w:bookmarkStart w:id="228" w:name="_Toc18942"/>
      <w:r>
        <w:rPr>
          <w:rFonts w:hint="eastAsia" w:ascii="仿宋" w:hAnsi="仿宋" w:eastAsia="仿宋" w:cs="仿宋"/>
          <w:color w:val="auto"/>
          <w:sz w:val="24"/>
          <w:szCs w:val="24"/>
          <w:highlight w:val="none"/>
        </w:rPr>
        <w:t>（一）报价</w:t>
      </w:r>
      <w:bookmarkEnd w:id="227"/>
      <w:r>
        <w:rPr>
          <w:rFonts w:hint="eastAsia" w:ascii="仿宋" w:hAnsi="仿宋" w:eastAsia="仿宋" w:cs="仿宋"/>
          <w:color w:val="auto"/>
          <w:sz w:val="24"/>
          <w:szCs w:val="24"/>
          <w:highlight w:val="none"/>
        </w:rPr>
        <w:t>一览表</w:t>
      </w:r>
      <w:bookmarkEnd w:id="228"/>
    </w:p>
    <w:p>
      <w:pPr>
        <w:pStyle w:val="13"/>
        <w:spacing w:line="360" w:lineRule="auto"/>
        <w:ind w:hanging="14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人保财险新疆</w:t>
      </w:r>
      <w:r>
        <w:rPr>
          <w:rFonts w:hint="eastAsia" w:ascii="仿宋" w:hAnsi="仿宋" w:eastAsia="仿宋" w:cs="仿宋"/>
          <w:color w:val="auto"/>
          <w:sz w:val="24"/>
          <w:szCs w:val="24"/>
          <w:highlight w:val="none"/>
          <w:u w:val="single"/>
          <w:lang w:val="en-US" w:eastAsia="zh-CN"/>
        </w:rPr>
        <w:t>昭苏</w:t>
      </w:r>
      <w:r>
        <w:rPr>
          <w:rFonts w:hint="eastAsia" w:ascii="仿宋" w:hAnsi="仿宋" w:eastAsia="仿宋" w:cs="仿宋"/>
          <w:color w:val="auto"/>
          <w:sz w:val="24"/>
          <w:szCs w:val="24"/>
          <w:highlight w:val="none"/>
          <w:u w:val="single"/>
        </w:rPr>
        <w:t xml:space="preserve">支公司职工食堂食材供应商采购项目 </w:t>
      </w:r>
      <w:r>
        <w:rPr>
          <w:rFonts w:hint="eastAsia" w:ascii="仿宋" w:hAnsi="仿宋" w:eastAsia="仿宋" w:cs="仿宋"/>
          <w:color w:val="auto"/>
          <w:sz w:val="24"/>
          <w:szCs w:val="24"/>
          <w:highlight w:val="none"/>
        </w:rPr>
        <w:t xml:space="preserve">  </w:t>
      </w:r>
    </w:p>
    <w:p>
      <w:pPr>
        <w:pStyle w:val="13"/>
        <w:spacing w:line="360" w:lineRule="auto"/>
        <w:ind w:hanging="14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货币单位：</w:t>
      </w:r>
      <w:r>
        <w:rPr>
          <w:rFonts w:hint="eastAsia" w:ascii="仿宋" w:hAnsi="仿宋" w:eastAsia="仿宋" w:cs="仿宋"/>
          <w:color w:val="auto"/>
          <w:sz w:val="24"/>
          <w:szCs w:val="24"/>
          <w:highlight w:val="none"/>
          <w:u w:val="single"/>
        </w:rPr>
        <w:t xml:space="preserve"> 人民币元    </w:t>
      </w:r>
    </w:p>
    <w:tbl>
      <w:tblPr>
        <w:tblStyle w:val="40"/>
        <w:tblpPr w:leftFromText="180" w:rightFromText="180" w:vertAnchor="text" w:horzAnchor="page" w:tblpX="1210" w:tblpY="298"/>
        <w:tblOverlap w:val="never"/>
        <w:tblW w:w="9565" w:type="dxa"/>
        <w:tblInd w:w="0"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3790"/>
        <w:gridCol w:w="1575"/>
        <w:gridCol w:w="2190"/>
        <w:gridCol w:w="2010"/>
      </w:tblGrid>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1060" w:hRule="exact"/>
        </w:trPr>
        <w:tc>
          <w:tcPr>
            <w:tcW w:w="3790" w:type="dxa"/>
            <w:tcBorders>
              <w:tl2br w:val="nil"/>
              <w:tr2bl w:val="nil"/>
            </w:tcBorders>
            <w:noWrap w:val="0"/>
            <w:vAlign w:val="center"/>
          </w:tcPr>
          <w:p>
            <w:pPr>
              <w:pageBreakBefore w:val="0"/>
              <w:kinsoku/>
              <w:wordWrap/>
              <w:overflowPunct/>
              <w:topLinePunct w:val="0"/>
              <w:autoSpaceDE/>
              <w:autoSpaceDN/>
              <w:bidi w:val="0"/>
              <w:adjustRightInd w:val="0"/>
              <w:snapToGrid w:val="0"/>
              <w:spacing w:line="560" w:lineRule="exact"/>
              <w:jc w:val="center"/>
              <w:textAlignment w:val="auto"/>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t>品类</w:t>
            </w:r>
          </w:p>
        </w:tc>
        <w:tc>
          <w:tcPr>
            <w:tcW w:w="1575" w:type="dxa"/>
            <w:tcBorders>
              <w:tl2br w:val="nil"/>
              <w:tr2bl w:val="nil"/>
            </w:tcBorders>
            <w:noWrap w:val="0"/>
            <w:vAlign w:val="center"/>
          </w:tcPr>
          <w:p>
            <w:pPr>
              <w:pageBreakBefore w:val="0"/>
              <w:kinsoku/>
              <w:wordWrap/>
              <w:overflowPunct/>
              <w:topLinePunct w:val="0"/>
              <w:autoSpaceDE/>
              <w:autoSpaceDN/>
              <w:bidi w:val="0"/>
              <w:adjustRightInd w:val="0"/>
              <w:snapToGrid w:val="0"/>
              <w:spacing w:line="560" w:lineRule="exact"/>
              <w:jc w:val="center"/>
              <w:textAlignment w:val="auto"/>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t>发票类型</w:t>
            </w:r>
          </w:p>
        </w:tc>
        <w:tc>
          <w:tcPr>
            <w:tcW w:w="2190" w:type="dxa"/>
            <w:tcBorders>
              <w:tl2br w:val="nil"/>
              <w:tr2bl w:val="nil"/>
            </w:tcBorders>
            <w:noWrap w:val="0"/>
            <w:vAlign w:val="center"/>
          </w:tcPr>
          <w:p>
            <w:pPr>
              <w:pageBreakBefore w:val="0"/>
              <w:kinsoku/>
              <w:wordWrap/>
              <w:overflowPunct/>
              <w:topLinePunct w:val="0"/>
              <w:autoSpaceDE/>
              <w:autoSpaceDN/>
              <w:bidi w:val="0"/>
              <w:adjustRightInd w:val="0"/>
              <w:snapToGrid w:val="0"/>
              <w:spacing w:line="560" w:lineRule="exact"/>
              <w:jc w:val="center"/>
              <w:textAlignment w:val="auto"/>
              <w:rPr>
                <w:rFonts w:hint="default"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t>综合折扣率</w:t>
            </w:r>
          </w:p>
        </w:tc>
        <w:tc>
          <w:tcPr>
            <w:tcW w:w="2010" w:type="dxa"/>
            <w:tcBorders>
              <w:tl2br w:val="nil"/>
              <w:tr2bl w:val="nil"/>
            </w:tcBorders>
            <w:noWrap w:val="0"/>
            <w:vAlign w:val="center"/>
          </w:tcPr>
          <w:p>
            <w:pPr>
              <w:pageBreakBefore w:val="0"/>
              <w:kinsoku/>
              <w:wordWrap/>
              <w:overflowPunct/>
              <w:topLinePunct w:val="0"/>
              <w:autoSpaceDE/>
              <w:autoSpaceDN/>
              <w:bidi w:val="0"/>
              <w:adjustRightInd w:val="0"/>
              <w:snapToGrid w:val="0"/>
              <w:spacing w:line="560" w:lineRule="exact"/>
              <w:jc w:val="center"/>
              <w:textAlignment w:val="auto"/>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5055" w:hRule="exact"/>
        </w:trPr>
        <w:tc>
          <w:tcPr>
            <w:tcW w:w="3790" w:type="dxa"/>
            <w:tcBorders>
              <w:tl2br w:val="nil"/>
              <w:tr2bl w:val="nil"/>
            </w:tcBorders>
            <w:noWrap w:val="0"/>
            <w:vAlign w:val="center"/>
          </w:tcPr>
          <w:p>
            <w:pPr>
              <w:pageBreakBefore w:val="0"/>
              <w:kinsoku/>
              <w:wordWrap/>
              <w:overflowPunct/>
              <w:topLinePunct w:val="0"/>
              <w:autoSpaceDE/>
              <w:autoSpaceDN/>
              <w:bidi w:val="0"/>
              <w:adjustRightInd w:val="0"/>
              <w:snapToGrid w:val="0"/>
              <w:spacing w:line="560" w:lineRule="exact"/>
              <w:jc w:val="center"/>
              <w:textAlignment w:val="auto"/>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t>米面粮油干货类、蔬菜瓜果类、肉类、豆蛋奶调料类、水产类等食堂食材</w:t>
            </w:r>
          </w:p>
        </w:tc>
        <w:tc>
          <w:tcPr>
            <w:tcW w:w="1575" w:type="dxa"/>
            <w:tcBorders>
              <w:tl2br w:val="nil"/>
              <w:tr2bl w:val="nil"/>
            </w:tcBorders>
            <w:noWrap w:val="0"/>
            <w:vAlign w:val="center"/>
          </w:tcPr>
          <w:p>
            <w:pPr>
              <w:pageBreakBefore w:val="0"/>
              <w:kinsoku/>
              <w:wordWrap/>
              <w:overflowPunct/>
              <w:topLinePunct w:val="0"/>
              <w:autoSpaceDE/>
              <w:autoSpaceDN/>
              <w:bidi w:val="0"/>
              <w:adjustRightInd w:val="0"/>
              <w:snapToGrid w:val="0"/>
              <w:spacing w:line="560" w:lineRule="exact"/>
              <w:jc w:val="center"/>
              <w:textAlignment w:val="auto"/>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t xml:space="preserve"> 增值税普通发票 </w:t>
            </w:r>
          </w:p>
          <w:p>
            <w:pPr>
              <w:pageBreakBefore w:val="0"/>
              <w:kinsoku/>
              <w:wordWrap/>
              <w:overflowPunct/>
              <w:topLinePunct w:val="0"/>
              <w:autoSpaceDE/>
              <w:autoSpaceDN/>
              <w:bidi w:val="0"/>
              <w:adjustRightInd w:val="0"/>
              <w:snapToGrid w:val="0"/>
              <w:spacing w:line="560" w:lineRule="exact"/>
              <w:jc w:val="center"/>
              <w:textAlignment w:val="auto"/>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t xml:space="preserve"> </w:t>
            </w:r>
          </w:p>
        </w:tc>
        <w:tc>
          <w:tcPr>
            <w:tcW w:w="2190" w:type="dxa"/>
            <w:tcBorders>
              <w:tl2br w:val="nil"/>
              <w:tr2bl w:val="nil"/>
            </w:tcBorders>
            <w:noWrap w:val="0"/>
            <w:vAlign w:val="center"/>
          </w:tcPr>
          <w:p>
            <w:pPr>
              <w:pageBreakBefore w:val="0"/>
              <w:kinsoku/>
              <w:wordWrap/>
              <w:overflowPunct/>
              <w:topLinePunct w:val="0"/>
              <w:autoSpaceDE/>
              <w:autoSpaceDN/>
              <w:bidi w:val="0"/>
              <w:adjustRightInd w:val="0"/>
              <w:snapToGrid w:val="0"/>
              <w:spacing w:line="560" w:lineRule="exact"/>
              <w:jc w:val="center"/>
              <w:textAlignment w:val="auto"/>
              <w:rPr>
                <w:rFonts w:hint="eastAsia" w:ascii="仿宋" w:hAnsi="仿宋" w:eastAsia="仿宋" w:cs="仿宋"/>
                <w:b w:val="0"/>
                <w:bCs w:val="0"/>
                <w:color w:val="auto"/>
                <w:sz w:val="28"/>
                <w:szCs w:val="28"/>
              </w:rPr>
            </w:pPr>
          </w:p>
        </w:tc>
        <w:tc>
          <w:tcPr>
            <w:tcW w:w="2010" w:type="dxa"/>
            <w:tcBorders>
              <w:tl2br w:val="nil"/>
              <w:tr2bl w:val="nil"/>
            </w:tcBorders>
            <w:shd w:val="clear" w:color="auto" w:fill="auto"/>
            <w:noWrap w:val="0"/>
            <w:vAlign w:val="center"/>
          </w:tcPr>
          <w:p>
            <w:pPr>
              <w:pageBreakBefore w:val="0"/>
              <w:kinsoku/>
              <w:wordWrap/>
              <w:overflowPunct/>
              <w:topLinePunct w:val="0"/>
              <w:autoSpaceDE/>
              <w:autoSpaceDN/>
              <w:bidi w:val="0"/>
              <w:adjustRightInd w:val="0"/>
              <w:snapToGrid w:val="0"/>
              <w:spacing w:line="560" w:lineRule="exact"/>
              <w:jc w:val="both"/>
              <w:textAlignment w:val="auto"/>
              <w:rPr>
                <w:rFonts w:hint="eastAsia" w:ascii="仿宋" w:hAnsi="仿宋" w:eastAsia="仿宋" w:cs="仿宋"/>
                <w:b w:val="0"/>
                <w:bCs w:val="0"/>
                <w:color w:val="auto"/>
                <w:sz w:val="24"/>
                <w:szCs w:val="24"/>
                <w:lang w:val="en-US" w:eastAsia="zh-CN" w:bidi="ar"/>
              </w:rPr>
            </w:pPr>
            <w:r>
              <w:rPr>
                <w:rFonts w:hint="eastAsia" w:ascii="仿宋" w:hAnsi="仿宋" w:eastAsia="仿宋" w:cs="仿宋"/>
                <w:b w:val="0"/>
                <w:bCs w:val="0"/>
                <w:color w:val="auto"/>
                <w:sz w:val="24"/>
                <w:szCs w:val="24"/>
                <w:lang w:val="en-US" w:eastAsia="zh-CN" w:bidi="ar"/>
              </w:rPr>
              <w:t>供应商供货价格以昭苏县满疆农商广场同期商品销售价格为基准给予相应折扣率</w:t>
            </w:r>
          </w:p>
        </w:tc>
      </w:tr>
    </w:tbl>
    <w:p>
      <w:pPr>
        <w:widowControl/>
        <w:jc w:val="center"/>
        <w:textAlignment w:val="center"/>
        <w:rPr>
          <w:rFonts w:hint="eastAsia" w:ascii="仿宋" w:hAnsi="仿宋" w:eastAsia="仿宋" w:cs="仿宋"/>
          <w:color w:val="auto"/>
          <w:kern w:val="0"/>
          <w:szCs w:val="21"/>
          <w:highlight w:val="none"/>
          <w:lang w:bidi="ar"/>
        </w:rPr>
      </w:pPr>
    </w:p>
    <w:p>
      <w:pPr>
        <w:spacing w:line="360" w:lineRule="auto"/>
        <w:rPr>
          <w:rFonts w:ascii="仿宋" w:hAnsi="仿宋" w:eastAsia="仿宋" w:cs="仿宋"/>
          <w:bCs/>
          <w:color w:val="auto"/>
          <w:sz w:val="24"/>
          <w:highlight w:val="none"/>
        </w:rPr>
      </w:pP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备注：</w:t>
      </w:r>
    </w:p>
    <w:p>
      <w:pPr>
        <w:numPr>
          <w:ilvl w:val="0"/>
          <w:numId w:val="0"/>
        </w:numPr>
        <w:spacing w:line="360" w:lineRule="auto"/>
        <w:rPr>
          <w:rFonts w:hint="eastAsia" w:ascii="仿宋" w:hAnsi="仿宋" w:eastAsia="仿宋"/>
          <w:bCs/>
          <w:color w:val="auto"/>
          <w:sz w:val="24"/>
          <w:highlight w:val="none"/>
        </w:rPr>
      </w:pPr>
      <w:r>
        <w:rPr>
          <w:rFonts w:hint="eastAsia" w:ascii="仿宋" w:hAnsi="仿宋" w:eastAsia="仿宋"/>
          <w:bCs/>
          <w:color w:val="auto"/>
          <w:sz w:val="24"/>
          <w:highlight w:val="none"/>
          <w:lang w:val="en-US" w:eastAsia="zh-CN"/>
        </w:rPr>
        <w:t>1.</w:t>
      </w:r>
      <w:r>
        <w:rPr>
          <w:rFonts w:hint="eastAsia" w:ascii="仿宋" w:hAnsi="仿宋" w:eastAsia="仿宋"/>
          <w:bCs/>
          <w:color w:val="auto"/>
          <w:sz w:val="24"/>
          <w:highlight w:val="none"/>
        </w:rPr>
        <w:t>本次报价</w:t>
      </w:r>
      <w:r>
        <w:rPr>
          <w:rFonts w:hint="eastAsia" w:ascii="仿宋" w:hAnsi="仿宋" w:eastAsia="仿宋"/>
          <w:bCs/>
          <w:color w:val="auto"/>
          <w:sz w:val="24"/>
          <w:highlight w:val="none"/>
          <w:lang w:val="en-US" w:eastAsia="zh-CN"/>
        </w:rPr>
        <w:t>为</w:t>
      </w:r>
      <w:r>
        <w:rPr>
          <w:rFonts w:hint="eastAsia" w:ascii="仿宋" w:hAnsi="仿宋" w:eastAsia="仿宋"/>
          <w:bCs/>
          <w:color w:val="auto"/>
          <w:sz w:val="24"/>
          <w:highlight w:val="none"/>
        </w:rPr>
        <w:t>全</w:t>
      </w:r>
      <w:r>
        <w:rPr>
          <w:rFonts w:hint="eastAsia" w:ascii="仿宋" w:hAnsi="仿宋" w:eastAsia="仿宋"/>
          <w:bCs/>
          <w:color w:val="auto"/>
          <w:sz w:val="24"/>
          <w:highlight w:val="none"/>
          <w:lang w:val="en-US" w:eastAsia="zh-CN"/>
        </w:rPr>
        <w:t>部食堂食材</w:t>
      </w:r>
      <w:r>
        <w:rPr>
          <w:rFonts w:hint="eastAsia" w:ascii="仿宋" w:hAnsi="仿宋" w:eastAsia="仿宋"/>
          <w:bCs/>
          <w:color w:val="auto"/>
          <w:sz w:val="24"/>
          <w:highlight w:val="none"/>
        </w:rPr>
        <w:t>品类</w:t>
      </w:r>
      <w:r>
        <w:rPr>
          <w:rFonts w:hint="eastAsia" w:ascii="仿宋" w:hAnsi="仿宋" w:eastAsia="仿宋"/>
          <w:bCs/>
          <w:color w:val="auto"/>
          <w:sz w:val="24"/>
          <w:highlight w:val="none"/>
          <w:lang w:eastAsia="zh-CN"/>
        </w:rPr>
        <w:t>，</w:t>
      </w:r>
      <w:r>
        <w:rPr>
          <w:rFonts w:hint="eastAsia" w:ascii="仿宋" w:hAnsi="仿宋" w:eastAsia="仿宋"/>
          <w:bCs/>
          <w:color w:val="auto"/>
          <w:sz w:val="24"/>
          <w:highlight w:val="none"/>
          <w:lang w:val="en-US" w:eastAsia="zh-CN"/>
        </w:rPr>
        <w:t>按</w:t>
      </w:r>
      <w:r>
        <w:rPr>
          <w:rFonts w:hint="eastAsia" w:ascii="仿宋" w:hAnsi="仿宋" w:eastAsia="仿宋"/>
          <w:bCs/>
          <w:color w:val="auto"/>
          <w:sz w:val="24"/>
          <w:highlight w:val="none"/>
        </w:rPr>
        <w:t>综合折扣率报价，精确到小数点后两位（四舍五入）。</w:t>
      </w:r>
    </w:p>
    <w:p>
      <w:pPr>
        <w:pStyle w:val="107"/>
        <w:numPr>
          <w:ilvl w:val="0"/>
          <w:numId w:val="0"/>
        </w:numPr>
        <w:spacing w:line="360" w:lineRule="auto"/>
        <w:rPr>
          <w:rFonts w:hint="eastAsia" w:ascii="仿宋" w:hAnsi="仿宋" w:eastAsia="仿宋" w:cs="宋体"/>
          <w:bCs/>
          <w:color w:val="auto"/>
          <w:sz w:val="24"/>
          <w:highlight w:val="none"/>
          <w:lang w:val="en-US" w:eastAsia="zh-CN"/>
        </w:rPr>
      </w:pPr>
      <w:r>
        <w:rPr>
          <w:rFonts w:hint="eastAsia" w:ascii="仿宋" w:hAnsi="仿宋" w:eastAsia="仿宋" w:cs="宋体"/>
          <w:bCs/>
          <w:color w:val="auto"/>
          <w:sz w:val="24"/>
          <w:highlight w:val="none"/>
          <w:lang w:val="en-US" w:eastAsia="zh-CN"/>
        </w:rPr>
        <w:t>2.供应商供货价格以昭苏县满疆农商广场同期商品销售价格为基准给予相应折扣率。</w:t>
      </w:r>
    </w:p>
    <w:p>
      <w:pPr>
        <w:pStyle w:val="107"/>
        <w:numPr>
          <w:ilvl w:val="0"/>
          <w:numId w:val="0"/>
        </w:numPr>
        <w:spacing w:line="360" w:lineRule="auto"/>
        <w:rPr>
          <w:rFonts w:hint="default" w:ascii="仿宋" w:hAnsi="仿宋" w:eastAsia="仿宋" w:cs="宋体"/>
          <w:bCs/>
          <w:color w:val="auto"/>
          <w:sz w:val="24"/>
          <w:highlight w:val="none"/>
          <w:lang w:val="en-US" w:eastAsia="zh-CN"/>
        </w:rPr>
      </w:pPr>
      <w:r>
        <w:rPr>
          <w:rFonts w:hint="eastAsia" w:ascii="仿宋" w:hAnsi="仿宋" w:eastAsia="仿宋" w:cs="宋体"/>
          <w:bCs/>
          <w:color w:val="auto"/>
          <w:sz w:val="24"/>
          <w:highlight w:val="none"/>
          <w:lang w:val="en-US" w:eastAsia="zh-CN"/>
        </w:rPr>
        <w:t>3.综合折扣率小于100%。</w:t>
      </w:r>
    </w:p>
    <w:p>
      <w:pPr>
        <w:spacing w:line="360" w:lineRule="auto"/>
        <w:jc w:val="both"/>
        <w:rPr>
          <w:rFonts w:hint="eastAsia" w:ascii="仿宋" w:hAnsi="仿宋" w:eastAsia="仿宋" w:cs="仿宋"/>
          <w:color w:val="auto"/>
          <w:sz w:val="24"/>
          <w:highlight w:val="none"/>
        </w:rPr>
      </w:pPr>
    </w:p>
    <w:p>
      <w:pPr>
        <w:numPr>
          <w:ilvl w:val="0"/>
          <w:numId w:val="1"/>
        </w:numPr>
        <w:spacing w:line="440" w:lineRule="exact"/>
        <w:jc w:val="right"/>
        <w:rPr>
          <w:rFonts w:ascii="仿宋" w:hAnsi="仿宋" w:eastAsia="仿宋" w:cs="宋体"/>
          <w:color w:val="auto"/>
          <w:sz w:val="24"/>
          <w:highlight w:val="none"/>
        </w:rPr>
      </w:pPr>
      <w:bookmarkStart w:id="229" w:name="_Toc482180015"/>
      <w:bookmarkStart w:id="230" w:name="_Toc2267055"/>
      <w:bookmarkStart w:id="231" w:name="_Toc16591840"/>
      <w:bookmarkStart w:id="232" w:name="_Toc530319762"/>
      <w:bookmarkStart w:id="233" w:name="_Toc517281864"/>
      <w:bookmarkStart w:id="234" w:name="_Toc518302646"/>
    </w:p>
    <w:p>
      <w:pPr>
        <w:numPr>
          <w:ilvl w:val="0"/>
          <w:numId w:val="1"/>
        </w:numPr>
        <w:spacing w:line="440" w:lineRule="exact"/>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供应商名称：</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（盖章）</w:t>
      </w:r>
    </w:p>
    <w:p>
      <w:pPr>
        <w:numPr>
          <w:ilvl w:val="0"/>
          <w:numId w:val="1"/>
        </w:numPr>
        <w:spacing w:line="440" w:lineRule="exact"/>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法定代表人或其授权代理人：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US" w:eastAsia="zh-CN"/>
        </w:rPr>
        <w:t xml:space="preserve">         </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（签字）</w:t>
      </w:r>
    </w:p>
    <w:p>
      <w:pPr>
        <w:numPr>
          <w:ilvl w:val="0"/>
          <w:numId w:val="1"/>
        </w:numPr>
        <w:spacing w:line="440" w:lineRule="exact"/>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日期：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日</w:t>
      </w:r>
    </w:p>
    <w:bookmarkEnd w:id="229"/>
    <w:bookmarkEnd w:id="230"/>
    <w:bookmarkEnd w:id="231"/>
    <w:bookmarkEnd w:id="232"/>
    <w:bookmarkEnd w:id="233"/>
    <w:bookmarkEnd w:id="234"/>
    <w:p>
      <w:pPr>
        <w:pStyle w:val="5"/>
        <w:numPr>
          <w:ilvl w:val="5"/>
          <w:numId w:val="0"/>
        </w:numPr>
        <w:spacing w:line="360" w:lineRule="auto"/>
        <w:ind w:leftChars="0"/>
        <w:jc w:val="both"/>
        <w:rPr>
          <w:rFonts w:hint="eastAsia" w:eastAsia="宋体"/>
          <w:color w:val="auto"/>
          <w:lang w:val="en-US" w:eastAsia="zh-CN"/>
        </w:rPr>
      </w:pPr>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4</w:t>
    </w:r>
    <w:r>
      <w:fldChar w:fldCharType="end"/>
    </w: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ind w:firstLine="4500" w:firstLineChars="2500"/>
      <w:rPr>
        <w:rStyle w:val="45"/>
      </w:rPr>
    </w:pPr>
    <w:r>
      <w:fldChar w:fldCharType="begin"/>
    </w:r>
    <w:r>
      <w:rPr>
        <w:rStyle w:val="45"/>
      </w:rPr>
      <w:instrText xml:space="preserve">PAGE  </w:instrText>
    </w:r>
    <w:r>
      <w:fldChar w:fldCharType="separate"/>
    </w:r>
    <w:r>
      <w:rPr>
        <w:rStyle w:val="45"/>
      </w:rPr>
      <w:t>19</w:t>
    </w:r>
    <w:r>
      <w:fldChar w:fldCharType="end"/>
    </w:r>
  </w:p>
  <w:p>
    <w:pPr>
      <w:pStyle w:val="26"/>
      <w:framePr w:wrap="around" w:vAnchor="text" w:hAnchor="margin" w:xAlign="center" w:y="1"/>
      <w:rPr>
        <w:rStyle w:val="45"/>
      </w:rPr>
    </w:pPr>
  </w:p>
  <w:p>
    <w:pPr>
      <w:pStyle w:val="2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M3VLCtIBAACjAwAADgAAAAAAAAABACAAAAAi&#10;AQAAZHJzL2Uyb0RvYy54bWxQSwUGAAAAAAYABgBZAQAAZgU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rPr>
                              <w:rStyle w:val="45"/>
                            </w:rPr>
                          </w:pPr>
                          <w:r>
                            <w:fldChar w:fldCharType="begin"/>
                          </w:r>
                          <w:r>
                            <w:rPr>
                              <w:rStyle w:val="45"/>
                            </w:rPr>
                            <w:instrText xml:space="preserve">PAGE  </w:instrText>
                          </w:r>
                          <w:r>
                            <w:fldChar w:fldCharType="separate"/>
                          </w:r>
                          <w:r>
                            <w:rPr>
                              <w:rStyle w:val="45"/>
                            </w:rPr>
                            <w:t>10</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&#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zJJDB0QEAAKQDAAAOAAAAAAAAAAEAIAAAACIB&#10;AABkcnMvZTJvRG9jLnhtbFBLBQYAAAAABgAGAFkBAABlBQAAAAA=&#10;">
              <v:fill on="f" focussize="0,0"/>
              <v:stroke on="f" weight="1.25pt"/>
              <v:imagedata o:title=""/>
              <o:lock v:ext="edit" aspectratio="f"/>
              <v:textbox inset="0mm,0mm,0mm,0mm" style="mso-fit-shape-to-text:t;">
                <w:txbxContent>
                  <w:p>
                    <w:pPr>
                      <w:pStyle w:val="26"/>
                      <w:rPr>
                        <w:rStyle w:val="45"/>
                      </w:rPr>
                    </w:pPr>
                    <w:r>
                      <w:fldChar w:fldCharType="begin"/>
                    </w:r>
                    <w:r>
                      <w:rPr>
                        <w:rStyle w:val="45"/>
                      </w:rPr>
                      <w:instrText xml:space="preserve">PAGE  </w:instrText>
                    </w:r>
                    <w:r>
                      <w:fldChar w:fldCharType="separate"/>
                    </w:r>
                    <w:r>
                      <w:rPr>
                        <w:rStyle w:val="45"/>
                      </w:rP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6"/>
                            <w:jc w:val="center"/>
                          </w:pPr>
                          <w:r>
                            <w:fldChar w:fldCharType="begin"/>
                          </w:r>
                          <w:r>
                            <w:instrText xml:space="preserve">PAGE   \* MERGEFORMAT</w:instrText>
                          </w:r>
                          <w:r>
                            <w:fldChar w:fldCharType="separate"/>
                          </w:r>
                          <w:r>
                            <w:rPr>
                              <w:lang w:val="zh-CN"/>
                            </w:rPr>
                            <w:t>20</w:t>
                          </w:r>
                          <w:r>
                            <w:fldChar w:fldCharType="end"/>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ZgHIsgBAACa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s3EIUe+7skW5HoR3h4RNlN5yhRF2KowjK+ym9co78ee9ZD39Up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IGYByLIAQAAmgMAAA4AAAAAAAAAAQAgAAAAHgEAAGRycy9lMm9Eb2Mu&#10;eG1sUEsFBgAAAAAGAAYAWQEAAFgFAAAAAA==&#10;">
              <v:fill on="f" focussize="0,0"/>
              <v:stroke on="f"/>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20</w:t>
                    </w:r>
                    <w:r>
                      <w:fldChar w:fldCharType="end"/>
                    </w:r>
                  </w:p>
                </w:txbxContent>
              </v:textbox>
            </v:shape>
          </w:pict>
        </mc:Fallback>
      </mc:AlternateContent>
    </w:r>
  </w:p>
  <w:p>
    <w:pPr>
      <w:pStyle w:val="2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JXuNnSAQAApAMAAA4AAABkcnMvZTJvRG9jLnhtbK1TS27bMBDd&#10;F+gdCO5rKQ7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lrchEtKLDM48dPPH6df&#10;f06/v5PLpE/voca0e4+JcfjkBsyd7wEvE+1BBpO+SIhgHNU9ntUVQyQ8PaqWVVViiGNsdhC/eHru&#10;A8Rb4QxJRkMDji+ryg6fIY6pc0qqZt2N0jqPUFvSI+pV9eEqvziHEF1bLJJYjN0mKw7bYaK2de0R&#10;mfW4Aw21uPKU6DuLEqd1mY0wG9vZ2Pugdl3ep9QK+I/7iO3kLlOFEXYqjMPLPKdFS9vx3M9ZTz/X&#10;+i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Ale42dIBAACkAwAADgAAAAAAAAABACAAAAAi&#10;AQAAZHJzL2Uyb0RvYy54bWxQSwUGAAAAAAYABgBZAQAAZgU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pPr>
      <w:pStyle w:val="2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YUUk/SAQAAp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bBx/Uvsv7lFoB//4QsZ3cZaowwk6FcXiZ57RoaTv+9nPW08+1&#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hRST9IBAACkAwAADgAAAAAAAAABACAAAAAi&#10;AQAAZHJzL2Uyb0RvYy54bWxQSwUGAAAAAAYABgBZAQAAZgU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rFonts w:hint="eastAsia" w:ascii="仿宋" w:hAnsi="仿宋" w:eastAsia="仿宋" w:cs="仿宋"/>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hint="eastAsia"/>
      </w:rPr>
    </w:pPr>
    <w:r>
      <w:rPr>
        <w:rFonts w:hint="eastAsia" w:ascii="仿宋" w:hAnsi="仿宋" w:eastAsia="仿宋" w:cs="仿宋"/>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6B7E95"/>
    <w:multiLevelType w:val="singleLevel"/>
    <w:tmpl w:val="836B7E95"/>
    <w:lvl w:ilvl="0" w:tentative="0">
      <w:start w:val="1"/>
      <w:numFmt w:val="chineseCounting"/>
      <w:suff w:val="space"/>
      <w:lvlText w:val="（%1）"/>
      <w:lvlJc w:val="left"/>
      <w:rPr>
        <w:rFonts w:hint="eastAsia"/>
      </w:rPr>
    </w:lvl>
  </w:abstractNum>
  <w:abstractNum w:abstractNumId="1">
    <w:nsid w:val="8815E044"/>
    <w:multiLevelType w:val="singleLevel"/>
    <w:tmpl w:val="8815E044"/>
    <w:lvl w:ilvl="0" w:tentative="0">
      <w:start w:val="1"/>
      <w:numFmt w:val="chineseCounting"/>
      <w:suff w:val="space"/>
      <w:lvlText w:val="（%1）"/>
      <w:lvlJc w:val="left"/>
      <w:rPr>
        <w:rFonts w:hint="eastAsia"/>
      </w:rPr>
    </w:lvl>
  </w:abstractNum>
  <w:abstractNum w:abstractNumId="2">
    <w:nsid w:val="89B80E99"/>
    <w:multiLevelType w:val="singleLevel"/>
    <w:tmpl w:val="89B80E99"/>
    <w:lvl w:ilvl="0" w:tentative="0">
      <w:start w:val="1"/>
      <w:numFmt w:val="decimal"/>
      <w:suff w:val="nothing"/>
      <w:lvlText w:val="（%1）"/>
      <w:lvlJc w:val="left"/>
    </w:lvl>
  </w:abstractNum>
  <w:abstractNum w:abstractNumId="3">
    <w:nsid w:val="9E2841F9"/>
    <w:multiLevelType w:val="singleLevel"/>
    <w:tmpl w:val="9E2841F9"/>
    <w:lvl w:ilvl="0" w:tentative="0">
      <w:start w:val="3"/>
      <w:numFmt w:val="chineseCounting"/>
      <w:suff w:val="nothing"/>
      <w:lvlText w:val="%1、"/>
      <w:lvlJc w:val="left"/>
      <w:rPr>
        <w:rFonts w:hint="eastAsia"/>
      </w:rPr>
    </w:lvl>
  </w:abstractNum>
  <w:abstractNum w:abstractNumId="4">
    <w:nsid w:val="AA4D65FB"/>
    <w:multiLevelType w:val="singleLevel"/>
    <w:tmpl w:val="AA4D65FB"/>
    <w:lvl w:ilvl="0" w:tentative="0">
      <w:start w:val="1"/>
      <w:numFmt w:val="decimal"/>
      <w:suff w:val="nothing"/>
      <w:lvlText w:val="（%1）"/>
      <w:lvlJc w:val="left"/>
    </w:lvl>
  </w:abstractNum>
  <w:abstractNum w:abstractNumId="5">
    <w:nsid w:val="E67466D5"/>
    <w:multiLevelType w:val="singleLevel"/>
    <w:tmpl w:val="E67466D5"/>
    <w:lvl w:ilvl="0" w:tentative="0">
      <w:start w:val="1"/>
      <w:numFmt w:val="decimal"/>
      <w:suff w:val="nothing"/>
      <w:lvlText w:val="（%1）"/>
      <w:lvlJc w:val="left"/>
      <w:pPr>
        <w:ind w:left="-62"/>
      </w:pPr>
    </w:lvl>
  </w:abstractNum>
  <w:abstractNum w:abstractNumId="6">
    <w:nsid w:val="F0EEB351"/>
    <w:multiLevelType w:val="singleLevel"/>
    <w:tmpl w:val="F0EEB351"/>
    <w:lvl w:ilvl="0" w:tentative="0">
      <w:start w:val="3"/>
      <w:numFmt w:val="chineseCounting"/>
      <w:suff w:val="space"/>
      <w:lvlText w:val="第%1条"/>
      <w:lvlJc w:val="left"/>
      <w:rPr>
        <w:rFonts w:hint="eastAsia"/>
      </w:rPr>
    </w:lvl>
  </w:abstractNum>
  <w:abstractNum w:abstractNumId="7">
    <w:nsid w:val="F225E0D1"/>
    <w:multiLevelType w:val="singleLevel"/>
    <w:tmpl w:val="F225E0D1"/>
    <w:lvl w:ilvl="0" w:tentative="0">
      <w:start w:val="1"/>
      <w:numFmt w:val="chineseCounting"/>
      <w:suff w:val="space"/>
      <w:lvlText w:val="（%1）"/>
      <w:lvlJc w:val="left"/>
      <w:rPr>
        <w:rFonts w:hint="eastAsia"/>
      </w:rPr>
    </w:lvl>
  </w:abstractNum>
  <w:abstractNum w:abstractNumId="8">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7"/>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9">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10">
    <w:nsid w:val="00000018"/>
    <w:multiLevelType w:val="multilevel"/>
    <w:tmpl w:val="00000018"/>
    <w:lvl w:ilvl="0" w:tentative="0">
      <w:start w:val="1"/>
      <w:numFmt w:val="decimal"/>
      <w:pStyle w:val="147"/>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11">
    <w:nsid w:val="099FD8FE"/>
    <w:multiLevelType w:val="singleLevel"/>
    <w:tmpl w:val="099FD8FE"/>
    <w:lvl w:ilvl="0" w:tentative="0">
      <w:start w:val="2"/>
      <w:numFmt w:val="decimal"/>
      <w:suff w:val="nothing"/>
      <w:lvlText w:val="%1．"/>
      <w:lvlJc w:val="left"/>
    </w:lvl>
  </w:abstractNum>
  <w:abstractNum w:abstractNumId="12">
    <w:nsid w:val="17994330"/>
    <w:multiLevelType w:val="singleLevel"/>
    <w:tmpl w:val="17994330"/>
    <w:lvl w:ilvl="0" w:tentative="0">
      <w:start w:val="1"/>
      <w:numFmt w:val="chineseCounting"/>
      <w:suff w:val="space"/>
      <w:lvlText w:val="（%1）"/>
      <w:lvlJc w:val="left"/>
      <w:rPr>
        <w:rFonts w:hint="eastAsia"/>
      </w:rPr>
    </w:lvl>
  </w:abstractNum>
  <w:abstractNum w:abstractNumId="13">
    <w:nsid w:val="226EB30E"/>
    <w:multiLevelType w:val="singleLevel"/>
    <w:tmpl w:val="226EB30E"/>
    <w:lvl w:ilvl="0" w:tentative="0">
      <w:start w:val="1"/>
      <w:numFmt w:val="chineseCounting"/>
      <w:suff w:val="space"/>
      <w:lvlText w:val="（%1）"/>
      <w:lvlJc w:val="left"/>
      <w:rPr>
        <w:rFonts w:hint="eastAsia"/>
      </w:rPr>
    </w:lvl>
  </w:abstractNum>
  <w:abstractNum w:abstractNumId="14">
    <w:nsid w:val="27BA9E72"/>
    <w:multiLevelType w:val="singleLevel"/>
    <w:tmpl w:val="27BA9E72"/>
    <w:lvl w:ilvl="0" w:tentative="0">
      <w:start w:val="1"/>
      <w:numFmt w:val="chineseCounting"/>
      <w:suff w:val="space"/>
      <w:lvlText w:val="（%1）"/>
      <w:lvlJc w:val="left"/>
      <w:rPr>
        <w:rFonts w:hint="eastAsia"/>
      </w:rPr>
    </w:lvl>
  </w:abstractNum>
  <w:abstractNum w:abstractNumId="15">
    <w:nsid w:val="37E34ACE"/>
    <w:multiLevelType w:val="singleLevel"/>
    <w:tmpl w:val="37E34ACE"/>
    <w:lvl w:ilvl="0" w:tentative="0">
      <w:start w:val="1"/>
      <w:numFmt w:val="chineseCounting"/>
      <w:suff w:val="space"/>
      <w:lvlText w:val="（%1）"/>
      <w:lvlJc w:val="left"/>
      <w:rPr>
        <w:rFonts w:hint="eastAsia"/>
      </w:rPr>
    </w:lvl>
  </w:abstractNum>
  <w:abstractNum w:abstractNumId="16">
    <w:nsid w:val="527E2589"/>
    <w:multiLevelType w:val="singleLevel"/>
    <w:tmpl w:val="527E2589"/>
    <w:lvl w:ilvl="0" w:tentative="0">
      <w:start w:val="1"/>
      <w:numFmt w:val="decimal"/>
      <w:suff w:val="nothing"/>
      <w:lvlText w:val="（%1）"/>
      <w:lvlJc w:val="left"/>
      <w:pPr>
        <w:ind w:left="-62" w:firstLine="0"/>
      </w:pPr>
    </w:lvl>
  </w:abstractNum>
  <w:abstractNum w:abstractNumId="17">
    <w:nsid w:val="6019B689"/>
    <w:multiLevelType w:val="singleLevel"/>
    <w:tmpl w:val="6019B689"/>
    <w:lvl w:ilvl="0" w:tentative="0">
      <w:start w:val="6"/>
      <w:numFmt w:val="chineseCounting"/>
      <w:suff w:val="space"/>
      <w:lvlText w:val="第%1章"/>
      <w:lvlJc w:val="left"/>
      <w:rPr>
        <w:rFonts w:hint="eastAsia"/>
      </w:rPr>
    </w:lvl>
  </w:abstractNum>
  <w:abstractNum w:abstractNumId="18">
    <w:nsid w:val="71322D3C"/>
    <w:multiLevelType w:val="singleLevel"/>
    <w:tmpl w:val="71322D3C"/>
    <w:lvl w:ilvl="0" w:tentative="0">
      <w:start w:val="1"/>
      <w:numFmt w:val="chineseCounting"/>
      <w:suff w:val="nothing"/>
      <w:lvlText w:val="（%1）"/>
      <w:lvlJc w:val="left"/>
      <w:rPr>
        <w:rFonts w:hint="eastAsia"/>
      </w:rPr>
    </w:lvl>
  </w:abstractNum>
  <w:num w:numId="1">
    <w:abstractNumId w:val="9"/>
  </w:num>
  <w:num w:numId="2">
    <w:abstractNumId w:val="8"/>
  </w:num>
  <w:num w:numId="3">
    <w:abstractNumId w:val="10"/>
  </w:num>
  <w:num w:numId="4">
    <w:abstractNumId w:val="3"/>
  </w:num>
  <w:num w:numId="5">
    <w:abstractNumId w:val="5"/>
  </w:num>
  <w:num w:numId="6">
    <w:abstractNumId w:val="6"/>
  </w:num>
  <w:num w:numId="7">
    <w:abstractNumId w:val="4"/>
  </w:num>
  <w:num w:numId="8">
    <w:abstractNumId w:val="2"/>
  </w:num>
  <w:num w:numId="9">
    <w:abstractNumId w:val="7"/>
  </w:num>
  <w:num w:numId="10">
    <w:abstractNumId w:val="15"/>
  </w:num>
  <w:num w:numId="11">
    <w:abstractNumId w:val="0"/>
  </w:num>
  <w:num w:numId="12">
    <w:abstractNumId w:val="12"/>
  </w:num>
  <w:num w:numId="13">
    <w:abstractNumId w:val="16"/>
  </w:num>
  <w:num w:numId="14">
    <w:abstractNumId w:val="14"/>
  </w:num>
  <w:num w:numId="15">
    <w:abstractNumId w:val="1"/>
  </w:num>
  <w:num w:numId="16">
    <w:abstractNumId w:val="13"/>
  </w:num>
  <w:num w:numId="17">
    <w:abstractNumId w:val="11"/>
  </w:num>
  <w:num w:numId="18">
    <w:abstractNumId w:val="18"/>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12EA"/>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0D21"/>
    <w:rsid w:val="00041A8D"/>
    <w:rsid w:val="00042142"/>
    <w:rsid w:val="000426DF"/>
    <w:rsid w:val="00043183"/>
    <w:rsid w:val="00043CE4"/>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8FF"/>
    <w:rsid w:val="000529A8"/>
    <w:rsid w:val="00052A82"/>
    <w:rsid w:val="00052D6A"/>
    <w:rsid w:val="0005362E"/>
    <w:rsid w:val="00053CA5"/>
    <w:rsid w:val="00054057"/>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3717"/>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926"/>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0F04"/>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0F7B"/>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3B9E"/>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9F5"/>
    <w:rsid w:val="00163C0D"/>
    <w:rsid w:val="001645A2"/>
    <w:rsid w:val="001645E5"/>
    <w:rsid w:val="0016486D"/>
    <w:rsid w:val="00164ABB"/>
    <w:rsid w:val="00164D56"/>
    <w:rsid w:val="00164F56"/>
    <w:rsid w:val="00165F01"/>
    <w:rsid w:val="00165F8F"/>
    <w:rsid w:val="00167491"/>
    <w:rsid w:val="00167577"/>
    <w:rsid w:val="00170537"/>
    <w:rsid w:val="001711D7"/>
    <w:rsid w:val="001717AC"/>
    <w:rsid w:val="0017240A"/>
    <w:rsid w:val="00172475"/>
    <w:rsid w:val="00172575"/>
    <w:rsid w:val="001728F3"/>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4CD"/>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437"/>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289"/>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28F3"/>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8D"/>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9B8"/>
    <w:rsid w:val="00356CB3"/>
    <w:rsid w:val="003577E5"/>
    <w:rsid w:val="00357C4F"/>
    <w:rsid w:val="00357E8E"/>
    <w:rsid w:val="00360741"/>
    <w:rsid w:val="003625E3"/>
    <w:rsid w:val="003626C3"/>
    <w:rsid w:val="00362844"/>
    <w:rsid w:val="00362AD4"/>
    <w:rsid w:val="00363CBB"/>
    <w:rsid w:val="003650C8"/>
    <w:rsid w:val="003657E1"/>
    <w:rsid w:val="00365848"/>
    <w:rsid w:val="00365D26"/>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B6087"/>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F4C"/>
    <w:rsid w:val="003D47B0"/>
    <w:rsid w:val="003D48E0"/>
    <w:rsid w:val="003D580E"/>
    <w:rsid w:val="003D5BF3"/>
    <w:rsid w:val="003D7820"/>
    <w:rsid w:val="003E0697"/>
    <w:rsid w:val="003E103D"/>
    <w:rsid w:val="003E113D"/>
    <w:rsid w:val="003E149F"/>
    <w:rsid w:val="003E1523"/>
    <w:rsid w:val="003E17B1"/>
    <w:rsid w:val="003E18A3"/>
    <w:rsid w:val="003E1E8A"/>
    <w:rsid w:val="003E1F95"/>
    <w:rsid w:val="003E255A"/>
    <w:rsid w:val="003E2D45"/>
    <w:rsid w:val="003E2DD2"/>
    <w:rsid w:val="003E45F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930"/>
    <w:rsid w:val="00414C3D"/>
    <w:rsid w:val="004154C6"/>
    <w:rsid w:val="004154E3"/>
    <w:rsid w:val="00415B40"/>
    <w:rsid w:val="00416915"/>
    <w:rsid w:val="00416E0B"/>
    <w:rsid w:val="0041716A"/>
    <w:rsid w:val="004204A7"/>
    <w:rsid w:val="004210BA"/>
    <w:rsid w:val="00421AA2"/>
    <w:rsid w:val="004222E4"/>
    <w:rsid w:val="00422C74"/>
    <w:rsid w:val="004236EA"/>
    <w:rsid w:val="00423763"/>
    <w:rsid w:val="0042535E"/>
    <w:rsid w:val="00425714"/>
    <w:rsid w:val="00425BC2"/>
    <w:rsid w:val="00425EC6"/>
    <w:rsid w:val="00426BC5"/>
    <w:rsid w:val="00427022"/>
    <w:rsid w:val="004274CA"/>
    <w:rsid w:val="00427AFF"/>
    <w:rsid w:val="00427F55"/>
    <w:rsid w:val="00430260"/>
    <w:rsid w:val="004302EC"/>
    <w:rsid w:val="004304E9"/>
    <w:rsid w:val="004313E5"/>
    <w:rsid w:val="0043197C"/>
    <w:rsid w:val="0043289E"/>
    <w:rsid w:val="00433374"/>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2B4"/>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AE9"/>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197"/>
    <w:rsid w:val="004E1439"/>
    <w:rsid w:val="004E1933"/>
    <w:rsid w:val="004E199A"/>
    <w:rsid w:val="004E1A76"/>
    <w:rsid w:val="004E1EC7"/>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B44"/>
    <w:rsid w:val="004F4C15"/>
    <w:rsid w:val="004F5285"/>
    <w:rsid w:val="004F59DE"/>
    <w:rsid w:val="004F6350"/>
    <w:rsid w:val="004F6C7D"/>
    <w:rsid w:val="004F74AA"/>
    <w:rsid w:val="004F7752"/>
    <w:rsid w:val="004F7D9E"/>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5CF"/>
    <w:rsid w:val="005228D7"/>
    <w:rsid w:val="005229B2"/>
    <w:rsid w:val="005235ED"/>
    <w:rsid w:val="005238BD"/>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75FC"/>
    <w:rsid w:val="0053781B"/>
    <w:rsid w:val="00537845"/>
    <w:rsid w:val="005407F1"/>
    <w:rsid w:val="00540BFF"/>
    <w:rsid w:val="00541086"/>
    <w:rsid w:val="00541359"/>
    <w:rsid w:val="00541AE5"/>
    <w:rsid w:val="00541B8B"/>
    <w:rsid w:val="00542378"/>
    <w:rsid w:val="00542C29"/>
    <w:rsid w:val="00542CBE"/>
    <w:rsid w:val="0054303C"/>
    <w:rsid w:val="00543A85"/>
    <w:rsid w:val="00543FD8"/>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1578"/>
    <w:rsid w:val="005615DD"/>
    <w:rsid w:val="00561CC4"/>
    <w:rsid w:val="00561D5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2A89"/>
    <w:rsid w:val="00593460"/>
    <w:rsid w:val="00594819"/>
    <w:rsid w:val="00594972"/>
    <w:rsid w:val="00594A27"/>
    <w:rsid w:val="005961FD"/>
    <w:rsid w:val="005963E3"/>
    <w:rsid w:val="005975AD"/>
    <w:rsid w:val="00597919"/>
    <w:rsid w:val="00597AB4"/>
    <w:rsid w:val="005A0E03"/>
    <w:rsid w:val="005A287D"/>
    <w:rsid w:val="005A40E3"/>
    <w:rsid w:val="005A524E"/>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88B"/>
    <w:rsid w:val="005B7992"/>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4301"/>
    <w:rsid w:val="005D45AF"/>
    <w:rsid w:val="005D461C"/>
    <w:rsid w:val="005D4C19"/>
    <w:rsid w:val="005D5734"/>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32D"/>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6F9C"/>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2DE9"/>
    <w:rsid w:val="006738FF"/>
    <w:rsid w:val="00673F7E"/>
    <w:rsid w:val="00674105"/>
    <w:rsid w:val="00675073"/>
    <w:rsid w:val="006753FF"/>
    <w:rsid w:val="00675BEA"/>
    <w:rsid w:val="00675F3B"/>
    <w:rsid w:val="00676E07"/>
    <w:rsid w:val="00677693"/>
    <w:rsid w:val="00677D78"/>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03C3"/>
    <w:rsid w:val="00731018"/>
    <w:rsid w:val="0073129A"/>
    <w:rsid w:val="00731946"/>
    <w:rsid w:val="00732805"/>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02F"/>
    <w:rsid w:val="00753ABB"/>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9F7"/>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29C"/>
    <w:rsid w:val="007B37E3"/>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7455"/>
    <w:rsid w:val="007C794A"/>
    <w:rsid w:val="007D0669"/>
    <w:rsid w:val="007D0AAB"/>
    <w:rsid w:val="007D10A5"/>
    <w:rsid w:val="007D20E6"/>
    <w:rsid w:val="007D2815"/>
    <w:rsid w:val="007D2A2F"/>
    <w:rsid w:val="007D3622"/>
    <w:rsid w:val="007D39DB"/>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105B0"/>
    <w:rsid w:val="008108FB"/>
    <w:rsid w:val="00810C3A"/>
    <w:rsid w:val="00811633"/>
    <w:rsid w:val="00811797"/>
    <w:rsid w:val="00812DBD"/>
    <w:rsid w:val="00813155"/>
    <w:rsid w:val="008136F5"/>
    <w:rsid w:val="008138C1"/>
    <w:rsid w:val="00813B69"/>
    <w:rsid w:val="00813F4E"/>
    <w:rsid w:val="00813F82"/>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287"/>
    <w:rsid w:val="008419A1"/>
    <w:rsid w:val="00841A2C"/>
    <w:rsid w:val="0084222D"/>
    <w:rsid w:val="00842CEA"/>
    <w:rsid w:val="00842DA5"/>
    <w:rsid w:val="008436AC"/>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7C1"/>
    <w:rsid w:val="008A399E"/>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A1C"/>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19"/>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DB5"/>
    <w:rsid w:val="009C3EBC"/>
    <w:rsid w:val="009C4084"/>
    <w:rsid w:val="009C457D"/>
    <w:rsid w:val="009C4A22"/>
    <w:rsid w:val="009C4B5A"/>
    <w:rsid w:val="009C4BB1"/>
    <w:rsid w:val="009C4DE2"/>
    <w:rsid w:val="009C55B9"/>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71F"/>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362E"/>
    <w:rsid w:val="00A13BF6"/>
    <w:rsid w:val="00A14335"/>
    <w:rsid w:val="00A1443D"/>
    <w:rsid w:val="00A1486C"/>
    <w:rsid w:val="00A150A5"/>
    <w:rsid w:val="00A151AE"/>
    <w:rsid w:val="00A154C7"/>
    <w:rsid w:val="00A158E3"/>
    <w:rsid w:val="00A15C25"/>
    <w:rsid w:val="00A17C20"/>
    <w:rsid w:val="00A20059"/>
    <w:rsid w:val="00A20681"/>
    <w:rsid w:val="00A206FA"/>
    <w:rsid w:val="00A20965"/>
    <w:rsid w:val="00A20D9F"/>
    <w:rsid w:val="00A20F6E"/>
    <w:rsid w:val="00A2173F"/>
    <w:rsid w:val="00A21C06"/>
    <w:rsid w:val="00A22B71"/>
    <w:rsid w:val="00A22BA3"/>
    <w:rsid w:val="00A22D20"/>
    <w:rsid w:val="00A2347A"/>
    <w:rsid w:val="00A2562A"/>
    <w:rsid w:val="00A2605C"/>
    <w:rsid w:val="00A263F5"/>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641"/>
    <w:rsid w:val="00A45A8D"/>
    <w:rsid w:val="00A45FA8"/>
    <w:rsid w:val="00A46347"/>
    <w:rsid w:val="00A463CA"/>
    <w:rsid w:val="00A46947"/>
    <w:rsid w:val="00A46EB9"/>
    <w:rsid w:val="00A50443"/>
    <w:rsid w:val="00A505D1"/>
    <w:rsid w:val="00A52D0B"/>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3E3D"/>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3DE4"/>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CB9"/>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2B66"/>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11F2"/>
    <w:rsid w:val="00C71209"/>
    <w:rsid w:val="00C71C64"/>
    <w:rsid w:val="00C71FCC"/>
    <w:rsid w:val="00C726C2"/>
    <w:rsid w:val="00C726F5"/>
    <w:rsid w:val="00C72ACF"/>
    <w:rsid w:val="00C74AA7"/>
    <w:rsid w:val="00C74C23"/>
    <w:rsid w:val="00C751AE"/>
    <w:rsid w:val="00C753B5"/>
    <w:rsid w:val="00C75A3B"/>
    <w:rsid w:val="00C760ED"/>
    <w:rsid w:val="00C76EEF"/>
    <w:rsid w:val="00C77151"/>
    <w:rsid w:val="00C77199"/>
    <w:rsid w:val="00C80BC6"/>
    <w:rsid w:val="00C80C2B"/>
    <w:rsid w:val="00C82689"/>
    <w:rsid w:val="00C82C05"/>
    <w:rsid w:val="00C8322E"/>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76A"/>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1278"/>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0C6D"/>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2963"/>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6E8"/>
    <w:rsid w:val="00D7489A"/>
    <w:rsid w:val="00D74C4E"/>
    <w:rsid w:val="00D74E9A"/>
    <w:rsid w:val="00D75306"/>
    <w:rsid w:val="00D755FC"/>
    <w:rsid w:val="00D757A2"/>
    <w:rsid w:val="00D75DDA"/>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F1D"/>
    <w:rsid w:val="00DD0287"/>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1B7C"/>
    <w:rsid w:val="00DE2D2D"/>
    <w:rsid w:val="00DE32FC"/>
    <w:rsid w:val="00DE51B5"/>
    <w:rsid w:val="00DE592E"/>
    <w:rsid w:val="00DE5B82"/>
    <w:rsid w:val="00DE5EC9"/>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3F4F"/>
    <w:rsid w:val="00E245C8"/>
    <w:rsid w:val="00E2462D"/>
    <w:rsid w:val="00E26E10"/>
    <w:rsid w:val="00E27222"/>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375AD"/>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5247"/>
    <w:rsid w:val="00E55375"/>
    <w:rsid w:val="00E55B76"/>
    <w:rsid w:val="00E561E6"/>
    <w:rsid w:val="00E5642B"/>
    <w:rsid w:val="00E564DE"/>
    <w:rsid w:val="00E56798"/>
    <w:rsid w:val="00E56E39"/>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67A48"/>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3DEC"/>
    <w:rsid w:val="00E94519"/>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A7F36"/>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6F8"/>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3C2F"/>
    <w:rsid w:val="00F3434F"/>
    <w:rsid w:val="00F34536"/>
    <w:rsid w:val="00F345DF"/>
    <w:rsid w:val="00F34D95"/>
    <w:rsid w:val="00F3543E"/>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3994"/>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0D83"/>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6A71"/>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04752"/>
    <w:rsid w:val="01021808"/>
    <w:rsid w:val="01064676"/>
    <w:rsid w:val="01137ECF"/>
    <w:rsid w:val="01191F36"/>
    <w:rsid w:val="01241D66"/>
    <w:rsid w:val="014A3244"/>
    <w:rsid w:val="01A51AFF"/>
    <w:rsid w:val="01B95421"/>
    <w:rsid w:val="020B1354"/>
    <w:rsid w:val="022D32CB"/>
    <w:rsid w:val="022F7D7B"/>
    <w:rsid w:val="025A55E9"/>
    <w:rsid w:val="027E5350"/>
    <w:rsid w:val="029442A4"/>
    <w:rsid w:val="0295381B"/>
    <w:rsid w:val="02A23766"/>
    <w:rsid w:val="02BC63B4"/>
    <w:rsid w:val="02FA371D"/>
    <w:rsid w:val="0317318F"/>
    <w:rsid w:val="034D12D4"/>
    <w:rsid w:val="035C2662"/>
    <w:rsid w:val="03637FE7"/>
    <w:rsid w:val="0373126B"/>
    <w:rsid w:val="0376348B"/>
    <w:rsid w:val="0388663C"/>
    <w:rsid w:val="03A97929"/>
    <w:rsid w:val="03C32A6F"/>
    <w:rsid w:val="03CC1DF8"/>
    <w:rsid w:val="03CE20DF"/>
    <w:rsid w:val="03D57B0C"/>
    <w:rsid w:val="03FB034A"/>
    <w:rsid w:val="040E0780"/>
    <w:rsid w:val="047A6254"/>
    <w:rsid w:val="047B6B74"/>
    <w:rsid w:val="04BE1034"/>
    <w:rsid w:val="04D0480D"/>
    <w:rsid w:val="04D34B21"/>
    <w:rsid w:val="04D81D11"/>
    <w:rsid w:val="04E3013A"/>
    <w:rsid w:val="04E353B7"/>
    <w:rsid w:val="04E366BD"/>
    <w:rsid w:val="04F10A9B"/>
    <w:rsid w:val="050E1D07"/>
    <w:rsid w:val="0515460A"/>
    <w:rsid w:val="052076F5"/>
    <w:rsid w:val="05371AE5"/>
    <w:rsid w:val="05384281"/>
    <w:rsid w:val="053F6840"/>
    <w:rsid w:val="05525152"/>
    <w:rsid w:val="05656DAB"/>
    <w:rsid w:val="059874F0"/>
    <w:rsid w:val="059E0622"/>
    <w:rsid w:val="05CD1AD2"/>
    <w:rsid w:val="05D050F7"/>
    <w:rsid w:val="05F9607E"/>
    <w:rsid w:val="05FE2BF2"/>
    <w:rsid w:val="06402ABA"/>
    <w:rsid w:val="064E339A"/>
    <w:rsid w:val="068D6A93"/>
    <w:rsid w:val="069E6AB1"/>
    <w:rsid w:val="06A26061"/>
    <w:rsid w:val="06CE7668"/>
    <w:rsid w:val="06E00027"/>
    <w:rsid w:val="06E25B52"/>
    <w:rsid w:val="06EA222C"/>
    <w:rsid w:val="072D2162"/>
    <w:rsid w:val="073518D0"/>
    <w:rsid w:val="07354BC2"/>
    <w:rsid w:val="07442036"/>
    <w:rsid w:val="0750320D"/>
    <w:rsid w:val="075E49F8"/>
    <w:rsid w:val="079E0D8E"/>
    <w:rsid w:val="07CD7297"/>
    <w:rsid w:val="082B0828"/>
    <w:rsid w:val="085C77EA"/>
    <w:rsid w:val="08834932"/>
    <w:rsid w:val="089A7172"/>
    <w:rsid w:val="08B05320"/>
    <w:rsid w:val="08E9597F"/>
    <w:rsid w:val="08F900D1"/>
    <w:rsid w:val="08F935C9"/>
    <w:rsid w:val="09045CE0"/>
    <w:rsid w:val="096106DB"/>
    <w:rsid w:val="09696FDD"/>
    <w:rsid w:val="096C5C89"/>
    <w:rsid w:val="097313E3"/>
    <w:rsid w:val="09771A8A"/>
    <w:rsid w:val="097A7E27"/>
    <w:rsid w:val="09813EE4"/>
    <w:rsid w:val="09A17C7A"/>
    <w:rsid w:val="09A54C50"/>
    <w:rsid w:val="09BC6028"/>
    <w:rsid w:val="09CD4DDF"/>
    <w:rsid w:val="09D35269"/>
    <w:rsid w:val="09DD448E"/>
    <w:rsid w:val="09DD6A43"/>
    <w:rsid w:val="09FD0A32"/>
    <w:rsid w:val="0A000377"/>
    <w:rsid w:val="0A0C4781"/>
    <w:rsid w:val="0A113F39"/>
    <w:rsid w:val="0A2B31CA"/>
    <w:rsid w:val="0A31709A"/>
    <w:rsid w:val="0A534AFF"/>
    <w:rsid w:val="0A5A5EB7"/>
    <w:rsid w:val="0A6F3443"/>
    <w:rsid w:val="0AAE469B"/>
    <w:rsid w:val="0AB51B2D"/>
    <w:rsid w:val="0B104CB8"/>
    <w:rsid w:val="0B107D8C"/>
    <w:rsid w:val="0B154BBD"/>
    <w:rsid w:val="0B325F44"/>
    <w:rsid w:val="0B471BC9"/>
    <w:rsid w:val="0B6866EB"/>
    <w:rsid w:val="0B7071B5"/>
    <w:rsid w:val="0B825EDB"/>
    <w:rsid w:val="0BCA3D41"/>
    <w:rsid w:val="0BCC1983"/>
    <w:rsid w:val="0C2057FC"/>
    <w:rsid w:val="0C2D66FE"/>
    <w:rsid w:val="0C47430A"/>
    <w:rsid w:val="0C5E3191"/>
    <w:rsid w:val="0C616454"/>
    <w:rsid w:val="0C682709"/>
    <w:rsid w:val="0C764AAB"/>
    <w:rsid w:val="0C7A707B"/>
    <w:rsid w:val="0C864E88"/>
    <w:rsid w:val="0C8C7B9F"/>
    <w:rsid w:val="0C9475E1"/>
    <w:rsid w:val="0CA62E5A"/>
    <w:rsid w:val="0CB43017"/>
    <w:rsid w:val="0CB54192"/>
    <w:rsid w:val="0CD32AA0"/>
    <w:rsid w:val="0CE41E67"/>
    <w:rsid w:val="0D13072B"/>
    <w:rsid w:val="0D17585D"/>
    <w:rsid w:val="0D3E33CC"/>
    <w:rsid w:val="0D5745CD"/>
    <w:rsid w:val="0D575B85"/>
    <w:rsid w:val="0D5E04FB"/>
    <w:rsid w:val="0D607B2A"/>
    <w:rsid w:val="0D7E21C9"/>
    <w:rsid w:val="0D885EF1"/>
    <w:rsid w:val="0DA37C00"/>
    <w:rsid w:val="0DAF0AF5"/>
    <w:rsid w:val="0DDF7C6E"/>
    <w:rsid w:val="0DF317F5"/>
    <w:rsid w:val="0DF626F7"/>
    <w:rsid w:val="0DF7405B"/>
    <w:rsid w:val="0DF96E8C"/>
    <w:rsid w:val="0E143AD6"/>
    <w:rsid w:val="0E183F30"/>
    <w:rsid w:val="0E1C1B02"/>
    <w:rsid w:val="0E1D2CA7"/>
    <w:rsid w:val="0E2E2851"/>
    <w:rsid w:val="0E4571B4"/>
    <w:rsid w:val="0E513A96"/>
    <w:rsid w:val="0E5F6463"/>
    <w:rsid w:val="0E6A0CB4"/>
    <w:rsid w:val="0E79874A"/>
    <w:rsid w:val="0E7F55DC"/>
    <w:rsid w:val="0E824CB1"/>
    <w:rsid w:val="0E893E01"/>
    <w:rsid w:val="0EA11B7B"/>
    <w:rsid w:val="0EEC37BE"/>
    <w:rsid w:val="0F0E2DBE"/>
    <w:rsid w:val="0F1555F1"/>
    <w:rsid w:val="0F20699C"/>
    <w:rsid w:val="0F22624D"/>
    <w:rsid w:val="0F3A5822"/>
    <w:rsid w:val="0F5A309E"/>
    <w:rsid w:val="0F5B2BA4"/>
    <w:rsid w:val="0F7F0CB4"/>
    <w:rsid w:val="0F864AF8"/>
    <w:rsid w:val="0F891808"/>
    <w:rsid w:val="0F9B351F"/>
    <w:rsid w:val="0FD05B7C"/>
    <w:rsid w:val="0FE26F7E"/>
    <w:rsid w:val="0FF86998"/>
    <w:rsid w:val="0FFB69DA"/>
    <w:rsid w:val="0FFF9E23"/>
    <w:rsid w:val="101F0F91"/>
    <w:rsid w:val="104D2298"/>
    <w:rsid w:val="10732690"/>
    <w:rsid w:val="10800E1A"/>
    <w:rsid w:val="108A3181"/>
    <w:rsid w:val="10933928"/>
    <w:rsid w:val="10E053CE"/>
    <w:rsid w:val="10EA5F4D"/>
    <w:rsid w:val="111A12C3"/>
    <w:rsid w:val="11437F75"/>
    <w:rsid w:val="115A4A6C"/>
    <w:rsid w:val="115C71C8"/>
    <w:rsid w:val="117A67CD"/>
    <w:rsid w:val="118A5482"/>
    <w:rsid w:val="119D010A"/>
    <w:rsid w:val="11CB154F"/>
    <w:rsid w:val="11D57FF6"/>
    <w:rsid w:val="11EC0DBF"/>
    <w:rsid w:val="11EF5B10"/>
    <w:rsid w:val="12003074"/>
    <w:rsid w:val="12042B6A"/>
    <w:rsid w:val="127A3676"/>
    <w:rsid w:val="1283653C"/>
    <w:rsid w:val="128D0ACD"/>
    <w:rsid w:val="128D76FB"/>
    <w:rsid w:val="12934B57"/>
    <w:rsid w:val="12AF0785"/>
    <w:rsid w:val="12B5001B"/>
    <w:rsid w:val="12B74C45"/>
    <w:rsid w:val="12B97E85"/>
    <w:rsid w:val="12CD1AB2"/>
    <w:rsid w:val="12E02111"/>
    <w:rsid w:val="12E0359D"/>
    <w:rsid w:val="12E3158A"/>
    <w:rsid w:val="12F32B68"/>
    <w:rsid w:val="131948E0"/>
    <w:rsid w:val="13326301"/>
    <w:rsid w:val="134B49D1"/>
    <w:rsid w:val="13774559"/>
    <w:rsid w:val="13831D0F"/>
    <w:rsid w:val="13852723"/>
    <w:rsid w:val="13A07D1C"/>
    <w:rsid w:val="13AA6C7A"/>
    <w:rsid w:val="13AF12D1"/>
    <w:rsid w:val="13D97F0D"/>
    <w:rsid w:val="13DB77D7"/>
    <w:rsid w:val="14017795"/>
    <w:rsid w:val="142F57EF"/>
    <w:rsid w:val="144374FB"/>
    <w:rsid w:val="146A774B"/>
    <w:rsid w:val="146B5DFA"/>
    <w:rsid w:val="146E33A4"/>
    <w:rsid w:val="14833540"/>
    <w:rsid w:val="14887B0E"/>
    <w:rsid w:val="14946069"/>
    <w:rsid w:val="14A93F80"/>
    <w:rsid w:val="14E145A4"/>
    <w:rsid w:val="14E20675"/>
    <w:rsid w:val="151D2E85"/>
    <w:rsid w:val="151E685E"/>
    <w:rsid w:val="152315CE"/>
    <w:rsid w:val="153A298B"/>
    <w:rsid w:val="155C7174"/>
    <w:rsid w:val="15702ADB"/>
    <w:rsid w:val="15741B58"/>
    <w:rsid w:val="157F4238"/>
    <w:rsid w:val="15942E62"/>
    <w:rsid w:val="159D78C3"/>
    <w:rsid w:val="15B8776F"/>
    <w:rsid w:val="15C80049"/>
    <w:rsid w:val="15DC403B"/>
    <w:rsid w:val="15FC4DAB"/>
    <w:rsid w:val="161F262E"/>
    <w:rsid w:val="16353638"/>
    <w:rsid w:val="16444AAD"/>
    <w:rsid w:val="164729D6"/>
    <w:rsid w:val="16623343"/>
    <w:rsid w:val="167639EE"/>
    <w:rsid w:val="16952AE1"/>
    <w:rsid w:val="16987D08"/>
    <w:rsid w:val="16B000D0"/>
    <w:rsid w:val="16C06700"/>
    <w:rsid w:val="16D74B54"/>
    <w:rsid w:val="16F64A51"/>
    <w:rsid w:val="1703020F"/>
    <w:rsid w:val="1712563F"/>
    <w:rsid w:val="171728C0"/>
    <w:rsid w:val="1731377E"/>
    <w:rsid w:val="173B45EA"/>
    <w:rsid w:val="175824DC"/>
    <w:rsid w:val="17684F4D"/>
    <w:rsid w:val="1771520B"/>
    <w:rsid w:val="17A02F74"/>
    <w:rsid w:val="17A64703"/>
    <w:rsid w:val="17AF94C5"/>
    <w:rsid w:val="17D426A8"/>
    <w:rsid w:val="17D430F8"/>
    <w:rsid w:val="17F10988"/>
    <w:rsid w:val="18013604"/>
    <w:rsid w:val="180F222F"/>
    <w:rsid w:val="18420450"/>
    <w:rsid w:val="1843507F"/>
    <w:rsid w:val="18932160"/>
    <w:rsid w:val="18B45502"/>
    <w:rsid w:val="1925275C"/>
    <w:rsid w:val="19325F66"/>
    <w:rsid w:val="195F03D1"/>
    <w:rsid w:val="19784F04"/>
    <w:rsid w:val="197B27AB"/>
    <w:rsid w:val="19853DFD"/>
    <w:rsid w:val="198B0A33"/>
    <w:rsid w:val="19A73E3E"/>
    <w:rsid w:val="19A86C92"/>
    <w:rsid w:val="19B377DB"/>
    <w:rsid w:val="19B63D32"/>
    <w:rsid w:val="19CF3B7D"/>
    <w:rsid w:val="19D259C1"/>
    <w:rsid w:val="1A03730E"/>
    <w:rsid w:val="1A1068EB"/>
    <w:rsid w:val="1A143B33"/>
    <w:rsid w:val="1A2E4342"/>
    <w:rsid w:val="1A306299"/>
    <w:rsid w:val="1A3503C3"/>
    <w:rsid w:val="1A3860D4"/>
    <w:rsid w:val="1A4163F1"/>
    <w:rsid w:val="1A4E6FE1"/>
    <w:rsid w:val="1A627DE6"/>
    <w:rsid w:val="1A761976"/>
    <w:rsid w:val="1A7D4CCC"/>
    <w:rsid w:val="1A8E6CD5"/>
    <w:rsid w:val="1A9452B0"/>
    <w:rsid w:val="1A986C8A"/>
    <w:rsid w:val="1AB84712"/>
    <w:rsid w:val="1ACF3752"/>
    <w:rsid w:val="1AD86012"/>
    <w:rsid w:val="1AD9181C"/>
    <w:rsid w:val="1AE9346B"/>
    <w:rsid w:val="1AED79C0"/>
    <w:rsid w:val="1B0537E4"/>
    <w:rsid w:val="1B2E771E"/>
    <w:rsid w:val="1B3E2362"/>
    <w:rsid w:val="1B476529"/>
    <w:rsid w:val="1B4E3302"/>
    <w:rsid w:val="1B5C10E5"/>
    <w:rsid w:val="1B6212E1"/>
    <w:rsid w:val="1B676330"/>
    <w:rsid w:val="1B77204D"/>
    <w:rsid w:val="1B857BD8"/>
    <w:rsid w:val="1B8C1890"/>
    <w:rsid w:val="1B976D3F"/>
    <w:rsid w:val="1B9D1232"/>
    <w:rsid w:val="1BBF2D87"/>
    <w:rsid w:val="1BC349DE"/>
    <w:rsid w:val="1BF442EC"/>
    <w:rsid w:val="1C295A44"/>
    <w:rsid w:val="1C307027"/>
    <w:rsid w:val="1C3F7FA6"/>
    <w:rsid w:val="1C492B76"/>
    <w:rsid w:val="1C560BDD"/>
    <w:rsid w:val="1C747EF9"/>
    <w:rsid w:val="1C813E89"/>
    <w:rsid w:val="1C844B5B"/>
    <w:rsid w:val="1C86668C"/>
    <w:rsid w:val="1C8C6C33"/>
    <w:rsid w:val="1CC64637"/>
    <w:rsid w:val="1CCA25EF"/>
    <w:rsid w:val="1CCA789A"/>
    <w:rsid w:val="1CCC4A9D"/>
    <w:rsid w:val="1CD67896"/>
    <w:rsid w:val="1CE03735"/>
    <w:rsid w:val="1D3348B9"/>
    <w:rsid w:val="1D6BA2A5"/>
    <w:rsid w:val="1D70483F"/>
    <w:rsid w:val="1D760B5F"/>
    <w:rsid w:val="1D7736AA"/>
    <w:rsid w:val="1D7EDBAC"/>
    <w:rsid w:val="1DA55031"/>
    <w:rsid w:val="1DA90101"/>
    <w:rsid w:val="1DB60EA9"/>
    <w:rsid w:val="1DB72178"/>
    <w:rsid w:val="1DE33932"/>
    <w:rsid w:val="1DE547AB"/>
    <w:rsid w:val="1DEA3BDA"/>
    <w:rsid w:val="1DF1708C"/>
    <w:rsid w:val="1E1B3FC3"/>
    <w:rsid w:val="1E280646"/>
    <w:rsid w:val="1E3D42AB"/>
    <w:rsid w:val="1E5805C9"/>
    <w:rsid w:val="1E5C27D9"/>
    <w:rsid w:val="1E6E8FC2"/>
    <w:rsid w:val="1E960B39"/>
    <w:rsid w:val="1EA8294E"/>
    <w:rsid w:val="1EE920F1"/>
    <w:rsid w:val="1EEDC44B"/>
    <w:rsid w:val="1EF321F1"/>
    <w:rsid w:val="1EF53267"/>
    <w:rsid w:val="1EF83469"/>
    <w:rsid w:val="1F0A2CB7"/>
    <w:rsid w:val="1F121216"/>
    <w:rsid w:val="1F1A79F2"/>
    <w:rsid w:val="1F3C2E43"/>
    <w:rsid w:val="1F4205D3"/>
    <w:rsid w:val="1F433A78"/>
    <w:rsid w:val="1F4D0F4B"/>
    <w:rsid w:val="1F7E7E22"/>
    <w:rsid w:val="1F901744"/>
    <w:rsid w:val="1F983263"/>
    <w:rsid w:val="1FAF1D46"/>
    <w:rsid w:val="1FB1255F"/>
    <w:rsid w:val="1FD97C09"/>
    <w:rsid w:val="1FDF48EE"/>
    <w:rsid w:val="1FE607C1"/>
    <w:rsid w:val="200927CB"/>
    <w:rsid w:val="203A0E21"/>
    <w:rsid w:val="203B04ED"/>
    <w:rsid w:val="203F229D"/>
    <w:rsid w:val="20571623"/>
    <w:rsid w:val="20625F75"/>
    <w:rsid w:val="2069158A"/>
    <w:rsid w:val="207364D3"/>
    <w:rsid w:val="207E4837"/>
    <w:rsid w:val="207E4D6A"/>
    <w:rsid w:val="20976B5A"/>
    <w:rsid w:val="209B4147"/>
    <w:rsid w:val="20A347D2"/>
    <w:rsid w:val="20C26C84"/>
    <w:rsid w:val="20C42294"/>
    <w:rsid w:val="20C443FE"/>
    <w:rsid w:val="20C50451"/>
    <w:rsid w:val="20D77BFC"/>
    <w:rsid w:val="20E03CB3"/>
    <w:rsid w:val="21020107"/>
    <w:rsid w:val="210F16D9"/>
    <w:rsid w:val="210F7FBF"/>
    <w:rsid w:val="21372259"/>
    <w:rsid w:val="21694910"/>
    <w:rsid w:val="21822CFB"/>
    <w:rsid w:val="21D33A7E"/>
    <w:rsid w:val="21D63963"/>
    <w:rsid w:val="21ED4624"/>
    <w:rsid w:val="22294218"/>
    <w:rsid w:val="222A00E6"/>
    <w:rsid w:val="22512901"/>
    <w:rsid w:val="2267492F"/>
    <w:rsid w:val="22A44447"/>
    <w:rsid w:val="22B346F2"/>
    <w:rsid w:val="22D05B48"/>
    <w:rsid w:val="22E006EF"/>
    <w:rsid w:val="22F00A92"/>
    <w:rsid w:val="2301712C"/>
    <w:rsid w:val="23444268"/>
    <w:rsid w:val="237645DF"/>
    <w:rsid w:val="23B302CE"/>
    <w:rsid w:val="23D16EFC"/>
    <w:rsid w:val="23ED1E66"/>
    <w:rsid w:val="23EF3232"/>
    <w:rsid w:val="23FA11FB"/>
    <w:rsid w:val="2403431B"/>
    <w:rsid w:val="240A5D77"/>
    <w:rsid w:val="24142194"/>
    <w:rsid w:val="24643671"/>
    <w:rsid w:val="246739F8"/>
    <w:rsid w:val="24A30FBB"/>
    <w:rsid w:val="24BB7C33"/>
    <w:rsid w:val="24C00E4A"/>
    <w:rsid w:val="24DB1B09"/>
    <w:rsid w:val="24E60780"/>
    <w:rsid w:val="24F43B92"/>
    <w:rsid w:val="24FF19C4"/>
    <w:rsid w:val="25041590"/>
    <w:rsid w:val="25731E80"/>
    <w:rsid w:val="257866B1"/>
    <w:rsid w:val="258F38CC"/>
    <w:rsid w:val="25A82F5B"/>
    <w:rsid w:val="25A87077"/>
    <w:rsid w:val="25C915FC"/>
    <w:rsid w:val="25F52C62"/>
    <w:rsid w:val="260874E8"/>
    <w:rsid w:val="26124ED4"/>
    <w:rsid w:val="2632366A"/>
    <w:rsid w:val="26333878"/>
    <w:rsid w:val="26482450"/>
    <w:rsid w:val="264B349C"/>
    <w:rsid w:val="26520DBA"/>
    <w:rsid w:val="26595760"/>
    <w:rsid w:val="267E7E2B"/>
    <w:rsid w:val="269D63A8"/>
    <w:rsid w:val="26A94CC5"/>
    <w:rsid w:val="26B00479"/>
    <w:rsid w:val="26B613FF"/>
    <w:rsid w:val="26C62C95"/>
    <w:rsid w:val="26C848AF"/>
    <w:rsid w:val="26CE2A68"/>
    <w:rsid w:val="26D97433"/>
    <w:rsid w:val="271C5FE7"/>
    <w:rsid w:val="27315631"/>
    <w:rsid w:val="275C465E"/>
    <w:rsid w:val="27992D3B"/>
    <w:rsid w:val="27AA2CA3"/>
    <w:rsid w:val="27B01683"/>
    <w:rsid w:val="27B8211C"/>
    <w:rsid w:val="27C82253"/>
    <w:rsid w:val="27EC4E71"/>
    <w:rsid w:val="28247BB6"/>
    <w:rsid w:val="28881317"/>
    <w:rsid w:val="28933CCC"/>
    <w:rsid w:val="28AE7984"/>
    <w:rsid w:val="28C80D3F"/>
    <w:rsid w:val="28D96965"/>
    <w:rsid w:val="28DE38B6"/>
    <w:rsid w:val="28DE3958"/>
    <w:rsid w:val="28F774F8"/>
    <w:rsid w:val="29055F95"/>
    <w:rsid w:val="2929417D"/>
    <w:rsid w:val="29341888"/>
    <w:rsid w:val="2945508F"/>
    <w:rsid w:val="296740FF"/>
    <w:rsid w:val="29701219"/>
    <w:rsid w:val="298E09C9"/>
    <w:rsid w:val="299A5399"/>
    <w:rsid w:val="299E2D9B"/>
    <w:rsid w:val="29B421E7"/>
    <w:rsid w:val="29DE1DBA"/>
    <w:rsid w:val="29FB3EBB"/>
    <w:rsid w:val="29FD2F6F"/>
    <w:rsid w:val="2A0A5C85"/>
    <w:rsid w:val="2A0F28F4"/>
    <w:rsid w:val="2A0F54AF"/>
    <w:rsid w:val="2A1D03C7"/>
    <w:rsid w:val="2A2E41C8"/>
    <w:rsid w:val="2A446D64"/>
    <w:rsid w:val="2A4F5FF4"/>
    <w:rsid w:val="2A8C02FC"/>
    <w:rsid w:val="2AC12DBF"/>
    <w:rsid w:val="2AEE531A"/>
    <w:rsid w:val="2AFB6893"/>
    <w:rsid w:val="2B1C66E6"/>
    <w:rsid w:val="2B22793F"/>
    <w:rsid w:val="2B2E77B1"/>
    <w:rsid w:val="2B3C5C6D"/>
    <w:rsid w:val="2B59738A"/>
    <w:rsid w:val="2B6C4470"/>
    <w:rsid w:val="2B7D5189"/>
    <w:rsid w:val="2B8F6C63"/>
    <w:rsid w:val="2BCA3DE7"/>
    <w:rsid w:val="2BDE868F"/>
    <w:rsid w:val="2BE95F72"/>
    <w:rsid w:val="2C091874"/>
    <w:rsid w:val="2C0C2E05"/>
    <w:rsid w:val="2C187F64"/>
    <w:rsid w:val="2C27727E"/>
    <w:rsid w:val="2C2A6F85"/>
    <w:rsid w:val="2C301EDF"/>
    <w:rsid w:val="2C363D63"/>
    <w:rsid w:val="2C4A7F5F"/>
    <w:rsid w:val="2C515B6D"/>
    <w:rsid w:val="2C5F0A97"/>
    <w:rsid w:val="2C854E4C"/>
    <w:rsid w:val="2C8A3639"/>
    <w:rsid w:val="2CA8549C"/>
    <w:rsid w:val="2CB62A3F"/>
    <w:rsid w:val="2CC35E7E"/>
    <w:rsid w:val="2CD63D6C"/>
    <w:rsid w:val="2CF320C4"/>
    <w:rsid w:val="2CF748AA"/>
    <w:rsid w:val="2D157538"/>
    <w:rsid w:val="2D281F40"/>
    <w:rsid w:val="2D2F720D"/>
    <w:rsid w:val="2D310B09"/>
    <w:rsid w:val="2D4828C3"/>
    <w:rsid w:val="2D57345B"/>
    <w:rsid w:val="2D5F3EE2"/>
    <w:rsid w:val="2D764F47"/>
    <w:rsid w:val="2DD91851"/>
    <w:rsid w:val="2DF9093A"/>
    <w:rsid w:val="2E3966A4"/>
    <w:rsid w:val="2E4D6A38"/>
    <w:rsid w:val="2E643C2B"/>
    <w:rsid w:val="2E9025A4"/>
    <w:rsid w:val="2EBD40A4"/>
    <w:rsid w:val="2EE158E9"/>
    <w:rsid w:val="2EF35252"/>
    <w:rsid w:val="2F080823"/>
    <w:rsid w:val="2F08776A"/>
    <w:rsid w:val="2F0D5D93"/>
    <w:rsid w:val="2F173E47"/>
    <w:rsid w:val="2F1B4932"/>
    <w:rsid w:val="2F20375F"/>
    <w:rsid w:val="2F3E632A"/>
    <w:rsid w:val="2F4F3241"/>
    <w:rsid w:val="2F6C3DCC"/>
    <w:rsid w:val="2F797671"/>
    <w:rsid w:val="2F7B3516"/>
    <w:rsid w:val="2F81674D"/>
    <w:rsid w:val="2F8C2E04"/>
    <w:rsid w:val="2FA95D7E"/>
    <w:rsid w:val="2FC25D7B"/>
    <w:rsid w:val="2FD2093F"/>
    <w:rsid w:val="2FE87A6A"/>
    <w:rsid w:val="2FE91C99"/>
    <w:rsid w:val="2FF81FE9"/>
    <w:rsid w:val="2FFD154B"/>
    <w:rsid w:val="30184226"/>
    <w:rsid w:val="30370339"/>
    <w:rsid w:val="304D190A"/>
    <w:rsid w:val="3086347F"/>
    <w:rsid w:val="308F4B91"/>
    <w:rsid w:val="30941DB6"/>
    <w:rsid w:val="309E7091"/>
    <w:rsid w:val="30B46482"/>
    <w:rsid w:val="30BD4B70"/>
    <w:rsid w:val="30DE49F0"/>
    <w:rsid w:val="30E20ADF"/>
    <w:rsid w:val="30EE1048"/>
    <w:rsid w:val="31104BE6"/>
    <w:rsid w:val="31107C6B"/>
    <w:rsid w:val="3135407B"/>
    <w:rsid w:val="31421084"/>
    <w:rsid w:val="31887B7C"/>
    <w:rsid w:val="31895649"/>
    <w:rsid w:val="31AD34E7"/>
    <w:rsid w:val="31B02544"/>
    <w:rsid w:val="31CD4969"/>
    <w:rsid w:val="31DB58FA"/>
    <w:rsid w:val="31E0690F"/>
    <w:rsid w:val="31E744D3"/>
    <w:rsid w:val="31F03994"/>
    <w:rsid w:val="31F06AA9"/>
    <w:rsid w:val="31FE32F4"/>
    <w:rsid w:val="31FF15D2"/>
    <w:rsid w:val="32096EE3"/>
    <w:rsid w:val="320C1F06"/>
    <w:rsid w:val="32155C69"/>
    <w:rsid w:val="32535B1F"/>
    <w:rsid w:val="32643928"/>
    <w:rsid w:val="32830AEF"/>
    <w:rsid w:val="328A4C75"/>
    <w:rsid w:val="32982E6D"/>
    <w:rsid w:val="329945C7"/>
    <w:rsid w:val="32AE7CE7"/>
    <w:rsid w:val="32BE744E"/>
    <w:rsid w:val="32C41EAE"/>
    <w:rsid w:val="32CA0E4B"/>
    <w:rsid w:val="32CB45C8"/>
    <w:rsid w:val="32D21971"/>
    <w:rsid w:val="330B51F0"/>
    <w:rsid w:val="332E3950"/>
    <w:rsid w:val="335202DB"/>
    <w:rsid w:val="336E5F6C"/>
    <w:rsid w:val="33732317"/>
    <w:rsid w:val="33790B91"/>
    <w:rsid w:val="337B4EF0"/>
    <w:rsid w:val="3396767F"/>
    <w:rsid w:val="33A337D5"/>
    <w:rsid w:val="33C658AC"/>
    <w:rsid w:val="33F71CC8"/>
    <w:rsid w:val="33FA57B0"/>
    <w:rsid w:val="34016A86"/>
    <w:rsid w:val="34184C5D"/>
    <w:rsid w:val="34261DDF"/>
    <w:rsid w:val="34391824"/>
    <w:rsid w:val="34475E33"/>
    <w:rsid w:val="347312F7"/>
    <w:rsid w:val="34751871"/>
    <w:rsid w:val="348D6D0F"/>
    <w:rsid w:val="3492234F"/>
    <w:rsid w:val="34AA0645"/>
    <w:rsid w:val="34C61DEF"/>
    <w:rsid w:val="34D349C1"/>
    <w:rsid w:val="34D65FE2"/>
    <w:rsid w:val="34DD141E"/>
    <w:rsid w:val="34E360DE"/>
    <w:rsid w:val="34EF48D4"/>
    <w:rsid w:val="34F832A2"/>
    <w:rsid w:val="353323D5"/>
    <w:rsid w:val="35767350"/>
    <w:rsid w:val="359A52D2"/>
    <w:rsid w:val="359E1B8E"/>
    <w:rsid w:val="35BE26D5"/>
    <w:rsid w:val="360006C2"/>
    <w:rsid w:val="36231CDE"/>
    <w:rsid w:val="36457F31"/>
    <w:rsid w:val="36A861E5"/>
    <w:rsid w:val="36BC6408"/>
    <w:rsid w:val="36E55AEB"/>
    <w:rsid w:val="372F3093"/>
    <w:rsid w:val="3734013D"/>
    <w:rsid w:val="373B7D1B"/>
    <w:rsid w:val="374B0CBC"/>
    <w:rsid w:val="376D107D"/>
    <w:rsid w:val="37883D9D"/>
    <w:rsid w:val="37987CE3"/>
    <w:rsid w:val="379DF0C9"/>
    <w:rsid w:val="37BD3E5B"/>
    <w:rsid w:val="37DA5F5D"/>
    <w:rsid w:val="37ED036A"/>
    <w:rsid w:val="37F913BE"/>
    <w:rsid w:val="37FF6BD7"/>
    <w:rsid w:val="38177FF1"/>
    <w:rsid w:val="386523B0"/>
    <w:rsid w:val="389071B6"/>
    <w:rsid w:val="389E4DF7"/>
    <w:rsid w:val="38A230B5"/>
    <w:rsid w:val="38B5305A"/>
    <w:rsid w:val="38D63A95"/>
    <w:rsid w:val="39107A4F"/>
    <w:rsid w:val="3914125A"/>
    <w:rsid w:val="3915611C"/>
    <w:rsid w:val="391F3852"/>
    <w:rsid w:val="39260D0B"/>
    <w:rsid w:val="39591961"/>
    <w:rsid w:val="397158ED"/>
    <w:rsid w:val="39724B96"/>
    <w:rsid w:val="39E37660"/>
    <w:rsid w:val="3A0573E6"/>
    <w:rsid w:val="3A16062F"/>
    <w:rsid w:val="3A291850"/>
    <w:rsid w:val="3A2A56F0"/>
    <w:rsid w:val="3A347BA7"/>
    <w:rsid w:val="3A420490"/>
    <w:rsid w:val="3A86131C"/>
    <w:rsid w:val="3A904DA0"/>
    <w:rsid w:val="3AA14CC2"/>
    <w:rsid w:val="3AC96B3C"/>
    <w:rsid w:val="3ADA182D"/>
    <w:rsid w:val="3ADA7F84"/>
    <w:rsid w:val="3AE22A52"/>
    <w:rsid w:val="3AE67AE8"/>
    <w:rsid w:val="3B0A2B10"/>
    <w:rsid w:val="3B2A3A82"/>
    <w:rsid w:val="3B470C18"/>
    <w:rsid w:val="3B5269DA"/>
    <w:rsid w:val="3B976C4E"/>
    <w:rsid w:val="3B9A0AD5"/>
    <w:rsid w:val="3BAA2DFB"/>
    <w:rsid w:val="3BAC7155"/>
    <w:rsid w:val="3BB98257"/>
    <w:rsid w:val="3BBC399F"/>
    <w:rsid w:val="3BBC50C7"/>
    <w:rsid w:val="3BBE0B39"/>
    <w:rsid w:val="3BD45B11"/>
    <w:rsid w:val="3BEB5437"/>
    <w:rsid w:val="3C195C5A"/>
    <w:rsid w:val="3C252E3F"/>
    <w:rsid w:val="3C504855"/>
    <w:rsid w:val="3C6B5A91"/>
    <w:rsid w:val="3C6E2BC3"/>
    <w:rsid w:val="3CA91485"/>
    <w:rsid w:val="3CC17E22"/>
    <w:rsid w:val="3CC93727"/>
    <w:rsid w:val="3D0A686C"/>
    <w:rsid w:val="3D2841A2"/>
    <w:rsid w:val="3D6418DC"/>
    <w:rsid w:val="3D833044"/>
    <w:rsid w:val="3D906940"/>
    <w:rsid w:val="3D98639D"/>
    <w:rsid w:val="3DBD4CAC"/>
    <w:rsid w:val="3DE76D88"/>
    <w:rsid w:val="3DF45894"/>
    <w:rsid w:val="3DFDB1AE"/>
    <w:rsid w:val="3E0655B4"/>
    <w:rsid w:val="3E337FDD"/>
    <w:rsid w:val="3E5FED92"/>
    <w:rsid w:val="3E6D4856"/>
    <w:rsid w:val="3E835940"/>
    <w:rsid w:val="3E8B628D"/>
    <w:rsid w:val="3E8C18E6"/>
    <w:rsid w:val="3EBD617F"/>
    <w:rsid w:val="3ECA28FD"/>
    <w:rsid w:val="3F0E48EF"/>
    <w:rsid w:val="3F257157"/>
    <w:rsid w:val="3F384761"/>
    <w:rsid w:val="3F3F6505"/>
    <w:rsid w:val="3F4C3506"/>
    <w:rsid w:val="3F526712"/>
    <w:rsid w:val="3F5B5216"/>
    <w:rsid w:val="3F640B0B"/>
    <w:rsid w:val="3F812A3A"/>
    <w:rsid w:val="3F936FC4"/>
    <w:rsid w:val="3FA27FB3"/>
    <w:rsid w:val="3FD062C0"/>
    <w:rsid w:val="3FD3BFEC"/>
    <w:rsid w:val="3FE1772E"/>
    <w:rsid w:val="3FFD8E96"/>
    <w:rsid w:val="3FFE1AF6"/>
    <w:rsid w:val="3FFE70B7"/>
    <w:rsid w:val="40062660"/>
    <w:rsid w:val="400B31E9"/>
    <w:rsid w:val="40141D1D"/>
    <w:rsid w:val="401B4FD8"/>
    <w:rsid w:val="40264D0A"/>
    <w:rsid w:val="40307C69"/>
    <w:rsid w:val="404D7AC8"/>
    <w:rsid w:val="40634C41"/>
    <w:rsid w:val="406A589D"/>
    <w:rsid w:val="40791BF6"/>
    <w:rsid w:val="407B722C"/>
    <w:rsid w:val="40AB4C9D"/>
    <w:rsid w:val="40DD16D8"/>
    <w:rsid w:val="40F150B2"/>
    <w:rsid w:val="411F37C8"/>
    <w:rsid w:val="413063A6"/>
    <w:rsid w:val="41391FB6"/>
    <w:rsid w:val="4145485A"/>
    <w:rsid w:val="414C7395"/>
    <w:rsid w:val="415C044D"/>
    <w:rsid w:val="417530DD"/>
    <w:rsid w:val="417B40A4"/>
    <w:rsid w:val="41814A29"/>
    <w:rsid w:val="41920DF4"/>
    <w:rsid w:val="41A14AFF"/>
    <w:rsid w:val="41A36DCF"/>
    <w:rsid w:val="41A53705"/>
    <w:rsid w:val="41C06248"/>
    <w:rsid w:val="41FD67DA"/>
    <w:rsid w:val="42226A27"/>
    <w:rsid w:val="423B6799"/>
    <w:rsid w:val="425C78EF"/>
    <w:rsid w:val="425D4FF7"/>
    <w:rsid w:val="425F7C30"/>
    <w:rsid w:val="42655A33"/>
    <w:rsid w:val="42680B06"/>
    <w:rsid w:val="429F46BC"/>
    <w:rsid w:val="42A34DFA"/>
    <w:rsid w:val="42F26E0D"/>
    <w:rsid w:val="43005F1C"/>
    <w:rsid w:val="430A7D7B"/>
    <w:rsid w:val="43100FE2"/>
    <w:rsid w:val="43242DC6"/>
    <w:rsid w:val="43431493"/>
    <w:rsid w:val="43463A91"/>
    <w:rsid w:val="43562A23"/>
    <w:rsid w:val="439E6277"/>
    <w:rsid w:val="43A254B1"/>
    <w:rsid w:val="43B943DD"/>
    <w:rsid w:val="43BF143F"/>
    <w:rsid w:val="43D51B00"/>
    <w:rsid w:val="43EC1DAC"/>
    <w:rsid w:val="43F50014"/>
    <w:rsid w:val="441309FD"/>
    <w:rsid w:val="44240C6A"/>
    <w:rsid w:val="44272CAC"/>
    <w:rsid w:val="443A54EB"/>
    <w:rsid w:val="44451BDC"/>
    <w:rsid w:val="444F6481"/>
    <w:rsid w:val="4464297A"/>
    <w:rsid w:val="446A4841"/>
    <w:rsid w:val="446D15D8"/>
    <w:rsid w:val="447B6726"/>
    <w:rsid w:val="449A1973"/>
    <w:rsid w:val="449F18FB"/>
    <w:rsid w:val="44A354B5"/>
    <w:rsid w:val="44F02F62"/>
    <w:rsid w:val="44F53B46"/>
    <w:rsid w:val="450D2E50"/>
    <w:rsid w:val="451A0FD3"/>
    <w:rsid w:val="45577118"/>
    <w:rsid w:val="455F11B5"/>
    <w:rsid w:val="45712308"/>
    <w:rsid w:val="457D2990"/>
    <w:rsid w:val="458B1522"/>
    <w:rsid w:val="45B26210"/>
    <w:rsid w:val="45BA6E20"/>
    <w:rsid w:val="45E834EA"/>
    <w:rsid w:val="45ED0241"/>
    <w:rsid w:val="460434E4"/>
    <w:rsid w:val="463F40AE"/>
    <w:rsid w:val="466B00B6"/>
    <w:rsid w:val="46706F3F"/>
    <w:rsid w:val="46742883"/>
    <w:rsid w:val="46757EF5"/>
    <w:rsid w:val="468375BE"/>
    <w:rsid w:val="46851263"/>
    <w:rsid w:val="46876032"/>
    <w:rsid w:val="46A87C88"/>
    <w:rsid w:val="46C96C6F"/>
    <w:rsid w:val="46D8688A"/>
    <w:rsid w:val="46FD0882"/>
    <w:rsid w:val="471513C1"/>
    <w:rsid w:val="47245012"/>
    <w:rsid w:val="472B40E0"/>
    <w:rsid w:val="473461A6"/>
    <w:rsid w:val="473D42FE"/>
    <w:rsid w:val="47755916"/>
    <w:rsid w:val="47793752"/>
    <w:rsid w:val="477E751F"/>
    <w:rsid w:val="47A31B07"/>
    <w:rsid w:val="47A9364D"/>
    <w:rsid w:val="47B35B15"/>
    <w:rsid w:val="47B83F54"/>
    <w:rsid w:val="47C81250"/>
    <w:rsid w:val="47C84FBA"/>
    <w:rsid w:val="47E051A9"/>
    <w:rsid w:val="47EFACDD"/>
    <w:rsid w:val="484F34A0"/>
    <w:rsid w:val="485278BE"/>
    <w:rsid w:val="487B3DCE"/>
    <w:rsid w:val="487C3075"/>
    <w:rsid w:val="487D2A9B"/>
    <w:rsid w:val="489500A2"/>
    <w:rsid w:val="48AA1643"/>
    <w:rsid w:val="48C75219"/>
    <w:rsid w:val="48D23E7A"/>
    <w:rsid w:val="48F04FAA"/>
    <w:rsid w:val="49165293"/>
    <w:rsid w:val="49383A95"/>
    <w:rsid w:val="49897021"/>
    <w:rsid w:val="498A201D"/>
    <w:rsid w:val="499B766C"/>
    <w:rsid w:val="49A85CE0"/>
    <w:rsid w:val="49BB73C2"/>
    <w:rsid w:val="49CB0635"/>
    <w:rsid w:val="49CC464E"/>
    <w:rsid w:val="49E815C6"/>
    <w:rsid w:val="4A1675ED"/>
    <w:rsid w:val="4A203730"/>
    <w:rsid w:val="4A203D36"/>
    <w:rsid w:val="4A3F1F54"/>
    <w:rsid w:val="4A5943E4"/>
    <w:rsid w:val="4A6050DB"/>
    <w:rsid w:val="4A6278FA"/>
    <w:rsid w:val="4A693AF6"/>
    <w:rsid w:val="4AD43451"/>
    <w:rsid w:val="4ADD07E4"/>
    <w:rsid w:val="4AFC3585"/>
    <w:rsid w:val="4B4E3F99"/>
    <w:rsid w:val="4B5A348C"/>
    <w:rsid w:val="4B715FB2"/>
    <w:rsid w:val="4B743AE5"/>
    <w:rsid w:val="4B8C55E8"/>
    <w:rsid w:val="4BA24DA3"/>
    <w:rsid w:val="4BB858C5"/>
    <w:rsid w:val="4BD74ED9"/>
    <w:rsid w:val="4BE45F71"/>
    <w:rsid w:val="4BEC7532"/>
    <w:rsid w:val="4BFD38C3"/>
    <w:rsid w:val="4C083C31"/>
    <w:rsid w:val="4C100B51"/>
    <w:rsid w:val="4C5035AB"/>
    <w:rsid w:val="4C646A81"/>
    <w:rsid w:val="4C875D8A"/>
    <w:rsid w:val="4C88552C"/>
    <w:rsid w:val="4C8A66AB"/>
    <w:rsid w:val="4CD90354"/>
    <w:rsid w:val="4CE354D3"/>
    <w:rsid w:val="4D092A65"/>
    <w:rsid w:val="4D3E119B"/>
    <w:rsid w:val="4D5D5079"/>
    <w:rsid w:val="4D63426D"/>
    <w:rsid w:val="4D6F1F18"/>
    <w:rsid w:val="4D7376F9"/>
    <w:rsid w:val="4D9E38E4"/>
    <w:rsid w:val="4DB57942"/>
    <w:rsid w:val="4DC82BF0"/>
    <w:rsid w:val="4DD013FD"/>
    <w:rsid w:val="4DE577AB"/>
    <w:rsid w:val="4DFF7171"/>
    <w:rsid w:val="4E3D52C8"/>
    <w:rsid w:val="4E7B4448"/>
    <w:rsid w:val="4EBA1CDB"/>
    <w:rsid w:val="4EDB1BC9"/>
    <w:rsid w:val="4EEB225C"/>
    <w:rsid w:val="4F103158"/>
    <w:rsid w:val="4F172AC2"/>
    <w:rsid w:val="4F1B6653"/>
    <w:rsid w:val="4F314161"/>
    <w:rsid w:val="4F3F55BB"/>
    <w:rsid w:val="4F464A5A"/>
    <w:rsid w:val="4F4C6491"/>
    <w:rsid w:val="4F5551B4"/>
    <w:rsid w:val="4F565731"/>
    <w:rsid w:val="4F5D32A4"/>
    <w:rsid w:val="4F66062D"/>
    <w:rsid w:val="4F6B71DF"/>
    <w:rsid w:val="4F796449"/>
    <w:rsid w:val="4F9818B4"/>
    <w:rsid w:val="4FAC0701"/>
    <w:rsid w:val="4FAD051B"/>
    <w:rsid w:val="4FD46EBD"/>
    <w:rsid w:val="4FE828ED"/>
    <w:rsid w:val="501D392A"/>
    <w:rsid w:val="503D78E7"/>
    <w:rsid w:val="503D7B8D"/>
    <w:rsid w:val="506B2F52"/>
    <w:rsid w:val="507951EA"/>
    <w:rsid w:val="508F2AB3"/>
    <w:rsid w:val="50B138D1"/>
    <w:rsid w:val="50CD3168"/>
    <w:rsid w:val="50D26E91"/>
    <w:rsid w:val="50F0046A"/>
    <w:rsid w:val="50F31B7F"/>
    <w:rsid w:val="50FC0637"/>
    <w:rsid w:val="511A61BA"/>
    <w:rsid w:val="511E35F8"/>
    <w:rsid w:val="51442814"/>
    <w:rsid w:val="51503FA0"/>
    <w:rsid w:val="5156017D"/>
    <w:rsid w:val="51596E11"/>
    <w:rsid w:val="5163210D"/>
    <w:rsid w:val="519B5CC2"/>
    <w:rsid w:val="51A56CD5"/>
    <w:rsid w:val="51CD03C6"/>
    <w:rsid w:val="51FE7D93"/>
    <w:rsid w:val="52121DCF"/>
    <w:rsid w:val="52137423"/>
    <w:rsid w:val="521C6302"/>
    <w:rsid w:val="522105B9"/>
    <w:rsid w:val="52263BCA"/>
    <w:rsid w:val="52552B82"/>
    <w:rsid w:val="5262698D"/>
    <w:rsid w:val="5274438A"/>
    <w:rsid w:val="527D188C"/>
    <w:rsid w:val="52AF3E2F"/>
    <w:rsid w:val="52B53473"/>
    <w:rsid w:val="52FB705C"/>
    <w:rsid w:val="5304202F"/>
    <w:rsid w:val="53155197"/>
    <w:rsid w:val="531B7C6E"/>
    <w:rsid w:val="53314D4C"/>
    <w:rsid w:val="53316789"/>
    <w:rsid w:val="53871716"/>
    <w:rsid w:val="53950C89"/>
    <w:rsid w:val="53A31560"/>
    <w:rsid w:val="53A40CC6"/>
    <w:rsid w:val="53A43997"/>
    <w:rsid w:val="53B23F93"/>
    <w:rsid w:val="53D42EB7"/>
    <w:rsid w:val="53DB5E5A"/>
    <w:rsid w:val="53DE1453"/>
    <w:rsid w:val="53E052EA"/>
    <w:rsid w:val="53FF5110"/>
    <w:rsid w:val="5403502E"/>
    <w:rsid w:val="540A3EEE"/>
    <w:rsid w:val="540A6D47"/>
    <w:rsid w:val="54457077"/>
    <w:rsid w:val="544C57F7"/>
    <w:rsid w:val="544F1263"/>
    <w:rsid w:val="54913780"/>
    <w:rsid w:val="549D0C85"/>
    <w:rsid w:val="54EE6554"/>
    <w:rsid w:val="550C6C83"/>
    <w:rsid w:val="551F1765"/>
    <w:rsid w:val="55383911"/>
    <w:rsid w:val="553E32D6"/>
    <w:rsid w:val="55583B90"/>
    <w:rsid w:val="55675C79"/>
    <w:rsid w:val="558D65E8"/>
    <w:rsid w:val="55990B54"/>
    <w:rsid w:val="55BC2E86"/>
    <w:rsid w:val="55C03CB8"/>
    <w:rsid w:val="55C624E8"/>
    <w:rsid w:val="55CC4DA6"/>
    <w:rsid w:val="55D94BD7"/>
    <w:rsid w:val="561F09B5"/>
    <w:rsid w:val="5625035E"/>
    <w:rsid w:val="562F0568"/>
    <w:rsid w:val="565F506B"/>
    <w:rsid w:val="566F1F39"/>
    <w:rsid w:val="56830ADF"/>
    <w:rsid w:val="56857CFC"/>
    <w:rsid w:val="569022B2"/>
    <w:rsid w:val="56B771D9"/>
    <w:rsid w:val="56BB20E5"/>
    <w:rsid w:val="56D5033D"/>
    <w:rsid w:val="56D67726"/>
    <w:rsid w:val="56FF2CC1"/>
    <w:rsid w:val="57002B8D"/>
    <w:rsid w:val="571F6FD0"/>
    <w:rsid w:val="57344DFE"/>
    <w:rsid w:val="573577BE"/>
    <w:rsid w:val="573751CA"/>
    <w:rsid w:val="57606083"/>
    <w:rsid w:val="578B0E6E"/>
    <w:rsid w:val="578D2721"/>
    <w:rsid w:val="57A1046F"/>
    <w:rsid w:val="57B5D834"/>
    <w:rsid w:val="57D60C34"/>
    <w:rsid w:val="57F652BC"/>
    <w:rsid w:val="57FB7728"/>
    <w:rsid w:val="582A3C3E"/>
    <w:rsid w:val="5848614A"/>
    <w:rsid w:val="585D6E6C"/>
    <w:rsid w:val="586621E4"/>
    <w:rsid w:val="588C1D68"/>
    <w:rsid w:val="589460F5"/>
    <w:rsid w:val="58A12E49"/>
    <w:rsid w:val="58A674A5"/>
    <w:rsid w:val="58CD30A4"/>
    <w:rsid w:val="58CD382E"/>
    <w:rsid w:val="58D7418F"/>
    <w:rsid w:val="5900000F"/>
    <w:rsid w:val="590A1DA2"/>
    <w:rsid w:val="590D6489"/>
    <w:rsid w:val="59154896"/>
    <w:rsid w:val="591657B9"/>
    <w:rsid w:val="592B5553"/>
    <w:rsid w:val="59352BE8"/>
    <w:rsid w:val="595042FB"/>
    <w:rsid w:val="59556E43"/>
    <w:rsid w:val="59857983"/>
    <w:rsid w:val="59876675"/>
    <w:rsid w:val="599E2315"/>
    <w:rsid w:val="59B961EA"/>
    <w:rsid w:val="59C9107F"/>
    <w:rsid w:val="59CE04C3"/>
    <w:rsid w:val="59FFE880"/>
    <w:rsid w:val="5A0C0158"/>
    <w:rsid w:val="5A1B7EB7"/>
    <w:rsid w:val="5A376F91"/>
    <w:rsid w:val="5A3D0E34"/>
    <w:rsid w:val="5A4E1D0A"/>
    <w:rsid w:val="5A642481"/>
    <w:rsid w:val="5A6E0818"/>
    <w:rsid w:val="5ABD3179"/>
    <w:rsid w:val="5ABE7049"/>
    <w:rsid w:val="5AC32B55"/>
    <w:rsid w:val="5ADA292E"/>
    <w:rsid w:val="5AE145C9"/>
    <w:rsid w:val="5B421824"/>
    <w:rsid w:val="5B58641F"/>
    <w:rsid w:val="5B695259"/>
    <w:rsid w:val="5B75772B"/>
    <w:rsid w:val="5B9E3DE4"/>
    <w:rsid w:val="5BC44CEE"/>
    <w:rsid w:val="5BCD64AE"/>
    <w:rsid w:val="5BDA0F82"/>
    <w:rsid w:val="5BDF4787"/>
    <w:rsid w:val="5BE106D2"/>
    <w:rsid w:val="5BFFD2DF"/>
    <w:rsid w:val="5C00697E"/>
    <w:rsid w:val="5C2F3299"/>
    <w:rsid w:val="5C37658E"/>
    <w:rsid w:val="5C405FA4"/>
    <w:rsid w:val="5C4837C0"/>
    <w:rsid w:val="5C5F224E"/>
    <w:rsid w:val="5C5F447C"/>
    <w:rsid w:val="5C7521D3"/>
    <w:rsid w:val="5C896574"/>
    <w:rsid w:val="5C8C3697"/>
    <w:rsid w:val="5CAC7B1C"/>
    <w:rsid w:val="5CD13E43"/>
    <w:rsid w:val="5CEF42BA"/>
    <w:rsid w:val="5CEF7ABC"/>
    <w:rsid w:val="5D4024FF"/>
    <w:rsid w:val="5D56661C"/>
    <w:rsid w:val="5D591FBD"/>
    <w:rsid w:val="5D94180E"/>
    <w:rsid w:val="5D9F27A5"/>
    <w:rsid w:val="5DC411A3"/>
    <w:rsid w:val="5DCA620A"/>
    <w:rsid w:val="5DDABCF8"/>
    <w:rsid w:val="5DDD008C"/>
    <w:rsid w:val="5DFE433A"/>
    <w:rsid w:val="5E1373C1"/>
    <w:rsid w:val="5E2D4485"/>
    <w:rsid w:val="5E6747E1"/>
    <w:rsid w:val="5E7BB97F"/>
    <w:rsid w:val="5E957B1F"/>
    <w:rsid w:val="5E9641A9"/>
    <w:rsid w:val="5E97068D"/>
    <w:rsid w:val="5EB543C4"/>
    <w:rsid w:val="5EB7CDDF"/>
    <w:rsid w:val="5EB92CF5"/>
    <w:rsid w:val="5EBF3FE0"/>
    <w:rsid w:val="5EBF6980"/>
    <w:rsid w:val="5ED30C10"/>
    <w:rsid w:val="5ED4376C"/>
    <w:rsid w:val="5EDA2A7B"/>
    <w:rsid w:val="5EE16E0E"/>
    <w:rsid w:val="5F24679F"/>
    <w:rsid w:val="5F3940A0"/>
    <w:rsid w:val="5F44566E"/>
    <w:rsid w:val="5F4C554A"/>
    <w:rsid w:val="5F617459"/>
    <w:rsid w:val="5F6379DC"/>
    <w:rsid w:val="5F675369"/>
    <w:rsid w:val="5F996FAF"/>
    <w:rsid w:val="5F9C7872"/>
    <w:rsid w:val="5FB71F10"/>
    <w:rsid w:val="5FC06493"/>
    <w:rsid w:val="5FCF3527"/>
    <w:rsid w:val="5FF11BD5"/>
    <w:rsid w:val="5FF508FC"/>
    <w:rsid w:val="5FFB837C"/>
    <w:rsid w:val="5FFF18DE"/>
    <w:rsid w:val="601531AE"/>
    <w:rsid w:val="602D4F22"/>
    <w:rsid w:val="603F2201"/>
    <w:rsid w:val="604C733B"/>
    <w:rsid w:val="605721AA"/>
    <w:rsid w:val="60AE77CA"/>
    <w:rsid w:val="60B44113"/>
    <w:rsid w:val="60C06C11"/>
    <w:rsid w:val="60DB229B"/>
    <w:rsid w:val="60E517B1"/>
    <w:rsid w:val="60EA573B"/>
    <w:rsid w:val="61301437"/>
    <w:rsid w:val="613445FC"/>
    <w:rsid w:val="613F7C88"/>
    <w:rsid w:val="616816BC"/>
    <w:rsid w:val="61731648"/>
    <w:rsid w:val="617A1E26"/>
    <w:rsid w:val="61D60995"/>
    <w:rsid w:val="61E16FA2"/>
    <w:rsid w:val="61E54B40"/>
    <w:rsid w:val="61F35E84"/>
    <w:rsid w:val="61FE4628"/>
    <w:rsid w:val="622C753A"/>
    <w:rsid w:val="624F3EEF"/>
    <w:rsid w:val="626F2BA7"/>
    <w:rsid w:val="62884618"/>
    <w:rsid w:val="628C5707"/>
    <w:rsid w:val="629B11AE"/>
    <w:rsid w:val="62D70BD1"/>
    <w:rsid w:val="62E47D3E"/>
    <w:rsid w:val="62E92531"/>
    <w:rsid w:val="6341070D"/>
    <w:rsid w:val="63416D06"/>
    <w:rsid w:val="63831FB4"/>
    <w:rsid w:val="63A6157B"/>
    <w:rsid w:val="63AA21B4"/>
    <w:rsid w:val="63B37860"/>
    <w:rsid w:val="63C3108A"/>
    <w:rsid w:val="63F57C10"/>
    <w:rsid w:val="63FC019F"/>
    <w:rsid w:val="641F5095"/>
    <w:rsid w:val="64481AB7"/>
    <w:rsid w:val="64497B3B"/>
    <w:rsid w:val="646F08D5"/>
    <w:rsid w:val="64726DF4"/>
    <w:rsid w:val="648630F3"/>
    <w:rsid w:val="648A1948"/>
    <w:rsid w:val="64B30F39"/>
    <w:rsid w:val="64BA7177"/>
    <w:rsid w:val="64C45F03"/>
    <w:rsid w:val="64CB5E68"/>
    <w:rsid w:val="64D5736A"/>
    <w:rsid w:val="64F851F1"/>
    <w:rsid w:val="65312228"/>
    <w:rsid w:val="65625FEC"/>
    <w:rsid w:val="656C7BC4"/>
    <w:rsid w:val="65715E5A"/>
    <w:rsid w:val="65904230"/>
    <w:rsid w:val="65930C48"/>
    <w:rsid w:val="65BF74AA"/>
    <w:rsid w:val="65C23858"/>
    <w:rsid w:val="6601087F"/>
    <w:rsid w:val="66183E19"/>
    <w:rsid w:val="662C1551"/>
    <w:rsid w:val="66821BE2"/>
    <w:rsid w:val="66BE22A1"/>
    <w:rsid w:val="66D70B4F"/>
    <w:rsid w:val="66FD5077"/>
    <w:rsid w:val="66FF5A0E"/>
    <w:rsid w:val="67005BCA"/>
    <w:rsid w:val="6702678E"/>
    <w:rsid w:val="671C1D5F"/>
    <w:rsid w:val="671F12E9"/>
    <w:rsid w:val="67282B52"/>
    <w:rsid w:val="673426E5"/>
    <w:rsid w:val="67812CEA"/>
    <w:rsid w:val="679D4CF3"/>
    <w:rsid w:val="679E080A"/>
    <w:rsid w:val="67EE11BE"/>
    <w:rsid w:val="681E63B1"/>
    <w:rsid w:val="683B1C26"/>
    <w:rsid w:val="6889713A"/>
    <w:rsid w:val="68BA1890"/>
    <w:rsid w:val="68DC0F3F"/>
    <w:rsid w:val="68E258A1"/>
    <w:rsid w:val="68FA6BF9"/>
    <w:rsid w:val="691463FB"/>
    <w:rsid w:val="691A565F"/>
    <w:rsid w:val="691B2DF2"/>
    <w:rsid w:val="69541AD9"/>
    <w:rsid w:val="69650E2F"/>
    <w:rsid w:val="69821C79"/>
    <w:rsid w:val="699B5FA0"/>
    <w:rsid w:val="69A9488B"/>
    <w:rsid w:val="69C14633"/>
    <w:rsid w:val="69C96177"/>
    <w:rsid w:val="69E16BE6"/>
    <w:rsid w:val="6A057EE6"/>
    <w:rsid w:val="6A230268"/>
    <w:rsid w:val="6A457122"/>
    <w:rsid w:val="6A4D68CC"/>
    <w:rsid w:val="6A5A022C"/>
    <w:rsid w:val="6A5F513A"/>
    <w:rsid w:val="6A6C503F"/>
    <w:rsid w:val="6A7150A8"/>
    <w:rsid w:val="6A7401B1"/>
    <w:rsid w:val="6ABF2D94"/>
    <w:rsid w:val="6AF37175"/>
    <w:rsid w:val="6AFC1C0B"/>
    <w:rsid w:val="6B02331D"/>
    <w:rsid w:val="6B067187"/>
    <w:rsid w:val="6B507AEB"/>
    <w:rsid w:val="6B727905"/>
    <w:rsid w:val="6B9125CB"/>
    <w:rsid w:val="6BB93611"/>
    <w:rsid w:val="6BC35959"/>
    <w:rsid w:val="6BE64B7B"/>
    <w:rsid w:val="6BF315F7"/>
    <w:rsid w:val="6C05168F"/>
    <w:rsid w:val="6C05463D"/>
    <w:rsid w:val="6C0906EB"/>
    <w:rsid w:val="6C130150"/>
    <w:rsid w:val="6C274259"/>
    <w:rsid w:val="6C6050E3"/>
    <w:rsid w:val="6C714624"/>
    <w:rsid w:val="6C7D7121"/>
    <w:rsid w:val="6C9F23F5"/>
    <w:rsid w:val="6CBD664D"/>
    <w:rsid w:val="6CD07465"/>
    <w:rsid w:val="6CDA28F7"/>
    <w:rsid w:val="6D082760"/>
    <w:rsid w:val="6D10711C"/>
    <w:rsid w:val="6D1771CB"/>
    <w:rsid w:val="6D2E27CF"/>
    <w:rsid w:val="6D52034D"/>
    <w:rsid w:val="6D70737B"/>
    <w:rsid w:val="6D76311A"/>
    <w:rsid w:val="6D771760"/>
    <w:rsid w:val="6D993D80"/>
    <w:rsid w:val="6DDF75FC"/>
    <w:rsid w:val="6DF90EC9"/>
    <w:rsid w:val="6DF938AE"/>
    <w:rsid w:val="6DFE509D"/>
    <w:rsid w:val="6E01448B"/>
    <w:rsid w:val="6E025E88"/>
    <w:rsid w:val="6E2E5E48"/>
    <w:rsid w:val="6E364416"/>
    <w:rsid w:val="6E3E2A93"/>
    <w:rsid w:val="6E866386"/>
    <w:rsid w:val="6E963653"/>
    <w:rsid w:val="6ED160AB"/>
    <w:rsid w:val="6EDB34C1"/>
    <w:rsid w:val="6F006DDA"/>
    <w:rsid w:val="6F085C5D"/>
    <w:rsid w:val="6F0A5470"/>
    <w:rsid w:val="6F411128"/>
    <w:rsid w:val="6F4F6D21"/>
    <w:rsid w:val="6F58696B"/>
    <w:rsid w:val="6F6268A3"/>
    <w:rsid w:val="6F7325D1"/>
    <w:rsid w:val="6F92411E"/>
    <w:rsid w:val="6F95673A"/>
    <w:rsid w:val="6F9673F9"/>
    <w:rsid w:val="6F9D4B96"/>
    <w:rsid w:val="6FBB755E"/>
    <w:rsid w:val="6FCD27E4"/>
    <w:rsid w:val="6FDF5A50"/>
    <w:rsid w:val="6FEE1B2C"/>
    <w:rsid w:val="7019691C"/>
    <w:rsid w:val="701D6C26"/>
    <w:rsid w:val="70216AC8"/>
    <w:rsid w:val="70392C2A"/>
    <w:rsid w:val="70413367"/>
    <w:rsid w:val="70745258"/>
    <w:rsid w:val="707819B0"/>
    <w:rsid w:val="709B2D07"/>
    <w:rsid w:val="709F64A5"/>
    <w:rsid w:val="70AD6346"/>
    <w:rsid w:val="70CF02ED"/>
    <w:rsid w:val="70D74AB3"/>
    <w:rsid w:val="70DA6154"/>
    <w:rsid w:val="70DD0315"/>
    <w:rsid w:val="70E95D7A"/>
    <w:rsid w:val="70ED1EA6"/>
    <w:rsid w:val="70EF3EA8"/>
    <w:rsid w:val="70FA5CE4"/>
    <w:rsid w:val="71136C4F"/>
    <w:rsid w:val="711720FD"/>
    <w:rsid w:val="712E15B0"/>
    <w:rsid w:val="714D0A49"/>
    <w:rsid w:val="71673F9B"/>
    <w:rsid w:val="717520A9"/>
    <w:rsid w:val="719F0B7C"/>
    <w:rsid w:val="71BD50AD"/>
    <w:rsid w:val="71CD6934"/>
    <w:rsid w:val="71EA15C0"/>
    <w:rsid w:val="71F83BE6"/>
    <w:rsid w:val="723942F4"/>
    <w:rsid w:val="725737C3"/>
    <w:rsid w:val="7260622C"/>
    <w:rsid w:val="726D5A47"/>
    <w:rsid w:val="72757496"/>
    <w:rsid w:val="727B41C2"/>
    <w:rsid w:val="72C9C255"/>
    <w:rsid w:val="72D43041"/>
    <w:rsid w:val="72E75711"/>
    <w:rsid w:val="72EB1400"/>
    <w:rsid w:val="730A6779"/>
    <w:rsid w:val="732860A1"/>
    <w:rsid w:val="734C374E"/>
    <w:rsid w:val="73517BC9"/>
    <w:rsid w:val="737B12DF"/>
    <w:rsid w:val="73870389"/>
    <w:rsid w:val="73B44DF0"/>
    <w:rsid w:val="73F21076"/>
    <w:rsid w:val="7417189B"/>
    <w:rsid w:val="74340A39"/>
    <w:rsid w:val="74611F1F"/>
    <w:rsid w:val="7491533F"/>
    <w:rsid w:val="74CE0A9B"/>
    <w:rsid w:val="74D22127"/>
    <w:rsid w:val="74F4555C"/>
    <w:rsid w:val="75037857"/>
    <w:rsid w:val="75040B4E"/>
    <w:rsid w:val="750D524B"/>
    <w:rsid w:val="751C77CB"/>
    <w:rsid w:val="75244E2F"/>
    <w:rsid w:val="752FE869"/>
    <w:rsid w:val="753D053B"/>
    <w:rsid w:val="755539A3"/>
    <w:rsid w:val="75556181"/>
    <w:rsid w:val="75712ACC"/>
    <w:rsid w:val="75804862"/>
    <w:rsid w:val="75846400"/>
    <w:rsid w:val="759871F9"/>
    <w:rsid w:val="75A44310"/>
    <w:rsid w:val="75B614F2"/>
    <w:rsid w:val="75C26102"/>
    <w:rsid w:val="75CC5A83"/>
    <w:rsid w:val="75F95215"/>
    <w:rsid w:val="75FA4693"/>
    <w:rsid w:val="76072028"/>
    <w:rsid w:val="761A3604"/>
    <w:rsid w:val="762A3F4A"/>
    <w:rsid w:val="76390E53"/>
    <w:rsid w:val="76692877"/>
    <w:rsid w:val="767577A0"/>
    <w:rsid w:val="768611D1"/>
    <w:rsid w:val="76A61737"/>
    <w:rsid w:val="76AC12BF"/>
    <w:rsid w:val="76BD780E"/>
    <w:rsid w:val="76BE11CF"/>
    <w:rsid w:val="76BFB7AB"/>
    <w:rsid w:val="76CEC8CE"/>
    <w:rsid w:val="76EF5CA5"/>
    <w:rsid w:val="76F463F0"/>
    <w:rsid w:val="76F47EF1"/>
    <w:rsid w:val="76FAD0CD"/>
    <w:rsid w:val="7701463A"/>
    <w:rsid w:val="770D331C"/>
    <w:rsid w:val="771C1393"/>
    <w:rsid w:val="77445FBB"/>
    <w:rsid w:val="774B2EC4"/>
    <w:rsid w:val="775B22A8"/>
    <w:rsid w:val="7761477F"/>
    <w:rsid w:val="776A7337"/>
    <w:rsid w:val="777F1553"/>
    <w:rsid w:val="77A15C35"/>
    <w:rsid w:val="77A7936F"/>
    <w:rsid w:val="77B41026"/>
    <w:rsid w:val="77B92EBE"/>
    <w:rsid w:val="77BAB242"/>
    <w:rsid w:val="77DB8DFD"/>
    <w:rsid w:val="77ED4CA7"/>
    <w:rsid w:val="77F7656E"/>
    <w:rsid w:val="78041F2B"/>
    <w:rsid w:val="782D5A55"/>
    <w:rsid w:val="78700E16"/>
    <w:rsid w:val="78787717"/>
    <w:rsid w:val="78AB6CF2"/>
    <w:rsid w:val="78AD4335"/>
    <w:rsid w:val="78C85065"/>
    <w:rsid w:val="78CB54A2"/>
    <w:rsid w:val="78F85823"/>
    <w:rsid w:val="78FF40FB"/>
    <w:rsid w:val="79177FA3"/>
    <w:rsid w:val="793122E3"/>
    <w:rsid w:val="794857A6"/>
    <w:rsid w:val="79585961"/>
    <w:rsid w:val="795F6FFA"/>
    <w:rsid w:val="79614897"/>
    <w:rsid w:val="79617D09"/>
    <w:rsid w:val="79680FED"/>
    <w:rsid w:val="796F1C36"/>
    <w:rsid w:val="79BB2545"/>
    <w:rsid w:val="79C008CD"/>
    <w:rsid w:val="7A4D5C58"/>
    <w:rsid w:val="7A4F7B07"/>
    <w:rsid w:val="7A5101BC"/>
    <w:rsid w:val="7A5E709F"/>
    <w:rsid w:val="7A640DEF"/>
    <w:rsid w:val="7A685998"/>
    <w:rsid w:val="7A826524"/>
    <w:rsid w:val="7A875EF2"/>
    <w:rsid w:val="7A9E1BE8"/>
    <w:rsid w:val="7AC96B81"/>
    <w:rsid w:val="7AD0516C"/>
    <w:rsid w:val="7AD727B2"/>
    <w:rsid w:val="7AD7A1FA"/>
    <w:rsid w:val="7ADE96DB"/>
    <w:rsid w:val="7AFD5349"/>
    <w:rsid w:val="7B063D79"/>
    <w:rsid w:val="7B0E3DF2"/>
    <w:rsid w:val="7B0F0EC6"/>
    <w:rsid w:val="7B286B9A"/>
    <w:rsid w:val="7B334FEE"/>
    <w:rsid w:val="7B3B3EC1"/>
    <w:rsid w:val="7B7114EB"/>
    <w:rsid w:val="7B766521"/>
    <w:rsid w:val="7B9A6B24"/>
    <w:rsid w:val="7B9A6FC5"/>
    <w:rsid w:val="7BA269EE"/>
    <w:rsid w:val="7BAE704B"/>
    <w:rsid w:val="7BBB08F9"/>
    <w:rsid w:val="7BC47376"/>
    <w:rsid w:val="7BEB30F6"/>
    <w:rsid w:val="7BFFA655"/>
    <w:rsid w:val="7C00147E"/>
    <w:rsid w:val="7C0E1600"/>
    <w:rsid w:val="7C215FFC"/>
    <w:rsid w:val="7C3717CE"/>
    <w:rsid w:val="7C691183"/>
    <w:rsid w:val="7C9537CE"/>
    <w:rsid w:val="7CAA10A7"/>
    <w:rsid w:val="7CC31975"/>
    <w:rsid w:val="7D0D2D49"/>
    <w:rsid w:val="7D203553"/>
    <w:rsid w:val="7D3638F1"/>
    <w:rsid w:val="7D4441A2"/>
    <w:rsid w:val="7D9948DF"/>
    <w:rsid w:val="7D9C56A0"/>
    <w:rsid w:val="7DBA0B08"/>
    <w:rsid w:val="7DC47C61"/>
    <w:rsid w:val="7DD76F8A"/>
    <w:rsid w:val="7DDB5147"/>
    <w:rsid w:val="7DEA717D"/>
    <w:rsid w:val="7E00744C"/>
    <w:rsid w:val="7E1F5D8A"/>
    <w:rsid w:val="7E27194F"/>
    <w:rsid w:val="7E53DB8D"/>
    <w:rsid w:val="7E5D471B"/>
    <w:rsid w:val="7E93527C"/>
    <w:rsid w:val="7EA64368"/>
    <w:rsid w:val="7EA7CF43"/>
    <w:rsid w:val="7EC17537"/>
    <w:rsid w:val="7EED3DCE"/>
    <w:rsid w:val="7EF438EF"/>
    <w:rsid w:val="7EFF54EF"/>
    <w:rsid w:val="7EFFBE69"/>
    <w:rsid w:val="7F0969F7"/>
    <w:rsid w:val="7F2C38B2"/>
    <w:rsid w:val="7F4033B0"/>
    <w:rsid w:val="7F4B17C2"/>
    <w:rsid w:val="7F63180E"/>
    <w:rsid w:val="7F65074C"/>
    <w:rsid w:val="7F6B1C88"/>
    <w:rsid w:val="7F6EDAEE"/>
    <w:rsid w:val="7F7513EC"/>
    <w:rsid w:val="7F8F6F36"/>
    <w:rsid w:val="7FA7A97F"/>
    <w:rsid w:val="7FAA5858"/>
    <w:rsid w:val="7FAF3BDF"/>
    <w:rsid w:val="7FAFC216"/>
    <w:rsid w:val="7FBB2037"/>
    <w:rsid w:val="7FBDD174"/>
    <w:rsid w:val="7FBF46A3"/>
    <w:rsid w:val="7FEFA79C"/>
    <w:rsid w:val="7FF8015F"/>
    <w:rsid w:val="7FFD8A9D"/>
    <w:rsid w:val="8BFDCE5E"/>
    <w:rsid w:val="975F7B5B"/>
    <w:rsid w:val="9FBA7136"/>
    <w:rsid w:val="9FCF587D"/>
    <w:rsid w:val="9FD7F4D0"/>
    <w:rsid w:val="A7BE5D65"/>
    <w:rsid w:val="A9EFB07C"/>
    <w:rsid w:val="ABFB8D5C"/>
    <w:rsid w:val="ADFD5579"/>
    <w:rsid w:val="AE521328"/>
    <w:rsid w:val="AED671AF"/>
    <w:rsid w:val="AF85341E"/>
    <w:rsid w:val="AFDA5E24"/>
    <w:rsid w:val="B2AF928D"/>
    <w:rsid w:val="B6374D86"/>
    <w:rsid w:val="B75B6B07"/>
    <w:rsid w:val="B7A34307"/>
    <w:rsid w:val="B7DF6BCE"/>
    <w:rsid w:val="B814F49D"/>
    <w:rsid w:val="B97C0B21"/>
    <w:rsid w:val="BAFE2844"/>
    <w:rsid w:val="BB7F4F81"/>
    <w:rsid w:val="BCFF7F26"/>
    <w:rsid w:val="BE7F8010"/>
    <w:rsid w:val="BEDDF782"/>
    <w:rsid w:val="BEFD1EBF"/>
    <w:rsid w:val="BEFDB907"/>
    <w:rsid w:val="BF7F50E4"/>
    <w:rsid w:val="CEFFE737"/>
    <w:rsid w:val="CFB32512"/>
    <w:rsid w:val="CFDB96F1"/>
    <w:rsid w:val="D3DEF757"/>
    <w:rsid w:val="D4FC2746"/>
    <w:rsid w:val="D6B758C4"/>
    <w:rsid w:val="D7AE11A9"/>
    <w:rsid w:val="D7FB917C"/>
    <w:rsid w:val="D89BD63B"/>
    <w:rsid w:val="DBB62C97"/>
    <w:rsid w:val="DDEB0CA7"/>
    <w:rsid w:val="DFDB03BE"/>
    <w:rsid w:val="DFF10D5D"/>
    <w:rsid w:val="DFF33081"/>
    <w:rsid w:val="DFF45A85"/>
    <w:rsid w:val="DFF916DC"/>
    <w:rsid w:val="DFFE5912"/>
    <w:rsid w:val="E1F6E432"/>
    <w:rsid w:val="E5FF3585"/>
    <w:rsid w:val="E6E73CA6"/>
    <w:rsid w:val="E76AE2C3"/>
    <w:rsid w:val="E775C37B"/>
    <w:rsid w:val="E79BBD20"/>
    <w:rsid w:val="EBEFFE61"/>
    <w:rsid w:val="EC6DBE59"/>
    <w:rsid w:val="EDB70AA8"/>
    <w:rsid w:val="EDBC2E8F"/>
    <w:rsid w:val="EF6BB7E2"/>
    <w:rsid w:val="EFEDC775"/>
    <w:rsid w:val="EFF946E3"/>
    <w:rsid w:val="F1DF50E3"/>
    <w:rsid w:val="F373B128"/>
    <w:rsid w:val="F57E6084"/>
    <w:rsid w:val="F5CCC4D5"/>
    <w:rsid w:val="F5F5150A"/>
    <w:rsid w:val="F5F9438B"/>
    <w:rsid w:val="F79BD332"/>
    <w:rsid w:val="F7BBC0E3"/>
    <w:rsid w:val="F8FDF5EE"/>
    <w:rsid w:val="F95AB7B5"/>
    <w:rsid w:val="F9FBABE3"/>
    <w:rsid w:val="FA7115EA"/>
    <w:rsid w:val="FB6F8943"/>
    <w:rsid w:val="FBDF0A69"/>
    <w:rsid w:val="FBDFEA72"/>
    <w:rsid w:val="FBF43FF7"/>
    <w:rsid w:val="FBFB3417"/>
    <w:rsid w:val="FC9688DB"/>
    <w:rsid w:val="FDB7BC72"/>
    <w:rsid w:val="FDEFB6F8"/>
    <w:rsid w:val="FDFDFBD6"/>
    <w:rsid w:val="FDFEA3E0"/>
    <w:rsid w:val="FEDE21EF"/>
    <w:rsid w:val="FEF572BD"/>
    <w:rsid w:val="FF1F7650"/>
    <w:rsid w:val="FF7EA94C"/>
    <w:rsid w:val="FFDF9A7C"/>
    <w:rsid w:val="FFEE4ECE"/>
    <w:rsid w:val="FFEF25B5"/>
    <w:rsid w:val="FFEF48B7"/>
    <w:rsid w:val="FFEF9705"/>
    <w:rsid w:val="FFFB66C8"/>
    <w:rsid w:val="FFFF0C42"/>
    <w:rsid w:val="FFFF27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5"/>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1"/>
    <w:link w:val="56"/>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5">
    <w:name w:val="heading 3"/>
    <w:basedOn w:val="1"/>
    <w:next w:val="1"/>
    <w:link w:val="58"/>
    <w:qFormat/>
    <w:uiPriority w:val="0"/>
    <w:pPr>
      <w:numPr>
        <w:ilvl w:val="5"/>
        <w:numId w:val="1"/>
      </w:numPr>
      <w:spacing w:before="260" w:after="260" w:line="416" w:lineRule="auto"/>
      <w:outlineLvl w:val="2"/>
    </w:pPr>
    <w:rPr>
      <w:b/>
      <w:bCs/>
      <w:sz w:val="32"/>
      <w:szCs w:val="32"/>
    </w:rPr>
  </w:style>
  <w:style w:type="paragraph" w:styleId="6">
    <w:name w:val="heading 4"/>
    <w:basedOn w:val="1"/>
    <w:next w:val="1"/>
    <w:link w:val="60"/>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7">
    <w:name w:val="heading 5"/>
    <w:basedOn w:val="1"/>
    <w:next w:val="1"/>
    <w:qFormat/>
    <w:uiPriority w:val="0"/>
    <w:pPr>
      <w:keepNext/>
      <w:keepLines/>
      <w:numPr>
        <w:ilvl w:val="4"/>
        <w:numId w:val="2"/>
      </w:numPr>
      <w:adjustRightInd w:val="0"/>
      <w:spacing w:before="280" w:after="290" w:line="376" w:lineRule="atLeast"/>
      <w:textAlignment w:val="baseline"/>
      <w:outlineLvl w:val="4"/>
    </w:pPr>
    <w:rPr>
      <w:b/>
      <w:kern w:val="0"/>
      <w:sz w:val="28"/>
      <w:szCs w:val="20"/>
    </w:rPr>
  </w:style>
  <w:style w:type="paragraph" w:styleId="8">
    <w:name w:val="heading 6"/>
    <w:basedOn w:val="1"/>
    <w:next w:val="1"/>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rPr>
  </w:style>
  <w:style w:type="paragraph" w:styleId="9">
    <w:name w:val="heading 7"/>
    <w:basedOn w:val="1"/>
    <w:next w:val="1"/>
    <w:qFormat/>
    <w:uiPriority w:val="0"/>
    <w:pPr>
      <w:keepNext/>
      <w:keepLines/>
      <w:widowControl/>
      <w:numPr>
        <w:ilvl w:val="6"/>
        <w:numId w:val="1"/>
      </w:numPr>
      <w:spacing w:before="240" w:after="64" w:line="320" w:lineRule="auto"/>
      <w:jc w:val="left"/>
      <w:outlineLvl w:val="6"/>
    </w:pPr>
    <w:rPr>
      <w:b/>
      <w:bCs/>
      <w:kern w:val="0"/>
      <w:sz w:val="24"/>
    </w:rPr>
  </w:style>
  <w:style w:type="paragraph" w:styleId="10">
    <w:name w:val="heading 8"/>
    <w:basedOn w:val="1"/>
    <w:next w:val="1"/>
    <w:qFormat/>
    <w:uiPriority w:val="0"/>
    <w:pPr>
      <w:keepNext/>
      <w:keepLines/>
      <w:widowControl/>
      <w:numPr>
        <w:ilvl w:val="7"/>
        <w:numId w:val="1"/>
      </w:numPr>
      <w:spacing w:before="240" w:after="64" w:line="320" w:lineRule="auto"/>
      <w:jc w:val="left"/>
      <w:outlineLvl w:val="7"/>
    </w:pPr>
    <w:rPr>
      <w:rFonts w:ascii="Arial" w:hAnsi="Arial" w:eastAsia="黑体"/>
      <w:kern w:val="0"/>
      <w:sz w:val="24"/>
    </w:rPr>
  </w:style>
  <w:style w:type="paragraph" w:styleId="11">
    <w:name w:val="heading 9"/>
    <w:basedOn w:val="1"/>
    <w:next w:val="1"/>
    <w:link w:val="61"/>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2">
    <w:name w:val="Default Paragraph Font"/>
    <w:link w:val="43"/>
    <w:qFormat/>
    <w:uiPriority w:val="0"/>
    <w:rPr>
      <w:rFonts w:ascii="宋体" w:hAnsi="宋体"/>
      <w:kern w:val="0"/>
      <w:szCs w:val="21"/>
    </w:rPr>
  </w:style>
  <w:style w:type="table" w:default="1" w:styleId="40">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54"/>
    <w:qFormat/>
    <w:uiPriority w:val="0"/>
    <w:pPr>
      <w:jc w:val="center"/>
    </w:pPr>
    <w:rPr>
      <w:sz w:val="52"/>
    </w:rPr>
  </w:style>
  <w:style w:type="paragraph" w:styleId="12">
    <w:name w:val="toc 7"/>
    <w:basedOn w:val="1"/>
    <w:next w:val="1"/>
    <w:qFormat/>
    <w:uiPriority w:val="39"/>
    <w:pPr>
      <w:ind w:left="1260"/>
      <w:jc w:val="left"/>
    </w:pPr>
    <w:rPr>
      <w:rFonts w:ascii="Calibri" w:hAnsi="Calibri" w:cs="Calibri"/>
      <w:sz w:val="18"/>
      <w:szCs w:val="18"/>
    </w:rPr>
  </w:style>
  <w:style w:type="paragraph" w:styleId="13">
    <w:name w:val="Normal Indent"/>
    <w:basedOn w:val="1"/>
    <w:link w:val="59"/>
    <w:qFormat/>
    <w:uiPriority w:val="0"/>
    <w:pPr>
      <w:widowControl/>
      <w:ind w:firstLine="420"/>
      <w:jc w:val="left"/>
    </w:pPr>
    <w:rPr>
      <w:kern w:val="0"/>
      <w:sz w:val="20"/>
      <w:szCs w:val="20"/>
    </w:rPr>
  </w:style>
  <w:style w:type="paragraph" w:styleId="14">
    <w:name w:val="caption"/>
    <w:basedOn w:val="1"/>
    <w:next w:val="1"/>
    <w:qFormat/>
    <w:uiPriority w:val="0"/>
    <w:rPr>
      <w:rFonts w:ascii="Arial" w:hAnsi="Arial" w:eastAsia="黑体"/>
      <w:sz w:val="20"/>
    </w:rPr>
  </w:style>
  <w:style w:type="paragraph" w:styleId="15">
    <w:name w:val="Document Map"/>
    <w:basedOn w:val="1"/>
    <w:link w:val="62"/>
    <w:qFormat/>
    <w:uiPriority w:val="0"/>
    <w:pPr>
      <w:shd w:val="clear" w:color="auto" w:fill="000080"/>
    </w:pPr>
  </w:style>
  <w:style w:type="paragraph" w:styleId="16">
    <w:name w:val="annotation text"/>
    <w:basedOn w:val="1"/>
    <w:link w:val="63"/>
    <w:qFormat/>
    <w:uiPriority w:val="99"/>
    <w:pPr>
      <w:adjustRightInd w:val="0"/>
      <w:spacing w:line="360" w:lineRule="atLeast"/>
      <w:jc w:val="left"/>
      <w:textAlignment w:val="baseline"/>
    </w:pPr>
    <w:rPr>
      <w:kern w:val="0"/>
      <w:sz w:val="24"/>
      <w:szCs w:val="20"/>
    </w:rPr>
  </w:style>
  <w:style w:type="paragraph" w:styleId="17">
    <w:name w:val="Body Text 3"/>
    <w:basedOn w:val="1"/>
    <w:link w:val="64"/>
    <w:qFormat/>
    <w:uiPriority w:val="0"/>
    <w:pPr>
      <w:spacing w:line="440" w:lineRule="exact"/>
    </w:pPr>
    <w:rPr>
      <w:sz w:val="24"/>
    </w:rPr>
  </w:style>
  <w:style w:type="paragraph" w:styleId="18">
    <w:name w:val="Body Text Indent"/>
    <w:basedOn w:val="1"/>
    <w:qFormat/>
    <w:uiPriority w:val="0"/>
    <w:pPr>
      <w:spacing w:line="400" w:lineRule="exact"/>
      <w:ind w:firstLine="560" w:firstLineChars="20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65"/>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leftChars="2500"/>
    </w:pPr>
  </w:style>
  <w:style w:type="paragraph" w:styleId="24">
    <w:name w:val="Body Text Indent 2"/>
    <w:basedOn w:val="1"/>
    <w:qFormat/>
    <w:uiPriority w:val="0"/>
    <w:pPr>
      <w:spacing w:line="400" w:lineRule="exact"/>
      <w:ind w:firstLine="560" w:firstLineChars="200"/>
    </w:pPr>
    <w:rPr>
      <w:sz w:val="28"/>
    </w:rPr>
  </w:style>
  <w:style w:type="paragraph" w:styleId="25">
    <w:name w:val="Balloon Text"/>
    <w:basedOn w:val="1"/>
    <w:link w:val="66"/>
    <w:qFormat/>
    <w:uiPriority w:val="0"/>
    <w:rPr>
      <w:sz w:val="18"/>
      <w:szCs w:val="18"/>
    </w:rPr>
  </w:style>
  <w:style w:type="paragraph" w:styleId="26">
    <w:name w:val="footer"/>
    <w:basedOn w:val="1"/>
    <w:link w:val="176"/>
    <w:qFormat/>
    <w:uiPriority w:val="99"/>
    <w:pPr>
      <w:tabs>
        <w:tab w:val="center" w:pos="4153"/>
        <w:tab w:val="right" w:pos="8306"/>
      </w:tabs>
      <w:snapToGrid w:val="0"/>
      <w:jc w:val="left"/>
    </w:pPr>
    <w:rPr>
      <w:sz w:val="18"/>
      <w:szCs w:val="18"/>
    </w:rPr>
  </w:style>
  <w:style w:type="paragraph" w:styleId="27">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szCs w:val="20"/>
    </w:rPr>
  </w:style>
  <w:style w:type="paragraph" w:styleId="29">
    <w:name w:val="toc 4"/>
    <w:basedOn w:val="1"/>
    <w:next w:val="1"/>
    <w:qFormat/>
    <w:uiPriority w:val="39"/>
    <w:pPr>
      <w:ind w:left="630"/>
      <w:jc w:val="left"/>
    </w:pPr>
    <w:rPr>
      <w:rFonts w:ascii="Calibri" w:hAnsi="Calibri" w:cs="Calibri"/>
      <w:sz w:val="18"/>
      <w:szCs w:val="18"/>
    </w:rPr>
  </w:style>
  <w:style w:type="paragraph" w:styleId="30">
    <w:name w:val="List"/>
    <w:basedOn w:val="1"/>
    <w:qFormat/>
    <w:uiPriority w:val="0"/>
    <w:pPr>
      <w:ind w:left="200" w:hanging="200" w:hangingChars="200"/>
    </w:pPr>
    <w:rPr>
      <w:szCs w:val="20"/>
    </w:rPr>
  </w:style>
  <w:style w:type="paragraph" w:styleId="31">
    <w:name w:val="toc 6"/>
    <w:basedOn w:val="1"/>
    <w:next w:val="1"/>
    <w:qFormat/>
    <w:uiPriority w:val="39"/>
    <w:pPr>
      <w:ind w:left="1050"/>
      <w:jc w:val="left"/>
    </w:pPr>
    <w:rPr>
      <w:rFonts w:ascii="Calibri" w:hAnsi="Calibri" w:cs="Calibri"/>
      <w:sz w:val="18"/>
      <w:szCs w:val="18"/>
    </w:rPr>
  </w:style>
  <w:style w:type="paragraph" w:styleId="32">
    <w:name w:val="Body Text Indent 3"/>
    <w:basedOn w:val="1"/>
    <w:qFormat/>
    <w:uiPriority w:val="0"/>
    <w:pPr>
      <w:spacing w:line="500" w:lineRule="exact"/>
      <w:ind w:firstLine="570"/>
    </w:pPr>
    <w:rPr>
      <w:rFonts w:eastAsia="黑体"/>
      <w:sz w:val="28"/>
    </w:rPr>
  </w:style>
  <w:style w:type="paragraph" w:styleId="33">
    <w:name w:val="toc 2"/>
    <w:basedOn w:val="1"/>
    <w:next w:val="1"/>
    <w:qFormat/>
    <w:uiPriority w:val="39"/>
    <w:pPr>
      <w:ind w:left="210"/>
      <w:jc w:val="left"/>
    </w:pPr>
    <w:rPr>
      <w:rFonts w:ascii="Calibri" w:hAnsi="Calibri" w:cs="Calibri"/>
      <w:smallCaps/>
      <w:sz w:val="20"/>
      <w:szCs w:val="20"/>
    </w:rPr>
  </w:style>
  <w:style w:type="paragraph" w:styleId="34">
    <w:name w:val="toc 9"/>
    <w:basedOn w:val="1"/>
    <w:next w:val="1"/>
    <w:qFormat/>
    <w:uiPriority w:val="39"/>
    <w:pPr>
      <w:ind w:left="1680"/>
      <w:jc w:val="left"/>
    </w:pPr>
    <w:rPr>
      <w:rFonts w:ascii="Calibri" w:hAnsi="Calibri" w:cs="Calibri"/>
      <w:sz w:val="18"/>
      <w:szCs w:val="18"/>
    </w:rPr>
  </w:style>
  <w:style w:type="paragraph" w:styleId="35">
    <w:name w:val="Body Text 2"/>
    <w:basedOn w:val="1"/>
    <w:qFormat/>
    <w:uiPriority w:val="0"/>
    <w:rPr>
      <w:sz w:val="28"/>
    </w:rPr>
  </w:style>
  <w:style w:type="paragraph" w:styleId="36">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7">
    <w:name w:val="Title"/>
    <w:basedOn w:val="1"/>
    <w:link w:val="69"/>
    <w:qFormat/>
    <w:uiPriority w:val="0"/>
    <w:pPr>
      <w:adjustRightInd w:val="0"/>
      <w:spacing w:before="240" w:beforeLines="0" w:after="60" w:afterLines="0" w:line="312" w:lineRule="atLeast"/>
      <w:jc w:val="center"/>
      <w:textAlignment w:val="baseline"/>
    </w:pPr>
    <w:rPr>
      <w:rFonts w:ascii="Arial" w:hAnsi="Arial"/>
      <w:b/>
      <w:kern w:val="28"/>
      <w:sz w:val="32"/>
      <w:szCs w:val="20"/>
    </w:rPr>
  </w:style>
  <w:style w:type="paragraph" w:styleId="38">
    <w:name w:val="annotation subject"/>
    <w:basedOn w:val="16"/>
    <w:next w:val="16"/>
    <w:link w:val="70"/>
    <w:qFormat/>
    <w:uiPriority w:val="0"/>
    <w:pPr>
      <w:adjustRightInd/>
      <w:spacing w:line="240" w:lineRule="auto"/>
      <w:textAlignment w:val="auto"/>
    </w:pPr>
    <w:rPr>
      <w:b/>
      <w:bCs/>
      <w:kern w:val="2"/>
      <w:sz w:val="21"/>
      <w:szCs w:val="24"/>
    </w:rPr>
  </w:style>
  <w:style w:type="paragraph" w:styleId="39">
    <w:name w:val="Body Text First Indent 2"/>
    <w:basedOn w:val="18"/>
    <w:qFormat/>
    <w:uiPriority w:val="0"/>
    <w:pPr>
      <w:ind w:firstLine="420" w:firstLineChars="200"/>
    </w:pPr>
    <w:rPr>
      <w:rFonts w:ascii="Arial" w:hAnsi="Arial"/>
      <w:snapToGrid w:val="0"/>
      <w:kern w:val="0"/>
      <w:sz w:val="20"/>
    </w:rPr>
  </w:style>
  <w:style w:type="table" w:styleId="41">
    <w:name w:val="Table Grid"/>
    <w:basedOn w:val="40"/>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
    <w:name w:val="Char2 Char Char Char1 Char Char Char Char Char Char Char Char1 Char1 Char Char1 Char"/>
    <w:basedOn w:val="1"/>
    <w:link w:val="42"/>
    <w:qFormat/>
    <w:uiPriority w:val="0"/>
    <w:pPr>
      <w:spacing w:line="240" w:lineRule="auto"/>
    </w:pPr>
    <w:rPr>
      <w:rFonts w:ascii="宋体" w:hAnsi="宋体"/>
      <w:kern w:val="0"/>
      <w:szCs w:val="21"/>
    </w:rPr>
  </w:style>
  <w:style w:type="character" w:styleId="44">
    <w:name w:val="Strong"/>
    <w:qFormat/>
    <w:uiPriority w:val="0"/>
    <w:rPr>
      <w:rFonts w:cs="Times New Roman"/>
      <w:b/>
    </w:rPr>
  </w:style>
  <w:style w:type="character" w:styleId="45">
    <w:name w:val="page number"/>
    <w:qFormat/>
    <w:uiPriority w:val="0"/>
  </w:style>
  <w:style w:type="character" w:styleId="46">
    <w:name w:val="FollowedHyperlink"/>
    <w:qFormat/>
    <w:uiPriority w:val="0"/>
    <w:rPr>
      <w:color w:val="333333"/>
      <w:u w:val="none"/>
    </w:rPr>
  </w:style>
  <w:style w:type="character" w:styleId="47">
    <w:name w:val="Emphasis"/>
    <w:qFormat/>
    <w:uiPriority w:val="20"/>
  </w:style>
  <w:style w:type="character" w:styleId="48">
    <w:name w:val="HTML Definition"/>
    <w:unhideWhenUsed/>
    <w:qFormat/>
    <w:uiPriority w:val="99"/>
    <w:rPr>
      <w:i/>
      <w:iCs/>
    </w:rPr>
  </w:style>
  <w:style w:type="character" w:styleId="49">
    <w:name w:val="Hyperlink"/>
    <w:qFormat/>
    <w:uiPriority w:val="99"/>
    <w:rPr>
      <w:color w:val="333333"/>
      <w:u w:val="none"/>
    </w:rPr>
  </w:style>
  <w:style w:type="character" w:styleId="50">
    <w:name w:val="HTML Code"/>
    <w:unhideWhenUsed/>
    <w:qFormat/>
    <w:uiPriority w:val="99"/>
    <w:rPr>
      <w:rFonts w:hint="default" w:ascii="Consolas" w:hAnsi="Consolas" w:eastAsia="Consolas" w:cs="Consolas"/>
      <w:color w:val="C7254E"/>
      <w:sz w:val="21"/>
      <w:szCs w:val="21"/>
      <w:shd w:val="clear" w:color="auto" w:fill="F9F2F4"/>
    </w:rPr>
  </w:style>
  <w:style w:type="character" w:styleId="51">
    <w:name w:val="annotation reference"/>
    <w:qFormat/>
    <w:uiPriority w:val="0"/>
    <w:rPr>
      <w:sz w:val="21"/>
      <w:szCs w:val="21"/>
    </w:rPr>
  </w:style>
  <w:style w:type="character" w:styleId="52">
    <w:name w:val="HTML Keyboard"/>
    <w:unhideWhenUsed/>
    <w:qFormat/>
    <w:uiPriority w:val="99"/>
    <w:rPr>
      <w:rFonts w:hint="default" w:ascii="Consolas" w:hAnsi="Consolas" w:eastAsia="Consolas" w:cs="Consolas"/>
      <w:color w:val="FFFFFF"/>
      <w:sz w:val="21"/>
      <w:szCs w:val="21"/>
      <w:shd w:val="clear" w:color="auto" w:fill="333333"/>
    </w:rPr>
  </w:style>
  <w:style w:type="character" w:styleId="53">
    <w:name w:val="HTML Sample"/>
    <w:unhideWhenUsed/>
    <w:qFormat/>
    <w:uiPriority w:val="99"/>
    <w:rPr>
      <w:rFonts w:ascii="Consolas" w:hAnsi="Consolas" w:eastAsia="Consolas" w:cs="Consolas"/>
      <w:sz w:val="21"/>
      <w:szCs w:val="21"/>
    </w:rPr>
  </w:style>
  <w:style w:type="character" w:customStyle="1" w:styleId="54">
    <w:name w:val="正文文本 字符"/>
    <w:link w:val="2"/>
    <w:qFormat/>
    <w:locked/>
    <w:uiPriority w:val="0"/>
    <w:rPr>
      <w:kern w:val="2"/>
      <w:sz w:val="52"/>
      <w:szCs w:val="24"/>
    </w:rPr>
  </w:style>
  <w:style w:type="character" w:customStyle="1" w:styleId="55">
    <w:name w:val="标题 1 字符"/>
    <w:link w:val="3"/>
    <w:qFormat/>
    <w:locked/>
    <w:uiPriority w:val="0"/>
    <w:rPr>
      <w:b/>
      <w:bCs/>
      <w:kern w:val="44"/>
      <w:sz w:val="44"/>
      <w:szCs w:val="44"/>
    </w:rPr>
  </w:style>
  <w:style w:type="character" w:customStyle="1" w:styleId="56">
    <w:name w:val="标题 2 字符"/>
    <w:link w:val="4"/>
    <w:qFormat/>
    <w:locked/>
    <w:uiPriority w:val="0"/>
    <w:rPr>
      <w:rFonts w:ascii="Arial" w:hAnsi="Arial"/>
      <w:b/>
      <w:bCs/>
      <w:color w:val="FF0000"/>
      <w:kern w:val="2"/>
      <w:sz w:val="28"/>
      <w:szCs w:val="32"/>
    </w:rPr>
  </w:style>
  <w:style w:type="paragraph" w:customStyle="1" w:styleId="57">
    <w:name w:val="标题 60"/>
    <w:basedOn w:val="8"/>
    <w:qFormat/>
    <w:uiPriority w:val="0"/>
    <w:pPr>
      <w:spacing w:line="319" w:lineRule="auto"/>
      <w:ind w:firstLine="200" w:firstLineChars="200"/>
    </w:pPr>
    <w:rPr>
      <w:b w:val="0"/>
      <w:bCs w:val="0"/>
    </w:rPr>
  </w:style>
  <w:style w:type="character" w:customStyle="1" w:styleId="58">
    <w:name w:val="标题 3 字符"/>
    <w:link w:val="5"/>
    <w:qFormat/>
    <w:uiPriority w:val="0"/>
    <w:rPr>
      <w:b/>
      <w:bCs/>
      <w:kern w:val="2"/>
      <w:sz w:val="32"/>
      <w:szCs w:val="32"/>
    </w:rPr>
  </w:style>
  <w:style w:type="character" w:customStyle="1" w:styleId="59">
    <w:name w:val="正文缩进 字符"/>
    <w:link w:val="13"/>
    <w:qFormat/>
    <w:uiPriority w:val="0"/>
  </w:style>
  <w:style w:type="character" w:customStyle="1" w:styleId="60">
    <w:name w:val="标题 4 字符"/>
    <w:link w:val="6"/>
    <w:qFormat/>
    <w:uiPriority w:val="0"/>
    <w:rPr>
      <w:rFonts w:ascii="Arial" w:hAnsi="Arial" w:eastAsia="黑体"/>
      <w:b/>
      <w:bCs/>
      <w:kern w:val="2"/>
      <w:sz w:val="28"/>
      <w:szCs w:val="28"/>
    </w:rPr>
  </w:style>
  <w:style w:type="character" w:customStyle="1" w:styleId="61">
    <w:name w:val="标题 9 字符"/>
    <w:link w:val="11"/>
    <w:qFormat/>
    <w:uiPriority w:val="0"/>
    <w:rPr>
      <w:rFonts w:ascii="Arial" w:hAnsi="Arial" w:eastAsia="黑体"/>
      <w:sz w:val="21"/>
      <w:szCs w:val="21"/>
    </w:rPr>
  </w:style>
  <w:style w:type="character" w:customStyle="1" w:styleId="62">
    <w:name w:val="文档结构图 字符"/>
    <w:link w:val="15"/>
    <w:qFormat/>
    <w:uiPriority w:val="0"/>
    <w:rPr>
      <w:kern w:val="2"/>
      <w:sz w:val="21"/>
      <w:szCs w:val="24"/>
      <w:shd w:val="clear" w:color="auto" w:fill="000080"/>
    </w:rPr>
  </w:style>
  <w:style w:type="character" w:customStyle="1" w:styleId="63">
    <w:name w:val="批注文字 字符1"/>
    <w:link w:val="16"/>
    <w:qFormat/>
    <w:locked/>
    <w:uiPriority w:val="99"/>
    <w:rPr>
      <w:sz w:val="24"/>
    </w:rPr>
  </w:style>
  <w:style w:type="character" w:customStyle="1" w:styleId="64">
    <w:name w:val="正文文本 3 字符"/>
    <w:link w:val="17"/>
    <w:qFormat/>
    <w:uiPriority w:val="0"/>
    <w:rPr>
      <w:kern w:val="2"/>
      <w:sz w:val="24"/>
      <w:szCs w:val="24"/>
    </w:rPr>
  </w:style>
  <w:style w:type="character" w:customStyle="1" w:styleId="65">
    <w:name w:val="纯文本 字符"/>
    <w:link w:val="21"/>
    <w:qFormat/>
    <w:uiPriority w:val="0"/>
    <w:rPr>
      <w:rFonts w:ascii="宋体" w:hAnsi="Courier New"/>
      <w:kern w:val="2"/>
      <w:sz w:val="21"/>
    </w:rPr>
  </w:style>
  <w:style w:type="character" w:customStyle="1" w:styleId="66">
    <w:name w:val="批注框文本 字符"/>
    <w:link w:val="25"/>
    <w:qFormat/>
    <w:locked/>
    <w:uiPriority w:val="0"/>
    <w:rPr>
      <w:kern w:val="2"/>
      <w:sz w:val="18"/>
      <w:szCs w:val="18"/>
    </w:rPr>
  </w:style>
  <w:style w:type="character" w:customStyle="1" w:styleId="67">
    <w:name w:val="页脚 字符"/>
    <w:link w:val="26"/>
    <w:qFormat/>
    <w:uiPriority w:val="99"/>
    <w:rPr>
      <w:kern w:val="2"/>
      <w:sz w:val="18"/>
      <w:szCs w:val="18"/>
    </w:rPr>
  </w:style>
  <w:style w:type="character" w:customStyle="1" w:styleId="68">
    <w:name w:val="页眉 字符"/>
    <w:link w:val="27"/>
    <w:qFormat/>
    <w:locked/>
    <w:uiPriority w:val="99"/>
    <w:rPr>
      <w:kern w:val="2"/>
      <w:sz w:val="18"/>
      <w:szCs w:val="18"/>
    </w:rPr>
  </w:style>
  <w:style w:type="character" w:customStyle="1" w:styleId="69">
    <w:name w:val="标题 字符"/>
    <w:link w:val="37"/>
    <w:qFormat/>
    <w:locked/>
    <w:uiPriority w:val="0"/>
    <w:rPr>
      <w:rFonts w:ascii="Arial" w:hAnsi="Arial"/>
      <w:b/>
      <w:kern w:val="28"/>
      <w:sz w:val="32"/>
    </w:rPr>
  </w:style>
  <w:style w:type="character" w:customStyle="1" w:styleId="70">
    <w:name w:val="批注主题 字符"/>
    <w:link w:val="38"/>
    <w:qFormat/>
    <w:locked/>
    <w:uiPriority w:val="0"/>
    <w:rPr>
      <w:b/>
      <w:bCs/>
      <w:kern w:val="2"/>
      <w:sz w:val="21"/>
      <w:szCs w:val="24"/>
    </w:rPr>
  </w:style>
  <w:style w:type="character" w:customStyle="1" w:styleId="71">
    <w:name w:val="bd-close2"/>
    <w:qFormat/>
    <w:uiPriority w:val="0"/>
    <w:rPr>
      <w:vanish/>
    </w:rPr>
  </w:style>
  <w:style w:type="character" w:customStyle="1" w:styleId="72">
    <w:name w:val="left"/>
    <w:qFormat/>
    <w:uiPriority w:val="0"/>
    <w:rPr>
      <w:color w:val="FF4700"/>
    </w:rPr>
  </w:style>
  <w:style w:type="character" w:customStyle="1" w:styleId="73">
    <w:name w:val="first-child"/>
    <w:qFormat/>
    <w:uiPriority w:val="0"/>
  </w:style>
  <w:style w:type="character" w:customStyle="1" w:styleId="74">
    <w:name w:val="bd-close"/>
    <w:qFormat/>
    <w:uiPriority w:val="0"/>
    <w:rPr>
      <w:vanish/>
    </w:rPr>
  </w:style>
  <w:style w:type="character" w:customStyle="1" w:styleId="75">
    <w:name w:val="left2"/>
    <w:qFormat/>
    <w:uiPriority w:val="0"/>
    <w:rPr>
      <w:color w:val="FF4700"/>
    </w:rPr>
  </w:style>
  <w:style w:type="character" w:customStyle="1" w:styleId="76">
    <w:name w:val="edui-clickable2"/>
    <w:qFormat/>
    <w:uiPriority w:val="0"/>
    <w:rPr>
      <w:color w:val="0000FF"/>
      <w:u w:val="single"/>
    </w:rPr>
  </w:style>
  <w:style w:type="character" w:customStyle="1" w:styleId="77">
    <w:name w:val="Footer Char"/>
    <w:qFormat/>
    <w:locked/>
    <w:uiPriority w:val="0"/>
    <w:rPr>
      <w:rFonts w:ascii="Calibri" w:hAnsi="Calibri" w:eastAsia="宋体"/>
      <w:sz w:val="18"/>
    </w:rPr>
  </w:style>
  <w:style w:type="character" w:customStyle="1" w:styleId="78">
    <w:name w:val="Header Char"/>
    <w:qFormat/>
    <w:locked/>
    <w:uiPriority w:val="0"/>
    <w:rPr>
      <w:rFonts w:ascii="Calibri" w:hAnsi="Calibri" w:eastAsia="宋体"/>
      <w:sz w:val="18"/>
    </w:rPr>
  </w:style>
  <w:style w:type="character" w:customStyle="1" w:styleId="79">
    <w:name w:val="标题2 Char"/>
    <w:link w:val="80"/>
    <w:qFormat/>
    <w:uiPriority w:val="0"/>
    <w:rPr>
      <w:rFonts w:ascii="黑体" w:hAnsi="宋体" w:cs="黑体"/>
      <w:b/>
      <w:bCs/>
      <w:sz w:val="28"/>
      <w:szCs w:val="28"/>
    </w:rPr>
  </w:style>
  <w:style w:type="paragraph" w:customStyle="1" w:styleId="80">
    <w:name w:val="标题2"/>
    <w:basedOn w:val="6"/>
    <w:next w:val="1"/>
    <w:link w:val="79"/>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81">
    <w:name w:val="中文正文、 Char Char"/>
    <w:link w:val="82"/>
    <w:qFormat/>
    <w:uiPriority w:val="0"/>
    <w:rPr>
      <w:kern w:val="2"/>
      <w:sz w:val="21"/>
      <w:szCs w:val="21"/>
    </w:rPr>
  </w:style>
  <w:style w:type="paragraph" w:customStyle="1" w:styleId="82">
    <w:name w:val="中文正文、"/>
    <w:basedOn w:val="1"/>
    <w:link w:val="81"/>
    <w:qFormat/>
    <w:uiPriority w:val="0"/>
    <w:pPr>
      <w:adjustRightInd/>
      <w:spacing w:line="360" w:lineRule="auto"/>
      <w:ind w:firstLine="420" w:firstLineChars="200"/>
    </w:pPr>
    <w:rPr>
      <w:szCs w:val="21"/>
    </w:rPr>
  </w:style>
  <w:style w:type="character" w:customStyle="1" w:styleId="83">
    <w:name w:val="批注主题 Char"/>
    <w:link w:val="84"/>
    <w:qFormat/>
    <w:locked/>
    <w:uiPriority w:val="0"/>
    <w:rPr>
      <w:b/>
      <w:sz w:val="24"/>
    </w:rPr>
  </w:style>
  <w:style w:type="paragraph" w:customStyle="1" w:styleId="84">
    <w:name w:val="批注主题1"/>
    <w:basedOn w:val="16"/>
    <w:next w:val="16"/>
    <w:link w:val="83"/>
    <w:qFormat/>
    <w:uiPriority w:val="0"/>
    <w:pPr>
      <w:adjustRightInd/>
      <w:spacing w:line="240" w:lineRule="auto"/>
      <w:textAlignment w:val="auto"/>
    </w:pPr>
    <w:rPr>
      <w:b/>
    </w:rPr>
  </w:style>
  <w:style w:type="character" w:customStyle="1" w:styleId="85">
    <w:name w:val="16"/>
    <w:qFormat/>
    <w:uiPriority w:val="0"/>
    <w:rPr>
      <w:rFonts w:hint="default" w:ascii="Times New Roman" w:hAnsi="Times New Roman" w:cs="Times New Roman"/>
    </w:rPr>
  </w:style>
  <w:style w:type="character" w:customStyle="1" w:styleId="86">
    <w:name w:val="封面标题 Char"/>
    <w:link w:val="87"/>
    <w:qFormat/>
    <w:uiPriority w:val="0"/>
    <w:rPr>
      <w:rFonts w:ascii="黑体" w:eastAsia="黑体"/>
      <w:sz w:val="52"/>
      <w:szCs w:val="52"/>
    </w:rPr>
  </w:style>
  <w:style w:type="paragraph" w:customStyle="1" w:styleId="87">
    <w:name w:val="封面标题"/>
    <w:basedOn w:val="1"/>
    <w:link w:val="86"/>
    <w:qFormat/>
    <w:uiPriority w:val="0"/>
    <w:pPr>
      <w:spacing w:line="276" w:lineRule="auto"/>
      <w:jc w:val="center"/>
    </w:pPr>
    <w:rPr>
      <w:rFonts w:ascii="黑体" w:eastAsia="黑体"/>
      <w:kern w:val="0"/>
      <w:sz w:val="52"/>
      <w:szCs w:val="52"/>
    </w:rPr>
  </w:style>
  <w:style w:type="character" w:customStyle="1" w:styleId="88">
    <w:name w:val="edui-unclickable"/>
    <w:qFormat/>
    <w:uiPriority w:val="0"/>
    <w:rPr>
      <w:color w:val="808080"/>
    </w:rPr>
  </w:style>
  <w:style w:type="character" w:customStyle="1" w:styleId="89">
    <w:name w:val="15"/>
    <w:qFormat/>
    <w:uiPriority w:val="0"/>
    <w:rPr>
      <w:rFonts w:hint="eastAsia" w:ascii="宋体" w:hAnsi="宋体" w:eastAsia="宋体"/>
      <w:sz w:val="24"/>
      <w:szCs w:val="24"/>
    </w:rPr>
  </w:style>
  <w:style w:type="character" w:customStyle="1" w:styleId="90">
    <w:name w:val="封面副标题 Char"/>
    <w:link w:val="91"/>
    <w:qFormat/>
    <w:uiPriority w:val="0"/>
    <w:rPr>
      <w:rFonts w:ascii="黑体" w:eastAsia="黑体"/>
      <w:sz w:val="28"/>
      <w:szCs w:val="28"/>
    </w:rPr>
  </w:style>
  <w:style w:type="paragraph" w:customStyle="1" w:styleId="91">
    <w:name w:val="封面副标题"/>
    <w:basedOn w:val="1"/>
    <w:link w:val="90"/>
    <w:qFormat/>
    <w:uiPriority w:val="0"/>
    <w:pPr>
      <w:spacing w:line="276" w:lineRule="auto"/>
      <w:ind w:firstLine="199" w:firstLineChars="71"/>
      <w:jc w:val="center"/>
    </w:pPr>
    <w:rPr>
      <w:rFonts w:ascii="黑体" w:eastAsia="黑体"/>
      <w:kern w:val="0"/>
      <w:sz w:val="28"/>
      <w:szCs w:val="28"/>
    </w:rPr>
  </w:style>
  <w:style w:type="character" w:customStyle="1" w:styleId="92">
    <w:name w:val="文档结构图 Char"/>
    <w:link w:val="93"/>
    <w:qFormat/>
    <w:locked/>
    <w:uiPriority w:val="0"/>
    <w:rPr>
      <w:rFonts w:ascii="宋体" w:hAnsi="Calibri"/>
      <w:sz w:val="18"/>
    </w:rPr>
  </w:style>
  <w:style w:type="paragraph" w:customStyle="1" w:styleId="93">
    <w:name w:val="文档结构图1"/>
    <w:basedOn w:val="1"/>
    <w:link w:val="92"/>
    <w:qFormat/>
    <w:uiPriority w:val="0"/>
    <w:rPr>
      <w:rFonts w:ascii="宋体" w:hAnsi="Calibri"/>
      <w:kern w:val="0"/>
      <w:sz w:val="18"/>
      <w:szCs w:val="20"/>
    </w:rPr>
  </w:style>
  <w:style w:type="character" w:customStyle="1" w:styleId="94">
    <w:name w:val="纯文本 Char"/>
    <w:qFormat/>
    <w:locked/>
    <w:uiPriority w:val="0"/>
    <w:rPr>
      <w:rFonts w:ascii="Calibri" w:hAnsi="Calibri" w:cs="Calibri"/>
    </w:rPr>
  </w:style>
  <w:style w:type="character" w:customStyle="1" w:styleId="95">
    <w:name w:val="font31"/>
    <w:qFormat/>
    <w:uiPriority w:val="0"/>
    <w:rPr>
      <w:rFonts w:hint="eastAsia" w:ascii="仿宋" w:hAnsi="仿宋" w:eastAsia="仿宋" w:cs="仿宋"/>
      <w:color w:val="000000"/>
      <w:kern w:val="0"/>
      <w:sz w:val="20"/>
      <w:szCs w:val="20"/>
      <w:u w:val="none"/>
    </w:rPr>
  </w:style>
  <w:style w:type="character" w:customStyle="1" w:styleId="96">
    <w:name w:val="button"/>
    <w:qFormat/>
    <w:uiPriority w:val="0"/>
  </w:style>
  <w:style w:type="character" w:customStyle="1" w:styleId="97">
    <w:name w:val="bd-open"/>
    <w:qFormat/>
    <w:uiPriority w:val="0"/>
  </w:style>
  <w:style w:type="character" w:customStyle="1" w:styleId="98">
    <w:name w:val="tmpztreemove_arrow"/>
    <w:qFormat/>
    <w:uiPriority w:val="0"/>
  </w:style>
  <w:style w:type="character" w:customStyle="1" w:styleId="99">
    <w:name w:val="Comment Text Char"/>
    <w:qFormat/>
    <w:locked/>
    <w:uiPriority w:val="0"/>
    <w:rPr>
      <w:rFonts w:ascii="Times New Roman" w:hAnsi="Times New Roman" w:eastAsia="宋体"/>
      <w:sz w:val="24"/>
    </w:rPr>
  </w:style>
  <w:style w:type="character" w:customStyle="1" w:styleId="100">
    <w:name w:val="A表格文字 Char"/>
    <w:link w:val="101"/>
    <w:qFormat/>
    <w:uiPriority w:val="0"/>
    <w:rPr>
      <w:rFonts w:ascii="宋体" w:hAnsi="宋体"/>
      <w:kern w:val="21"/>
      <w:sz w:val="21"/>
    </w:rPr>
  </w:style>
  <w:style w:type="paragraph" w:customStyle="1" w:styleId="101">
    <w:name w:val="A表格文字"/>
    <w:basedOn w:val="1"/>
    <w:link w:val="100"/>
    <w:qFormat/>
    <w:uiPriority w:val="0"/>
    <w:pPr>
      <w:adjustRightInd w:val="0"/>
      <w:snapToGrid w:val="0"/>
      <w:spacing w:before="40" w:after="40"/>
      <w:jc w:val="left"/>
    </w:pPr>
    <w:rPr>
      <w:rFonts w:ascii="宋体" w:hAnsi="宋体"/>
      <w:kern w:val="21"/>
      <w:szCs w:val="20"/>
    </w:rPr>
  </w:style>
  <w:style w:type="character" w:customStyle="1" w:styleId="102">
    <w:name w:val="layui-layer-tabnow"/>
    <w:qFormat/>
    <w:uiPriority w:val="0"/>
    <w:rPr>
      <w:bdr w:val="single" w:color="CCCCCC" w:sz="6" w:space="0"/>
      <w:shd w:val="clear" w:color="auto" w:fill="FFFFFF"/>
    </w:rPr>
  </w:style>
  <w:style w:type="character" w:customStyle="1" w:styleId="103">
    <w:name w:val="批注文字 Char2"/>
    <w:qFormat/>
    <w:uiPriority w:val="99"/>
    <w:rPr>
      <w:kern w:val="2"/>
      <w:sz w:val="21"/>
    </w:rPr>
  </w:style>
  <w:style w:type="character" w:customStyle="1" w:styleId="104">
    <w:name w:val="bd-open2"/>
    <w:qFormat/>
    <w:uiPriority w:val="0"/>
  </w:style>
  <w:style w:type="character" w:customStyle="1" w:styleId="105">
    <w:name w:val="font51"/>
    <w:qFormat/>
    <w:uiPriority w:val="0"/>
    <w:rPr>
      <w:rFonts w:hint="eastAsia" w:ascii="仿宋" w:hAnsi="仿宋" w:eastAsia="仿宋" w:cs="仿宋"/>
      <w:b/>
      <w:bCs/>
      <w:color w:val="000000"/>
      <w:sz w:val="21"/>
      <w:szCs w:val="21"/>
      <w:u w:val="none"/>
    </w:rPr>
  </w:style>
  <w:style w:type="character" w:customStyle="1" w:styleId="106">
    <w:name w:val="列表段落 字符"/>
    <w:link w:val="107"/>
    <w:qFormat/>
    <w:locked/>
    <w:uiPriority w:val="34"/>
    <w:rPr>
      <w:rFonts w:cs="Calibri"/>
      <w:kern w:val="2"/>
      <w:sz w:val="21"/>
      <w:szCs w:val="24"/>
    </w:rPr>
  </w:style>
  <w:style w:type="paragraph" w:styleId="107">
    <w:name w:val="List Paragraph"/>
    <w:basedOn w:val="1"/>
    <w:link w:val="106"/>
    <w:qFormat/>
    <w:uiPriority w:val="34"/>
    <w:pPr>
      <w:ind w:firstLine="420" w:firstLineChars="200"/>
    </w:pPr>
    <w:rPr>
      <w:rFonts w:ascii="Calibri" w:hAnsi="Calibri" w:cs="Calibri"/>
    </w:rPr>
  </w:style>
  <w:style w:type="character" w:customStyle="1" w:styleId="108">
    <w:name w:val="Title Char"/>
    <w:qFormat/>
    <w:locked/>
    <w:uiPriority w:val="0"/>
    <w:rPr>
      <w:rFonts w:ascii="Cambria" w:hAnsi="Cambria" w:eastAsia="宋体"/>
      <w:b/>
      <w:sz w:val="32"/>
    </w:rPr>
  </w:style>
  <w:style w:type="character" w:customStyle="1" w:styleId="109">
    <w:name w:val="批注文字 Char1"/>
    <w:qFormat/>
    <w:uiPriority w:val="0"/>
    <w:rPr>
      <w:kern w:val="2"/>
      <w:sz w:val="21"/>
    </w:rPr>
  </w:style>
  <w:style w:type="character" w:customStyle="1" w:styleId="110">
    <w:name w:val="彩色列表 - 强调文字颜色 1 Char"/>
    <w:link w:val="111"/>
    <w:qFormat/>
    <w:uiPriority w:val="34"/>
    <w:rPr>
      <w:rFonts w:ascii="Calibri" w:hAnsi="Calibri"/>
      <w:kern w:val="2"/>
      <w:sz w:val="21"/>
      <w:szCs w:val="22"/>
    </w:rPr>
  </w:style>
  <w:style w:type="paragraph" w:customStyle="1" w:styleId="111">
    <w:name w:val="彩色列表 - 强调文字颜色 11"/>
    <w:basedOn w:val="1"/>
    <w:link w:val="110"/>
    <w:qFormat/>
    <w:uiPriority w:val="34"/>
    <w:pPr>
      <w:ind w:firstLine="420" w:firstLineChars="200"/>
    </w:pPr>
    <w:rPr>
      <w:rFonts w:ascii="Calibri" w:hAnsi="Calibri"/>
      <w:szCs w:val="22"/>
    </w:rPr>
  </w:style>
  <w:style w:type="character" w:customStyle="1" w:styleId="112">
    <w:name w:val="列出段落 字符"/>
    <w:qFormat/>
    <w:uiPriority w:val="34"/>
    <w:rPr>
      <w:kern w:val="2"/>
      <w:sz w:val="21"/>
      <w:szCs w:val="24"/>
    </w:rPr>
  </w:style>
  <w:style w:type="character" w:customStyle="1" w:styleId="113">
    <w:name w:val="批注引用1"/>
    <w:qFormat/>
    <w:uiPriority w:val="0"/>
    <w:rPr>
      <w:sz w:val="21"/>
    </w:rPr>
  </w:style>
  <w:style w:type="character" w:customStyle="1" w:styleId="114">
    <w:name w:val="Balloon Text Char"/>
    <w:qFormat/>
    <w:locked/>
    <w:uiPriority w:val="0"/>
    <w:rPr>
      <w:rFonts w:ascii="Calibri" w:hAnsi="Calibri" w:eastAsia="宋体"/>
      <w:sz w:val="18"/>
    </w:rPr>
  </w:style>
  <w:style w:type="character" w:customStyle="1" w:styleId="115">
    <w:name w:val="A表格文字左对齐 Char"/>
    <w:link w:val="116"/>
    <w:qFormat/>
    <w:uiPriority w:val="0"/>
    <w:rPr>
      <w:rFonts w:ascii="宋体" w:hAnsi="宋体"/>
      <w:kern w:val="2"/>
      <w:sz w:val="21"/>
    </w:rPr>
  </w:style>
  <w:style w:type="paragraph" w:customStyle="1" w:styleId="116">
    <w:name w:val="A表格文字左对齐"/>
    <w:basedOn w:val="1"/>
    <w:link w:val="115"/>
    <w:qFormat/>
    <w:uiPriority w:val="0"/>
    <w:pPr>
      <w:adjustRightInd w:val="0"/>
      <w:spacing w:before="40" w:after="4"/>
      <w:jc w:val="left"/>
    </w:pPr>
    <w:rPr>
      <w:rFonts w:ascii="宋体" w:hAnsi="宋体"/>
      <w:szCs w:val="20"/>
    </w:rPr>
  </w:style>
  <w:style w:type="character" w:customStyle="1" w:styleId="117">
    <w:name w:val="font11"/>
    <w:qFormat/>
    <w:uiPriority w:val="0"/>
    <w:rPr>
      <w:rFonts w:hint="eastAsia" w:ascii="仿宋" w:hAnsi="仿宋" w:eastAsia="仿宋" w:cs="仿宋"/>
      <w:color w:val="FF0000"/>
      <w:sz w:val="20"/>
      <w:szCs w:val="20"/>
      <w:u w:val="none"/>
      <w:lang w:val="en-US" w:eastAsia="zh-CN" w:bidi="ar-SA"/>
    </w:rPr>
  </w:style>
  <w:style w:type="character" w:customStyle="1" w:styleId="118">
    <w:name w:val="right"/>
    <w:qFormat/>
    <w:uiPriority w:val="0"/>
  </w:style>
  <w:style w:type="character" w:customStyle="1" w:styleId="119">
    <w:name w:val="批注文字 字符"/>
    <w:qFormat/>
    <w:uiPriority w:val="99"/>
    <w:rPr>
      <w:kern w:val="2"/>
      <w:sz w:val="21"/>
    </w:rPr>
  </w:style>
  <w:style w:type="character" w:customStyle="1" w:styleId="120">
    <w:name w:val="font21"/>
    <w:qFormat/>
    <w:uiPriority w:val="0"/>
    <w:rPr>
      <w:rFonts w:hint="default" w:ascii="仿宋_GB2312" w:hAnsi="宋体" w:eastAsia="仿宋_GB2312" w:cs="仿宋_GB2312"/>
      <w:color w:val="FF0000"/>
      <w:kern w:val="0"/>
      <w:sz w:val="24"/>
      <w:szCs w:val="24"/>
      <w:u w:val="none"/>
    </w:rPr>
  </w:style>
  <w:style w:type="character" w:customStyle="1" w:styleId="121">
    <w:name w:val="日期 Char"/>
    <w:link w:val="122"/>
    <w:qFormat/>
    <w:locked/>
    <w:uiPriority w:val="0"/>
    <w:rPr>
      <w:rFonts w:ascii="Calibri" w:hAnsi="Calibri"/>
    </w:rPr>
  </w:style>
  <w:style w:type="paragraph" w:customStyle="1" w:styleId="122">
    <w:name w:val="日期1"/>
    <w:basedOn w:val="1"/>
    <w:next w:val="1"/>
    <w:link w:val="121"/>
    <w:qFormat/>
    <w:uiPriority w:val="0"/>
    <w:pPr>
      <w:ind w:left="100" w:leftChars="2500"/>
    </w:pPr>
    <w:rPr>
      <w:rFonts w:ascii="Calibri" w:hAnsi="Calibri"/>
      <w:kern w:val="0"/>
      <w:sz w:val="20"/>
      <w:szCs w:val="20"/>
    </w:rPr>
  </w:style>
  <w:style w:type="character" w:customStyle="1" w:styleId="123">
    <w:name w:val="封面合同编号 Char"/>
    <w:link w:val="124"/>
    <w:qFormat/>
    <w:uiPriority w:val="0"/>
    <w:rPr>
      <w:rFonts w:ascii="Calibri" w:hAnsi="Calibri"/>
      <w:kern w:val="2"/>
      <w:sz w:val="21"/>
      <w:szCs w:val="22"/>
    </w:rPr>
  </w:style>
  <w:style w:type="paragraph" w:customStyle="1" w:styleId="124">
    <w:name w:val="封面合同编号"/>
    <w:basedOn w:val="1"/>
    <w:link w:val="123"/>
    <w:qFormat/>
    <w:uiPriority w:val="0"/>
    <w:pPr>
      <w:spacing w:line="276" w:lineRule="auto"/>
      <w:ind w:right="1701"/>
      <w:jc w:val="right"/>
    </w:pPr>
    <w:rPr>
      <w:rFonts w:ascii="Calibri" w:hAnsi="Calibri"/>
      <w:szCs w:val="22"/>
    </w:rPr>
  </w:style>
  <w:style w:type="paragraph" w:customStyle="1" w:styleId="125">
    <w:name w:val="_Style 124"/>
    <w:unhideWhenUsed/>
    <w:qFormat/>
    <w:uiPriority w:val="99"/>
    <w:rPr>
      <w:rFonts w:ascii="Times New Roman" w:hAnsi="Times New Roman" w:eastAsia="宋体" w:cs="Times New Roman"/>
      <w:kern w:val="2"/>
      <w:sz w:val="21"/>
      <w:szCs w:val="24"/>
      <w:lang w:val="en-US" w:eastAsia="zh-CN" w:bidi="ar-SA"/>
    </w:rPr>
  </w:style>
  <w:style w:type="paragraph" w:customStyle="1" w:styleId="126">
    <w:name w:val="1正文"/>
    <w:basedOn w:val="1"/>
    <w:qFormat/>
    <w:uiPriority w:val="0"/>
    <w:pPr>
      <w:spacing w:line="560" w:lineRule="exact"/>
      <w:ind w:firstLine="200" w:firstLineChars="200"/>
    </w:pPr>
    <w:rPr>
      <w:rFonts w:eastAsia="Cambria Math"/>
      <w:sz w:val="32"/>
    </w:rPr>
  </w:style>
  <w:style w:type="paragraph" w:customStyle="1" w:styleId="12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8">
    <w:name w:val="无间隔1"/>
    <w:qFormat/>
    <w:uiPriority w:val="1"/>
    <w:rPr>
      <w:rFonts w:ascii="Times New Roman" w:hAnsi="Times New Roman" w:eastAsia="宋体" w:cs="Times New Roman"/>
      <w:sz w:val="22"/>
      <w:lang w:val="en-US" w:eastAsia="zh-CN" w:bidi="ar-SA"/>
    </w:rPr>
  </w:style>
  <w:style w:type="paragraph" w:customStyle="1" w:styleId="129">
    <w:name w:val="表格正文"/>
    <w:basedOn w:val="1"/>
    <w:qFormat/>
    <w:uiPriority w:val="0"/>
    <w:pPr>
      <w:widowControl/>
      <w:snapToGrid w:val="0"/>
      <w:spacing w:line="300" w:lineRule="auto"/>
      <w:jc w:val="left"/>
    </w:pPr>
    <w:rPr>
      <w:rFonts w:ascii="Calibri" w:hAnsi="Calibri"/>
      <w:sz w:val="24"/>
    </w:rPr>
  </w:style>
  <w:style w:type="paragraph" w:customStyle="1" w:styleId="130">
    <w:name w:val="_Style 129"/>
    <w:basedOn w:val="1"/>
    <w:next w:val="1"/>
    <w:qFormat/>
    <w:uiPriority w:val="0"/>
    <w:pPr>
      <w:pBdr>
        <w:top w:val="single" w:color="auto" w:sz="6" w:space="1"/>
      </w:pBdr>
      <w:jc w:val="center"/>
    </w:pPr>
    <w:rPr>
      <w:rFonts w:ascii="Arial" w:eastAsia="宋体"/>
      <w:vanish/>
      <w:sz w:val="16"/>
    </w:rPr>
  </w:style>
  <w:style w:type="paragraph" w:customStyle="1" w:styleId="131">
    <w:name w:val="text-only"/>
    <w:basedOn w:val="1"/>
    <w:qFormat/>
    <w:uiPriority w:val="0"/>
    <w:pPr>
      <w:pBdr>
        <w:top w:val="none" w:color="auto" w:sz="0" w:space="0"/>
        <w:left w:val="none" w:color="auto" w:sz="0" w:space="0"/>
        <w:bottom w:val="none" w:color="auto" w:sz="0" w:space="0"/>
        <w:right w:val="none" w:color="auto" w:sz="0" w:space="0"/>
      </w:pBdr>
      <w:spacing w:after="300" w:afterAutospacing="0" w:line="420" w:lineRule="atLeast"/>
      <w:jc w:val="left"/>
    </w:pPr>
    <w:rPr>
      <w:kern w:val="0"/>
      <w:lang w:val="en-US" w:eastAsia="zh-CN" w:bidi="ar"/>
    </w:rPr>
  </w:style>
  <w:style w:type="paragraph" w:customStyle="1" w:styleId="132">
    <w:name w:val="Level 2"/>
    <w:basedOn w:val="1"/>
    <w:qFormat/>
    <w:uiPriority w:val="0"/>
    <w:rPr>
      <w:rFonts w:ascii="Calibri" w:hAnsi="Calibri"/>
      <w:szCs w:val="22"/>
    </w:rPr>
  </w:style>
  <w:style w:type="paragraph" w:customStyle="1" w:styleId="133">
    <w:name w:val="列出段落2"/>
    <w:basedOn w:val="1"/>
    <w:qFormat/>
    <w:uiPriority w:val="0"/>
    <w:pPr>
      <w:ind w:firstLine="420" w:firstLineChars="200"/>
    </w:pPr>
    <w:rPr>
      <w:rFonts w:ascii="Calibri" w:hAnsi="Calibri"/>
      <w:szCs w:val="22"/>
    </w:rPr>
  </w:style>
  <w:style w:type="paragraph" w:customStyle="1" w:styleId="134">
    <w:name w:val="样式 标题 1卷标题H1章标题 1 1TITRE1L1 Heading 1h11st levelh111st...3"/>
    <w:basedOn w:val="3"/>
    <w:qFormat/>
    <w:uiPriority w:val="0"/>
    <w:pPr>
      <w:spacing w:before="120" w:after="120" w:line="360" w:lineRule="auto"/>
      <w:jc w:val="center"/>
    </w:pPr>
    <w:rPr>
      <w:rFonts w:ascii="宋体" w:hAnsi="宋体"/>
      <w:sz w:val="36"/>
      <w:szCs w:val="20"/>
    </w:rPr>
  </w:style>
  <w:style w:type="paragraph" w:customStyle="1" w:styleId="135">
    <w:name w:val="样式 样式 首行缩进:  2 字符1 + 首行缩进:  2 字符"/>
    <w:basedOn w:val="136"/>
    <w:qFormat/>
    <w:uiPriority w:val="0"/>
    <w:pPr>
      <w:ind w:firstLine="480"/>
    </w:pPr>
  </w:style>
  <w:style w:type="paragraph" w:customStyle="1" w:styleId="136">
    <w:name w:val="样式 首行缩进:  2 字符1"/>
    <w:basedOn w:val="1"/>
    <w:qFormat/>
    <w:uiPriority w:val="0"/>
    <w:pPr>
      <w:spacing w:after="0" w:line="360" w:lineRule="auto"/>
      <w:ind w:firstLine="200" w:firstLineChars="200"/>
      <w:jc w:val="both"/>
    </w:pPr>
    <w:rPr>
      <w:rFonts w:eastAsia="宋体" w:cs="Times New Roman"/>
      <w:color w:val="auto"/>
      <w:kern w:val="0"/>
      <w:sz w:val="24"/>
      <w:szCs w:val="20"/>
    </w:rPr>
  </w:style>
  <w:style w:type="paragraph" w:customStyle="1" w:styleId="137">
    <w:name w:val="正文文本 32"/>
    <w:basedOn w:val="1"/>
    <w:qFormat/>
    <w:uiPriority w:val="0"/>
    <w:pPr>
      <w:spacing w:line="312" w:lineRule="auto"/>
    </w:pPr>
    <w:rPr>
      <w:rFonts w:ascii="宋体" w:hAnsi="Times New Roman"/>
      <w:sz w:val="24"/>
      <w:szCs w:val="20"/>
    </w:rPr>
  </w:style>
  <w:style w:type="paragraph" w:customStyle="1" w:styleId="138">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39">
    <w:name w:val="Body Text 3"/>
    <w:basedOn w:val="1"/>
    <w:qFormat/>
    <w:uiPriority w:val="0"/>
    <w:rPr>
      <w:rFonts w:ascii="宋体"/>
      <w:sz w:val="24"/>
    </w:rPr>
  </w:style>
  <w:style w:type="paragraph" w:customStyle="1" w:styleId="140">
    <w:name w:val="Level 4"/>
    <w:basedOn w:val="1"/>
    <w:qFormat/>
    <w:uiPriority w:val="0"/>
    <w:pPr>
      <w:tabs>
        <w:tab w:val="left" w:pos="2440"/>
      </w:tabs>
      <w:ind w:left="2041" w:hanging="765"/>
    </w:pPr>
    <w:rPr>
      <w:rFonts w:ascii="Calibri" w:hAnsi="Calibri"/>
      <w:szCs w:val="22"/>
    </w:rPr>
  </w:style>
  <w:style w:type="paragraph" w:customStyle="1" w:styleId="141">
    <w:name w:val="1"/>
    <w:basedOn w:val="1"/>
    <w:next w:val="24"/>
    <w:qFormat/>
    <w:uiPriority w:val="0"/>
    <w:pPr>
      <w:tabs>
        <w:tab w:val="left" w:pos="3060"/>
      </w:tabs>
      <w:spacing w:line="140" w:lineRule="atLeast"/>
      <w:ind w:firstLine="560" w:firstLineChars="200"/>
    </w:pPr>
    <w:rPr>
      <w:sz w:val="28"/>
    </w:rPr>
  </w:style>
  <w:style w:type="paragraph" w:customStyle="1" w:styleId="142">
    <w:name w:val="样式 左侧:  0.74 厘米1"/>
    <w:basedOn w:val="1"/>
    <w:qFormat/>
    <w:uiPriority w:val="0"/>
    <w:pPr>
      <w:widowControl w:val="0"/>
      <w:spacing w:after="0" w:afterLines="0" w:line="240" w:lineRule="auto"/>
      <w:ind w:left="620" w:hanging="200" w:hangingChars="200"/>
      <w:jc w:val="both"/>
    </w:pPr>
    <w:rPr>
      <w:rFonts w:ascii="Times New Roman" w:hAnsi="Times New Roman" w:eastAsia="宋体" w:cs="Times New Roman"/>
      <w:color w:val="auto"/>
      <w:sz w:val="21"/>
      <w:szCs w:val="20"/>
    </w:rPr>
  </w:style>
  <w:style w:type="paragraph" w:customStyle="1" w:styleId="143">
    <w:name w:val="Char1"/>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144">
    <w:name w:val="样式 四号 首行缩进:  1厘米 行距: 1.5 倍行距"/>
    <w:basedOn w:val="1"/>
    <w:qFormat/>
    <w:uiPriority w:val="0"/>
    <w:pPr>
      <w:spacing w:line="360" w:lineRule="auto"/>
      <w:ind w:firstLine="570"/>
    </w:pPr>
    <w:rPr>
      <w:sz w:val="28"/>
      <w:szCs w:val="20"/>
    </w:rPr>
  </w:style>
  <w:style w:type="paragraph" w:customStyle="1" w:styleId="145">
    <w:name w:val="样式 标题 1 + (西文) Times New Roman (中文) 仿宋 小四 黑色 居中 左侧:  0 厘米 ..."/>
    <w:basedOn w:val="3"/>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6">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7">
    <w:name w:val="样式1"/>
    <w:basedOn w:val="1"/>
    <w:qFormat/>
    <w:uiPriority w:val="0"/>
    <w:pPr>
      <w:numPr>
        <w:ilvl w:val="0"/>
        <w:numId w:val="3"/>
      </w:numPr>
      <w:spacing w:line="360" w:lineRule="auto"/>
      <w:ind w:left="1253" w:hanging="680"/>
    </w:pPr>
    <w:rPr>
      <w:sz w:val="28"/>
      <w:szCs w:val="28"/>
    </w:rPr>
  </w:style>
  <w:style w:type="paragraph" w:customStyle="1" w:styleId="148">
    <w:name w:val="Level 1"/>
    <w:basedOn w:val="1"/>
    <w:qFormat/>
    <w:uiPriority w:val="0"/>
    <w:rPr>
      <w:rFonts w:ascii="Calibri" w:hAnsi="Calibri"/>
      <w:szCs w:val="22"/>
    </w:rPr>
  </w:style>
  <w:style w:type="paragraph" w:customStyle="1" w:styleId="149">
    <w:name w:val="p16"/>
    <w:basedOn w:val="1"/>
    <w:qFormat/>
    <w:uiPriority w:val="0"/>
    <w:pPr>
      <w:widowControl/>
    </w:pPr>
    <w:rPr>
      <w:rFonts w:ascii="宋体" w:hAnsi="宋体"/>
      <w:kern w:val="0"/>
      <w:sz w:val="24"/>
      <w:szCs w:val="20"/>
    </w:rPr>
  </w:style>
  <w:style w:type="paragraph" w:customStyle="1" w:styleId="150">
    <w:name w:val="List Paragraph1"/>
    <w:basedOn w:val="1"/>
    <w:qFormat/>
    <w:uiPriority w:val="34"/>
    <w:pPr>
      <w:ind w:firstLine="420" w:firstLineChars="200"/>
    </w:pPr>
  </w:style>
  <w:style w:type="paragraph" w:customStyle="1" w:styleId="151">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152">
    <w:name w:val="_Style 1"/>
    <w:basedOn w:val="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53">
    <w:name w:val="标题4"/>
    <w:basedOn w:val="1"/>
    <w:qFormat/>
    <w:uiPriority w:val="0"/>
    <w:pPr>
      <w:spacing w:before="156" w:beforeLines="50" w:after="156" w:afterLines="50"/>
      <w:jc w:val="left"/>
    </w:pPr>
    <w:rPr>
      <w:rFonts w:eastAsia="黑体"/>
      <w:b/>
      <w:kern w:val="0"/>
      <w:sz w:val="30"/>
    </w:rPr>
  </w:style>
  <w:style w:type="paragraph" w:customStyle="1" w:styleId="154">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5">
    <w:name w:val="列出段落1"/>
    <w:basedOn w:val="1"/>
    <w:qFormat/>
    <w:uiPriority w:val="34"/>
    <w:pPr>
      <w:ind w:firstLine="420" w:firstLineChars="200"/>
    </w:pPr>
    <w:rPr>
      <w:rFonts w:ascii="Calibri" w:hAnsi="Calibri" w:cs="Calibri"/>
      <w:szCs w:val="21"/>
    </w:rPr>
  </w:style>
  <w:style w:type="paragraph" w:customStyle="1" w:styleId="156">
    <w:name w:val="p0"/>
    <w:basedOn w:val="1"/>
    <w:qFormat/>
    <w:uiPriority w:val="0"/>
    <w:pPr>
      <w:widowControl/>
    </w:pPr>
    <w:rPr>
      <w:kern w:val="0"/>
      <w:szCs w:val="21"/>
    </w:rPr>
  </w:style>
  <w:style w:type="paragraph" w:customStyle="1" w:styleId="157">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8">
    <w:name w:val="Char Char Char Char Char Char Char Char Char Char Char Char Char Char Char"/>
    <w:basedOn w:val="1"/>
    <w:qFormat/>
    <w:uiPriority w:val="0"/>
    <w:pPr>
      <w:widowControl/>
      <w:spacing w:after="160" w:afterLines="0" w:line="240" w:lineRule="exact"/>
      <w:jc w:val="left"/>
    </w:pPr>
    <w:rPr>
      <w:szCs w:val="20"/>
    </w:rPr>
  </w:style>
  <w:style w:type="paragraph" w:customStyle="1" w:styleId="159">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0">
    <w:name w:val="_Style 12"/>
    <w:basedOn w:val="1"/>
    <w:next w:val="18"/>
    <w:qFormat/>
    <w:uiPriority w:val="0"/>
    <w:pPr>
      <w:spacing w:line="360" w:lineRule="auto"/>
      <w:ind w:firstLine="540"/>
    </w:pPr>
    <w:rPr>
      <w:sz w:val="28"/>
      <w:szCs w:val="20"/>
    </w:rPr>
  </w:style>
  <w:style w:type="paragraph" w:customStyle="1" w:styleId="161">
    <w:name w:val="_Style 160"/>
    <w:basedOn w:val="1"/>
    <w:next w:val="107"/>
    <w:qFormat/>
    <w:uiPriority w:val="0"/>
    <w:pPr>
      <w:pBdr>
        <w:bottom w:val="single" w:color="auto" w:sz="6" w:space="1"/>
      </w:pBdr>
      <w:jc w:val="center"/>
    </w:pPr>
    <w:rPr>
      <w:rFonts w:ascii="Arial" w:eastAsia="宋体"/>
      <w:vanish/>
      <w:sz w:val="16"/>
    </w:rPr>
  </w:style>
  <w:style w:type="paragraph" w:customStyle="1" w:styleId="162">
    <w:name w:val="Level 5"/>
    <w:basedOn w:val="1"/>
    <w:qFormat/>
    <w:uiPriority w:val="0"/>
    <w:pPr>
      <w:tabs>
        <w:tab w:val="left" w:pos="2552"/>
      </w:tabs>
      <w:ind w:left="2552" w:hanging="567"/>
    </w:pPr>
    <w:rPr>
      <w:rFonts w:ascii="Calibri" w:hAnsi="Calibri"/>
      <w:szCs w:val="22"/>
    </w:rPr>
  </w:style>
  <w:style w:type="paragraph" w:customStyle="1" w:styleId="163">
    <w:name w:val="样式 标题 2 +"/>
    <w:basedOn w:val="4"/>
    <w:qFormat/>
    <w:uiPriority w:val="0"/>
    <w:pPr>
      <w:numPr>
        <w:ilvl w:val="1"/>
        <w:numId w:val="0"/>
      </w:numPr>
      <w:tabs>
        <w:tab w:val="left" w:pos="652"/>
      </w:tabs>
      <w:spacing w:before="260" w:after="260" w:line="416" w:lineRule="auto"/>
      <w:ind w:left="567" w:hanging="567"/>
      <w:jc w:val="both"/>
    </w:pPr>
    <w:rPr>
      <w:rFonts w:eastAsia="黑体"/>
      <w:color w:val="auto"/>
      <w:kern w:val="0"/>
      <w:sz w:val="24"/>
    </w:rPr>
  </w:style>
  <w:style w:type="paragraph" w:customStyle="1" w:styleId="164">
    <w:name w:val="_Style 246"/>
    <w:basedOn w:val="1"/>
    <w:next w:val="150"/>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65">
    <w:name w:val="列出段落11"/>
    <w:basedOn w:val="1"/>
    <w:qFormat/>
    <w:uiPriority w:val="0"/>
    <w:pPr>
      <w:ind w:firstLine="420" w:firstLineChars="200"/>
    </w:pPr>
    <w:rPr>
      <w:rFonts w:ascii="Calibri" w:hAnsi="Calibri"/>
      <w:szCs w:val="22"/>
    </w:rPr>
  </w:style>
  <w:style w:type="paragraph" w:customStyle="1" w:styleId="166">
    <w:name w:val="Char Char Char"/>
    <w:basedOn w:val="1"/>
    <w:qFormat/>
    <w:uiPriority w:val="0"/>
  </w:style>
  <w:style w:type="paragraph" w:customStyle="1" w:styleId="167">
    <w:name w:val="表格首行"/>
    <w:basedOn w:val="1"/>
    <w:qFormat/>
    <w:uiPriority w:val="0"/>
    <w:pPr>
      <w:widowControl/>
      <w:jc w:val="center"/>
    </w:pPr>
    <w:rPr>
      <w:rFonts w:hint="eastAsia" w:ascii="宋体" w:hAnsi="宋体"/>
      <w:sz w:val="24"/>
    </w:rPr>
  </w:style>
  <w:style w:type="paragraph" w:customStyle="1" w:styleId="168">
    <w:name w:val="Level 3"/>
    <w:basedOn w:val="1"/>
    <w:qFormat/>
    <w:uiPriority w:val="0"/>
    <w:pPr>
      <w:tabs>
        <w:tab w:val="left" w:pos="2808"/>
      </w:tabs>
      <w:ind w:left="2808" w:hanging="681"/>
    </w:pPr>
    <w:rPr>
      <w:rFonts w:ascii="Calibri" w:hAnsi="Calibri"/>
      <w:szCs w:val="22"/>
    </w:rPr>
  </w:style>
  <w:style w:type="paragraph" w:customStyle="1" w:styleId="169">
    <w:name w:val="_Style 168"/>
    <w:basedOn w:val="3"/>
    <w:next w:val="1"/>
    <w:qFormat/>
    <w:uiPriority w:val="39"/>
    <w:pPr>
      <w:widowControl/>
      <w:spacing w:before="480" w:after="0" w:line="276" w:lineRule="auto"/>
      <w:jc w:val="left"/>
      <w:outlineLvl w:val="9"/>
    </w:pPr>
    <w:rPr>
      <w:rFonts w:ascii="Cambria" w:hAnsi="Cambria" w:eastAsia="宋体" w:cs="Times New Roman"/>
      <w:color w:val="365F91"/>
      <w:kern w:val="0"/>
      <w:sz w:val="28"/>
      <w:szCs w:val="28"/>
      <w:lang w:val="en-US" w:eastAsia="zh-CN"/>
    </w:rPr>
  </w:style>
  <w:style w:type="paragraph" w:customStyle="1" w:styleId="170">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1">
    <w:name w:val="Char Char Char Char"/>
    <w:basedOn w:val="1"/>
    <w:qFormat/>
    <w:uiPriority w:val="0"/>
    <w:pPr>
      <w:tabs>
        <w:tab w:val="left" w:pos="360"/>
      </w:tabs>
    </w:pPr>
    <w:rPr>
      <w:szCs w:val="20"/>
    </w:rPr>
  </w:style>
  <w:style w:type="paragraph" w:customStyle="1" w:styleId="172">
    <w:name w:val="Heading 2 + 宋体"/>
    <w:basedOn w:val="3"/>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73">
    <w:name w:val="Level 6"/>
    <w:basedOn w:val="1"/>
    <w:qFormat/>
    <w:uiPriority w:val="0"/>
    <w:pPr>
      <w:tabs>
        <w:tab w:val="left" w:pos="3289"/>
      </w:tabs>
      <w:ind w:left="3289" w:hanging="681"/>
    </w:pPr>
    <w:rPr>
      <w:rFonts w:ascii="Calibri" w:hAnsi="Calibri"/>
      <w:szCs w:val="22"/>
    </w:rPr>
  </w:style>
  <w:style w:type="paragraph" w:customStyle="1" w:styleId="174">
    <w:name w:val="正文文本 33"/>
    <w:basedOn w:val="1"/>
    <w:qFormat/>
    <w:uiPriority w:val="0"/>
    <w:rPr>
      <w:rFonts w:ascii="宋体" w:hAnsi="Times New Roman" w:cs="Times New Roman"/>
      <w:sz w:val="24"/>
    </w:rPr>
  </w:style>
  <w:style w:type="character" w:customStyle="1" w:styleId="175">
    <w:name w:val="正文缩进 字符1"/>
    <w:qFormat/>
    <w:uiPriority w:val="0"/>
  </w:style>
  <w:style w:type="character" w:customStyle="1" w:styleId="176">
    <w:name w:val="页脚 Char"/>
    <w:link w:val="26"/>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4172</Words>
  <Characters>23781</Characters>
  <Lines>198</Lines>
  <Paragraphs>55</Paragraphs>
  <TotalTime>20</TotalTime>
  <ScaleCrop>false</ScaleCrop>
  <LinksUpToDate>false</LinksUpToDate>
  <CharactersWithSpaces>27898</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2024-08-22T08:50:00Z</dcterms:created>
  <dc:creator>ssz</dc:creator>
  <cp:lastModifiedBy>王霜</cp:lastModifiedBy>
  <cp:lastPrinted>2018-07-16T11:27:00Z</cp:lastPrinted>
  <dcterms:modified xsi:type="dcterms:W3CDTF">2026-06-30T08:31:30Z</dcterms:modified>
  <dc:title>山西医科大学第一医院住院楼土建施工及安装工程招标文件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D3ACF701D4C8446B82E4D31B6787B113</vt:lpwstr>
  </property>
</Properties>
</file>