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auto"/>
          <w:sz w:val="28"/>
          <w:szCs w:val="28"/>
          <w:highlight w:val="none"/>
        </w:rPr>
      </w:pPr>
    </w:p>
    <w:p>
      <w:pPr>
        <w:adjustRightInd w:val="0"/>
        <w:snapToGrid w:val="0"/>
        <w:spacing w:line="360" w:lineRule="auto"/>
        <w:jc w:val="center"/>
        <w:rPr>
          <w:rFonts w:hint="eastAsia" w:ascii="仿宋" w:hAnsi="仿宋" w:eastAsia="仿宋" w:cs="仿宋"/>
          <w:bCs/>
          <w:color w:val="auto"/>
          <w:sz w:val="28"/>
          <w:szCs w:val="28"/>
          <w:highlight w:val="none"/>
        </w:rPr>
      </w:pPr>
    </w:p>
    <w:p>
      <w:pPr>
        <w:adjustRightInd w:val="0"/>
        <w:snapToGrid w:val="0"/>
        <w:spacing w:line="360" w:lineRule="auto"/>
        <w:rPr>
          <w:rFonts w:hint="eastAsia" w:ascii="仿宋" w:hAnsi="仿宋" w:eastAsia="仿宋" w:cs="仿宋"/>
          <w:b/>
          <w:color w:val="auto"/>
          <w:sz w:val="44"/>
          <w:szCs w:val="44"/>
          <w:highlight w:val="none"/>
        </w:rPr>
      </w:pPr>
    </w:p>
    <w:p>
      <w:pPr>
        <w:spacing w:before="240"/>
        <w:jc w:val="center"/>
        <w:rPr>
          <w:rStyle w:val="51"/>
          <w:color w:val="auto"/>
          <w:highlight w:val="none"/>
        </w:rPr>
      </w:pP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w:t>
      </w:r>
      <w:r>
        <w:rPr>
          <w:rFonts w:hint="eastAsia" w:ascii="仿宋" w:hAnsi="仿宋" w:eastAsia="仿宋" w:cs="宋体"/>
          <w:b/>
          <w:color w:val="auto"/>
          <w:spacing w:val="40"/>
          <w:sz w:val="36"/>
          <w:szCs w:val="36"/>
          <w:highlight w:val="none"/>
        </w:rPr>
        <w:t>新疆</w:t>
      </w:r>
      <w:r>
        <w:rPr>
          <w:rFonts w:hint="eastAsia" w:ascii="仿宋" w:hAnsi="仿宋" w:eastAsia="仿宋" w:cs="宋体"/>
          <w:b/>
          <w:color w:val="auto"/>
          <w:spacing w:val="40"/>
          <w:sz w:val="36"/>
          <w:szCs w:val="36"/>
          <w:highlight w:val="none"/>
          <w:lang w:val="en-US" w:eastAsia="zh-CN"/>
        </w:rPr>
        <w:t>特克斯</w:t>
      </w:r>
      <w:r>
        <w:rPr>
          <w:rFonts w:hint="eastAsia" w:ascii="仿宋" w:hAnsi="仿宋" w:eastAsia="仿宋" w:cs="宋体"/>
          <w:b/>
          <w:color w:val="auto"/>
          <w:spacing w:val="40"/>
          <w:sz w:val="36"/>
          <w:szCs w:val="36"/>
          <w:highlight w:val="none"/>
        </w:rPr>
        <w:t>支公司职工食堂食材供应商采购项目</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rPr>
          <w:rFonts w:hint="eastAsia" w:ascii="仿宋" w:hAnsi="仿宋" w:eastAsia="仿宋" w:cs="仿宋"/>
          <w:color w:val="auto"/>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tabs>
          <w:tab w:val="left" w:pos="720"/>
          <w:tab w:val="left" w:pos="8295"/>
        </w:tabs>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lang w:eastAsia="zh-CN"/>
        </w:rPr>
        <w:t>比选磋商</w:t>
      </w:r>
      <w:r>
        <w:rPr>
          <w:rFonts w:hint="eastAsia" w:ascii="仿宋" w:hAnsi="仿宋" w:eastAsia="仿宋" w:cs="仿宋"/>
          <w:b/>
          <w:bCs/>
          <w:color w:val="auto"/>
          <w:sz w:val="84"/>
          <w:szCs w:val="84"/>
          <w:highlight w:val="none"/>
        </w:rPr>
        <w:t>文件</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ascii="仿宋" w:hAnsi="仿宋" w:eastAsia="仿宋" w:cs="仿宋"/>
          <w:b/>
          <w:color w:val="auto"/>
          <w:sz w:val="36"/>
          <w:szCs w:val="36"/>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采购人：中国人民财产保险股份有限公司</w:t>
      </w:r>
      <w:r>
        <w:rPr>
          <w:rFonts w:hint="eastAsia" w:ascii="仿宋" w:hAnsi="仿宋" w:eastAsia="仿宋" w:cs="仿宋"/>
          <w:b/>
          <w:color w:val="auto"/>
          <w:kern w:val="0"/>
          <w:sz w:val="28"/>
          <w:szCs w:val="28"/>
          <w:highlight w:val="none"/>
          <w:lang w:val="en-US" w:eastAsia="zh-CN"/>
        </w:rPr>
        <w:t>特克斯</w:t>
      </w:r>
      <w:r>
        <w:rPr>
          <w:rFonts w:hint="eastAsia" w:ascii="仿宋" w:hAnsi="仿宋" w:eastAsia="仿宋" w:cs="仿宋"/>
          <w:b/>
          <w:color w:val="auto"/>
          <w:kern w:val="0"/>
          <w:sz w:val="28"/>
          <w:szCs w:val="28"/>
          <w:highlight w:val="none"/>
        </w:rPr>
        <w:t>支公司</w:t>
      </w: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auto"/>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auto"/>
          <w:sz w:val="28"/>
          <w:szCs w:val="28"/>
          <w:highlight w:val="none"/>
        </w:rPr>
      </w:pPr>
      <w:bookmarkStart w:id="0" w:name="_Toc23584"/>
      <w:r>
        <w:rPr>
          <w:rFonts w:hint="eastAsia" w:ascii="仿宋" w:hAnsi="仿宋" w:eastAsia="仿宋" w:cs="仿宋"/>
          <w:b/>
          <w:bCs/>
          <w:color w:val="auto"/>
          <w:sz w:val="28"/>
          <w:szCs w:val="28"/>
          <w:highlight w:val="none"/>
          <w:lang w:val="zh-CN"/>
        </w:rPr>
        <w:t>目  录</w:t>
      </w:r>
      <w:bookmarkEnd w:id="0"/>
    </w:p>
    <w:p>
      <w:pPr>
        <w:pStyle w:val="28"/>
        <w:tabs>
          <w:tab w:val="right" w:leader="dot" w:pos="9638"/>
        </w:tabs>
        <w:rPr>
          <w:i w:val="0"/>
          <w:iCs w:val="0"/>
          <w:color w:val="auto"/>
          <w:sz w:val="21"/>
          <w:szCs w:val="21"/>
        </w:rPr>
      </w:pPr>
      <w:r>
        <w:rPr>
          <w:rFonts w:hint="eastAsia" w:ascii="仿宋" w:hAnsi="仿宋" w:eastAsia="仿宋" w:cs="仿宋"/>
          <w:b w:val="0"/>
          <w:bCs w:val="0"/>
          <w:i w:val="0"/>
          <w:iCs w:val="0"/>
          <w:caps w:val="0"/>
          <w:color w:val="auto"/>
          <w:sz w:val="21"/>
          <w:szCs w:val="21"/>
          <w:highlight w:val="none"/>
        </w:rPr>
        <w:fldChar w:fldCharType="begin"/>
      </w:r>
      <w:r>
        <w:rPr>
          <w:rFonts w:hint="eastAsia" w:ascii="仿宋" w:hAnsi="仿宋" w:eastAsia="仿宋" w:cs="仿宋"/>
          <w:b w:val="0"/>
          <w:bCs w:val="0"/>
          <w:i w:val="0"/>
          <w:iCs w:val="0"/>
          <w:caps w:val="0"/>
          <w:color w:val="auto"/>
          <w:sz w:val="21"/>
          <w:szCs w:val="21"/>
          <w:highlight w:val="none"/>
        </w:rPr>
        <w:instrText xml:space="preserve"> TOC \o "1-3" \h \z \u </w:instrText>
      </w:r>
      <w:r>
        <w:rPr>
          <w:rFonts w:hint="eastAsia" w:ascii="仿宋" w:hAnsi="仿宋" w:eastAsia="仿宋" w:cs="仿宋"/>
          <w:b w:val="0"/>
          <w:bCs w:val="0"/>
          <w:i w:val="0"/>
          <w:iCs w:val="0"/>
          <w:caps w:val="0"/>
          <w:color w:val="auto"/>
          <w:sz w:val="21"/>
          <w:szCs w:val="21"/>
          <w:highlight w:val="none"/>
        </w:rPr>
        <w:fldChar w:fldCharType="separate"/>
      </w:r>
      <w:r>
        <w:rPr>
          <w:rFonts w:hint="eastAsia" w:ascii="仿宋" w:hAnsi="仿宋" w:eastAsia="仿宋" w:cs="仿宋"/>
          <w:bCs w:val="0"/>
          <w:i w:val="0"/>
          <w:iCs w:val="0"/>
          <w:caps w:val="0"/>
          <w:color w:val="auto"/>
          <w:sz w:val="21"/>
          <w:szCs w:val="21"/>
          <w:highlight w:val="none"/>
        </w:rPr>
        <w:fldChar w:fldCharType="begin"/>
      </w:r>
      <w:r>
        <w:rPr>
          <w:rFonts w:hint="eastAsia" w:ascii="仿宋" w:hAnsi="仿宋" w:eastAsia="仿宋" w:cs="仿宋"/>
          <w:bCs w:val="0"/>
          <w:i w:val="0"/>
          <w:iCs w:val="0"/>
          <w:caps w:val="0"/>
          <w:color w:val="auto"/>
          <w:sz w:val="21"/>
          <w:szCs w:val="21"/>
          <w:highlight w:val="none"/>
        </w:rPr>
        <w:instrText xml:space="preserve"> HYPERLINK \l _Toc23196 </w:instrText>
      </w:r>
      <w:r>
        <w:rPr>
          <w:rFonts w:hint="eastAsia" w:ascii="仿宋" w:hAnsi="仿宋" w:eastAsia="仿宋" w:cs="仿宋"/>
          <w:bCs w:val="0"/>
          <w:i w:val="0"/>
          <w:iCs w:val="0"/>
          <w:caps w:val="0"/>
          <w:color w:val="auto"/>
          <w:sz w:val="21"/>
          <w:szCs w:val="21"/>
          <w:highlight w:val="none"/>
        </w:rPr>
        <w:fldChar w:fldCharType="separate"/>
      </w:r>
      <w:r>
        <w:rPr>
          <w:rFonts w:hint="eastAsia" w:ascii="仿宋" w:hAnsi="仿宋" w:eastAsia="仿宋" w:cs="仿宋"/>
          <w:bCs w:val="0"/>
          <w:i w:val="0"/>
          <w:iCs w:val="0"/>
          <w:color w:val="auto"/>
          <w:sz w:val="21"/>
          <w:szCs w:val="21"/>
          <w:highlight w:val="none"/>
        </w:rPr>
        <w:t xml:space="preserve">第一章 </w:t>
      </w:r>
      <w:r>
        <w:rPr>
          <w:rFonts w:hint="eastAsia" w:ascii="仿宋" w:hAnsi="仿宋" w:eastAsia="仿宋" w:cs="仿宋"/>
          <w:bCs w:val="0"/>
          <w:i w:val="0"/>
          <w:iCs w:val="0"/>
          <w:color w:val="auto"/>
          <w:sz w:val="21"/>
          <w:szCs w:val="21"/>
          <w:highlight w:val="none"/>
          <w:lang w:eastAsia="zh-CN"/>
        </w:rPr>
        <w:t>比选</w:t>
      </w:r>
      <w:r>
        <w:rPr>
          <w:rFonts w:hint="eastAsia" w:ascii="仿宋" w:hAnsi="仿宋" w:eastAsia="仿宋" w:cs="仿宋"/>
          <w:bCs w:val="0"/>
          <w:i w:val="0"/>
          <w:iCs w:val="0"/>
          <w:color w:val="auto"/>
          <w:sz w:val="21"/>
          <w:szCs w:val="21"/>
          <w:highlight w:val="none"/>
        </w:rPr>
        <w:t>公告</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_Toc23196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3</w:t>
      </w:r>
      <w:r>
        <w:rPr>
          <w:rFonts w:hint="eastAsia" w:ascii="仿宋" w:hAnsi="仿宋" w:eastAsia="仿宋" w:cs="仿宋"/>
          <w:i w:val="0"/>
          <w:iCs w:val="0"/>
          <w:color w:val="auto"/>
          <w:sz w:val="21"/>
          <w:szCs w:val="21"/>
        </w:rPr>
        <w:fldChar w:fldCharType="end"/>
      </w:r>
      <w:r>
        <w:rPr>
          <w:rFonts w:hint="eastAsia" w:ascii="仿宋" w:hAnsi="仿宋" w:eastAsia="仿宋" w:cs="仿宋"/>
          <w:bCs w:val="0"/>
          <w:i w:val="0"/>
          <w:iCs w:val="0"/>
          <w:caps w:val="0"/>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_Toc21237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一、项目概况与采购范围</w:t>
      </w:r>
      <w:r>
        <w:rPr>
          <w:i w:val="0"/>
          <w:iCs w:val="0"/>
          <w:color w:val="auto"/>
          <w:sz w:val="21"/>
          <w:szCs w:val="21"/>
        </w:rPr>
        <w:tab/>
      </w:r>
      <w:r>
        <w:rPr>
          <w:rFonts w:hint="eastAsia"/>
          <w:i w:val="0"/>
          <w:iCs w:val="0"/>
          <w:color w:val="auto"/>
          <w:sz w:val="21"/>
          <w:szCs w:val="21"/>
          <w:lang w:val="en-US" w:eastAsia="zh-CN"/>
        </w:rPr>
        <w:t>.</w:t>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_Toc21237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_Toc17569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二、供应商资格要求</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_Toc17569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_Toc28263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三、资格审查方法</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_Toc2019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四、磋商文件的获取</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_Toc2019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4</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_Toc32115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五、响应文件的递交</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_Toc32115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4</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_Toc874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lang w:val="en-US" w:eastAsia="zh-CN"/>
        </w:rPr>
        <w:t>六</w:t>
      </w:r>
      <w:r>
        <w:rPr>
          <w:rFonts w:hint="eastAsia" w:ascii="仿宋" w:hAnsi="仿宋" w:eastAsia="仿宋" w:cs="仿宋"/>
          <w:i w:val="0"/>
          <w:iCs w:val="0"/>
          <w:color w:val="auto"/>
          <w:sz w:val="21"/>
          <w:szCs w:val="21"/>
          <w:highlight w:val="none"/>
        </w:rPr>
        <w:t>、发布公告的媒介</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_Toc30596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lang w:val="en-US" w:eastAsia="zh-CN"/>
        </w:rPr>
        <w:t>七</w:t>
      </w:r>
      <w:r>
        <w:rPr>
          <w:rFonts w:hint="eastAsia" w:ascii="仿宋" w:hAnsi="仿宋" w:eastAsia="仿宋" w:cs="仿宋"/>
          <w:i w:val="0"/>
          <w:iCs w:val="0"/>
          <w:color w:val="auto"/>
          <w:sz w:val="21"/>
          <w:szCs w:val="21"/>
          <w:highlight w:val="none"/>
        </w:rPr>
        <w:t>、联系方式</w:t>
      </w:r>
      <w:r>
        <w:rPr>
          <w:i w:val="0"/>
          <w:iCs w:val="0"/>
          <w:color w:val="auto"/>
          <w:sz w:val="21"/>
          <w:szCs w:val="21"/>
        </w:rPr>
        <w:tab/>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aps/>
          <w:color w:val="auto"/>
          <w:sz w:val="21"/>
          <w:szCs w:val="21"/>
          <w:highlight w:val="none"/>
        </w:rPr>
        <w:fldChar w:fldCharType="end"/>
      </w:r>
    </w:p>
    <w:p>
      <w:pPr>
        <w:pStyle w:val="28"/>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_Toc7018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第二章 供应商须知</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_Toc7018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_Toc14477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一、供应商须知前附表</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_Toc14477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_Toc27220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二、供应商须知正文</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_Toc27220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10</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_Toc3678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（一）总 则</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_Toc27220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10</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_Toc14164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（二）磋商文件</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_Toc14164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10</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_Toc31141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（三）响应文件</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_Toc31141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11</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_Toc17865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（四）响应文件的递交</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_Toc17865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_Toc2055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（五）</w:t>
      </w:r>
      <w:r>
        <w:rPr>
          <w:rFonts w:hint="eastAsia" w:ascii="仿宋" w:hAnsi="仿宋" w:eastAsia="仿宋" w:cs="仿宋"/>
          <w:i w:val="0"/>
          <w:iCs w:val="0"/>
          <w:color w:val="auto"/>
          <w:sz w:val="21"/>
          <w:szCs w:val="21"/>
          <w:highlight w:val="none"/>
          <w:lang w:eastAsia="zh-CN"/>
        </w:rPr>
        <w:t>比选</w:t>
      </w:r>
      <w:r>
        <w:rPr>
          <w:rFonts w:hint="eastAsia" w:ascii="仿宋" w:hAnsi="仿宋" w:eastAsia="仿宋" w:cs="仿宋"/>
          <w:i w:val="0"/>
          <w:iCs w:val="0"/>
          <w:color w:val="auto"/>
          <w:sz w:val="21"/>
          <w:szCs w:val="21"/>
          <w:highlight w:val="none"/>
        </w:rPr>
        <w:t>和评审</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_Toc2055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_Toc28031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（六）授予合同</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_Toc28031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14</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_Toc6132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（七）其他</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_Toc6132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15</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8"/>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_Toc10670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第三章 评审办法</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_Toc10670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_Toc7201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一、评审程序</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_Toc7201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rFonts w:hint="eastAsia" w:ascii="仿宋" w:hAnsi="仿宋" w:eastAsia="仿宋" w:cs="仿宋"/>
          <w:i w:val="0"/>
          <w:iCs w:val="0"/>
          <w:caps/>
          <w:color w:val="auto"/>
          <w:sz w:val="21"/>
          <w:szCs w:val="21"/>
          <w:highlight w:val="none"/>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_Toc32019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二、初步评审</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_Toc32019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17</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_Toc32019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aps/>
          <w:color w:val="auto"/>
          <w:sz w:val="21"/>
          <w:szCs w:val="21"/>
          <w:highlight w:val="none"/>
          <w:lang w:val="en-US" w:eastAsia="zh-CN"/>
        </w:rPr>
        <w:t>三</w:t>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详细</w:t>
      </w:r>
      <w:r>
        <w:rPr>
          <w:rFonts w:hint="eastAsia" w:ascii="仿宋" w:hAnsi="仿宋" w:eastAsia="仿宋" w:cs="仿宋"/>
          <w:i w:val="0"/>
          <w:iCs w:val="0"/>
          <w:color w:val="auto"/>
          <w:sz w:val="21"/>
          <w:szCs w:val="21"/>
          <w:highlight w:val="none"/>
        </w:rPr>
        <w:t>评审</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_Toc32019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17</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8"/>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_Toc15254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第四章 合同条款</w:t>
      </w:r>
      <w:r>
        <w:rPr>
          <w:i w:val="0"/>
          <w:iCs w:val="0"/>
          <w:color w:val="auto"/>
          <w:sz w:val="21"/>
          <w:szCs w:val="21"/>
        </w:rPr>
        <w:tab/>
      </w:r>
      <w:r>
        <w:rPr>
          <w:rFonts w:hint="eastAsia" w:ascii="仿宋" w:hAnsi="仿宋" w:eastAsia="仿宋" w:cs="仿宋"/>
          <w:i w:val="0"/>
          <w:iCs w:val="0"/>
          <w:color w:val="auto"/>
          <w:sz w:val="21"/>
          <w:szCs w:val="21"/>
          <w:lang w:val="en-US" w:eastAsia="zh-CN"/>
        </w:rPr>
        <w:t>2</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0</w:t>
      </w:r>
    </w:p>
    <w:p>
      <w:pPr>
        <w:pStyle w:val="28"/>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_Toc22083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第五章 采购需求</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2</w:t>
      </w:r>
    </w:p>
    <w:p>
      <w:pPr>
        <w:pStyle w:val="28"/>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_Toc3675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第六章 响应文件格式</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5</w:t>
      </w: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_Toc17191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lang w:val="en-US" w:eastAsia="zh-CN"/>
        </w:rPr>
        <w:t>一、</w:t>
      </w:r>
      <w:r>
        <w:rPr>
          <w:rFonts w:hint="eastAsia" w:ascii="仿宋" w:hAnsi="仿宋" w:eastAsia="仿宋" w:cs="仿宋"/>
          <w:i w:val="0"/>
          <w:iCs w:val="0"/>
          <w:color w:val="auto"/>
          <w:sz w:val="21"/>
          <w:szCs w:val="21"/>
          <w:highlight w:val="none"/>
        </w:rPr>
        <w:t>商务文件</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6</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_Toc27958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（一）响应函</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8</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_Toc13983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（二）法定代表人（负责人）身份证明书</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9</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_Toc24788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（三）法定代表人（负责人）授权委托书</w:t>
      </w:r>
      <w:r>
        <w:rPr>
          <w:i w:val="0"/>
          <w:iCs w:val="0"/>
          <w:color w:val="auto"/>
          <w:sz w:val="21"/>
          <w:szCs w:val="21"/>
        </w:rPr>
        <w:tab/>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0</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_Toc30551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（四）资格证明文件</w:t>
      </w:r>
      <w:r>
        <w:rPr>
          <w:i w:val="0"/>
          <w:iCs w:val="0"/>
          <w:color w:val="auto"/>
          <w:sz w:val="21"/>
          <w:szCs w:val="21"/>
        </w:rPr>
        <w:tab/>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1</w:t>
      </w:r>
    </w:p>
    <w:p>
      <w:pPr>
        <w:pStyle w:val="20"/>
        <w:tabs>
          <w:tab w:val="right" w:leader="dot" w:pos="9638"/>
        </w:tabs>
        <w:rPr>
          <w:rFonts w:hint="default"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_Toc15130 </w:instrText>
      </w:r>
      <w:r>
        <w:rPr>
          <w:rFonts w:hint="eastAsia" w:ascii="仿宋" w:hAnsi="仿宋" w:eastAsia="仿宋" w:cs="仿宋"/>
          <w:i w:val="0"/>
          <w:iCs w:val="0"/>
          <w:caps/>
          <w:color w:val="auto"/>
          <w:sz w:val="21"/>
          <w:szCs w:val="21"/>
          <w:highlight w:val="none"/>
        </w:rPr>
        <w:fldChar w:fldCharType="separate"/>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五</w:t>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rPr>
        <w:t>供应商</w:t>
      </w:r>
      <w:r>
        <w:rPr>
          <w:rFonts w:ascii="仿宋" w:hAnsi="仿宋" w:eastAsia="仿宋" w:cs="仿宋"/>
          <w:i w:val="0"/>
          <w:iCs w:val="0"/>
          <w:color w:val="auto"/>
          <w:sz w:val="21"/>
          <w:szCs w:val="21"/>
          <w:highlight w:val="none"/>
        </w:rPr>
        <w:t>须知应答偏离表</w:t>
      </w:r>
      <w:r>
        <w:rPr>
          <w:i w:val="0"/>
          <w:iCs w:val="0"/>
          <w:color w:val="auto"/>
          <w:sz w:val="21"/>
          <w:szCs w:val="21"/>
        </w:rPr>
        <w:tab/>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60</w:t>
      </w:r>
    </w:p>
    <w:p>
      <w:pPr>
        <w:pStyle w:val="20"/>
        <w:tabs>
          <w:tab w:val="right" w:leader="dot" w:pos="9638"/>
        </w:tabs>
        <w:rPr>
          <w:rFonts w:hint="default" w:ascii="仿宋" w:hAnsi="仿宋" w:eastAsia="仿宋" w:cs="仿宋"/>
          <w:i w:val="0"/>
          <w:iCs w:val="0"/>
          <w:caps/>
          <w:color w:val="auto"/>
          <w:sz w:val="21"/>
          <w:szCs w:val="21"/>
          <w:highlight w:val="none"/>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_Toc15130 </w:instrText>
      </w:r>
      <w:r>
        <w:rPr>
          <w:rFonts w:hint="eastAsia" w:ascii="仿宋" w:hAnsi="仿宋" w:eastAsia="仿宋" w:cs="仿宋"/>
          <w:i w:val="0"/>
          <w:iCs w:val="0"/>
          <w:caps/>
          <w:color w:val="auto"/>
          <w:sz w:val="21"/>
          <w:szCs w:val="21"/>
          <w:highlight w:val="none"/>
        </w:rPr>
        <w:fldChar w:fldCharType="separate"/>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六</w:t>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合同条款</w:t>
      </w:r>
      <w:r>
        <w:rPr>
          <w:rFonts w:ascii="仿宋" w:hAnsi="仿宋" w:eastAsia="仿宋" w:cs="仿宋"/>
          <w:i w:val="0"/>
          <w:iCs w:val="0"/>
          <w:color w:val="auto"/>
          <w:sz w:val="21"/>
          <w:szCs w:val="21"/>
          <w:highlight w:val="none"/>
        </w:rPr>
        <w:t>应答偏离表</w:t>
      </w:r>
      <w:r>
        <w:rPr>
          <w:i w:val="0"/>
          <w:iCs w:val="0"/>
          <w:color w:val="auto"/>
          <w:sz w:val="21"/>
          <w:szCs w:val="21"/>
        </w:rPr>
        <w:tab/>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61</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_Toc17890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七</w:t>
      </w:r>
      <w:r>
        <w:rPr>
          <w:rFonts w:hint="eastAsia" w:ascii="仿宋" w:hAnsi="仿宋" w:eastAsia="仿宋" w:cs="仿宋"/>
          <w:i w:val="0"/>
          <w:iCs w:val="0"/>
          <w:color w:val="auto"/>
          <w:sz w:val="21"/>
          <w:szCs w:val="21"/>
          <w:highlight w:val="none"/>
        </w:rPr>
        <w:t>）供应商行为准则承诺书</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2</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_Toc8068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宋体"/>
          <w:bCs w:val="0"/>
          <w:i w:val="0"/>
          <w:iCs w:val="0"/>
          <w:color w:val="auto"/>
          <w:sz w:val="21"/>
          <w:szCs w:val="21"/>
          <w:highlight w:val="none"/>
        </w:rPr>
        <w:t>（</w:t>
      </w:r>
      <w:r>
        <w:rPr>
          <w:rFonts w:hint="eastAsia" w:ascii="仿宋" w:hAnsi="仿宋" w:eastAsia="仿宋" w:cs="宋体"/>
          <w:bCs w:val="0"/>
          <w:i w:val="0"/>
          <w:iCs w:val="0"/>
          <w:color w:val="auto"/>
          <w:sz w:val="21"/>
          <w:szCs w:val="21"/>
          <w:highlight w:val="none"/>
          <w:lang w:val="en-US" w:eastAsia="zh-CN"/>
        </w:rPr>
        <w:t>八</w:t>
      </w:r>
      <w:r>
        <w:rPr>
          <w:rFonts w:hint="eastAsia" w:ascii="仿宋" w:hAnsi="仿宋" w:eastAsia="仿宋" w:cs="宋体"/>
          <w:bCs w:val="0"/>
          <w:i w:val="0"/>
          <w:iCs w:val="0"/>
          <w:color w:val="auto"/>
          <w:sz w:val="21"/>
          <w:szCs w:val="21"/>
          <w:highlight w:val="none"/>
        </w:rPr>
        <w:t>）供应商廉洁诚信承诺书</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4</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_Toc8068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宋体"/>
          <w:bCs w:val="0"/>
          <w:i w:val="0"/>
          <w:iCs w:val="0"/>
          <w:color w:val="auto"/>
          <w:sz w:val="21"/>
          <w:szCs w:val="21"/>
          <w:highlight w:val="none"/>
        </w:rPr>
        <w:t>（</w:t>
      </w:r>
      <w:r>
        <w:rPr>
          <w:rFonts w:hint="eastAsia" w:ascii="仿宋" w:hAnsi="仿宋" w:eastAsia="仿宋" w:cs="宋体"/>
          <w:bCs w:val="0"/>
          <w:i w:val="0"/>
          <w:iCs w:val="0"/>
          <w:color w:val="auto"/>
          <w:sz w:val="21"/>
          <w:szCs w:val="21"/>
          <w:highlight w:val="none"/>
          <w:lang w:val="en-US" w:eastAsia="zh-CN"/>
        </w:rPr>
        <w:t>九</w:t>
      </w:r>
      <w:r>
        <w:rPr>
          <w:rFonts w:hint="eastAsia" w:ascii="仿宋" w:hAnsi="仿宋" w:eastAsia="仿宋" w:cs="宋体"/>
          <w:bCs w:val="0"/>
          <w:i w:val="0"/>
          <w:iCs w:val="0"/>
          <w:color w:val="auto"/>
          <w:sz w:val="21"/>
          <w:szCs w:val="21"/>
          <w:highlight w:val="none"/>
        </w:rPr>
        <w:t>）</w:t>
      </w:r>
      <w:r>
        <w:rPr>
          <w:rFonts w:hint="eastAsia" w:ascii="仿宋" w:hAnsi="仿宋" w:eastAsia="仿宋" w:cs="宋体"/>
          <w:bCs w:val="0"/>
          <w:i w:val="0"/>
          <w:iCs w:val="0"/>
          <w:color w:val="auto"/>
          <w:sz w:val="21"/>
          <w:szCs w:val="21"/>
          <w:highlight w:val="none"/>
          <w:lang w:val="en-US" w:eastAsia="zh-CN"/>
        </w:rPr>
        <w:t>其他材料</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7</w:t>
      </w: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_Toc28698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二、技术文件</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8</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_Toc17302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（一）采购需求应答偏离表</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9</w:t>
      </w:r>
    </w:p>
    <w:p>
      <w:pPr>
        <w:pStyle w:val="20"/>
        <w:tabs>
          <w:tab w:val="right" w:leader="dot" w:pos="9638"/>
        </w:tabs>
        <w:rPr>
          <w:rFonts w:hint="eastAsia" w:ascii="仿宋" w:hAnsi="仿宋" w:eastAsia="仿宋" w:cs="仿宋"/>
          <w:i w:val="0"/>
          <w:iCs w:val="0"/>
          <w:caps/>
          <w:color w:val="auto"/>
          <w:sz w:val="21"/>
          <w:szCs w:val="21"/>
          <w:highlight w:val="none"/>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_Toc8284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（二）技术方案</w:t>
      </w:r>
      <w:r>
        <w:rPr>
          <w:i w:val="0"/>
          <w:iCs w:val="0"/>
          <w:color w:val="auto"/>
          <w:sz w:val="21"/>
          <w:szCs w:val="21"/>
        </w:rPr>
        <w:tab/>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0</w:t>
      </w:r>
    </w:p>
    <w:p>
      <w:pPr>
        <w:pStyle w:val="20"/>
        <w:tabs>
          <w:tab w:val="right" w:leader="dot" w:pos="9638"/>
        </w:tabs>
        <w:rPr>
          <w:rFonts w:hint="eastAsia" w:eastAsia="仿宋"/>
          <w:i w:val="0"/>
          <w:iCs w:val="0"/>
          <w:sz w:val="21"/>
          <w:szCs w:val="21"/>
          <w:lang w:val="en-US" w:eastAsia="zh-CN"/>
        </w:rPr>
      </w:pPr>
      <w:r>
        <w:rPr>
          <w:rFonts w:hint="eastAsia" w:ascii="仿宋" w:hAnsi="仿宋" w:eastAsia="仿宋" w:cs="仿宋"/>
          <w:i w:val="0"/>
          <w:iCs w:val="0"/>
          <w:caps/>
          <w:color w:val="000000"/>
          <w:sz w:val="21"/>
          <w:szCs w:val="21"/>
          <w:highlight w:val="none"/>
        </w:rPr>
        <w:fldChar w:fldCharType="begin"/>
      </w:r>
      <w:r>
        <w:rPr>
          <w:rFonts w:hint="eastAsia" w:ascii="仿宋" w:hAnsi="仿宋" w:eastAsia="仿宋" w:cs="仿宋"/>
          <w:i w:val="0"/>
          <w:iCs w:val="0"/>
          <w:caps/>
          <w:sz w:val="21"/>
          <w:szCs w:val="21"/>
          <w:highlight w:val="none"/>
        </w:rPr>
        <w:instrText xml:space="preserve"> HYPERLINK \l _Toc20365 </w:instrText>
      </w:r>
      <w:r>
        <w:rPr>
          <w:rFonts w:hint="eastAsia" w:ascii="仿宋" w:hAnsi="仿宋" w:eastAsia="仿宋" w:cs="仿宋"/>
          <w:i w:val="0"/>
          <w:iCs w:val="0"/>
          <w:caps/>
          <w:sz w:val="21"/>
          <w:szCs w:val="21"/>
          <w:highlight w:val="none"/>
        </w:rPr>
        <w:fldChar w:fldCharType="separate"/>
      </w:r>
      <w:r>
        <w:rPr>
          <w:rFonts w:hint="eastAsia" w:ascii="仿宋" w:hAnsi="仿宋" w:eastAsia="仿宋" w:cs="仿宋"/>
          <w:i w:val="0"/>
          <w:iCs w:val="0"/>
          <w:sz w:val="21"/>
          <w:szCs w:val="21"/>
          <w:highlight w:val="none"/>
        </w:rPr>
        <w:t>（三）其他材料</w:t>
      </w:r>
      <w:r>
        <w:rPr>
          <w:i w:val="0"/>
          <w:iCs w:val="0"/>
          <w:sz w:val="21"/>
          <w:szCs w:val="21"/>
        </w:rPr>
        <w:tab/>
      </w:r>
      <w:r>
        <w:rPr>
          <w:rFonts w:hint="eastAsia"/>
          <w:i w:val="0"/>
          <w:iCs w:val="0"/>
          <w:sz w:val="21"/>
          <w:szCs w:val="21"/>
          <w:lang w:val="en-US" w:eastAsia="zh-CN"/>
        </w:rPr>
        <w:t>7</w:t>
      </w:r>
      <w:r>
        <w:rPr>
          <w:rFonts w:hint="eastAsia" w:ascii="仿宋" w:hAnsi="仿宋" w:eastAsia="仿宋" w:cs="仿宋"/>
          <w:i w:val="0"/>
          <w:iCs w:val="0"/>
          <w:caps/>
          <w:color w:val="000000"/>
          <w:sz w:val="21"/>
          <w:szCs w:val="21"/>
          <w:highlight w:val="none"/>
        </w:rPr>
        <w:fldChar w:fldCharType="end"/>
      </w:r>
      <w:r>
        <w:rPr>
          <w:rFonts w:hint="eastAsia" w:ascii="仿宋" w:hAnsi="仿宋" w:eastAsia="仿宋" w:cs="仿宋"/>
          <w:i w:val="0"/>
          <w:iCs w:val="0"/>
          <w:caps/>
          <w:color w:val="000000"/>
          <w:sz w:val="21"/>
          <w:szCs w:val="21"/>
          <w:highlight w:val="none"/>
          <w:lang w:val="en-US" w:eastAsia="zh-CN"/>
        </w:rPr>
        <w:t>3</w:t>
      </w:r>
    </w:p>
    <w:p>
      <w:pPr>
        <w:pStyle w:val="20"/>
        <w:tabs>
          <w:tab w:val="right" w:leader="dot" w:pos="9638"/>
        </w:tabs>
        <w:rPr>
          <w:rFonts w:hint="default"/>
          <w:i w:val="0"/>
          <w:iCs w:val="0"/>
          <w:color w:val="auto"/>
          <w:sz w:val="21"/>
          <w:szCs w:val="21"/>
          <w:lang w:val="en-US"/>
        </w:rPr>
      </w:pP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_Toc20443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三、报价文件</w:t>
      </w:r>
      <w:r>
        <w:rPr>
          <w:i w:val="0"/>
          <w:iCs w:val="0"/>
          <w:color w:val="auto"/>
          <w:sz w:val="21"/>
          <w:szCs w:val="21"/>
        </w:rPr>
        <w:tab/>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4</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_Toc18942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（一）报价一览表</w:t>
      </w:r>
      <w:r>
        <w:rPr>
          <w:i w:val="0"/>
          <w:iCs w:val="0"/>
          <w:color w:val="auto"/>
          <w:sz w:val="21"/>
          <w:szCs w:val="21"/>
        </w:rPr>
        <w:tab/>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4</w:t>
      </w:r>
    </w:p>
    <w:p>
      <w:pPr>
        <w:pStyle w:val="20"/>
        <w:tabs>
          <w:tab w:val="right" w:leader="dot" w:pos="9638"/>
        </w:tabs>
        <w:rPr>
          <w:rFonts w:hint="eastAsia" w:eastAsia="仿宋"/>
          <w:i w:val="0"/>
          <w:iCs w:val="0"/>
          <w:color w:val="auto"/>
          <w:sz w:val="21"/>
          <w:szCs w:val="21"/>
          <w:lang w:val="en-US" w:eastAsia="zh-CN"/>
        </w:rPr>
      </w:pPr>
    </w:p>
    <w:p>
      <w:pPr>
        <w:pStyle w:val="20"/>
        <w:tabs>
          <w:tab w:val="right" w:leader="dot" w:pos="9638"/>
        </w:tabs>
        <w:rPr>
          <w:rFonts w:hint="eastAsia" w:ascii="仿宋" w:hAnsi="仿宋" w:eastAsia="仿宋" w:cs="仿宋"/>
          <w:color w:val="auto"/>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i w:val="0"/>
          <w:iCs w:val="0"/>
          <w:caps/>
          <w:color w:val="auto"/>
          <w:sz w:val="21"/>
          <w:szCs w:val="21"/>
          <w:highlight w:val="none"/>
        </w:rPr>
        <w:fldChar w:fldCharType="end"/>
      </w:r>
    </w:p>
    <w:p>
      <w:pPr>
        <w:pStyle w:val="3"/>
        <w:spacing w:before="0" w:after="0" w:line="360" w:lineRule="auto"/>
        <w:jc w:val="center"/>
        <w:rPr>
          <w:rFonts w:ascii="仿宋" w:hAnsi="仿宋" w:eastAsia="仿宋" w:cs="仿宋"/>
          <w:bCs w:val="0"/>
          <w:color w:val="auto"/>
          <w:sz w:val="28"/>
          <w:szCs w:val="28"/>
          <w:highlight w:val="none"/>
        </w:rPr>
      </w:pPr>
      <w:bookmarkStart w:id="1" w:name="_Toc23196"/>
      <w:bookmarkStart w:id="2" w:name="_Toc444891333"/>
      <w:bookmarkStart w:id="3" w:name="_Toc11838"/>
      <w:bookmarkStart w:id="4" w:name="_Toc287600115"/>
      <w:bookmarkStart w:id="5" w:name="_Toc19709"/>
      <w:bookmarkStart w:id="6" w:name="_Toc7300"/>
      <w:bookmarkStart w:id="7" w:name="_Toc11826"/>
      <w:bookmarkStart w:id="8" w:name="_Toc517281813"/>
      <w:r>
        <w:rPr>
          <w:rFonts w:hint="eastAsia" w:ascii="仿宋" w:hAnsi="仿宋" w:eastAsia="仿宋" w:cs="仿宋"/>
          <w:bCs w:val="0"/>
          <w:color w:val="auto"/>
          <w:sz w:val="28"/>
          <w:szCs w:val="28"/>
          <w:highlight w:val="none"/>
        </w:rPr>
        <w:t xml:space="preserve">第一章 </w:t>
      </w:r>
      <w:r>
        <w:rPr>
          <w:rFonts w:hint="eastAsia" w:ascii="仿宋" w:hAnsi="仿宋" w:eastAsia="仿宋" w:cs="仿宋"/>
          <w:bCs w:val="0"/>
          <w:color w:val="auto"/>
          <w:sz w:val="28"/>
          <w:szCs w:val="28"/>
          <w:highlight w:val="none"/>
          <w:lang w:eastAsia="zh-CN"/>
        </w:rPr>
        <w:t>比选磋商</w:t>
      </w:r>
      <w:r>
        <w:rPr>
          <w:rFonts w:hint="eastAsia" w:ascii="仿宋" w:hAnsi="仿宋" w:eastAsia="仿宋" w:cs="仿宋"/>
          <w:bCs w:val="0"/>
          <w:color w:val="auto"/>
          <w:sz w:val="28"/>
          <w:szCs w:val="28"/>
          <w:highlight w:val="none"/>
        </w:rPr>
        <w:t>公告</w:t>
      </w:r>
      <w:bookmarkEnd w:id="1"/>
    </w:p>
    <w:p>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rPr>
        <w:t>人保</w:t>
      </w:r>
      <w:r>
        <w:rPr>
          <w:rFonts w:hint="eastAsia" w:ascii="仿宋" w:hAnsi="仿宋" w:eastAsia="仿宋" w:cs="仿宋"/>
          <w:color w:val="auto"/>
          <w:sz w:val="24"/>
          <w:highlight w:val="none"/>
          <w:u w:val="single"/>
          <w:lang w:val="en-US" w:eastAsia="zh-CN"/>
        </w:rPr>
        <w:t>财险</w:t>
      </w:r>
      <w:r>
        <w:rPr>
          <w:rFonts w:hint="eastAsia" w:ascii="仿宋" w:hAnsi="仿宋" w:eastAsia="仿宋" w:cs="仿宋"/>
          <w:color w:val="auto"/>
          <w:sz w:val="24"/>
          <w:highlight w:val="none"/>
          <w:u w:val="single"/>
        </w:rPr>
        <w:t>新疆</w:t>
      </w:r>
      <w:r>
        <w:rPr>
          <w:rFonts w:hint="eastAsia" w:ascii="仿宋" w:hAnsi="仿宋" w:eastAsia="仿宋" w:cs="仿宋"/>
          <w:color w:val="auto"/>
          <w:sz w:val="24"/>
          <w:highlight w:val="none"/>
          <w:u w:val="single"/>
          <w:lang w:val="en-US" w:eastAsia="zh-CN"/>
        </w:rPr>
        <w:t>特克斯</w:t>
      </w:r>
      <w:r>
        <w:rPr>
          <w:rFonts w:hint="eastAsia" w:ascii="仿宋" w:hAnsi="仿宋" w:eastAsia="仿宋" w:cs="仿宋"/>
          <w:color w:val="auto"/>
          <w:sz w:val="24"/>
          <w:highlight w:val="none"/>
          <w:u w:val="single"/>
        </w:rPr>
        <w:t>支公司职工食堂食材供应商采购项目</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val="en-US" w:eastAsia="zh-CN"/>
        </w:rPr>
        <w:t>特克斯支</w:t>
      </w:r>
      <w:r>
        <w:rPr>
          <w:rFonts w:hint="eastAsia" w:ascii="仿宋" w:hAnsi="仿宋" w:eastAsia="仿宋" w:cs="仿宋"/>
          <w:color w:val="auto"/>
          <w:sz w:val="24"/>
          <w:highlight w:val="none"/>
          <w:u w:val="single"/>
        </w:rPr>
        <w:t>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lang w:val="en-US" w:eastAsia="zh-CN"/>
        </w:rPr>
        <w:t>中国人民财产保险股份有限公司伊犁哈萨克自治州分公司</w:t>
      </w:r>
      <w:r>
        <w:rPr>
          <w:rFonts w:hint="eastAsia" w:ascii="仿宋" w:hAnsi="仿宋" w:eastAsia="仿宋" w:cs="仿宋"/>
          <w:color w:val="auto"/>
          <w:sz w:val="24"/>
          <w:highlight w:val="none"/>
        </w:rPr>
        <w:t>根据成交结果与成交人签署。现进行公开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pPr>
        <w:pStyle w:val="4"/>
        <w:ind w:firstLine="0" w:firstLineChars="0"/>
        <w:jc w:val="left"/>
        <w:rPr>
          <w:rFonts w:hint="eastAsia" w:ascii="仿宋" w:hAnsi="仿宋" w:eastAsia="仿宋" w:cs="仿宋"/>
          <w:color w:val="auto"/>
          <w:sz w:val="24"/>
          <w:szCs w:val="24"/>
          <w:highlight w:val="none"/>
        </w:rPr>
      </w:pPr>
      <w:bookmarkStart w:id="9" w:name="_Toc21237"/>
      <w:r>
        <w:rPr>
          <w:rFonts w:hint="eastAsia" w:ascii="仿宋" w:hAnsi="仿宋" w:eastAsia="仿宋" w:cs="仿宋"/>
          <w:color w:val="auto"/>
          <w:sz w:val="24"/>
          <w:szCs w:val="24"/>
          <w:highlight w:val="none"/>
        </w:rPr>
        <w:t>一、项目概况与采购范围</w:t>
      </w:r>
      <w:bookmarkEnd w:id="9"/>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single"/>
        </w:rPr>
        <w:t>人保</w:t>
      </w:r>
      <w:r>
        <w:rPr>
          <w:rFonts w:hint="eastAsia" w:ascii="仿宋" w:hAnsi="仿宋" w:eastAsia="仿宋" w:cs="仿宋"/>
          <w:color w:val="auto"/>
          <w:sz w:val="24"/>
          <w:highlight w:val="none"/>
          <w:u w:val="single"/>
          <w:lang w:val="en-US" w:eastAsia="zh-CN"/>
        </w:rPr>
        <w:t>财险</w:t>
      </w:r>
      <w:r>
        <w:rPr>
          <w:rFonts w:hint="eastAsia" w:ascii="仿宋" w:hAnsi="仿宋" w:eastAsia="仿宋" w:cs="仿宋"/>
          <w:color w:val="auto"/>
          <w:sz w:val="24"/>
          <w:highlight w:val="none"/>
          <w:u w:val="single"/>
        </w:rPr>
        <w:t>新疆</w:t>
      </w:r>
      <w:r>
        <w:rPr>
          <w:rFonts w:hint="eastAsia" w:ascii="仿宋" w:hAnsi="仿宋" w:eastAsia="仿宋" w:cs="仿宋"/>
          <w:color w:val="auto"/>
          <w:sz w:val="24"/>
          <w:highlight w:val="none"/>
          <w:u w:val="single"/>
          <w:lang w:val="en-US" w:eastAsia="zh-CN"/>
        </w:rPr>
        <w:t>特克斯</w:t>
      </w:r>
      <w:r>
        <w:rPr>
          <w:rFonts w:hint="eastAsia" w:ascii="仿宋" w:hAnsi="仿宋" w:eastAsia="仿宋" w:cs="仿宋"/>
          <w:color w:val="auto"/>
          <w:sz w:val="24"/>
          <w:highlight w:val="none"/>
          <w:u w:val="single"/>
        </w:rPr>
        <w:t>支公司职工食堂食材供应商采购项目</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w:t>
      </w:r>
      <w:r>
        <w:rPr>
          <w:rFonts w:hint="eastAsia" w:ascii="仿宋" w:hAnsi="仿宋" w:eastAsia="仿宋" w:cs="仿宋"/>
          <w:color w:val="auto"/>
          <w:sz w:val="24"/>
          <w:highlight w:val="none"/>
          <w:lang w:val="en-US" w:eastAsia="zh-CN"/>
        </w:rPr>
        <w:t>职工</w:t>
      </w:r>
      <w:r>
        <w:rPr>
          <w:rFonts w:hint="eastAsia" w:ascii="仿宋" w:hAnsi="仿宋" w:eastAsia="仿宋" w:cs="仿宋"/>
          <w:color w:val="auto"/>
          <w:sz w:val="24"/>
          <w:highlight w:val="none"/>
        </w:rPr>
        <w:t>食堂</w:t>
      </w:r>
      <w:r>
        <w:rPr>
          <w:rFonts w:hint="eastAsia" w:ascii="仿宋" w:hAnsi="仿宋" w:eastAsia="仿宋" w:cs="仿宋"/>
          <w:color w:val="auto"/>
          <w:sz w:val="24"/>
          <w:highlight w:val="none"/>
          <w:lang w:val="en-US" w:eastAsia="zh-CN"/>
        </w:rPr>
        <w:t>日常食材</w:t>
      </w:r>
      <w:r>
        <w:rPr>
          <w:rFonts w:hint="eastAsia" w:ascii="仿宋" w:hAnsi="仿宋" w:eastAsia="仿宋" w:cs="仿宋"/>
          <w:color w:val="auto"/>
          <w:sz w:val="24"/>
          <w:highlight w:val="none"/>
        </w:rPr>
        <w:t>，具体包括蔬菜水果、米面油、副食品、</w:t>
      </w:r>
      <w:r>
        <w:rPr>
          <w:rFonts w:hint="eastAsia" w:ascii="仿宋" w:hAnsi="仿宋" w:eastAsia="仿宋" w:cs="仿宋"/>
          <w:color w:val="auto"/>
          <w:sz w:val="24"/>
          <w:highlight w:val="none"/>
          <w:lang w:val="en-US" w:eastAsia="zh-CN"/>
        </w:rPr>
        <w:t>肉禽蛋奶</w:t>
      </w:r>
      <w:r>
        <w:rPr>
          <w:rFonts w:hint="eastAsia" w:ascii="仿宋" w:hAnsi="仿宋" w:eastAsia="仿宋" w:cs="仿宋"/>
          <w:color w:val="auto"/>
          <w:sz w:val="24"/>
          <w:highlight w:val="none"/>
        </w:rPr>
        <w:t>、冷冻食品（含水产品）等，具体技术要求详见第五章采购需求。</w:t>
      </w:r>
    </w:p>
    <w:p>
      <w:pPr>
        <w:adjustRightInd w:val="0"/>
        <w:snapToGrid w:val="0"/>
        <w:spacing w:line="360" w:lineRule="auto"/>
        <w:ind w:firstLine="480" w:firstLineChars="200"/>
        <w:jc w:val="left"/>
        <w:rPr>
          <w:rFonts w:hint="eastAsia" w:ascii="仿宋" w:hAnsi="仿宋" w:eastAsia="仿宋" w:cs="宋体"/>
          <w:color w:val="auto"/>
          <w:sz w:val="24"/>
          <w:highlight w:val="none"/>
          <w:lang w:eastAsia="zh-CN"/>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本项目不划分标包</w:t>
      </w:r>
      <w:r>
        <w:rPr>
          <w:rFonts w:hint="eastAsia" w:ascii="仿宋" w:hAnsi="仿宋" w:eastAsia="仿宋" w:cs="宋体"/>
          <w:color w:val="auto"/>
          <w:sz w:val="24"/>
          <w:highlight w:val="none"/>
          <w:lang w:eastAsia="zh-CN"/>
        </w:rPr>
        <w:t>。</w:t>
      </w:r>
    </w:p>
    <w:p>
      <w:pPr>
        <w:adjustRightInd w:val="0"/>
        <w:snapToGrid w:val="0"/>
        <w:spacing w:line="360"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服务</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三</w:t>
      </w:r>
      <w:r>
        <w:rPr>
          <w:rFonts w:hint="eastAsia" w:ascii="仿宋" w:hAnsi="仿宋" w:eastAsia="仿宋" w:cs="宋体"/>
          <w:color w:val="auto"/>
          <w:sz w:val="24"/>
          <w:highlight w:val="none"/>
        </w:rPr>
        <w:t>年。</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6</w:t>
      </w:r>
      <w:r>
        <w:rPr>
          <w:rFonts w:hint="eastAsia" w:ascii="仿宋" w:hAnsi="仿宋" w:eastAsia="仿宋" w:cs="宋体"/>
          <w:color w:val="auto"/>
          <w:sz w:val="24"/>
          <w:highlight w:val="none"/>
        </w:rPr>
        <w:t>服务地点/交货地点：</w:t>
      </w:r>
      <w:r>
        <w:rPr>
          <w:rFonts w:hint="eastAsia" w:ascii="仿宋" w:hAnsi="仿宋" w:eastAsia="仿宋" w:cs="宋体"/>
          <w:color w:val="000000"/>
          <w:sz w:val="24"/>
          <w:highlight w:val="none"/>
          <w:lang w:val="en-US" w:eastAsia="zh-CN"/>
        </w:rPr>
        <w:t>新疆伊犁特克斯县阿扎提街一环2号附1号</w:t>
      </w:r>
      <w:r>
        <w:rPr>
          <w:rFonts w:hint="eastAsia" w:ascii="仿宋" w:hAnsi="仿宋" w:eastAsia="仿宋" w:cs="宋体"/>
          <w:color w:val="auto"/>
          <w:sz w:val="24"/>
          <w:highlight w:val="none"/>
        </w:rPr>
        <w:t>。</w:t>
      </w:r>
    </w:p>
    <w:p>
      <w:pPr>
        <w:pStyle w:val="4"/>
        <w:ind w:firstLine="0" w:firstLineChars="0"/>
        <w:jc w:val="left"/>
        <w:rPr>
          <w:rFonts w:hint="eastAsia" w:ascii="仿宋" w:hAnsi="仿宋" w:eastAsia="仿宋" w:cs="仿宋"/>
          <w:color w:val="auto"/>
          <w:sz w:val="24"/>
          <w:szCs w:val="24"/>
          <w:highlight w:val="none"/>
        </w:rPr>
      </w:pPr>
      <w:bookmarkStart w:id="10" w:name="_Toc17569"/>
      <w:r>
        <w:rPr>
          <w:rFonts w:hint="eastAsia" w:ascii="仿宋" w:hAnsi="仿宋" w:eastAsia="仿宋" w:cs="仿宋"/>
          <w:color w:val="auto"/>
          <w:sz w:val="24"/>
          <w:szCs w:val="24"/>
          <w:highlight w:val="none"/>
        </w:rPr>
        <w:t>二、供应商资格要求</w:t>
      </w:r>
      <w:bookmarkEnd w:id="10"/>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在中华人民共和国境内依法登记的法人或其他组织，具有独立承担民事责任的能力，</w:t>
      </w:r>
      <w:r>
        <w:rPr>
          <w:rFonts w:hint="eastAsia" w:ascii="仿宋" w:hAnsi="仿宋" w:eastAsia="仿宋" w:cs="宋体"/>
          <w:color w:val="auto"/>
          <w:sz w:val="24"/>
          <w:highlight w:val="none"/>
        </w:rPr>
        <w:t>供应商如为企业法人，须提供企业法人营业执照</w:t>
      </w:r>
      <w:r>
        <w:rPr>
          <w:rFonts w:hint="eastAsia" w:ascii="仿宋" w:hAnsi="仿宋" w:eastAsia="仿宋" w:cs="Monaco"/>
          <w:color w:val="auto"/>
          <w:sz w:val="24"/>
        </w:rPr>
        <w:t>（复印件）</w:t>
      </w:r>
      <w:r>
        <w:rPr>
          <w:rFonts w:hint="eastAsia" w:ascii="仿宋" w:hAnsi="仿宋" w:eastAsia="仿宋" w:cs="宋体"/>
          <w:color w:val="auto"/>
          <w:sz w:val="24"/>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，需提供20</w:t>
      </w:r>
      <w:r>
        <w:rPr>
          <w:rFonts w:hint="eastAsia" w:ascii="仿宋" w:hAnsi="仿宋" w:eastAsia="仿宋" w:cs="宋体"/>
          <w:color w:val="auto"/>
          <w:sz w:val="24"/>
          <w:highlight w:val="none"/>
          <w:lang w:val="en-US" w:eastAsia="zh-CN"/>
        </w:rPr>
        <w:t>25</w:t>
      </w:r>
      <w:r>
        <w:rPr>
          <w:rFonts w:hint="eastAsia" w:ascii="仿宋" w:hAnsi="仿宋" w:eastAsia="仿宋" w:cs="宋体"/>
          <w:color w:val="auto"/>
          <w:sz w:val="24"/>
          <w:highlight w:val="none"/>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2.3 </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，近三年（20</w:t>
      </w:r>
      <w:r>
        <w:rPr>
          <w:rFonts w:hint="eastAsia" w:ascii="仿宋" w:hAnsi="仿宋" w:eastAsia="仿宋" w:cs="宋体"/>
          <w:color w:val="auto"/>
          <w:sz w:val="24"/>
          <w:highlight w:val="none"/>
          <w:lang w:val="en-US" w:eastAsia="zh-CN"/>
        </w:rPr>
        <w:t>23</w:t>
      </w:r>
      <w:r>
        <w:rPr>
          <w:rFonts w:hint="eastAsia" w:ascii="仿宋" w:hAnsi="仿宋" w:eastAsia="仿宋" w:cs="宋体"/>
          <w:color w:val="auto"/>
          <w:sz w:val="24"/>
          <w:highlight w:val="none"/>
        </w:rPr>
        <w:t>年1月1日至今）具有</w:t>
      </w:r>
      <w:r>
        <w:rPr>
          <w:rFonts w:hint="eastAsia" w:ascii="仿宋" w:hAnsi="仿宋" w:eastAsia="仿宋" w:cs="宋体"/>
          <w:color w:val="auto"/>
          <w:sz w:val="24"/>
          <w:highlight w:val="none"/>
          <w:lang w:val="en-US" w:eastAsia="zh-CN"/>
        </w:rPr>
        <w:t>1</w:t>
      </w:r>
      <w:r>
        <w:rPr>
          <w:rFonts w:hint="eastAsia" w:ascii="仿宋" w:hAnsi="仿宋" w:eastAsia="仿宋" w:cs="宋体"/>
          <w:color w:val="auto"/>
          <w:sz w:val="24"/>
          <w:highlight w:val="none"/>
        </w:rPr>
        <w:t>个</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，提供近6个月任意一个月的税收和社会保障资金缴纳凭证。</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信用中国查询网址：https://www.creditchina.gov.cn/xinyongfuwu/?navPage=5</w:t>
      </w:r>
    </w:p>
    <w:p>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 xml:space="preserve"> </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rPr>
        <w:t>单位负责人为同一人或存在控股、管理关系的不同单位，不得参加同一采购项目的磋商响应，需填写《供应商控股及管理关系情况申报表》。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2.8本项目不接受联合体磋商响应。</w:t>
      </w:r>
    </w:p>
    <w:p>
      <w:pPr>
        <w:spacing w:line="360" w:lineRule="auto"/>
        <w:ind w:firstLine="480" w:firstLineChars="200"/>
        <w:textAlignment w:val="baseline"/>
        <w:rPr>
          <w:rFonts w:hint="default" w:eastAsia="仿宋"/>
          <w:color w:val="auto"/>
          <w:lang w:val="en-US" w:eastAsia="zh-CN"/>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szCs w:val="24"/>
          <w:highlight w:val="none"/>
          <w:lang w:val="en-US" w:eastAsia="zh-CN"/>
        </w:rPr>
        <w:t>其它资格要求。</w:t>
      </w:r>
    </w:p>
    <w:p>
      <w:pPr>
        <w:pStyle w:val="4"/>
        <w:ind w:left="0" w:leftChars="0" w:firstLine="0" w:firstLineChars="0"/>
        <w:jc w:val="left"/>
        <w:rPr>
          <w:rFonts w:hint="eastAsia" w:ascii="仿宋" w:hAnsi="仿宋" w:eastAsia="仿宋" w:cs="仿宋"/>
          <w:color w:val="auto"/>
          <w:sz w:val="24"/>
          <w:szCs w:val="24"/>
          <w:highlight w:val="none"/>
        </w:rPr>
      </w:pPr>
      <w:bookmarkStart w:id="11" w:name="_Toc28263"/>
      <w:r>
        <w:rPr>
          <w:rFonts w:hint="eastAsia" w:ascii="仿宋" w:hAnsi="仿宋" w:eastAsia="仿宋" w:cs="仿宋"/>
          <w:color w:val="auto"/>
          <w:sz w:val="24"/>
          <w:szCs w:val="24"/>
          <w:highlight w:val="none"/>
        </w:rPr>
        <w:t>三、资格审查方法</w:t>
      </w:r>
      <w:bookmarkEnd w:id="11"/>
    </w:p>
    <w:p>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pPr>
        <w:pStyle w:val="4"/>
        <w:spacing w:after="240"/>
        <w:ind w:firstLine="0" w:firstLineChars="0"/>
        <w:jc w:val="left"/>
        <w:rPr>
          <w:rFonts w:hint="eastAsia" w:ascii="仿宋" w:hAnsi="仿宋" w:eastAsia="仿宋" w:cs="仿宋"/>
          <w:color w:val="auto"/>
          <w:sz w:val="24"/>
          <w:szCs w:val="24"/>
          <w:highlight w:val="none"/>
        </w:rPr>
      </w:pPr>
      <w:bookmarkStart w:id="12" w:name="_Toc2019"/>
      <w:r>
        <w:rPr>
          <w:rFonts w:hint="eastAsia" w:ascii="仿宋" w:hAnsi="仿宋" w:eastAsia="仿宋" w:cs="仿宋"/>
          <w:color w:val="auto"/>
          <w:sz w:val="24"/>
          <w:szCs w:val="24"/>
          <w:highlight w:val="none"/>
        </w:rPr>
        <w:t>四、磋商文件的获取</w:t>
      </w:r>
      <w:bookmarkEnd w:id="12"/>
    </w:p>
    <w:p>
      <w:pPr>
        <w:pStyle w:val="82"/>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.1磋商文件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9</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16</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rPr>
        <w:t>时（北京时间，下同）。</w:t>
      </w:r>
    </w:p>
    <w:p>
      <w:pPr>
        <w:pStyle w:val="13"/>
        <w:spacing w:line="360" w:lineRule="auto"/>
        <w:ind w:firstLine="480" w:firstLineChars="200"/>
        <w:rPr>
          <w:rFonts w:hint="eastAsia" w:ascii="仿宋" w:hAnsi="仿宋" w:eastAsia="仿宋" w:cs="仿宋_GB2312"/>
          <w:color w:val="auto"/>
          <w:sz w:val="24"/>
          <w:szCs w:val="24"/>
          <w:highlight w:val="none"/>
        </w:rPr>
      </w:pPr>
      <w:r>
        <w:rPr>
          <w:rFonts w:ascii="仿宋" w:hAnsi="仿宋" w:eastAsia="仿宋" w:cs="宋体"/>
          <w:color w:val="auto"/>
          <w:sz w:val="24"/>
          <w:highlight w:val="none"/>
        </w:rPr>
        <w:t>4</w:t>
      </w:r>
      <w:r>
        <w:rPr>
          <w:rFonts w:hint="eastAsia" w:ascii="仿宋" w:hAnsi="仿宋" w:eastAsia="仿宋" w:cs="宋体"/>
          <w:color w:val="auto"/>
          <w:sz w:val="24"/>
          <w:highlight w:val="none"/>
        </w:rPr>
        <w:t>.2拟报名参加本项目的供应商，请</w:t>
      </w:r>
      <w:r>
        <w:rPr>
          <w:rFonts w:hint="eastAsia" w:ascii="仿宋" w:hAnsi="仿宋" w:eastAsia="仿宋" w:cs="宋体"/>
          <w:color w:val="auto"/>
          <w:sz w:val="24"/>
          <w:highlight w:val="none"/>
          <w:lang w:val="en-US" w:eastAsia="zh-CN"/>
        </w:rPr>
        <w:t>通过“人保e采”外网门户下载</w:t>
      </w:r>
      <w:r>
        <w:rPr>
          <w:rFonts w:hint="eastAsia" w:ascii="仿宋" w:hAnsi="仿宋" w:eastAsia="仿宋" w:cs="宋体"/>
          <w:color w:val="auto"/>
          <w:sz w:val="24"/>
          <w:highlight w:val="none"/>
        </w:rPr>
        <w:t>获取</w:t>
      </w:r>
      <w:r>
        <w:rPr>
          <w:rFonts w:hint="eastAsia" w:ascii="仿宋" w:hAnsi="仿宋" w:eastAsia="仿宋" w:cs="宋体"/>
          <w:color w:val="auto"/>
          <w:sz w:val="24"/>
          <w:highlight w:val="none"/>
          <w:lang w:val="en-US" w:eastAsia="zh-CN"/>
        </w:rPr>
        <w:t>磋商</w:t>
      </w:r>
      <w:r>
        <w:rPr>
          <w:rFonts w:hint="eastAsia" w:ascii="仿宋" w:hAnsi="仿宋" w:eastAsia="仿宋" w:cs="宋体"/>
          <w:color w:val="auto"/>
          <w:sz w:val="24"/>
          <w:highlight w:val="none"/>
        </w:rPr>
        <w:t>文件</w:t>
      </w:r>
      <w:r>
        <w:rPr>
          <w:rFonts w:hint="eastAsia" w:ascii="仿宋" w:hAnsi="仿宋" w:eastAsia="仿宋" w:cs="仿宋_GB2312"/>
          <w:color w:val="auto"/>
          <w:sz w:val="24"/>
          <w:szCs w:val="24"/>
          <w:highlight w:val="none"/>
        </w:rPr>
        <w:t>。</w:t>
      </w:r>
    </w:p>
    <w:p>
      <w:pPr>
        <w:pStyle w:val="4"/>
        <w:ind w:firstLine="0" w:firstLineChars="0"/>
        <w:jc w:val="left"/>
        <w:rPr>
          <w:rFonts w:hint="eastAsia" w:ascii="仿宋" w:hAnsi="仿宋" w:eastAsia="仿宋" w:cs="仿宋"/>
          <w:color w:val="auto"/>
          <w:sz w:val="24"/>
          <w:szCs w:val="24"/>
          <w:highlight w:val="none"/>
        </w:rPr>
      </w:pPr>
      <w:bookmarkStart w:id="13" w:name="_Toc32115"/>
      <w:r>
        <w:rPr>
          <w:rFonts w:hint="eastAsia" w:ascii="仿宋" w:hAnsi="仿宋" w:eastAsia="仿宋" w:cs="仿宋"/>
          <w:color w:val="auto"/>
          <w:sz w:val="24"/>
          <w:szCs w:val="24"/>
          <w:highlight w:val="none"/>
        </w:rPr>
        <w:t>五、响应文件的递交</w:t>
      </w:r>
      <w:bookmarkEnd w:id="13"/>
    </w:p>
    <w:p>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15</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20</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bookmarkStart w:id="235" w:name="_GoBack"/>
      <w:bookmarkEnd w:id="235"/>
    </w:p>
    <w:p>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5.2响应文件的递交：须现场递交至</w:t>
      </w:r>
      <w:r>
        <w:rPr>
          <w:rFonts w:hint="eastAsia" w:ascii="仿宋" w:hAnsi="仿宋" w:eastAsia="仿宋" w:cs="宋体"/>
          <w:color w:val="auto"/>
          <w:sz w:val="24"/>
          <w:highlight w:val="none"/>
          <w:u w:val="single"/>
          <w:lang w:val="en-US" w:eastAsia="zh-CN"/>
        </w:rPr>
        <w:t>伊犁新疆伊犁特克斯县阿扎提街一环2号附1号人保财险特克斯支公司</w:t>
      </w:r>
      <w:r>
        <w:rPr>
          <w:rFonts w:hint="eastAsia" w:ascii="仿宋" w:hAnsi="仿宋" w:eastAsia="仿宋" w:cs="宋体"/>
          <w:color w:val="auto"/>
          <w:sz w:val="24"/>
          <w:highlight w:val="none"/>
          <w:u w:val="single"/>
        </w:rPr>
        <w:t>会议室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本项目将于上述同一时间、地点进行磋商，采购人邀请供应商代表准时参加。</w:t>
      </w:r>
    </w:p>
    <w:p>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出现以下情形之一时，采购人/采购代理机构不予接收投标文件：</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  逾期送达或者未送达指定地点的；</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  未按照响应文件要求密封的；</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  未按照磋商公告要求获取磋商文件的。</w:t>
      </w:r>
    </w:p>
    <w:p>
      <w:pPr>
        <w:pStyle w:val="4"/>
        <w:ind w:firstLine="0" w:firstLineChars="0"/>
        <w:jc w:val="left"/>
        <w:rPr>
          <w:rFonts w:hint="eastAsia" w:ascii="仿宋" w:hAnsi="仿宋" w:eastAsia="仿宋" w:cs="仿宋"/>
          <w:color w:val="auto"/>
          <w:sz w:val="24"/>
          <w:szCs w:val="24"/>
          <w:highlight w:val="none"/>
        </w:rPr>
      </w:pPr>
      <w:bookmarkStart w:id="14" w:name="_Toc8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4"/>
    </w:p>
    <w:p>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pPr>
        <w:pStyle w:val="4"/>
        <w:ind w:firstLine="0" w:firstLineChars="0"/>
        <w:jc w:val="left"/>
        <w:rPr>
          <w:rFonts w:hint="eastAsia" w:ascii="仿宋" w:hAnsi="仿宋" w:eastAsia="仿宋" w:cs="仿宋"/>
          <w:color w:val="auto"/>
          <w:sz w:val="24"/>
          <w:szCs w:val="24"/>
          <w:highlight w:val="none"/>
        </w:rPr>
      </w:pPr>
      <w:bookmarkStart w:id="15" w:name="_Toc3059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5"/>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特克斯支</w:t>
      </w:r>
      <w:r>
        <w:rPr>
          <w:rFonts w:hint="eastAsia" w:ascii="仿宋" w:hAnsi="仿宋" w:eastAsia="仿宋" w:cs="仿宋"/>
          <w:b/>
          <w:bCs/>
          <w:color w:val="auto"/>
          <w:sz w:val="24"/>
          <w:highlight w:val="none"/>
        </w:rPr>
        <w:t>公司</w:t>
      </w:r>
    </w:p>
    <w:p>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地址：伊犁新疆伊犁特克斯县阿扎提街一环2号附1号</w:t>
      </w:r>
    </w:p>
    <w:p>
      <w:pPr>
        <w:spacing w:line="360" w:lineRule="auto"/>
        <w:ind w:firstLine="420" w:firstLineChars="175"/>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val="en-US" w:eastAsia="zh-CN"/>
        </w:rPr>
        <w:t>杨敬燕</w:t>
      </w:r>
    </w:p>
    <w:p>
      <w:pPr>
        <w:spacing w:line="360" w:lineRule="auto"/>
        <w:ind w:firstLine="420" w:firstLineChars="175"/>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电话：0999-</w:t>
      </w:r>
      <w:r>
        <w:rPr>
          <w:rFonts w:hint="eastAsia" w:ascii="仿宋" w:hAnsi="仿宋" w:eastAsia="仿宋" w:cs="宋体"/>
          <w:color w:val="auto"/>
          <w:sz w:val="24"/>
          <w:highlight w:val="none"/>
          <w:lang w:val="en-US" w:eastAsia="zh-CN"/>
        </w:rPr>
        <w:t>6623834</w:t>
      </w:r>
    </w:p>
    <w:p>
      <w:pPr>
        <w:pStyle w:val="2"/>
        <w:rPr>
          <w:rFonts w:hint="eastAsia"/>
          <w:color w:val="auto"/>
        </w:rPr>
      </w:pPr>
    </w:p>
    <w:p>
      <w:pPr>
        <w:spacing w:line="360" w:lineRule="auto"/>
        <w:ind w:firstLine="480" w:firstLineChars="200"/>
        <w:jc w:val="right"/>
        <w:textAlignment w:val="baseline"/>
        <w:rPr>
          <w:rFonts w:hint="eastAsia" w:ascii="仿宋" w:hAnsi="仿宋" w:eastAsia="仿宋" w:cs="宋体"/>
          <w:color w:val="auto"/>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特克斯</w:t>
      </w:r>
      <w:r>
        <w:rPr>
          <w:rFonts w:hint="eastAsia" w:ascii="仿宋" w:hAnsi="仿宋" w:eastAsia="仿宋" w:cs="宋体"/>
          <w:color w:val="auto"/>
          <w:sz w:val="24"/>
          <w:highlight w:val="none"/>
        </w:rPr>
        <w:t>支公司</w:t>
      </w:r>
    </w:p>
    <w:p>
      <w:pPr>
        <w:spacing w:line="360" w:lineRule="auto"/>
        <w:ind w:firstLine="6240" w:firstLineChars="2600"/>
        <w:jc w:val="both"/>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16</w:t>
      </w:r>
      <w:r>
        <w:rPr>
          <w:rFonts w:hint="eastAsia" w:ascii="仿宋" w:hAnsi="仿宋" w:eastAsia="仿宋" w:cs="宋体"/>
          <w:color w:val="auto"/>
          <w:sz w:val="24"/>
          <w:highlight w:val="none"/>
        </w:rPr>
        <w:t>日</w:t>
      </w:r>
    </w:p>
    <w:bookmarkEnd w:id="2"/>
    <w:bookmarkEnd w:id="3"/>
    <w:bookmarkEnd w:id="4"/>
    <w:bookmarkEnd w:id="5"/>
    <w:bookmarkEnd w:id="6"/>
    <w:bookmarkEnd w:id="7"/>
    <w:bookmarkEnd w:id="8"/>
    <w:p>
      <w:pPr>
        <w:pStyle w:val="3"/>
        <w:spacing w:before="0" w:after="0" w:line="360" w:lineRule="auto"/>
        <w:jc w:val="center"/>
        <w:rPr>
          <w:rFonts w:hint="eastAsia" w:ascii="仿宋" w:hAnsi="仿宋" w:eastAsia="仿宋" w:cs="仿宋"/>
          <w:color w:val="auto"/>
          <w:sz w:val="28"/>
          <w:szCs w:val="28"/>
          <w:highlight w:val="none"/>
        </w:rPr>
      </w:pPr>
      <w:bookmarkStart w:id="16" w:name="_Toc517281814"/>
      <w:bookmarkStart w:id="17" w:name="_Toc444891334"/>
      <w:bookmarkStart w:id="18" w:name="_Toc23165"/>
      <w:bookmarkStart w:id="19" w:name="_Toc2797"/>
      <w:bookmarkStart w:id="20" w:name="_Toc1895"/>
      <w:bookmarkStart w:id="21" w:name="_Toc17103"/>
      <w:bookmarkStart w:id="22" w:name="_Toc287600116"/>
      <w:r>
        <w:rPr>
          <w:rFonts w:ascii="仿宋" w:hAnsi="仿宋" w:eastAsia="仿宋" w:cs="仿宋"/>
          <w:color w:val="auto"/>
          <w:sz w:val="28"/>
          <w:szCs w:val="28"/>
          <w:highlight w:val="none"/>
        </w:rPr>
        <w:br w:type="page"/>
      </w:r>
      <w:bookmarkStart w:id="23" w:name="_Toc7018"/>
      <w:r>
        <w:rPr>
          <w:rFonts w:hint="eastAsia" w:ascii="仿宋" w:hAnsi="仿宋" w:eastAsia="仿宋" w:cs="仿宋"/>
          <w:color w:val="auto"/>
          <w:sz w:val="28"/>
          <w:szCs w:val="28"/>
          <w:highlight w:val="none"/>
        </w:rPr>
        <w:t>第二章 供应商须知</w:t>
      </w:r>
      <w:bookmarkEnd w:id="16"/>
      <w:bookmarkEnd w:id="17"/>
      <w:bookmarkEnd w:id="18"/>
      <w:bookmarkEnd w:id="19"/>
      <w:bookmarkEnd w:id="20"/>
      <w:bookmarkEnd w:id="21"/>
      <w:bookmarkEnd w:id="22"/>
      <w:bookmarkEnd w:id="23"/>
    </w:p>
    <w:p>
      <w:pPr>
        <w:pStyle w:val="4"/>
        <w:ind w:firstLine="0" w:firstLineChars="0"/>
        <w:jc w:val="left"/>
        <w:rPr>
          <w:rFonts w:hint="eastAsia" w:ascii="仿宋" w:hAnsi="仿宋" w:eastAsia="仿宋" w:cs="仿宋"/>
          <w:color w:val="auto"/>
          <w:sz w:val="24"/>
          <w:szCs w:val="24"/>
          <w:highlight w:val="none"/>
        </w:rPr>
      </w:pPr>
      <w:bookmarkStart w:id="24" w:name="_Toc27353"/>
      <w:bookmarkStart w:id="25" w:name="_Toc19783312"/>
      <w:bookmarkStart w:id="26" w:name="_Toc29571"/>
      <w:bookmarkStart w:id="27" w:name="_Toc444891335"/>
      <w:bookmarkStart w:id="28" w:name="_Toc32464"/>
      <w:bookmarkStart w:id="29" w:name="_Toc517281815"/>
      <w:bookmarkStart w:id="30" w:name="_Toc14477"/>
      <w:bookmarkStart w:id="31" w:name="_Toc17721"/>
      <w:bookmarkStart w:id="32" w:name="_Toc287600117"/>
      <w:r>
        <w:rPr>
          <w:rFonts w:hint="eastAsia" w:ascii="仿宋" w:hAnsi="仿宋" w:eastAsia="仿宋" w:cs="仿宋"/>
          <w:color w:val="auto"/>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tbl>
      <w:tblPr>
        <w:tblStyle w:val="40"/>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38"/>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条款名称</w:t>
            </w:r>
          </w:p>
        </w:tc>
        <w:tc>
          <w:tcPr>
            <w:tcW w:w="3586" w:type="pct"/>
            <w:noWrap w:val="0"/>
            <w:vAlign w:val="center"/>
          </w:tcPr>
          <w:p>
            <w:pPr>
              <w:tabs>
                <w:tab w:val="left" w:pos="1180"/>
              </w:tabs>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采购范围</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公告“一、项目概况与采购范围”</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6"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spacing w:before="62" w:beforeLines="20" w:after="62" w:afterLines="20"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★磋商文件实质性要求的标识</w:t>
            </w:r>
          </w:p>
        </w:tc>
        <w:tc>
          <w:tcPr>
            <w:tcW w:w="3586" w:type="pct"/>
            <w:noWrap w:val="0"/>
            <w:vAlign w:val="center"/>
          </w:tcPr>
          <w:p>
            <w:pPr>
              <w:pStyle w:val="139"/>
              <w:topLinePunct/>
              <w:spacing w:before="62" w:beforeLines="20" w:after="62" w:afterLines="20" w:line="360" w:lineRule="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rPr>
              <w:t>磋商文件中标识“★”条款、注明“磋商响应将被否决”、“对其响应做否决处理”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86"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3</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20</w:t>
            </w:r>
            <w:r>
              <w:rPr>
                <w:rFonts w:hint="eastAsia" w:ascii="仿宋" w:hAnsi="仿宋" w:eastAsia="仿宋" w:cs="宋体"/>
                <w:b/>
                <w:color w:val="auto"/>
                <w:sz w:val="21"/>
                <w:szCs w:val="21"/>
                <w:highlight w:val="none"/>
                <w:u w:val="single"/>
              </w:rPr>
              <w:t>时</w:t>
            </w:r>
            <w:r>
              <w:rPr>
                <w:rFonts w:hint="eastAsia" w:ascii="仿宋" w:hAnsi="仿宋" w:eastAsia="仿宋" w:cs="宋体"/>
                <w:b/>
                <w:color w:val="auto"/>
                <w:sz w:val="21"/>
                <w:szCs w:val="21"/>
                <w:highlight w:val="none"/>
                <w:u w:val="single"/>
                <w:lang w:val="en-US" w:eastAsia="zh-CN"/>
              </w:rPr>
              <w:t>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pPr>
              <w:pStyle w:val="149"/>
              <w:spacing w:before="62" w:beforeLines="20" w:after="62" w:afterLines="20"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color w:val="auto"/>
                <w:sz w:val="21"/>
                <w:szCs w:val="21"/>
                <w:highlight w:val="none"/>
              </w:rPr>
              <w:t>提出澄清的方式：以纸质版形式递交至人保财险</w:t>
            </w:r>
            <w:r>
              <w:rPr>
                <w:rFonts w:hint="eastAsia" w:ascii="仿宋" w:hAnsi="仿宋" w:eastAsia="仿宋" w:cs="宋体"/>
                <w:color w:val="auto"/>
                <w:sz w:val="21"/>
                <w:szCs w:val="21"/>
                <w:highlight w:val="none"/>
                <w:lang w:val="en-US" w:eastAsia="zh-CN"/>
              </w:rPr>
              <w:t>特克斯支</w:t>
            </w:r>
            <w:r>
              <w:rPr>
                <w:rFonts w:hint="eastAsia" w:ascii="仿宋" w:hAnsi="仿宋" w:eastAsia="仿宋" w:cs="宋体"/>
                <w:color w:val="auto"/>
                <w:sz w:val="21"/>
                <w:szCs w:val="21"/>
                <w:highlight w:val="none"/>
              </w:rPr>
              <w:t>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86"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1</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Cs w:val="21"/>
                <w:highlight w:val="none"/>
                <w:lang w:val="en-US" w:eastAsia="zh-CN"/>
              </w:rPr>
              <w:t>以</w:t>
            </w:r>
            <w:r>
              <w:rPr>
                <w:rFonts w:hint="eastAsia" w:ascii="仿宋" w:hAnsi="仿宋" w:eastAsia="仿宋" w:cs="宋体"/>
                <w:color w:val="auto"/>
                <w:sz w:val="21"/>
                <w:szCs w:val="21"/>
                <w:highlight w:val="none"/>
                <w:lang w:val="en-US" w:eastAsia="zh-CN"/>
              </w:rPr>
              <w:t>纸质版为准</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3586" w:type="pct"/>
            <w:noWrap w:val="0"/>
            <w:vAlign w:val="center"/>
          </w:tcPr>
          <w:p>
            <w:pPr>
              <w:pStyle w:val="149"/>
              <w:spacing w:before="62" w:beforeLines="20" w:after="62" w:afterLines="20"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pPr>
              <w:pStyle w:val="156"/>
              <w:spacing w:before="62" w:beforeLines="20" w:after="62" w:afterLines="20" w:line="276" w:lineRule="auto"/>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spacing w:line="276" w:lineRule="auto"/>
              <w:rPr>
                <w:color w:val="auto"/>
              </w:rPr>
            </w:pPr>
            <w:r>
              <w:rPr>
                <w:rFonts w:hint="eastAsia" w:ascii="仿宋" w:hAnsi="仿宋" w:eastAsia="仿宋" w:cs="仿宋"/>
                <w:b/>
                <w:color w:val="auto"/>
                <w:szCs w:val="21"/>
                <w:highlight w:val="none"/>
              </w:rPr>
              <w:t>详细评审索引表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149"/>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149"/>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149"/>
              <w:spacing w:before="62" w:beforeLines="20" w:after="62" w:afterLines="20"/>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（一）报价一览表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（二）分项报价表</w:t>
            </w:r>
            <w:r>
              <w:rPr>
                <w:rFonts w:hint="eastAsia" w:ascii="仿宋" w:hAnsi="仿宋" w:eastAsia="仿宋" w:cs="宋体"/>
                <w:color w:val="auto"/>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3586" w:type="pct"/>
            <w:noWrap w:val="0"/>
            <w:vAlign w:val="center"/>
          </w:tcPr>
          <w:p>
            <w:pPr>
              <w:autoSpaceDE w:val="0"/>
              <w:autoSpaceDN w:val="0"/>
              <w:spacing w:line="360" w:lineRule="auto"/>
              <w:rPr>
                <w:rFonts w:hint="eastAsia" w:ascii="仿宋" w:hAnsi="仿宋" w:eastAsia="仿宋" w:cs="宋体"/>
                <w:bCs/>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3586" w:type="pct"/>
            <w:noWrap w:val="0"/>
            <w:vAlign w:val="center"/>
          </w:tcPr>
          <w:p>
            <w:pPr>
              <w:pStyle w:val="139"/>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139"/>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139"/>
              <w:topLinePunct/>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磋商响应报价</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2）磋商小组将视磋商情况决定是否进行多轮次报价，供应商</w:t>
            </w:r>
            <w:r>
              <w:rPr>
                <w:rFonts w:hint="eastAsia" w:ascii="仿宋" w:hAnsi="仿宋" w:eastAsia="仿宋" w:cs="仿宋"/>
                <w:color w:val="auto"/>
                <w:highlight w:val="none"/>
                <w:u w:val="single"/>
              </w:rPr>
              <w:t>最后一轮磋商提交的报价</w:t>
            </w:r>
            <w:r>
              <w:rPr>
                <w:rFonts w:hint="eastAsia" w:ascii="仿宋" w:hAnsi="仿宋" w:eastAsia="仿宋" w:cs="仿宋"/>
                <w:color w:val="auto"/>
                <w:highlight w:val="none"/>
              </w:rPr>
              <w:t>将作为该供应商的</w:t>
            </w:r>
            <w:r>
              <w:rPr>
                <w:rFonts w:hint="eastAsia" w:ascii="仿宋" w:hAnsi="仿宋" w:eastAsia="仿宋" w:cs="仿宋"/>
                <w:b/>
                <w:bCs/>
                <w:color w:val="auto"/>
                <w:highlight w:val="none"/>
              </w:rPr>
              <w:t>最终报价</w:t>
            </w:r>
            <w:r>
              <w:rPr>
                <w:rFonts w:hint="eastAsia" w:ascii="仿宋" w:hAnsi="仿宋" w:eastAsia="仿宋" w:cs="仿宋"/>
                <w:color w:val="auto"/>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★磋商响应有效期</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rPr>
              <w:t>磋商响应有效期：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default" w:ascii="仿宋" w:hAnsi="仿宋" w:eastAsia="仿宋" w:cs="仿宋"/>
                <w:color w:val="auto"/>
                <w:szCs w:val="21"/>
                <w:highlight w:val="none"/>
                <w:lang w:val="en-US" w:eastAsia="zh-CN"/>
              </w:rPr>
            </w:pPr>
            <w:r>
              <w:rPr>
                <w:rFonts w:hint="eastAsia" w:ascii="仿宋" w:hAnsi="仿宋" w:eastAsia="仿宋" w:cs="宋体"/>
                <w:color w:val="auto"/>
                <w:szCs w:val="21"/>
                <w:highlight w:val="none"/>
              </w:rPr>
              <w:t>★磋商保证金</w:t>
            </w:r>
            <w:r>
              <w:rPr>
                <w:rFonts w:hint="eastAsia" w:ascii="仿宋" w:hAnsi="仿宋" w:eastAsia="仿宋" w:cs="宋体"/>
                <w:color w:val="auto"/>
                <w:szCs w:val="21"/>
                <w:highlight w:val="none"/>
                <w:lang w:val="en-US" w:eastAsia="zh-CN"/>
              </w:rPr>
              <w:t>的金额</w:t>
            </w:r>
          </w:p>
        </w:tc>
        <w:tc>
          <w:tcPr>
            <w:tcW w:w="3588" w:type="pct"/>
            <w:gridSpan w:val="2"/>
            <w:noWrap w:val="0"/>
            <w:vAlign w:val="center"/>
          </w:tcPr>
          <w:p>
            <w:pPr>
              <w:pStyle w:val="156"/>
              <w:spacing w:before="62" w:beforeLines="20" w:after="62" w:afterLines="2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磋商保证金金额：</w:t>
            </w:r>
            <w:r>
              <w:rPr>
                <w:rFonts w:hint="eastAsia" w:ascii="仿宋" w:hAnsi="仿宋" w:eastAsia="仿宋" w:cs="仿宋"/>
                <w:color w:val="auto"/>
                <w:highlight w:val="none"/>
                <w:u w:val="single"/>
                <w:lang w:val="en-US" w:eastAsia="zh-CN"/>
              </w:rPr>
              <w:t>无</w:t>
            </w:r>
            <w:r>
              <w:rPr>
                <w:rFonts w:hint="eastAsia" w:ascii="仿宋" w:hAnsi="仿宋" w:eastAsia="仿宋"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pStyle w:val="156"/>
              <w:spacing w:before="62" w:beforeLines="20" w:after="62" w:afterLines="20" w:line="360" w:lineRule="auto"/>
              <w:jc w:val="center"/>
              <w:rPr>
                <w:rFonts w:hint="eastAsia" w:ascii="仿宋" w:hAnsi="仿宋" w:eastAsia="仿宋" w:cs="仿宋"/>
                <w:color w:val="auto"/>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响应文件的份数</w:t>
            </w:r>
          </w:p>
        </w:tc>
        <w:tc>
          <w:tcPr>
            <w:tcW w:w="3586" w:type="pct"/>
            <w:noWrap w:val="0"/>
            <w:vAlign w:val="center"/>
          </w:tcPr>
          <w:p>
            <w:pPr>
              <w:pStyle w:val="16"/>
              <w:rPr>
                <w:rFonts w:hint="eastAsia" w:ascii="仿宋" w:hAnsi="仿宋" w:eastAsia="仿宋" w:cs="宋体"/>
                <w:color w:val="auto"/>
                <w:highlight w:val="none"/>
              </w:rPr>
            </w:pPr>
            <w:r>
              <w:rPr>
                <w:rFonts w:hint="eastAsia" w:ascii="仿宋" w:hAnsi="仿宋" w:eastAsia="仿宋" w:cs="宋体"/>
                <w:color w:val="auto"/>
                <w:sz w:val="21"/>
                <w:szCs w:val="21"/>
                <w:highlight w:val="none"/>
              </w:rPr>
              <w:t>电子文件1份（具体格式要求：正本加盖公章及签字的彩色扫描件PDF版）；纸质文件正本 1 份，副本0份。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纸质</w:t>
            </w:r>
            <w:r>
              <w:rPr>
                <w:rFonts w:hint="eastAsia" w:ascii="仿宋" w:hAnsi="仿宋" w:eastAsia="仿宋" w:cs="仿宋"/>
                <w:color w:val="auto"/>
                <w:szCs w:val="21"/>
                <w:highlight w:val="none"/>
              </w:rPr>
              <w:t>响应文件的装订、密封和标记</w:t>
            </w:r>
          </w:p>
        </w:tc>
        <w:tc>
          <w:tcPr>
            <w:tcW w:w="3586" w:type="pct"/>
            <w:noWrap w:val="0"/>
            <w:vAlign w:val="center"/>
          </w:tcPr>
          <w:p>
            <w:pPr>
              <w:spacing w:line="360" w:lineRule="auto"/>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auto"/>
                <w:szCs w:val="21"/>
                <w:highlight w:val="none"/>
                <w:lang w:eastAsia="zh-Hans"/>
              </w:rPr>
              <w:t>纸质</w:t>
            </w:r>
            <w:r>
              <w:rPr>
                <w:rFonts w:hint="eastAsia" w:ascii="仿宋" w:hAnsi="仿宋" w:eastAsia="仿宋" w:cs="Cambria Math"/>
                <w:color w:val="auto"/>
                <w:szCs w:val="21"/>
                <w:highlight w:val="none"/>
              </w:rPr>
              <w:t>响应文件不予接收。</w:t>
            </w:r>
          </w:p>
          <w:p>
            <w:pPr>
              <w:rPr>
                <w:rFonts w:ascii="仿宋" w:hAnsi="仿宋" w:eastAsia="仿宋"/>
                <w:color w:val="auto"/>
                <w:highlight w:val="none"/>
              </w:rPr>
            </w:pPr>
            <w:r>
              <w:rPr>
                <w:rFonts w:hint="eastAsia" w:ascii="仿宋" w:hAnsi="仿宋" w:eastAsia="仿宋" w:cs="Cambria Math"/>
                <w:color w:val="auto"/>
                <w:szCs w:val="21"/>
                <w:highlight w:val="none"/>
              </w:rPr>
              <w:t>（2）外层包封具体样式如下：</w:t>
            </w:r>
          </w:p>
          <w:p>
            <w:pPr>
              <w:pStyle w:val="156"/>
              <w:spacing w:before="62" w:beforeLines="20" w:after="62" w:afterLines="20" w:line="360" w:lineRule="auto"/>
              <w:rPr>
                <w:rFonts w:hint="eastAsia" w:ascii="仿宋" w:hAnsi="仿宋" w:eastAsia="仿宋" w:cs="Cambria Math"/>
                <w:b/>
                <w:color w:val="auto"/>
                <w:highlight w:val="none"/>
              </w:rPr>
            </w:pPr>
            <w:r>
              <w:rPr>
                <w:rFonts w:hint="eastAsia" w:ascii="仿宋" w:hAnsi="仿宋" w:eastAsia="仿宋" w:cs="仿宋"/>
                <w:color w:val="auto"/>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5</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5</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响应文件的递交</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公告“五、响应文件的递交”</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组建磋商小组</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本项目磋商小组成员人数为</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磋商程序及方式</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（1）磋商小组将与通过初步评审的有效供应商按照</w:t>
            </w:r>
            <w:r>
              <w:rPr>
                <w:rFonts w:hint="eastAsia" w:ascii="仿宋" w:hAnsi="仿宋" w:eastAsia="仿宋" w:cs="仿宋"/>
                <w:color w:val="auto"/>
                <w:highlight w:val="none"/>
                <w:u w:val="single"/>
              </w:rPr>
              <w:t>响应文件递交顺序</w:t>
            </w:r>
            <w:r>
              <w:rPr>
                <w:rFonts w:hint="eastAsia" w:ascii="仿宋" w:hAnsi="仿宋" w:eastAsia="仿宋" w:cs="仿宋"/>
                <w:color w:val="auto"/>
                <w:highlight w:val="none"/>
              </w:rPr>
              <w:t>逐一进行磋商，供应商至少应派法定代表人或其授权委托人准时参会。</w:t>
            </w:r>
          </w:p>
          <w:p>
            <w:pPr>
              <w:pStyle w:val="156"/>
              <w:spacing w:before="62" w:beforeLines="20" w:after="62" w:afterLines="20" w:line="360" w:lineRule="auto"/>
              <w:rPr>
                <w:rFonts w:ascii="仿宋" w:hAnsi="仿宋" w:eastAsia="仿宋" w:cs="仿宋"/>
                <w:color w:val="auto"/>
                <w:highlight w:val="none"/>
              </w:rPr>
            </w:pPr>
            <w:r>
              <w:rPr>
                <w:rFonts w:hint="eastAsia" w:ascii="仿宋" w:hAnsi="仿宋" w:eastAsia="仿宋" w:cs="仿宋"/>
                <w:color w:val="auto"/>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磋商内容</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rPr>
              <w:t>包含但不仅限于</w:t>
            </w:r>
            <w:r>
              <w:rPr>
                <w:rFonts w:hint="eastAsia" w:ascii="仿宋" w:hAnsi="仿宋" w:eastAsia="仿宋" w:cs="仿宋"/>
                <w:color w:val="auto"/>
                <w:highlight w:val="none"/>
                <w:u w:val="single"/>
              </w:rPr>
              <w:t>报价、对采购需求的理解、</w:t>
            </w:r>
            <w:r>
              <w:rPr>
                <w:rFonts w:hint="eastAsia" w:ascii="仿宋" w:hAnsi="仿宋" w:eastAsia="仿宋" w:cs="仿宋"/>
                <w:color w:val="auto"/>
                <w:highlight w:val="none"/>
                <w:u w:val="single"/>
                <w:lang w:val="en-US" w:eastAsia="zh-CN"/>
              </w:rPr>
              <w:t>食材配送</w:t>
            </w:r>
            <w:r>
              <w:rPr>
                <w:rFonts w:hint="eastAsia" w:ascii="仿宋" w:hAnsi="仿宋" w:eastAsia="仿宋" w:cs="仿宋"/>
                <w:color w:val="auto"/>
                <w:highlight w:val="none"/>
                <w:u w:val="single"/>
              </w:rPr>
              <w:t>、实施方案、人员配置、服务承诺、商务条款</w:t>
            </w:r>
            <w:r>
              <w:rPr>
                <w:rFonts w:hint="eastAsia" w:ascii="仿宋" w:hAnsi="仿宋" w:eastAsia="仿宋" w:cs="仿宋"/>
                <w:color w:val="auto"/>
                <w:highlight w:val="none"/>
              </w:rPr>
              <w:t>等</w:t>
            </w:r>
            <w:r>
              <w:rPr>
                <w:rFonts w:hint="eastAsia" w:ascii="仿宋" w:hAnsi="仿宋" w:eastAsia="仿宋" w:cs="仿宋"/>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磋商小组根据有效供应商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综合得分前</w:t>
            </w:r>
            <w:r>
              <w:rPr>
                <w:rFonts w:hint="eastAsia" w:ascii="仿宋" w:hAnsi="仿宋" w:eastAsia="仿宋" w:cs="宋体"/>
                <w:color w:val="auto"/>
                <w:highlight w:val="none"/>
                <w:u w:val="single"/>
                <w:lang w:val="en-US" w:eastAsia="zh-CN"/>
              </w:rPr>
              <w:t>2</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为成交候选人。</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lang w:val="en-US" w:eastAsia="zh-CN"/>
              </w:rPr>
              <w:t>服务</w:t>
            </w:r>
            <w:r>
              <w:rPr>
                <w:rFonts w:hint="eastAsia" w:ascii="仿宋" w:hAnsi="仿宋" w:eastAsia="仿宋" w:cs="仿宋"/>
                <w:color w:val="auto"/>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成交人数量</w:t>
            </w:r>
          </w:p>
        </w:tc>
        <w:tc>
          <w:tcPr>
            <w:tcW w:w="3586" w:type="pct"/>
            <w:noWrap w:val="0"/>
            <w:vAlign w:val="center"/>
          </w:tcPr>
          <w:p>
            <w:pPr>
              <w:pStyle w:val="156"/>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lang w:val="en-US" w:eastAsia="zh-CN"/>
              </w:rPr>
              <w:t>2</w:t>
            </w:r>
            <w:r>
              <w:rPr>
                <w:rFonts w:hint="eastAsia" w:ascii="仿宋" w:hAnsi="仿宋" w:eastAsia="仿宋" w:cs="仿宋"/>
                <w:color w:val="auto"/>
                <w:highlight w:val="none"/>
                <w:u w:val="single"/>
              </w:rPr>
              <w:t>家</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u w:val="single"/>
              </w:rPr>
              <w:t>综合排名前</w:t>
            </w:r>
            <w:r>
              <w:rPr>
                <w:rFonts w:hint="eastAsia" w:ascii="仿宋" w:hAnsi="仿宋" w:eastAsia="仿宋" w:cs="宋体"/>
                <w:color w:val="auto"/>
                <w:highlight w:val="none"/>
                <w:u w:val="single"/>
                <w:lang w:val="en-US" w:eastAsia="zh-CN"/>
              </w:rPr>
              <w:t>2</w:t>
            </w:r>
            <w:r>
              <w:rPr>
                <w:rFonts w:hint="eastAsia" w:ascii="仿宋" w:hAnsi="仿宋" w:eastAsia="仿宋" w:cs="宋体"/>
                <w:color w:val="auto"/>
                <w:highlight w:val="none"/>
                <w:u w:val="single"/>
              </w:rPr>
              <w:t>位中的某一个</w:t>
            </w:r>
            <w:r>
              <w:rPr>
                <w:rFonts w:hint="eastAsia" w:ascii="仿宋" w:hAnsi="仿宋" w:eastAsia="仿宋" w:cs="仿宋"/>
                <w:color w:val="auto"/>
                <w:highlight w:val="none"/>
              </w:rPr>
              <w:t>成交候选人放弃成交、因不可抗力不能履行合同、</w:t>
            </w:r>
            <w:r>
              <w:rPr>
                <w:rFonts w:hint="eastAsia" w:ascii="仿宋" w:hAnsi="仿宋" w:eastAsia="仿宋" w:cs="宋体"/>
                <w:color w:val="auto"/>
                <w:highlight w:val="none"/>
              </w:rPr>
              <w:t>不按照磋商文件要求</w:t>
            </w:r>
            <w:r>
              <w:rPr>
                <w:rFonts w:hint="eastAsia" w:ascii="仿宋" w:hAnsi="仿宋" w:eastAsia="仿宋" w:cs="仿宋"/>
                <w:color w:val="auto"/>
                <w:highlight w:val="none"/>
              </w:rPr>
              <w:t>、存在重大经营或法律风险、被查实存在影响采购结果的违法行为等情形，采购人按照磋商小组提出的成交候选人名单排序依次确定其他成交候选人为成交人</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经公开征集，最终报名或响应的供应商少于或等于2家时，可由比选变更采购方式为单一采购。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86" w:type="pct"/>
            <w:noWrap w:val="0"/>
            <w:vAlign w:val="center"/>
          </w:tcPr>
          <w:p>
            <w:pPr>
              <w:pStyle w:val="156"/>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bl>
    <w:p>
      <w:pPr>
        <w:pStyle w:val="4"/>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33" w:name="_Toc6047"/>
      <w:bookmarkStart w:id="34" w:name="_Toc27232"/>
      <w:bookmarkStart w:id="35" w:name="_Toc444891336"/>
      <w:bookmarkStart w:id="36" w:name="_Toc287600118"/>
      <w:bookmarkStart w:id="37" w:name="_Toc11071"/>
      <w:bookmarkStart w:id="38" w:name="_Toc20514"/>
      <w:bookmarkStart w:id="39" w:name="_Toc517281816"/>
      <w:bookmarkStart w:id="40" w:name="_Toc19783313"/>
      <w:bookmarkStart w:id="41" w:name="_Toc27220"/>
      <w:r>
        <w:rPr>
          <w:rFonts w:hint="eastAsia" w:ascii="仿宋" w:hAnsi="仿宋" w:eastAsia="仿宋" w:cs="仿宋"/>
          <w:color w:val="auto"/>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auto"/>
          <w:sz w:val="24"/>
          <w:szCs w:val="24"/>
          <w:highlight w:val="none"/>
        </w:rPr>
        <w:t>正文</w:t>
      </w:r>
      <w:bookmarkEnd w:id="41"/>
    </w:p>
    <w:p>
      <w:pPr>
        <w:pStyle w:val="5"/>
        <w:spacing w:before="0" w:after="0" w:line="360" w:lineRule="auto"/>
        <w:ind w:firstLine="482"/>
        <w:rPr>
          <w:rFonts w:hint="eastAsia" w:ascii="仿宋" w:hAnsi="仿宋" w:eastAsia="仿宋" w:cs="仿宋"/>
          <w:color w:val="auto"/>
          <w:sz w:val="24"/>
          <w:szCs w:val="24"/>
          <w:highlight w:val="none"/>
        </w:rPr>
      </w:pPr>
      <w:bookmarkStart w:id="42" w:name="_Toc16441"/>
      <w:bookmarkStart w:id="43" w:name="_Toc22969"/>
      <w:bookmarkStart w:id="44" w:name="_Toc11851"/>
      <w:bookmarkStart w:id="45" w:name="_Toc431"/>
      <w:bookmarkStart w:id="46" w:name="_Toc19783314"/>
      <w:bookmarkStart w:id="47" w:name="_Toc444891337"/>
      <w:bookmarkStart w:id="48" w:name="_Toc3678"/>
      <w:bookmarkStart w:id="49" w:name="_Toc6681"/>
      <w:bookmarkStart w:id="50" w:name="_Toc517281817"/>
      <w:bookmarkStart w:id="51" w:name="_Toc287600119"/>
      <w:r>
        <w:rPr>
          <w:rFonts w:hint="eastAsia" w:ascii="仿宋" w:hAnsi="仿宋" w:eastAsia="仿宋" w:cs="仿宋"/>
          <w:color w:val="auto"/>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本项目按照中华人民共和国有关法律、行政法规和部门规章以及采购人的采购管理制度，通过</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方式确定签约供应商。</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auto"/>
          <w:sz w:val="24"/>
          <w:highlight w:val="none"/>
        </w:rPr>
      </w:pP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详细内容详见第五章采购需求。</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资金来源于</w:t>
      </w:r>
      <w:r>
        <w:rPr>
          <w:rFonts w:hint="eastAsia" w:ascii="仿宋" w:hAnsi="仿宋" w:eastAsia="仿宋" w:cs="仿宋"/>
          <w:color w:val="auto"/>
          <w:sz w:val="24"/>
          <w:highlight w:val="none"/>
          <w:lang w:val="en-US" w:eastAsia="zh-CN"/>
        </w:rPr>
        <w:t>中国人民财产保险股份有限公司特克斯支公司自付</w:t>
      </w:r>
      <w:r>
        <w:rPr>
          <w:rFonts w:hint="eastAsia" w:ascii="仿宋" w:hAnsi="仿宋" w:eastAsia="仿宋" w:cs="仿宋"/>
          <w:color w:val="auto"/>
          <w:sz w:val="24"/>
          <w:highlight w:val="none"/>
        </w:rPr>
        <w:t>（比例100%），且资金已落实。</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4.1</w:t>
      </w:r>
      <w:r>
        <w:rPr>
          <w:rFonts w:hint="eastAsia" w:ascii="仿宋" w:hAnsi="仿宋" w:eastAsia="仿宋" w:cs="宋体"/>
          <w:color w:val="auto"/>
          <w:kern w:val="0"/>
          <w:sz w:val="24"/>
          <w:highlight w:val="none"/>
        </w:rPr>
        <w:t>资格预审：是指在递交响应文件前对潜在供应商进行的资格审查。采用资格预审方式的，资格条件已经在磋商文件发出前的资格预审文件中作出规定。</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kern w:val="0"/>
          <w:sz w:val="24"/>
          <w:highlight w:val="none"/>
          <w:u w:val="single"/>
        </w:rPr>
        <w:t>详见本须知前附表。</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pPr>
        <w:spacing w:line="360" w:lineRule="auto"/>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不论结果如何，</w:t>
      </w:r>
      <w:r>
        <w:rPr>
          <w:rFonts w:hint="eastAsia" w:ascii="仿宋" w:hAnsi="仿宋" w:eastAsia="仿宋" w:cs="仿宋"/>
          <w:color w:val="auto"/>
          <w:sz w:val="24"/>
          <w:highlight w:val="none"/>
        </w:rPr>
        <w:t>供应商</w:t>
      </w:r>
      <w:r>
        <w:rPr>
          <w:rFonts w:hint="eastAsia" w:ascii="仿宋" w:hAnsi="仿宋" w:eastAsia="仿宋" w:cs="宋体"/>
          <w:color w:val="auto"/>
          <w:sz w:val="24"/>
          <w:highlight w:val="none"/>
        </w:rPr>
        <w:t>自行承担所有准备和参与本次磋商响应的有关费用。</w:t>
      </w:r>
    </w:p>
    <w:p>
      <w:pPr>
        <w:pStyle w:val="5"/>
        <w:spacing w:after="0" w:line="360" w:lineRule="auto"/>
        <w:ind w:firstLine="482"/>
        <w:rPr>
          <w:rFonts w:hint="eastAsia" w:ascii="仿宋" w:hAnsi="仿宋" w:eastAsia="仿宋" w:cs="仿宋"/>
          <w:color w:val="auto"/>
          <w:sz w:val="24"/>
          <w:szCs w:val="24"/>
          <w:highlight w:val="none"/>
        </w:rPr>
      </w:pPr>
      <w:bookmarkStart w:id="52" w:name="_Toc3016"/>
      <w:bookmarkStart w:id="53" w:name="_Toc10975"/>
      <w:bookmarkStart w:id="54" w:name="_Toc24246"/>
      <w:bookmarkStart w:id="55" w:name="_Toc517281818"/>
      <w:bookmarkStart w:id="56" w:name="_Toc19783315"/>
      <w:bookmarkStart w:id="57" w:name="_Toc287600120"/>
      <w:bookmarkStart w:id="58" w:name="_Toc5255"/>
      <w:bookmarkStart w:id="59" w:name="_Toc25513"/>
      <w:bookmarkStart w:id="60" w:name="_Toc444891338"/>
      <w:bookmarkStart w:id="61" w:name="_Toc14164"/>
      <w:r>
        <w:rPr>
          <w:rFonts w:hint="eastAsia" w:ascii="仿宋" w:hAnsi="仿宋" w:eastAsia="仿宋" w:cs="仿宋"/>
          <w:color w:val="auto"/>
          <w:sz w:val="24"/>
          <w:szCs w:val="24"/>
          <w:highlight w:val="none"/>
        </w:rPr>
        <w:t>（二）磋商文件</w:t>
      </w:r>
      <w:bookmarkEnd w:id="52"/>
      <w:bookmarkEnd w:id="53"/>
      <w:bookmarkEnd w:id="54"/>
      <w:bookmarkEnd w:id="55"/>
      <w:bookmarkEnd w:id="56"/>
      <w:bookmarkEnd w:id="57"/>
      <w:bookmarkEnd w:id="58"/>
      <w:bookmarkEnd w:id="59"/>
      <w:bookmarkEnd w:id="60"/>
      <w:bookmarkEnd w:id="61"/>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6.1磋商文件包括下列内容：</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公告</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第六章 响应文件格式</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ascii="仿宋" w:hAnsi="仿宋" w:eastAsia="仿宋" w:cs="仿宋"/>
          <w:color w:val="auto"/>
          <w:kern w:val="0"/>
          <w:sz w:val="24"/>
          <w:highlight w:val="none"/>
        </w:rPr>
        <w:t>2</w:t>
      </w:r>
      <w:r>
        <w:rPr>
          <w:rFonts w:hint="eastAsia" w:ascii="仿宋" w:hAnsi="仿宋" w:eastAsia="仿宋" w:cs="仿宋"/>
          <w:color w:val="auto"/>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kern w:val="0"/>
          <w:sz w:val="24"/>
          <w:highlight w:val="none"/>
          <w:u w:val="single"/>
        </w:rPr>
        <w:t>见本须知前附表</w:t>
      </w:r>
      <w:r>
        <w:rPr>
          <w:rFonts w:hint="eastAsia" w:ascii="仿宋" w:hAnsi="仿宋" w:eastAsia="仿宋" w:cs="仿宋"/>
          <w:color w:val="auto"/>
          <w:kern w:val="0"/>
          <w:sz w:val="24"/>
          <w:highlight w:val="none"/>
        </w:rPr>
        <w:t>。</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仿宋"/>
          <w:color w:val="auto"/>
          <w:sz w:val="24"/>
          <w:highlight w:val="none"/>
        </w:rPr>
        <w:t>7.1潜在</w:t>
      </w:r>
      <w:r>
        <w:rPr>
          <w:rFonts w:hint="eastAsia" w:ascii="仿宋" w:hAnsi="仿宋" w:eastAsia="仿宋" w:cs="宋体"/>
          <w:color w:val="auto"/>
          <w:kern w:val="0"/>
          <w:sz w:val="24"/>
          <w:highlight w:val="none"/>
        </w:rPr>
        <w:t>供应商对</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有疑问的，应当按照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规定的时间和方式，要求采购人对</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进行澄清。</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7.2</w:t>
      </w:r>
      <w:r>
        <w:rPr>
          <w:rFonts w:hint="eastAsia" w:ascii="仿宋" w:hAnsi="仿宋" w:eastAsia="仿宋" w:cs="仿宋"/>
          <w:color w:val="auto"/>
          <w:sz w:val="24"/>
          <w:highlight w:val="none"/>
        </w:rPr>
        <w:t>采购人在响应文件递交截止时间前，可以书面形式发出的对磋商文件的澄清或修改内容，</w:t>
      </w:r>
      <w:r>
        <w:rPr>
          <w:rFonts w:hint="eastAsia" w:ascii="仿宋" w:hAnsi="仿宋" w:eastAsia="仿宋" w:cs="宋体"/>
          <w:color w:val="auto"/>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auto"/>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w:t>
      </w:r>
      <w:r>
        <w:rPr>
          <w:rFonts w:hint="eastAsia" w:ascii="仿宋" w:hAnsi="仿宋" w:eastAsia="仿宋" w:cs="宋体"/>
          <w:color w:val="auto"/>
          <w:kern w:val="0"/>
          <w:sz w:val="24"/>
          <w:highlight w:val="none"/>
        </w:rPr>
        <w:t>4</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所有关于</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的澄清和修改均作为</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的补充部分。</w:t>
      </w:r>
      <w:r>
        <w:rPr>
          <w:rFonts w:hint="eastAsia" w:ascii="仿宋" w:hAnsi="仿宋" w:eastAsia="仿宋" w:cs="仿宋"/>
          <w:color w:val="auto"/>
          <w:sz w:val="24"/>
          <w:highlight w:val="none"/>
        </w:rPr>
        <w:t>当磋商文件、磋商文件的澄清或修改等在同一内容的表述上不一致时，以最后发出的书面文件为准。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pPr>
        <w:spacing w:line="360" w:lineRule="auto"/>
        <w:textAlignment w:val="baseline"/>
        <w:rPr>
          <w:rFonts w:hint="eastAsia" w:ascii="仿宋" w:hAnsi="仿宋" w:eastAsia="仿宋" w:cs="宋体"/>
          <w:color w:val="auto"/>
          <w:sz w:val="24"/>
          <w:highlight w:val="none"/>
          <w:u w:val="single"/>
          <w:lang w:eastAsia="zh-CN"/>
        </w:rPr>
      </w:pPr>
      <w:r>
        <w:rPr>
          <w:rFonts w:hint="eastAsia" w:ascii="仿宋" w:hAnsi="仿宋" w:eastAsia="仿宋" w:cs="宋体"/>
          <w:color w:val="auto"/>
          <w:sz w:val="24"/>
          <w:highlight w:val="none"/>
        </w:rPr>
        <w:t>采购人认为必要时，将召开磋商响应预备会(答疑会)，公开解答潜在供应商对磋商文件提出的疑问</w:t>
      </w:r>
      <w:r>
        <w:rPr>
          <w:rFonts w:hint="eastAsia" w:ascii="仿宋" w:hAnsi="仿宋" w:eastAsia="仿宋" w:cs="宋体"/>
          <w:color w:val="auto"/>
          <w:sz w:val="24"/>
          <w:highlight w:val="none"/>
          <w:lang w:eastAsia="zh-CN"/>
        </w:rPr>
        <w:t>。</w:t>
      </w:r>
    </w:p>
    <w:p>
      <w:pPr>
        <w:pStyle w:val="5"/>
        <w:numPr>
          <w:ilvl w:val="0"/>
          <w:numId w:val="0"/>
        </w:numPr>
        <w:spacing w:after="0" w:line="360" w:lineRule="auto"/>
        <w:jc w:val="center"/>
        <w:rPr>
          <w:rFonts w:hint="eastAsia" w:ascii="仿宋" w:hAnsi="仿宋" w:eastAsia="仿宋" w:cs="仿宋"/>
          <w:color w:val="auto"/>
          <w:sz w:val="24"/>
          <w:szCs w:val="24"/>
          <w:highlight w:val="none"/>
        </w:rPr>
      </w:pPr>
      <w:bookmarkStart w:id="62" w:name="_Toc27642"/>
      <w:bookmarkStart w:id="63" w:name="_Toc14308"/>
      <w:bookmarkStart w:id="64" w:name="_Toc444891339"/>
      <w:bookmarkStart w:id="65" w:name="_Toc27563"/>
      <w:bookmarkStart w:id="66" w:name="_Toc517281819"/>
      <w:bookmarkStart w:id="67" w:name="_Toc287600121"/>
      <w:bookmarkStart w:id="68" w:name="_Toc16985"/>
      <w:bookmarkStart w:id="69" w:name="_Toc31141"/>
      <w:bookmarkStart w:id="70" w:name="_Toc19783316"/>
      <w:bookmarkStart w:id="71" w:name="_Toc13691"/>
      <w:r>
        <w:rPr>
          <w:rFonts w:hint="eastAsia" w:ascii="仿宋" w:hAnsi="仿宋" w:eastAsia="仿宋" w:cs="仿宋"/>
          <w:color w:val="auto"/>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6"/>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jc w:val="left"/>
        <w:rPr>
          <w:rFonts w:hint="eastAsia" w:ascii="仿宋" w:hAnsi="仿宋" w:eastAsia="仿宋" w:cs="仿宋"/>
          <w:color w:val="auto"/>
          <w:sz w:val="24"/>
          <w:highlight w:val="none"/>
        </w:rPr>
      </w:pPr>
      <w:r>
        <w:rPr>
          <w:rFonts w:hint="eastAsia" w:ascii="仿宋" w:hAnsi="仿宋" w:eastAsia="仿宋" w:cs="宋体"/>
          <w:color w:val="auto"/>
          <w:sz w:val="24"/>
          <w:highlight w:val="none"/>
        </w:rPr>
        <w:t>供应商应当按照供应商须知前附表的要求制作并提交响应文件，具体组成</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pPr>
        <w:pStyle w:val="6"/>
        <w:spacing w:before="0" w:after="0" w:line="360" w:lineRule="auto"/>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0.3 </w:t>
      </w:r>
      <w:r>
        <w:rPr>
          <w:rFonts w:hint="eastAsia" w:ascii="仿宋" w:hAnsi="仿宋" w:eastAsia="仿宋" w:cs="宋体"/>
          <w:color w:val="auto"/>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0.4 </w:t>
      </w:r>
      <w:r>
        <w:rPr>
          <w:rFonts w:hint="eastAsia" w:ascii="仿宋" w:hAnsi="仿宋" w:eastAsia="仿宋" w:cs="宋体"/>
          <w:color w:val="auto"/>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5</w:t>
      </w:r>
      <w:r>
        <w:rPr>
          <w:rFonts w:hint="eastAsia" w:ascii="仿宋" w:hAnsi="仿宋" w:eastAsia="仿宋" w:cs="宋体"/>
          <w:color w:val="auto"/>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auto"/>
          <w:kern w:val="0"/>
          <w:sz w:val="24"/>
          <w:highlight w:val="none"/>
          <w:u w:val="singl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6</w:t>
      </w:r>
      <w:r>
        <w:rPr>
          <w:rFonts w:hint="eastAsia" w:ascii="仿宋" w:hAnsi="仿宋" w:eastAsia="仿宋" w:cs="宋体"/>
          <w:color w:val="auto"/>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auto"/>
          <w:kern w:val="0"/>
          <w:sz w:val="24"/>
          <w:highlight w:val="none"/>
        </w:rPr>
        <w:t>盖章或者签字另有要求的，</w:t>
      </w:r>
      <w:r>
        <w:rPr>
          <w:rFonts w:hint="eastAsia" w:ascii="仿宋" w:hAnsi="仿宋" w:eastAsia="仿宋" w:cs="宋体"/>
          <w:color w:val="auto"/>
          <w:kern w:val="0"/>
          <w:sz w:val="24"/>
          <w:highlight w:val="none"/>
          <w:u w:val="single"/>
        </w:rPr>
        <w:t>见本须知前附表。</w:t>
      </w:r>
    </w:p>
    <w:bookmarkEnd w:id="72"/>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0.7</w:t>
      </w:r>
      <w:r>
        <w:rPr>
          <w:rFonts w:hint="eastAsia" w:ascii="仿宋" w:hAnsi="仿宋" w:eastAsia="仿宋" w:cs="仿宋"/>
          <w:color w:val="auto"/>
          <w:sz w:val="24"/>
          <w:highlight w:val="none"/>
        </w:rPr>
        <w:t>除工程规范另有规定外，响应文件使用的度量衡单位，均采用中华人民共和国法定计量单位。</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供应商须知前附表</w:t>
      </w:r>
      <w:r>
        <w:rPr>
          <w:rFonts w:hint="eastAsia" w:ascii="仿宋" w:hAnsi="仿宋" w:eastAsia="仿宋" w:cs="仿宋"/>
          <w:color w:val="auto"/>
          <w:sz w:val="24"/>
          <w:highlight w:val="none"/>
        </w:rPr>
        <w:t>。</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.磋商响应有效期</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.1 磋商响应有效期从响应文件递交截止之日起算，具体时间</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供应商拒绝延长的，其磋商响应失效。</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.响应文件的式样、密封和标记</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3</w:t>
      </w:r>
      <w:r>
        <w:rPr>
          <w:rFonts w:hint="eastAsia" w:ascii="仿宋" w:hAnsi="仿宋" w:eastAsia="仿宋" w:cs="宋体"/>
          <w:color w:val="auto"/>
          <w:kern w:val="0"/>
          <w:sz w:val="24"/>
          <w:highlight w:val="none"/>
        </w:rPr>
        <w:t>.1 供应商应当编制一份响应文件“正本”和</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所述份数的“副本”和“电子版”，副本为正本复印件。纸质版文件与电子版文件不一致时，以</w:t>
      </w:r>
      <w:r>
        <w:rPr>
          <w:rFonts w:hint="eastAsia" w:ascii="仿宋" w:hAnsi="仿宋" w:eastAsia="仿宋" w:cs="宋体"/>
          <w:b/>
          <w:bCs/>
          <w:color w:val="auto"/>
          <w:kern w:val="0"/>
          <w:sz w:val="24"/>
          <w:highlight w:val="none"/>
          <w:lang w:eastAsia="zh-Hans"/>
        </w:rPr>
        <w:t>电子版</w:t>
      </w:r>
      <w:r>
        <w:rPr>
          <w:rFonts w:hint="eastAsia" w:ascii="仿宋" w:hAnsi="仿宋" w:eastAsia="仿宋" w:cs="宋体"/>
          <w:color w:val="auto"/>
          <w:kern w:val="0"/>
          <w:sz w:val="24"/>
          <w:highlight w:val="none"/>
        </w:rPr>
        <w:t>文件为准;响应文件正本与副本不一致时，以正本为准</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 xml:space="preserve"> </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3</w:t>
      </w:r>
      <w:r>
        <w:rPr>
          <w:rFonts w:hint="eastAsia" w:ascii="仿宋" w:hAnsi="仿宋" w:eastAsia="仿宋" w:cs="宋体"/>
          <w:color w:val="auto"/>
          <w:kern w:val="0"/>
          <w:sz w:val="24"/>
          <w:highlight w:val="none"/>
        </w:rPr>
        <w:t>.2 每份纸质文件响应文件的正本、副本应当分别装订，并于封面上明确标明“正本”“副本”字样。具体要求</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3</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hint="eastAsia" w:ascii="仿宋" w:hAnsi="仿宋" w:eastAsia="仿宋" w:cs="仿宋"/>
          <w:color w:val="auto"/>
          <w:sz w:val="24"/>
          <w:szCs w:val="24"/>
          <w:highlight w:val="none"/>
        </w:rPr>
      </w:pPr>
      <w:bookmarkStart w:id="73" w:name="_Toc14726"/>
      <w:bookmarkStart w:id="74" w:name="_Toc287600122"/>
      <w:bookmarkStart w:id="75" w:name="_Toc4155"/>
      <w:bookmarkStart w:id="76" w:name="_Toc517281820"/>
      <w:bookmarkStart w:id="77" w:name="_Toc21600"/>
      <w:bookmarkStart w:id="78" w:name="_Toc7129"/>
      <w:bookmarkStart w:id="79" w:name="_Toc18673"/>
      <w:bookmarkStart w:id="80" w:name="_Toc444891340"/>
      <w:bookmarkStart w:id="81" w:name="_Toc19783317"/>
      <w:bookmarkStart w:id="82" w:name="_Toc17865"/>
      <w:r>
        <w:rPr>
          <w:rFonts w:hint="eastAsia" w:ascii="仿宋" w:hAnsi="仿宋" w:eastAsia="仿宋" w:cs="仿宋"/>
          <w:color w:val="auto"/>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auto"/>
          <w:sz w:val="24"/>
          <w:szCs w:val="24"/>
          <w:highlight w:val="none"/>
        </w:rPr>
        <w:t>递交</w:t>
      </w:r>
      <w:bookmarkEnd w:id="82"/>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.响应文件的递交</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.1供应商应按</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规定的时间、方式递交响应文件。</w:t>
      </w:r>
    </w:p>
    <w:p>
      <w:pPr>
        <w:spacing w:line="360" w:lineRule="auto"/>
        <w:jc w:val="left"/>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1</w:t>
      </w: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.2出现下列情形之一时，</w:t>
      </w:r>
      <w:r>
        <w:rPr>
          <w:rFonts w:hint="eastAsia" w:ascii="仿宋" w:hAnsi="仿宋" w:eastAsia="仿宋" w:cs="宋体"/>
          <w:b/>
          <w:bCs/>
          <w:color w:val="auto"/>
          <w:sz w:val="24"/>
          <w:highlight w:val="none"/>
        </w:rPr>
        <w:t>响应文件不予接收或已经递交的响应文件无效；</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（1）电子响应文件逾期递交的；</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（2）纸质响应文件逾期递交或者未送达指定地点或者未按照磋商文件要求封装的；</w:t>
      </w:r>
    </w:p>
    <w:p>
      <w:pPr>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（3）未按磋商公告或者响应公告书要求获得本项目磋商文件的。</w:t>
      </w:r>
    </w:p>
    <w:p>
      <w:pPr>
        <w:pStyle w:val="6"/>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.响应文件的修改、撤回和撤销</w:t>
      </w:r>
    </w:p>
    <w:p>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w:t>
      </w:r>
      <w:r>
        <w:rPr>
          <w:rFonts w:hint="eastAsia" w:ascii="仿宋" w:hAnsi="仿宋" w:eastAsia="仿宋" w:cs="宋体"/>
          <w:color w:val="auto"/>
          <w:spacing w:val="-4"/>
          <w:kern w:val="0"/>
          <w:sz w:val="24"/>
          <w:highlight w:val="none"/>
        </w:rPr>
        <w:t>在</w:t>
      </w:r>
      <w:r>
        <w:rPr>
          <w:rFonts w:hint="eastAsia" w:ascii="仿宋" w:hAnsi="仿宋" w:eastAsia="仿宋" w:cs="宋体"/>
          <w:color w:val="auto"/>
          <w:kern w:val="0"/>
          <w:sz w:val="24"/>
          <w:highlight w:val="none"/>
        </w:rPr>
        <w:t>磋商文件</w:t>
      </w:r>
      <w:r>
        <w:rPr>
          <w:rFonts w:hint="eastAsia" w:ascii="仿宋" w:hAnsi="仿宋" w:eastAsia="仿宋" w:cs="宋体"/>
          <w:color w:val="auto"/>
          <w:spacing w:val="-4"/>
          <w:kern w:val="0"/>
          <w:sz w:val="24"/>
          <w:highlight w:val="none"/>
        </w:rPr>
        <w:t>规定的</w:t>
      </w:r>
      <w:r>
        <w:rPr>
          <w:rFonts w:hint="eastAsia" w:ascii="仿宋" w:hAnsi="仿宋" w:eastAsia="仿宋" w:cs="仿宋"/>
          <w:color w:val="auto"/>
          <w:sz w:val="24"/>
          <w:highlight w:val="none"/>
        </w:rPr>
        <w:t>响应文件</w:t>
      </w:r>
      <w:r>
        <w:rPr>
          <w:rFonts w:hint="eastAsia" w:ascii="仿宋" w:hAnsi="仿宋" w:eastAsia="仿宋" w:cs="宋体"/>
          <w:color w:val="auto"/>
          <w:spacing w:val="-4"/>
          <w:kern w:val="0"/>
          <w:sz w:val="24"/>
          <w:highlight w:val="none"/>
        </w:rPr>
        <w:t>递交截止时间前，</w:t>
      </w:r>
      <w:r>
        <w:rPr>
          <w:rFonts w:hint="eastAsia" w:ascii="仿宋" w:hAnsi="仿宋" w:eastAsia="仿宋" w:cs="宋体"/>
          <w:color w:val="auto"/>
          <w:kern w:val="0"/>
          <w:sz w:val="24"/>
          <w:highlight w:val="none"/>
        </w:rPr>
        <w:t>可以补充、修改或撤回已提交的响应文件。</w:t>
      </w:r>
      <w:r>
        <w:rPr>
          <w:rFonts w:ascii="仿宋" w:hAnsi="仿宋" w:eastAsia="仿宋" w:cs="宋体"/>
          <w:color w:val="auto"/>
          <w:kern w:val="0"/>
          <w:sz w:val="24"/>
          <w:highlight w:val="none"/>
        </w:rPr>
        <w:t>补充、修改的内容为</w:t>
      </w:r>
      <w:r>
        <w:rPr>
          <w:rFonts w:hint="eastAsia" w:ascii="仿宋" w:hAnsi="仿宋" w:eastAsia="仿宋" w:cs="宋体"/>
          <w:color w:val="auto"/>
          <w:kern w:val="0"/>
          <w:sz w:val="24"/>
          <w:highlight w:val="none"/>
        </w:rPr>
        <w:t>响应</w:t>
      </w:r>
      <w:r>
        <w:rPr>
          <w:rFonts w:ascii="仿宋" w:hAnsi="仿宋" w:eastAsia="仿宋" w:cs="宋体"/>
          <w:color w:val="auto"/>
          <w:kern w:val="0"/>
          <w:sz w:val="24"/>
          <w:highlight w:val="none"/>
        </w:rPr>
        <w:t>文件的组成部分</w:t>
      </w:r>
      <w:r>
        <w:rPr>
          <w:rFonts w:hint="eastAsia" w:ascii="仿宋" w:hAnsi="仿宋" w:eastAsia="仿宋" w:cs="宋体"/>
          <w:color w:val="auto"/>
          <w:kern w:val="0"/>
          <w:sz w:val="24"/>
          <w:highlight w:val="none"/>
        </w:rPr>
        <w:t>，应当在响应文件递交截止时间前按照磋商文件的规定进行递交。</w:t>
      </w:r>
    </w:p>
    <w:p>
      <w:pPr>
        <w:pStyle w:val="2"/>
        <w:spacing w:line="360" w:lineRule="auto"/>
        <w:jc w:val="left"/>
        <w:rPr>
          <w:rFonts w:hint="eastAsia"/>
          <w:color w:val="auto"/>
          <w:highlight w:val="none"/>
        </w:rPr>
      </w:pPr>
      <w:bookmarkStart w:id="83" w:name="_Toc152042334"/>
      <w:bookmarkStart w:id="84" w:name="_Toc179632576"/>
      <w:bookmarkStart w:id="85" w:name="_Toc334766948"/>
      <w:bookmarkStart w:id="86" w:name="_Toc326223561"/>
      <w:bookmarkStart w:id="87" w:name="_Toc144974526"/>
      <w:bookmarkStart w:id="88" w:name="_Toc246996945"/>
      <w:bookmarkStart w:id="89" w:name="_Toc247085716"/>
      <w:bookmarkStart w:id="90" w:name="_Toc332188194"/>
      <w:bookmarkStart w:id="91" w:name="_Toc152045558"/>
      <w:bookmarkStart w:id="92" w:name="_Toc246996202"/>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ascii="仿宋" w:hAnsi="仿宋" w:eastAsia="仿宋" w:cs="仿宋"/>
          <w:color w:val="auto"/>
          <w:sz w:val="24"/>
          <w:highlight w:val="none"/>
        </w:rPr>
        <w:t>.2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auto"/>
          <w:sz w:val="24"/>
          <w:highlight w:val="none"/>
          <w:lang w:val="en-US" w:eastAsia="zh-CN"/>
        </w:rPr>
        <w:t xml:space="preserve"> </w:t>
      </w:r>
      <w:r>
        <w:rPr>
          <w:rFonts w:hint="eastAsia" w:ascii="仿宋" w:hAnsi="仿宋" w:eastAsia="仿宋" w:cs="宋体"/>
          <w:color w:val="auto"/>
          <w:kern w:val="0"/>
          <w:sz w:val="24"/>
          <w:highlight w:val="none"/>
        </w:rPr>
        <w:t>响应文件递交截止时间后，供应商在响应有效期内撤销其响应文件。</w:t>
      </w:r>
    </w:p>
    <w:p>
      <w:pPr>
        <w:pStyle w:val="5"/>
        <w:spacing w:before="0" w:after="0" w:line="360" w:lineRule="auto"/>
        <w:ind w:firstLine="482"/>
        <w:rPr>
          <w:rFonts w:hint="eastAsia" w:ascii="仿宋" w:hAnsi="仿宋" w:eastAsia="仿宋" w:cs="仿宋"/>
          <w:color w:val="auto"/>
          <w:sz w:val="24"/>
          <w:szCs w:val="24"/>
          <w:highlight w:val="none"/>
        </w:rPr>
      </w:pPr>
      <w:bookmarkStart w:id="93" w:name="_Toc2055"/>
      <w:bookmarkStart w:id="94" w:name="_Toc11361"/>
      <w:bookmarkStart w:id="95" w:name="_Toc2636"/>
      <w:bookmarkStart w:id="96" w:name="_Toc20741"/>
      <w:bookmarkStart w:id="97" w:name="_Toc12797"/>
      <w:bookmarkStart w:id="98" w:name="_Toc30466"/>
      <w:bookmarkStart w:id="99" w:name="_Toc517281821"/>
      <w:bookmarkStart w:id="100" w:name="_Toc287600123"/>
      <w:bookmarkStart w:id="101" w:name="_Toc444891341"/>
      <w:r>
        <w:rPr>
          <w:rFonts w:hint="eastAsia" w:ascii="仿宋" w:hAnsi="仿宋" w:eastAsia="仿宋" w:cs="仿宋"/>
          <w:color w:val="auto"/>
          <w:sz w:val="24"/>
          <w:szCs w:val="24"/>
          <w:highlight w:val="none"/>
        </w:rPr>
        <w:t>（五）</w:t>
      </w:r>
      <w:r>
        <w:rPr>
          <w:rFonts w:hint="eastAsia" w:ascii="仿宋" w:hAnsi="仿宋" w:eastAsia="仿宋" w:cs="仿宋"/>
          <w:color w:val="auto"/>
          <w:sz w:val="24"/>
          <w:szCs w:val="24"/>
          <w:highlight w:val="none"/>
          <w:lang w:eastAsia="zh-CN"/>
        </w:rPr>
        <w:t>比选磋商</w:t>
      </w:r>
      <w:r>
        <w:rPr>
          <w:rFonts w:hint="eastAsia" w:ascii="仿宋" w:hAnsi="仿宋" w:eastAsia="仿宋" w:cs="仿宋"/>
          <w:color w:val="auto"/>
          <w:sz w:val="24"/>
          <w:szCs w:val="24"/>
          <w:highlight w:val="none"/>
        </w:rPr>
        <w:t>和评审</w:t>
      </w:r>
      <w:bookmarkEnd w:id="93"/>
      <w:bookmarkEnd w:id="94"/>
      <w:bookmarkEnd w:id="95"/>
      <w:bookmarkEnd w:id="96"/>
      <w:bookmarkEnd w:id="97"/>
      <w:bookmarkEnd w:id="98"/>
      <w:bookmarkEnd w:id="99"/>
      <w:bookmarkEnd w:id="100"/>
      <w:bookmarkEnd w:id="101"/>
    </w:p>
    <w:p>
      <w:pPr>
        <w:pStyle w:val="6"/>
        <w:spacing w:before="0" w:after="0" w:line="360" w:lineRule="auto"/>
        <w:jc w:val="left"/>
        <w:rPr>
          <w:rFonts w:hint="eastAsia" w:ascii="仿宋" w:hAnsi="仿宋" w:eastAsia="仿宋" w:cs="仿宋"/>
          <w:color w:val="auto"/>
          <w:sz w:val="24"/>
          <w:szCs w:val="24"/>
          <w:highlight w:val="none"/>
        </w:rPr>
      </w:pPr>
      <w:bookmarkStart w:id="102" w:name="_Toc234223229"/>
      <w:bookmarkStart w:id="103" w:name="_Toc234223227"/>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.组建</w:t>
      </w:r>
      <w:bookmarkEnd w:id="102"/>
      <w:r>
        <w:rPr>
          <w:rFonts w:hint="eastAsia" w:ascii="仿宋" w:hAnsi="仿宋" w:eastAsia="仿宋" w:cs="仿宋"/>
          <w:color w:val="auto"/>
          <w:sz w:val="24"/>
          <w:szCs w:val="24"/>
          <w:highlight w:val="none"/>
        </w:rPr>
        <w:t>磋商小组</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6</w:t>
      </w: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rPr>
        <w:t>采购人依照企业采购管理制度的相关规定组建</w:t>
      </w:r>
      <w:r>
        <w:rPr>
          <w:rFonts w:hint="eastAsia" w:ascii="仿宋" w:hAnsi="仿宋" w:eastAsia="仿宋" w:cs="宋体"/>
          <w:color w:val="auto"/>
          <w:kern w:val="0"/>
          <w:sz w:val="24"/>
          <w:highlight w:val="none"/>
          <w:lang w:val="en-US" w:eastAsia="zh-CN"/>
        </w:rPr>
        <w:t>5</w:t>
      </w:r>
      <w:r>
        <w:rPr>
          <w:rFonts w:hint="eastAsia" w:ascii="仿宋" w:hAnsi="仿宋" w:eastAsia="仿宋" w:cs="宋体"/>
          <w:color w:val="auto"/>
          <w:kern w:val="0"/>
          <w:sz w:val="24"/>
          <w:highlight w:val="none"/>
        </w:rPr>
        <w:t>人及以上单数的磋商小组，具体人数</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本须知前附表</w:t>
      </w:r>
      <w:r>
        <w:rPr>
          <w:rFonts w:hint="eastAsia" w:ascii="仿宋" w:hAnsi="仿宋" w:eastAsia="仿宋" w:cs="宋体"/>
          <w:color w:val="auto"/>
          <w:kern w:val="0"/>
          <w:sz w:val="24"/>
          <w:highlight w:val="none"/>
        </w:rPr>
        <w:t>，磋商小组成员名单在成交结果确定前保密。</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6</w:t>
      </w: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rPr>
        <w:t>磋商小组成员应当按照客观、公正、审慎的原则，根据磋商文件规定的评审程序、评审方法和评审标准进行独立评审。</w:t>
      </w:r>
    </w:p>
    <w:p>
      <w:pPr>
        <w:pStyle w:val="6"/>
        <w:spacing w:before="0" w:after="0" w:line="360" w:lineRule="auto"/>
        <w:jc w:val="left"/>
        <w:rPr>
          <w:rFonts w:ascii="仿宋" w:hAnsi="仿宋" w:eastAsia="仿宋" w:cs="仿宋"/>
          <w:color w:val="auto"/>
          <w:sz w:val="24"/>
          <w:szCs w:val="24"/>
          <w:highlight w:val="none"/>
        </w:rPr>
      </w:pPr>
      <w:bookmarkStart w:id="104" w:name="_Toc234223228"/>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.初步评审</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rPr>
        <w:t>磋商小组按照第三章</w:t>
      </w:r>
      <w:r>
        <w:rPr>
          <w:rFonts w:hint="eastAsia" w:ascii="仿宋" w:hAnsi="仿宋" w:eastAsia="仿宋" w:cs="宋体"/>
          <w:color w:val="auto"/>
          <w:kern w:val="0"/>
          <w:sz w:val="24"/>
        </w:rPr>
        <w:t>评审办法中初步评审的内容及要求</w:t>
      </w:r>
      <w:r>
        <w:rPr>
          <w:rFonts w:hint="eastAsia" w:ascii="仿宋" w:hAnsi="仿宋" w:eastAsia="仿宋" w:cs="宋体"/>
          <w:color w:val="auto"/>
          <w:kern w:val="0"/>
          <w:sz w:val="24"/>
          <w:highlight w:val="none"/>
        </w:rPr>
        <w:t>，对响应文件进行初步评审。通过初步评审的供应商进入磋商环节，未通过初步评审的供应商，其磋商响应将被否决，不进入磋商、详细评审等后续环节。</w:t>
      </w:r>
    </w:p>
    <w:p>
      <w:pPr>
        <w:widowControl/>
        <w:topLinePunct/>
        <w:spacing w:line="360" w:lineRule="auto"/>
        <w:jc w:val="left"/>
        <w:rPr>
          <w:rFonts w:ascii="仿宋" w:hAnsi="仿宋" w:eastAsia="仿宋" w:cs="仿宋"/>
          <w:b/>
          <w:bCs/>
          <w:color w:val="auto"/>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hint="eastAsia" w:ascii="仿宋" w:hAnsi="仿宋" w:eastAsia="仿宋" w:cs="宋体"/>
          <w:color w:val="auto"/>
          <w:kern w:val="0"/>
          <w:sz w:val="24"/>
          <w:highlight w:val="none"/>
          <w:lang w:val="en-US" w:eastAsia="zh-CN"/>
        </w:rPr>
        <w:t xml:space="preserve">                                                            </w:t>
      </w: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sz w:val="24"/>
          <w:highlight w:val="none"/>
        </w:rPr>
        <w:t>，磋商小组有权对其响应做否决处理。</w:t>
      </w:r>
    </w:p>
    <w:p>
      <w:pPr>
        <w:widowControl/>
        <w:topLinePunct/>
        <w:spacing w:line="360" w:lineRule="auto"/>
        <w:rPr>
          <w:rFonts w:hint="eastAsia"/>
          <w:color w:val="auto"/>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磋商小组必要时可以要求供应商提交有关证明和证件的原件，以便核验。拒不按要求提供原件的供应商，</w:t>
      </w:r>
      <w:r>
        <w:rPr>
          <w:rFonts w:hint="eastAsia" w:ascii="仿宋" w:hAnsi="仿宋" w:eastAsia="仿宋" w:cs="仿宋"/>
          <w:b/>
          <w:bCs/>
          <w:color w:val="auto"/>
          <w:sz w:val="24"/>
          <w:highlight w:val="none"/>
        </w:rPr>
        <w:t>磋商小组有权对其响应做否决处理。</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磋商程序</w:t>
      </w:r>
    </w:p>
    <w:p>
      <w:pPr>
        <w:spacing w:line="360" w:lineRule="auto"/>
        <w:jc w:val="left"/>
        <w:rPr>
          <w:rFonts w:ascii="仿宋" w:hAnsi="仿宋" w:eastAsia="仿宋" w:cs="仿宋"/>
          <w:color w:val="auto"/>
          <w:sz w:val="24"/>
          <w:highlight w:val="none"/>
          <w:u w:val="singl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sz w:val="24"/>
          <w:highlight w:val="none"/>
          <w:u w:val="single"/>
        </w:rPr>
        <w:t>详见本须知前附表。</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ascii="仿宋" w:hAnsi="仿宋" w:eastAsia="仿宋" w:cs="仿宋"/>
          <w:color w:val="auto"/>
          <w:sz w:val="24"/>
          <w:highlight w:val="none"/>
        </w:rPr>
        <w:t>.2</w:t>
      </w:r>
      <w:r>
        <w:rPr>
          <w:rFonts w:hint="eastAsia" w:ascii="仿宋" w:hAnsi="仿宋" w:eastAsia="仿宋" w:cs="仿宋"/>
          <w:color w:val="auto"/>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ascii="仿宋" w:hAnsi="仿宋" w:eastAsia="仿宋" w:cs="仿宋"/>
          <w:color w:val="auto"/>
          <w:sz w:val="24"/>
          <w:highlight w:val="none"/>
        </w:rPr>
        <w:t>.3</w:t>
      </w:r>
      <w:r>
        <w:rPr>
          <w:rFonts w:hint="eastAsia" w:ascii="仿宋" w:hAnsi="仿宋" w:eastAsia="仿宋" w:cs="仿宋"/>
          <w:color w:val="auto"/>
          <w:sz w:val="24"/>
          <w:highlight w:val="none"/>
        </w:rPr>
        <w:t>磋商小组可视情况要求供应商进行多轮磋商及报价。磋商中，任何一方不得向第三方透露与磋商有关的任何信息。</w:t>
      </w:r>
    </w:p>
    <w:bookmarkEnd w:id="104"/>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sz w:val="24"/>
          <w:highlight w:val="none"/>
        </w:rPr>
        <w:t>应当否决其响应</w:t>
      </w:r>
      <w:r>
        <w:rPr>
          <w:rFonts w:hint="eastAsia" w:ascii="仿宋" w:hAnsi="仿宋" w:eastAsia="仿宋" w:cs="仿宋"/>
          <w:color w:val="auto"/>
          <w:sz w:val="24"/>
          <w:highlight w:val="none"/>
        </w:rPr>
        <w:t>。</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（1）大写金额与小写金额不一致的，以大写金额为准；</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（2）总价金额与根据单价计算出的结果不一致的，以单价金额为准修正总价，但单价金额小数点有明显错误的除外。</w:t>
      </w:r>
    </w:p>
    <w:bookmarkEnd w:id="103"/>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.详细评审</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.2发生以下情形之一的，原则上做终止采购处理：</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（1）出现影响采购公正的违法、违规行为的；</w:t>
      </w:r>
    </w:p>
    <w:p>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（2）成交候选人报价超过预算金额，采购需求方无法解决的</w:t>
      </w:r>
      <w:r>
        <w:rPr>
          <w:rFonts w:hint="eastAsia" w:ascii="仿宋" w:hAnsi="仿宋" w:eastAsia="仿宋" w:cs="仿宋"/>
          <w:color w:val="auto"/>
          <w:sz w:val="24"/>
          <w:highlight w:val="none"/>
          <w:lang w:eastAsia="zh-CN"/>
        </w:rPr>
        <w:t>。</w:t>
      </w:r>
    </w:p>
    <w:p>
      <w:pPr>
        <w:widowControl/>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ascii="仿宋" w:hAnsi="仿宋" w:eastAsia="仿宋" w:cs="仿宋"/>
          <w:color w:val="auto"/>
          <w:sz w:val="24"/>
          <w:highlight w:val="none"/>
        </w:rPr>
        <w:t>3</w:t>
      </w:r>
      <w:r>
        <w:rPr>
          <w:rFonts w:hint="eastAsia" w:ascii="仿宋" w:hAnsi="仿宋" w:eastAsia="仿宋" w:cs="仿宋"/>
          <w:color w:val="auto"/>
          <w:sz w:val="24"/>
          <w:highlight w:val="none"/>
        </w:rPr>
        <w:t>成交候选人推荐原则</w:t>
      </w: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宋体"/>
          <w:color w:val="auto"/>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5"/>
        <w:spacing w:before="0" w:after="0" w:line="360" w:lineRule="auto"/>
        <w:ind w:firstLine="482"/>
        <w:rPr>
          <w:rFonts w:hint="eastAsia" w:ascii="仿宋" w:hAnsi="仿宋" w:eastAsia="仿宋" w:cs="仿宋"/>
          <w:color w:val="auto"/>
          <w:sz w:val="24"/>
          <w:szCs w:val="24"/>
          <w:highlight w:val="none"/>
        </w:rPr>
      </w:pPr>
      <w:bookmarkStart w:id="105" w:name="_Toc444891342"/>
      <w:bookmarkStart w:id="106" w:name="_Toc2322"/>
      <w:bookmarkStart w:id="107" w:name="_Toc16781"/>
      <w:bookmarkStart w:id="108" w:name="_Toc234223231"/>
      <w:bookmarkStart w:id="109" w:name="_Toc517281822"/>
      <w:bookmarkStart w:id="110" w:name="_Toc13936"/>
      <w:bookmarkStart w:id="111" w:name="_Toc9911"/>
      <w:bookmarkStart w:id="112" w:name="_Toc19451"/>
      <w:bookmarkStart w:id="113" w:name="_Toc287600124"/>
      <w:bookmarkStart w:id="114" w:name="_Toc28031"/>
      <w:r>
        <w:rPr>
          <w:rFonts w:hint="eastAsia" w:ascii="仿宋" w:hAnsi="仿宋" w:eastAsia="仿宋" w:cs="仿宋"/>
          <w:color w:val="auto"/>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6"/>
        <w:spacing w:before="0" w:after="0" w:line="360" w:lineRule="auto"/>
        <w:jc w:val="left"/>
        <w:rPr>
          <w:rFonts w:hint="eastAsia" w:ascii="仿宋" w:hAnsi="仿宋" w:eastAsia="仿宋" w:cs="仿宋"/>
          <w:color w:val="auto"/>
          <w:sz w:val="24"/>
          <w:szCs w:val="24"/>
          <w:highlight w:val="none"/>
        </w:rPr>
      </w:pPr>
      <w:bookmarkStart w:id="115" w:name="_Toc234223232"/>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.确定</w:t>
      </w:r>
      <w:bookmarkEnd w:id="115"/>
      <w:r>
        <w:rPr>
          <w:rFonts w:hint="eastAsia" w:ascii="仿宋" w:hAnsi="仿宋" w:eastAsia="仿宋" w:cs="仿宋"/>
          <w:color w:val="auto"/>
          <w:sz w:val="24"/>
          <w:szCs w:val="24"/>
          <w:highlight w:val="none"/>
        </w:rPr>
        <w:t>成交人</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.1</w:t>
      </w:r>
      <w:r>
        <w:rPr>
          <w:rFonts w:hint="eastAsia" w:ascii="仿宋" w:hAnsi="仿宋" w:eastAsia="仿宋" w:cs="仿宋"/>
          <w:color w:val="auto"/>
          <w:sz w:val="24"/>
          <w:highlight w:val="none"/>
        </w:rPr>
        <w:t>采购人依据磋商小组推荐的成交候选人名单确定成交人，成交人数量</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lang w:val="en-US" w:eastAsia="zh-CN"/>
        </w:rPr>
        <w:t>0</w:t>
      </w:r>
      <w:r>
        <w:rPr>
          <w:rFonts w:ascii="仿宋" w:hAnsi="仿宋" w:eastAsia="仿宋" w:cs="宋体"/>
          <w:color w:val="auto"/>
          <w:kern w:val="0"/>
          <w:sz w:val="24"/>
          <w:highlight w:val="none"/>
        </w:rPr>
        <w:t>.</w:t>
      </w:r>
      <w:r>
        <w:rPr>
          <w:rFonts w:hint="eastAsia" w:ascii="仿宋" w:hAnsi="仿宋" w:eastAsia="仿宋" w:cs="宋体"/>
          <w:color w:val="auto"/>
          <w:kern w:val="0"/>
          <w:sz w:val="24"/>
          <w:highlight w:val="none"/>
          <w:lang w:val="en-US" w:eastAsia="zh-CN"/>
        </w:rPr>
        <w:t>2</w:t>
      </w:r>
      <w:r>
        <w:rPr>
          <w:rFonts w:hint="eastAsia" w:ascii="仿宋" w:hAnsi="仿宋" w:eastAsia="仿宋" w:cs="宋体"/>
          <w:color w:val="auto"/>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auto"/>
          <w:kern w:val="0"/>
          <w:sz w:val="24"/>
          <w:highlight w:val="none"/>
          <w:lang w:val="en-US" w:eastAsia="zh-CN"/>
        </w:rPr>
        <w:t>均</w:t>
      </w:r>
      <w:r>
        <w:rPr>
          <w:rFonts w:hint="eastAsia" w:ascii="仿宋" w:hAnsi="仿宋" w:eastAsia="仿宋" w:cs="宋体"/>
          <w:color w:val="auto"/>
          <w:kern w:val="0"/>
          <w:sz w:val="24"/>
          <w:highlight w:val="none"/>
        </w:rPr>
        <w:t>具有法律效力。成交人收到成交通知书后放弃成交的，应当承担法律责任。</w:t>
      </w:r>
    </w:p>
    <w:p>
      <w:pPr>
        <w:pStyle w:val="6"/>
        <w:spacing w:before="0" w:after="0"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1</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签订合同</w:t>
      </w:r>
    </w:p>
    <w:p>
      <w:pPr>
        <w:widowControl/>
        <w:topLinePunc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ascii="仿宋" w:hAnsi="仿宋" w:eastAsia="仿宋" w:cs="仿宋"/>
          <w:color w:val="auto"/>
          <w:sz w:val="24"/>
          <w:highlight w:val="none"/>
        </w:rPr>
        <w:t>.1</w:t>
      </w:r>
      <w:r>
        <w:rPr>
          <w:rFonts w:hint="eastAsia" w:ascii="仿宋" w:hAnsi="仿宋" w:eastAsia="仿宋" w:cs="仿宋"/>
          <w:color w:val="auto"/>
          <w:sz w:val="24"/>
          <w:highlight w:val="none"/>
        </w:rPr>
        <w:t>采购人与成交人按照磋商文件和成交人的响应文件</w:t>
      </w:r>
      <w:r>
        <w:rPr>
          <w:rFonts w:hint="eastAsia" w:ascii="仿宋" w:hAnsi="仿宋" w:eastAsia="仿宋" w:cs="宋体"/>
          <w:color w:val="auto"/>
          <w:kern w:val="0"/>
          <w:sz w:val="24"/>
          <w:highlight w:val="none"/>
        </w:rPr>
        <w:t>订立书面合同。合同的标的、价款、质量、履行期限等主要条款应当与</w:t>
      </w:r>
      <w:r>
        <w:rPr>
          <w:rFonts w:hint="eastAsia" w:ascii="仿宋" w:hAnsi="仿宋" w:eastAsia="仿宋" w:cs="仿宋"/>
          <w:color w:val="auto"/>
          <w:sz w:val="24"/>
          <w:highlight w:val="none"/>
        </w:rPr>
        <w:t>磋商</w:t>
      </w:r>
      <w:r>
        <w:rPr>
          <w:rFonts w:hint="eastAsia" w:ascii="仿宋" w:hAnsi="仿宋" w:eastAsia="仿宋" w:cs="宋体"/>
          <w:color w:val="auto"/>
          <w:kern w:val="0"/>
          <w:sz w:val="24"/>
          <w:highlight w:val="none"/>
        </w:rPr>
        <w:t>文件和</w:t>
      </w:r>
      <w:r>
        <w:rPr>
          <w:rFonts w:hint="eastAsia" w:ascii="仿宋" w:hAnsi="仿宋" w:eastAsia="仿宋" w:cs="仿宋"/>
          <w:color w:val="auto"/>
          <w:sz w:val="24"/>
          <w:highlight w:val="none"/>
        </w:rPr>
        <w:t>成交</w:t>
      </w:r>
      <w:r>
        <w:rPr>
          <w:rFonts w:hint="eastAsia" w:ascii="仿宋" w:hAnsi="仿宋" w:eastAsia="仿宋" w:cs="宋体"/>
          <w:color w:val="auto"/>
          <w:kern w:val="0"/>
          <w:sz w:val="24"/>
          <w:highlight w:val="none"/>
        </w:rPr>
        <w:t>人的</w:t>
      </w:r>
      <w:r>
        <w:rPr>
          <w:rFonts w:hint="eastAsia" w:ascii="仿宋" w:hAnsi="仿宋" w:eastAsia="仿宋" w:cs="仿宋"/>
          <w:color w:val="auto"/>
          <w:sz w:val="24"/>
          <w:highlight w:val="none"/>
        </w:rPr>
        <w:t>响应</w:t>
      </w:r>
      <w:r>
        <w:rPr>
          <w:rFonts w:hint="eastAsia" w:ascii="仿宋" w:hAnsi="仿宋" w:eastAsia="仿宋" w:cs="宋体"/>
          <w:color w:val="auto"/>
          <w:kern w:val="0"/>
          <w:sz w:val="24"/>
          <w:highlight w:val="none"/>
        </w:rPr>
        <w:t>文件的内容一致。</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ascii="仿宋" w:hAnsi="仿宋" w:eastAsia="仿宋" w:cs="仿宋"/>
          <w:color w:val="auto"/>
          <w:sz w:val="24"/>
          <w:highlight w:val="none"/>
        </w:rPr>
        <w:t>.2</w:t>
      </w:r>
      <w:r>
        <w:rPr>
          <w:rFonts w:hint="eastAsia" w:ascii="仿宋" w:hAnsi="仿宋" w:eastAsia="仿宋" w:cs="宋体"/>
          <w:color w:val="auto"/>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lang w:val="en-US" w:eastAsia="zh-CN"/>
        </w:rPr>
        <w:t>1</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pPr>
        <w:widowControl/>
        <w:topLinePunct/>
        <w:spacing w:line="360" w:lineRule="auto"/>
        <w:rPr>
          <w:rFonts w:ascii="仿宋" w:hAnsi="仿宋" w:eastAsia="仿宋" w:cs="宋体"/>
          <w:color w:val="auto"/>
          <w:kern w:val="0"/>
          <w:sz w:val="24"/>
          <w:highlight w:val="none"/>
        </w:rPr>
      </w:pPr>
      <w:bookmarkStart w:id="116" w:name="_Toc14533"/>
      <w:bookmarkStart w:id="117" w:name="_Toc6132"/>
      <w:bookmarkStart w:id="118" w:name="_Toc234223235"/>
      <w:r>
        <w:rPr>
          <w:rFonts w:hint="eastAsia" w:ascii="仿宋" w:hAnsi="仿宋" w:eastAsia="仿宋" w:cs="宋体"/>
          <w:color w:val="auto"/>
          <w:kern w:val="0"/>
          <w:sz w:val="24"/>
          <w:highlight w:val="none"/>
        </w:rPr>
        <w:t>22.4成交供应商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w:t>
      </w:r>
      <w:r>
        <w:rPr>
          <w:rFonts w:hint="eastAsia" w:ascii="仿宋" w:hAnsi="仿宋" w:eastAsia="仿宋" w:cs="宋体"/>
          <w:color w:val="auto"/>
          <w:kern w:val="0"/>
          <w:sz w:val="24"/>
          <w:highlight w:val="none"/>
        </w:rPr>
        <w:t>履约</w:t>
      </w:r>
      <w:r>
        <w:rPr>
          <w:rFonts w:ascii="仿宋" w:hAnsi="仿宋" w:eastAsia="仿宋" w:cs="宋体"/>
          <w:color w:val="auto"/>
          <w:kern w:val="0"/>
          <w:sz w:val="24"/>
          <w:highlight w:val="none"/>
        </w:rPr>
        <w:t>保证金不予退还，给</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人造成的损失超过履约保证金数额的，还应当对超过部分予以赔偿；没有提交履约保证金的，应当对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pPr>
        <w:pStyle w:val="5"/>
        <w:spacing w:before="0" w:after="0" w:line="360" w:lineRule="auto"/>
        <w:ind w:firstLine="482"/>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（七）其他</w:t>
      </w:r>
      <w:bookmarkEnd w:id="116"/>
      <w:bookmarkEnd w:id="117"/>
    </w:p>
    <w:p>
      <w:pPr>
        <w:pStyle w:val="6"/>
        <w:spacing w:before="0" w:after="0" w:line="360" w:lineRule="auto"/>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w:t>
      </w:r>
      <w:r>
        <w:rPr>
          <w:rFonts w:hint="eastAsia" w:ascii="仿宋" w:hAnsi="仿宋" w:eastAsia="仿宋" w:cs="仿宋"/>
          <w:bCs w:val="0"/>
          <w:color w:val="auto"/>
          <w:sz w:val="24"/>
          <w:szCs w:val="24"/>
          <w:highlight w:val="none"/>
          <w:lang w:val="en-US" w:eastAsia="zh-CN"/>
        </w:rPr>
        <w:t>2</w:t>
      </w:r>
      <w:r>
        <w:rPr>
          <w:rFonts w:hint="eastAsia" w:ascii="仿宋" w:hAnsi="仿宋" w:eastAsia="仿宋" w:cs="仿宋"/>
          <w:bCs w:val="0"/>
          <w:color w:val="auto"/>
          <w:sz w:val="24"/>
          <w:szCs w:val="24"/>
          <w:highlight w:val="none"/>
        </w:rPr>
        <w:t>.</w:t>
      </w:r>
      <w:bookmarkEnd w:id="118"/>
      <w:r>
        <w:rPr>
          <w:rFonts w:hint="eastAsia" w:ascii="仿宋" w:hAnsi="仿宋" w:eastAsia="仿宋" w:cs="仿宋"/>
          <w:bCs w:val="0"/>
          <w:color w:val="auto"/>
          <w:sz w:val="24"/>
          <w:szCs w:val="24"/>
          <w:highlight w:val="none"/>
        </w:rPr>
        <w:t>其他情况</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rPr>
          <w:color w:val="auto"/>
          <w:highlight w:val="none"/>
        </w:rPr>
        <w:sectPr>
          <w:footerReference r:id="rId10" w:type="default"/>
          <w:pgSz w:w="11906" w:h="16838"/>
          <w:pgMar w:top="1417" w:right="1134" w:bottom="1134" w:left="1134" w:header="851" w:footer="992" w:gutter="0"/>
          <w:cols w:space="720" w:num="1"/>
          <w:docGrid w:type="lines" w:linePitch="312" w:charSpace="0"/>
        </w:sectPr>
      </w:pPr>
    </w:p>
    <w:p>
      <w:pPr>
        <w:pStyle w:val="3"/>
        <w:spacing w:before="0" w:after="0" w:line="360" w:lineRule="auto"/>
        <w:jc w:val="center"/>
        <w:rPr>
          <w:rFonts w:hint="eastAsia" w:ascii="仿宋" w:hAnsi="仿宋" w:eastAsia="仿宋" w:cs="仿宋"/>
          <w:color w:val="auto"/>
          <w:sz w:val="28"/>
          <w:szCs w:val="28"/>
          <w:highlight w:val="none"/>
        </w:rPr>
      </w:pPr>
      <w:bookmarkStart w:id="119" w:name="_Toc10670"/>
      <w:bookmarkStart w:id="120" w:name="_Toc444891343"/>
      <w:bookmarkStart w:id="121" w:name="_Toc517281824"/>
      <w:r>
        <w:rPr>
          <w:rFonts w:hint="eastAsia" w:ascii="仿宋" w:hAnsi="仿宋" w:eastAsia="仿宋" w:cs="仿宋"/>
          <w:color w:val="auto"/>
          <w:sz w:val="28"/>
          <w:szCs w:val="28"/>
          <w:highlight w:val="none"/>
        </w:rPr>
        <w:t>第三章 评审办法</w:t>
      </w:r>
      <w:bookmarkEnd w:id="119"/>
    </w:p>
    <w:p>
      <w:pPr>
        <w:pStyle w:val="4"/>
        <w:ind w:firstLine="0" w:firstLineChars="0"/>
        <w:jc w:val="left"/>
        <w:rPr>
          <w:rFonts w:hint="eastAsia" w:ascii="仿宋" w:hAnsi="仿宋" w:eastAsia="仿宋" w:cs="仿宋"/>
          <w:color w:val="auto"/>
          <w:sz w:val="24"/>
          <w:szCs w:val="24"/>
          <w:highlight w:val="none"/>
        </w:rPr>
      </w:pPr>
      <w:bookmarkStart w:id="122" w:name="_Toc7201"/>
      <w:bookmarkStart w:id="123" w:name="_Toc444891344"/>
      <w:bookmarkStart w:id="124" w:name="_Toc517281825"/>
      <w:bookmarkStart w:id="125" w:name="_Toc226969358"/>
      <w:bookmarkStart w:id="126" w:name="_Toc227057964"/>
      <w:r>
        <w:rPr>
          <w:rFonts w:hint="eastAsia" w:ascii="仿宋" w:hAnsi="仿宋" w:eastAsia="仿宋" w:cs="仿宋"/>
          <w:color w:val="auto"/>
          <w:sz w:val="24"/>
          <w:szCs w:val="24"/>
          <w:highlight w:val="none"/>
        </w:rPr>
        <w:t>一、评审程序</w:t>
      </w:r>
      <w:bookmarkEnd w:id="122"/>
      <w:bookmarkEnd w:id="123"/>
      <w:bookmarkEnd w:id="124"/>
    </w:p>
    <w:p>
      <w:pPr>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磋商小组</w:t>
      </w:r>
      <w:r>
        <w:rPr>
          <w:rFonts w:hint="eastAsia" w:ascii="仿宋" w:hAnsi="仿宋" w:eastAsia="仿宋" w:cs="仿宋"/>
          <w:color w:val="auto"/>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熟悉磋商文件；</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rPr>
        <w:t>对响应文件进行初步评审，检查响应文件是否满足磋商文件的初审要求；初步评审中不符合评审标准的，将做否决磋商响应处理；</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供应商有以下情形之一的，磋商小组应当否决其磋商响应：</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（1）按照</w:t>
      </w:r>
      <w:r>
        <w:rPr>
          <w:rFonts w:hint="eastAsia" w:ascii="仿宋" w:hAnsi="仿宋" w:eastAsia="仿宋" w:cs="仿宋"/>
          <w:color w:val="auto"/>
          <w:kern w:val="0"/>
          <w:sz w:val="24"/>
          <w:highlight w:val="none"/>
          <w:lang w:val="en-US" w:eastAsia="zh-CN"/>
        </w:rPr>
        <w:t>磋商</w:t>
      </w:r>
      <w:r>
        <w:rPr>
          <w:rFonts w:hint="eastAsia" w:ascii="仿宋" w:hAnsi="仿宋" w:eastAsia="仿宋" w:cs="仿宋"/>
          <w:color w:val="auto"/>
          <w:kern w:val="0"/>
          <w:sz w:val="24"/>
          <w:highlight w:val="none"/>
        </w:rPr>
        <w:t>公告要求已经递交电子</w:t>
      </w:r>
      <w:r>
        <w:rPr>
          <w:rFonts w:hint="eastAsia" w:ascii="仿宋" w:hAnsi="仿宋" w:eastAsia="仿宋" w:cs="仿宋"/>
          <w:color w:val="auto"/>
          <w:kern w:val="0"/>
          <w:sz w:val="24"/>
          <w:highlight w:val="none"/>
          <w:lang w:val="en-US" w:eastAsia="zh-CN"/>
        </w:rPr>
        <w:t>响应</w:t>
      </w:r>
      <w:r>
        <w:rPr>
          <w:rFonts w:hint="eastAsia" w:ascii="仿宋" w:hAnsi="仿宋" w:eastAsia="仿宋" w:cs="仿宋"/>
          <w:color w:val="auto"/>
          <w:kern w:val="0"/>
          <w:sz w:val="24"/>
          <w:highlight w:val="none"/>
        </w:rPr>
        <w:t>文件，</w:t>
      </w:r>
      <w:r>
        <w:rPr>
          <w:rFonts w:hint="eastAsia" w:ascii="仿宋" w:hAnsi="仿宋" w:eastAsia="仿宋" w:cs="仿宋"/>
          <w:color w:val="auto"/>
          <w:kern w:val="0"/>
          <w:sz w:val="24"/>
          <w:highlight w:val="none"/>
          <w:lang w:val="en-US" w:eastAsia="zh-CN"/>
        </w:rPr>
        <w:t>但</w:t>
      </w:r>
      <w:r>
        <w:rPr>
          <w:rFonts w:hint="eastAsia" w:ascii="仿宋" w:hAnsi="仿宋" w:eastAsia="仿宋" w:cs="仿宋"/>
          <w:color w:val="auto"/>
          <w:kern w:val="0"/>
          <w:sz w:val="24"/>
          <w:highlight w:val="none"/>
        </w:rPr>
        <w:t>未按要求递交纸质响应文件；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（4）不符合国家或者磋商文件规定的资格条件；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（5）同一供应商提交两个以上不同的响应文件或者响应报价，但磋商文件要求提交备选文件的除外；</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lang w:eastAsia="zh-CN"/>
        </w:rPr>
        <w:t>）</w:t>
      </w:r>
      <w:r>
        <w:rPr>
          <w:rFonts w:hint="eastAsia" w:ascii="仿宋" w:hAnsi="仿宋" w:eastAsia="仿宋" w:cs="宋体"/>
          <w:color w:val="auto"/>
          <w:kern w:val="0"/>
          <w:sz w:val="24"/>
          <w:szCs w:val="24"/>
          <w:highlight w:val="none"/>
          <w:lang w:val="en-US" w:eastAsia="zh-CN"/>
        </w:rPr>
        <w:t>最终</w:t>
      </w:r>
      <w:r>
        <w:rPr>
          <w:rFonts w:hint="eastAsia" w:ascii="仿宋" w:hAnsi="仿宋" w:eastAsia="仿宋" w:cs="宋体"/>
          <w:color w:val="auto"/>
          <w:kern w:val="0"/>
          <w:sz w:val="24"/>
          <w:szCs w:val="24"/>
          <w:highlight w:val="none"/>
        </w:rPr>
        <w:t>报价低于成本或者高于</w:t>
      </w:r>
      <w:r>
        <w:rPr>
          <w:rFonts w:hint="eastAsia" w:ascii="仿宋" w:hAnsi="仿宋" w:eastAsia="仿宋" w:cs="宋体"/>
          <w:color w:val="auto"/>
          <w:kern w:val="0"/>
          <w:sz w:val="24"/>
          <w:szCs w:val="24"/>
          <w:highlight w:val="none"/>
          <w:lang w:val="en-US" w:eastAsia="zh-CN"/>
        </w:rPr>
        <w:t>磋商</w:t>
      </w:r>
      <w:r>
        <w:rPr>
          <w:rFonts w:hint="eastAsia" w:ascii="仿宋" w:hAnsi="仿宋" w:eastAsia="仿宋" w:cs="宋体"/>
          <w:color w:val="auto"/>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文件未对</w:t>
      </w:r>
      <w:r>
        <w:rPr>
          <w:rFonts w:hint="eastAsia" w:ascii="仿宋" w:hAnsi="仿宋" w:eastAsia="仿宋" w:cs="宋体"/>
          <w:color w:val="auto"/>
          <w:kern w:val="0"/>
          <w:sz w:val="24"/>
          <w:szCs w:val="24"/>
          <w:highlight w:val="none"/>
          <w:lang w:val="en-US" w:eastAsia="zh-CN"/>
        </w:rPr>
        <w:t>磋商</w:t>
      </w:r>
      <w:r>
        <w:rPr>
          <w:rFonts w:hint="eastAsia" w:ascii="仿宋" w:hAnsi="仿宋" w:eastAsia="仿宋" w:cs="宋体"/>
          <w:color w:val="auto"/>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hint="eastAsia" w:ascii="仿宋" w:hAnsi="仿宋" w:eastAsia="仿宋" w:cs="宋体"/>
          <w:color w:val="auto"/>
          <w:kern w:val="0"/>
          <w:sz w:val="24"/>
          <w:szCs w:val="24"/>
          <w:highlight w:val="none"/>
          <w:lang w:val="en-US" w:eastAsia="zh-CN"/>
        </w:rPr>
        <w:t>供应商</w:t>
      </w:r>
      <w:r>
        <w:rPr>
          <w:rFonts w:hint="eastAsia" w:ascii="仿宋" w:hAnsi="仿宋" w:eastAsia="仿宋" w:cs="宋体"/>
          <w:color w:val="auto"/>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文件附有</w:t>
      </w:r>
      <w:r>
        <w:rPr>
          <w:rFonts w:hint="eastAsia" w:ascii="仿宋" w:hAnsi="仿宋" w:eastAsia="仿宋" w:cs="宋体"/>
          <w:color w:val="auto"/>
          <w:kern w:val="0"/>
          <w:sz w:val="24"/>
          <w:szCs w:val="24"/>
          <w:highlight w:val="none"/>
          <w:lang w:val="en-US" w:eastAsia="zh-CN"/>
        </w:rPr>
        <w:t>采购</w:t>
      </w:r>
      <w:r>
        <w:rPr>
          <w:rFonts w:hint="eastAsia" w:ascii="仿宋" w:hAnsi="仿宋" w:eastAsia="仿宋" w:cs="宋体"/>
          <w:color w:val="auto"/>
          <w:kern w:val="0"/>
          <w:sz w:val="24"/>
          <w:szCs w:val="24"/>
          <w:highlight w:val="none"/>
        </w:rPr>
        <w:t>人不能接受的条件；</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w:t>
      </w:r>
      <w:r>
        <w:rPr>
          <w:rFonts w:hint="eastAsia" w:ascii="仿宋" w:hAnsi="仿宋" w:eastAsia="仿宋" w:cs="宋体"/>
          <w:color w:val="auto"/>
          <w:kern w:val="0"/>
          <w:sz w:val="24"/>
          <w:szCs w:val="24"/>
          <w:highlight w:val="none"/>
          <w:lang w:val="en-US" w:eastAsia="zh-CN"/>
        </w:rPr>
        <w:t>磋商</w:t>
      </w:r>
      <w:r>
        <w:rPr>
          <w:rFonts w:hint="eastAsia" w:ascii="仿宋" w:hAnsi="仿宋" w:eastAsia="仿宋" w:cs="宋体"/>
          <w:color w:val="auto"/>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4.初步评审</w:t>
      </w:r>
      <w:r>
        <w:rPr>
          <w:rFonts w:hint="eastAsia" w:ascii="仿宋" w:hAnsi="仿宋" w:eastAsia="仿宋" w:cs="仿宋"/>
          <w:color w:val="auto"/>
          <w:kern w:val="0"/>
          <w:sz w:val="24"/>
          <w:highlight w:val="none"/>
          <w:lang w:val="zh-CN" w:eastAsia="zh-CN"/>
        </w:rPr>
        <w:t>内容允许在磋商过程中按磋商小组规定的时间内补充，若未在规定时间内补充则将导致响应无效。</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通过初步评审的供应商分别进行磋商；</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rPr>
        <w:t>通过初步评审的供应商进行最终报价；</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7.</w:t>
      </w:r>
      <w:r>
        <w:rPr>
          <w:rFonts w:hint="eastAsia" w:ascii="仿宋" w:hAnsi="仿宋" w:eastAsia="仿宋" w:cs="仿宋"/>
          <w:color w:val="auto"/>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8.</w:t>
      </w:r>
      <w:r>
        <w:rPr>
          <w:rFonts w:hint="eastAsia" w:ascii="仿宋" w:hAnsi="仿宋" w:eastAsia="仿宋" w:cs="仿宋"/>
          <w:color w:val="auto"/>
          <w:kern w:val="0"/>
          <w:sz w:val="24"/>
          <w:highlight w:val="none"/>
        </w:rPr>
        <w:t>按照综合评分由高到低的次序推荐成交候选人，提交评审报告，评审报告应包含评审情况说明、排名次序、推荐成交候选人名单及其他说明事项。</w:t>
      </w:r>
    </w:p>
    <w:p>
      <w:pPr>
        <w:pStyle w:val="4"/>
        <w:ind w:firstLine="0" w:firstLineChars="0"/>
        <w:jc w:val="left"/>
        <w:rPr>
          <w:rFonts w:hint="eastAsia" w:ascii="仿宋" w:hAnsi="仿宋" w:eastAsia="仿宋" w:cs="仿宋"/>
          <w:color w:val="auto"/>
          <w:sz w:val="24"/>
          <w:szCs w:val="24"/>
          <w:highlight w:val="none"/>
        </w:rPr>
      </w:pPr>
      <w:bookmarkStart w:id="127" w:name="_Toc517281826"/>
      <w:bookmarkStart w:id="128" w:name="_Toc444891345"/>
      <w:r>
        <w:rPr>
          <w:rFonts w:hint="eastAsia" w:ascii="仿宋" w:hAnsi="仿宋" w:eastAsia="仿宋" w:cs="仿宋"/>
          <w:color w:val="auto"/>
          <w:sz w:val="24"/>
          <w:szCs w:val="24"/>
          <w:highlight w:val="none"/>
        </w:rPr>
        <w:br w:type="page"/>
      </w:r>
      <w:bookmarkStart w:id="129" w:name="_Toc32019"/>
      <w:r>
        <w:rPr>
          <w:rFonts w:hint="eastAsia" w:ascii="仿宋" w:hAnsi="仿宋" w:eastAsia="仿宋" w:cs="仿宋"/>
          <w:color w:val="auto"/>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6"/>
        <w:gridCol w:w="1167"/>
        <w:gridCol w:w="1950"/>
        <w:gridCol w:w="608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noWrap w:val="0"/>
            <w:vAlign w:val="center"/>
          </w:tcPr>
          <w:p>
            <w:pPr>
              <w:widowControl/>
              <w:spacing w:line="360" w:lineRule="auto"/>
              <w:jc w:val="center"/>
              <w:rPr>
                <w:rFonts w:hint="eastAsia" w:ascii="仿宋" w:hAnsi="仿宋" w:eastAsia="仿宋" w:cs="仿宋"/>
                <w:b/>
                <w:color w:val="auto"/>
                <w:kern w:val="0"/>
                <w:szCs w:val="21"/>
                <w:highlight w:val="none"/>
              </w:rPr>
            </w:pPr>
            <w:bookmarkStart w:id="130" w:name="_Toc426620345"/>
            <w:bookmarkStart w:id="131" w:name="_Toc9003"/>
            <w:bookmarkStart w:id="132" w:name="_Toc517281827"/>
            <w:bookmarkStart w:id="133" w:name="_Toc444891346"/>
            <w:bookmarkStart w:id="134" w:name="_Toc4633"/>
            <w:bookmarkStart w:id="135" w:name="_Toc13468"/>
            <w:r>
              <w:rPr>
                <w:rFonts w:hint="eastAsia" w:ascii="仿宋" w:hAnsi="仿宋" w:eastAsia="仿宋" w:cs="仿宋"/>
                <w:b/>
                <w:color w:val="auto"/>
                <w:kern w:val="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评审环节</w:t>
            </w:r>
          </w:p>
        </w:tc>
        <w:tc>
          <w:tcPr>
            <w:tcW w:w="989" w:type="pct"/>
            <w:noWrap w:val="0"/>
            <w:vAlign w:val="center"/>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评审因素</w:t>
            </w:r>
          </w:p>
        </w:tc>
        <w:tc>
          <w:tcPr>
            <w:tcW w:w="3085" w:type="pct"/>
            <w:noWrap w:val="0"/>
            <w:vAlign w:val="center"/>
          </w:tcPr>
          <w:p>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供应商名称</w:t>
            </w:r>
          </w:p>
        </w:tc>
        <w:tc>
          <w:tcPr>
            <w:tcW w:w="3085" w:type="pct"/>
            <w:noWrap w:val="0"/>
            <w:vAlign w:val="center"/>
          </w:tcPr>
          <w:p>
            <w:pPr>
              <w:spacing w:before="24" w:after="24" w:line="276" w:lineRule="auto"/>
              <w:jc w:val="left"/>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pacing w:val="-4"/>
                <w:kern w:val="0"/>
                <w:szCs w:val="21"/>
                <w:highlight w:val="none"/>
              </w:rPr>
            </w:pPr>
            <w:r>
              <w:rPr>
                <w:rFonts w:hint="eastAsia" w:ascii="仿宋" w:hAnsi="仿宋" w:eastAsia="仿宋" w:cs="仿宋"/>
                <w:color w:val="auto"/>
                <w:szCs w:val="21"/>
                <w:highlight w:val="none"/>
              </w:rPr>
              <w:t>法定代表人（负责人）身份证明</w:t>
            </w:r>
          </w:p>
        </w:tc>
        <w:tc>
          <w:tcPr>
            <w:tcW w:w="3085" w:type="pct"/>
            <w:noWrap w:val="0"/>
            <w:vAlign w:val="center"/>
          </w:tcPr>
          <w:p>
            <w:pPr>
              <w:pStyle w:val="174"/>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137"/>
              <w:tabs>
                <w:tab w:val="left" w:pos="630"/>
              </w:tabs>
              <w:topLinePunct/>
              <w:spacing w:before="62" w:beforeLines="20" w:after="62" w:afterLines="20"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85" w:type="pct"/>
            <w:noWrap w:val="0"/>
            <w:vAlign w:val="center"/>
          </w:tcPr>
          <w:p>
            <w:pPr>
              <w:pStyle w:val="174"/>
              <w:topLinePunc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174"/>
              <w:topLinePunct/>
              <w:spacing w:line="276" w:lineRule="auto"/>
              <w:rPr>
                <w:rFonts w:hint="eastAsia"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响应文件签字或盖章</w:t>
            </w:r>
          </w:p>
        </w:tc>
        <w:tc>
          <w:tcPr>
            <w:tcW w:w="3085" w:type="pct"/>
            <w:noWrap w:val="0"/>
            <w:vAlign w:val="center"/>
          </w:tcPr>
          <w:p>
            <w:pPr>
              <w:spacing w:before="24" w:after="24"/>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156"/>
              <w:spacing w:before="62" w:beforeLines="20" w:after="62" w:afterLines="20" w:line="276" w:lineRule="auto"/>
              <w:rPr>
                <w:rFonts w:hint="eastAsia" w:ascii="仿宋" w:hAnsi="仿宋" w:eastAsia="仿宋" w:cs="宋体"/>
                <w:color w:val="auto"/>
                <w:highlight w:val="none"/>
              </w:rPr>
            </w:pPr>
            <w:r>
              <w:rPr>
                <w:rFonts w:hint="eastAsia" w:ascii="仿宋" w:hAnsi="仿宋" w:eastAsia="仿宋" w:cs="宋体"/>
                <w:color w:val="auto"/>
                <w:highlight w:val="none"/>
              </w:rPr>
              <w:t>2、响应文件的所有签字处均指手写签字</w:t>
            </w:r>
            <w:r>
              <w:rPr>
                <w:rFonts w:hint="eastAsia" w:ascii="仿宋" w:hAnsi="仿宋" w:eastAsia="仿宋" w:cs="宋体"/>
                <w:b/>
                <w:color w:val="auto"/>
                <w:highlight w:val="none"/>
              </w:rPr>
              <w:t>或</w:t>
            </w:r>
            <w:r>
              <w:rPr>
                <w:rFonts w:hint="eastAsia" w:ascii="仿宋" w:hAnsi="仿宋" w:eastAsia="仿宋" w:cs="宋体"/>
                <w:color w:val="auto"/>
                <w:highlight w:val="none"/>
              </w:rPr>
              <w:t>签名章/印章</w:t>
            </w:r>
            <w:r>
              <w:rPr>
                <w:rFonts w:hint="eastAsia" w:ascii="仿宋" w:hAnsi="仿宋" w:eastAsia="仿宋" w:cs="宋体"/>
                <w:b/>
                <w:bCs/>
                <w:color w:val="auto"/>
                <w:highlight w:val="none"/>
              </w:rPr>
              <w:t>或</w:t>
            </w:r>
            <w:r>
              <w:rPr>
                <w:rFonts w:hint="eastAsia" w:ascii="仿宋" w:hAnsi="仿宋" w:eastAsia="仿宋" w:cs="宋体"/>
                <w:color w:val="auto"/>
                <w:highlight w:val="none"/>
              </w:rPr>
              <w:t>CA签名章，</w:t>
            </w:r>
            <w:r>
              <w:rPr>
                <w:rFonts w:hint="eastAsia" w:ascii="仿宋" w:hAnsi="仿宋" w:eastAsia="仿宋" w:cs="宋体"/>
                <w:b/>
                <w:color w:val="auto"/>
                <w:highlight w:val="none"/>
              </w:rPr>
              <w:t>不得</w:t>
            </w:r>
            <w:r>
              <w:rPr>
                <w:rFonts w:hint="eastAsia" w:ascii="仿宋" w:hAnsi="仿宋" w:eastAsia="仿宋" w:cs="宋体"/>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银行资信证明</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Monaco"/>
                <w:color w:val="auto"/>
                <w:szCs w:val="21"/>
                <w:highlight w:val="none"/>
              </w:rPr>
              <w:t>业绩证明材料</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rPr>
              <w:t>税收和社会保障资金缴纳凭证</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无违法违规记录</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Monaco"/>
                <w:color w:val="auto"/>
                <w:szCs w:val="21"/>
                <w:highlight w:val="none"/>
              </w:rPr>
              <w:t>未被列入黑名单</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Cambria Math"/>
                <w:color w:val="auto"/>
                <w:szCs w:val="21"/>
                <w:highlight w:val="none"/>
              </w:rPr>
              <w:t>控股及管理关系</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auto"/>
                <w:szCs w:val="21"/>
                <w:highlight w:val="none"/>
                <w:lang w:eastAsia="zh-CN"/>
              </w:rPr>
            </w:pPr>
            <w:r>
              <w:rPr>
                <w:rFonts w:hint="eastAsia" w:ascii="仿宋" w:hAnsi="仿宋" w:eastAsia="仿宋" w:cs="仿宋"/>
                <w:color w:val="auto"/>
                <w:szCs w:val="21"/>
                <w:highlight w:val="none"/>
                <w:lang w:val="en-US" w:eastAsia="zh-CN"/>
              </w:rPr>
              <w:t>其他</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85"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85"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ageBreakBefore w:val="0"/>
        <w:widowControl/>
        <w:numPr>
          <w:ilvl w:val="0"/>
          <w:numId w:val="4"/>
        </w:numPr>
        <w:kinsoku/>
        <w:wordWrap/>
        <w:overflowPunct/>
        <w:topLinePunct w:val="0"/>
        <w:autoSpaceDE/>
        <w:autoSpaceDN/>
        <w:bidi w:val="0"/>
        <w:adjustRightInd w:val="0"/>
        <w:snapToGrid w:val="0"/>
        <w:spacing w:line="600" w:lineRule="exac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val="0"/>
          <w:bCs w:val="0"/>
          <w:color w:val="auto"/>
          <w:sz w:val="21"/>
          <w:szCs w:val="21"/>
          <w:highlight w:val="none"/>
        </w:rPr>
        <w:br w:type="page"/>
      </w:r>
      <w:bookmarkEnd w:id="130"/>
      <w:bookmarkEnd w:id="131"/>
      <w:bookmarkEnd w:id="132"/>
      <w:bookmarkEnd w:id="133"/>
      <w:bookmarkEnd w:id="134"/>
      <w:bookmarkEnd w:id="135"/>
      <w:bookmarkStart w:id="136" w:name="_Toc15254"/>
      <w:r>
        <w:rPr>
          <w:rFonts w:hint="eastAsia" w:ascii="仿宋" w:hAnsi="仿宋" w:eastAsia="仿宋" w:cs="仿宋"/>
          <w:b/>
          <w:bCs/>
          <w:color w:val="auto"/>
          <w:kern w:val="2"/>
          <w:sz w:val="24"/>
          <w:szCs w:val="24"/>
          <w:highlight w:val="none"/>
          <w:lang w:val="en-US" w:eastAsia="zh-CN" w:bidi="ar-SA"/>
        </w:rPr>
        <w:t>详细评审</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val="en-US" w:eastAsia="zh-CN"/>
        </w:rPr>
        <w:t>采</w:t>
      </w:r>
      <w:r>
        <w:rPr>
          <w:rFonts w:hint="eastAsia" w:ascii="仿宋" w:hAnsi="仿宋" w:eastAsia="仿宋" w:cs="宋体"/>
          <w:color w:val="auto"/>
          <w:kern w:val="0"/>
          <w:sz w:val="24"/>
          <w:szCs w:val="24"/>
          <w:highlight w:val="none"/>
        </w:rPr>
        <w:t>购评审标准由项目</w:t>
      </w:r>
      <w:r>
        <w:rPr>
          <w:rFonts w:hint="eastAsia" w:ascii="仿宋" w:hAnsi="仿宋" w:eastAsia="仿宋" w:cs="宋体"/>
          <w:color w:val="auto"/>
          <w:kern w:val="0"/>
          <w:sz w:val="24"/>
          <w:szCs w:val="24"/>
          <w:highlight w:val="none"/>
          <w:lang w:val="en-US" w:eastAsia="zh-CN"/>
        </w:rPr>
        <w:t>价格得分</w:t>
      </w:r>
      <w:r>
        <w:rPr>
          <w:rFonts w:hint="eastAsia" w:ascii="仿宋" w:hAnsi="仿宋" w:eastAsia="仿宋" w:cs="宋体"/>
          <w:color w:val="auto"/>
          <w:kern w:val="0"/>
          <w:sz w:val="24"/>
          <w:szCs w:val="24"/>
          <w:highlight w:val="none"/>
        </w:rPr>
        <w:t>、技术及服务和</w:t>
      </w:r>
      <w:r>
        <w:rPr>
          <w:rFonts w:hint="eastAsia" w:ascii="仿宋" w:hAnsi="仿宋" w:eastAsia="仿宋" w:cs="宋体"/>
          <w:color w:val="auto"/>
          <w:kern w:val="0"/>
          <w:sz w:val="24"/>
          <w:szCs w:val="24"/>
          <w:highlight w:val="none"/>
          <w:lang w:val="en-US" w:eastAsia="zh-CN"/>
        </w:rPr>
        <w:t>商务</w:t>
      </w:r>
      <w:r>
        <w:rPr>
          <w:rFonts w:hint="eastAsia" w:ascii="仿宋" w:hAnsi="仿宋" w:eastAsia="仿宋" w:cs="宋体"/>
          <w:color w:val="auto"/>
          <w:kern w:val="0"/>
          <w:sz w:val="24"/>
          <w:szCs w:val="24"/>
          <w:highlight w:val="none"/>
        </w:rPr>
        <w:t>水平三项标准构成，评审专家将依据</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邀请文件要求，结合项目最终报价表、技术方案、服务方案等情况进行评分。各有效供应商的综合得分为各评审专家所评分值的算术平均值，若总得分相同，以价格得分高者排序在先。将把合同授予被确定为实质上响应</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文件要求且评标得分最高的供应商。</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评审标准如下：</w:t>
      </w:r>
    </w:p>
    <w:tbl>
      <w:tblPr>
        <w:tblStyle w:val="40"/>
        <w:tblpPr w:leftFromText="180" w:rightFromText="180" w:vertAnchor="text" w:horzAnchor="page" w:tblpX="1257" w:tblpY="468"/>
        <w:tblOverlap w:val="never"/>
        <w:tblW w:w="47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2"/>
        <w:gridCol w:w="1067"/>
        <w:gridCol w:w="6653"/>
        <w:gridCol w:w="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bookmarkStart w:id="137" w:name="_Toc9339"/>
            <w:bookmarkStart w:id="138" w:name="_Toc18549"/>
            <w:bookmarkStart w:id="139" w:name="_Toc20073"/>
            <w:bookmarkStart w:id="140" w:name="_Toc65682983"/>
            <w:r>
              <w:rPr>
                <w:rStyle w:val="117"/>
                <w:rFonts w:hint="eastAsia" w:ascii="仿宋" w:hAnsi="仿宋" w:eastAsia="仿宋" w:cs="仿宋"/>
                <w:color w:val="auto"/>
                <w:sz w:val="21"/>
                <w:szCs w:val="21"/>
                <w:highlight w:val="none"/>
                <w:lang w:bidi="ar"/>
              </w:rPr>
              <w:t>评审项</w:t>
            </w:r>
          </w:p>
        </w:tc>
        <w:tc>
          <w:tcPr>
            <w:tcW w:w="58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评审因素</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评分说明</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7" w:hRule="atLeast"/>
        </w:trPr>
        <w:tc>
          <w:tcPr>
            <w:tcW w:w="4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价</w:t>
            </w:r>
            <w:r>
              <w:rPr>
                <w:rStyle w:val="117"/>
                <w:rFonts w:hint="eastAsia" w:ascii="仿宋" w:hAnsi="仿宋" w:eastAsia="仿宋" w:cs="仿宋"/>
                <w:color w:val="auto"/>
                <w:sz w:val="21"/>
                <w:szCs w:val="21"/>
                <w:highlight w:val="none"/>
                <w:lang w:val="en-US" w:bidi="ar"/>
              </w:rPr>
              <w:t xml:space="preserve">   </w:t>
            </w:r>
            <w:r>
              <w:rPr>
                <w:rStyle w:val="117"/>
                <w:rFonts w:hint="eastAsia" w:ascii="仿宋" w:hAnsi="仿宋" w:eastAsia="仿宋" w:cs="仿宋"/>
                <w:color w:val="auto"/>
                <w:sz w:val="21"/>
                <w:szCs w:val="21"/>
                <w:highlight w:val="none"/>
                <w:lang w:bidi="ar"/>
              </w:rPr>
              <w:t>格</w:t>
            </w:r>
            <w:r>
              <w:rPr>
                <w:rStyle w:val="117"/>
                <w:rFonts w:hint="eastAsia" w:ascii="仿宋" w:hAnsi="仿宋" w:eastAsia="仿宋" w:cs="仿宋"/>
                <w:color w:val="auto"/>
                <w:sz w:val="21"/>
                <w:szCs w:val="21"/>
                <w:highlight w:val="none"/>
                <w:lang w:val="en-US" w:bidi="ar"/>
              </w:rPr>
              <w:t xml:space="preserve">   </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bidi="ar"/>
              </w:rPr>
              <w:t xml:space="preserve">   </w:t>
            </w:r>
            <w:r>
              <w:rPr>
                <w:rStyle w:val="117"/>
                <w:rFonts w:hint="eastAsia" w:ascii="仿宋" w:hAnsi="仿宋" w:eastAsia="仿宋" w:cs="仿宋"/>
                <w:color w:val="auto"/>
                <w:sz w:val="21"/>
                <w:szCs w:val="21"/>
                <w:highlight w:val="none"/>
                <w:lang w:bidi="ar"/>
              </w:rPr>
              <w:t>分</w:t>
            </w:r>
          </w:p>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（50</w:t>
            </w:r>
            <w:r>
              <w:rPr>
                <w:rStyle w:val="117"/>
                <w:rFonts w:hint="eastAsia" w:ascii="仿宋" w:hAnsi="仿宋" w:eastAsia="仿宋" w:cs="仿宋"/>
                <w:color w:val="auto"/>
                <w:sz w:val="21"/>
                <w:szCs w:val="21"/>
                <w:highlight w:val="none"/>
                <w:lang w:val="en-US" w:eastAsia="zh-CN" w:bidi="ar"/>
              </w:rPr>
              <w:t>分</w:t>
            </w:r>
            <w:r>
              <w:rPr>
                <w:rStyle w:val="117"/>
                <w:rFonts w:hint="eastAsia" w:ascii="仿宋" w:hAnsi="仿宋" w:eastAsia="仿宋" w:cs="仿宋"/>
                <w:color w:val="auto"/>
                <w:sz w:val="21"/>
                <w:szCs w:val="21"/>
                <w:highlight w:val="none"/>
                <w:lang w:eastAsia="zh-CN" w:bidi="ar"/>
              </w:rPr>
              <w:t>）</w:t>
            </w:r>
          </w:p>
        </w:tc>
        <w:tc>
          <w:tcPr>
            <w:tcW w:w="5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投标</w:t>
            </w:r>
          </w:p>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报价</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numPr>
                <w:ilvl w:val="0"/>
                <w:numId w:val="0"/>
              </w:numPr>
              <w:suppressLineNumbers w:val="0"/>
              <w:spacing w:before="0" w:beforeAutospacing="0" w:after="0" w:afterAutospacing="0" w:line="240" w:lineRule="auto"/>
              <w:ind w:right="0" w:rightChars="0"/>
              <w:rPr>
                <w:rStyle w:val="117"/>
                <w:rFonts w:hint="eastAsia" w:ascii="仿宋" w:hAnsi="仿宋" w:eastAsia="仿宋" w:cs="仿宋"/>
                <w:color w:val="auto"/>
                <w:sz w:val="21"/>
                <w:szCs w:val="21"/>
                <w:highlight w:val="none"/>
                <w:lang w:val="en-US" w:bidi="ar"/>
              </w:rPr>
            </w:pPr>
            <w:r>
              <w:rPr>
                <w:rStyle w:val="117"/>
                <w:rFonts w:hint="eastAsia" w:ascii="仿宋" w:hAnsi="仿宋" w:eastAsia="仿宋" w:cs="仿宋"/>
                <w:color w:val="auto"/>
                <w:sz w:val="21"/>
                <w:szCs w:val="21"/>
                <w:highlight w:val="none"/>
                <w:lang w:val="en-US" w:bidi="ar"/>
              </w:rPr>
              <w:t>1.低价优先法：（有效投标人少于5家（不含本数）），评标折扣率为各有效投标人的综合折扣率。</w:t>
            </w:r>
          </w:p>
          <w:p>
            <w:pPr>
              <w:keepNext w:val="0"/>
              <w:keepLines w:val="0"/>
              <w:numPr>
                <w:ilvl w:val="0"/>
                <w:numId w:val="0"/>
              </w:numPr>
              <w:suppressLineNumbers w:val="0"/>
              <w:spacing w:before="0" w:beforeAutospacing="0" w:after="0" w:afterAutospacing="0" w:line="240" w:lineRule="auto"/>
              <w:ind w:right="0" w:rightChars="0" w:firstLine="420" w:firstLineChars="200"/>
              <w:rPr>
                <w:rStyle w:val="117"/>
                <w:rFonts w:hint="eastAsia" w:ascii="仿宋" w:hAnsi="仿宋" w:eastAsia="仿宋" w:cs="仿宋"/>
                <w:color w:val="auto"/>
                <w:sz w:val="21"/>
                <w:szCs w:val="21"/>
                <w:highlight w:val="none"/>
                <w:lang w:val="en-US" w:bidi="ar"/>
              </w:rPr>
            </w:pPr>
            <w:r>
              <w:rPr>
                <w:rStyle w:val="117"/>
                <w:rFonts w:hint="eastAsia" w:ascii="仿宋" w:hAnsi="仿宋" w:eastAsia="仿宋" w:cs="仿宋"/>
                <w:color w:val="auto"/>
                <w:sz w:val="21"/>
                <w:szCs w:val="21"/>
                <w:highlight w:val="none"/>
                <w:lang w:val="en-US" w:bidi="ar"/>
              </w:rPr>
              <w:t>满足招标文件全部要求的最低有效评标折扣率作为评标基准折扣率，评标折扣率等于评标基准折扣率的，价格项得满分50分。其他投标人的价格得分统一按照下列公式计算，精确到小数点后两位：</w:t>
            </w:r>
          </w:p>
          <w:p>
            <w:pPr>
              <w:keepNext w:val="0"/>
              <w:keepLines w:val="0"/>
              <w:numPr>
                <w:ilvl w:val="0"/>
                <w:numId w:val="0"/>
              </w:numPr>
              <w:suppressLineNumbers w:val="0"/>
              <w:spacing w:before="0" w:beforeAutospacing="0" w:after="0" w:afterAutospacing="0" w:line="240" w:lineRule="auto"/>
              <w:ind w:right="0" w:rightChars="0"/>
              <w:rPr>
                <w:rStyle w:val="117"/>
                <w:rFonts w:hint="eastAsia" w:ascii="仿宋" w:hAnsi="仿宋" w:eastAsia="仿宋" w:cs="仿宋"/>
                <w:color w:val="auto"/>
                <w:sz w:val="21"/>
                <w:szCs w:val="21"/>
                <w:highlight w:val="none"/>
                <w:lang w:val="en-US" w:bidi="ar"/>
              </w:rPr>
            </w:pPr>
            <w:r>
              <w:rPr>
                <w:rStyle w:val="117"/>
                <w:rFonts w:hint="eastAsia" w:ascii="仿宋" w:hAnsi="仿宋" w:eastAsia="仿宋" w:cs="仿宋"/>
                <w:color w:val="auto"/>
                <w:sz w:val="21"/>
                <w:szCs w:val="21"/>
                <w:highlight w:val="none"/>
                <w:lang w:val="en-US" w:bidi="ar"/>
              </w:rPr>
              <w:t>价格得分＝（评标基准折扣率/该投标人的评标折扣率）×50；</w:t>
            </w:r>
          </w:p>
          <w:p>
            <w:pPr>
              <w:pStyle w:val="2"/>
              <w:numPr>
                <w:ilvl w:val="0"/>
                <w:numId w:val="0"/>
              </w:numPr>
              <w:jc w:val="both"/>
              <w:rPr>
                <w:rStyle w:val="117"/>
                <w:rFonts w:hint="eastAsia"/>
                <w:color w:val="auto"/>
                <w:kern w:val="2"/>
                <w:sz w:val="21"/>
                <w:szCs w:val="21"/>
                <w:highlight w:val="none"/>
                <w:lang w:val="en-US" w:eastAsia="zh-CN" w:bidi="ar"/>
              </w:rPr>
            </w:pPr>
            <w:r>
              <w:rPr>
                <w:rStyle w:val="117"/>
                <w:rFonts w:hint="eastAsia"/>
                <w:color w:val="auto"/>
                <w:kern w:val="2"/>
                <w:sz w:val="21"/>
                <w:szCs w:val="21"/>
                <w:highlight w:val="none"/>
                <w:lang w:val="en-US" w:eastAsia="zh-CN" w:bidi="ar"/>
              </w:rPr>
              <w:t>2.偏离度计算法：（有效投标人大于等于5家时使用），设置评标基准折扣率：取所有有效评标折扣率的算术平均值，计算结果保留小数点后两位。按照以下公式计算得分：</w:t>
            </w:r>
          </w:p>
          <w:p>
            <w:pPr>
              <w:pStyle w:val="2"/>
              <w:numPr>
                <w:ilvl w:val="0"/>
                <w:numId w:val="0"/>
              </w:numPr>
              <w:jc w:val="both"/>
              <w:rPr>
                <w:rStyle w:val="117"/>
                <w:rFonts w:hint="default"/>
                <w:color w:val="auto"/>
                <w:kern w:val="2"/>
                <w:sz w:val="21"/>
                <w:szCs w:val="21"/>
                <w:highlight w:val="none"/>
                <w:lang w:val="en-US" w:eastAsia="zh-CN" w:bidi="ar"/>
              </w:rPr>
            </w:pPr>
            <w:r>
              <w:rPr>
                <w:rStyle w:val="117"/>
                <w:rFonts w:hint="eastAsia"/>
                <w:color w:val="auto"/>
                <w:kern w:val="2"/>
                <w:sz w:val="21"/>
                <w:szCs w:val="21"/>
                <w:highlight w:val="none"/>
                <w:lang w:val="en-US" w:eastAsia="zh-CN" w:bidi="ar"/>
              </w:rPr>
              <w:t>价格得分=(1-A*│1－该投标人的评标折扣率／评标基准折扣率│)*50  （A为折扣率调整系数，当该投标人的评标折扣率低于评标基准折扣率时，A=0.5；当该投标人的评标折扣率高于评标基准折扣率时，A=1；当价格得分&lt;0时，取0。）</w:t>
            </w:r>
          </w:p>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6" w:hRule="atLeast"/>
        </w:trPr>
        <w:tc>
          <w:tcPr>
            <w:tcW w:w="469"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技术及服务得分</w:t>
            </w:r>
            <w:bookmarkStart w:id="141" w:name="_Toc11316"/>
            <w:bookmarkStart w:id="142" w:name="_Toc19430"/>
            <w:r>
              <w:rPr>
                <w:rStyle w:val="117"/>
                <w:rFonts w:hint="eastAsia" w:ascii="仿宋" w:hAnsi="仿宋" w:eastAsia="仿宋" w:cs="仿宋"/>
                <w:color w:val="auto"/>
                <w:sz w:val="21"/>
                <w:szCs w:val="21"/>
                <w:highlight w:val="none"/>
                <w:lang w:bidi="ar"/>
              </w:rPr>
              <w:t>（40分）</w:t>
            </w:r>
            <w:bookmarkEnd w:id="141"/>
            <w:bookmarkEnd w:id="142"/>
          </w:p>
        </w:tc>
        <w:tc>
          <w:tcPr>
            <w:tcW w:w="581"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供应保障能 力</w:t>
            </w:r>
          </w:p>
        </w:tc>
        <w:tc>
          <w:tcPr>
            <w:tcW w:w="3623"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1.投标人具有仓储库房或门店（提供详细地址及图片等相关证明资料）得2分；</w:t>
            </w:r>
          </w:p>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2.拥有独立配送物资的车辆（提供相关车辆照片、车辆租赁合同或车辆行驶证等证明材料）得3分。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469" w:type="pct"/>
            <w:vMerge w:val="continue"/>
            <w:tcBorders>
              <w:left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人员配备</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w:t>
            </w:r>
            <w:r>
              <w:rPr>
                <w:rStyle w:val="117"/>
                <w:rFonts w:hint="eastAsia" w:ascii="仿宋" w:hAnsi="仿宋" w:eastAsia="仿宋" w:cs="仿宋"/>
                <w:color w:val="auto"/>
                <w:sz w:val="21"/>
                <w:szCs w:val="21"/>
                <w:highlight w:val="none"/>
                <w:lang w:val="en-US" w:eastAsia="zh-CN" w:bidi="ar"/>
              </w:rPr>
              <w:t>投标人</w:t>
            </w:r>
            <w:r>
              <w:rPr>
                <w:rStyle w:val="117"/>
                <w:rFonts w:hint="eastAsia" w:ascii="仿宋" w:hAnsi="仿宋" w:eastAsia="仿宋" w:cs="仿宋"/>
                <w:color w:val="auto"/>
                <w:sz w:val="21"/>
                <w:szCs w:val="21"/>
                <w:highlight w:val="none"/>
                <w:lang w:bidi="ar"/>
              </w:rPr>
              <w:t>拟投入本项目的实施团队人员构成情况，综合考虑人员配备齐全度、</w:t>
            </w:r>
            <w:r>
              <w:rPr>
                <w:rStyle w:val="117"/>
                <w:rFonts w:hint="eastAsia" w:ascii="仿宋" w:hAnsi="仿宋" w:eastAsia="仿宋" w:cs="仿宋"/>
                <w:color w:val="auto"/>
                <w:sz w:val="21"/>
                <w:szCs w:val="21"/>
                <w:highlight w:val="none"/>
                <w:lang w:val="en-US" w:bidi="ar"/>
              </w:rPr>
              <w:t>配送人员或团队、</w:t>
            </w:r>
            <w:r>
              <w:rPr>
                <w:rStyle w:val="117"/>
                <w:rFonts w:hint="eastAsia" w:ascii="仿宋" w:hAnsi="仿宋" w:eastAsia="仿宋" w:cs="仿宋"/>
                <w:color w:val="auto"/>
                <w:sz w:val="21"/>
                <w:szCs w:val="21"/>
                <w:highlight w:val="none"/>
                <w:lang w:bidi="ar"/>
              </w:rPr>
              <w:t>职责分工情况、专业、工作经验、人员素质、等内容</w:t>
            </w:r>
            <w:r>
              <w:rPr>
                <w:rStyle w:val="117"/>
                <w:rFonts w:hint="eastAsia" w:ascii="仿宋" w:hAnsi="仿宋" w:eastAsia="仿宋" w:cs="仿宋"/>
                <w:color w:val="auto"/>
                <w:sz w:val="21"/>
                <w:szCs w:val="21"/>
                <w:highlight w:val="none"/>
                <w:lang w:val="en-US" w:eastAsia="zh-CN" w:bidi="ar"/>
              </w:rPr>
              <w:t>横向比较</w:t>
            </w:r>
            <w:r>
              <w:rPr>
                <w:rStyle w:val="117"/>
                <w:rFonts w:hint="eastAsia" w:ascii="仿宋" w:hAnsi="仿宋" w:eastAsia="仿宋" w:cs="仿宋"/>
                <w:color w:val="auto"/>
                <w:sz w:val="21"/>
                <w:szCs w:val="21"/>
                <w:highlight w:val="none"/>
                <w:lang w:bidi="ar"/>
              </w:rPr>
              <w:t>进行评分。评价为优得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服务方案</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根据投标人提供的服务方案横向比较，综合考虑服务方案的可行性、全面性等内容进行评分。</w:t>
            </w:r>
            <w:r>
              <w:rPr>
                <w:rStyle w:val="117"/>
                <w:rFonts w:hint="eastAsia" w:ascii="仿宋" w:hAnsi="仿宋" w:eastAsia="仿宋" w:cs="仿宋"/>
                <w:color w:val="auto"/>
                <w:sz w:val="21"/>
                <w:szCs w:val="21"/>
                <w:highlight w:val="none"/>
                <w:lang w:bidi="ar"/>
              </w:rPr>
              <w:t>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配送方案、配送时效及退换货时 效</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根据投标人提供的配送方案、承诺的配送时效及产品出现质量问题时保障退换货的退换时间等方面横向比较，综合评分。</w:t>
            </w:r>
            <w:r>
              <w:rPr>
                <w:rStyle w:val="117"/>
                <w:rFonts w:hint="eastAsia" w:ascii="仿宋" w:hAnsi="仿宋" w:eastAsia="仿宋" w:cs="仿宋"/>
                <w:color w:val="auto"/>
                <w:sz w:val="21"/>
                <w:szCs w:val="21"/>
                <w:highlight w:val="none"/>
                <w:lang w:bidi="ar"/>
              </w:rPr>
              <w:t>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食品安全保障方案及产品溯源</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根据投标人提供的食品安全保障、产品溯源情况等方面横向比较，综合评分。评价为优得8-10分，良好得4-7分，一般得1-3分。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增值服务</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w:t>
            </w:r>
            <w:r>
              <w:rPr>
                <w:rStyle w:val="117"/>
                <w:rFonts w:hint="eastAsia" w:ascii="仿宋" w:hAnsi="仿宋" w:eastAsia="仿宋" w:cs="仿宋"/>
                <w:color w:val="auto"/>
                <w:sz w:val="21"/>
                <w:szCs w:val="21"/>
                <w:highlight w:val="none"/>
                <w:lang w:val="en-US" w:eastAsia="zh-CN" w:bidi="ar"/>
              </w:rPr>
              <w:t>投标人提供的</w:t>
            </w:r>
            <w:r>
              <w:rPr>
                <w:rStyle w:val="117"/>
                <w:rFonts w:hint="eastAsia" w:ascii="仿宋" w:hAnsi="仿宋" w:eastAsia="仿宋" w:cs="仿宋"/>
                <w:color w:val="auto"/>
                <w:sz w:val="21"/>
                <w:szCs w:val="21"/>
                <w:highlight w:val="none"/>
                <w:lang w:eastAsia="zh-CN" w:bidi="ar"/>
              </w:rPr>
              <w:t>的</w:t>
            </w:r>
            <w:r>
              <w:rPr>
                <w:rStyle w:val="117"/>
                <w:rFonts w:hint="eastAsia" w:ascii="仿宋" w:hAnsi="仿宋" w:eastAsia="仿宋" w:cs="仿宋"/>
                <w:color w:val="auto"/>
                <w:sz w:val="21"/>
                <w:szCs w:val="21"/>
                <w:highlight w:val="none"/>
                <w:lang w:val="en-US" w:eastAsia="zh-CN" w:bidi="ar"/>
              </w:rPr>
              <w:t>增值服务（如可线上下单之类的智能数字服务），横向比较，综合评价。</w:t>
            </w:r>
            <w:r>
              <w:rPr>
                <w:rStyle w:val="117"/>
                <w:rFonts w:hint="eastAsia" w:ascii="仿宋" w:hAnsi="仿宋" w:eastAsia="仿宋" w:cs="仿宋"/>
                <w:color w:val="auto"/>
                <w:sz w:val="21"/>
                <w:szCs w:val="21"/>
                <w:highlight w:val="none"/>
                <w:lang w:bidi="ar"/>
              </w:rPr>
              <w:t>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469" w:type="pct"/>
            <w:vMerge w:val="restart"/>
            <w:tcBorders>
              <w:top w:val="single" w:color="auto" w:sz="4" w:space="0"/>
              <w:left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商务</w:t>
            </w:r>
            <w:r>
              <w:rPr>
                <w:rFonts w:hint="eastAsia" w:ascii="仿宋" w:hAnsi="仿宋" w:eastAsia="仿宋" w:cs="仿宋"/>
                <w:color w:val="auto"/>
                <w:sz w:val="21"/>
                <w:szCs w:val="21"/>
                <w:highlight w:val="none"/>
                <w:lang w:bidi="ar"/>
              </w:rPr>
              <w:t>得分</w:t>
            </w:r>
          </w:p>
          <w:p>
            <w:pPr>
              <w:keepNext w:val="0"/>
              <w:keepLines w:val="0"/>
              <w:suppressLineNumbers w:val="0"/>
              <w:spacing w:before="0" w:beforeAutospacing="0" w:after="0" w:afterAutospacing="0"/>
              <w:ind w:left="0" w:leftChars="0" w:right="0" w:rightChars="0"/>
              <w:jc w:val="center"/>
              <w:textAlignment w:val="center"/>
              <w:rPr>
                <w:rStyle w:val="117"/>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w:t>
            </w:r>
            <w:r>
              <w:rPr>
                <w:rFonts w:hint="eastAsia" w:ascii="仿宋" w:hAnsi="仿宋" w:eastAsia="仿宋" w:cs="仿宋"/>
                <w:color w:val="auto"/>
                <w:sz w:val="21"/>
                <w:szCs w:val="21"/>
                <w:highlight w:val="none"/>
                <w:lang w:val="en-US" w:eastAsia="zh-CN" w:bidi="ar"/>
              </w:rPr>
              <w:t>10</w:t>
            </w:r>
            <w:r>
              <w:rPr>
                <w:rFonts w:hint="eastAsia" w:ascii="仿宋" w:hAnsi="仿宋" w:eastAsia="仿宋" w:cs="仿宋"/>
                <w:color w:val="auto"/>
                <w:sz w:val="21"/>
                <w:szCs w:val="21"/>
                <w:highlight w:val="none"/>
                <w:lang w:bidi="ar"/>
              </w:rPr>
              <w:t>分）</w:t>
            </w:r>
          </w:p>
        </w:tc>
        <w:tc>
          <w:tcPr>
            <w:tcW w:w="581" w:type="pct"/>
            <w:tcBorders>
              <w:top w:val="single" w:color="auto"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ind w:left="0" w:leftChars="0" w:right="0" w:rightChars="0"/>
              <w:jc w:val="center"/>
              <w:textAlignment w:val="center"/>
              <w:rPr>
                <w:rStyle w:val="117"/>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综合实力</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leftChars="0" w:right="0" w:rightChars="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根据投标人</w:t>
            </w:r>
            <w:r>
              <w:rPr>
                <w:rStyle w:val="117"/>
                <w:rFonts w:hint="eastAsia" w:ascii="仿宋" w:hAnsi="仿宋" w:eastAsia="仿宋" w:cs="仿宋"/>
                <w:bCs/>
                <w:color w:val="auto"/>
                <w:sz w:val="21"/>
                <w:szCs w:val="21"/>
                <w:highlight w:val="none"/>
                <w:lang w:val="en-US" w:eastAsia="zh-CN" w:bidi="ar"/>
              </w:rPr>
              <w:t>财务状况、信誉状况、从业人员</w:t>
            </w:r>
            <w:r>
              <w:rPr>
                <w:rStyle w:val="117"/>
                <w:rFonts w:hint="eastAsia" w:ascii="仿宋" w:hAnsi="仿宋" w:eastAsia="仿宋" w:cs="仿宋"/>
                <w:bCs/>
                <w:color w:val="auto"/>
                <w:sz w:val="21"/>
                <w:szCs w:val="21"/>
                <w:highlight w:val="none"/>
                <w:lang w:bidi="ar"/>
              </w:rPr>
              <w:t>等</w:t>
            </w:r>
            <w:r>
              <w:rPr>
                <w:rStyle w:val="117"/>
                <w:rFonts w:hint="eastAsia" w:ascii="仿宋" w:hAnsi="仿宋" w:eastAsia="仿宋" w:cs="仿宋"/>
                <w:color w:val="auto"/>
                <w:sz w:val="21"/>
                <w:szCs w:val="21"/>
                <w:highlight w:val="none"/>
                <w:lang w:bidi="ar"/>
              </w:rPr>
              <w:t>情况进行横向比较评分（需提供相应证明材料），评标为优得</w:t>
            </w:r>
            <w:r>
              <w:rPr>
                <w:rStyle w:val="117"/>
                <w:rFonts w:hint="eastAsia" w:ascii="仿宋" w:hAnsi="仿宋" w:eastAsia="仿宋" w:cs="仿宋"/>
                <w:color w:val="auto"/>
                <w:sz w:val="21"/>
                <w:szCs w:val="21"/>
                <w:highlight w:val="none"/>
                <w:lang w:val="en-US" w:bidi="ar"/>
              </w:rPr>
              <w:t>4-5</w:t>
            </w:r>
            <w:r>
              <w:rPr>
                <w:rStyle w:val="117"/>
                <w:rFonts w:hint="eastAsia" w:ascii="仿宋" w:hAnsi="仿宋" w:eastAsia="仿宋" w:cs="仿宋"/>
                <w:color w:val="auto"/>
                <w:sz w:val="21"/>
                <w:szCs w:val="21"/>
                <w:highlight w:val="none"/>
                <w:lang w:bidi="ar"/>
              </w:rPr>
              <w:t>分，良好得</w:t>
            </w:r>
            <w:r>
              <w:rPr>
                <w:rStyle w:val="117"/>
                <w:rFonts w:hint="eastAsia" w:ascii="仿宋" w:hAnsi="仿宋" w:eastAsia="仿宋" w:cs="仿宋"/>
                <w:color w:val="auto"/>
                <w:sz w:val="21"/>
                <w:szCs w:val="21"/>
                <w:highlight w:val="none"/>
                <w:lang w:val="en-US" w:bidi="ar"/>
              </w:rPr>
              <w:t>2-3</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bidi="ar"/>
              </w:rPr>
              <w:t>0-1</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leftChars="0" w:right="0" w:rightChars="0"/>
              <w:jc w:val="center"/>
              <w:rPr>
                <w:rStyle w:val="117"/>
                <w:rFonts w:hint="eastAsia" w:ascii="仿宋" w:hAnsi="仿宋" w:eastAsia="仿宋" w:cs="仿宋"/>
                <w:color w:val="auto"/>
                <w:sz w:val="21"/>
                <w:szCs w:val="21"/>
                <w:highlight w:val="none"/>
                <w:lang w:val="en-US" w:eastAsia="zh-CN" w:bidi="ar"/>
              </w:rPr>
            </w:pPr>
            <w:r>
              <w:rPr>
                <w:rStyle w:val="117"/>
                <w:rFonts w:hint="eastAsia" w:cs="宋体"/>
                <w:color w:val="auto"/>
                <w:sz w:val="21"/>
                <w:szCs w:val="21"/>
                <w:highlight w:val="none"/>
                <w:lang w:val="en-US"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469" w:type="pct"/>
            <w:vMerge w:val="continue"/>
            <w:tcBorders>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仿宋" w:hAnsi="仿宋" w:eastAsia="仿宋" w:cs="仿宋"/>
                <w:color w:val="auto"/>
                <w:sz w:val="21"/>
                <w:szCs w:val="21"/>
                <w:highlight w:val="none"/>
                <w:lang w:bidi="ar"/>
              </w:rPr>
            </w:pPr>
          </w:p>
        </w:tc>
        <w:tc>
          <w:tcPr>
            <w:tcW w:w="581"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ind w:left="0" w:leftChars="0" w:right="0" w:rightChars="0"/>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成功案例</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根据投标人近三年（202</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年1月1日至开标日，以</w:t>
            </w:r>
            <w:r>
              <w:rPr>
                <w:rStyle w:val="117"/>
                <w:rFonts w:hint="eastAsia" w:ascii="仿宋" w:hAnsi="仿宋" w:eastAsia="仿宋" w:cs="仿宋"/>
                <w:color w:val="auto"/>
                <w:sz w:val="21"/>
                <w:szCs w:val="21"/>
                <w:highlight w:val="none"/>
                <w:lang w:val="en-US" w:eastAsia="zh-CN" w:bidi="ar"/>
              </w:rPr>
              <w:t>服务</w:t>
            </w:r>
            <w:r>
              <w:rPr>
                <w:rStyle w:val="117"/>
                <w:rFonts w:hint="eastAsia" w:ascii="仿宋" w:hAnsi="仿宋" w:eastAsia="仿宋" w:cs="仿宋"/>
                <w:color w:val="auto"/>
                <w:sz w:val="21"/>
                <w:szCs w:val="21"/>
                <w:highlight w:val="none"/>
                <w:lang w:bidi="ar"/>
              </w:rPr>
              <w:t>签订日期为准）具有类似项目实施案例进行打分，在满足资格要求的基础上，每增加提供1个有效的案例得</w:t>
            </w:r>
            <w:r>
              <w:rPr>
                <w:rStyle w:val="117"/>
                <w:rFonts w:hint="eastAsia" w:ascii="仿宋" w:hAnsi="仿宋" w:eastAsia="仿宋" w:cs="仿宋"/>
                <w:color w:val="auto"/>
                <w:sz w:val="21"/>
                <w:szCs w:val="21"/>
                <w:highlight w:val="none"/>
                <w:lang w:val="en-US" w:bidi="ar"/>
              </w:rPr>
              <w:t>1</w:t>
            </w:r>
            <w:r>
              <w:rPr>
                <w:rStyle w:val="117"/>
                <w:rFonts w:hint="eastAsia" w:ascii="仿宋" w:hAnsi="仿宋" w:eastAsia="仿宋" w:cs="仿宋"/>
                <w:color w:val="auto"/>
                <w:sz w:val="21"/>
                <w:szCs w:val="21"/>
                <w:highlight w:val="none"/>
                <w:lang w:bidi="ar"/>
              </w:rPr>
              <w:t>分，最多得</w:t>
            </w:r>
            <w:r>
              <w:rPr>
                <w:rStyle w:val="117"/>
                <w:rFonts w:hint="eastAsia" w:ascii="仿宋" w:hAnsi="仿宋" w:eastAsia="仿宋" w:cs="仿宋"/>
                <w:color w:val="auto"/>
                <w:sz w:val="21"/>
                <w:szCs w:val="21"/>
                <w:highlight w:val="none"/>
                <w:lang w:val="en-US" w:bidi="ar"/>
              </w:rPr>
              <w:t>5</w:t>
            </w:r>
            <w:r>
              <w:rPr>
                <w:rStyle w:val="117"/>
                <w:rFonts w:hint="eastAsia" w:ascii="仿宋" w:hAnsi="仿宋" w:eastAsia="仿宋" w:cs="仿宋"/>
                <w:color w:val="auto"/>
                <w:sz w:val="21"/>
                <w:szCs w:val="21"/>
                <w:highlight w:val="none"/>
                <w:lang w:bidi="ar"/>
              </w:rPr>
              <w:t>分。</w:t>
            </w:r>
          </w:p>
          <w:p>
            <w:pPr>
              <w:keepNext w:val="0"/>
              <w:keepLines w:val="0"/>
              <w:suppressLineNumbers w:val="0"/>
              <w:spacing w:before="0" w:beforeAutospacing="0" w:after="0" w:afterAutospacing="0" w:line="240" w:lineRule="auto"/>
              <w:ind w:left="0" w:leftChars="0" w:right="0" w:rightChars="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需提供合同关键页复印件（包括合同首页、体现项目内容页、签署日期页及盖章页）作为有效证明文件。</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leftChars="0" w:right="0" w:rightChars="0"/>
              <w:jc w:val="center"/>
              <w:rPr>
                <w:rStyle w:val="117"/>
                <w:rFonts w:hint="eastAsia" w:cs="宋体"/>
                <w:color w:val="auto"/>
                <w:sz w:val="21"/>
                <w:szCs w:val="21"/>
                <w:highlight w:val="none"/>
                <w:lang w:val="en-US" w:bidi="ar"/>
              </w:rPr>
            </w:pPr>
            <w:r>
              <w:rPr>
                <w:rStyle w:val="117"/>
                <w:rFonts w:hint="eastAsia" w:cs="宋体"/>
                <w:color w:val="auto"/>
                <w:sz w:val="21"/>
                <w:szCs w:val="21"/>
                <w:highlight w:val="none"/>
                <w:lang w:val="en-US" w:bidi="ar"/>
              </w:rPr>
              <w:t>5</w:t>
            </w:r>
          </w:p>
        </w:tc>
      </w:tr>
      <w:bookmarkEnd w:id="137"/>
      <w:bookmarkEnd w:id="138"/>
      <w:bookmarkEnd w:id="139"/>
      <w:bookmarkEnd w:id="140"/>
    </w:tbl>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both"/>
        <w:rPr>
          <w:rFonts w:hint="eastAsia" w:ascii="仿宋" w:hAnsi="仿宋" w:eastAsia="仿宋" w:cs="仿宋"/>
          <w:b/>
          <w:bCs/>
          <w:color w:val="auto"/>
          <w:sz w:val="28"/>
          <w:szCs w:val="28"/>
          <w:highlight w:val="none"/>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b/>
          <w:bCs/>
          <w:color w:val="auto"/>
          <w:sz w:val="28"/>
          <w:szCs w:val="28"/>
          <w:highlight w:val="none"/>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第</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章 合同条款</w:t>
      </w:r>
      <w:bookmarkEnd w:id="136"/>
    </w:p>
    <w:p>
      <w:pPr>
        <w:pageBreakBefore w:val="0"/>
        <w:kinsoku/>
        <w:wordWrap/>
        <w:overflowPunct/>
        <w:topLinePunct w:val="0"/>
        <w:autoSpaceDE/>
        <w:autoSpaceDN/>
        <w:bidi w:val="0"/>
        <w:spacing w:line="600" w:lineRule="exact"/>
        <w:jc w:val="center"/>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kern w:val="0"/>
          <w:sz w:val="24"/>
          <w:szCs w:val="24"/>
          <w:lang w:val="en-US" w:eastAsia="zh-CN" w:bidi="ar-SA"/>
        </w:rPr>
        <w:t>商务部分</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第一条 </w:t>
      </w:r>
      <w:r>
        <w:rPr>
          <w:rFonts w:hint="eastAsia" w:ascii="仿宋" w:hAnsi="仿宋" w:eastAsia="仿宋" w:cs="仿宋"/>
          <w:b/>
          <w:bCs/>
          <w:color w:val="auto"/>
          <w:sz w:val="24"/>
          <w:szCs w:val="24"/>
        </w:rPr>
        <w:t>项目内容及要求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项目内容及要求 </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本合同项下甲乙双方约定的项目内容及要求见本合同【附件】。</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62" w:leftChars="0" w:firstLine="482" w:firstLineChars="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乙方应向甲方交付合同【附件】中列明的全部合同货物，负责合同货物的运输、安装、调试， 并向甲方提供合同【附件】列明的技术服务。 </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乙方须向甲方提供包括但不限于保修、维修、咨询、培训等在内的一系列服务。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二</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质量标准 乙方根据本合同向甲方供应的合同货物，应是原厂生产的、未经使用的并且是安全的、经济的、 成熟可靠的货物。双方约定合同货物的质量应满足同类货物的国家标准、部颁标准、行业标准中 的最高标准。同时，如双方约定合同货物质量标准的，乙方交付的货物应符合约定的质量标准。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第二条 合同价格</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合同价格明细见【附件】。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二</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本合同价格包括合同货物价格、合同货物安装调试费、技术服务费、售后服务费等 费用，还包括合同货物的税费、技术资料费、运输费、装卸费、包装费、仓储费、保险费等与本 合同有关的所有费用。除合同价格外，甲方无须就本合同项下乙方的任何义务支付任何额外费用。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420" w:left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三</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本合同付款安排见【附件】。 </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包装和运输</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包装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乙方应提供合同货物运至合同约定的最终目的地所需要的包装，以防止货物在转运中损坏或 变质。乙方提供的包装应采取防潮、防晒、防锈、防腐蚀、防震动及防止其它损坏的必要保护措 施，从而保护货物能够经受多次搬运、装卸及长途运输。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乙方需在每一包装箱（物）表面显著位置以显著方式标明合同号、箱号、收货人、目的地、 内件品名、尺寸规格、数量、重量等内容，并对每一包装箱内合同货物附以标签，标明其在安装 图纸中的编号。另外，乙方应根据合同货物的特点及其对装卸操作的要求在包装箱显著位置以中 文标明“保持干燥”、“小心轻放”、“此面向上”等国际惯用图示。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3</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乙方应承担由于其包装或其防护措施不妥而引起的包括但不限于货物锈蚀、损坏或丢失的任 何货物损失。 </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0"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交付和收货</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乙方应按合同约定的交付时间将合同货物运至甲方指定地点，并完成货物的安装和 调试。交付和质量标准信息见【附件】。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二</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收货 </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乙方将合同货物安装完毕后，应当通知甲方进行收货，甲方应及时组织收货。 </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甲方指定收货人在收货单上签字确认的日期视为乙方正式交付合同货物的日期。 </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甲方在收货单上的签字确认不使甲方丧失因质量问题而向乙方索赔和求偿的权利，同时不解 除乙方对于合同货物质量缺陷或瑕疵负有的相应质量保证责任。 </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第五条 </w:t>
      </w:r>
      <w:r>
        <w:rPr>
          <w:rFonts w:hint="eastAsia" w:ascii="仿宋" w:hAnsi="仿宋" w:eastAsia="仿宋" w:cs="仿宋"/>
          <w:b/>
          <w:bCs/>
          <w:color w:val="auto"/>
          <w:sz w:val="24"/>
          <w:szCs w:val="24"/>
        </w:rPr>
        <w:t>保修和维修</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bCs/>
          <w:color w:val="auto"/>
          <w:sz w:val="24"/>
          <w:szCs w:val="24"/>
          <w:lang w:val="en-US" w:eastAsia="zh-CN"/>
        </w:rPr>
      </w:pPr>
      <w:r>
        <w:rPr>
          <w:rFonts w:hint="eastAsia" w:ascii="仿宋" w:hAnsi="仿宋" w:eastAsia="仿宋" w:cs="仿宋"/>
          <w:b w:val="0"/>
          <w:bCs w:val="0"/>
          <w:color w:val="auto"/>
          <w:sz w:val="24"/>
          <w:szCs w:val="24"/>
        </w:rPr>
        <w:t>保修保修期内乙方对货物提供技术支持和保修维护服务，具体内容及方式见【附件】，甲方不再就此支付任何费用。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第六条 </w:t>
      </w:r>
      <w:r>
        <w:rPr>
          <w:rFonts w:hint="eastAsia" w:ascii="仿宋" w:hAnsi="仿宋" w:eastAsia="仿宋" w:cs="仿宋"/>
          <w:b/>
          <w:bCs/>
          <w:color w:val="auto"/>
          <w:sz w:val="24"/>
          <w:szCs w:val="24"/>
        </w:rPr>
        <w:t xml:space="preserve">违约责任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甲、乙任一方或双方违约的，违约一方应当向相对方承担相应的违约责任。违约责任的具体约定 见【附件】。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firstLine="482" w:firstLineChars="200"/>
        <w:jc w:val="center"/>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通用部分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第七条 </w:t>
      </w:r>
      <w:r>
        <w:rPr>
          <w:rFonts w:hint="eastAsia" w:ascii="仿宋" w:hAnsi="仿宋" w:eastAsia="仿宋" w:cs="仿宋"/>
          <w:b/>
          <w:bCs/>
          <w:color w:val="auto"/>
          <w:sz w:val="24"/>
          <w:szCs w:val="24"/>
        </w:rPr>
        <w:t>定义</w:t>
      </w:r>
      <w:r>
        <w:rPr>
          <w:rFonts w:hint="eastAsia" w:ascii="仿宋" w:hAnsi="仿宋" w:eastAsia="仿宋" w:cs="仿宋"/>
          <w:b w:val="0"/>
          <w:bCs w:val="0"/>
          <w:color w:val="auto"/>
          <w:sz w:val="24"/>
          <w:szCs w:val="24"/>
        </w:rPr>
        <w:t xml:space="preserve">（适用于货物购买合同）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“合同”是指甲乙双方所达成的本合同以及所有与之有关的附件。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“合同价格”是指在乙方完全和适当地履行其合同义务后，甲方根据合同约定应支付给乙方 的价款。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“技术资料”是指关于合同货物及其相关的安装、调试、验收的所有文件和信息。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“合同货物”是指乙方根据合同应向甲方提供的全部货物。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“技术服务”指的是根据合同约定，应由乙方向甲方提供的包括但不限于货物安装与调试、 保修、维修、技术咨询与培训等所有服务。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“日”、“天”：均指日历日。合同中期限的最后一日为</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国家法定节假日的，顺延至节假日 后的第一个工作日。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第</w:t>
      </w:r>
      <w:r>
        <w:rPr>
          <w:rFonts w:hint="eastAsia" w:ascii="仿宋" w:hAnsi="仿宋" w:eastAsia="仿宋" w:cs="仿宋"/>
          <w:b/>
          <w:bCs/>
          <w:color w:val="auto"/>
          <w:sz w:val="24"/>
          <w:szCs w:val="24"/>
          <w:lang w:val="en-US" w:eastAsia="zh-CN"/>
        </w:rPr>
        <w:t>八</w:t>
      </w:r>
      <w:r>
        <w:rPr>
          <w:rFonts w:hint="eastAsia" w:ascii="仿宋" w:hAnsi="仿宋" w:eastAsia="仿宋" w:cs="仿宋"/>
          <w:b/>
          <w:bCs/>
          <w:color w:val="auto"/>
          <w:sz w:val="24"/>
          <w:szCs w:val="24"/>
        </w:rPr>
        <w:t>条 双方的权利和义务</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（一） 甲方的权利和义务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（1）甲方有权获得本合同项下乙方应提供的全部合格的货物并享有乙方提供的全部合格的服务；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（2）甲方有权在合同期内对乙方的供货及服务进行监督；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（3）乙方未按照合同约定履行义务的，甲方有权采取相应的措施；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（4）甲方应按照合同约定向乙方支付合同价款；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（5）甲方享有其它双方约定的权利、承担其它双方约定的义务。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（二） 乙方的权利和义务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（1）乙方有权获得甲方支付的合同价款；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（2）乙方应按照合同约定向甲方提供全部合格的货物和服务；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（3）乙方应按照合同约定履行相应的维护和保修义务；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（4）乙方享有其它双方约定的权利、承担其它双方约定的义务。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第</w:t>
      </w:r>
      <w:r>
        <w:rPr>
          <w:rFonts w:hint="eastAsia" w:ascii="仿宋" w:hAnsi="仿宋" w:eastAsia="仿宋" w:cs="仿宋"/>
          <w:b/>
          <w:bCs/>
          <w:color w:val="auto"/>
          <w:sz w:val="24"/>
          <w:szCs w:val="24"/>
          <w:lang w:val="en-US" w:eastAsia="zh-CN"/>
        </w:rPr>
        <w:t>九</w:t>
      </w:r>
      <w:r>
        <w:rPr>
          <w:rFonts w:hint="eastAsia" w:ascii="仿宋" w:hAnsi="仿宋" w:eastAsia="仿宋" w:cs="仿宋"/>
          <w:b/>
          <w:bCs/>
          <w:color w:val="auto"/>
          <w:sz w:val="24"/>
          <w:szCs w:val="24"/>
        </w:rPr>
        <w:t>条 禁止转让</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未经甲方事先书面同意，乙方不得将其本合同项下之全部义务或其中一部分义务转让给第三方执 行。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第十条 </w:t>
      </w:r>
      <w:r>
        <w:rPr>
          <w:rFonts w:hint="eastAsia" w:ascii="仿宋" w:hAnsi="仿宋" w:eastAsia="仿宋" w:cs="仿宋"/>
          <w:b/>
          <w:bCs/>
          <w:color w:val="auto"/>
          <w:sz w:val="24"/>
          <w:szCs w:val="24"/>
        </w:rPr>
        <w:t>权利保证</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乙方确保甲方不因签署本合同、接受或使用本合同中约定的事项侵犯甲方或任何第三方权利。如 乙方违反本保证，导致第三方主张权利或者甲方遭受索赔，乙方应负责解决并应当赔偿甲方为此 而支付的一切费用以及因此而给甲方造成的全部损失（包括但不限于甲方支出的律师费、仲裁费、 诉讼费以及向第三方支付的赔偿金）。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第十一条 </w:t>
      </w:r>
      <w:r>
        <w:rPr>
          <w:rFonts w:hint="eastAsia" w:ascii="仿宋" w:hAnsi="仿宋" w:eastAsia="仿宋" w:cs="仿宋"/>
          <w:b/>
          <w:bCs/>
          <w:color w:val="auto"/>
          <w:sz w:val="24"/>
          <w:szCs w:val="24"/>
        </w:rPr>
        <w:t>违约责任</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如果甲方无正当理由未能在合同约定的时间内向乙方支付相关合同价款，每迟延一 日，甲方应向乙方支付应付价款部分的_______%作为违约金。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如果乙方未能按约定时间向甲方交付符合要求的合同货物并取得甲方收货确认，每 迟延一日，乙方应向甲方支付当期货款的_______%作为违约金。乙方逾期超过约定 10 个工作日不 能交付货物的，甲方有权单方面解除合同，甲方受到的损失超出违约金的部分，由乙方继续承担 赔偿责任。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乙方所交付的货物不能全部满足合同约定的，包括但不限于货物品种、型号、规格、 技术参数、质量不符合合同约定标准的，甲方有权拒收。乙方同意更换货物但逾期交付的，按乙 方逾期交付货物处理。乙方拒绝更换货物的，甲方有权单方面解除合同，乙方应向甲方支付相当 于当期价款的_______%作为违约金。甲方受到的损失超出违约金的部分，由乙方继续承担赔偿责 任。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如果乙方违反本合同约定的保密义务，乙方应向甲方支付_______的违约金，甲方受 到的损失超出违约金的部分，由乙方继续承担赔偿责任。 （五）除本合同的约定外，因乙方的违约行为给甲方造成损失的，乙方应向甲方支付_______ 的违约金，如甲方受到的损失超过违约金的，超出部分由乙方继续承担赔偿责任。 </w:t>
      </w:r>
      <w:r>
        <w:rPr>
          <w:rFonts w:hint="eastAsia" w:ascii="仿宋" w:hAnsi="仿宋" w:eastAsia="仿宋" w:cs="仿宋"/>
          <w:b w:val="0"/>
          <w:bCs w:val="0"/>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第十二条 </w:t>
      </w:r>
      <w:r>
        <w:rPr>
          <w:rFonts w:hint="eastAsia" w:ascii="仿宋" w:hAnsi="仿宋" w:eastAsia="仿宋" w:cs="仿宋"/>
          <w:b/>
          <w:bCs/>
          <w:color w:val="auto"/>
          <w:sz w:val="24"/>
          <w:szCs w:val="24"/>
        </w:rPr>
        <w:t xml:space="preserve">保密义务 </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乙方应保证对本合同的所有相关内容及其因履行本合同所获知的各种甲方的具有保 密性质的信息（包括但不限于经营、管理、商务、技术、营销、发展规划等）负有保密义务，未34 经甲方事前书面许可，不得将上述信息用于本合同目的之外；除为履行其职责而确有必要知悉保 密资料的乙方工作人员或其他第三方外，乙方不向其他任何人披露上述信息，且乙方应确保上述 人员承担与本合同约定同等严格的保密义务。 </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乙方在本合同中所受领的保密信息应及时返还甲方或在甲方监督下予以销毁。乙方 擅自留存备份信息，视为违反保密约定。 </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无论本合同因何种原因终止，本保密条款依然有效。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第十三条 </w:t>
      </w:r>
      <w:r>
        <w:rPr>
          <w:rFonts w:hint="eastAsia" w:ascii="仿宋" w:hAnsi="仿宋" w:eastAsia="仿宋" w:cs="仿宋"/>
          <w:b/>
          <w:bCs/>
          <w:color w:val="auto"/>
          <w:sz w:val="24"/>
          <w:szCs w:val="24"/>
        </w:rPr>
        <w:t>不可抗力</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本合同任何一方因不可抗力不能履行本合同约定的全部或部分义务，应尽快通知另 一方，并应在不可抗力发生后 3 日内以书面形式向对方提供详细情况报告及不可抗力对履行本合 同影响程度的说明。甲、乙双方应根据不可抗力对合同履行的影响程度，协商确定是否终止合同， 或继续履行本合同。 </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本合同任何一方均不对因不可抗力无法履行或迟延履行义务而使对方遭受到任何损 失承担责任，但遭受不可抗力影响的一方有责任采取适当和必要的措施减轻或消除不可抗力的影 响。遭受不可抗力影响的一方应当对未尽本项责任造成或扩大的损失承担责任。</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合同一方迟延履行后发生不可抗力的，不能免除其责任。 第十五条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第十四条 </w:t>
      </w:r>
      <w:r>
        <w:rPr>
          <w:rFonts w:hint="eastAsia" w:ascii="仿宋" w:hAnsi="仿宋" w:eastAsia="仿宋" w:cs="仿宋"/>
          <w:b/>
          <w:bCs/>
          <w:color w:val="auto"/>
          <w:sz w:val="24"/>
          <w:szCs w:val="24"/>
        </w:rPr>
        <w:t>合同变更</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合同变更 对本合同的任何变更或补充，须经甲乙双方协商一致，并另行签订书面补充协议。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 xml:space="preserve">第十五条 </w:t>
      </w:r>
      <w:r>
        <w:rPr>
          <w:rFonts w:hint="eastAsia" w:ascii="仿宋" w:hAnsi="仿宋" w:eastAsia="仿宋" w:cs="仿宋"/>
          <w:b/>
          <w:bCs/>
          <w:color w:val="auto"/>
          <w:sz w:val="24"/>
          <w:szCs w:val="24"/>
        </w:rPr>
        <w:t>合同特别终止</w:t>
      </w:r>
    </w:p>
    <w:p>
      <w:pPr>
        <w:keepNext w:val="0"/>
        <w:keepLines w:val="0"/>
        <w:pageBreakBefore w:val="0"/>
        <w:widowControl w:val="0"/>
        <w:numPr>
          <w:ilvl w:val="0"/>
          <w:numId w:val="12"/>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甲乙双方同意在乙方出现下列情形时，甲方可以书面形式通知乙方（或者乙方的破 产清算组或相关管理人）提出终止合同而不向其提供任何补偿：</w:t>
      </w:r>
      <w:r>
        <w:rPr>
          <w:rFonts w:hint="eastAsia" w:ascii="仿宋" w:hAnsi="仿宋" w:eastAsia="仿宋" w:cs="仿宋"/>
          <w:b w:val="0"/>
          <w:bCs w:val="0"/>
          <w:color w:val="auto"/>
          <w:sz w:val="24"/>
          <w:szCs w:val="24"/>
          <w:lang w:val="en-US" w:eastAsia="zh-CN"/>
        </w:rPr>
        <w:t xml:space="preserve">  </w:t>
      </w:r>
    </w:p>
    <w:p>
      <w:pPr>
        <w:keepNext w:val="0"/>
        <w:keepLines w:val="0"/>
        <w:pageBreakBefore w:val="0"/>
        <w:widowControl w:val="0"/>
        <w:numPr>
          <w:ilvl w:val="0"/>
          <w:numId w:val="13"/>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乙方破产、解散（包括但不限于乙方股东会决议解散、乙方被吊销营业执照、被责令关闭、 被撤销、被司法机关裁决解散等情形）； </w:t>
      </w:r>
    </w:p>
    <w:p>
      <w:pPr>
        <w:keepNext w:val="0"/>
        <w:keepLines w:val="0"/>
        <w:pageBreakBefore w:val="0"/>
        <w:widowControl w:val="0"/>
        <w:numPr>
          <w:ilvl w:val="0"/>
          <w:numId w:val="13"/>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乙方发生未经甲方书面同意的重大产权变更（包括但不限于合并、分立、注销等情形)；（如 系上市公司）被勒令停止上市；以及任何原因背负重大债务导致无履行能力。</w:t>
      </w:r>
    </w:p>
    <w:p>
      <w:pPr>
        <w:keepNext w:val="0"/>
        <w:keepLines w:val="0"/>
        <w:pageBreakBefore w:val="0"/>
        <w:widowControl w:val="0"/>
        <w:numPr>
          <w:ilvl w:val="0"/>
          <w:numId w:val="12"/>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如果因上述原因导致本合同终止，甲方已经采取或者将要采取任何补救措施的权利 不受任何影响。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第十六条 </w:t>
      </w:r>
      <w:r>
        <w:rPr>
          <w:rFonts w:hint="eastAsia" w:ascii="仿宋" w:hAnsi="仿宋" w:eastAsia="仿宋" w:cs="仿宋"/>
          <w:b/>
          <w:bCs/>
          <w:color w:val="auto"/>
          <w:sz w:val="24"/>
          <w:szCs w:val="24"/>
        </w:rPr>
        <w:t>法律适用与争议解决</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4"/>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本合同的订立、效力、解释、履行和争议的解决均适用中华人民共和国法律（不包 括港澳台地区法律）。 </w:t>
      </w:r>
    </w:p>
    <w:p>
      <w:pPr>
        <w:keepNext w:val="0"/>
        <w:keepLines w:val="0"/>
        <w:pageBreakBefore w:val="0"/>
        <w:widowControl w:val="0"/>
        <w:numPr>
          <w:ilvl w:val="0"/>
          <w:numId w:val="14"/>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凡因本合同引起的或与本合同有关的任何争议，双方首先应友好协商解决。协商不 成的，任何一方均可向甲方所在地有管辖权的法院提起诉讼。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第十八条 </w:t>
      </w:r>
      <w:r>
        <w:rPr>
          <w:rFonts w:hint="eastAsia" w:ascii="仿宋" w:hAnsi="仿宋" w:eastAsia="仿宋" w:cs="仿宋"/>
          <w:b/>
          <w:bCs/>
          <w:color w:val="auto"/>
          <w:sz w:val="24"/>
          <w:szCs w:val="24"/>
        </w:rPr>
        <w:t>合同生效及其他</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5"/>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本合同经甲乙双方法定代表人或授权代表签字并加盖公章或合同专用章后生效。 </w:t>
      </w:r>
    </w:p>
    <w:p>
      <w:pPr>
        <w:keepNext w:val="0"/>
        <w:keepLines w:val="0"/>
        <w:pageBreakBefore w:val="0"/>
        <w:widowControl w:val="0"/>
        <w:numPr>
          <w:ilvl w:val="0"/>
          <w:numId w:val="15"/>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合同期限自_______年_______月_______日始，至_______年_______月_______日止。 </w:t>
      </w:r>
    </w:p>
    <w:p>
      <w:pPr>
        <w:keepNext w:val="0"/>
        <w:keepLines w:val="0"/>
        <w:pageBreakBefore w:val="0"/>
        <w:widowControl w:val="0"/>
        <w:numPr>
          <w:ilvl w:val="0"/>
          <w:numId w:val="15"/>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本合同一式_______份，其中正本_______份，副本_______份。甲方执_______份正 本，_______份副本；乙方执_______份正本，_______份副本。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第十九条 </w:t>
      </w:r>
      <w:r>
        <w:rPr>
          <w:rFonts w:hint="eastAsia" w:ascii="仿宋" w:hAnsi="仿宋" w:eastAsia="仿宋" w:cs="仿宋"/>
          <w:b/>
          <w:bCs/>
          <w:color w:val="auto"/>
          <w:sz w:val="24"/>
          <w:szCs w:val="24"/>
        </w:rPr>
        <w:t>合同效力</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6"/>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无论本合同是否有相反约定，本合同附件（如有）作为本合同的组成部分，与本合 同具有同等法律效力，当附件条款与本合同条款发生冲突时，以本合同条款为准</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6"/>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本合同及合同附件（如有）是甲乙双方关于本次交易所最终确定的全部内容，甲乙 双方均承认其已审阅、理解本合同及合同附件的内容，并同意取代甲乙双方之间此前关于本次交 易所做出的任何口头或书面的承诺。 </w:t>
      </w:r>
    </w:p>
    <w:p>
      <w:pPr>
        <w:keepNext w:val="0"/>
        <w:keepLines w:val="0"/>
        <w:pageBreakBefore w:val="0"/>
        <w:widowControl w:val="0"/>
        <w:numPr>
          <w:ilvl w:val="0"/>
          <w:numId w:val="16"/>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由于法律和法规、政策而导致本合同任何条款无效或无法执行，则该条款无效，但 不影响剩余其他条款的效力。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第二十条 </w:t>
      </w:r>
      <w:r>
        <w:rPr>
          <w:rFonts w:hint="eastAsia" w:ascii="仿宋" w:hAnsi="仿宋" w:eastAsia="仿宋" w:cs="仿宋"/>
          <w:b/>
          <w:bCs/>
          <w:color w:val="auto"/>
          <w:sz w:val="24"/>
          <w:szCs w:val="24"/>
        </w:rPr>
        <w:t>附件的组成</w:t>
      </w:r>
      <w:r>
        <w:rPr>
          <w:rFonts w:hint="eastAsia" w:ascii="仿宋" w:hAnsi="仿宋" w:eastAsia="仿宋" w:cs="仿宋"/>
          <w:b w:val="0"/>
          <w:bCs w:val="0"/>
          <w:color w:val="auto"/>
          <w:sz w:val="24"/>
          <w:szCs w:val="24"/>
        </w:rPr>
        <w:t xml:space="preserve">（适用于货物购买合同）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附件的组成 附件 </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lang w:val="en-US" w:eastAsia="zh-CN"/>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pStyle w:val="2"/>
        <w:rPr>
          <w:rFonts w:hint="eastAsia"/>
          <w:lang w:val="en-US" w:eastAsia="zh-CN"/>
        </w:rPr>
      </w:pP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附件一：</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jc w:val="center"/>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合同货物和价格清单</w:t>
      </w:r>
    </w:p>
    <w:p>
      <w:pPr>
        <w:rPr>
          <w:rFonts w:hint="eastAsia" w:ascii="仿宋" w:hAnsi="仿宋" w:eastAsia="仿宋" w:cs="仿宋"/>
          <w:b/>
          <w:bCs/>
          <w:color w:val="auto"/>
          <w:kern w:val="0"/>
          <w:sz w:val="24"/>
          <w:szCs w:val="24"/>
          <w:lang w:val="en-US" w:eastAsia="zh-CN" w:bidi="ar"/>
        </w:rPr>
      </w:pPr>
    </w:p>
    <w:tbl>
      <w:tblPr>
        <w:tblStyle w:val="40"/>
        <w:tblpPr w:leftFromText="180" w:rightFromText="180" w:vertAnchor="text" w:horzAnchor="page" w:tblpXSpec="center" w:tblpY="443"/>
        <w:tblOverlap w:val="never"/>
        <w:tblW w:w="865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768"/>
        <w:gridCol w:w="2051"/>
        <w:gridCol w:w="1063"/>
        <w:gridCol w:w="377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16" w:hRule="atLeast"/>
          <w:jc w:val="center"/>
        </w:trPr>
        <w:tc>
          <w:tcPr>
            <w:tcW w:w="1768" w:type="dxa"/>
            <w:tcBorders>
              <w:tl2br w:val="nil"/>
              <w:tr2bl w:val="nil"/>
            </w:tcBorders>
            <w:shd w:val="clear" w:color="auto" w:fill="E7E6E6"/>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品类</w:t>
            </w:r>
          </w:p>
        </w:tc>
        <w:tc>
          <w:tcPr>
            <w:tcW w:w="2051" w:type="dxa"/>
            <w:tcBorders>
              <w:tl2br w:val="nil"/>
              <w:tr2bl w:val="nil"/>
            </w:tcBorders>
            <w:shd w:val="clear" w:color="auto" w:fill="E7E6E6"/>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发票类型</w:t>
            </w:r>
          </w:p>
        </w:tc>
        <w:tc>
          <w:tcPr>
            <w:tcW w:w="1063" w:type="dxa"/>
            <w:tcBorders>
              <w:tl2br w:val="nil"/>
              <w:tr2bl w:val="nil"/>
            </w:tcBorders>
            <w:shd w:val="clear" w:color="auto" w:fill="E7E6E6"/>
            <w:noWrap w:val="0"/>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lang w:val="en-US" w:eastAsia="zh-CN"/>
              </w:rPr>
            </w:pPr>
            <w:r>
              <w:rPr>
                <w:rFonts w:hint="eastAsia" w:ascii="仿宋_GB2312" w:hAnsi="仿宋_GB2312" w:eastAsia="仿宋_GB2312" w:cs="仿宋_GB2312"/>
                <w:b/>
                <w:bCs/>
                <w:i w:val="0"/>
                <w:iCs w:val="0"/>
                <w:color w:val="000000"/>
                <w:sz w:val="22"/>
                <w:szCs w:val="22"/>
                <w:u w:val="none"/>
                <w:lang w:val="en-US" w:eastAsia="zh-CN"/>
              </w:rPr>
              <w:t>综合折扣率</w:t>
            </w:r>
          </w:p>
        </w:tc>
        <w:tc>
          <w:tcPr>
            <w:tcW w:w="3770" w:type="dxa"/>
            <w:tcBorders>
              <w:tl2br w:val="nil"/>
              <w:tr2bl w:val="nil"/>
            </w:tcBorders>
            <w:shd w:val="clear" w:color="auto" w:fill="E7E6E6"/>
            <w:noWrap w:val="0"/>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4" w:hRule="atLeast"/>
          <w:jc w:val="center"/>
        </w:trPr>
        <w:tc>
          <w:tcPr>
            <w:tcW w:w="1768" w:type="dxa"/>
            <w:tcBorders>
              <w:tl2br w:val="nil"/>
              <w:tr2bl w:val="nil"/>
            </w:tcBorders>
            <w:noWrap/>
            <w:vAlign w:val="center"/>
          </w:tcPr>
          <w:p>
            <w:pPr>
              <w:numPr>
                <w:ilvl w:val="0"/>
                <w:numId w:val="0"/>
              </w:numPr>
              <w:spacing w:line="360" w:lineRule="auto"/>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米面粮油干货杂粮类、蔬菜瓜果类、肉类（禽畜肉）、豆制品/蛋奶/调料等副食品类、水产类等食堂食材。</w:t>
            </w:r>
          </w:p>
        </w:tc>
        <w:tc>
          <w:tcPr>
            <w:tcW w:w="2051" w:type="dxa"/>
            <w:tcBorders>
              <w:tl2br w:val="nil"/>
              <w:tr2bl w:val="nil"/>
            </w:tcBorders>
            <w:noWrap/>
            <w:vAlign w:val="center"/>
          </w:tcPr>
          <w:p>
            <w:pPr>
              <w:numPr>
                <w:ilvl w:val="0"/>
                <w:numId w:val="0"/>
              </w:numPr>
              <w:spacing w:line="360" w:lineRule="auto"/>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 增值税普通发票 </w:t>
            </w:r>
          </w:p>
          <w:p>
            <w:pPr>
              <w:numPr>
                <w:ilvl w:val="0"/>
                <w:numId w:val="0"/>
              </w:numPr>
              <w:spacing w:line="360" w:lineRule="auto"/>
              <w:rPr>
                <w:rFonts w:hint="eastAsia" w:ascii="仿宋" w:hAnsi="仿宋" w:eastAsia="仿宋"/>
                <w:bCs/>
                <w:color w:val="auto"/>
                <w:sz w:val="24"/>
                <w:highlight w:val="none"/>
                <w:lang w:val="en-US" w:eastAsia="zh-CN"/>
              </w:rPr>
            </w:pPr>
          </w:p>
        </w:tc>
        <w:tc>
          <w:tcPr>
            <w:tcW w:w="1063" w:type="dxa"/>
            <w:tcBorders>
              <w:tl2br w:val="nil"/>
              <w:tr2bl w:val="nil"/>
            </w:tcBorders>
            <w:noWrap w:val="0"/>
            <w:vAlign w:val="center"/>
          </w:tcPr>
          <w:p>
            <w:pPr>
              <w:numPr>
                <w:ilvl w:val="0"/>
                <w:numId w:val="0"/>
              </w:numPr>
              <w:spacing w:line="360" w:lineRule="auto"/>
              <w:rPr>
                <w:rFonts w:hint="eastAsia" w:ascii="仿宋" w:hAnsi="仿宋" w:eastAsia="仿宋"/>
                <w:bCs/>
                <w:color w:val="auto"/>
                <w:sz w:val="24"/>
                <w:highlight w:val="none"/>
                <w:lang w:val="en-US" w:eastAsia="zh-CN"/>
              </w:rPr>
            </w:pPr>
          </w:p>
        </w:tc>
        <w:tc>
          <w:tcPr>
            <w:tcW w:w="3770" w:type="dxa"/>
            <w:tcBorders>
              <w:bottom w:val="single" w:color="auto" w:sz="4" w:space="0"/>
              <w:tl2br w:val="nil"/>
              <w:tr2bl w:val="nil"/>
            </w:tcBorders>
            <w:noWrap w:val="0"/>
            <w:vAlign w:val="center"/>
          </w:tcPr>
          <w:p>
            <w:pPr>
              <w:numPr>
                <w:ilvl w:val="0"/>
                <w:numId w:val="0"/>
              </w:numPr>
              <w:spacing w:line="360" w:lineRule="auto"/>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供应商供货价格在每月美团外卖供销惠民超市同期商品销售价格为基准给予相应折扣率</w:t>
            </w:r>
          </w:p>
        </w:tc>
      </w:tr>
    </w:tbl>
    <w:p>
      <w:pPr>
        <w:pStyle w:val="2"/>
        <w:jc w:val="both"/>
        <w:rPr>
          <w:rFonts w:hint="eastAsia"/>
          <w:lang w:val="en-US" w:eastAsia="zh-CN"/>
        </w:rPr>
      </w:pPr>
    </w:p>
    <w:p>
      <w:pPr>
        <w:spacing w:line="360" w:lineRule="auto"/>
        <w:rPr>
          <w:rFonts w:hint="eastAsia"/>
        </w:rPr>
      </w:pPr>
      <w:r>
        <w:rPr>
          <w:rFonts w:hint="eastAsia" w:ascii="仿宋" w:hAnsi="仿宋" w:eastAsia="仿宋" w:cs="仿宋"/>
          <w:bCs/>
          <w:color w:val="auto"/>
          <w:sz w:val="24"/>
          <w:highlight w:val="none"/>
        </w:rPr>
        <w:t>备注：</w:t>
      </w:r>
    </w:p>
    <w:p>
      <w:pPr>
        <w:numPr>
          <w:ilvl w:val="0"/>
          <w:numId w:val="0"/>
        </w:numPr>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1.</w:t>
      </w:r>
      <w:r>
        <w:rPr>
          <w:rFonts w:hint="eastAsia" w:ascii="仿宋" w:hAnsi="仿宋" w:eastAsia="仿宋"/>
          <w:bCs/>
          <w:color w:val="auto"/>
          <w:sz w:val="24"/>
          <w:highlight w:val="none"/>
        </w:rPr>
        <w:t>本次</w:t>
      </w:r>
      <w:r>
        <w:rPr>
          <w:rFonts w:hint="eastAsia" w:ascii="仿宋" w:hAnsi="仿宋" w:eastAsia="仿宋"/>
          <w:bCs/>
          <w:color w:val="auto"/>
          <w:sz w:val="24"/>
          <w:highlight w:val="none"/>
          <w:lang w:val="en-US" w:eastAsia="zh-CN"/>
        </w:rPr>
        <w:t>折扣率</w:t>
      </w:r>
      <w:r>
        <w:rPr>
          <w:rFonts w:hint="eastAsia" w:ascii="仿宋" w:hAnsi="仿宋" w:eastAsia="仿宋"/>
          <w:bCs/>
          <w:color w:val="auto"/>
          <w:sz w:val="24"/>
          <w:highlight w:val="none"/>
        </w:rPr>
        <w:t>为全部食堂食材品类综合折扣率，精确到小数点后两位（四舍五入）。</w:t>
      </w:r>
    </w:p>
    <w:p>
      <w:pPr>
        <w:pStyle w:val="107"/>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2.供应商供货价格以</w:t>
      </w:r>
      <w:r>
        <w:rPr>
          <w:rFonts w:hint="eastAsia" w:ascii="仿宋" w:hAnsi="仿宋" w:eastAsia="仿宋" w:cs="仿宋"/>
          <w:b w:val="0"/>
          <w:bCs w:val="0"/>
          <w:color w:val="auto"/>
          <w:sz w:val="24"/>
          <w:szCs w:val="24"/>
          <w:lang w:val="en-US" w:eastAsia="zh-CN" w:bidi="ar"/>
        </w:rPr>
        <w:t>以</w:t>
      </w:r>
      <w:r>
        <w:rPr>
          <w:rFonts w:hint="eastAsia" w:ascii="仿宋" w:hAnsi="仿宋" w:eastAsia="仿宋" w:cs="仿宋"/>
          <w:color w:val="auto"/>
          <w:sz w:val="24"/>
          <w:szCs w:val="24"/>
          <w:lang w:val="en-US" w:eastAsia="zh-CN"/>
        </w:rPr>
        <w:t>美团外卖供销惠民超市</w:t>
      </w:r>
      <w:r>
        <w:rPr>
          <w:rFonts w:hint="eastAsia" w:ascii="仿宋" w:hAnsi="仿宋" w:eastAsia="仿宋" w:cs="宋体"/>
          <w:bCs/>
          <w:color w:val="auto"/>
          <w:sz w:val="24"/>
          <w:highlight w:val="none"/>
          <w:lang w:val="en-US" w:eastAsia="zh-CN"/>
        </w:rPr>
        <w:t>同期商品销售价格为基准给予相应折扣率。</w:t>
      </w:r>
    </w:p>
    <w:p>
      <w:pPr>
        <w:pStyle w:val="107"/>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3.综合折扣率小于100%。</w:t>
      </w:r>
    </w:p>
    <w:p>
      <w:pPr>
        <w:pStyle w:val="107"/>
        <w:numPr>
          <w:ilvl w:val="0"/>
          <w:numId w:val="0"/>
        </w:numPr>
        <w:spacing w:line="360" w:lineRule="auto"/>
        <w:rPr>
          <w:rFonts w:hint="eastAsia" w:ascii="仿宋" w:hAnsi="仿宋" w:eastAsia="仿宋" w:cs="宋体"/>
          <w:bCs/>
          <w:color w:val="auto"/>
          <w:sz w:val="24"/>
          <w:highlight w:val="none"/>
          <w:lang w:val="en-US" w:eastAsia="zh-CN"/>
        </w:rPr>
      </w:pPr>
    </w:p>
    <w:p>
      <w:pPr>
        <w:pageBreakBefore w:val="0"/>
        <w:numPr>
          <w:ilvl w:val="0"/>
          <w:numId w:val="0"/>
        </w:numPr>
        <w:kinsoku/>
        <w:wordWrap/>
        <w:overflowPunct/>
        <w:topLinePunct w:val="0"/>
        <w:autoSpaceDE/>
        <w:autoSpaceDN/>
        <w:bidi w:val="0"/>
        <w:spacing w:line="600" w:lineRule="exact"/>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pStyle w:val="2"/>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附件二：</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技术服务方案</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1．自正式交付之日起，乙方对项目提供免费技术支持和保修维护服务，保修期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为自交付之日起的  个月。 </w:t>
      </w:r>
    </w:p>
    <w:p>
      <w:pPr>
        <w:keepNext w:val="0"/>
        <w:keepLines w:val="0"/>
        <w:pageBreakBefore w:val="0"/>
        <w:widowControl/>
        <w:numPr>
          <w:ilvl w:val="0"/>
          <w:numId w:val="17"/>
        </w:numPr>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技术服务内容和方式如下：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（1）技术培训：乙方到甲方现场对甲方实际操作人员进行培训，使甲方操作人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员能正确理解和掌握设备的操作方法、保养、修理等技能。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（2）故障处理：诊断、解决设备系统故障，对其错误及缺陷进行排错，乙方应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在甲方提出书面要求后 24 小时内予以排除。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（3）技术咨询：解答设备使用中的常见问题，乙方应在甲方提出口头或书面要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求后 24 小时内予以解答。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（4）服务方式：电话、信函、邮件、远程技术支持、传真、上门服务。乙方将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先以电话或邮件等方式了解甲方需要解决的问题，并为甲方提出解决方案，指导甲方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解决问题，甲方无法解决时，乙方将指派专业技术人员上门进行排除，对出现故障的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部件、元件或零件免费进行修理或更换。乙方上门服务时要对对甲方的故障问题进行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服务请求分析、服务请求处理，协调相关技术资源以解决故障。完成服务后要向甲方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出具服务实施报告。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3．保修期结束后，如甲方需要乙方提供维护服务，乙方应予提供，具体服务内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容和维护价格由双方另行商定，且服务水平不低于保修期的服务水平。</w:t>
      </w: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pStyle w:val="2"/>
        <w:jc w:val="both"/>
        <w:rPr>
          <w:rFonts w:hint="eastAsia"/>
          <w:lang w:val="en-US" w:eastAsia="zh-CN"/>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 xml:space="preserve">附件三: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付款</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 本合同使用货币种类为人民币。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 付款方式：转账[现金/支票]。双方采用转账方式付款的，甲方应向乙方以下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账户进行付费：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乙方： </w:t>
      </w:r>
      <w:r>
        <w:rPr>
          <w:rFonts w:hint="eastAsia" w:ascii="仿宋" w:hAnsi="仿宋" w:eastAsia="仿宋" w:cs="仿宋"/>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开户行： </w:t>
      </w:r>
      <w:r>
        <w:rPr>
          <w:rFonts w:hint="eastAsia" w:ascii="仿宋" w:hAnsi="仿宋" w:eastAsia="仿宋" w:cs="仿宋"/>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账户名称： </w:t>
      </w:r>
      <w:r>
        <w:rPr>
          <w:rFonts w:hint="eastAsia" w:ascii="仿宋" w:hAnsi="仿宋" w:eastAsia="仿宋" w:cs="仿宋"/>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账号：</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乙方如需改变上述账户，应提前 10 日以书面通知甲方。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3．付款安排：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（1）乙方按本合同约定将合同货物运到指定地点，经甲方收货且收到足额有效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增值税普通发票</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工作日内，甲方向乙方支付合同价格总额的</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%，即RMB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元（大写：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整）；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（2）待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且收到足额有效增值税普通发票后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个日内，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甲方向乙方支付合同价格总额的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%，即RMB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元（大写：</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整）；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（3）剩余合同价格的 10%，即 RMB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元（大写：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整）作为合同货物质量保证金，待保修期满且未发现任何质量问题的，甲方依据乙方足额有效的增值税普通发票，在保修期期满后在 15 个工作日内支付给乙方剩余合同价款，如有质量问题，应扣除相应的质量保证金后再行支付。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 发票开具：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（1）乙方应向甲方开具增值税普通发票，甲方开票信息如下：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公司名称：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纳税识别号： 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银行账号：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开户银行：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开票地址： _______________________________</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开票电话：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（2）乙方同时向甲方公司及其分支机构提供产品及服务的，双方应在合同中约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定甲方的分支机构和对应的价款。乙方应分别对清单中的费用承担方开具相应金额的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增值税普通发票；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（3）乙方应在每次增值税普通发票开具后的 30 个自然日内向甲方提交相应增值 税普通发票，否则甲方有权拒收发票。经多次分批的增值税普通发票的开具、提交以及双方收付款，乙方开具并提交甲方的增值税普通发票的价税合计金额应与甲方已经支付的价税合计款项保持一致；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（4）乙方必须严格遵照相关税收法规和文件，开具合法的增值税普通发票。因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乙方开具的增值税普通发票不符合税收法规与税务机关相关规定而给甲方造成经济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损失的，乙方负责赔偿。即乙方如不能提供增值税普通发票，则采购对应的进项税额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由乙方承担；如提供的票面税率与承诺不一致，则差额由乙方承担；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（5）乙方开具的增值税普通发票在送达甲方前如发生丢失、灭失或被盗等情况，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导致相应票据未能顺利送达甲方的，乙方应负责按相关税收法律法规的规定提供相应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资料，以保证甲方顺利获得抵扣，否则甲方因此遭受的经济损失由乙方负责赔偿；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（6）为保证取得的发票可以及时并成功获得抵扣，乙方开具的增值税普通发票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送达并经甲方签收后，若发生丢失，乙方应积极协助甲方，按照相关税收法规和文件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的规定提供相应资料，并确保甲方顺利获得抵扣；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（7）本合同项下的业务发生销售折让、销售退回或其它按照国家规定需要开具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红字发票或重新开票的情况，乙方有义务按照国家税收规定向甲方开具红字发票或重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新开票。如果乙方需要甲方提供开具红字发票或重新开票的有关资料，甲方应视具体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情况予以提供。</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pStyle w:val="2"/>
        <w:pageBreakBefore w:val="0"/>
        <w:kinsoku/>
        <w:wordWrap/>
        <w:overflowPunct/>
        <w:topLinePunct w:val="0"/>
        <w:autoSpaceDE/>
        <w:autoSpaceDN/>
        <w:bidi w:val="0"/>
        <w:spacing w:line="600" w:lineRule="exact"/>
        <w:rPr>
          <w:rFonts w:hint="eastAsia" w:ascii="仿宋" w:hAnsi="仿宋" w:eastAsia="仿宋" w:cs="仿宋"/>
          <w:b w:val="0"/>
          <w:bCs w:val="0"/>
          <w:color w:val="auto"/>
          <w:sz w:val="24"/>
          <w:szCs w:val="24"/>
        </w:rPr>
      </w:pPr>
    </w:p>
    <w:p>
      <w:pPr>
        <w:pageBreakBefore w:val="0"/>
        <w:kinsoku/>
        <w:wordWrap/>
        <w:overflowPunct/>
        <w:topLinePunct w:val="0"/>
        <w:autoSpaceDE/>
        <w:autoSpaceDN/>
        <w:bidi w:val="0"/>
        <w:spacing w:line="600" w:lineRule="exact"/>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附件四：</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双方的权利和义务</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 甲方的权利和义务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（1）甲方有权指派监督人员或代表对乙方的供货及服务的进度与质量予以监督；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（2）甲方发现合同货物或乙方服务不符合双方约定的，甲方有权要求乙方在指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定期限内改正；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（3）甲方应指定协调人员，协助乙方解决供货及提供服务过程中应解决的问题，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如电供应、临时仓库以及施工场地协调等准备性工作。确实因甲方协调问题致使供货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或安装调试延误的，双方可协商顺延供货期限或安装调试期限；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（4）甲方应当按照双方的约定按时足额付款，但双方另有约定的除外；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（5）本合同其他条款中约定的甲方的权利和义务。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 乙方的权利和义务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（1）乙方有权收取合同价款；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（2）乙方所提供的合同货物应随附售后质量保证说明书或保修卡。乙方承诺在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保修期内，如合同货物发生故障，免费给予维修；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（3）合同货物运输过程中的保险由乙方负责办理并承担所有费用；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（4）本合同其他条款中约定的乙方的权利和义务。</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附件五：</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交付与质量标准</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1.乙方应在合同签订后 日内将合同货物运至甲方指定地点：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2.乙方交付的合同货物，除应符合合同约定的货物标准以外，还应当满足以下标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准：</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color w:val="auto"/>
          <w:kern w:val="0"/>
          <w:sz w:val="24"/>
          <w:szCs w:val="24"/>
          <w:u w:val="single"/>
          <w:lang w:val="en-US" w:eastAsia="zh-CN" w:bidi="ar"/>
        </w:rPr>
        <w:t xml:space="preserve">                                              </w:t>
      </w: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附件六：</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保修和维修</w:t>
      </w:r>
    </w:p>
    <w:p>
      <w:pPr>
        <w:pStyle w:val="2"/>
        <w:keepNext w:val="0"/>
        <w:keepLines w:val="0"/>
        <w:pageBreakBefore w:val="0"/>
        <w:kinsoku/>
        <w:wordWrap/>
        <w:overflowPunct/>
        <w:topLinePunct w:val="0"/>
        <w:autoSpaceDE/>
        <w:autoSpaceDN/>
        <w:bidi w:val="0"/>
        <w:adjustRightInd/>
        <w:snapToGrid/>
        <w:spacing w:line="600" w:lineRule="exact"/>
        <w:textAlignment w:val="auto"/>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1.乙方对于合同货物向甲方提供的保修期为自交付之日起的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个月。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2.在双方约定的保修期内，乙方对合同货物运行过程中出现的故障指派专业技术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人员进行排除，对出现故障的部件、元件或零件免费进行修理或更换。除合同另有约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定外，乙方应在接到故障通知后及时响应，并根据甲方要求到场维修或更换相关配件。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同时，如双方约定其他保修服务的，乙方应提供约定的其他保修服务。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3.保修期内，对保修范围内的保修服务所发生的全部物质损耗和人员费用，均由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乙方承担。乙方未及时承担保修责任的，甲方有权采用其他渠道和方式对货物进行维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修，由此产生的费用由乙方承担。对因货物在保修期内发生的质量缺陷造成的甲方和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（或）第三人财产和（或）人身损失，甲方有权向乙方追索。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4.保修期满，乙方应持续对货物使用期间出现的故障提供维修服务。对维修所需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费用，乙方应仅收取正常的成本费用。</w:t>
      </w:r>
    </w:p>
    <w:p>
      <w:pPr>
        <w:pStyle w:val="2"/>
        <w:pageBreakBefore w:val="0"/>
        <w:kinsoku/>
        <w:wordWrap/>
        <w:overflowPunct/>
        <w:topLinePunct w:val="0"/>
        <w:autoSpaceDE/>
        <w:autoSpaceDN/>
        <w:bidi w:val="0"/>
        <w:spacing w:line="600" w:lineRule="exact"/>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附件七：</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违约责任</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除合同约定的违约责任以外，任何一方存在以下约定情形的，应承担相应的违约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责任：</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w:t>
      </w:r>
    </w:p>
    <w:p>
      <w:pPr>
        <w:pageBreakBefore w:val="0"/>
        <w:numPr>
          <w:ilvl w:val="0"/>
          <w:numId w:val="0"/>
        </w:numPr>
        <w:kinsoku/>
        <w:wordWrap/>
        <w:overflowPunct/>
        <w:topLinePunct w:val="0"/>
        <w:autoSpaceDE/>
        <w:autoSpaceDN/>
        <w:bidi w:val="0"/>
        <w:spacing w:line="600" w:lineRule="exact"/>
        <w:jc w:val="both"/>
        <w:textAlignment w:val="auto"/>
        <w:rPr>
          <w:rFonts w:hint="eastAsia" w:ascii="仿宋" w:hAnsi="仿宋" w:eastAsia="仿宋" w:cs="仿宋"/>
          <w:b/>
          <w:bCs/>
          <w:color w:val="auto"/>
          <w:sz w:val="24"/>
          <w:szCs w:val="24"/>
        </w:rPr>
      </w:pPr>
    </w:p>
    <w:p>
      <w:pPr>
        <w:pageBreakBefore w:val="0"/>
        <w:numPr>
          <w:ilvl w:val="0"/>
          <w:numId w:val="0"/>
        </w:numPr>
        <w:kinsoku/>
        <w:wordWrap/>
        <w:overflowPunct/>
        <w:topLinePunct w:val="0"/>
        <w:autoSpaceDE/>
        <w:autoSpaceDN/>
        <w:bidi w:val="0"/>
        <w:spacing w:line="600" w:lineRule="exact"/>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附件八</w:t>
      </w:r>
    </w:p>
    <w:p>
      <w:pPr>
        <w:pageBreakBefore w:val="0"/>
        <w:numPr>
          <w:ilvl w:val="0"/>
          <w:numId w:val="0"/>
        </w:numPr>
        <w:kinsoku/>
        <w:wordWrap/>
        <w:overflowPunct/>
        <w:topLinePunct w:val="0"/>
        <w:autoSpaceDE/>
        <w:autoSpaceDN/>
        <w:bidi w:val="0"/>
        <w:spacing w:line="600" w:lineRule="exact"/>
        <w:ind w:left="240" w:hanging="241" w:hangingChars="10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廉洁诚信协议</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根据《中华人民共和国民法典》《中华人民共和国反不正当竞争法》《关于禁止 商业贿赂行为的暂行规定》等法律、法规及部门规章等有关规定，为了维护公平竞争 的市场秩序和公正透明的商业环境，防止各类谋取不正当利益的违法违规违纪行为的 发生，双方经协商一致订立本协议，以资共同遵守。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第一条 </w:t>
      </w:r>
      <w:r>
        <w:rPr>
          <w:rFonts w:hint="eastAsia" w:ascii="仿宋" w:hAnsi="仿宋" w:eastAsia="仿宋" w:cs="仿宋"/>
          <w:b/>
          <w:bCs/>
          <w:color w:val="auto"/>
          <w:sz w:val="24"/>
          <w:szCs w:val="24"/>
        </w:rPr>
        <w:t xml:space="preserve">总则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1.1 甲乙双方均应当严格遵守国家法律法规和甲方集中采购管理、供应商管理的 相关要求，不从事任何违法违规违纪行为。坚持诚实守信原则，恪守商业道德和职业 道德，规范商务人员廉洁从业行为。</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1.2 采取有效措施，约束双方及双方相关主体自觉履行廉洁从业义务，不得弄虚 作假、串通操纵、损公肥私，防止商业贿赂、利益输送、关联交易等各种谋取不正当 利益行为发生，维护好双方企业形象、产品品牌和合法权益。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1.3 本协议所称相关主体，对任何一方而言，包括但不限于以下单位或者个人： （1）一方或其关联方之工作人员；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（2）受一方委托办理相关事务的单位或者个人；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（3）利用职权或者影响力影响交易的单位或者个人；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（4）前述相关人员的亲属；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（5）与前述相关主体存在利害关系的其他单位或者人员。</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乙方相关主体实施违反本协议约定之行为的，均应视为乙方实施行为。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1.4 一方监督发现对方相关主体在业务合作中存在违规行为的，应当及时提醒并有权向对方纪检部门举报。情节严重构成犯罪的，任何一方均有权向司法机关报案， 追究相关单位或者人员的刑事责任。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第二条 </w:t>
      </w:r>
      <w:r>
        <w:rPr>
          <w:rFonts w:hint="eastAsia" w:ascii="仿宋" w:hAnsi="仿宋" w:eastAsia="仿宋" w:cs="仿宋"/>
          <w:b/>
          <w:bCs/>
          <w:color w:val="auto"/>
          <w:sz w:val="24"/>
          <w:szCs w:val="24"/>
        </w:rPr>
        <w:t xml:space="preserve">商业贿赂 </w:t>
      </w:r>
      <w:r>
        <w:rPr>
          <w:rFonts w:hint="eastAsia" w:ascii="仿宋" w:hAnsi="仿宋" w:eastAsia="仿宋" w:cs="仿宋"/>
          <w:b/>
          <w:bCs/>
          <w:color w:val="auto"/>
          <w:sz w:val="24"/>
          <w:szCs w:val="24"/>
          <w:lang w:val="en-US" w:eastAsia="zh-CN"/>
        </w:rPr>
        <w:t xml:space="preserve">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2.1 本协议所称商业贿赂，是指乙方或乙方相关主体为获取或意图获取交易机会 或者竞争优势，采用财物或者其他形式贿赂甲方或甲方相关主体的行为。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2.2 本条第 1 款所称财物，是指乙方为促成合作，采用金钱（包括各种币钞和其45 他具有支付、结算功能的各类有价币、卡、券或账户，有价证券，减免债务、提供资 金借贷，或代为还款还贷，或给予其他具有折扣、储值功能的券、卡等）、实物（包 括各种高档生活用品、奢侈消费品、工艺品、收藏品等，房屋、车辆等大宗商品，以 及其他具有一定经济价值的各种礼品、藏品或物品，虽然不具有支付、结算功能但具 有一定面额的票、卡、提货单等，以租借等方式长期免费或低价供给、使用的物品等）， 或者以报销各种费用等方式，给付甲方或甲方相关主体的财物。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2.3 本条第 1 款所称其他形式，包括但不限于：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（1）以任何方式实施商业贿赂或违规提供回扣、折扣、宴请与游玩活动或其他 不正当利益；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（2）为甲方或甲方相关主体安排有可能影响公平、公正交易的宴请、健身、娱 乐等活动；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（3）为甲方或甲方相关主体投资入股、个人借款或买卖股票、债券等提供方便；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（4）为甲方或甲方相关主体购买或装修住房、婚丧嫁娶、配偶子女上学或工作 安排以及出国出境、旅游等提供方便；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（5）违反规定为甲方或甲方相关主体在乙方相关企业工作、挂名兼职、合伙经 营、介绍承揽业务等提供方便；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（6）向甲方或甲方相关主体提供借款、融资、担保等；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（7）给予或承诺给予其不正当利益的其他行为；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（8）其他违反国家法律法规或商业道德准则的影响公正交易的行为。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第三条 回扣</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3.1 本协议所称回扣，是指乙方促成合作时在账外暗中以现金、实物或者其他方 式退给甲方或甲方相关主体一定比例的商品或服务价款。</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3.2 本条第 1 款所称账外，是指未在依法设立的反映其生产经营活动或者行政事 业经费收支的财务账上按照财务会计制度规定明确如实记载，包括不记入财务账、转 入其他财务账或者做假账等。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3.3 乙方在账外暗中给予甲方相关主体回扣的，视为实施商业贿赂行为。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第四条 折扣</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 xml:space="preserve">4.1 本协议所称折扣，是指乙方在销售商品或提供服务时，以明示并如实入账的 方式给予甲方的价格优惠，包括支付价款时对价款总额按一定比例即时予以扣除和支46 付价款总额后再按一定比例予以退还两种形式。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4.2 乙方提供的商品或服务，可以以明示方式给予甲方折扣。乙方给予甲方折扣 的，必须在采购协议中予以明确并如实入账。</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4.3 本条第 1 款所称如实入账，是指根据采购或合作协议约定的金额和支付方式， 在依法设立的反映甲方生产经营活动收支的财务账上按照财务会计制度规定明确如 实记载。</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4.4 乙方违反本条约定的，视为实施商业贿赂行为。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第五条 宴请与游玩活动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5.1 乙方不得为甲方相关主体提供各种场合、各种规格的餐饮请吃、住宿等。但 因公务活动持续到用餐时间，乙方基于公认的商务礼仪和便利而参照接待甲方普通员 工餐标准安排的工作餐除外，且乙方提供的工作餐应当从简。</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5.2 乙方不得为甲方相关主体提供各种形式的旅游、健身、KTV、酒吧、按摩、赌 博、色情等娱乐休闲活动。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5.3 乙方违反本条约定的，视为实施商业贿赂行为。 </w:t>
      </w:r>
      <w:r>
        <w:rPr>
          <w:rFonts w:hint="eastAsia" w:ascii="仿宋" w:hAnsi="仿宋" w:eastAsia="仿宋" w:cs="仿宋"/>
          <w:b w:val="0"/>
          <w:bCs w:val="0"/>
          <w:color w:val="auto"/>
          <w:sz w:val="24"/>
          <w:szCs w:val="24"/>
          <w:lang w:val="en-US" w:eastAsia="zh-CN"/>
        </w:rPr>
        <w:t xml:space="preserve">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第六条 禁止行为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双方一致同意双方或双方相关主体的如下行为是应当禁止的营私舞弊或腐败行为：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6.1 甲方及甲方相关主体向乙方索要或收受财物或其他形式的财产性利益、非财 产性利益。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6.2 乙方及乙方相关主体向甲方或甲方相关主体提供财物或其他形式的财产性利 益、非财产性利益，包括但不限于：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（1）报销甲方相关主体的私人费用；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（2）提供超过宴请标准的宴请或娱乐活动；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（3）介绍甲方相关主体亲友到乙方处工作；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（4）提出、邀请或事实上接受甲方相关主体在乙方参股或参与乙方经营活动； （5）组织或向甲方相关主体提供旅游等代偿活动利益；</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（6）向甲方相关主体提供借款、融资、担保等；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（7）给予或承诺给予甲方相关主体不正当利益的其他行为；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（8）其他违反本协议约定、国家法律法规或商业道德准则的影响公正交易的行 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第七条 乙方承诺</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 xml:space="preserve">乙方承诺在双方的商务接洽、合同关系、交易过程中遵守如下要求：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7.1 避免利害关系 </w:t>
      </w:r>
      <w:r>
        <w:rPr>
          <w:rFonts w:hint="eastAsia" w:ascii="仿宋" w:hAnsi="仿宋" w:eastAsia="仿宋" w:cs="仿宋"/>
          <w:b w:val="0"/>
          <w:bCs w:val="0"/>
          <w:color w:val="auto"/>
          <w:sz w:val="24"/>
          <w:szCs w:val="24"/>
        </w:rPr>
        <w:t xml:space="preserve">在采购过程中主动申报与甲方及甲方相关主体的关联及利害关系，包括乙方经办 合作或交易事宜的相关主体与甲方及甲方相关主体的关联及利害关系，避免任何可能 影响公平竞争的关系或利益冲突，主动披露任何可能影响采购或合作决策的利益关 系，并采取必要的措施确保采购及合作过程的公正性。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7.2 恪守廉洁自律原则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7.2.1 不以任何方式实施本协议所述的商业贿赂行为、营私舞弊或腐败行为等禁 止行为，也不会以任何方式向甲方或甲方相关主体索要金钱、实物等不正当利益，或 收受甲方或甲方相关主体给予的金钱、实物等不正当利益。</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7.2.2 支持甲方的廉洁诚信建设，承诺承担实名举报的义务，若乙方或乙方相关 主体对甲方或甲方相关主体的索贿行为不拒绝、不申报，并满足其要求的，则该行为视同乙方实施商业贿赂行为。</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val="0"/>
          <w:bCs w:val="0"/>
          <w:color w:val="auto"/>
          <w:sz w:val="24"/>
          <w:szCs w:val="24"/>
        </w:rPr>
        <w:t xml:space="preserve"> </w:t>
      </w:r>
      <w:r>
        <w:rPr>
          <w:rFonts w:hint="eastAsia" w:ascii="仿宋" w:hAnsi="仿宋" w:eastAsia="仿宋" w:cs="仿宋"/>
          <w:b/>
          <w:bCs/>
          <w:color w:val="auto"/>
          <w:sz w:val="24"/>
          <w:szCs w:val="24"/>
        </w:rPr>
        <w:t xml:space="preserve">7.3 恪守诚实信用原则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7.3.1 在与甲方的业务往来过程中，向甲方提供的信息、文件、资料、数据及相关书面和口头陈述等保证真实、准确和完整，并不存在任何虚假、误导和重大遗漏， 且已按甲方要求向甲方提供或披露了与该等文件资料有关的其他辅助文件资料和信 息。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7.3.2 严格遵守向甲方做出的承诺、双方签署的合同、协议和备忘录等，确保产 品质量和服务质量，不隐瞒任何可能对甲方利益造成影响的信息，积极配合甲方的审 计。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7.3.3 严格遵守甲方的供应商行为准则、合作协议、保密承诺书等政策文件中的 相关规定。</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7.3.4 严格遵守甲方的品牌管理的相关规定，未经甲方授权不擅自使用甲方字样、 授权合作伙伴等类似容易对外产生混淆的字样。</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7.3.5 严格遵守国家相关法律法规及甲方的管理规定，不参与任何违法</w:t>
      </w:r>
      <w:r>
        <w:rPr>
          <w:rFonts w:hint="eastAsia" w:ascii="仿宋" w:hAnsi="仿宋" w:eastAsia="仿宋" w:cs="仿宋"/>
          <w:b w:val="0"/>
          <w:bCs w:val="0"/>
          <w:color w:val="auto"/>
          <w:sz w:val="24"/>
          <w:szCs w:val="24"/>
          <w:lang w:val="en-US" w:eastAsia="zh-CN"/>
        </w:rPr>
        <w:t>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7.3.6 承诺实事求是，不对内部或社会传递任何虚假信息，严格遵守保密协议，不透露任何甲方的商业机密。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7.3.7 未经甲方同意，不向任何新闻媒体、第三方述及有关甲方工作人员恪守商 业道德方面的评价、信息。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7.3.8 依法合规参加招投标活动和业务合作并诚实守则，不出借、转让资质证书， 不伙同他人串标、围标或非法排挤竞争对手，不以他人名义参与或者以其他方式弄虚 作假，不夸大自身技术和提供服务的能力，损害甲方合法权益。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7.4 确保信息公开透明 </w:t>
      </w:r>
      <w:r>
        <w:rPr>
          <w:rFonts w:hint="eastAsia" w:ascii="仿宋" w:hAnsi="仿宋" w:eastAsia="仿宋" w:cs="仿宋"/>
          <w:b w:val="0"/>
          <w:bCs w:val="0"/>
          <w:color w:val="auto"/>
          <w:sz w:val="24"/>
          <w:szCs w:val="24"/>
        </w:rPr>
        <w:t xml:space="preserve">7.4.1 主动向甲方披露与采购项目相关的信息，包括乙方真实情况、产品价格、 技术参数、服务团队信息、履约情况等。 7.4.2 不利用非法手段向甲方及甲方相关主体打探有关涉及甲方及甲方相关主体 的商业秘密、人员信息、采购信息等。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7.5 积极配合监督举报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7.5.1 乙方承诺积极配合甲方或第三方机构的监督和检查，对发现的违规行为及 时纠正，并严肃处理涉嫌违规的相关主体，确保采购过程和项目合作的公正性和透明 度。甲方对乙方及乙方相关主体涉嫌违法违规违纪的商业行为进行调查时，乙方有配 合提供证据、作证的义务。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7.5.2 如乙方有知悉或怀疑甲方相关主体有违反上述约定的，应及时采取措施并 有权向甲方纪检部门举报。甲方会对所有信息提供者及所提供的全部资料严格保密。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7.6 加强内部廉洁管理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7.6.1 加强内部管理：加强对员工的廉洁教育和培训，提高员工的道德素质和法律意识，建立健全内部管理制度，确保员工行为的合规性和廉洁性。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7.6.2 设立监督机制：通过专门的监督机构或人员，对乙方的业务活动进行实时监督，确保员工行为的合规性。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7.6.3 建立举报制度：鼓励员工积极举报违规行为，对举报人予以保护并给予奖励。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第八条 违约责任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8.1 若甲方人员违反本协议第六条规定的，按照甲方内部管理权限，依据有关法 律和规定给予处分或组织处理，涉嫌犯罪的，移交司法机关追究刑事责任。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8.2 如乙方违反本协议任何约定或承诺，甲方有权依据甲方采购管理、供应商管理和采购文件相关要求，对乙方进行严肃处理，相关处罚结果记入供应商诚信档案。</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val="0"/>
          <w:bCs w:val="0"/>
          <w:color w:val="auto"/>
          <w:sz w:val="24"/>
          <w:szCs w:val="24"/>
        </w:rPr>
        <w:t>8.3 如乙方违反本协议任何约定或承诺，</w:t>
      </w:r>
      <w:r>
        <w:rPr>
          <w:rFonts w:hint="eastAsia" w:ascii="仿宋" w:hAnsi="仿宋" w:eastAsia="仿宋" w:cs="仿宋"/>
          <w:b/>
          <w:bCs/>
          <w:color w:val="auto"/>
          <w:sz w:val="24"/>
          <w:szCs w:val="24"/>
        </w:rPr>
        <w:t>甲方及甲方子公司有权根据情节严重程 度选择单方全面终止与乙方的合同及合作，且无需承担任何责任。乙方给甲方造成损失的，甲方有权要求乙方承担全部赔偿责任。</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 xml:space="preserve">8.4 </w:t>
      </w:r>
      <w:r>
        <w:rPr>
          <w:rFonts w:hint="eastAsia" w:ascii="仿宋" w:hAnsi="仿宋" w:eastAsia="仿宋" w:cs="仿宋"/>
          <w:b/>
          <w:bCs/>
          <w:color w:val="auto"/>
          <w:sz w:val="24"/>
          <w:szCs w:val="24"/>
        </w:rPr>
        <w:t>甲方及甲方子公司按照前述条款要求乙方承担赔偿责任的，</w:t>
      </w:r>
      <w:r>
        <w:rPr>
          <w:rFonts w:hint="eastAsia" w:ascii="仿宋" w:hAnsi="仿宋" w:eastAsia="仿宋" w:cs="仿宋"/>
          <w:b w:val="0"/>
          <w:bCs w:val="0"/>
          <w:color w:val="auto"/>
          <w:sz w:val="24"/>
          <w:szCs w:val="24"/>
        </w:rPr>
        <w:t xml:space="preserve">乙方应于甲方发 出赔偿通知之日起【10】个工作日内支付，如未及时支付，甲方及甲方子公司有权从 主合同款项中直接扣除。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8.5 乙方知悉并同意，对于上述情形的处理甲方有完全的判断权和自主权。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第九条 附则</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9.1 本协议的标题及各条款的标题仅为检索方便而设置，具体内容应当以各条款 的具体规定为准，而不应参考该标题进行解释。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9.2 除非另有书面规定，甲方未能行使或者延迟行使在本协议项下的任何权利， 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9.3 本协议之解释、效力、履行及其他未尽事宜均依中华人民共和国（仅为本协 议之目的，不含香港特别行政区、澳门特别行政区和台湾地区）法律为准，任何关于 本协议产生的争议，由双方协商解决，协商不成的，双方同意任何一方均可向甲方所 在地有管辖权的法院提起诉讼。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9.4 本协议未尽事宜以双方签订的主合同为准。本协议与主合同约定不一致的， 根据约定内容对双方提出的廉洁诚信要求，以较为严格的约定为准。若双方未签订主合同或主合同终止、解除的，本协议应独立执行。</w:t>
      </w:r>
    </w:p>
    <w:p>
      <w:pPr>
        <w:tabs>
          <w:tab w:val="left" w:pos="3702"/>
        </w:tabs>
        <w:bidi w:val="0"/>
        <w:ind w:firstLine="480" w:firstLineChars="200"/>
        <w:jc w:val="left"/>
        <w:rPr>
          <w:rFonts w:hint="eastAsia" w:ascii="仿宋" w:hAnsi="仿宋" w:eastAsia="仿宋" w:cs="仿宋"/>
          <w:color w:val="auto"/>
          <w:kern w:val="2"/>
          <w:sz w:val="24"/>
          <w:szCs w:val="24"/>
          <w:lang w:val="en-US" w:eastAsia="zh-CN" w:bidi="ar-SA"/>
        </w:rPr>
        <w:sectPr>
          <w:footerReference r:id="rId11"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仿宋"/>
          <w:b w:val="0"/>
          <w:bCs w:val="0"/>
          <w:color w:val="auto"/>
          <w:sz w:val="24"/>
          <w:szCs w:val="24"/>
        </w:rPr>
        <w:t>9.5 本协议长期有效。</w:t>
      </w:r>
    </w:p>
    <w:bookmarkEnd w:id="120"/>
    <w:bookmarkEnd w:id="121"/>
    <w:p>
      <w:pPr>
        <w:pStyle w:val="3"/>
        <w:spacing w:before="0" w:after="0" w:line="360" w:lineRule="auto"/>
        <w:jc w:val="center"/>
        <w:rPr>
          <w:rFonts w:hint="eastAsia" w:ascii="仿宋" w:hAnsi="仿宋" w:eastAsia="仿宋" w:cs="仿宋"/>
          <w:color w:val="auto"/>
          <w:sz w:val="28"/>
          <w:szCs w:val="28"/>
          <w:highlight w:val="none"/>
        </w:rPr>
      </w:pPr>
      <w:bookmarkStart w:id="143" w:name="_Toc24143"/>
      <w:bookmarkStart w:id="144" w:name="_Toc444891347"/>
      <w:bookmarkStart w:id="145" w:name="_Toc24217"/>
      <w:bookmarkStart w:id="146" w:name="_Toc28349"/>
      <w:bookmarkStart w:id="147" w:name="_Toc16424"/>
      <w:bookmarkStart w:id="148" w:name="_Toc517281828"/>
      <w:bookmarkStart w:id="149" w:name="_Toc22083"/>
      <w:r>
        <w:rPr>
          <w:rFonts w:hint="eastAsia" w:ascii="仿宋" w:hAnsi="仿宋" w:eastAsia="仿宋" w:cs="仿宋"/>
          <w:color w:val="auto"/>
          <w:sz w:val="28"/>
          <w:szCs w:val="28"/>
          <w:highlight w:val="none"/>
        </w:rPr>
        <w:t xml:space="preserve">第五章 </w:t>
      </w:r>
      <w:bookmarkEnd w:id="143"/>
      <w:bookmarkEnd w:id="144"/>
      <w:bookmarkEnd w:id="145"/>
      <w:bookmarkEnd w:id="146"/>
      <w:bookmarkEnd w:id="147"/>
      <w:r>
        <w:rPr>
          <w:rFonts w:hint="eastAsia" w:ascii="仿宋" w:hAnsi="仿宋" w:eastAsia="仿宋" w:cs="仿宋"/>
          <w:color w:val="auto"/>
          <w:sz w:val="28"/>
          <w:szCs w:val="28"/>
          <w:highlight w:val="none"/>
        </w:rPr>
        <w:t>采购需求</w:t>
      </w:r>
      <w:bookmarkEnd w:id="148"/>
      <w:bookmarkEnd w:id="149"/>
    </w:p>
    <w:p>
      <w:pPr>
        <w:pageBreakBefore w:val="0"/>
        <w:kinsoku/>
        <w:wordWrap/>
        <w:overflowPunct/>
        <w:topLinePunct w:val="0"/>
        <w:autoSpaceDE/>
        <w:autoSpaceDN/>
        <w:bidi w:val="0"/>
        <w:spacing w:line="600" w:lineRule="exact"/>
        <w:ind w:left="479" w:leftChars="228" w:firstLine="480" w:firstLineChars="200"/>
        <w:rPr>
          <w:rFonts w:hint="eastAsia" w:ascii="仿宋" w:hAnsi="仿宋" w:eastAsia="仿宋" w:cs="仿宋"/>
          <w:b w:val="0"/>
          <w:bCs w:val="0"/>
          <w:color w:val="auto"/>
          <w:sz w:val="24"/>
          <w:szCs w:val="24"/>
          <w:highlight w:val="none"/>
          <w:lang w:val="en-US" w:eastAsia="zh-CN"/>
        </w:rPr>
      </w:pPr>
      <w:bookmarkStart w:id="150" w:name="_Toc287600128"/>
      <w:bookmarkStart w:id="151" w:name="_Toc444891352"/>
      <w:bookmarkStart w:id="152" w:name="_Toc11206"/>
      <w:bookmarkStart w:id="153" w:name="_Toc17141"/>
      <w:bookmarkStart w:id="154" w:name="_Toc517281835"/>
      <w:bookmarkStart w:id="155" w:name="_Toc21125"/>
      <w:bookmarkStart w:id="156" w:name="_Toc10693"/>
      <w:r>
        <w:rPr>
          <w:rFonts w:hint="default" w:ascii="仿宋" w:hAnsi="仿宋" w:eastAsia="仿宋" w:cs="仿宋"/>
          <w:b w:val="0"/>
          <w:bCs w:val="0"/>
          <w:color w:val="auto"/>
          <w:sz w:val="24"/>
          <w:szCs w:val="24"/>
          <w:highlight w:val="none"/>
          <w:lang w:val="en-US" w:eastAsia="zh-CN"/>
        </w:rPr>
        <w:t>本项目拟选定2家供应商，为我公司提供为期3年的职工餐厅食材供应服务。</w:t>
      </w:r>
      <w:r>
        <w:rPr>
          <w:rFonts w:hint="eastAsia" w:ascii="仿宋" w:hAnsi="仿宋" w:eastAsia="仿宋" w:cs="仿宋"/>
          <w:b w:val="0"/>
          <w:bCs w:val="0"/>
          <w:color w:val="auto"/>
          <w:sz w:val="24"/>
          <w:szCs w:val="24"/>
          <w:highlight w:val="none"/>
          <w:lang w:val="en-US" w:eastAsia="zh-CN"/>
        </w:rPr>
        <w:t>主要服务内容为采购、配送食堂食材服务。</w:t>
      </w:r>
    </w:p>
    <w:p>
      <w:pPr>
        <w:pageBreakBefore w:val="0"/>
        <w:kinsoku/>
        <w:wordWrap/>
        <w:overflowPunct/>
        <w:topLinePunct w:val="0"/>
        <w:autoSpaceDE/>
        <w:autoSpaceDN/>
        <w:bidi w:val="0"/>
        <w:spacing w:line="600" w:lineRule="exact"/>
        <w:ind w:left="479" w:leftChars="228"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2家入围供应商，</w:t>
      </w:r>
      <w:r>
        <w:rPr>
          <w:rFonts w:hint="default" w:ascii="仿宋" w:hAnsi="仿宋" w:eastAsia="仿宋" w:cs="仿宋"/>
          <w:b w:val="0"/>
          <w:bCs w:val="0"/>
          <w:color w:val="auto"/>
          <w:sz w:val="24"/>
          <w:szCs w:val="24"/>
          <w:highlight w:val="none"/>
          <w:lang w:val="en-US" w:eastAsia="zh-CN"/>
        </w:rPr>
        <w:t>供应商供货价格</w:t>
      </w:r>
      <w:r>
        <w:rPr>
          <w:rFonts w:hint="eastAsia" w:ascii="仿宋" w:hAnsi="仿宋" w:eastAsia="仿宋" w:cs="仿宋"/>
          <w:b w:val="0"/>
          <w:bCs w:val="0"/>
          <w:color w:val="auto"/>
          <w:sz w:val="24"/>
          <w:szCs w:val="24"/>
          <w:highlight w:val="none"/>
          <w:lang w:val="en-US" w:eastAsia="zh-CN"/>
        </w:rPr>
        <w:t>在每月</w:t>
      </w:r>
      <w:r>
        <w:rPr>
          <w:rFonts w:hint="default" w:ascii="仿宋" w:hAnsi="仿宋" w:eastAsia="仿宋" w:cs="仿宋"/>
          <w:b w:val="0"/>
          <w:bCs w:val="0"/>
          <w:color w:val="auto"/>
          <w:sz w:val="24"/>
          <w:szCs w:val="24"/>
          <w:highlight w:val="none"/>
          <w:lang w:val="en-US" w:eastAsia="zh-CN"/>
        </w:rPr>
        <w:t>美团外卖供销惠民超市同期商品销售价格</w:t>
      </w:r>
      <w:r>
        <w:rPr>
          <w:rFonts w:hint="eastAsia" w:ascii="仿宋" w:hAnsi="仿宋" w:eastAsia="仿宋" w:cs="仿宋"/>
          <w:b w:val="0"/>
          <w:bCs w:val="0"/>
          <w:color w:val="auto"/>
          <w:sz w:val="24"/>
          <w:szCs w:val="24"/>
          <w:highlight w:val="none"/>
          <w:lang w:val="en-US" w:eastAsia="zh-CN"/>
        </w:rPr>
        <w:t>基础上给予折扣率，按2家中标供应商报价综合折扣率最低的为最终统一签订采购合同。</w:t>
      </w:r>
    </w:p>
    <w:p>
      <w:pPr>
        <w:keepNext w:val="0"/>
        <w:keepLines w:val="0"/>
        <w:pageBreakBefore w:val="0"/>
        <w:widowControl/>
        <w:numPr>
          <w:ilvl w:val="0"/>
          <w:numId w:val="18"/>
        </w:numPr>
        <w:kinsoku/>
        <w:wordWrap/>
        <w:overflowPunct/>
        <w:topLinePunct w:val="0"/>
        <w:autoSpaceDE/>
        <w:autoSpaceDN/>
        <w:bidi w:val="0"/>
        <w:adjustRightInd/>
        <w:snapToGrid/>
        <w:spacing w:line="600" w:lineRule="exact"/>
        <w:ind w:firstLine="640"/>
        <w:jc w:val="left"/>
        <w:textAlignment w:val="auto"/>
        <w:rPr>
          <w:rFonts w:hint="eastAsia" w:eastAsia="仿宋_GB2312" w:cs="Times New Roman"/>
          <w:b/>
          <w:bCs/>
          <w:color w:val="auto"/>
          <w:sz w:val="24"/>
          <w:szCs w:val="24"/>
          <w:highlight w:val="none"/>
          <w:lang w:val="en-US" w:eastAsia="zh-CN"/>
        </w:rPr>
      </w:pPr>
      <w:r>
        <w:rPr>
          <w:rFonts w:hint="eastAsia" w:eastAsia="仿宋_GB2312" w:cs="Times New Roman"/>
          <w:b/>
          <w:bCs/>
          <w:color w:val="auto"/>
          <w:sz w:val="24"/>
          <w:szCs w:val="24"/>
          <w:highlight w:val="none"/>
          <w:lang w:val="en-US" w:eastAsia="zh-CN"/>
        </w:rPr>
        <w:t>具体采购需求</w:t>
      </w:r>
    </w:p>
    <w:p>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720" w:firstLineChars="300"/>
        <w:jc w:val="left"/>
        <w:textAlignment w:val="auto"/>
        <w:rPr>
          <w:rFonts w:hint="eastAsia"/>
          <w:b w:val="0"/>
          <w:bCs w:val="0"/>
          <w:color w:val="auto"/>
          <w:sz w:val="24"/>
          <w:szCs w:val="24"/>
          <w:highlight w:val="none"/>
          <w:lang w:eastAsia="zh-CN"/>
        </w:rPr>
      </w:pPr>
      <w:r>
        <w:rPr>
          <w:rFonts w:hint="eastAsia" w:eastAsia="仿宋_GB2312" w:cs="Times New Roman"/>
          <w:b w:val="0"/>
          <w:bCs w:val="0"/>
          <w:color w:val="auto"/>
          <w:sz w:val="24"/>
          <w:szCs w:val="24"/>
          <w:highlight w:val="none"/>
          <w:lang w:val="en-US" w:eastAsia="zh-CN"/>
        </w:rPr>
        <w:t>1.品类，需求量报价方式：</w:t>
      </w:r>
    </w:p>
    <w:tbl>
      <w:tblPr>
        <w:tblStyle w:val="41"/>
        <w:tblpPr w:leftFromText="180" w:rightFromText="180" w:vertAnchor="text" w:horzAnchor="page" w:tblpX="1440" w:tblpY="51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5"/>
        <w:gridCol w:w="2850"/>
        <w:gridCol w:w="3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食材品类</w:t>
            </w:r>
          </w:p>
        </w:tc>
        <w:tc>
          <w:tcPr>
            <w:tcW w:w="285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数量需求</w:t>
            </w:r>
          </w:p>
        </w:tc>
        <w:tc>
          <w:tcPr>
            <w:tcW w:w="351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trPr>
        <w:tc>
          <w:tcPr>
            <w:tcW w:w="3025" w:type="dxa"/>
            <w:vAlign w:val="center"/>
          </w:tcPr>
          <w:p>
            <w:pPr>
              <w:pageBreakBefore w:val="0"/>
              <w:kinsoku/>
              <w:wordWrap/>
              <w:overflowPunct/>
              <w:topLinePunct w:val="0"/>
              <w:autoSpaceDE/>
              <w:autoSpaceDN/>
              <w:bidi w:val="0"/>
              <w:spacing w:line="600" w:lineRule="exact"/>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米面粮油干货类、蔬菜瓜果类、肉类、豆蛋奶调料类、水产类等食堂食材</w:t>
            </w:r>
          </w:p>
        </w:tc>
        <w:tc>
          <w:tcPr>
            <w:tcW w:w="2850" w:type="dxa"/>
            <w:vAlign w:val="center"/>
          </w:tcPr>
          <w:p>
            <w:pPr>
              <w:pageBreakBefore w:val="0"/>
              <w:kinsoku/>
              <w:wordWrap/>
              <w:overflowPunct/>
              <w:topLinePunct w:val="0"/>
              <w:autoSpaceDE/>
              <w:autoSpaceDN/>
              <w:bidi w:val="0"/>
              <w:spacing w:line="600" w:lineRule="exact"/>
              <w:ind w:firstLine="480" w:firstLineChars="200"/>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用餐人数约19人，人均餐标600元/月，工作日提供早、午餐。</w:t>
            </w:r>
          </w:p>
        </w:tc>
        <w:tc>
          <w:tcPr>
            <w:tcW w:w="3510" w:type="dxa"/>
            <w:vAlign w:val="center"/>
          </w:tcPr>
          <w:p>
            <w:pPr>
              <w:pageBreakBefore w:val="0"/>
              <w:kinsoku/>
              <w:wordWrap/>
              <w:overflowPunct/>
              <w:topLinePunct w:val="0"/>
              <w:autoSpaceDE/>
              <w:autoSpaceDN/>
              <w:bidi w:val="0"/>
              <w:spacing w:line="600" w:lineRule="exact"/>
              <w:ind w:firstLine="480" w:firstLineChars="200"/>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供应商供货价格以</w:t>
            </w:r>
            <w:r>
              <w:rPr>
                <w:rFonts w:hint="eastAsia" w:ascii="仿宋" w:hAnsi="仿宋" w:eastAsia="仿宋" w:cs="仿宋"/>
                <w:b w:val="0"/>
                <w:bCs w:val="0"/>
                <w:color w:val="000000" w:themeColor="text1"/>
                <w:sz w:val="24"/>
                <w:szCs w:val="24"/>
                <w:lang w:val="en-US" w:eastAsia="zh-CN" w:bidi="ar"/>
                <w14:textFill>
                  <w14:solidFill>
                    <w14:schemeClr w14:val="tx1"/>
                  </w14:solidFill>
                </w14:textFill>
              </w:rPr>
              <w:t>以</w:t>
            </w:r>
            <w:r>
              <w:rPr>
                <w:rFonts w:hint="eastAsia" w:ascii="仿宋" w:hAnsi="仿宋" w:eastAsia="仿宋" w:cs="仿宋"/>
                <w:color w:val="000000" w:themeColor="text1"/>
                <w:sz w:val="24"/>
                <w:szCs w:val="24"/>
                <w:lang w:val="en-US" w:eastAsia="zh-CN"/>
                <w14:textFill>
                  <w14:solidFill>
                    <w14:schemeClr w14:val="tx1"/>
                  </w14:solidFill>
                </w14:textFill>
              </w:rPr>
              <w:t>美团外卖供销惠民超市</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同期商品销售价格为基准给予相应折扣率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合计</w:t>
            </w:r>
          </w:p>
        </w:tc>
        <w:tc>
          <w:tcPr>
            <w:tcW w:w="285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p>
        </w:tc>
        <w:tc>
          <w:tcPr>
            <w:tcW w:w="351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p>
        </w:tc>
      </w:tr>
    </w:tbl>
    <w:p>
      <w:pPr>
        <w:pageBreakBefore w:val="0"/>
        <w:kinsoku/>
        <w:wordWrap/>
        <w:overflowPunct/>
        <w:topLinePunct w:val="0"/>
        <w:autoSpaceDE/>
        <w:autoSpaceDN/>
        <w:bidi w:val="0"/>
        <w:spacing w:line="600" w:lineRule="exact"/>
        <w:ind w:left="479" w:leftChars="228" w:firstLine="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供应商报价按全品类综合折扣率。</w:t>
      </w:r>
      <w:bookmarkStart w:id="157" w:name="_Toc3675"/>
    </w:p>
    <w:p>
      <w:pPr>
        <w:pageBreakBefore w:val="0"/>
        <w:kinsoku/>
        <w:wordWrap/>
        <w:overflowPunct/>
        <w:topLinePunct w:val="0"/>
        <w:autoSpaceDE/>
        <w:autoSpaceDN/>
        <w:bidi w:val="0"/>
        <w:spacing w:line="600" w:lineRule="exact"/>
        <w:ind w:left="479" w:leftChars="228" w:firstLine="0" w:firstLine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2.食材质量方面：</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米面粮油干货杂粮类：米面无霉变、无虫蛀、无结块、无陈化粮；食用油正规品牌资质齐全，清澈无浑浊、无沉淀物，无变质，杜绝散装劣质油、勾兑油；杂粮干货干净无杂质、无受潮发霉、无硫磺熏制，色泽自然，干货干燥紧实，无掺假掺次，包装完好生产日期近，符合食用标准；</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（2）蔬菜瓜果类：新鲜无腐烂、蔬菜无黄叶，无农药残留超标，无严重虫眼、无冻伤枯萎、时令优先；</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（3）肉类：冷鲜新鲜肉质紧实，色泽正常，无注水、无淤血、无异味，有动物检疫合格证明，无病死肉、冻久僵尸肉；</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（4）豆制品、蛋奶、调料等副食类：蛋壳完好无破损，当日鲜货，无变质发酸发黏，无违规添加剂，调料包装完整，生产日期清晰，临期、破损、异味一律拒收，符合食用安全标准。</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（5）水产：体表完整无损伤，无腥臭味、无腐坏、无变质，杜绝死腐水产。</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 配送、应急、售后服务方面：</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（1）配送要求</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具有完善稳定的人员服务体系，能够提供运输装卸、食材及时配送、送货上门等服务；有配送/仓储场所，能够满足食材存放、分拣等工作需要，场地设施完善；能根据采购方发送的菜品清单，按时按量配送到指定地点。</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（2）应急服务要求</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应急补送：食材短缺、临时加餐、突发用量增加，1小时内紧急配送到位，保障正常开餐；延时配送：早高峰、节假日、加班用餐可提前预约早送、晚送，灵活调整配送时段；应急替换：遇恶劣天气、道路受阻、货源临时断供，第一时间调换同等品质替代食材；突发缺货处置：供货方临时无货，须提前告知并协调调配，不得无故断供影响就餐；破损应急调换：运输挤压破损、淋水受潮食材，当场更换，不拖延、不凑数。</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（3）售后服务要求</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对送达的食材经检查有腐烂、变质、超保质期等不合格问题能及时更换，未造成严重影响的所供食材在接到项目食堂组投诉后，能够立即给与响应并妥善处理；工作人员热情专业；能够主动沟通，持续优化供货服务。</w:t>
      </w:r>
    </w:p>
    <w:p>
      <w:pPr>
        <w:pageBreakBefore w:val="0"/>
        <w:kinsoku/>
        <w:wordWrap/>
        <w:overflowPunct/>
        <w:topLinePunct w:val="0"/>
        <w:autoSpaceDE/>
        <w:autoSpaceDN/>
        <w:bidi w:val="0"/>
        <w:spacing w:line="600" w:lineRule="exact"/>
        <w:ind w:firstLine="482" w:firstLineChars="20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（二）验收</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米面粮油干货杂粮：包装完好、日期新鲜无过期，无霉变虫蛀结块，油品无异味浑浊，干货干爽无发霉，重量足额，票据齐全。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 xml:space="preserve">2. 蔬菜瓜果：新鲜无腐烂黄叶、无虫伤枯萎，干净少泥沙，成熟适中，变质残次品直接拒收。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 肉类：肉质新鲜紧实无注水异味，附正规检疫证明，非病死肉、久冻劣质肉，品相达标。</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 豆制品蛋奶调料副食：豆、奶制品新鲜无发酸变质，蛋类完好无散黄，副食调料在保质期内，包装完整无破损漏损。</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 水产类：鲜活有力无异味，冰鲜肉质紧实不发黏，非死腐、变质水产。</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6.由食堂管理员按品类填写《食材验收情况表》，用于监督食材质量及供应商服务情况等。</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（三）入围供应商的使用规则</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为了避免单一供应因商突发问题（如极端天气、食材质量不达标等）导致食堂断供；同时通过2家供应商形成有效竞争机制，促使供应商维持食材品质与服务效率，减少长期依赖单一供应商的议价被动与成本失控风险。故本项目拟选定2家供应商，为我公司提供食堂食材供应。</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1.供应商使用规则：本项目实行自然季度轮换，两家供应商交替配送，配送折扣率统一取双方最低报价。合同生效日若不是自然季度起点，生效日至本季度结束期间，由综合得分第一名供应商负责配送；后续按自然季度开展轮换。首季度由得分第一的供应商供货，季度结束次月起双方季度交替轮换。</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2.中途应急及异常切换：在供应商供货期间，如出现质量不合格、配送超时、缺货、售后不及时，当即暂停配送，剩余需求临时由另一名选中供应商供应。</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供应商动态管理：依据《食材验收情况表》，可视情况调整供应商供货顺序。服务期间如食材验收不合格将暂停合作，整改合格后方可继续参与轮换。</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（四）付款安排</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以自然月为一个周期，次月初由供货商提供上月商品总清单，双方核对无误后签字，供货商开具合规的增值税发票，我方自收到发票的15个工作日内</w:t>
      </w:r>
      <w:r>
        <w:rPr>
          <w:rFonts w:hint="eastAsia" w:ascii="仿宋" w:hAnsi="仿宋" w:eastAsia="仿宋" w:cs="仿宋"/>
          <w:color w:val="auto"/>
          <w:kern w:val="2"/>
          <w:sz w:val="24"/>
          <w:szCs w:val="24"/>
          <w:highlight w:val="none"/>
          <w:lang w:val="en-US" w:eastAsia="zh-CN" w:bidi="ar-SA"/>
        </w:rPr>
        <w:t>排付款</w:t>
      </w:r>
      <w:r>
        <w:rPr>
          <w:rFonts w:hint="default" w:ascii="仿宋" w:hAnsi="仿宋" w:eastAsia="仿宋" w:cs="仿宋"/>
          <w:color w:val="auto"/>
          <w:kern w:val="2"/>
          <w:sz w:val="24"/>
          <w:szCs w:val="24"/>
          <w:highlight w:val="none"/>
          <w:lang w:val="en-US" w:eastAsia="zh-CN" w:bidi="ar-SA"/>
        </w:rPr>
        <w:t>。</w:t>
      </w:r>
    </w:p>
    <w:p>
      <w:pPr>
        <w:pStyle w:val="2"/>
        <w:rPr>
          <w:rFonts w:hint="default"/>
          <w:lang w:val="en-US" w:eastAsia="zh-CN"/>
        </w:rPr>
      </w:pPr>
    </w:p>
    <w:p>
      <w:pPr>
        <w:pStyle w:val="3"/>
        <w:numPr>
          <w:ilvl w:val="0"/>
          <w:numId w:val="19"/>
        </w:numPr>
        <w:spacing w:before="0"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响应文件格式</w:t>
      </w:r>
      <w:bookmarkEnd w:id="150"/>
      <w:bookmarkEnd w:id="151"/>
      <w:bookmarkEnd w:id="152"/>
      <w:bookmarkEnd w:id="153"/>
      <w:bookmarkEnd w:id="154"/>
      <w:bookmarkEnd w:id="155"/>
      <w:bookmarkEnd w:id="156"/>
      <w:bookmarkEnd w:id="157"/>
    </w:p>
    <w:p>
      <w:pPr>
        <w:spacing w:line="360" w:lineRule="auto"/>
        <w:rPr>
          <w:rFonts w:hint="eastAsia" w:ascii="仿宋" w:hAnsi="仿宋" w:eastAsia="仿宋" w:cs="仿宋"/>
          <w:b/>
          <w:color w:val="auto"/>
          <w:highlight w:val="none"/>
        </w:rPr>
      </w:pPr>
      <w:r>
        <w:rPr>
          <w:rFonts w:hint="eastAsia" w:ascii="仿宋" w:hAnsi="仿宋" w:eastAsia="仿宋" w:cs="宋体"/>
          <w:b/>
          <w:color w:val="auto"/>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156"/>
              <w:spacing w:before="156" w:after="312"/>
              <w:ind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（人保财险新疆</w:t>
            </w:r>
            <w:r>
              <w:rPr>
                <w:rFonts w:hint="eastAsia" w:ascii="仿宋" w:hAnsi="仿宋" w:eastAsia="仿宋" w:cs="仿宋"/>
                <w:color w:val="auto"/>
                <w:sz w:val="32"/>
                <w:highlight w:val="none"/>
                <w:lang w:val="en-US" w:eastAsia="zh-CN"/>
              </w:rPr>
              <w:t>特克斯</w:t>
            </w:r>
            <w:r>
              <w:rPr>
                <w:rFonts w:hint="eastAsia" w:ascii="仿宋" w:hAnsi="仿宋" w:eastAsia="仿宋" w:cs="仿宋"/>
                <w:color w:val="auto"/>
                <w:sz w:val="32"/>
                <w:highlight w:val="none"/>
              </w:rPr>
              <w:t>支公司职工食堂食材供应商采购项目）项目</w:t>
            </w:r>
          </w:p>
          <w:p>
            <w:pPr>
              <w:pStyle w:val="156"/>
              <w:ind w:right="-284" w:firstLine="2240"/>
              <w:rPr>
                <w:rFonts w:hint="eastAsia" w:ascii="仿宋" w:hAnsi="仿宋" w:eastAsia="仿宋" w:cs="仿宋"/>
                <w:color w:val="auto"/>
                <w:sz w:val="28"/>
                <w:highlight w:val="none"/>
                <w:u w:val="single"/>
              </w:rPr>
            </w:pPr>
          </w:p>
          <w:p>
            <w:pPr>
              <w:pStyle w:val="156"/>
              <w:spacing w:before="624" w:after="156" w:line="160" w:lineRule="atLeast"/>
              <w:ind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pPr>
              <w:pStyle w:val="156"/>
              <w:spacing w:before="624" w:after="156" w:line="160" w:lineRule="atLeast"/>
              <w:ind w:right="-284"/>
              <w:jc w:val="center"/>
              <w:rPr>
                <w:rFonts w:hint="eastAsia" w:ascii="仿宋" w:hAnsi="仿宋" w:eastAsia="仿宋" w:cs="仿宋"/>
                <w:color w:val="auto"/>
                <w:sz w:val="52"/>
                <w:highlight w:val="none"/>
              </w:rPr>
            </w:pPr>
          </w:p>
          <w:p>
            <w:pPr>
              <w:pStyle w:val="156"/>
              <w:spacing w:before="624" w:after="156" w:line="240" w:lineRule="atLeast"/>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156"/>
              <w:spacing w:after="156" w:line="400" w:lineRule="atLeast"/>
              <w:ind w:right="-284"/>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156"/>
              <w:spacing w:after="624"/>
              <w:ind w:right="-284"/>
              <w:jc w:val="center"/>
              <w:rPr>
                <w:rFonts w:hint="eastAsia" w:ascii="仿宋" w:hAnsi="仿宋" w:eastAsia="仿宋" w:cs="仿宋"/>
                <w:color w:val="auto"/>
                <w:sz w:val="24"/>
                <w:highlight w:val="none"/>
              </w:rPr>
            </w:pPr>
          </w:p>
          <w:p>
            <w:pPr>
              <w:pStyle w:val="156"/>
              <w:spacing w:after="624"/>
              <w:ind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kern w:val="0"/>
          <w:szCs w:val="21"/>
          <w:highlight w:val="none"/>
        </w:rPr>
      </w:pPr>
    </w:p>
    <w:p>
      <w:pPr>
        <w:pStyle w:val="4"/>
        <w:numPr>
          <w:ilvl w:val="0"/>
          <w:numId w:val="0"/>
        </w:numPr>
        <w:ind w:leftChars="0"/>
        <w:jc w:val="both"/>
        <w:rPr>
          <w:rFonts w:ascii="仿宋" w:hAnsi="仿宋" w:eastAsia="仿宋" w:cs="仿宋"/>
          <w:color w:val="auto"/>
          <w:sz w:val="24"/>
          <w:szCs w:val="24"/>
          <w:highlight w:val="none"/>
        </w:rPr>
      </w:pPr>
      <w:bookmarkStart w:id="158" w:name="_Toc3936"/>
      <w:bookmarkStart w:id="159" w:name="_Toc11783"/>
      <w:bookmarkStart w:id="160" w:name="_Toc517281836"/>
      <w:bookmarkStart w:id="161" w:name="_Toc25957"/>
      <w:bookmarkStart w:id="162" w:name="_Toc19910"/>
      <w:bookmarkStart w:id="163" w:name="_Toc444891353"/>
      <w:bookmarkStart w:id="164" w:name="_Toc19783362"/>
      <w:bookmarkStart w:id="165" w:name="_Toc21280"/>
      <w:bookmarkStart w:id="166" w:name="_Toc287600131"/>
      <w:r>
        <w:rPr>
          <w:rFonts w:ascii="仿宋" w:hAnsi="仿宋" w:eastAsia="仿宋" w:cs="仿宋"/>
          <w:color w:val="auto"/>
          <w:sz w:val="24"/>
          <w:szCs w:val="24"/>
          <w:highlight w:val="none"/>
        </w:rPr>
        <w:br w:type="page"/>
      </w:r>
      <w:bookmarkStart w:id="167" w:name="_Toc17191"/>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商务文件</w:t>
      </w:r>
      <w:bookmarkEnd w:id="158"/>
      <w:bookmarkEnd w:id="167"/>
    </w:p>
    <w:p>
      <w:pPr>
        <w:bidi w:val="0"/>
        <w:jc w:val="center"/>
        <w:rPr>
          <w:rFonts w:hint="eastAsia"/>
          <w:color w:val="auto"/>
        </w:rPr>
      </w:pPr>
      <w:bookmarkStart w:id="168" w:name="_Toc26744"/>
      <w:r>
        <w:rPr>
          <w:rFonts w:hint="eastAsia" w:ascii="仿宋" w:hAnsi="仿宋" w:eastAsia="仿宋" w:cs="仿宋"/>
          <w:b/>
          <w:bCs/>
          <w:color w:val="auto"/>
          <w:sz w:val="24"/>
          <w:szCs w:val="24"/>
        </w:rPr>
        <w:t>初步评审索引表</w:t>
      </w:r>
      <w:bookmarkEnd w:id="168"/>
    </w:p>
    <w:tbl>
      <w:tblPr>
        <w:tblStyle w:val="40"/>
        <w:tblW w:w="499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2"/>
        <w:gridCol w:w="1165"/>
        <w:gridCol w:w="1949"/>
        <w:gridCol w:w="608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noWrap w:val="0"/>
            <w:vAlign w:val="center"/>
          </w:tcPr>
          <w:p>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序号</w:t>
            </w:r>
          </w:p>
        </w:tc>
        <w:tc>
          <w:tcPr>
            <w:tcW w:w="591" w:type="pct"/>
            <w:noWrap w:val="0"/>
            <w:vAlign w:val="top"/>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评审环节</w:t>
            </w:r>
          </w:p>
        </w:tc>
        <w:tc>
          <w:tcPr>
            <w:tcW w:w="989" w:type="pct"/>
            <w:noWrap w:val="0"/>
            <w:vAlign w:val="center"/>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评审因素</w:t>
            </w:r>
          </w:p>
        </w:tc>
        <w:tc>
          <w:tcPr>
            <w:tcW w:w="3086" w:type="pct"/>
            <w:noWrap w:val="0"/>
            <w:vAlign w:val="center"/>
          </w:tcPr>
          <w:p>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91"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供应商名称</w:t>
            </w:r>
          </w:p>
        </w:tc>
        <w:tc>
          <w:tcPr>
            <w:tcW w:w="3086" w:type="pct"/>
            <w:noWrap w:val="0"/>
            <w:vAlign w:val="center"/>
          </w:tcPr>
          <w:p>
            <w:pPr>
              <w:spacing w:before="24" w:after="24" w:line="276" w:lineRule="auto"/>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pacing w:val="-4"/>
                <w:kern w:val="0"/>
                <w:szCs w:val="21"/>
                <w:highlight w:val="none"/>
              </w:rPr>
            </w:pPr>
            <w:r>
              <w:rPr>
                <w:rFonts w:hint="eastAsia" w:ascii="仿宋" w:hAnsi="仿宋" w:eastAsia="仿宋" w:cs="仿宋"/>
                <w:color w:val="auto"/>
                <w:szCs w:val="21"/>
                <w:highlight w:val="none"/>
              </w:rPr>
              <w:t>法定代表人（负责人）身份证明</w:t>
            </w:r>
          </w:p>
        </w:tc>
        <w:tc>
          <w:tcPr>
            <w:tcW w:w="3086" w:type="pct"/>
            <w:noWrap w:val="0"/>
            <w:vAlign w:val="center"/>
          </w:tcPr>
          <w:p>
            <w:pPr>
              <w:pStyle w:val="137"/>
              <w:tabs>
                <w:tab w:val="left" w:pos="630"/>
              </w:tabs>
              <w:topLinePunct/>
              <w:spacing w:before="62" w:beforeLines="20" w:after="62" w:afterLines="20" w:line="276" w:lineRule="auto"/>
              <w:rPr>
                <w:rFonts w:hint="eastAsia" w:ascii="仿宋" w:hAnsi="仿宋" w:eastAsia="仿宋" w:cs="仿宋"/>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86" w:type="pct"/>
            <w:noWrap w:val="0"/>
            <w:vAlign w:val="center"/>
          </w:tcPr>
          <w:p>
            <w:pPr>
              <w:pStyle w:val="137"/>
              <w:tabs>
                <w:tab w:val="left" w:pos="630"/>
              </w:tabs>
              <w:topLinePunct/>
              <w:spacing w:before="48" w:beforeLines="20" w:after="48" w:afterLines="20" w:line="276" w:lineRule="auto"/>
              <w:rPr>
                <w:rFonts w:hint="eastAsia" w:ascii="仿宋" w:hAnsi="仿宋" w:eastAsia="仿宋" w:cs="Cambria Math"/>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响应文件签字或盖章</w:t>
            </w:r>
          </w:p>
        </w:tc>
        <w:tc>
          <w:tcPr>
            <w:tcW w:w="3086" w:type="pct"/>
            <w:noWrap w:val="0"/>
            <w:vAlign w:val="center"/>
          </w:tcPr>
          <w:p>
            <w:pPr>
              <w:pStyle w:val="137"/>
              <w:tabs>
                <w:tab w:val="left" w:pos="630"/>
              </w:tabs>
              <w:topLinePunct/>
              <w:spacing w:before="48" w:beforeLines="20" w:after="48" w:afterLines="20" w:line="276" w:lineRule="auto"/>
              <w:rPr>
                <w:rFonts w:hint="eastAsia" w:ascii="仿宋" w:hAnsi="仿宋" w:eastAsia="仿宋"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91"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w:t>
            </w:r>
          </w:p>
        </w:tc>
        <w:tc>
          <w:tcPr>
            <w:tcW w:w="3086" w:type="pct"/>
            <w:noWrap w:val="0"/>
            <w:vAlign w:val="center"/>
          </w:tcPr>
          <w:p>
            <w:pPr>
              <w:pStyle w:val="156"/>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银行资信证明</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Monaco"/>
                <w:color w:val="auto"/>
                <w:szCs w:val="21"/>
                <w:highlight w:val="none"/>
              </w:rPr>
              <w:t>业绩证明材料</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rPr>
              <w:t>税收和社会保障资金缴纳凭证</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无违法违规记录</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Monaco"/>
                <w:color w:val="auto"/>
                <w:szCs w:val="21"/>
                <w:highlight w:val="none"/>
              </w:rPr>
              <w:t>未被列入黑名单</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Cambria Math"/>
                <w:color w:val="auto"/>
                <w:szCs w:val="21"/>
                <w:highlight w:val="none"/>
              </w:rPr>
              <w:t>控股及管理关系</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auto"/>
                <w:szCs w:val="21"/>
                <w:highlight w:val="none"/>
                <w:lang w:eastAsia="zh-CN"/>
              </w:rPr>
            </w:pPr>
            <w:r>
              <w:rPr>
                <w:rFonts w:hint="eastAsia" w:ascii="仿宋" w:hAnsi="仿宋" w:eastAsia="仿宋" w:cs="仿宋"/>
                <w:color w:val="auto"/>
                <w:szCs w:val="21"/>
                <w:highlight w:val="none"/>
                <w:lang w:val="en-US" w:eastAsia="zh-CN"/>
              </w:rPr>
              <w:t>其他</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591" w:type="pct"/>
            <w:vMerge w:val="restart"/>
            <w:noWrap w:val="0"/>
            <w:vAlign w:val="center"/>
          </w:tcPr>
          <w:p>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86" w:type="pct"/>
            <w:noWrap w:val="0"/>
            <w:vAlign w:val="center"/>
          </w:tcPr>
          <w:p>
            <w:pPr>
              <w:spacing w:before="24" w:after="24" w:line="276" w:lineRule="auto"/>
              <w:jc w:val="left"/>
              <w:rPr>
                <w:rFonts w:hint="eastAsia" w:ascii="仿宋" w:hAnsi="仿宋" w:eastAsia="仿宋" w:cs="Cambria Math"/>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86" w:type="pct"/>
            <w:noWrap w:val="0"/>
            <w:vAlign w:val="center"/>
          </w:tcPr>
          <w:p>
            <w:pPr>
              <w:spacing w:before="24" w:after="24" w:line="276" w:lineRule="auto"/>
              <w:jc w:val="left"/>
              <w:rPr>
                <w:rFonts w:hint="eastAsia" w:ascii="仿宋" w:hAnsi="仿宋" w:eastAsia="仿宋" w:cs="Cambria Math"/>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bl>
    <w:p>
      <w:pPr>
        <w:rPr>
          <w:rFonts w:hint="eastAsia" w:ascii="宋体" w:hAnsi="宋体"/>
          <w:color w:val="auto"/>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59"/>
    <w:bookmarkEnd w:id="160"/>
    <w:bookmarkEnd w:id="161"/>
    <w:bookmarkEnd w:id="162"/>
    <w:bookmarkEnd w:id="163"/>
    <w:bookmarkEnd w:id="164"/>
    <w:bookmarkEnd w:id="165"/>
    <w:bookmarkEnd w:id="166"/>
    <w:p>
      <w:pPr>
        <w:bidi w:val="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1</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商务得分</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2268" w:type="dxa"/>
            <w:noWrap w:val="0"/>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综合实力</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4820" w:type="dxa"/>
            <w:noWrap w:val="0"/>
            <w:tcMar>
              <w:top w:w="15" w:type="dxa"/>
              <w:left w:w="15" w:type="dxa"/>
              <w:right w:w="15" w:type="dxa"/>
            </w:tcMar>
            <w:vAlign w:val="center"/>
          </w:tcPr>
          <w:p>
            <w:pPr>
              <w:widowControl/>
              <w:adjustRightInd w:val="0"/>
              <w:snapToGrid w:val="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pPr>
              <w:rPr>
                <w:rStyle w:val="117"/>
                <w:rFonts w:hint="default" w:cs="宋体"/>
                <w:color w:val="auto"/>
                <w:highlight w:val="none"/>
                <w:lang w:bidi="ar"/>
              </w:rPr>
            </w:pPr>
            <w:r>
              <w:rPr>
                <w:rFonts w:hint="eastAsia" w:ascii="仿宋" w:hAnsi="仿宋" w:eastAsia="仿宋" w:cs="宋体"/>
                <w:color w:val="auto"/>
                <w:kern w:val="0"/>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2</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p>
        </w:tc>
        <w:tc>
          <w:tcPr>
            <w:tcW w:w="2268" w:type="dxa"/>
            <w:noWrap w:val="0"/>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同类业绩</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bl>
    <w:p>
      <w:pPr>
        <w:rPr>
          <w:rFonts w:hint="eastAsia"/>
          <w:color w:val="auto"/>
        </w:rPr>
      </w:pPr>
      <w:r>
        <w:rPr>
          <w:rFonts w:hint="eastAsia" w:ascii="仿宋" w:hAnsi="仿宋" w:eastAsia="仿宋" w:cs="仿宋"/>
          <w:color w:val="auto"/>
          <w:sz w:val="28"/>
          <w:szCs w:val="28"/>
          <w:highlight w:val="none"/>
        </w:rPr>
        <w:br w:type="page"/>
      </w:r>
    </w:p>
    <w:p>
      <w:pPr>
        <w:pStyle w:val="5"/>
        <w:numPr>
          <w:ilvl w:val="0"/>
          <w:numId w:val="0"/>
        </w:numPr>
        <w:spacing w:before="0" w:line="440" w:lineRule="exact"/>
        <w:rPr>
          <w:rFonts w:hint="eastAsia" w:ascii="仿宋" w:hAnsi="仿宋" w:eastAsia="仿宋" w:cs="仿宋"/>
          <w:color w:val="auto"/>
          <w:sz w:val="24"/>
          <w:szCs w:val="24"/>
          <w:highlight w:val="none"/>
        </w:rPr>
      </w:pPr>
      <w:bookmarkStart w:id="169" w:name="_Toc27958"/>
      <w:bookmarkStart w:id="170" w:name="_Toc7202"/>
      <w:bookmarkStart w:id="171" w:name="_Toc27799"/>
      <w:bookmarkStart w:id="172" w:name="_Toc444891354"/>
      <w:bookmarkStart w:id="173" w:name="_Toc287600129"/>
      <w:bookmarkStart w:id="174" w:name="_Toc517281837"/>
      <w:bookmarkStart w:id="175" w:name="_Toc12140"/>
      <w:bookmarkStart w:id="176" w:name="_Toc25121"/>
      <w:bookmarkStart w:id="177" w:name="_Toc19783360"/>
      <w:r>
        <w:rPr>
          <w:rFonts w:hint="eastAsia" w:ascii="仿宋" w:hAnsi="仿宋" w:eastAsia="仿宋" w:cs="仿宋"/>
          <w:color w:val="auto"/>
          <w:sz w:val="24"/>
          <w:szCs w:val="24"/>
          <w:highlight w:val="none"/>
        </w:rPr>
        <w:t>（一）响应函</w:t>
      </w:r>
      <w:bookmarkEnd w:id="169"/>
    </w:p>
    <w:p>
      <w:pPr>
        <w:pStyle w:val="156"/>
        <w:spacing w:line="440" w:lineRule="exact"/>
        <w:rPr>
          <w:rFonts w:hint="eastAsia"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致：</w:t>
      </w:r>
      <w:r>
        <w:rPr>
          <w:rFonts w:hint="eastAsia" w:ascii="仿宋" w:hAnsi="仿宋" w:eastAsia="仿宋" w:cs="Cambria Math"/>
          <w:color w:val="auto"/>
          <w:sz w:val="24"/>
          <w:szCs w:val="24"/>
          <w:highlight w:val="none"/>
          <w:u w:val="single"/>
          <w:lang w:eastAsia="zh-CN"/>
        </w:rPr>
        <w:t>中国人民财产保险股份有限公司</w:t>
      </w:r>
      <w:r>
        <w:rPr>
          <w:rFonts w:hint="eastAsia" w:ascii="仿宋" w:hAnsi="仿宋" w:eastAsia="仿宋" w:cs="Cambria Math"/>
          <w:color w:val="auto"/>
          <w:sz w:val="24"/>
          <w:szCs w:val="24"/>
          <w:highlight w:val="none"/>
          <w:u w:val="single"/>
          <w:lang w:val="en-US" w:eastAsia="zh-CN"/>
        </w:rPr>
        <w:t>特克斯支</w:t>
      </w:r>
      <w:r>
        <w:rPr>
          <w:rFonts w:hint="eastAsia" w:ascii="仿宋" w:hAnsi="仿宋" w:eastAsia="仿宋" w:cs="Cambria Math"/>
          <w:color w:val="auto"/>
          <w:sz w:val="24"/>
          <w:szCs w:val="24"/>
          <w:highlight w:val="none"/>
          <w:u w:val="single"/>
          <w:lang w:eastAsia="zh-CN"/>
        </w:rPr>
        <w:t>公司</w:t>
      </w:r>
      <w:r>
        <w:rPr>
          <w:rFonts w:hint="eastAsia" w:ascii="仿宋" w:hAnsi="仿宋" w:eastAsia="仿宋" w:cs="Cambria Math"/>
          <w:color w:val="auto"/>
          <w:sz w:val="24"/>
          <w:szCs w:val="24"/>
          <w:highlight w:val="none"/>
          <w:u w:val="single"/>
        </w:rPr>
        <w:t xml:space="preserve">     </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u w:val="single"/>
        </w:rPr>
        <w:t xml:space="preserve">   （供应商名称）   </w:t>
      </w:r>
      <w:r>
        <w:rPr>
          <w:rFonts w:hint="eastAsia" w:ascii="仿宋" w:hAnsi="仿宋" w:eastAsia="仿宋" w:cs="Cambria Math"/>
          <w:color w:val="auto"/>
          <w:kern w:val="0"/>
          <w:sz w:val="24"/>
          <w:highlight w:val="none"/>
        </w:rPr>
        <w:t>（以下称“我方”）已仔细研究了</w:t>
      </w:r>
      <w:r>
        <w:rPr>
          <w:rFonts w:hint="eastAsia" w:ascii="仿宋" w:hAnsi="仿宋" w:eastAsia="仿宋" w:cs="Cambria Math"/>
          <w:color w:val="auto"/>
          <w:kern w:val="0"/>
          <w:sz w:val="24"/>
          <w:highlight w:val="none"/>
          <w:u w:val="single"/>
        </w:rPr>
        <w:t xml:space="preserve"> </w:t>
      </w:r>
      <w:r>
        <w:rPr>
          <w:rFonts w:ascii="仿宋" w:hAnsi="仿宋" w:eastAsia="仿宋" w:cs="Cambria Math"/>
          <w:color w:val="auto"/>
          <w:kern w:val="0"/>
          <w:sz w:val="24"/>
          <w:highlight w:val="none"/>
          <w:u w:val="single"/>
        </w:rPr>
        <w:t xml:space="preserve"> </w:t>
      </w:r>
      <w:r>
        <w:rPr>
          <w:rFonts w:hint="eastAsia" w:ascii="仿宋" w:hAnsi="仿宋" w:eastAsia="仿宋" w:cs="Cambria Math"/>
          <w:color w:val="auto"/>
          <w:kern w:val="0"/>
          <w:sz w:val="24"/>
          <w:highlight w:val="none"/>
          <w:u w:val="single"/>
        </w:rPr>
        <w:t>人保财险新疆</w:t>
      </w:r>
      <w:r>
        <w:rPr>
          <w:rFonts w:hint="eastAsia" w:ascii="仿宋" w:hAnsi="仿宋" w:eastAsia="仿宋" w:cs="Cambria Math"/>
          <w:color w:val="auto"/>
          <w:kern w:val="0"/>
          <w:sz w:val="24"/>
          <w:highlight w:val="none"/>
          <w:u w:val="single"/>
          <w:lang w:val="en-US" w:eastAsia="zh-CN"/>
        </w:rPr>
        <w:t>特克斯</w:t>
      </w:r>
      <w:r>
        <w:rPr>
          <w:rFonts w:hint="eastAsia" w:ascii="仿宋" w:hAnsi="仿宋" w:eastAsia="仿宋" w:cs="Cambria Math"/>
          <w:color w:val="auto"/>
          <w:kern w:val="0"/>
          <w:sz w:val="24"/>
          <w:highlight w:val="none"/>
          <w:u w:val="single"/>
        </w:rPr>
        <w:t xml:space="preserve">支公司职工食堂食材供应商采购项目    </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文件的全部内容，包括澄清或者修改文件以及有关附件，我方将严格按照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文件要求递交符合要求的全部磋商响应文件。</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现我方承诺如下内容：</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 本响应函及磋商响应文件自磋商响应文件提交截止日起有效期为</w:t>
      </w:r>
      <w:r>
        <w:rPr>
          <w:rFonts w:hint="eastAsia" w:ascii="仿宋" w:hAnsi="仿宋" w:eastAsia="仿宋" w:cs="Cambria Math"/>
          <w:color w:val="auto"/>
          <w:kern w:val="0"/>
          <w:sz w:val="24"/>
          <w:highlight w:val="none"/>
          <w:u w:val="single"/>
          <w:lang w:val="en-US" w:eastAsia="zh-CN"/>
        </w:rPr>
        <w:t>30</w:t>
      </w:r>
      <w:r>
        <w:rPr>
          <w:rFonts w:hint="eastAsia" w:ascii="仿宋" w:hAnsi="仿宋" w:eastAsia="仿宋" w:cs="Cambria Math"/>
          <w:color w:val="auto"/>
          <w:kern w:val="0"/>
          <w:sz w:val="24"/>
          <w:highlight w:val="none"/>
          <w:u w:val="single"/>
        </w:rPr>
        <w:t>天</w:t>
      </w:r>
      <w:r>
        <w:rPr>
          <w:rFonts w:hint="eastAsia" w:ascii="仿宋" w:hAnsi="仿宋" w:eastAsia="仿宋" w:cs="Cambria Math"/>
          <w:color w:val="auto"/>
          <w:kern w:val="0"/>
          <w:sz w:val="24"/>
          <w:highlight w:val="none"/>
        </w:rPr>
        <w:t>，我方承诺在响应有效期内不修改、撤销磋商响应文件。</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2</w:t>
      </w:r>
      <w:r>
        <w:rPr>
          <w:rFonts w:hint="eastAsia" w:ascii="仿宋" w:hAnsi="仿宋" w:eastAsia="仿宋" w:cs="Cambria Math"/>
          <w:color w:val="auto"/>
          <w:kern w:val="0"/>
          <w:sz w:val="24"/>
          <w:highlight w:val="none"/>
        </w:rPr>
        <w:t>. 我方承诺提供磋商过程中可能要求的澄清、说明、补正或者算术性错误修正确认，并同意我方提供的以上材料构成我方响应文件的组成部分。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3</w:t>
      </w:r>
      <w:r>
        <w:rPr>
          <w:rFonts w:hint="eastAsia" w:ascii="仿宋" w:hAnsi="仿宋" w:eastAsia="仿宋" w:cs="Cambria Math"/>
          <w:color w:val="auto"/>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4</w:t>
      </w:r>
      <w:r>
        <w:rPr>
          <w:rFonts w:hint="eastAsia" w:ascii="仿宋" w:hAnsi="仿宋" w:eastAsia="仿宋" w:cs="Cambria Math"/>
          <w:color w:val="auto"/>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宋体"/>
          <w:color w:val="auto"/>
          <w:kern w:val="0"/>
          <w:sz w:val="24"/>
          <w:highlight w:val="none"/>
          <w:lang w:val="en-US" w:eastAsia="zh-CN"/>
        </w:rPr>
        <w:t>5</w:t>
      </w:r>
      <w:r>
        <w:rPr>
          <w:rFonts w:hint="eastAsia" w:ascii="仿宋" w:hAnsi="仿宋" w:eastAsia="仿宋" w:cs="宋体"/>
          <w:color w:val="auto"/>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6</w:t>
      </w:r>
      <w:r>
        <w:rPr>
          <w:rFonts w:hint="eastAsia" w:ascii="仿宋" w:hAnsi="仿宋" w:eastAsia="仿宋" w:cs="Cambria Math"/>
          <w:color w:val="auto"/>
          <w:kern w:val="0"/>
          <w:sz w:val="24"/>
          <w:highlight w:val="none"/>
        </w:rPr>
        <w:t>. 如我方成交：</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（2）我方承诺按照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文件规定递交履约保证金、支付采购代理服务费。</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（3）我方承诺按照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文件的规定及合同约定履行相关责任和义务。</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（4）我方在此承诺，双方合作后可开具增值税</w:t>
      </w:r>
      <w:r>
        <w:rPr>
          <w:rFonts w:hint="eastAsia" w:ascii="仿宋" w:hAnsi="仿宋" w:eastAsia="仿宋" w:cs="Cambria Math"/>
          <w:color w:val="auto"/>
          <w:kern w:val="0"/>
          <w:sz w:val="24"/>
          <w:highlight w:val="none"/>
          <w:lang w:eastAsia="zh-CN"/>
        </w:rPr>
        <w:t>普通发票</w:t>
      </w:r>
      <w:r>
        <w:rPr>
          <w:rFonts w:hint="eastAsia" w:ascii="仿宋" w:hAnsi="仿宋" w:eastAsia="仿宋" w:cs="Cambria Math"/>
          <w:color w:val="auto"/>
          <w:kern w:val="0"/>
          <w:sz w:val="24"/>
          <w:highlight w:val="none"/>
        </w:rPr>
        <w:t>。</w:t>
      </w:r>
    </w:p>
    <w:p>
      <w:pPr>
        <w:spacing w:line="440" w:lineRule="exact"/>
        <w:ind w:firstLine="4080" w:firstLineChars="1700"/>
        <w:jc w:val="right"/>
        <w:rPr>
          <w:rFonts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70"/>
      <w:bookmarkEnd w:id="171"/>
      <w:bookmarkEnd w:id="172"/>
      <w:bookmarkEnd w:id="173"/>
      <w:bookmarkEnd w:id="174"/>
      <w:bookmarkEnd w:id="175"/>
      <w:bookmarkEnd w:id="176"/>
      <w:bookmarkEnd w:id="177"/>
      <w:bookmarkStart w:id="178" w:name="_Toc13983"/>
      <w:r>
        <w:rPr>
          <w:rFonts w:hint="eastAsia" w:ascii="仿宋" w:hAnsi="仿宋" w:eastAsia="仿宋" w:cs="仿宋"/>
          <w:color w:val="auto"/>
          <w:sz w:val="24"/>
          <w:szCs w:val="24"/>
          <w:highlight w:val="none"/>
        </w:rPr>
        <w:t>（二）法定代表人（负责人）身份证明书</w:t>
      </w:r>
      <w:bookmarkEnd w:id="178"/>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法定代表人（负责人）身份证明书</w:t>
      </w:r>
      <w:r>
        <w:rPr>
          <w:rFonts w:hint="eastAsia" w:ascii="仿宋" w:hAnsi="仿宋" w:eastAsia="仿宋" w:cs="仿宋"/>
          <w:b/>
          <w:color w:val="auto"/>
          <w:sz w:val="24"/>
          <w:highlight w:val="none"/>
        </w:rPr>
        <w:tab/>
      </w:r>
    </w:p>
    <w:p>
      <w:pPr>
        <w:spacing w:line="360" w:lineRule="auto"/>
        <w:rPr>
          <w:rFonts w:hint="eastAsia" w:ascii="仿宋" w:hAnsi="仿宋" w:eastAsia="仿宋" w:cs="仿宋"/>
          <w:b/>
          <w:color w:val="auto"/>
          <w:sz w:val="24"/>
          <w:highlight w:val="none"/>
        </w:rPr>
      </w:pPr>
    </w:p>
    <w:p>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职务：</w:t>
      </w:r>
      <w:r>
        <w:rPr>
          <w:rFonts w:hint="eastAsia" w:ascii="仿宋" w:hAnsi="仿宋" w:eastAsia="仿宋" w:cs="仿宋"/>
          <w:color w:val="auto"/>
          <w:kern w:val="0"/>
          <w:sz w:val="24"/>
          <w:highlight w:val="none"/>
          <w:u w:val="single"/>
        </w:rPr>
        <w:t xml:space="preserve">         </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rPr>
        <w:t>（负责人）</w:t>
      </w:r>
      <w:r>
        <w:rPr>
          <w:rFonts w:hint="eastAsia" w:ascii="仿宋" w:hAnsi="仿宋" w:eastAsia="仿宋" w:cs="仿宋"/>
          <w:color w:val="auto"/>
          <w:kern w:val="0"/>
          <w:sz w:val="24"/>
          <w:highlight w:val="none"/>
        </w:rPr>
        <w:t>。</w:t>
      </w:r>
    </w:p>
    <w:p>
      <w:pPr>
        <w:widowControl/>
        <w:topLinePunct/>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pPr>
        <w:widowControl/>
        <w:topLinePunct/>
        <w:spacing w:line="360" w:lineRule="auto"/>
        <w:rPr>
          <w:rFonts w:ascii="仿宋" w:hAnsi="仿宋" w:eastAsia="仿宋" w:cs="仿宋"/>
          <w:color w:val="auto"/>
          <w:kern w:val="0"/>
          <w:sz w:val="24"/>
          <w:highlight w:val="none"/>
        </w:rPr>
      </w:pPr>
    </w:p>
    <w:p>
      <w:pPr>
        <w:widowControl/>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附：法定代表人（负责人）身份证复印件（需同时提供正面及背面）。</w:t>
      </w:r>
    </w:p>
    <w:p>
      <w:pPr>
        <w:widowControl/>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auto"/>
          <w:highlight w:val="none"/>
        </w:rPr>
      </w:pPr>
    </w:p>
    <w:p>
      <w:pPr>
        <w:pStyle w:val="156"/>
        <w:spacing w:line="440" w:lineRule="atLeast"/>
        <w:ind w:firstLine="480"/>
        <w:jc w:val="left"/>
        <w:rPr>
          <w:rFonts w:hint="eastAsia" w:ascii="仿宋" w:hAnsi="仿宋" w:eastAsia="仿宋" w:cs="仿宋"/>
          <w:color w:val="auto"/>
          <w:highlight w:val="none"/>
        </w:rPr>
      </w:pPr>
    </w:p>
    <w:p>
      <w:pPr>
        <w:pStyle w:val="156"/>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sz w:val="24"/>
          <w:highlight w:val="none"/>
        </w:rPr>
      </w:pPr>
    </w:p>
    <w:p>
      <w:pPr>
        <w:tabs>
          <w:tab w:val="left" w:pos="720"/>
          <w:tab w:val="left" w:pos="900"/>
        </w:tabs>
        <w:spacing w:line="360" w:lineRule="auto"/>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wordWrap w:val="0"/>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p>
    <w:p>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tabs>
          <w:tab w:val="left" w:pos="720"/>
          <w:tab w:val="left" w:pos="900"/>
        </w:tabs>
        <w:spacing w:line="360" w:lineRule="auto"/>
        <w:ind w:left="1078"/>
        <w:rPr>
          <w:rFonts w:hint="eastAsia" w:ascii="仿宋" w:hAnsi="仿宋" w:eastAsia="仿宋" w:cs="仿宋"/>
          <w:color w:val="auto"/>
          <w:sz w:val="24"/>
          <w:highlight w:val="none"/>
        </w:rPr>
      </w:pPr>
    </w:p>
    <w:p>
      <w:pPr>
        <w:tabs>
          <w:tab w:val="left" w:pos="720"/>
          <w:tab w:val="left" w:pos="900"/>
        </w:tabs>
        <w:spacing w:line="360" w:lineRule="auto"/>
        <w:ind w:left="1078"/>
        <w:rPr>
          <w:rFonts w:hint="eastAsia" w:ascii="仿宋" w:hAnsi="仿宋" w:eastAsia="仿宋" w:cs="仿宋"/>
          <w:color w:val="auto"/>
          <w:sz w:val="24"/>
          <w:highlight w:val="none"/>
        </w:rPr>
      </w:pP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79" w:name="_Toc19783361"/>
      <w:bookmarkStart w:id="180" w:name="_Toc444891355"/>
      <w:bookmarkStart w:id="181" w:name="_Toc517281838"/>
      <w:bookmarkStart w:id="182" w:name="_Toc26267"/>
      <w:bookmarkStart w:id="183" w:name="_Toc24788"/>
      <w:bookmarkStart w:id="184" w:name="_Toc287600130"/>
      <w:bookmarkStart w:id="185" w:name="_Toc20707"/>
      <w:bookmarkStart w:id="186" w:name="_Toc4426"/>
      <w:bookmarkStart w:id="187" w:name="_Toc5582"/>
      <w:r>
        <w:rPr>
          <w:rFonts w:hint="eastAsia" w:ascii="仿宋" w:hAnsi="仿宋" w:eastAsia="仿宋" w:cs="仿宋"/>
          <w:color w:val="auto"/>
          <w:sz w:val="24"/>
          <w:szCs w:val="24"/>
          <w:highlight w:val="none"/>
        </w:rPr>
        <w:t>（三）法定代表人（负责人）授权委托书</w:t>
      </w:r>
      <w:bookmarkEnd w:id="179"/>
      <w:bookmarkEnd w:id="180"/>
      <w:bookmarkEnd w:id="181"/>
      <w:bookmarkEnd w:id="182"/>
      <w:bookmarkEnd w:id="183"/>
      <w:bookmarkEnd w:id="184"/>
      <w:bookmarkEnd w:id="185"/>
      <w:bookmarkEnd w:id="186"/>
      <w:bookmarkEnd w:id="187"/>
    </w:p>
    <w:p>
      <w:pPr>
        <w:pStyle w:val="156"/>
        <w:spacing w:before="240" w:after="240" w:line="360" w:lineRule="auto"/>
        <w:jc w:val="center"/>
        <w:rPr>
          <w:rFonts w:hint="eastAsia"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rPr>
        <w:t>磋商响应文件、签订合同和处理有关事宜，其法律后果由我方承担。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委托期限：</w:t>
      </w:r>
      <w:r>
        <w:rPr>
          <w:rFonts w:hint="eastAsia" w:ascii="仿宋" w:hAnsi="仿宋" w:eastAsia="仿宋" w:cs="Cambria Math"/>
          <w:color w:val="auto"/>
          <w:kern w:val="0"/>
          <w:sz w:val="24"/>
          <w:highlight w:val="none"/>
          <w:u w:val="single"/>
        </w:rPr>
        <w:t xml:space="preserve"> 自</w:t>
      </w:r>
      <w:r>
        <w:rPr>
          <w:rFonts w:hint="eastAsia" w:ascii="仿宋" w:hAnsi="仿宋" w:eastAsia="仿宋" w:cs="微软雅黑"/>
          <w:color w:val="auto"/>
          <w:kern w:val="0"/>
          <w:sz w:val="24"/>
          <w:highlight w:val="none"/>
          <w:u w:val="single"/>
        </w:rPr>
        <w:t>本委托书签字盖章生效</w:t>
      </w:r>
      <w:r>
        <w:rPr>
          <w:rFonts w:hint="eastAsia" w:ascii="仿宋" w:hAnsi="仿宋" w:eastAsia="仿宋" w:cs="Cambria Math"/>
          <w:color w:val="auto"/>
          <w:kern w:val="0"/>
          <w:sz w:val="24"/>
          <w:highlight w:val="none"/>
          <w:u w:val="single"/>
        </w:rPr>
        <w:t xml:space="preserve">之日起至磋商响应有效期到期之日为止 </w:t>
      </w:r>
      <w:r>
        <w:rPr>
          <w:rFonts w:hint="eastAsia" w:ascii="仿宋" w:hAnsi="仿宋" w:eastAsia="仿宋" w:cs="Cambria Math"/>
          <w:color w:val="auto"/>
          <w:kern w:val="0"/>
          <w:sz w:val="24"/>
          <w:highlight w:val="none"/>
        </w:rPr>
        <w:t>。</w:t>
      </w:r>
    </w:p>
    <w:p>
      <w:pPr>
        <w:pStyle w:val="156"/>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156"/>
        <w:spacing w:line="360" w:lineRule="auto"/>
        <w:ind w:firstLine="482" w:firstLineChars="200"/>
        <w:rPr>
          <w:rFonts w:ascii="仿宋" w:hAnsi="仿宋" w:eastAsia="仿宋" w:cs="Cambria Math"/>
          <w:b/>
          <w:bCs/>
          <w:color w:val="auto"/>
          <w:sz w:val="24"/>
          <w:szCs w:val="24"/>
          <w:highlight w:val="none"/>
        </w:rPr>
      </w:pPr>
    </w:p>
    <w:p>
      <w:pPr>
        <w:pStyle w:val="156"/>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156"/>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sz w:val="24"/>
          <w:highlight w:val="none"/>
        </w:rPr>
      </w:pPr>
    </w:p>
    <w:p>
      <w:pPr>
        <w:tabs>
          <w:tab w:val="left" w:pos="540"/>
        </w:tabs>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ab/>
      </w:r>
    </w:p>
    <w:p>
      <w:pPr>
        <w:pStyle w:val="2"/>
        <w:rPr>
          <w:rFonts w:ascii="宋体" w:hAnsi="宋体"/>
          <w:color w:val="auto"/>
          <w:kern w:val="0"/>
          <w:szCs w:val="21"/>
          <w:highlight w:val="none"/>
        </w:rPr>
      </w:pPr>
    </w:p>
    <w:p>
      <w:pPr>
        <w:pStyle w:val="2"/>
        <w:rPr>
          <w:rFonts w:ascii="宋体" w:hAnsi="宋体"/>
          <w:color w:val="auto"/>
          <w:kern w:val="0"/>
          <w:szCs w:val="21"/>
          <w:highlight w:val="none"/>
        </w:rPr>
      </w:pPr>
    </w:p>
    <w:p>
      <w:pPr>
        <w:pStyle w:val="2"/>
        <w:rPr>
          <w:rFonts w:ascii="宋体" w:hAnsi="宋体"/>
          <w:color w:val="auto"/>
          <w:kern w:val="0"/>
          <w:szCs w:val="21"/>
          <w:highlight w:val="none"/>
        </w:rPr>
      </w:pPr>
    </w:p>
    <w:p>
      <w:pPr>
        <w:spacing w:line="360" w:lineRule="auto"/>
        <w:ind w:right="420" w:firstLine="4200" w:firstLineChars="175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ind w:right="420" w:firstLine="3120" w:firstLineChars="13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法定代表人（负责人）：</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tabs>
          <w:tab w:val="left" w:pos="540"/>
        </w:tabs>
        <w:rPr>
          <w:rFonts w:hint="eastAsia" w:ascii="仿宋" w:hAnsi="仿宋" w:eastAsia="仿宋" w:cs="仿宋"/>
          <w:color w:val="auto"/>
          <w:kern w:val="0"/>
          <w:szCs w:val="21"/>
          <w:highlight w:val="none"/>
        </w:rPr>
        <w:sectPr>
          <w:footerReference r:id="rId13" w:type="default"/>
          <w:pgSz w:w="11906" w:h="16838"/>
          <w:pgMar w:top="1417" w:right="1134" w:bottom="1134" w:left="1134" w:header="851" w:footer="992" w:gutter="0"/>
          <w:cols w:space="720" w:num="1"/>
          <w:titlePg/>
          <w:docGrid w:type="lines" w:linePitch="312" w:charSpace="0"/>
        </w:sectPr>
      </w:pPr>
    </w:p>
    <w:p>
      <w:pPr>
        <w:pStyle w:val="5"/>
        <w:numPr>
          <w:ilvl w:val="0"/>
          <w:numId w:val="0"/>
        </w:numPr>
        <w:spacing w:before="0" w:after="0" w:line="360" w:lineRule="auto"/>
        <w:rPr>
          <w:rFonts w:hint="eastAsia" w:ascii="仿宋" w:hAnsi="仿宋" w:eastAsia="仿宋" w:cs="仿宋"/>
          <w:color w:val="auto"/>
          <w:sz w:val="24"/>
          <w:szCs w:val="24"/>
          <w:highlight w:val="none"/>
        </w:rPr>
      </w:pPr>
      <w:bookmarkStart w:id="188" w:name="_Toc30551"/>
      <w:bookmarkStart w:id="189" w:name="_Toc517281841"/>
      <w:bookmarkStart w:id="190" w:name="_Toc27026"/>
      <w:bookmarkStart w:id="191" w:name="_Toc11396"/>
      <w:bookmarkStart w:id="192" w:name="_Toc5406"/>
      <w:bookmarkStart w:id="193" w:name="_Toc444891357"/>
      <w:bookmarkStart w:id="194" w:name="_Toc287600132"/>
      <w:bookmarkStart w:id="195" w:name="_Toc16561"/>
      <w:bookmarkStart w:id="196" w:name="_Toc35957216"/>
      <w:bookmarkStart w:id="197" w:name="_Toc34779170"/>
      <w:bookmarkStart w:id="198" w:name="_Toc34779120"/>
      <w:bookmarkStart w:id="199" w:name="_Toc287600135"/>
      <w:bookmarkStart w:id="200" w:name="_Toc34779216"/>
      <w:bookmarkStart w:id="201" w:name="_Toc34822258"/>
      <w:r>
        <w:rPr>
          <w:rFonts w:hint="eastAsia" w:ascii="仿宋" w:hAnsi="仿宋" w:eastAsia="仿宋" w:cs="仿宋"/>
          <w:color w:val="auto"/>
          <w:sz w:val="24"/>
          <w:szCs w:val="24"/>
          <w:highlight w:val="none"/>
        </w:rPr>
        <w:t>（四）资格证明文件</w:t>
      </w:r>
      <w:bookmarkEnd w:id="188"/>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156"/>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auto"/>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bl>
    <w:p>
      <w:pPr>
        <w:pStyle w:val="156"/>
        <w:jc w:val="left"/>
        <w:rPr>
          <w:rFonts w:hint="eastAsia" w:ascii="仿宋" w:hAnsi="仿宋" w:eastAsia="仿宋" w:cs="仿宋"/>
          <w:b/>
          <w:color w:val="auto"/>
          <w:sz w:val="24"/>
          <w:szCs w:val="24"/>
          <w:highlight w:val="none"/>
        </w:rPr>
      </w:pPr>
      <w:r>
        <w:rPr>
          <w:rFonts w:hint="eastAsia" w:ascii="仿宋" w:hAnsi="仿宋" w:eastAsia="仿宋" w:cs="宋体"/>
          <w:b/>
          <w:color w:val="auto"/>
          <w:sz w:val="24"/>
          <w:szCs w:val="24"/>
          <w:highlight w:val="none"/>
        </w:rPr>
        <w:t>注：</w:t>
      </w:r>
      <w:r>
        <w:rPr>
          <w:rFonts w:hint="eastAsia" w:ascii="仿宋" w:hAnsi="仿宋" w:eastAsia="仿宋" w:cs="宋体"/>
          <w:b/>
          <w:color w:val="auto"/>
          <w:sz w:val="24"/>
          <w:szCs w:val="24"/>
        </w:rPr>
        <w:t>提供由工商部门核发的最新营业执照（正副本皆可）。</w:t>
      </w:r>
    </w:p>
    <w:p>
      <w:pPr>
        <w:pStyle w:val="156"/>
        <w:jc w:val="left"/>
        <w:rPr>
          <w:rFonts w:hint="eastAsia" w:ascii="仿宋" w:hAnsi="仿宋" w:eastAsia="仿宋" w:cs="仿宋"/>
          <w:b/>
          <w:color w:val="auto"/>
          <w:highlight w:val="none"/>
        </w:rPr>
      </w:pPr>
    </w:p>
    <w:p>
      <w:pPr>
        <w:pStyle w:val="156"/>
        <w:jc w:val="left"/>
        <w:rPr>
          <w:rFonts w:hint="eastAsia" w:ascii="仿宋" w:hAnsi="仿宋" w:eastAsia="仿宋" w:cs="仿宋"/>
          <w:b/>
          <w:color w:val="auto"/>
          <w:highlight w:val="none"/>
          <w:lang w:eastAsia="zh-CN"/>
        </w:rPr>
      </w:pPr>
    </w:p>
    <w:p>
      <w:pPr>
        <w:pStyle w:val="156"/>
        <w:jc w:val="left"/>
        <w:rPr>
          <w:rFonts w:hint="eastAsia" w:ascii="仿宋" w:hAnsi="仿宋" w:eastAsia="仿宋" w:cs="仿宋"/>
          <w:b/>
          <w:color w:val="auto"/>
          <w:highlight w:val="none"/>
          <w:lang w:eastAsia="zh-CN"/>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供应商</w:t>
      </w:r>
      <w:r>
        <w:rPr>
          <w:rFonts w:hint="eastAsia" w:ascii="仿宋" w:hAnsi="仿宋" w:eastAsia="仿宋" w:cs="Cambria Math"/>
          <w:color w:val="auto"/>
          <w:sz w:val="24"/>
          <w:highlight w:val="none"/>
        </w:rPr>
        <w:t>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rPr>
          <w:rFonts w:hint="eastAsia" w:ascii="仿宋" w:hAnsi="仿宋" w:eastAsia="仿宋" w:cs="仿宋"/>
          <w:color w:val="auto"/>
          <w:sz w:val="24"/>
          <w:szCs w:val="24"/>
          <w:highlight w:val="none"/>
        </w:rPr>
      </w:pPr>
      <w:r>
        <w:rPr>
          <w:rFonts w:hint="eastAsia" w:ascii="仿宋" w:hAnsi="仿宋" w:cs="仿宋"/>
          <w:color w:val="auto"/>
          <w:highlight w:val="none"/>
        </w:rPr>
        <w:br w:type="page"/>
      </w:r>
    </w:p>
    <w:p>
      <w:pPr>
        <w:pStyle w:val="6"/>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财务审计报告或银行资信证明</w:t>
      </w:r>
    </w:p>
    <w:p>
      <w:pPr>
        <w:pStyle w:val="6"/>
        <w:spacing w:before="0" w:after="0" w:line="360" w:lineRule="auto"/>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提供2025年度经会计师事务所或审计机构审计的财务审计报告及财务报表（至少包含会计师事务所或审计机构签章页、资产负债表、现金流量表、损益表/利润表）或响应文件递交截止日前6个月内开具的银行资信证明。</w:t>
      </w: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pStyle w:val="6"/>
        <w:spacing w:before="0" w:after="0" w:line="360" w:lineRule="auto"/>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color w:val="auto"/>
        </w:rPr>
      </w:pPr>
    </w:p>
    <w:p>
      <w:pPr>
        <w:pStyle w:val="6"/>
        <w:numPr>
          <w:ilvl w:val="0"/>
          <w:numId w:val="0"/>
        </w:numPr>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同类项目实施经验</w:t>
      </w:r>
      <w:r>
        <w:rPr>
          <w:rFonts w:hint="eastAsia" w:ascii="仿宋" w:hAnsi="仿宋" w:eastAsia="仿宋" w:cs="仿宋"/>
          <w:b w:val="0"/>
          <w:bCs w:val="0"/>
          <w:color w:val="auto"/>
          <w:sz w:val="24"/>
          <w:szCs w:val="24"/>
          <w:highlight w:val="none"/>
        </w:rPr>
        <w:t xml:space="preserve"> </w:t>
      </w:r>
    </w:p>
    <w:p>
      <w:pPr>
        <w:bidi w:val="0"/>
        <w:rPr>
          <w:rFonts w:hint="eastAsia"/>
          <w:color w:val="auto"/>
        </w:rPr>
      </w:pP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bl>
    <w:p>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3）本业绩表及证明材料也作为详细评审中对供应商同类项目实施经验的评审及打分依据，供应商需根据详细评审标准的要求，提供符合要求的业绩证明材料。</w:t>
      </w: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rPr>
          <w:rFonts w:hint="eastAsia" w:ascii="仿宋" w:hAnsi="仿宋" w:eastAsia="仿宋" w:cs="仿宋"/>
          <w:color w:val="auto"/>
          <w:sz w:val="24"/>
          <w:szCs w:val="24"/>
          <w:highlight w:val="none"/>
          <w:lang w:val="en-US" w:eastAsia="zh-CN"/>
        </w:rPr>
      </w:pPr>
    </w:p>
    <w:p>
      <w:pPr>
        <w:pStyle w:val="2"/>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rPr>
          <w:rFonts w:hint="eastAsia"/>
          <w:color w:val="auto"/>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税收和社保证明材料</w:t>
      </w:r>
    </w:p>
    <w:p>
      <w:pPr>
        <w:spacing w:line="360" w:lineRule="auto"/>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提供6个月任意一个月的企业税收和社会保障资金缴纳凭证。</w:t>
      </w: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spacing w:line="360" w:lineRule="auto"/>
        <w:textAlignment w:val="baseline"/>
        <w:rPr>
          <w:rFonts w:hint="eastAsia" w:ascii="仿宋" w:hAnsi="仿宋" w:eastAsia="仿宋" w:cs="Cambria Math"/>
          <w:color w:val="auto"/>
          <w:sz w:val="24"/>
          <w:highlight w:val="none"/>
        </w:rPr>
      </w:pPr>
    </w:p>
    <w:p>
      <w:pPr>
        <w:spacing w:line="360" w:lineRule="auto"/>
        <w:textAlignment w:val="baseline"/>
        <w:rPr>
          <w:rFonts w:hint="eastAsia" w:ascii="仿宋" w:hAnsi="仿宋" w:eastAsia="仿宋" w:cs="Cambria Math"/>
          <w:color w:val="auto"/>
          <w:sz w:val="24"/>
          <w:highlight w:val="none"/>
        </w:rPr>
      </w:pP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、无违法违规记录查询截图</w:t>
      </w:r>
    </w:p>
    <w:p>
      <w:pPr>
        <w:spacing w:line="360" w:lineRule="auto"/>
        <w:ind w:firstLine="480" w:firstLineChars="200"/>
        <w:textAlignment w:val="baseline"/>
        <w:rPr>
          <w:rStyle w:val="49"/>
          <w:color w:val="auto"/>
        </w:rPr>
      </w:pPr>
      <w:r>
        <w:rPr>
          <w:rFonts w:hint="eastAsia" w:ascii="仿宋" w:hAnsi="仿宋" w:eastAsia="仿宋" w:cs="Cambria Math"/>
          <w:color w:val="auto"/>
          <w:sz w:val="24"/>
          <w:lang w:val="en-US" w:eastAsia="zh-CN"/>
        </w:rPr>
        <w:t>信用中国</w:t>
      </w:r>
      <w:r>
        <w:rPr>
          <w:rFonts w:hint="eastAsia" w:ascii="仿宋" w:hAnsi="仿宋" w:eastAsia="仿宋" w:cs="Cambria Math"/>
          <w:color w:val="auto"/>
          <w:sz w:val="24"/>
        </w:rPr>
        <w:t>查询网址：</w:t>
      </w:r>
      <w:r>
        <w:rPr>
          <w:color w:val="auto"/>
        </w:rPr>
        <w:fldChar w:fldCharType="begin"/>
      </w:r>
      <w:r>
        <w:rPr>
          <w:rStyle w:val="49"/>
          <w:color w:val="auto"/>
        </w:rPr>
        <w:instrText xml:space="preserve"> </w:instrText>
      </w:r>
      <w:r>
        <w:rPr>
          <w:rStyle w:val="49"/>
          <w:rFonts w:hint="eastAsia"/>
          <w:color w:val="auto"/>
        </w:rPr>
        <w:instrText xml:space="preserve">HYPERLINK "https://www.creditchina.gov.cn/xinyongfuwu/?navPage=5"</w:instrText>
      </w:r>
      <w:r>
        <w:rPr>
          <w:rStyle w:val="49"/>
          <w:color w:val="auto"/>
        </w:rPr>
        <w:instrText xml:space="preserve"> </w:instrText>
      </w:r>
      <w:r>
        <w:rPr>
          <w:color w:val="auto"/>
        </w:rPr>
        <w:fldChar w:fldCharType="separate"/>
      </w:r>
      <w:r>
        <w:rPr>
          <w:rStyle w:val="49"/>
          <w:rFonts w:hint="eastAsia"/>
          <w:color w:val="auto"/>
        </w:rPr>
        <w:t>https://www.creditchina.gov.cn/xinyongfuwu/?navPage=5</w:t>
      </w:r>
      <w:r>
        <w:rPr>
          <w:color w:val="auto"/>
        </w:rPr>
        <w:fldChar w:fldCharType="end"/>
      </w:r>
    </w:p>
    <w:p>
      <w:pPr>
        <w:spacing w:line="360" w:lineRule="auto"/>
        <w:textAlignment w:val="baseline"/>
        <w:rPr>
          <w:color w:val="auto"/>
          <w:highlight w:val="none"/>
        </w:rPr>
      </w:pPr>
      <w:r>
        <w:rPr>
          <w:rFonts w:hint="eastAsia" w:ascii="仿宋" w:hAnsi="仿宋" w:eastAsia="仿宋" w:cs="Cambria Math"/>
          <w:color w:val="auto"/>
          <w:sz w:val="24"/>
          <w:highlight w:val="none"/>
        </w:rPr>
        <w:t>（1）失信被执行人查询截图范例：</w:t>
      </w:r>
    </w:p>
    <w:p>
      <w:pPr>
        <w:ind w:firstLine="210" w:firstLineChars="100"/>
        <w:rPr>
          <w:color w:val="auto"/>
          <w:highlight w:val="none"/>
        </w:rPr>
      </w:pPr>
      <w:r>
        <w:rPr>
          <w:color w:val="auto"/>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5"/>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auto"/>
          <w:szCs w:val="21"/>
          <w:highlight w:val="none"/>
        </w:rPr>
      </w:pPr>
      <w:r>
        <w:rPr>
          <w:rFonts w:hint="eastAsia" w:ascii="仿宋" w:hAnsi="仿宋" w:eastAsia="仿宋" w:cs="Cambria Math"/>
          <w:color w:val="auto"/>
          <w:sz w:val="24"/>
          <w:highlight w:val="none"/>
        </w:rPr>
        <w:t>（2）</w:t>
      </w:r>
      <w:r>
        <w:rPr>
          <w:rFonts w:hint="eastAsia" w:ascii="仿宋" w:hAnsi="仿宋" w:eastAsia="仿宋" w:cs="微软雅黑"/>
          <w:color w:val="auto"/>
          <w:sz w:val="24"/>
          <w:highlight w:val="none"/>
        </w:rPr>
        <w:t>重大</w:t>
      </w:r>
      <w:r>
        <w:rPr>
          <w:rFonts w:hint="eastAsia" w:ascii="仿宋" w:hAnsi="仿宋" w:eastAsia="仿宋" w:cs="仿宋"/>
          <w:color w:val="auto"/>
          <w:sz w:val="24"/>
          <w:highlight w:val="none"/>
        </w:rPr>
        <w:t>税收违法失信主体</w:t>
      </w:r>
      <w:r>
        <w:rPr>
          <w:rFonts w:hint="eastAsia" w:ascii="仿宋" w:hAnsi="仿宋" w:eastAsia="仿宋" w:cs="微软雅黑"/>
          <w:color w:val="auto"/>
          <w:sz w:val="24"/>
          <w:highlight w:val="none"/>
        </w:rPr>
        <w:t>查询截图范例：</w:t>
      </w:r>
    </w:p>
    <w:p>
      <w:pPr>
        <w:rPr>
          <w:rFonts w:hint="eastAsia" w:ascii="仿宋" w:hAnsi="仿宋" w:eastAsia="仿宋" w:cs="Cambria Math"/>
          <w:color w:val="auto"/>
          <w:sz w:val="24"/>
          <w:highlight w:val="none"/>
        </w:rPr>
      </w:pPr>
      <w:r>
        <w:rPr>
          <w:rFonts w:ascii="仿宋" w:hAnsi="仿宋" w:eastAsia="仿宋"/>
          <w:color w:val="auto"/>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6"/>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color w:val="auto"/>
          <w:sz w:val="24"/>
          <w:highlight w:val="none"/>
        </w:rPr>
      </w:pPr>
      <w:r>
        <w:rPr>
          <w:rFonts w:hint="eastAsia" w:ascii="仿宋" w:hAnsi="仿宋" w:eastAsia="仿宋" w:cs="Cambria Math"/>
          <w:color w:val="auto"/>
          <w:sz w:val="24"/>
          <w:highlight w:val="none"/>
        </w:rPr>
        <w:t>（3）政府采购严重违法失信行为记录名单查询截图范例：</w:t>
      </w:r>
    </w:p>
    <w:p>
      <w:pPr>
        <w:ind w:firstLine="210" w:firstLineChars="100"/>
        <w:rPr>
          <w:color w:val="auto"/>
          <w:highlight w:val="none"/>
        </w:rPr>
      </w:pPr>
      <w:r>
        <w:rPr>
          <w:color w:val="auto"/>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7"/>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、未列入供应商黑名单且未在禁入期承诺函</w:t>
      </w:r>
    </w:p>
    <w:p>
      <w:pPr>
        <w:pStyle w:val="2"/>
        <w:spacing w:before="24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中国人民财产保险股份有限公司</w:t>
      </w:r>
      <w:r>
        <w:rPr>
          <w:rFonts w:hint="eastAsia" w:ascii="仿宋" w:hAnsi="仿宋" w:eastAsia="仿宋" w:cs="Cambria Math"/>
          <w:color w:val="auto"/>
          <w:sz w:val="24"/>
          <w:highlight w:val="none"/>
          <w:u w:val="single"/>
          <w:lang w:val="en-US" w:eastAsia="zh-CN"/>
        </w:rPr>
        <w:t>特克斯支</w:t>
      </w:r>
      <w:r>
        <w:rPr>
          <w:rFonts w:hint="eastAsia" w:ascii="仿宋" w:hAnsi="仿宋" w:eastAsia="仿宋" w:cs="Cambria Math"/>
          <w:color w:val="auto"/>
          <w:sz w:val="24"/>
          <w:highlight w:val="none"/>
          <w:u w:val="single"/>
          <w:lang w:eastAsia="zh-CN"/>
        </w:rPr>
        <w:t>公司</w:t>
      </w:r>
      <w:r>
        <w:rPr>
          <w:rFonts w:hint="eastAsia" w:ascii="仿宋" w:hAnsi="仿宋" w:eastAsia="仿宋" w:cs="Cambria Math"/>
          <w:color w:val="auto"/>
          <w:sz w:val="24"/>
          <w:highlight w:val="none"/>
        </w:rPr>
        <w:t>：</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承诺截至本项目响应文件递交截止时间，我方未被列入</w:t>
      </w:r>
      <w:r>
        <w:rPr>
          <w:rFonts w:hint="eastAsia" w:ascii="仿宋" w:hAnsi="仿宋" w:eastAsia="仿宋" w:cs="Cambria Math"/>
          <w:color w:val="auto"/>
          <w:sz w:val="24"/>
          <w:highlight w:val="none"/>
          <w:lang w:val="en-US" w:eastAsia="zh-CN"/>
        </w:rPr>
        <w:t>采购</w:t>
      </w:r>
      <w:r>
        <w:rPr>
          <w:rFonts w:hint="eastAsia" w:ascii="仿宋" w:hAnsi="仿宋" w:eastAsia="仿宋" w:cs="Cambria Math"/>
          <w:color w:val="auto"/>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auto"/>
          <w:sz w:val="24"/>
          <w:highlight w:val="none"/>
        </w:rPr>
      </w:pPr>
    </w:p>
    <w:p>
      <w:pPr>
        <w:pStyle w:val="2"/>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特此承诺。</w:t>
      </w: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149"/>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6"/>
        <w:spacing w:before="0" w:after="0" w:line="360" w:lineRule="auto"/>
        <w:rPr>
          <w:rFonts w:hint="eastAsia" w:ascii="仿宋" w:hAnsi="仿宋" w:eastAsia="仿宋" w:cs="仿宋"/>
          <w:color w:val="auto"/>
          <w:sz w:val="24"/>
          <w:szCs w:val="24"/>
          <w:highlight w:val="none"/>
        </w:rPr>
      </w:pPr>
      <w:bookmarkStart w:id="202" w:name="_Hlk69983040"/>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、供应商控股及管理关系情况申报表</w:t>
      </w:r>
    </w:p>
    <w:p>
      <w:pPr>
        <w:pStyle w:val="107"/>
        <w:spacing w:before="240" w:after="240" w:line="360" w:lineRule="auto"/>
        <w:ind w:firstLine="0" w:firstLineChars="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中国人民财产保险股份有限公司</w:t>
      </w:r>
      <w:r>
        <w:rPr>
          <w:rFonts w:hint="eastAsia" w:ascii="仿宋" w:hAnsi="仿宋" w:eastAsia="仿宋" w:cs="宋体"/>
          <w:color w:val="auto"/>
          <w:sz w:val="24"/>
          <w:szCs w:val="24"/>
          <w:highlight w:val="none"/>
          <w:u w:val="single"/>
          <w:lang w:val="en-US" w:eastAsia="zh-CN"/>
        </w:rPr>
        <w:t>特克斯支</w:t>
      </w:r>
      <w:r>
        <w:rPr>
          <w:rFonts w:hint="eastAsia" w:ascii="仿宋" w:hAnsi="仿宋" w:eastAsia="仿宋" w:cs="宋体"/>
          <w:color w:val="auto"/>
          <w:sz w:val="24"/>
          <w:szCs w:val="24"/>
          <w:highlight w:val="none"/>
          <w:u w:val="single"/>
        </w:rPr>
        <w:t xml:space="preserve">公司  </w:t>
      </w:r>
      <w:r>
        <w:rPr>
          <w:rFonts w:hint="eastAsia" w:ascii="仿宋" w:hAnsi="仿宋" w:eastAsia="仿宋" w:cs="宋体"/>
          <w:color w:val="auto"/>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人保财险新疆</w:t>
      </w:r>
      <w:r>
        <w:rPr>
          <w:rFonts w:hint="eastAsia" w:ascii="仿宋" w:hAnsi="仿宋" w:eastAsia="仿宋" w:cs="宋体"/>
          <w:color w:val="auto"/>
          <w:sz w:val="24"/>
          <w:szCs w:val="24"/>
          <w:highlight w:val="none"/>
          <w:u w:val="single"/>
          <w:lang w:val="en-US" w:eastAsia="zh-CN"/>
        </w:rPr>
        <w:t>特克斯</w:t>
      </w:r>
      <w:r>
        <w:rPr>
          <w:rFonts w:hint="eastAsia" w:ascii="仿宋" w:hAnsi="仿宋" w:eastAsia="仿宋" w:cs="宋体"/>
          <w:color w:val="auto"/>
          <w:sz w:val="24"/>
          <w:szCs w:val="24"/>
          <w:highlight w:val="none"/>
          <w:u w:val="single"/>
        </w:rPr>
        <w:t xml:space="preserve">支公司职工食堂食材供应商采购项目 </w:t>
      </w:r>
      <w:r>
        <w:rPr>
          <w:rFonts w:hint="eastAsia" w:ascii="仿宋" w:hAnsi="仿宋" w:eastAsia="仿宋" w:cs="宋体"/>
          <w:color w:val="auto"/>
          <w:sz w:val="24"/>
          <w:szCs w:val="24"/>
          <w:highlight w:val="none"/>
        </w:rPr>
        <w:t>的</w:t>
      </w:r>
      <w:r>
        <w:rPr>
          <w:rFonts w:hint="eastAsia" w:ascii="仿宋" w:hAnsi="仿宋" w:eastAsia="仿宋" w:cs="宋体"/>
          <w:color w:val="auto"/>
          <w:sz w:val="24"/>
          <w:szCs w:val="24"/>
          <w:highlight w:val="none"/>
          <w:lang w:val="en-US" w:eastAsia="zh-CN"/>
        </w:rPr>
        <w:t>磋商</w:t>
      </w:r>
      <w:r>
        <w:rPr>
          <w:rFonts w:hint="eastAsia" w:ascii="仿宋" w:hAnsi="仿宋" w:eastAsia="仿宋" w:cs="宋体"/>
          <w:color w:val="auto"/>
          <w:sz w:val="24"/>
          <w:szCs w:val="24"/>
          <w:highlight w:val="none"/>
        </w:rPr>
        <w:t>，根据法律法规维护投标公正性的相关规定，</w:t>
      </w:r>
      <w:r>
        <w:rPr>
          <w:rFonts w:hint="eastAsia" w:ascii="仿宋" w:hAnsi="仿宋" w:eastAsia="仿宋" w:cs="宋体"/>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auto"/>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auto"/>
                <w:highlight w:val="none"/>
                <w:lang w:val="en-US" w:eastAsia="zh-CN"/>
              </w:rPr>
            </w:pPr>
            <w:r>
              <w:rPr>
                <w:rFonts w:hint="eastAsia" w:ascii="仿宋" w:hAnsi="仿宋" w:eastAsia="仿宋" w:cs="宋体"/>
                <w:color w:val="auto"/>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auto"/>
                <w:highlight w:val="none"/>
                <w:lang w:eastAsia="zh-CN"/>
              </w:rPr>
            </w:pP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投资</w:t>
            </w:r>
            <w:r>
              <w:rPr>
                <w:rFonts w:hint="eastAsia" w:ascii="仿宋" w:hAnsi="仿宋" w:eastAsia="仿宋" w:cs="宋体"/>
                <w:color w:val="auto"/>
                <w:highlight w:val="none"/>
                <w:lang w:val="en-US" w:eastAsia="zh-CN"/>
              </w:rPr>
              <w:t>单位</w:t>
            </w:r>
            <w:r>
              <w:rPr>
                <w:rFonts w:hint="eastAsia" w:ascii="仿宋" w:hAnsi="仿宋" w:eastAsia="仿宋" w:cs="宋体"/>
                <w:color w:val="auto"/>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管理关系</w:t>
            </w:r>
          </w:p>
        </w:tc>
        <w:tc>
          <w:tcPr>
            <w:tcW w:w="2356" w:type="dxa"/>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auto"/>
              </w:rPr>
            </w:pPr>
          </w:p>
        </w:tc>
        <w:tc>
          <w:tcPr>
            <w:tcW w:w="2356" w:type="dxa"/>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ind w:left="0" w:leftChars="0"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注：</w:t>
      </w:r>
    </w:p>
    <w:p>
      <w:pPr>
        <w:adjustRightInd w:val="0"/>
        <w:snapToGrid w:val="0"/>
        <w:spacing w:line="360" w:lineRule="auto"/>
        <w:ind w:left="0" w:leftChars="0" w:firstLine="0" w:firstLineChars="0"/>
        <w:rPr>
          <w:rFonts w:hint="eastAsia" w:ascii="仿宋" w:hAnsi="仿宋" w:eastAsia="仿宋" w:cs="宋体"/>
          <w:color w:val="auto"/>
          <w:sz w:val="24"/>
        </w:rPr>
      </w:pPr>
      <w:r>
        <w:rPr>
          <w:rFonts w:hint="eastAsia" w:ascii="仿宋" w:hAnsi="仿宋" w:eastAsia="仿宋" w:cs="宋体"/>
          <w:color w:val="auto"/>
          <w:sz w:val="24"/>
          <w:szCs w:val="24"/>
          <w:lang w:val="en-US" w:eastAsia="zh-CN"/>
        </w:rPr>
        <w:t>1.</w:t>
      </w:r>
      <w:r>
        <w:rPr>
          <w:rFonts w:hint="eastAsia" w:ascii="仿宋" w:hAnsi="仿宋" w:eastAsia="仿宋" w:cs="宋体"/>
          <w:color w:val="auto"/>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auto"/>
          <w:sz w:val="24"/>
        </w:rPr>
      </w:pPr>
      <w:r>
        <w:rPr>
          <w:rFonts w:hint="eastAsia" w:ascii="仿宋" w:hAnsi="仿宋" w:eastAsia="仿宋" w:cs="宋体"/>
          <w:color w:val="auto"/>
          <w:sz w:val="24"/>
          <w:lang w:val="en-US" w:eastAsia="zh-CN"/>
        </w:rPr>
        <w:t>2.</w:t>
      </w:r>
      <w:r>
        <w:rPr>
          <w:rFonts w:hint="eastAsia" w:ascii="仿宋" w:hAnsi="仿宋" w:eastAsia="仿宋" w:cs="宋体"/>
          <w:color w:val="auto"/>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auto"/>
          <w:sz w:val="24"/>
        </w:rPr>
      </w:pPr>
      <w:r>
        <w:rPr>
          <w:rFonts w:hint="eastAsia" w:ascii="仿宋" w:hAnsi="仿宋" w:eastAsia="仿宋" w:cs="宋体"/>
          <w:color w:val="auto"/>
          <w:sz w:val="24"/>
        </w:rPr>
        <w:t>3.如未有相关情况，请在相应栏填写“无”。</w:t>
      </w:r>
    </w:p>
    <w:p>
      <w:pPr>
        <w:pStyle w:val="161"/>
        <w:numPr>
          <w:ilvl w:val="0"/>
          <w:numId w:val="0"/>
        </w:numPr>
        <w:adjustRightInd w:val="0"/>
        <w:snapToGrid w:val="0"/>
        <w:spacing w:line="360" w:lineRule="auto"/>
        <w:ind w:leftChars="0"/>
        <w:rPr>
          <w:rFonts w:hint="eastAsia" w:ascii="仿宋" w:hAnsi="仿宋" w:eastAsia="仿宋" w:cs="宋体"/>
          <w:color w:val="auto"/>
          <w:sz w:val="24"/>
        </w:rPr>
      </w:pPr>
      <w:r>
        <w:rPr>
          <w:rFonts w:hint="eastAsia" w:ascii="仿宋" w:hAnsi="仿宋" w:eastAsia="仿宋" w:cs="宋体"/>
          <w:color w:val="auto"/>
          <w:sz w:val="24"/>
          <w:lang w:val="en-US" w:eastAsia="zh-CN"/>
        </w:rPr>
        <w:t>2.</w:t>
      </w:r>
      <w:r>
        <w:rPr>
          <w:rFonts w:hint="eastAsia" w:ascii="仿宋" w:hAnsi="仿宋" w:eastAsia="仿宋" w:cs="宋体"/>
          <w:color w:val="auto"/>
          <w:sz w:val="24"/>
        </w:rPr>
        <w:t xml:space="preserve">管理关系单位是指与不具有出资持股关系的其他单位之间存在管理与被管理关系的单位； </w:t>
      </w:r>
    </w:p>
    <w:p>
      <w:pPr>
        <w:pStyle w:val="161"/>
        <w:numPr>
          <w:ilvl w:val="0"/>
          <w:numId w:val="0"/>
        </w:numPr>
        <w:adjustRightInd w:val="0"/>
        <w:snapToGrid w:val="0"/>
        <w:spacing w:line="360" w:lineRule="auto"/>
        <w:ind w:leftChars="0"/>
        <w:rPr>
          <w:rFonts w:hint="eastAsia" w:ascii="仿宋" w:hAnsi="仿宋" w:eastAsia="仿宋" w:cs="宋体"/>
          <w:color w:val="auto"/>
          <w:sz w:val="24"/>
        </w:rPr>
      </w:pPr>
      <w:r>
        <w:rPr>
          <w:rFonts w:hint="eastAsia" w:ascii="仿宋" w:hAnsi="仿宋" w:eastAsia="仿宋" w:cs="宋体"/>
          <w:color w:val="auto"/>
          <w:sz w:val="24"/>
          <w:lang w:val="en-US" w:eastAsia="zh-CN"/>
        </w:rPr>
        <w:t>3.</w:t>
      </w:r>
      <w:r>
        <w:rPr>
          <w:rFonts w:hint="eastAsia" w:ascii="仿宋" w:hAnsi="仿宋" w:eastAsia="仿宋" w:cs="宋体"/>
          <w:color w:val="auto"/>
          <w:sz w:val="24"/>
        </w:rPr>
        <w:t>如未有相关情况，请在相应栏填写“无”。</w:t>
      </w:r>
    </w:p>
    <w:p>
      <w:pPr>
        <w:spacing w:line="360" w:lineRule="auto"/>
        <w:ind w:left="480" w:hanging="480" w:hangingChars="200"/>
        <w:rPr>
          <w:rFonts w:hint="eastAsia" w:ascii="仿宋" w:hAnsi="仿宋" w:eastAsia="仿宋" w:cs="宋体"/>
          <w:color w:val="auto"/>
          <w:sz w:val="24"/>
          <w:szCs w:val="24"/>
        </w:rPr>
      </w:pPr>
    </w:p>
    <w:p>
      <w:pPr>
        <w:spacing w:line="360" w:lineRule="auto"/>
        <w:ind w:firstLine="4080" w:firstLineChars="1700"/>
        <w:jc w:val="right"/>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供应商</w:t>
      </w:r>
      <w:r>
        <w:rPr>
          <w:rFonts w:hint="eastAsia" w:ascii="仿宋" w:hAnsi="仿宋" w:eastAsia="仿宋" w:cs="宋体"/>
          <w:color w:val="auto"/>
          <w:sz w:val="24"/>
          <w:szCs w:val="24"/>
        </w:rPr>
        <w:t>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89"/>
      <w:bookmarkEnd w:id="202"/>
      <w:bookmarkStart w:id="203" w:name="_Toc432420841"/>
      <w:bookmarkStart w:id="204" w:name="_Toc517281859"/>
      <w:bookmarkStart w:id="205" w:name="_Toc20195"/>
      <w:bookmarkStart w:id="206" w:name="_Toc71192048"/>
    </w:p>
    <w:p>
      <w:pPr>
        <w:pStyle w:val="5"/>
        <w:numPr>
          <w:ilvl w:val="0"/>
          <w:numId w:val="0"/>
        </w:numPr>
        <w:spacing w:before="0" w:after="0" w:line="360" w:lineRule="auto"/>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p>
    <w:p>
      <w:pPr>
        <w:pStyle w:val="6"/>
        <w:numPr>
          <w:ilvl w:val="0"/>
          <w:numId w:val="0"/>
        </w:numPr>
        <w:spacing w:before="0" w:after="0" w:line="360" w:lineRule="auto"/>
        <w:rPr>
          <w:rFonts w:hint="eastAsia" w:ascii="仿宋" w:hAnsi="仿宋" w:eastAsia="仿宋" w:cs="仿宋"/>
          <w:color w:val="auto"/>
          <w:sz w:val="24"/>
          <w:szCs w:val="24"/>
          <w:highlight w:val="none"/>
        </w:rPr>
      </w:pPr>
      <w:bookmarkStart w:id="207" w:name="_Toc112068411"/>
      <w:bookmarkStart w:id="208" w:name="_Toc144139212"/>
      <w:bookmarkStart w:id="209" w:name="_Toc65683009"/>
      <w:bookmarkStart w:id="210" w:name="_Toc15130"/>
      <w:bookmarkStart w:id="211" w:name="_Toc18208"/>
      <w:bookmarkStart w:id="212" w:name="_Toc17890"/>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非联合体磋商响应声明</w:t>
      </w:r>
    </w:p>
    <w:p>
      <w:pPr>
        <w:bidi w:val="0"/>
        <w:rPr>
          <w:rFonts w:hint="eastAsia"/>
          <w:color w:val="auto"/>
        </w:rPr>
      </w:pPr>
      <w:r>
        <w:rPr>
          <w:rFonts w:hint="eastAsia" w:ascii="仿宋" w:hAnsi="仿宋" w:eastAsia="仿宋" w:cs="仿宋"/>
          <w:b w:val="0"/>
          <w:bCs w:val="0"/>
          <w:color w:val="auto"/>
          <w:sz w:val="24"/>
          <w:szCs w:val="24"/>
          <w:highlight w:val="none"/>
        </w:rPr>
        <w:t>（可以根据项目实际情况选择是否设置）</w:t>
      </w:r>
    </w:p>
    <w:p>
      <w:pPr>
        <w:pStyle w:val="2"/>
        <w:spacing w:before="240"/>
        <w:rPr>
          <w:rFonts w:hint="eastAsia" w:ascii="仿宋" w:hAnsi="仿宋" w:eastAsia="仿宋" w:cs="Cambria Math"/>
          <w:b/>
          <w:bCs/>
          <w:color w:val="auto"/>
          <w:sz w:val="24"/>
          <w:highlight w:val="none"/>
        </w:rPr>
      </w:pPr>
      <w:r>
        <w:rPr>
          <w:rFonts w:hint="eastAsia" w:ascii="仿宋" w:hAnsi="仿宋" w:eastAsia="仿宋" w:cs="Cambria Math"/>
          <w:b/>
          <w:bCs/>
          <w:color w:val="auto"/>
          <w:sz w:val="24"/>
          <w:highlight w:val="none"/>
        </w:rPr>
        <w:t>非联合体磋商响应声明</w:t>
      </w:r>
    </w:p>
    <w:p>
      <w:pPr>
        <w:adjustRightInd w:val="0"/>
        <w:snapToGrid w:val="0"/>
        <w:spacing w:before="240"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采购人</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rPr>
        <w:t>：中国人民财产保险股份有限公司</w:t>
      </w:r>
      <w:r>
        <w:rPr>
          <w:rFonts w:hint="eastAsia" w:ascii="仿宋" w:hAnsi="仿宋" w:eastAsia="仿宋" w:cs="Cambria Math"/>
          <w:color w:val="auto"/>
          <w:sz w:val="24"/>
          <w:highlight w:val="none"/>
          <w:lang w:val="en-US" w:eastAsia="zh-CN"/>
        </w:rPr>
        <w:t>特克斯</w:t>
      </w:r>
      <w:r>
        <w:rPr>
          <w:rFonts w:hint="eastAsia" w:ascii="仿宋" w:hAnsi="仿宋" w:eastAsia="仿宋" w:cs="Cambria Math"/>
          <w:color w:val="auto"/>
          <w:sz w:val="24"/>
          <w:highlight w:val="none"/>
        </w:rPr>
        <w:t>支公司</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独立参与</w:t>
      </w:r>
      <w:r>
        <w:rPr>
          <w:rFonts w:hint="eastAsia" w:ascii="仿宋" w:hAnsi="仿宋" w:eastAsia="仿宋" w:cs="Cambria Math"/>
          <w:color w:val="auto"/>
          <w:sz w:val="24"/>
          <w:highlight w:val="none"/>
          <w:u w:val="single"/>
        </w:rPr>
        <w:t>人保财险新疆</w:t>
      </w:r>
      <w:r>
        <w:rPr>
          <w:rFonts w:hint="eastAsia" w:ascii="仿宋" w:hAnsi="仿宋" w:eastAsia="仿宋" w:cs="Cambria Math"/>
          <w:color w:val="auto"/>
          <w:sz w:val="24"/>
          <w:highlight w:val="none"/>
          <w:u w:val="single"/>
          <w:lang w:val="en-US" w:eastAsia="zh-CN"/>
        </w:rPr>
        <w:t>特克斯</w:t>
      </w:r>
      <w:r>
        <w:rPr>
          <w:rFonts w:hint="eastAsia" w:ascii="仿宋" w:hAnsi="仿宋" w:eastAsia="仿宋" w:cs="Cambria Math"/>
          <w:color w:val="auto"/>
          <w:sz w:val="24"/>
          <w:highlight w:val="none"/>
          <w:u w:val="single"/>
        </w:rPr>
        <w:t>支公司职工食堂食材供应商采购项目</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磋商响应，非联合体参与磋商响应。</w:t>
      </w:r>
      <w:r>
        <w:rPr>
          <w:rFonts w:ascii="仿宋" w:hAnsi="仿宋" w:eastAsia="仿宋" w:cs="Cambria Math"/>
          <w:color w:val="auto"/>
          <w:sz w:val="24"/>
          <w:highlight w:val="none"/>
        </w:rPr>
        <w:t xml:space="preserve"> </w:t>
      </w:r>
    </w:p>
    <w:p>
      <w:pPr>
        <w:pStyle w:val="2"/>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特此声明。</w:t>
      </w: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hint="eastAsia" w:ascii="仿宋" w:hAnsi="仿宋" w:eastAsia="仿宋"/>
          <w:color w:val="auto"/>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pPr>
        <w:pStyle w:val="5"/>
        <w:numPr>
          <w:ilvl w:val="0"/>
          <w:numId w:val="0"/>
        </w:numPr>
        <w:tabs>
          <w:tab w:val="clear" w:pos="1440"/>
        </w:tabs>
        <w:spacing w:before="0" w:after="0" w:line="360" w:lineRule="auto"/>
        <w:rPr>
          <w:rFonts w:ascii="仿宋" w:hAnsi="仿宋" w:cs="宋体"/>
          <w:color w:val="auto"/>
          <w:szCs w:val="24"/>
          <w:highlight w:val="none"/>
        </w:rPr>
      </w:pP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207"/>
      <w:bookmarkEnd w:id="208"/>
      <w:bookmarkEnd w:id="209"/>
      <w:bookmarkEnd w:id="210"/>
      <w:bookmarkEnd w:id="211"/>
    </w:p>
    <w:p>
      <w:pPr>
        <w:spacing w:line="360" w:lineRule="auto"/>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供应商须知应答偏离表</w:t>
      </w:r>
    </w:p>
    <w:p>
      <w:pPr>
        <w:spacing w:line="360" w:lineRule="auto"/>
        <w:rPr>
          <w:rFonts w:hint="eastAsia" w:ascii="仿宋" w:hAnsi="仿宋" w:eastAsia="仿宋" w:cs="宋体"/>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bl>
    <w:p>
      <w:pPr>
        <w:spacing w:line="360" w:lineRule="auto"/>
        <w:ind w:left="480" w:hanging="480" w:hangingChars="200"/>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注：所有偏离须在本表中列出，未在本偏离表中列出偏离，将视为供应商已完全接受磋商文件要求</w:t>
      </w:r>
      <w:r>
        <w:rPr>
          <w:rFonts w:hint="eastAsia" w:ascii="仿宋" w:hAnsi="仿宋" w:eastAsia="仿宋" w:cs="宋体"/>
          <w:b/>
          <w:bCs/>
          <w:color w:val="auto"/>
          <w:sz w:val="24"/>
          <w:highlight w:val="none"/>
        </w:rPr>
        <w:t>。如全部满足，在偏离表中应答“全部满足”即可。</w:t>
      </w: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spacing w:line="360" w:lineRule="auto"/>
        <w:jc w:val="right"/>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pPr>
        <w:numPr>
          <w:ilvl w:val="0"/>
          <w:numId w:val="0"/>
        </w:numPr>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合同条款应答偏</w:t>
      </w:r>
      <w:r>
        <w:rPr>
          <w:rFonts w:ascii="仿宋" w:hAnsi="仿宋" w:eastAsia="仿宋" w:cs="仿宋"/>
          <w:b/>
          <w:bCs/>
          <w:color w:val="auto"/>
          <w:sz w:val="24"/>
          <w:szCs w:val="24"/>
          <w:highlight w:val="none"/>
        </w:rPr>
        <w:t>离表</w:t>
      </w:r>
    </w:p>
    <w:p>
      <w:pPr>
        <w:numPr>
          <w:ilvl w:val="0"/>
          <w:numId w:val="0"/>
        </w:num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合同条款应答偏离表</w:t>
      </w:r>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bl>
    <w:p>
      <w:pPr>
        <w:spacing w:before="240" w:line="360" w:lineRule="auto"/>
        <w:ind w:left="480" w:hanging="480" w:hanging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注：所有偏离必须在本表中列出，未在本偏离表中列出偏离，将视为供应商已完全接受</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文件要求；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highlight w:val="none"/>
          <w:u w:val="single"/>
        </w:rPr>
      </w:pPr>
    </w:p>
    <w:p>
      <w:pPr>
        <w:pStyle w:val="5"/>
        <w:numPr>
          <w:ilvl w:val="0"/>
          <w:numId w:val="0"/>
        </w:numPr>
        <w:spacing w:before="0" w:after="0" w:line="360" w:lineRule="auto"/>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highlight w:val="none"/>
        </w:rPr>
        <w:br w:type="page"/>
      </w: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）供应商行为准则承诺书</w:t>
      </w:r>
      <w:bookmarkEnd w:id="212"/>
    </w:p>
    <w:p>
      <w:pPr>
        <w:spacing w:line="240" w:lineRule="auto"/>
        <w:jc w:val="center"/>
        <w:rPr>
          <w:rFonts w:ascii="仿宋" w:hAnsi="仿宋" w:eastAsia="仿宋" w:cs="宋体"/>
          <w:b/>
          <w:bCs/>
          <w:color w:val="auto"/>
          <w:sz w:val="28"/>
          <w:szCs w:val="28"/>
          <w:highlight w:val="none"/>
        </w:rPr>
      </w:pPr>
      <w:bookmarkStart w:id="213"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法定代表人（负责人）姓名、职务：__________________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邮编：__________地址：__________________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电话：__________传真：__________________</w:t>
      </w:r>
    </w:p>
    <w:p>
      <w:pPr>
        <w:pStyle w:val="141"/>
        <w:spacing w:line="360" w:lineRule="auto"/>
        <w:ind w:firstLine="480"/>
        <w:jc w:val="both"/>
        <w:rPr>
          <w:rFonts w:hint="eastAsia" w:ascii="仿宋" w:hAnsi="仿宋" w:eastAsia="仿宋" w:cs="仿宋"/>
          <w:b w:val="0"/>
          <w:bCs/>
          <w:color w:val="auto"/>
          <w:sz w:val="24"/>
        </w:rPr>
      </w:pPr>
      <w:r>
        <w:rPr>
          <w:rFonts w:hint="eastAsia" w:ascii="仿宋" w:hAnsi="仿宋" w:eastAsia="仿宋" w:cs="仿宋"/>
          <w:b w:val="0"/>
          <w:bCs/>
          <w:color w:val="auto"/>
          <w:sz w:val="24"/>
        </w:rPr>
        <w:t>法定代表人（负责人）或授权代表签字：______________</w:t>
      </w:r>
    </w:p>
    <w:p>
      <w:pPr>
        <w:pStyle w:val="5"/>
        <w:numPr>
          <w:ilvl w:val="0"/>
          <w:numId w:val="0"/>
        </w:numPr>
        <w:spacing w:before="0" w:after="0" w:line="360" w:lineRule="auto"/>
        <w:rPr>
          <w:rFonts w:ascii="仿宋" w:hAnsi="仿宋" w:cs="宋体"/>
          <w:color w:val="auto"/>
          <w:szCs w:val="24"/>
          <w:highlight w:val="none"/>
        </w:rPr>
      </w:pPr>
      <w:r>
        <w:rPr>
          <w:rFonts w:hint="eastAsia" w:ascii="仿宋" w:hAnsi="仿宋" w:eastAsia="仿宋" w:cs="仿宋"/>
          <w:color w:val="auto"/>
        </w:rPr>
        <w:br w:type="page"/>
      </w:r>
      <w:bookmarkStart w:id="214" w:name="_Toc8068"/>
      <w:r>
        <w:rPr>
          <w:rFonts w:hint="eastAsia" w:ascii="仿宋" w:hAnsi="仿宋" w:eastAsia="仿宋" w:cs="宋体"/>
          <w:bCs w:val="0"/>
          <w:color w:val="auto"/>
          <w:sz w:val="24"/>
          <w:szCs w:val="24"/>
          <w:highlight w:val="none"/>
        </w:rPr>
        <w:t>（</w:t>
      </w:r>
      <w:r>
        <w:rPr>
          <w:rFonts w:hint="eastAsia" w:ascii="仿宋" w:hAnsi="仿宋" w:eastAsia="仿宋" w:cs="宋体"/>
          <w:bCs w:val="0"/>
          <w:color w:val="auto"/>
          <w:sz w:val="24"/>
          <w:szCs w:val="24"/>
          <w:highlight w:val="none"/>
          <w:lang w:val="en-US" w:eastAsia="zh-CN"/>
        </w:rPr>
        <w:t>八</w:t>
      </w:r>
      <w:r>
        <w:rPr>
          <w:rFonts w:hint="eastAsia" w:ascii="仿宋" w:hAnsi="仿宋" w:eastAsia="仿宋" w:cs="宋体"/>
          <w:bCs w:val="0"/>
          <w:color w:val="auto"/>
          <w:sz w:val="24"/>
          <w:szCs w:val="24"/>
          <w:highlight w:val="none"/>
        </w:rPr>
        <w:t>）供应商廉洁诚信承诺书</w:t>
      </w:r>
      <w:bookmarkEnd w:id="213"/>
      <w:bookmarkEnd w:id="214"/>
    </w:p>
    <w:p>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（6）向其提供借款、融资、担保等；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（7）给予或承诺给予其不正当利益的其他行为；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出借、转让资质证书；</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伙同他人串标、围标或非法排挤竞争对手；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w:t>
      </w:r>
      <w:r>
        <w:rPr>
          <w:rFonts w:hint="eastAsia" w:ascii="仿宋" w:hAnsi="仿宋" w:eastAsia="仿宋" w:cs="宋体"/>
          <w:color w:val="auto"/>
          <w:sz w:val="24"/>
          <w:lang w:val="en-US" w:eastAsia="zh-CN"/>
        </w:rPr>
        <w:t>采购</w:t>
      </w:r>
      <w:r>
        <w:rPr>
          <w:rFonts w:hint="eastAsia" w:ascii="仿宋" w:hAnsi="仿宋" w:eastAsia="仿宋" w:cs="宋体"/>
          <w:color w:val="auto"/>
          <w:sz w:val="24"/>
        </w:rPr>
        <w:t>项目的资格；</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rPr>
      </w:pPr>
    </w:p>
    <w:p>
      <w:pPr>
        <w:tabs>
          <w:tab w:val="left" w:pos="458"/>
        </w:tabs>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法定代表人姓名、职务：__________________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法定代表人或授权代表签字：______________</w:t>
      </w:r>
    </w:p>
    <w:p>
      <w:pPr>
        <w:spacing w:line="360" w:lineRule="auto"/>
        <w:ind w:firstLine="3578" w:firstLineChars="1491"/>
        <w:rPr>
          <w:rFonts w:ascii="仿宋" w:hAnsi="仿宋" w:eastAsia="仿宋" w:cs="仿宋"/>
          <w:color w:val="auto"/>
          <w:sz w:val="24"/>
          <w:szCs w:val="24"/>
          <w:highlight w:val="none"/>
        </w:rPr>
      </w:pPr>
      <w:r>
        <w:rPr>
          <w:rFonts w:hint="eastAsia" w:ascii="仿宋" w:hAnsi="仿宋" w:eastAsia="仿宋" w:cs="仿宋"/>
          <w:b w:val="0"/>
          <w:bCs w:val="0"/>
          <w:color w:val="auto"/>
          <w:kern w:val="2"/>
          <w:sz w:val="24"/>
          <w:szCs w:val="24"/>
          <w:lang w:val="en-US" w:eastAsia="zh-CN" w:bidi="ar-SA"/>
        </w:rPr>
        <w:t>日期：__________________________________</w:t>
      </w:r>
      <w:r>
        <w:rPr>
          <w:rFonts w:hint="eastAsia" w:ascii="仿宋" w:hAnsi="仿宋" w:eastAsia="仿宋" w:cs="仿宋"/>
          <w:color w:val="auto"/>
          <w:highlight w:val="none"/>
        </w:rPr>
        <w:br w:type="page"/>
      </w:r>
      <w:r>
        <w:rPr>
          <w:rStyle w:val="58"/>
          <w:rFonts w:hint="eastAsia" w:ascii="仿宋" w:hAnsi="仿宋" w:eastAsia="仿宋" w:cs="仿宋"/>
          <w:color w:val="auto"/>
          <w:sz w:val="24"/>
          <w:szCs w:val="24"/>
        </w:rPr>
        <w:t>（</w:t>
      </w:r>
      <w:r>
        <w:rPr>
          <w:rStyle w:val="58"/>
          <w:rFonts w:hint="eastAsia" w:ascii="仿宋" w:hAnsi="仿宋" w:eastAsia="仿宋" w:cs="仿宋"/>
          <w:color w:val="auto"/>
          <w:sz w:val="24"/>
          <w:szCs w:val="24"/>
          <w:lang w:val="en-US" w:eastAsia="zh-CN"/>
        </w:rPr>
        <w:t>九</w:t>
      </w:r>
      <w:r>
        <w:rPr>
          <w:rStyle w:val="58"/>
          <w:rFonts w:hint="eastAsia" w:ascii="仿宋" w:hAnsi="仿宋" w:eastAsia="仿宋" w:cs="仿宋"/>
          <w:color w:val="auto"/>
          <w:sz w:val="24"/>
          <w:szCs w:val="24"/>
        </w:rPr>
        <w:t>）其他材料</w:t>
      </w:r>
    </w:p>
    <w:p>
      <w:pPr>
        <w:spacing w:line="360" w:lineRule="auto"/>
        <w:rPr>
          <w:rFonts w:hint="eastAsia" w:ascii="宋体" w:hAnsi="宋体"/>
          <w:color w:val="auto"/>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bookmarkEnd w:id="203"/>
    <w:bookmarkEnd w:id="204"/>
    <w:bookmarkEnd w:id="205"/>
    <w:bookmarkEnd w:id="206"/>
    <w:p>
      <w:pPr>
        <w:rPr>
          <w:rFonts w:hint="eastAsia" w:ascii="仿宋" w:hAnsi="仿宋" w:eastAsia="仿宋" w:cs="仿宋"/>
          <w:color w:val="auto"/>
          <w:sz w:val="24"/>
          <w:szCs w:val="24"/>
          <w:highlight w:val="none"/>
        </w:rPr>
      </w:pPr>
      <w:bookmarkStart w:id="215" w:name="_Toc23108"/>
      <w:r>
        <w:rPr>
          <w:rFonts w:hint="eastAsia" w:ascii="仿宋" w:hAnsi="仿宋" w:eastAsia="仿宋" w:cs="仿宋"/>
          <w:color w:val="auto"/>
          <w:sz w:val="24"/>
          <w:szCs w:val="24"/>
          <w:highlight w:val="none"/>
        </w:rPr>
        <w:br w:type="page"/>
      </w:r>
    </w:p>
    <w:bookmarkEnd w:id="190"/>
    <w:bookmarkEnd w:id="191"/>
    <w:bookmarkEnd w:id="192"/>
    <w:bookmarkEnd w:id="193"/>
    <w:bookmarkEnd w:id="194"/>
    <w:bookmarkEnd w:id="195"/>
    <w:bookmarkEnd w:id="215"/>
    <w:p>
      <w:pPr>
        <w:pStyle w:val="4"/>
        <w:ind w:firstLine="0" w:firstLineChars="0"/>
        <w:jc w:val="both"/>
        <w:rPr>
          <w:rFonts w:hint="eastAsia" w:ascii="仿宋" w:hAnsi="仿宋" w:eastAsia="仿宋" w:cs="仿宋"/>
          <w:color w:val="auto"/>
          <w:sz w:val="24"/>
          <w:szCs w:val="24"/>
          <w:highlight w:val="none"/>
        </w:rPr>
      </w:pPr>
      <w:bookmarkStart w:id="216" w:name="_Toc28698"/>
      <w:bookmarkStart w:id="217" w:name="_Toc444891358"/>
      <w:bookmarkStart w:id="218" w:name="_Toc517281860"/>
      <w:r>
        <w:rPr>
          <w:rFonts w:hint="eastAsia" w:ascii="仿宋" w:hAnsi="仿宋" w:eastAsia="仿宋" w:cs="仿宋"/>
          <w:color w:val="auto"/>
          <w:sz w:val="24"/>
          <w:szCs w:val="24"/>
          <w:highlight w:val="none"/>
        </w:rPr>
        <w:t>二、技术文件</w:t>
      </w:r>
      <w:bookmarkEnd w:id="216"/>
    </w:p>
    <w:p>
      <w:pPr>
        <w:bidi w:val="0"/>
        <w:jc w:val="center"/>
        <w:rPr>
          <w:rFonts w:hint="eastAsia" w:ascii="仿宋" w:hAnsi="仿宋" w:eastAsia="仿宋" w:cs="仿宋"/>
          <w:b/>
          <w:bCs/>
          <w:color w:val="auto"/>
          <w:sz w:val="24"/>
          <w:szCs w:val="24"/>
          <w:highlight w:val="none"/>
        </w:rPr>
      </w:pPr>
      <w:bookmarkStart w:id="219" w:name="_Toc30870"/>
      <w:r>
        <w:rPr>
          <w:rFonts w:hint="eastAsia" w:ascii="仿宋" w:hAnsi="仿宋" w:eastAsia="仿宋" w:cs="仿宋"/>
          <w:b/>
          <w:bCs/>
          <w:color w:val="auto"/>
          <w:sz w:val="24"/>
          <w:szCs w:val="24"/>
          <w:highlight w:val="none"/>
        </w:rPr>
        <w:t>详细评审索引表</w:t>
      </w:r>
      <w:bookmarkEnd w:id="219"/>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3</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技术得分</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szCs w:val="21"/>
                <w:highlight w:val="none"/>
              </w:rPr>
              <w:t>（XX分）</w:t>
            </w:r>
          </w:p>
        </w:tc>
        <w:tc>
          <w:tcPr>
            <w:tcW w:w="2268" w:type="dxa"/>
            <w:noWrap w:val="0"/>
            <w:vAlign w:val="center"/>
          </w:tcPr>
          <w:p>
            <w:pPr>
              <w:jc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4</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pPr>
              <w:widowControl/>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5</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pPr>
              <w:widowControl/>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6</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pPr>
              <w:widowControl/>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5"/>
        <w:numPr>
          <w:ilvl w:val="0"/>
          <w:numId w:val="0"/>
        </w:numPr>
        <w:spacing w:before="0" w:after="0" w:line="360" w:lineRule="auto"/>
        <w:rPr>
          <w:rFonts w:hint="eastAsia" w:ascii="仿宋" w:hAnsi="仿宋" w:eastAsia="仿宋" w:cs="仿宋"/>
          <w:color w:val="auto"/>
          <w:sz w:val="24"/>
          <w:szCs w:val="24"/>
          <w:highlight w:val="none"/>
        </w:rPr>
      </w:pPr>
      <w:bookmarkStart w:id="220" w:name="_Toc17302"/>
      <w:r>
        <w:rPr>
          <w:rFonts w:hint="eastAsia" w:ascii="仿宋" w:hAnsi="仿宋" w:eastAsia="仿宋" w:cs="仿宋"/>
          <w:color w:val="auto"/>
          <w:sz w:val="24"/>
          <w:szCs w:val="24"/>
          <w:highlight w:val="none"/>
        </w:rPr>
        <w:t>（一）采购需求应答偏离表</w:t>
      </w:r>
      <w:bookmarkEnd w:id="220"/>
    </w:p>
    <w:p>
      <w:pPr>
        <w:spacing w:line="360" w:lineRule="auto"/>
        <w:jc w:val="center"/>
        <w:rPr>
          <w:rFonts w:hint="eastAsia" w:ascii="仿宋" w:hAnsi="仿宋" w:eastAsia="仿宋" w:cs="仿宋"/>
          <w:b/>
          <w:bCs/>
          <w:color w:val="auto"/>
          <w:sz w:val="24"/>
          <w:highlight w:val="none"/>
        </w:rPr>
      </w:pPr>
      <w:bookmarkStart w:id="221" w:name="_Toc125771198"/>
      <w:bookmarkStart w:id="222" w:name="_Toc293297544"/>
      <w:bookmarkStart w:id="223" w:name="_Toc125561188"/>
      <w:r>
        <w:rPr>
          <w:rFonts w:hint="eastAsia" w:ascii="仿宋" w:hAnsi="仿宋" w:eastAsia="仿宋" w:cs="仿宋"/>
          <w:b/>
          <w:bCs/>
          <w:color w:val="auto"/>
          <w:sz w:val="24"/>
          <w:highlight w:val="none"/>
        </w:rPr>
        <w:t>采购需求应答偏离表</w:t>
      </w:r>
      <w:bookmarkEnd w:id="221"/>
      <w:bookmarkEnd w:id="222"/>
      <w:bookmarkEnd w:id="223"/>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bl>
    <w:p>
      <w:pPr>
        <w:spacing w:before="240" w:line="360" w:lineRule="auto"/>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注：</w:t>
      </w:r>
      <w:r>
        <w:rPr>
          <w:rFonts w:hint="eastAsia" w:ascii="仿宋" w:hAnsi="仿宋" w:eastAsia="仿宋" w:cs="Cambria Math"/>
          <w:color w:val="auto"/>
          <w:sz w:val="24"/>
          <w:highlight w:val="none"/>
        </w:rPr>
        <w:t>对于未列出的偏离内容视同供应商已完全接受</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文件的要求，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360" w:lineRule="auto"/>
        <w:ind w:left="480" w:hanging="480" w:hangingChars="200"/>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sz w:val="24"/>
          <w:highlight w:val="yellow"/>
        </w:rPr>
      </w:pPr>
    </w:p>
    <w:p>
      <w:pPr>
        <w:pStyle w:val="5"/>
        <w:numPr>
          <w:ilvl w:val="0"/>
          <w:numId w:val="0"/>
        </w:numPr>
        <w:spacing w:before="0" w:after="0" w:line="360" w:lineRule="auto"/>
        <w:ind w:left="1152" w:hanging="1152"/>
        <w:rPr>
          <w:rFonts w:hint="eastAsia" w:ascii="仿宋" w:hAnsi="仿宋" w:eastAsia="仿宋" w:cs="仿宋"/>
          <w:color w:val="auto"/>
          <w:sz w:val="24"/>
          <w:szCs w:val="24"/>
          <w:highlight w:val="none"/>
        </w:rPr>
      </w:pPr>
      <w:r>
        <w:rPr>
          <w:rFonts w:hint="eastAsia" w:ascii="仿宋" w:hAnsi="仿宋" w:eastAsia="仿宋" w:cs="仿宋"/>
          <w:color w:val="auto"/>
          <w:highlight w:val="yellow"/>
        </w:rPr>
        <w:br w:type="page"/>
      </w:r>
      <w:bookmarkStart w:id="224" w:name="_Toc8284"/>
      <w:r>
        <w:rPr>
          <w:rFonts w:hint="eastAsia" w:ascii="仿宋" w:hAnsi="仿宋" w:eastAsia="仿宋" w:cs="仿宋"/>
          <w:color w:val="auto"/>
          <w:sz w:val="24"/>
          <w:szCs w:val="24"/>
          <w:highlight w:val="none"/>
        </w:rPr>
        <w:t>（二）技术方案</w:t>
      </w:r>
      <w:bookmarkEnd w:id="224"/>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供应商应根据采购需求的要求，提供相应的文件内容以及证明材料。 </w:t>
      </w:r>
      <w:r>
        <w:rPr>
          <w:rFonts w:hint="eastAsia" w:ascii="仿宋" w:hAnsi="仿宋" w:eastAsia="仿宋" w:cs="仿宋"/>
          <w:color w:val="auto"/>
          <w:sz w:val="24"/>
          <w:highlight w:val="none"/>
        </w:rPr>
        <w:br w:type="page"/>
      </w:r>
    </w:p>
    <w:bookmarkEnd w:id="196"/>
    <w:bookmarkEnd w:id="197"/>
    <w:bookmarkEnd w:id="198"/>
    <w:bookmarkEnd w:id="199"/>
    <w:bookmarkEnd w:id="200"/>
    <w:bookmarkEnd w:id="201"/>
    <w:bookmarkEnd w:id="217"/>
    <w:bookmarkEnd w:id="218"/>
    <w:p>
      <w:pPr>
        <w:pStyle w:val="6"/>
        <w:numPr>
          <w:ilvl w:val="0"/>
          <w:numId w:val="0"/>
        </w:numPr>
        <w:rPr>
          <w:rFonts w:hint="eastAsia" w:ascii="仿宋" w:hAnsi="仿宋" w:eastAsia="仿宋" w:cs="Cambria Math"/>
          <w:color w:val="auto"/>
          <w:sz w:val="24"/>
          <w:szCs w:val="24"/>
          <w:highlight w:val="none"/>
        </w:rPr>
      </w:pPr>
      <w:bookmarkStart w:id="225" w:name="_Toc20443"/>
      <w:r>
        <w:rPr>
          <w:rFonts w:hint="eastAsia" w:ascii="仿宋" w:hAnsi="仿宋" w:eastAsia="仿宋" w:cs="Cambria Math"/>
          <w:color w:val="auto"/>
          <w:sz w:val="24"/>
          <w:szCs w:val="24"/>
          <w:highlight w:val="none"/>
          <w:lang w:val="en-US" w:eastAsia="zh-CN"/>
        </w:rPr>
        <w:t>1、</w:t>
      </w:r>
      <w:r>
        <w:rPr>
          <w:rFonts w:hint="eastAsia" w:ascii="仿宋" w:hAnsi="仿宋" w:eastAsia="仿宋" w:cs="Cambria Math"/>
          <w:color w:val="auto"/>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注：需按照采购需求中的相关要求，列明本项目服务团队所有人员信息及职责分工。</w:t>
      </w: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rPr>
          <w:rFonts w:hint="eastAsia" w:ascii="仿宋" w:hAnsi="仿宋" w:eastAsia="仿宋" w:cs="Cambria Math"/>
          <w:color w:val="auto"/>
          <w:sz w:val="24"/>
          <w:szCs w:val="24"/>
          <w:highlight w:val="none"/>
          <w:lang w:val="en-US" w:eastAsia="zh-CN"/>
        </w:rPr>
      </w:pPr>
    </w:p>
    <w:p>
      <w:pPr>
        <w:pStyle w:val="2"/>
        <w:rPr>
          <w:rFonts w:hint="eastAsia"/>
          <w:color w:val="auto"/>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rPr>
          <w:rFonts w:hint="eastAsia"/>
          <w:lang w:val="en-US" w:eastAsia="zh-CN"/>
        </w:rPr>
      </w:pPr>
    </w:p>
    <w:p>
      <w:pPr>
        <w:pStyle w:val="6"/>
        <w:spacing w:before="0" w:after="0"/>
        <w:rPr>
          <w:rFonts w:hint="eastAsia" w:ascii="仿宋" w:hAnsi="仿宋" w:eastAsia="仿宋" w:cs="仿宋"/>
          <w:b w:val="0"/>
          <w:bCs w:val="0"/>
          <w:color w:val="auto"/>
          <w:sz w:val="24"/>
          <w:szCs w:val="24"/>
          <w:highlight w:val="none"/>
        </w:rPr>
      </w:pPr>
      <w:r>
        <w:rPr>
          <w:rFonts w:hint="eastAsia" w:ascii="仿宋" w:hAnsi="仿宋" w:eastAsia="仿宋" w:cs="Cambria Math"/>
          <w:color w:val="auto"/>
          <w:sz w:val="24"/>
          <w:szCs w:val="24"/>
          <w:highlight w:val="none"/>
          <w:lang w:val="en-US" w:eastAsia="zh-CN"/>
        </w:rPr>
        <w:t>2、</w:t>
      </w:r>
      <w:r>
        <w:rPr>
          <w:rFonts w:hint="eastAsia" w:ascii="仿宋" w:hAnsi="仿宋" w:eastAsia="仿宋" w:cs="Cambria Math"/>
          <w:color w:val="auto"/>
          <w:sz w:val="24"/>
          <w:szCs w:val="24"/>
          <w:highlight w:val="none"/>
        </w:rPr>
        <w:t>拟派团队成员简历表</w:t>
      </w:r>
    </w:p>
    <w:p>
      <w:pPr>
        <w:pStyle w:val="2"/>
        <w:rPr>
          <w:rFonts w:hint="eastAsia"/>
          <w:color w:val="auto"/>
        </w:rPr>
      </w:pP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1680" w:type="dxa"/>
            <w:gridSpan w:val="3"/>
            <w:noWrap w:val="0"/>
            <w:vAlign w:val="center"/>
          </w:tcPr>
          <w:p>
            <w:pPr>
              <w:jc w:val="center"/>
              <w:rPr>
                <w:rFonts w:hint="eastAsia" w:ascii="仿宋" w:hAnsi="仿宋" w:eastAsia="仿宋" w:cs="仿宋"/>
                <w:color w:val="auto"/>
                <w:sz w:val="24"/>
                <w:highlight w:val="none"/>
              </w:rPr>
            </w:pPr>
          </w:p>
        </w:tc>
        <w:tc>
          <w:tcPr>
            <w:tcW w:w="945" w:type="dxa"/>
            <w:gridSpan w:val="2"/>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945" w:type="dxa"/>
            <w:noWrap w:val="0"/>
            <w:vAlign w:val="center"/>
          </w:tcPr>
          <w:p>
            <w:pPr>
              <w:rPr>
                <w:rFonts w:hint="eastAsia" w:ascii="仿宋" w:hAnsi="仿宋" w:eastAsia="仿宋" w:cs="仿宋"/>
                <w:color w:val="auto"/>
                <w:sz w:val="24"/>
                <w:highlight w:val="none"/>
              </w:rPr>
            </w:pPr>
          </w:p>
        </w:tc>
        <w:tc>
          <w:tcPr>
            <w:tcW w:w="1854" w:type="dxa"/>
            <w:gridSpan w:val="2"/>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出 生 日 期</w:t>
            </w:r>
          </w:p>
        </w:tc>
        <w:tc>
          <w:tcPr>
            <w:tcW w:w="2694" w:type="dxa"/>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毕业院校及专业</w:t>
            </w:r>
          </w:p>
        </w:tc>
        <w:tc>
          <w:tcPr>
            <w:tcW w:w="3570" w:type="dxa"/>
            <w:gridSpan w:val="6"/>
            <w:noWrap w:val="0"/>
            <w:vAlign w:val="center"/>
          </w:tcPr>
          <w:p>
            <w:pPr>
              <w:rPr>
                <w:rFonts w:hint="eastAsia" w:ascii="仿宋" w:hAnsi="仿宋" w:eastAsia="仿宋" w:cs="仿宋"/>
                <w:color w:val="auto"/>
                <w:sz w:val="24"/>
                <w:highlight w:val="none"/>
              </w:rPr>
            </w:pPr>
          </w:p>
        </w:tc>
        <w:tc>
          <w:tcPr>
            <w:tcW w:w="1854" w:type="dxa"/>
            <w:gridSpan w:val="2"/>
            <w:noWrap w:val="0"/>
            <w:vAlign w:val="center"/>
          </w:tcPr>
          <w:p>
            <w:pPr>
              <w:ind w:left="-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694" w:type="dxa"/>
            <w:noWrap w:val="0"/>
            <w:vAlign w:val="center"/>
          </w:tcPr>
          <w:p>
            <w:pPr>
              <w:ind w:left="4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1974" w:type="dxa"/>
            <w:gridSpan w:val="2"/>
            <w:noWrap w:val="0"/>
            <w:vAlign w:val="center"/>
          </w:tcPr>
          <w:p>
            <w:pPr>
              <w:rPr>
                <w:rFonts w:hint="eastAsia" w:ascii="仿宋" w:hAnsi="仿宋" w:eastAsia="仿宋" w:cs="仿宋"/>
                <w:color w:val="auto"/>
                <w:sz w:val="24"/>
                <w:highlight w:val="none"/>
              </w:rPr>
            </w:pPr>
          </w:p>
        </w:tc>
        <w:tc>
          <w:tcPr>
            <w:tcW w:w="2835" w:type="dxa"/>
            <w:gridSpan w:val="4"/>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为供应商服务时间</w:t>
            </w:r>
          </w:p>
        </w:tc>
        <w:tc>
          <w:tcPr>
            <w:tcW w:w="2694" w:type="dxa"/>
            <w:noWrap w:val="0"/>
            <w:vAlign w:val="center"/>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专业资质</w:t>
            </w:r>
          </w:p>
        </w:tc>
        <w:tc>
          <w:tcPr>
            <w:tcW w:w="1974" w:type="dxa"/>
            <w:gridSpan w:val="2"/>
            <w:noWrap w:val="0"/>
            <w:vAlign w:val="center"/>
          </w:tcPr>
          <w:p>
            <w:pPr>
              <w:rPr>
                <w:rFonts w:hint="eastAsia" w:ascii="仿宋" w:hAnsi="仿宋" w:eastAsia="仿宋" w:cs="仿宋"/>
                <w:color w:val="auto"/>
                <w:sz w:val="24"/>
                <w:highlight w:val="none"/>
              </w:rPr>
            </w:pPr>
          </w:p>
        </w:tc>
        <w:tc>
          <w:tcPr>
            <w:tcW w:w="2835" w:type="dxa"/>
            <w:gridSpan w:val="4"/>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在本项目中的职务</w:t>
            </w:r>
          </w:p>
        </w:tc>
        <w:tc>
          <w:tcPr>
            <w:tcW w:w="2694" w:type="dxa"/>
            <w:noWrap w:val="0"/>
            <w:vAlign w:val="center"/>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auto"/>
                <w:sz w:val="24"/>
                <w:highlight w:val="none"/>
              </w:rPr>
            </w:pPr>
            <w:r>
              <w:rPr>
                <w:rFonts w:hint="eastAsia" w:ascii="仿宋" w:hAnsi="仿宋" w:eastAsia="仿宋" w:cs="仿宋"/>
                <w:color w:val="auto"/>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4536" w:type="dxa"/>
            <w:gridSpan w:val="6"/>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bl>
    <w:p>
      <w:pPr>
        <w:spacing w:before="24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w:t>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numPr>
          <w:ilvl w:val="0"/>
          <w:numId w:val="0"/>
        </w:numPr>
        <w:spacing w:before="0" w:after="0" w:line="360" w:lineRule="auto"/>
        <w:rPr>
          <w:rFonts w:hint="eastAsia" w:ascii="仿宋" w:hAnsi="仿宋" w:eastAsia="仿宋" w:cs="仿宋"/>
          <w:color w:val="auto"/>
          <w:sz w:val="24"/>
          <w:szCs w:val="24"/>
          <w:highlight w:val="none"/>
        </w:rPr>
      </w:pPr>
      <w:bookmarkStart w:id="226" w:name="_Toc20365"/>
      <w:r>
        <w:rPr>
          <w:rFonts w:hint="eastAsia" w:ascii="仿宋" w:hAnsi="仿宋" w:eastAsia="仿宋" w:cs="仿宋"/>
          <w:color w:val="auto"/>
          <w:sz w:val="24"/>
          <w:szCs w:val="24"/>
          <w:highlight w:val="none"/>
        </w:rPr>
        <w:t>（三）其他材料</w:t>
      </w:r>
      <w:bookmarkEnd w:id="226"/>
    </w:p>
    <w:p>
      <w:pPr>
        <w:spacing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p>
      <w:pPr>
        <w:spacing w:line="360" w:lineRule="auto"/>
        <w:rPr>
          <w:rFonts w:hint="eastAsia" w:ascii="仿宋" w:hAnsi="仿宋" w:eastAsia="仿宋" w:cs="仿宋"/>
          <w:color w:val="auto"/>
          <w:sz w:val="24"/>
          <w:highlight w:val="none"/>
        </w:rPr>
        <w:sectPr>
          <w:type w:val="continuous"/>
          <w:pgSz w:w="11906" w:h="16838"/>
          <w:pgMar w:top="1417" w:right="1134" w:bottom="1134" w:left="1134" w:header="964" w:footer="964" w:gutter="0"/>
          <w:cols w:space="720" w:num="1"/>
          <w:docGrid w:linePitch="312" w:charSpace="0"/>
        </w:sect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三、报价文件</w:t>
      </w:r>
      <w:bookmarkEnd w:id="225"/>
    </w:p>
    <w:p>
      <w:pPr>
        <w:pStyle w:val="5"/>
        <w:spacing w:before="0" w:after="0" w:line="360" w:lineRule="auto"/>
        <w:ind w:firstLine="482"/>
        <w:rPr>
          <w:rFonts w:hint="eastAsia" w:ascii="仿宋" w:hAnsi="仿宋" w:eastAsia="仿宋" w:cs="仿宋"/>
          <w:color w:val="auto"/>
          <w:sz w:val="24"/>
          <w:szCs w:val="24"/>
          <w:highlight w:val="none"/>
        </w:rPr>
      </w:pPr>
      <w:bookmarkStart w:id="227" w:name="_Toc511726864"/>
      <w:bookmarkStart w:id="228" w:name="_Toc18942"/>
      <w:r>
        <w:rPr>
          <w:rFonts w:hint="eastAsia" w:ascii="仿宋" w:hAnsi="仿宋" w:eastAsia="仿宋" w:cs="仿宋"/>
          <w:color w:val="auto"/>
          <w:sz w:val="24"/>
          <w:szCs w:val="24"/>
          <w:highlight w:val="none"/>
        </w:rPr>
        <w:t>（一）报价</w:t>
      </w:r>
      <w:bookmarkEnd w:id="227"/>
      <w:r>
        <w:rPr>
          <w:rFonts w:hint="eastAsia" w:ascii="仿宋" w:hAnsi="仿宋" w:eastAsia="仿宋" w:cs="仿宋"/>
          <w:color w:val="auto"/>
          <w:sz w:val="24"/>
          <w:szCs w:val="24"/>
          <w:highlight w:val="none"/>
        </w:rPr>
        <w:t>一览表</w:t>
      </w:r>
      <w:bookmarkEnd w:id="228"/>
    </w:p>
    <w:p>
      <w:pPr>
        <w:pStyle w:val="13"/>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人保财险新疆</w:t>
      </w:r>
      <w:r>
        <w:rPr>
          <w:rFonts w:hint="eastAsia" w:ascii="仿宋" w:hAnsi="仿宋" w:eastAsia="仿宋" w:cs="仿宋"/>
          <w:color w:val="auto"/>
          <w:sz w:val="24"/>
          <w:szCs w:val="24"/>
          <w:highlight w:val="none"/>
          <w:u w:val="single"/>
          <w:lang w:val="en-US" w:eastAsia="zh-CN"/>
        </w:rPr>
        <w:t>特克斯</w:t>
      </w:r>
      <w:r>
        <w:rPr>
          <w:rFonts w:hint="eastAsia" w:ascii="仿宋" w:hAnsi="仿宋" w:eastAsia="仿宋" w:cs="仿宋"/>
          <w:color w:val="auto"/>
          <w:sz w:val="24"/>
          <w:szCs w:val="24"/>
          <w:highlight w:val="none"/>
          <w:u w:val="single"/>
        </w:rPr>
        <w:t xml:space="preserve">支公司职工食堂食材供应商采购项目 </w:t>
      </w:r>
      <w:r>
        <w:rPr>
          <w:rFonts w:hint="eastAsia" w:ascii="仿宋" w:hAnsi="仿宋" w:eastAsia="仿宋" w:cs="仿宋"/>
          <w:color w:val="auto"/>
          <w:sz w:val="24"/>
          <w:szCs w:val="24"/>
          <w:highlight w:val="none"/>
        </w:rPr>
        <w:t xml:space="preserve">  </w:t>
      </w:r>
    </w:p>
    <w:p>
      <w:pPr>
        <w:pStyle w:val="13"/>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40"/>
        <w:tblpPr w:leftFromText="180" w:rightFromText="180" w:vertAnchor="text" w:horzAnchor="page" w:tblpXSpec="center" w:tblpY="443"/>
        <w:tblOverlap w:val="never"/>
        <w:tblW w:w="865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768"/>
        <w:gridCol w:w="2051"/>
        <w:gridCol w:w="1063"/>
        <w:gridCol w:w="377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16" w:hRule="atLeast"/>
          <w:jc w:val="center"/>
        </w:trPr>
        <w:tc>
          <w:tcPr>
            <w:tcW w:w="1768" w:type="dxa"/>
            <w:tcBorders>
              <w:tl2br w:val="nil"/>
              <w:tr2bl w:val="nil"/>
            </w:tcBorders>
            <w:shd w:val="clear" w:color="auto" w:fill="E7E6E6"/>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品类</w:t>
            </w:r>
          </w:p>
        </w:tc>
        <w:tc>
          <w:tcPr>
            <w:tcW w:w="2051" w:type="dxa"/>
            <w:tcBorders>
              <w:tl2br w:val="nil"/>
              <w:tr2bl w:val="nil"/>
            </w:tcBorders>
            <w:shd w:val="clear" w:color="auto" w:fill="E7E6E6"/>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发票类型</w:t>
            </w:r>
          </w:p>
        </w:tc>
        <w:tc>
          <w:tcPr>
            <w:tcW w:w="1063" w:type="dxa"/>
            <w:tcBorders>
              <w:tl2br w:val="nil"/>
              <w:tr2bl w:val="nil"/>
            </w:tcBorders>
            <w:shd w:val="clear" w:color="auto" w:fill="E7E6E6"/>
            <w:noWrap w:val="0"/>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lang w:val="en-US" w:eastAsia="zh-CN"/>
              </w:rPr>
            </w:pPr>
            <w:r>
              <w:rPr>
                <w:rFonts w:hint="eastAsia" w:ascii="仿宋_GB2312" w:hAnsi="仿宋_GB2312" w:eastAsia="仿宋_GB2312" w:cs="仿宋_GB2312"/>
                <w:b/>
                <w:bCs/>
                <w:i w:val="0"/>
                <w:iCs w:val="0"/>
                <w:color w:val="000000"/>
                <w:sz w:val="22"/>
                <w:szCs w:val="22"/>
                <w:u w:val="none"/>
                <w:lang w:val="en-US" w:eastAsia="zh-CN"/>
              </w:rPr>
              <w:t>综合折扣率</w:t>
            </w:r>
          </w:p>
        </w:tc>
        <w:tc>
          <w:tcPr>
            <w:tcW w:w="3770" w:type="dxa"/>
            <w:tcBorders>
              <w:tl2br w:val="nil"/>
              <w:tr2bl w:val="nil"/>
            </w:tcBorders>
            <w:shd w:val="clear" w:color="auto" w:fill="E7E6E6"/>
            <w:noWrap w:val="0"/>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4" w:hRule="atLeast"/>
          <w:jc w:val="center"/>
        </w:trPr>
        <w:tc>
          <w:tcPr>
            <w:tcW w:w="1768" w:type="dxa"/>
            <w:tcBorders>
              <w:tl2br w:val="nil"/>
              <w:tr2bl w:val="nil"/>
            </w:tcBorders>
            <w:noWrap/>
            <w:vAlign w:val="center"/>
          </w:tcPr>
          <w:p>
            <w:pPr>
              <w:numPr>
                <w:ilvl w:val="0"/>
                <w:numId w:val="0"/>
              </w:numPr>
              <w:spacing w:line="360" w:lineRule="auto"/>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米面粮油干货杂粮类、蔬菜瓜果类、肉类（禽畜肉）、豆制品/蛋奶/调料等副食品类、水产类等食堂食材。</w:t>
            </w:r>
          </w:p>
        </w:tc>
        <w:tc>
          <w:tcPr>
            <w:tcW w:w="2051" w:type="dxa"/>
            <w:tcBorders>
              <w:tl2br w:val="nil"/>
              <w:tr2bl w:val="nil"/>
            </w:tcBorders>
            <w:noWrap/>
            <w:vAlign w:val="center"/>
          </w:tcPr>
          <w:p>
            <w:pPr>
              <w:numPr>
                <w:ilvl w:val="0"/>
                <w:numId w:val="0"/>
              </w:numPr>
              <w:spacing w:line="360" w:lineRule="auto"/>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 xml:space="preserve"> 增值税普通发票 </w:t>
            </w:r>
          </w:p>
          <w:p>
            <w:pPr>
              <w:numPr>
                <w:ilvl w:val="0"/>
                <w:numId w:val="0"/>
              </w:numPr>
              <w:spacing w:line="360" w:lineRule="auto"/>
              <w:rPr>
                <w:rFonts w:hint="eastAsia" w:ascii="仿宋" w:hAnsi="仿宋" w:eastAsia="仿宋"/>
                <w:bCs/>
                <w:color w:val="auto"/>
                <w:sz w:val="24"/>
                <w:highlight w:val="none"/>
                <w:lang w:val="en-US" w:eastAsia="zh-CN"/>
              </w:rPr>
            </w:pPr>
          </w:p>
        </w:tc>
        <w:tc>
          <w:tcPr>
            <w:tcW w:w="1063" w:type="dxa"/>
            <w:tcBorders>
              <w:tl2br w:val="nil"/>
              <w:tr2bl w:val="nil"/>
            </w:tcBorders>
            <w:noWrap w:val="0"/>
            <w:vAlign w:val="center"/>
          </w:tcPr>
          <w:p>
            <w:pPr>
              <w:numPr>
                <w:ilvl w:val="0"/>
                <w:numId w:val="0"/>
              </w:numPr>
              <w:spacing w:line="360" w:lineRule="auto"/>
              <w:rPr>
                <w:rFonts w:hint="eastAsia" w:ascii="仿宋" w:hAnsi="仿宋" w:eastAsia="仿宋"/>
                <w:bCs/>
                <w:color w:val="auto"/>
                <w:sz w:val="24"/>
                <w:highlight w:val="none"/>
                <w:lang w:val="en-US" w:eastAsia="zh-CN"/>
              </w:rPr>
            </w:pPr>
          </w:p>
        </w:tc>
        <w:tc>
          <w:tcPr>
            <w:tcW w:w="3770" w:type="dxa"/>
            <w:tcBorders>
              <w:bottom w:val="single" w:color="auto" w:sz="4" w:space="0"/>
              <w:tl2br w:val="nil"/>
              <w:tr2bl w:val="nil"/>
            </w:tcBorders>
            <w:noWrap w:val="0"/>
            <w:vAlign w:val="center"/>
          </w:tcPr>
          <w:p>
            <w:pPr>
              <w:numPr>
                <w:ilvl w:val="0"/>
                <w:numId w:val="0"/>
              </w:numPr>
              <w:spacing w:line="360" w:lineRule="auto"/>
              <w:rPr>
                <w:rFonts w:hint="eastAsia" w:ascii="仿宋" w:hAnsi="仿宋" w:eastAsia="仿宋"/>
                <w:bCs/>
                <w:color w:val="auto"/>
                <w:sz w:val="24"/>
                <w:highlight w:val="none"/>
                <w:lang w:val="en-US" w:eastAsia="zh-CN"/>
              </w:rPr>
            </w:pPr>
            <w:r>
              <w:rPr>
                <w:rFonts w:hint="eastAsia" w:ascii="仿宋" w:hAnsi="仿宋" w:eastAsia="仿宋"/>
                <w:bCs/>
                <w:color w:val="auto"/>
                <w:sz w:val="24"/>
                <w:highlight w:val="none"/>
                <w:lang w:val="en-US" w:eastAsia="zh-CN"/>
              </w:rPr>
              <w:t>供应商供货价格以美团外卖供销惠民超市同期商品销售价格为基准给予相应折扣率</w:t>
            </w:r>
          </w:p>
        </w:tc>
      </w:tr>
    </w:tbl>
    <w:p>
      <w:pPr>
        <w:widowControl/>
        <w:jc w:val="center"/>
        <w:textAlignment w:val="center"/>
        <w:rPr>
          <w:rFonts w:hint="eastAsia" w:ascii="仿宋" w:hAnsi="仿宋" w:eastAsia="仿宋" w:cs="仿宋"/>
          <w:color w:val="auto"/>
          <w:kern w:val="0"/>
          <w:szCs w:val="21"/>
          <w:highlight w:val="none"/>
          <w:lang w:bidi="ar"/>
        </w:rPr>
      </w:pPr>
    </w:p>
    <w:p>
      <w:pPr>
        <w:spacing w:line="360" w:lineRule="auto"/>
        <w:rPr>
          <w:rFonts w:ascii="仿宋" w:hAnsi="仿宋" w:eastAsia="仿宋" w:cs="仿宋"/>
          <w:bCs/>
          <w:color w:val="auto"/>
          <w:sz w:val="24"/>
          <w:highlight w:val="none"/>
        </w:rPr>
      </w:pP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pPr>
        <w:numPr>
          <w:ilvl w:val="0"/>
          <w:numId w:val="0"/>
        </w:numPr>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1.</w:t>
      </w:r>
      <w:r>
        <w:rPr>
          <w:rFonts w:hint="eastAsia" w:ascii="仿宋" w:hAnsi="仿宋" w:eastAsia="仿宋"/>
          <w:bCs/>
          <w:color w:val="auto"/>
          <w:sz w:val="24"/>
          <w:highlight w:val="none"/>
        </w:rPr>
        <w:t>本次报价</w:t>
      </w:r>
      <w:r>
        <w:rPr>
          <w:rFonts w:hint="eastAsia" w:ascii="仿宋" w:hAnsi="仿宋" w:eastAsia="仿宋"/>
          <w:bCs/>
          <w:color w:val="auto"/>
          <w:sz w:val="24"/>
          <w:highlight w:val="none"/>
          <w:lang w:val="en-US" w:eastAsia="zh-CN"/>
        </w:rPr>
        <w:t>为</w:t>
      </w:r>
      <w:r>
        <w:rPr>
          <w:rFonts w:hint="eastAsia" w:ascii="仿宋" w:hAnsi="仿宋" w:eastAsia="仿宋"/>
          <w:bCs/>
          <w:color w:val="auto"/>
          <w:sz w:val="24"/>
          <w:highlight w:val="none"/>
        </w:rPr>
        <w:t>全</w:t>
      </w:r>
      <w:r>
        <w:rPr>
          <w:rFonts w:hint="eastAsia" w:ascii="仿宋" w:hAnsi="仿宋" w:eastAsia="仿宋"/>
          <w:bCs/>
          <w:color w:val="auto"/>
          <w:sz w:val="24"/>
          <w:highlight w:val="none"/>
          <w:lang w:val="en-US" w:eastAsia="zh-CN"/>
        </w:rPr>
        <w:t>部食堂食材</w:t>
      </w:r>
      <w:r>
        <w:rPr>
          <w:rFonts w:hint="eastAsia" w:ascii="仿宋" w:hAnsi="仿宋" w:eastAsia="仿宋"/>
          <w:bCs/>
          <w:color w:val="auto"/>
          <w:sz w:val="24"/>
          <w:highlight w:val="none"/>
        </w:rPr>
        <w:t>品类</w:t>
      </w:r>
      <w:r>
        <w:rPr>
          <w:rFonts w:hint="eastAsia" w:ascii="仿宋" w:hAnsi="仿宋" w:eastAsia="仿宋"/>
          <w:bCs/>
          <w:color w:val="auto"/>
          <w:sz w:val="24"/>
          <w:highlight w:val="none"/>
          <w:lang w:eastAsia="zh-CN"/>
        </w:rPr>
        <w:t>，</w:t>
      </w:r>
      <w:r>
        <w:rPr>
          <w:rFonts w:hint="eastAsia" w:ascii="仿宋" w:hAnsi="仿宋" w:eastAsia="仿宋"/>
          <w:bCs/>
          <w:color w:val="auto"/>
          <w:sz w:val="24"/>
          <w:highlight w:val="none"/>
          <w:lang w:val="en-US" w:eastAsia="zh-CN"/>
        </w:rPr>
        <w:t>按</w:t>
      </w:r>
      <w:r>
        <w:rPr>
          <w:rFonts w:hint="eastAsia" w:ascii="仿宋" w:hAnsi="仿宋" w:eastAsia="仿宋"/>
          <w:bCs/>
          <w:color w:val="auto"/>
          <w:sz w:val="24"/>
          <w:highlight w:val="none"/>
        </w:rPr>
        <w:t>综合折扣率报价，精确到小数点后两位（四舍五入）。</w:t>
      </w:r>
    </w:p>
    <w:p>
      <w:pPr>
        <w:pStyle w:val="107"/>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2.供应商供货价格以每月</w:t>
      </w:r>
      <w:r>
        <w:rPr>
          <w:rFonts w:hint="eastAsia" w:ascii="仿宋" w:hAnsi="仿宋" w:eastAsia="仿宋"/>
          <w:bCs/>
          <w:color w:val="auto"/>
          <w:sz w:val="24"/>
          <w:highlight w:val="none"/>
          <w:lang w:val="en-US" w:eastAsia="zh-CN"/>
        </w:rPr>
        <w:t>美团外卖供销惠民超市</w:t>
      </w:r>
      <w:r>
        <w:rPr>
          <w:rFonts w:hint="eastAsia" w:ascii="仿宋" w:hAnsi="仿宋" w:eastAsia="仿宋" w:cs="宋体"/>
          <w:bCs/>
          <w:color w:val="auto"/>
          <w:sz w:val="24"/>
          <w:highlight w:val="none"/>
          <w:lang w:val="en-US" w:eastAsia="zh-CN"/>
        </w:rPr>
        <w:t>同期商品销售价格为基准给予相应折扣率。</w:t>
      </w:r>
    </w:p>
    <w:p>
      <w:pPr>
        <w:pStyle w:val="107"/>
        <w:numPr>
          <w:ilvl w:val="0"/>
          <w:numId w:val="0"/>
        </w:numPr>
        <w:spacing w:line="360" w:lineRule="auto"/>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3.综合折扣率小于100%。</w:t>
      </w:r>
    </w:p>
    <w:p>
      <w:pPr>
        <w:spacing w:line="360" w:lineRule="auto"/>
        <w:jc w:val="both"/>
        <w:rPr>
          <w:rFonts w:hint="eastAsia" w:ascii="仿宋" w:hAnsi="仿宋" w:eastAsia="仿宋" w:cs="仿宋"/>
          <w:color w:val="auto"/>
          <w:sz w:val="24"/>
          <w:highlight w:val="none"/>
        </w:rPr>
      </w:pPr>
    </w:p>
    <w:p>
      <w:pPr>
        <w:numPr>
          <w:ilvl w:val="0"/>
          <w:numId w:val="1"/>
        </w:numPr>
        <w:spacing w:line="440" w:lineRule="exact"/>
        <w:jc w:val="right"/>
        <w:rPr>
          <w:rFonts w:ascii="仿宋" w:hAnsi="仿宋" w:eastAsia="仿宋" w:cs="宋体"/>
          <w:color w:val="auto"/>
          <w:sz w:val="24"/>
          <w:highlight w:val="none"/>
        </w:rPr>
      </w:pPr>
      <w:bookmarkStart w:id="229" w:name="_Toc530319762"/>
      <w:bookmarkStart w:id="230" w:name="_Toc482180015"/>
      <w:bookmarkStart w:id="231" w:name="_Toc16591840"/>
      <w:bookmarkStart w:id="232" w:name="_Toc517281864"/>
      <w:bookmarkStart w:id="233" w:name="_Toc518302646"/>
      <w:bookmarkStart w:id="234" w:name="_Toc2267055"/>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bookmarkEnd w:id="229"/>
    <w:bookmarkEnd w:id="230"/>
    <w:bookmarkEnd w:id="231"/>
    <w:bookmarkEnd w:id="232"/>
    <w:bookmarkEnd w:id="233"/>
    <w:bookmarkEnd w:id="234"/>
    <w:p>
      <w:pPr>
        <w:pStyle w:val="5"/>
        <w:numPr>
          <w:ilvl w:val="5"/>
          <w:numId w:val="0"/>
        </w:numPr>
        <w:spacing w:line="360" w:lineRule="auto"/>
        <w:ind w:leftChars="0"/>
        <w:jc w:val="both"/>
        <w:rPr>
          <w:rFonts w:hint="eastAsia" w:eastAsia="宋体"/>
          <w:color w:val="auto"/>
          <w:lang w:val="en-US" w:eastAsia="zh-CN"/>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JXuNnSAQAApA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lrchEtKLDM48dPPH6df&#10;f06/v5PLpE/voca0e4+JcfjkBsyd7wEvE+1BBpO+SIhgHNU9ntUVQyQ8PaqWVVViiGNsdhC/eHru&#10;A8Rb4QxJRkMDji+ryg6fIY6pc0qqZt2N0jqPUFvSI+pV9eEqvziHEF1bLJJYjN0mKw7bYaK2de0R&#10;mfW4Aw21uPKU6DuLEqd1mY0wG9vZ2Pugdl3ep9QK+I/7iO3kLlOFEXYqjMPLPKdFS9vx3M9ZTz/X&#10;+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Ale42d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B7E95"/>
    <w:multiLevelType w:val="singleLevel"/>
    <w:tmpl w:val="836B7E95"/>
    <w:lvl w:ilvl="0" w:tentative="0">
      <w:start w:val="1"/>
      <w:numFmt w:val="chineseCounting"/>
      <w:suff w:val="space"/>
      <w:lvlText w:val="（%1）"/>
      <w:lvlJc w:val="left"/>
      <w:rPr>
        <w:rFonts w:hint="eastAsia"/>
      </w:rPr>
    </w:lvl>
  </w:abstractNum>
  <w:abstractNum w:abstractNumId="1">
    <w:nsid w:val="8815E044"/>
    <w:multiLevelType w:val="singleLevel"/>
    <w:tmpl w:val="8815E044"/>
    <w:lvl w:ilvl="0" w:tentative="0">
      <w:start w:val="1"/>
      <w:numFmt w:val="chineseCounting"/>
      <w:suff w:val="space"/>
      <w:lvlText w:val="（%1）"/>
      <w:lvlJc w:val="left"/>
      <w:rPr>
        <w:rFonts w:hint="eastAsia"/>
      </w:rPr>
    </w:lvl>
  </w:abstractNum>
  <w:abstractNum w:abstractNumId="2">
    <w:nsid w:val="89B80E99"/>
    <w:multiLevelType w:val="singleLevel"/>
    <w:tmpl w:val="89B80E99"/>
    <w:lvl w:ilvl="0" w:tentative="0">
      <w:start w:val="1"/>
      <w:numFmt w:val="decimal"/>
      <w:suff w:val="nothing"/>
      <w:lvlText w:val="（%1）"/>
      <w:lvlJc w:val="left"/>
    </w:lvl>
  </w:abstractNum>
  <w:abstractNum w:abstractNumId="3">
    <w:nsid w:val="9E2841F9"/>
    <w:multiLevelType w:val="singleLevel"/>
    <w:tmpl w:val="9E2841F9"/>
    <w:lvl w:ilvl="0" w:tentative="0">
      <w:start w:val="3"/>
      <w:numFmt w:val="chineseCounting"/>
      <w:suff w:val="nothing"/>
      <w:lvlText w:val="%1、"/>
      <w:lvlJc w:val="left"/>
      <w:rPr>
        <w:rFonts w:hint="eastAsia"/>
      </w:rPr>
    </w:lvl>
  </w:abstractNum>
  <w:abstractNum w:abstractNumId="4">
    <w:nsid w:val="AA4D65FB"/>
    <w:multiLevelType w:val="singleLevel"/>
    <w:tmpl w:val="AA4D65FB"/>
    <w:lvl w:ilvl="0" w:tentative="0">
      <w:start w:val="1"/>
      <w:numFmt w:val="decimal"/>
      <w:suff w:val="nothing"/>
      <w:lvlText w:val="（%1）"/>
      <w:lvlJc w:val="left"/>
    </w:lvl>
  </w:abstractNum>
  <w:abstractNum w:abstractNumId="5">
    <w:nsid w:val="E67466D5"/>
    <w:multiLevelType w:val="singleLevel"/>
    <w:tmpl w:val="E67466D5"/>
    <w:lvl w:ilvl="0" w:tentative="0">
      <w:start w:val="1"/>
      <w:numFmt w:val="decimal"/>
      <w:suff w:val="nothing"/>
      <w:lvlText w:val="（%1）"/>
      <w:lvlJc w:val="left"/>
      <w:pPr>
        <w:ind w:left="-62"/>
      </w:pPr>
    </w:lvl>
  </w:abstractNum>
  <w:abstractNum w:abstractNumId="6">
    <w:nsid w:val="F0EEB351"/>
    <w:multiLevelType w:val="singleLevel"/>
    <w:tmpl w:val="F0EEB351"/>
    <w:lvl w:ilvl="0" w:tentative="0">
      <w:start w:val="3"/>
      <w:numFmt w:val="chineseCounting"/>
      <w:suff w:val="space"/>
      <w:lvlText w:val="第%1条"/>
      <w:lvlJc w:val="left"/>
      <w:rPr>
        <w:rFonts w:hint="eastAsia"/>
      </w:rPr>
    </w:lvl>
  </w:abstractNum>
  <w:abstractNum w:abstractNumId="7">
    <w:nsid w:val="F225E0D1"/>
    <w:multiLevelType w:val="singleLevel"/>
    <w:tmpl w:val="F225E0D1"/>
    <w:lvl w:ilvl="0" w:tentative="0">
      <w:start w:val="1"/>
      <w:numFmt w:val="chineseCounting"/>
      <w:suff w:val="space"/>
      <w:lvlText w:val="（%1）"/>
      <w:lvlJc w:val="left"/>
      <w:rPr>
        <w:rFonts w:hint="eastAsia"/>
      </w:rPr>
    </w:lvl>
  </w:abstractNum>
  <w:abstractNum w:abstractNumId="8">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9">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10">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11">
    <w:nsid w:val="099FD8FE"/>
    <w:multiLevelType w:val="singleLevel"/>
    <w:tmpl w:val="099FD8FE"/>
    <w:lvl w:ilvl="0" w:tentative="0">
      <w:start w:val="2"/>
      <w:numFmt w:val="decimal"/>
      <w:suff w:val="nothing"/>
      <w:lvlText w:val="%1．"/>
      <w:lvlJc w:val="left"/>
    </w:lvl>
  </w:abstractNum>
  <w:abstractNum w:abstractNumId="12">
    <w:nsid w:val="17994330"/>
    <w:multiLevelType w:val="singleLevel"/>
    <w:tmpl w:val="17994330"/>
    <w:lvl w:ilvl="0" w:tentative="0">
      <w:start w:val="1"/>
      <w:numFmt w:val="chineseCounting"/>
      <w:suff w:val="space"/>
      <w:lvlText w:val="（%1）"/>
      <w:lvlJc w:val="left"/>
      <w:rPr>
        <w:rFonts w:hint="eastAsia"/>
      </w:rPr>
    </w:lvl>
  </w:abstractNum>
  <w:abstractNum w:abstractNumId="13">
    <w:nsid w:val="226EB30E"/>
    <w:multiLevelType w:val="singleLevel"/>
    <w:tmpl w:val="226EB30E"/>
    <w:lvl w:ilvl="0" w:tentative="0">
      <w:start w:val="1"/>
      <w:numFmt w:val="chineseCounting"/>
      <w:suff w:val="space"/>
      <w:lvlText w:val="（%1）"/>
      <w:lvlJc w:val="left"/>
      <w:rPr>
        <w:rFonts w:hint="eastAsia"/>
      </w:rPr>
    </w:lvl>
  </w:abstractNum>
  <w:abstractNum w:abstractNumId="14">
    <w:nsid w:val="27BA9E72"/>
    <w:multiLevelType w:val="singleLevel"/>
    <w:tmpl w:val="27BA9E72"/>
    <w:lvl w:ilvl="0" w:tentative="0">
      <w:start w:val="1"/>
      <w:numFmt w:val="chineseCounting"/>
      <w:suff w:val="space"/>
      <w:lvlText w:val="（%1）"/>
      <w:lvlJc w:val="left"/>
      <w:rPr>
        <w:rFonts w:hint="eastAsia"/>
      </w:rPr>
    </w:lvl>
  </w:abstractNum>
  <w:abstractNum w:abstractNumId="15">
    <w:nsid w:val="37E34ACE"/>
    <w:multiLevelType w:val="singleLevel"/>
    <w:tmpl w:val="37E34ACE"/>
    <w:lvl w:ilvl="0" w:tentative="0">
      <w:start w:val="1"/>
      <w:numFmt w:val="chineseCounting"/>
      <w:suff w:val="space"/>
      <w:lvlText w:val="（%1）"/>
      <w:lvlJc w:val="left"/>
      <w:rPr>
        <w:rFonts w:hint="eastAsia"/>
      </w:rPr>
    </w:lvl>
  </w:abstractNum>
  <w:abstractNum w:abstractNumId="16">
    <w:nsid w:val="527E2589"/>
    <w:multiLevelType w:val="singleLevel"/>
    <w:tmpl w:val="527E2589"/>
    <w:lvl w:ilvl="0" w:tentative="0">
      <w:start w:val="1"/>
      <w:numFmt w:val="decimal"/>
      <w:suff w:val="nothing"/>
      <w:lvlText w:val="（%1）"/>
      <w:lvlJc w:val="left"/>
      <w:pPr>
        <w:ind w:left="-62" w:firstLine="0"/>
      </w:pPr>
    </w:lvl>
  </w:abstractNum>
  <w:abstractNum w:abstractNumId="17">
    <w:nsid w:val="6019B689"/>
    <w:multiLevelType w:val="singleLevel"/>
    <w:tmpl w:val="6019B689"/>
    <w:lvl w:ilvl="0" w:tentative="0">
      <w:start w:val="6"/>
      <w:numFmt w:val="chineseCounting"/>
      <w:suff w:val="space"/>
      <w:lvlText w:val="第%1章"/>
      <w:lvlJc w:val="left"/>
      <w:rPr>
        <w:rFonts w:hint="eastAsia"/>
      </w:rPr>
    </w:lvl>
  </w:abstractNum>
  <w:abstractNum w:abstractNumId="18">
    <w:nsid w:val="71322D3C"/>
    <w:multiLevelType w:val="singleLevel"/>
    <w:tmpl w:val="71322D3C"/>
    <w:lvl w:ilvl="0" w:tentative="0">
      <w:start w:val="1"/>
      <w:numFmt w:val="chineseCounting"/>
      <w:suff w:val="nothing"/>
      <w:lvlText w:val="（%1）"/>
      <w:lvlJc w:val="left"/>
      <w:rPr>
        <w:rFonts w:hint="eastAsia"/>
      </w:rPr>
    </w:lvl>
  </w:abstractNum>
  <w:num w:numId="1">
    <w:abstractNumId w:val="9"/>
  </w:num>
  <w:num w:numId="2">
    <w:abstractNumId w:val="8"/>
  </w:num>
  <w:num w:numId="3">
    <w:abstractNumId w:val="10"/>
  </w:num>
  <w:num w:numId="4">
    <w:abstractNumId w:val="3"/>
  </w:num>
  <w:num w:numId="5">
    <w:abstractNumId w:val="5"/>
  </w:num>
  <w:num w:numId="6">
    <w:abstractNumId w:val="6"/>
  </w:num>
  <w:num w:numId="7">
    <w:abstractNumId w:val="4"/>
  </w:num>
  <w:num w:numId="8">
    <w:abstractNumId w:val="2"/>
  </w:num>
  <w:num w:numId="9">
    <w:abstractNumId w:val="7"/>
  </w:num>
  <w:num w:numId="10">
    <w:abstractNumId w:val="15"/>
  </w:num>
  <w:num w:numId="11">
    <w:abstractNumId w:val="0"/>
  </w:num>
  <w:num w:numId="12">
    <w:abstractNumId w:val="12"/>
  </w:num>
  <w:num w:numId="13">
    <w:abstractNumId w:val="16"/>
  </w:num>
  <w:num w:numId="14">
    <w:abstractNumId w:val="14"/>
  </w:num>
  <w:num w:numId="15">
    <w:abstractNumId w:val="1"/>
  </w:num>
  <w:num w:numId="16">
    <w:abstractNumId w:val="13"/>
  </w:num>
  <w:num w:numId="17">
    <w:abstractNumId w:val="11"/>
  </w:num>
  <w:num w:numId="18">
    <w:abstractNumId w:val="1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3CE4"/>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6BC5"/>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04752"/>
    <w:rsid w:val="01021808"/>
    <w:rsid w:val="01064676"/>
    <w:rsid w:val="01137ECF"/>
    <w:rsid w:val="01191F36"/>
    <w:rsid w:val="01241D66"/>
    <w:rsid w:val="014A3244"/>
    <w:rsid w:val="01A51AFF"/>
    <w:rsid w:val="01B95421"/>
    <w:rsid w:val="020B1354"/>
    <w:rsid w:val="022D32CB"/>
    <w:rsid w:val="022F7D7B"/>
    <w:rsid w:val="025825CC"/>
    <w:rsid w:val="025A55E9"/>
    <w:rsid w:val="027E5350"/>
    <w:rsid w:val="029442A4"/>
    <w:rsid w:val="0295381B"/>
    <w:rsid w:val="02A23766"/>
    <w:rsid w:val="02BC63B4"/>
    <w:rsid w:val="02FA371D"/>
    <w:rsid w:val="0317318F"/>
    <w:rsid w:val="034D12D4"/>
    <w:rsid w:val="035C2662"/>
    <w:rsid w:val="03637FE7"/>
    <w:rsid w:val="0373126B"/>
    <w:rsid w:val="0376348B"/>
    <w:rsid w:val="0388663C"/>
    <w:rsid w:val="03A97929"/>
    <w:rsid w:val="03C32A6F"/>
    <w:rsid w:val="03CC1DF8"/>
    <w:rsid w:val="03CE20DF"/>
    <w:rsid w:val="03D57B0C"/>
    <w:rsid w:val="03FB034A"/>
    <w:rsid w:val="040E0780"/>
    <w:rsid w:val="047A6254"/>
    <w:rsid w:val="047B6B74"/>
    <w:rsid w:val="04BE1034"/>
    <w:rsid w:val="04D0480D"/>
    <w:rsid w:val="04D34B21"/>
    <w:rsid w:val="04D81D11"/>
    <w:rsid w:val="04E3013A"/>
    <w:rsid w:val="04E353B7"/>
    <w:rsid w:val="04E366BD"/>
    <w:rsid w:val="04F10A9B"/>
    <w:rsid w:val="050E1D07"/>
    <w:rsid w:val="0515460A"/>
    <w:rsid w:val="052076F5"/>
    <w:rsid w:val="05371AE5"/>
    <w:rsid w:val="05384281"/>
    <w:rsid w:val="053F6840"/>
    <w:rsid w:val="05525152"/>
    <w:rsid w:val="05656DAB"/>
    <w:rsid w:val="058A7B8F"/>
    <w:rsid w:val="059874F0"/>
    <w:rsid w:val="059E0622"/>
    <w:rsid w:val="05CD1AD2"/>
    <w:rsid w:val="05D050F7"/>
    <w:rsid w:val="05F9607E"/>
    <w:rsid w:val="05FE2BF2"/>
    <w:rsid w:val="06402ABA"/>
    <w:rsid w:val="064E339A"/>
    <w:rsid w:val="068D6A93"/>
    <w:rsid w:val="069E6AB1"/>
    <w:rsid w:val="06A26061"/>
    <w:rsid w:val="06CE7668"/>
    <w:rsid w:val="06E00027"/>
    <w:rsid w:val="06E25B52"/>
    <w:rsid w:val="06EA222C"/>
    <w:rsid w:val="072D2162"/>
    <w:rsid w:val="073518D0"/>
    <w:rsid w:val="07354BC2"/>
    <w:rsid w:val="07442036"/>
    <w:rsid w:val="0750320D"/>
    <w:rsid w:val="079E0D8E"/>
    <w:rsid w:val="07CD7297"/>
    <w:rsid w:val="082B0828"/>
    <w:rsid w:val="085C77EA"/>
    <w:rsid w:val="08834932"/>
    <w:rsid w:val="089A7172"/>
    <w:rsid w:val="08B05320"/>
    <w:rsid w:val="08E9597F"/>
    <w:rsid w:val="08F900D1"/>
    <w:rsid w:val="08F935C9"/>
    <w:rsid w:val="09045CE0"/>
    <w:rsid w:val="096106DB"/>
    <w:rsid w:val="09696FDD"/>
    <w:rsid w:val="096C5C89"/>
    <w:rsid w:val="097313E3"/>
    <w:rsid w:val="09771A8A"/>
    <w:rsid w:val="097A7E27"/>
    <w:rsid w:val="09813EE4"/>
    <w:rsid w:val="09A17C7A"/>
    <w:rsid w:val="09A54C50"/>
    <w:rsid w:val="09BC6028"/>
    <w:rsid w:val="09CD4DDF"/>
    <w:rsid w:val="09D35269"/>
    <w:rsid w:val="09DD448E"/>
    <w:rsid w:val="09DD6A43"/>
    <w:rsid w:val="09FD0A32"/>
    <w:rsid w:val="0A113F39"/>
    <w:rsid w:val="0A2B31CA"/>
    <w:rsid w:val="0A31709A"/>
    <w:rsid w:val="0A534AFF"/>
    <w:rsid w:val="0A5A5EB7"/>
    <w:rsid w:val="0A6F3443"/>
    <w:rsid w:val="0AAE469B"/>
    <w:rsid w:val="0AB51B2D"/>
    <w:rsid w:val="0B104CB8"/>
    <w:rsid w:val="0B107D8C"/>
    <w:rsid w:val="0B154BBD"/>
    <w:rsid w:val="0B325F44"/>
    <w:rsid w:val="0B471BC9"/>
    <w:rsid w:val="0B6866EB"/>
    <w:rsid w:val="0B7071B5"/>
    <w:rsid w:val="0B825EDB"/>
    <w:rsid w:val="0BA15102"/>
    <w:rsid w:val="0BC5420A"/>
    <w:rsid w:val="0BCA3D41"/>
    <w:rsid w:val="0BCC1983"/>
    <w:rsid w:val="0C2057FC"/>
    <w:rsid w:val="0C2D66FE"/>
    <w:rsid w:val="0C47430A"/>
    <w:rsid w:val="0C5E3191"/>
    <w:rsid w:val="0C616454"/>
    <w:rsid w:val="0C682709"/>
    <w:rsid w:val="0C764AAB"/>
    <w:rsid w:val="0C7A707B"/>
    <w:rsid w:val="0C864E88"/>
    <w:rsid w:val="0C8C7B9F"/>
    <w:rsid w:val="0C9475E1"/>
    <w:rsid w:val="0CA62E5A"/>
    <w:rsid w:val="0CB43017"/>
    <w:rsid w:val="0CB54192"/>
    <w:rsid w:val="0CD32AA0"/>
    <w:rsid w:val="0CE41E67"/>
    <w:rsid w:val="0D13072B"/>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43AD6"/>
    <w:rsid w:val="0E183F30"/>
    <w:rsid w:val="0E1C1B02"/>
    <w:rsid w:val="0E1D2CA7"/>
    <w:rsid w:val="0E2E2851"/>
    <w:rsid w:val="0E4571B4"/>
    <w:rsid w:val="0E513A96"/>
    <w:rsid w:val="0E5F6463"/>
    <w:rsid w:val="0E6A0CB4"/>
    <w:rsid w:val="0E79874A"/>
    <w:rsid w:val="0E7F55DC"/>
    <w:rsid w:val="0E824CB1"/>
    <w:rsid w:val="0E893E01"/>
    <w:rsid w:val="0EA11B7B"/>
    <w:rsid w:val="0EEC37BE"/>
    <w:rsid w:val="0F0E2DBE"/>
    <w:rsid w:val="0F1555F1"/>
    <w:rsid w:val="0F20699C"/>
    <w:rsid w:val="0F22624D"/>
    <w:rsid w:val="0F3A5822"/>
    <w:rsid w:val="0F5A309E"/>
    <w:rsid w:val="0F5B2BA4"/>
    <w:rsid w:val="0F7F0CB4"/>
    <w:rsid w:val="0F864AF8"/>
    <w:rsid w:val="0F891808"/>
    <w:rsid w:val="0F9B351F"/>
    <w:rsid w:val="0FD05B7C"/>
    <w:rsid w:val="0FE26F7E"/>
    <w:rsid w:val="0FF86998"/>
    <w:rsid w:val="0FFB69DA"/>
    <w:rsid w:val="0FFF9E23"/>
    <w:rsid w:val="101F0F91"/>
    <w:rsid w:val="104D2298"/>
    <w:rsid w:val="106C63A9"/>
    <w:rsid w:val="10732690"/>
    <w:rsid w:val="10800E1A"/>
    <w:rsid w:val="108A3181"/>
    <w:rsid w:val="10933928"/>
    <w:rsid w:val="10E053CE"/>
    <w:rsid w:val="10EA5F4D"/>
    <w:rsid w:val="111A12C3"/>
    <w:rsid w:val="11437F75"/>
    <w:rsid w:val="115A4A6C"/>
    <w:rsid w:val="115C71C8"/>
    <w:rsid w:val="117A67CD"/>
    <w:rsid w:val="118A5482"/>
    <w:rsid w:val="119D010A"/>
    <w:rsid w:val="11CB154F"/>
    <w:rsid w:val="11D57FF6"/>
    <w:rsid w:val="11EC0DBF"/>
    <w:rsid w:val="11EF5B10"/>
    <w:rsid w:val="12003074"/>
    <w:rsid w:val="12042B6A"/>
    <w:rsid w:val="127A3676"/>
    <w:rsid w:val="1283653C"/>
    <w:rsid w:val="128D0ACD"/>
    <w:rsid w:val="128D76FB"/>
    <w:rsid w:val="12934B57"/>
    <w:rsid w:val="12AF0785"/>
    <w:rsid w:val="12B5001B"/>
    <w:rsid w:val="12B74C45"/>
    <w:rsid w:val="12B97E85"/>
    <w:rsid w:val="12CD1AB2"/>
    <w:rsid w:val="12E02111"/>
    <w:rsid w:val="12E0359D"/>
    <w:rsid w:val="12E3158A"/>
    <w:rsid w:val="12F32B68"/>
    <w:rsid w:val="131948E0"/>
    <w:rsid w:val="13326301"/>
    <w:rsid w:val="134B49D1"/>
    <w:rsid w:val="13774559"/>
    <w:rsid w:val="13831D0F"/>
    <w:rsid w:val="13852723"/>
    <w:rsid w:val="13A07D1C"/>
    <w:rsid w:val="13AA6C7A"/>
    <w:rsid w:val="13AF12D1"/>
    <w:rsid w:val="13D97F0D"/>
    <w:rsid w:val="13DB77D7"/>
    <w:rsid w:val="14017795"/>
    <w:rsid w:val="142F57EF"/>
    <w:rsid w:val="144374FB"/>
    <w:rsid w:val="146A774B"/>
    <w:rsid w:val="146B5DFA"/>
    <w:rsid w:val="146E33A4"/>
    <w:rsid w:val="14833540"/>
    <w:rsid w:val="14887B0E"/>
    <w:rsid w:val="14946069"/>
    <w:rsid w:val="14A93F80"/>
    <w:rsid w:val="14E145A4"/>
    <w:rsid w:val="14E20675"/>
    <w:rsid w:val="151D2E85"/>
    <w:rsid w:val="151E685E"/>
    <w:rsid w:val="152315CE"/>
    <w:rsid w:val="153A298B"/>
    <w:rsid w:val="155C7174"/>
    <w:rsid w:val="15702ADB"/>
    <w:rsid w:val="15741B58"/>
    <w:rsid w:val="157F4238"/>
    <w:rsid w:val="15942E62"/>
    <w:rsid w:val="159D78C3"/>
    <w:rsid w:val="15B8776F"/>
    <w:rsid w:val="15C80049"/>
    <w:rsid w:val="15DC403B"/>
    <w:rsid w:val="15FC4DAB"/>
    <w:rsid w:val="161F262E"/>
    <w:rsid w:val="16353638"/>
    <w:rsid w:val="16444AAD"/>
    <w:rsid w:val="164729D6"/>
    <w:rsid w:val="16623343"/>
    <w:rsid w:val="167639EE"/>
    <w:rsid w:val="16952AE1"/>
    <w:rsid w:val="16987D08"/>
    <w:rsid w:val="16B000D0"/>
    <w:rsid w:val="16C06700"/>
    <w:rsid w:val="16D74B54"/>
    <w:rsid w:val="16F64A51"/>
    <w:rsid w:val="1703020F"/>
    <w:rsid w:val="1712563F"/>
    <w:rsid w:val="171728C0"/>
    <w:rsid w:val="1731377E"/>
    <w:rsid w:val="173B45EA"/>
    <w:rsid w:val="175824DC"/>
    <w:rsid w:val="17684F4D"/>
    <w:rsid w:val="1771520B"/>
    <w:rsid w:val="17A02F74"/>
    <w:rsid w:val="17A64703"/>
    <w:rsid w:val="17AF94C5"/>
    <w:rsid w:val="17D426A8"/>
    <w:rsid w:val="17D430F8"/>
    <w:rsid w:val="17F10988"/>
    <w:rsid w:val="18013604"/>
    <w:rsid w:val="180F222F"/>
    <w:rsid w:val="18420450"/>
    <w:rsid w:val="1843507F"/>
    <w:rsid w:val="18932160"/>
    <w:rsid w:val="18B45502"/>
    <w:rsid w:val="1925275C"/>
    <w:rsid w:val="19325F66"/>
    <w:rsid w:val="195F03D1"/>
    <w:rsid w:val="19784F04"/>
    <w:rsid w:val="197B27AB"/>
    <w:rsid w:val="19853DFD"/>
    <w:rsid w:val="198B0A33"/>
    <w:rsid w:val="19A73E3E"/>
    <w:rsid w:val="19A86C92"/>
    <w:rsid w:val="19B377DB"/>
    <w:rsid w:val="19B63D32"/>
    <w:rsid w:val="19CF3B7D"/>
    <w:rsid w:val="19D259C1"/>
    <w:rsid w:val="1A03730E"/>
    <w:rsid w:val="1A143B33"/>
    <w:rsid w:val="1A2E4342"/>
    <w:rsid w:val="1A306299"/>
    <w:rsid w:val="1A3503C3"/>
    <w:rsid w:val="1A4163F1"/>
    <w:rsid w:val="1A4E6FE1"/>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5C10E5"/>
    <w:rsid w:val="1B6212E1"/>
    <w:rsid w:val="1B676330"/>
    <w:rsid w:val="1B77204D"/>
    <w:rsid w:val="1B857BD8"/>
    <w:rsid w:val="1B8C1890"/>
    <w:rsid w:val="1B976D3F"/>
    <w:rsid w:val="1B9D1232"/>
    <w:rsid w:val="1BBF2D87"/>
    <w:rsid w:val="1BC349DE"/>
    <w:rsid w:val="1BF442EC"/>
    <w:rsid w:val="1C307027"/>
    <w:rsid w:val="1C3F7FA6"/>
    <w:rsid w:val="1C492B76"/>
    <w:rsid w:val="1C560BDD"/>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60EA9"/>
    <w:rsid w:val="1DB72178"/>
    <w:rsid w:val="1DE33932"/>
    <w:rsid w:val="1DE547AB"/>
    <w:rsid w:val="1DEA3BDA"/>
    <w:rsid w:val="1DF1708C"/>
    <w:rsid w:val="1E1B3FC3"/>
    <w:rsid w:val="1E280646"/>
    <w:rsid w:val="1E3D42AB"/>
    <w:rsid w:val="1E5805C9"/>
    <w:rsid w:val="1E5C27D9"/>
    <w:rsid w:val="1E6E8FC2"/>
    <w:rsid w:val="1E960B39"/>
    <w:rsid w:val="1EA8294E"/>
    <w:rsid w:val="1EE920F1"/>
    <w:rsid w:val="1EEDC44B"/>
    <w:rsid w:val="1EF321F1"/>
    <w:rsid w:val="1EF53267"/>
    <w:rsid w:val="1EF83469"/>
    <w:rsid w:val="1F0A2CB7"/>
    <w:rsid w:val="1F121216"/>
    <w:rsid w:val="1F1A79F2"/>
    <w:rsid w:val="1F3C2E43"/>
    <w:rsid w:val="1F4205D3"/>
    <w:rsid w:val="1F433A78"/>
    <w:rsid w:val="1F4D0F4B"/>
    <w:rsid w:val="1F7E7E22"/>
    <w:rsid w:val="1F901744"/>
    <w:rsid w:val="1F983263"/>
    <w:rsid w:val="1FAF1D46"/>
    <w:rsid w:val="1FB1255F"/>
    <w:rsid w:val="1FD97C09"/>
    <w:rsid w:val="1FDF48EE"/>
    <w:rsid w:val="1FE607C1"/>
    <w:rsid w:val="200927CB"/>
    <w:rsid w:val="203A0E21"/>
    <w:rsid w:val="203B04ED"/>
    <w:rsid w:val="203F229D"/>
    <w:rsid w:val="20571623"/>
    <w:rsid w:val="20625F75"/>
    <w:rsid w:val="2069158A"/>
    <w:rsid w:val="207364D3"/>
    <w:rsid w:val="207E4837"/>
    <w:rsid w:val="207E4D6A"/>
    <w:rsid w:val="20976B5A"/>
    <w:rsid w:val="209B4147"/>
    <w:rsid w:val="20A347D2"/>
    <w:rsid w:val="20C26C84"/>
    <w:rsid w:val="20C42294"/>
    <w:rsid w:val="20C443FE"/>
    <w:rsid w:val="20C50451"/>
    <w:rsid w:val="20D77BFC"/>
    <w:rsid w:val="20E03CB3"/>
    <w:rsid w:val="21020107"/>
    <w:rsid w:val="210F16D9"/>
    <w:rsid w:val="210F7FBF"/>
    <w:rsid w:val="21372259"/>
    <w:rsid w:val="21694910"/>
    <w:rsid w:val="21822CFB"/>
    <w:rsid w:val="21D33A7E"/>
    <w:rsid w:val="21D63963"/>
    <w:rsid w:val="21ED4624"/>
    <w:rsid w:val="22294218"/>
    <w:rsid w:val="222A00E6"/>
    <w:rsid w:val="22512901"/>
    <w:rsid w:val="2267492F"/>
    <w:rsid w:val="22A44447"/>
    <w:rsid w:val="22B346F2"/>
    <w:rsid w:val="22D05B48"/>
    <w:rsid w:val="22E006EF"/>
    <w:rsid w:val="22F00A92"/>
    <w:rsid w:val="2301712C"/>
    <w:rsid w:val="23444268"/>
    <w:rsid w:val="23B302CE"/>
    <w:rsid w:val="23D16EFC"/>
    <w:rsid w:val="23ED1E66"/>
    <w:rsid w:val="23EF3232"/>
    <w:rsid w:val="23FA11FB"/>
    <w:rsid w:val="2403431B"/>
    <w:rsid w:val="240A5D77"/>
    <w:rsid w:val="24142194"/>
    <w:rsid w:val="24643671"/>
    <w:rsid w:val="246739F8"/>
    <w:rsid w:val="24A30FBB"/>
    <w:rsid w:val="24BB7C33"/>
    <w:rsid w:val="24C00E4A"/>
    <w:rsid w:val="24DB1B09"/>
    <w:rsid w:val="24E60780"/>
    <w:rsid w:val="24F43B92"/>
    <w:rsid w:val="24FF19C4"/>
    <w:rsid w:val="25041590"/>
    <w:rsid w:val="25731E80"/>
    <w:rsid w:val="257866B1"/>
    <w:rsid w:val="258F38CC"/>
    <w:rsid w:val="25A82F5B"/>
    <w:rsid w:val="25A87077"/>
    <w:rsid w:val="25C915FC"/>
    <w:rsid w:val="25F52C62"/>
    <w:rsid w:val="260874E8"/>
    <w:rsid w:val="26124ED4"/>
    <w:rsid w:val="2632366A"/>
    <w:rsid w:val="26333878"/>
    <w:rsid w:val="264B349C"/>
    <w:rsid w:val="26520DBA"/>
    <w:rsid w:val="26595760"/>
    <w:rsid w:val="267E7E2B"/>
    <w:rsid w:val="269D63A8"/>
    <w:rsid w:val="26A94CC5"/>
    <w:rsid w:val="26B00479"/>
    <w:rsid w:val="26B613FF"/>
    <w:rsid w:val="26C62C95"/>
    <w:rsid w:val="26C848AF"/>
    <w:rsid w:val="26CE2A68"/>
    <w:rsid w:val="26D97433"/>
    <w:rsid w:val="271C5FE7"/>
    <w:rsid w:val="27315631"/>
    <w:rsid w:val="275C465E"/>
    <w:rsid w:val="27992D3B"/>
    <w:rsid w:val="27AA2CA3"/>
    <w:rsid w:val="27B01683"/>
    <w:rsid w:val="27B8211C"/>
    <w:rsid w:val="27C82253"/>
    <w:rsid w:val="27EC4E71"/>
    <w:rsid w:val="27ED7A6B"/>
    <w:rsid w:val="28247BB6"/>
    <w:rsid w:val="28881317"/>
    <w:rsid w:val="28933CCC"/>
    <w:rsid w:val="28AE7984"/>
    <w:rsid w:val="28C80D3F"/>
    <w:rsid w:val="28D96965"/>
    <w:rsid w:val="28DE38B6"/>
    <w:rsid w:val="28DE3958"/>
    <w:rsid w:val="28F774F8"/>
    <w:rsid w:val="29055F95"/>
    <w:rsid w:val="2929417D"/>
    <w:rsid w:val="29341888"/>
    <w:rsid w:val="2945508F"/>
    <w:rsid w:val="296740FF"/>
    <w:rsid w:val="29701219"/>
    <w:rsid w:val="298E09C9"/>
    <w:rsid w:val="299A539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59738A"/>
    <w:rsid w:val="2B6C4470"/>
    <w:rsid w:val="2B7D5189"/>
    <w:rsid w:val="2B8F6C63"/>
    <w:rsid w:val="2BDE868F"/>
    <w:rsid w:val="2BE95F72"/>
    <w:rsid w:val="2C091874"/>
    <w:rsid w:val="2C0C2E05"/>
    <w:rsid w:val="2C187F64"/>
    <w:rsid w:val="2C27727E"/>
    <w:rsid w:val="2C2A6F85"/>
    <w:rsid w:val="2C301EDF"/>
    <w:rsid w:val="2C363D63"/>
    <w:rsid w:val="2C4A7F5F"/>
    <w:rsid w:val="2C515B6D"/>
    <w:rsid w:val="2C5F0A97"/>
    <w:rsid w:val="2C854E4C"/>
    <w:rsid w:val="2C8A3639"/>
    <w:rsid w:val="2CA8549C"/>
    <w:rsid w:val="2CB62A3F"/>
    <w:rsid w:val="2CC35E7E"/>
    <w:rsid w:val="2CD63D6C"/>
    <w:rsid w:val="2CF320C4"/>
    <w:rsid w:val="2CF748AA"/>
    <w:rsid w:val="2D157538"/>
    <w:rsid w:val="2D281F40"/>
    <w:rsid w:val="2D2F720D"/>
    <w:rsid w:val="2D310B09"/>
    <w:rsid w:val="2D4828C3"/>
    <w:rsid w:val="2D57345B"/>
    <w:rsid w:val="2D5F3EE2"/>
    <w:rsid w:val="2D764F47"/>
    <w:rsid w:val="2DD91851"/>
    <w:rsid w:val="2DF9093A"/>
    <w:rsid w:val="2E3966A4"/>
    <w:rsid w:val="2E4D6A38"/>
    <w:rsid w:val="2E643C2B"/>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8C2E04"/>
    <w:rsid w:val="2FA95D7E"/>
    <w:rsid w:val="2FC25D7B"/>
    <w:rsid w:val="2FD2093F"/>
    <w:rsid w:val="2FE87A6A"/>
    <w:rsid w:val="2FE91C99"/>
    <w:rsid w:val="2FF81FE9"/>
    <w:rsid w:val="2FFD154B"/>
    <w:rsid w:val="30184226"/>
    <w:rsid w:val="304D190A"/>
    <w:rsid w:val="30862F51"/>
    <w:rsid w:val="3086347F"/>
    <w:rsid w:val="308F4B91"/>
    <w:rsid w:val="30941DB6"/>
    <w:rsid w:val="309E7091"/>
    <w:rsid w:val="30B46482"/>
    <w:rsid w:val="30BD4B70"/>
    <w:rsid w:val="30DE49F0"/>
    <w:rsid w:val="30E20ADF"/>
    <w:rsid w:val="30EE1048"/>
    <w:rsid w:val="31104BE6"/>
    <w:rsid w:val="31107C6B"/>
    <w:rsid w:val="3135407B"/>
    <w:rsid w:val="31421084"/>
    <w:rsid w:val="31887B7C"/>
    <w:rsid w:val="31895649"/>
    <w:rsid w:val="31AD34E7"/>
    <w:rsid w:val="31B02544"/>
    <w:rsid w:val="31CD4969"/>
    <w:rsid w:val="31DB58FA"/>
    <w:rsid w:val="31E0690F"/>
    <w:rsid w:val="31E744D3"/>
    <w:rsid w:val="31F03994"/>
    <w:rsid w:val="31F06AA9"/>
    <w:rsid w:val="31FE32F4"/>
    <w:rsid w:val="31FF15D2"/>
    <w:rsid w:val="32096EE3"/>
    <w:rsid w:val="320C1F06"/>
    <w:rsid w:val="32155C69"/>
    <w:rsid w:val="32535B1F"/>
    <w:rsid w:val="32643928"/>
    <w:rsid w:val="32830AEF"/>
    <w:rsid w:val="328A4C75"/>
    <w:rsid w:val="32982E6D"/>
    <w:rsid w:val="329945C7"/>
    <w:rsid w:val="32AE7CE7"/>
    <w:rsid w:val="32BE744E"/>
    <w:rsid w:val="32C41EAE"/>
    <w:rsid w:val="32CA0E4B"/>
    <w:rsid w:val="32CB45C8"/>
    <w:rsid w:val="32D21971"/>
    <w:rsid w:val="330B51F0"/>
    <w:rsid w:val="332E3950"/>
    <w:rsid w:val="335202DB"/>
    <w:rsid w:val="336E5F6C"/>
    <w:rsid w:val="33732317"/>
    <w:rsid w:val="33790B91"/>
    <w:rsid w:val="337B4EF0"/>
    <w:rsid w:val="3396767F"/>
    <w:rsid w:val="33A337D5"/>
    <w:rsid w:val="33C658AC"/>
    <w:rsid w:val="33F71CC8"/>
    <w:rsid w:val="33FA57B0"/>
    <w:rsid w:val="34016A86"/>
    <w:rsid w:val="34184C5D"/>
    <w:rsid w:val="34261DDF"/>
    <w:rsid w:val="34391824"/>
    <w:rsid w:val="34475E33"/>
    <w:rsid w:val="347312F7"/>
    <w:rsid w:val="34751871"/>
    <w:rsid w:val="348D6D0F"/>
    <w:rsid w:val="3492234F"/>
    <w:rsid w:val="34AA0645"/>
    <w:rsid w:val="34C61DEF"/>
    <w:rsid w:val="34D349C1"/>
    <w:rsid w:val="34D65FE2"/>
    <w:rsid w:val="34DD141E"/>
    <w:rsid w:val="34E360DE"/>
    <w:rsid w:val="34EF48D4"/>
    <w:rsid w:val="34F832A2"/>
    <w:rsid w:val="353323D5"/>
    <w:rsid w:val="35767350"/>
    <w:rsid w:val="359A52D2"/>
    <w:rsid w:val="359E1B8E"/>
    <w:rsid w:val="35BE26D5"/>
    <w:rsid w:val="360006C2"/>
    <w:rsid w:val="36231CDE"/>
    <w:rsid w:val="36457F31"/>
    <w:rsid w:val="36A861E5"/>
    <w:rsid w:val="36BC6408"/>
    <w:rsid w:val="36E55AEB"/>
    <w:rsid w:val="371E1B47"/>
    <w:rsid w:val="372F3093"/>
    <w:rsid w:val="3734013D"/>
    <w:rsid w:val="373B7D1B"/>
    <w:rsid w:val="374B0CBC"/>
    <w:rsid w:val="376D107D"/>
    <w:rsid w:val="37883D9D"/>
    <w:rsid w:val="37987CE3"/>
    <w:rsid w:val="379DF0C9"/>
    <w:rsid w:val="37BD3E5B"/>
    <w:rsid w:val="37DA5F5D"/>
    <w:rsid w:val="37ED036A"/>
    <w:rsid w:val="37F913BE"/>
    <w:rsid w:val="37FF6BD7"/>
    <w:rsid w:val="38177FF1"/>
    <w:rsid w:val="386523B0"/>
    <w:rsid w:val="389071B6"/>
    <w:rsid w:val="389E4DF7"/>
    <w:rsid w:val="38A230B5"/>
    <w:rsid w:val="38B5305A"/>
    <w:rsid w:val="38D63A95"/>
    <w:rsid w:val="39107A4F"/>
    <w:rsid w:val="3914125A"/>
    <w:rsid w:val="3915611C"/>
    <w:rsid w:val="391F3852"/>
    <w:rsid w:val="39260D0B"/>
    <w:rsid w:val="39591961"/>
    <w:rsid w:val="397158ED"/>
    <w:rsid w:val="39724B96"/>
    <w:rsid w:val="39E37660"/>
    <w:rsid w:val="3A0573E6"/>
    <w:rsid w:val="3A16062F"/>
    <w:rsid w:val="3A291850"/>
    <w:rsid w:val="3A2A56F0"/>
    <w:rsid w:val="3A347BA7"/>
    <w:rsid w:val="3A420490"/>
    <w:rsid w:val="3A86131C"/>
    <w:rsid w:val="3A904DA0"/>
    <w:rsid w:val="3AA14CC2"/>
    <w:rsid w:val="3AC96B3C"/>
    <w:rsid w:val="3ADA182D"/>
    <w:rsid w:val="3ADA7F84"/>
    <w:rsid w:val="3AE22A52"/>
    <w:rsid w:val="3AE67AE8"/>
    <w:rsid w:val="3B0A2B10"/>
    <w:rsid w:val="3B2A3A82"/>
    <w:rsid w:val="3B470C18"/>
    <w:rsid w:val="3B5269DA"/>
    <w:rsid w:val="3B976C4E"/>
    <w:rsid w:val="3B9A0AD5"/>
    <w:rsid w:val="3BAA2DFB"/>
    <w:rsid w:val="3BAC7155"/>
    <w:rsid w:val="3BB98257"/>
    <w:rsid w:val="3BBC399F"/>
    <w:rsid w:val="3BBC50C7"/>
    <w:rsid w:val="3BBE0B39"/>
    <w:rsid w:val="3BD45B11"/>
    <w:rsid w:val="3BEB5437"/>
    <w:rsid w:val="3C195C5A"/>
    <w:rsid w:val="3C252E3F"/>
    <w:rsid w:val="3C504855"/>
    <w:rsid w:val="3C6B5A91"/>
    <w:rsid w:val="3C6E2BC3"/>
    <w:rsid w:val="3CA91485"/>
    <w:rsid w:val="3CC17E22"/>
    <w:rsid w:val="3CC93727"/>
    <w:rsid w:val="3D0A686C"/>
    <w:rsid w:val="3D2841A2"/>
    <w:rsid w:val="3D6418DC"/>
    <w:rsid w:val="3D833044"/>
    <w:rsid w:val="3D906940"/>
    <w:rsid w:val="3D98639D"/>
    <w:rsid w:val="3DBD4CAC"/>
    <w:rsid w:val="3DE76D88"/>
    <w:rsid w:val="3DF45894"/>
    <w:rsid w:val="3DFDB1AE"/>
    <w:rsid w:val="3E0655B4"/>
    <w:rsid w:val="3E337FDD"/>
    <w:rsid w:val="3E5FED92"/>
    <w:rsid w:val="3E6D4856"/>
    <w:rsid w:val="3E6E4AA2"/>
    <w:rsid w:val="3E835940"/>
    <w:rsid w:val="3E8B628D"/>
    <w:rsid w:val="3E8C18E6"/>
    <w:rsid w:val="3EBD617F"/>
    <w:rsid w:val="3ECA28FD"/>
    <w:rsid w:val="3F0E48EF"/>
    <w:rsid w:val="3F257157"/>
    <w:rsid w:val="3F384761"/>
    <w:rsid w:val="3F3F6505"/>
    <w:rsid w:val="3F4C3506"/>
    <w:rsid w:val="3F526712"/>
    <w:rsid w:val="3F5B5216"/>
    <w:rsid w:val="3F640B0B"/>
    <w:rsid w:val="3F765035"/>
    <w:rsid w:val="3F812A3A"/>
    <w:rsid w:val="3F936FC4"/>
    <w:rsid w:val="3FA27FB3"/>
    <w:rsid w:val="3FD062C0"/>
    <w:rsid w:val="3FD3BFEC"/>
    <w:rsid w:val="3FE1772E"/>
    <w:rsid w:val="3FFD8E96"/>
    <w:rsid w:val="3FFE1AF6"/>
    <w:rsid w:val="3FFE70B7"/>
    <w:rsid w:val="40062660"/>
    <w:rsid w:val="400B31E9"/>
    <w:rsid w:val="40141D1D"/>
    <w:rsid w:val="401B4FD8"/>
    <w:rsid w:val="40264D0A"/>
    <w:rsid w:val="40307C69"/>
    <w:rsid w:val="404D7AC8"/>
    <w:rsid w:val="40634C41"/>
    <w:rsid w:val="406A589D"/>
    <w:rsid w:val="40791BF6"/>
    <w:rsid w:val="407B722C"/>
    <w:rsid w:val="40AB4C9D"/>
    <w:rsid w:val="40DD16D8"/>
    <w:rsid w:val="40F150B2"/>
    <w:rsid w:val="411F37C8"/>
    <w:rsid w:val="413063A6"/>
    <w:rsid w:val="41391FB6"/>
    <w:rsid w:val="4145485A"/>
    <w:rsid w:val="414C7395"/>
    <w:rsid w:val="415C044D"/>
    <w:rsid w:val="417530DD"/>
    <w:rsid w:val="417B40A4"/>
    <w:rsid w:val="41814A29"/>
    <w:rsid w:val="41920DF4"/>
    <w:rsid w:val="41A14AFF"/>
    <w:rsid w:val="41A36DCF"/>
    <w:rsid w:val="41A53705"/>
    <w:rsid w:val="41C06248"/>
    <w:rsid w:val="41FD67DA"/>
    <w:rsid w:val="42226A27"/>
    <w:rsid w:val="423B6799"/>
    <w:rsid w:val="425C78EF"/>
    <w:rsid w:val="425D4FF7"/>
    <w:rsid w:val="425F7C30"/>
    <w:rsid w:val="42655A33"/>
    <w:rsid w:val="42680B06"/>
    <w:rsid w:val="429F46BC"/>
    <w:rsid w:val="42A34DFA"/>
    <w:rsid w:val="42F26E0D"/>
    <w:rsid w:val="43005F1C"/>
    <w:rsid w:val="430A7D7B"/>
    <w:rsid w:val="43100FE2"/>
    <w:rsid w:val="43242DC6"/>
    <w:rsid w:val="43431493"/>
    <w:rsid w:val="43463A91"/>
    <w:rsid w:val="43562A23"/>
    <w:rsid w:val="439E6277"/>
    <w:rsid w:val="43A254B1"/>
    <w:rsid w:val="43B943DD"/>
    <w:rsid w:val="43BF143F"/>
    <w:rsid w:val="43D51B00"/>
    <w:rsid w:val="43EC1DAC"/>
    <w:rsid w:val="43F50014"/>
    <w:rsid w:val="441309FD"/>
    <w:rsid w:val="44240C6A"/>
    <w:rsid w:val="44272CAC"/>
    <w:rsid w:val="443A54EB"/>
    <w:rsid w:val="44451BDC"/>
    <w:rsid w:val="444F6481"/>
    <w:rsid w:val="4464297A"/>
    <w:rsid w:val="446A4841"/>
    <w:rsid w:val="446D15D8"/>
    <w:rsid w:val="447B6726"/>
    <w:rsid w:val="449A1973"/>
    <w:rsid w:val="449F18FB"/>
    <w:rsid w:val="44A354B5"/>
    <w:rsid w:val="44F02F62"/>
    <w:rsid w:val="44F53B46"/>
    <w:rsid w:val="450D2E50"/>
    <w:rsid w:val="451A0FD3"/>
    <w:rsid w:val="45577118"/>
    <w:rsid w:val="455F11B5"/>
    <w:rsid w:val="45712308"/>
    <w:rsid w:val="457D2990"/>
    <w:rsid w:val="45884B83"/>
    <w:rsid w:val="458B1522"/>
    <w:rsid w:val="45B26210"/>
    <w:rsid w:val="45BA6E20"/>
    <w:rsid w:val="45E834EA"/>
    <w:rsid w:val="45ED0241"/>
    <w:rsid w:val="460434E4"/>
    <w:rsid w:val="463F40AE"/>
    <w:rsid w:val="466B00B6"/>
    <w:rsid w:val="46706F3F"/>
    <w:rsid w:val="46742883"/>
    <w:rsid w:val="46757EF5"/>
    <w:rsid w:val="468375BE"/>
    <w:rsid w:val="46851263"/>
    <w:rsid w:val="46876032"/>
    <w:rsid w:val="46A87C88"/>
    <w:rsid w:val="46C96C6F"/>
    <w:rsid w:val="46D8688A"/>
    <w:rsid w:val="46FD0882"/>
    <w:rsid w:val="471513C1"/>
    <w:rsid w:val="47245012"/>
    <w:rsid w:val="472B40E0"/>
    <w:rsid w:val="473461A6"/>
    <w:rsid w:val="473D42FE"/>
    <w:rsid w:val="47755916"/>
    <w:rsid w:val="47793752"/>
    <w:rsid w:val="477E751F"/>
    <w:rsid w:val="47A31B07"/>
    <w:rsid w:val="47A9364D"/>
    <w:rsid w:val="47B35B15"/>
    <w:rsid w:val="47B83F54"/>
    <w:rsid w:val="47C81250"/>
    <w:rsid w:val="47C84FBA"/>
    <w:rsid w:val="47E051A9"/>
    <w:rsid w:val="47EFACDD"/>
    <w:rsid w:val="484F34A0"/>
    <w:rsid w:val="485278BE"/>
    <w:rsid w:val="487B3DCE"/>
    <w:rsid w:val="487C3075"/>
    <w:rsid w:val="487D2A9B"/>
    <w:rsid w:val="489500A2"/>
    <w:rsid w:val="48AA1643"/>
    <w:rsid w:val="48C75219"/>
    <w:rsid w:val="48D23E7A"/>
    <w:rsid w:val="48F04FAA"/>
    <w:rsid w:val="49165293"/>
    <w:rsid w:val="49383A95"/>
    <w:rsid w:val="49897021"/>
    <w:rsid w:val="498A201D"/>
    <w:rsid w:val="499B766C"/>
    <w:rsid w:val="49A85CE0"/>
    <w:rsid w:val="49BB73C2"/>
    <w:rsid w:val="49CB0635"/>
    <w:rsid w:val="49CC464E"/>
    <w:rsid w:val="49E815C6"/>
    <w:rsid w:val="4A1675ED"/>
    <w:rsid w:val="4A203730"/>
    <w:rsid w:val="4A203D36"/>
    <w:rsid w:val="4A3F1F54"/>
    <w:rsid w:val="4A5943E4"/>
    <w:rsid w:val="4A6050DB"/>
    <w:rsid w:val="4A6278FA"/>
    <w:rsid w:val="4A693AF6"/>
    <w:rsid w:val="4AD43451"/>
    <w:rsid w:val="4ADD07E4"/>
    <w:rsid w:val="4AFC3585"/>
    <w:rsid w:val="4B4E3F99"/>
    <w:rsid w:val="4B5A348C"/>
    <w:rsid w:val="4B715FB2"/>
    <w:rsid w:val="4B743AE5"/>
    <w:rsid w:val="4B8C55E8"/>
    <w:rsid w:val="4BA24DA3"/>
    <w:rsid w:val="4BB858C5"/>
    <w:rsid w:val="4BD74ED9"/>
    <w:rsid w:val="4BE45F71"/>
    <w:rsid w:val="4BEC7532"/>
    <w:rsid w:val="4BFD38C3"/>
    <w:rsid w:val="4C083C31"/>
    <w:rsid w:val="4C100B51"/>
    <w:rsid w:val="4C5035AB"/>
    <w:rsid w:val="4C646A81"/>
    <w:rsid w:val="4C875D8A"/>
    <w:rsid w:val="4C88552C"/>
    <w:rsid w:val="4C8A66AB"/>
    <w:rsid w:val="4CD90354"/>
    <w:rsid w:val="4CE354D3"/>
    <w:rsid w:val="4D092A65"/>
    <w:rsid w:val="4D3E119B"/>
    <w:rsid w:val="4D5D5079"/>
    <w:rsid w:val="4D63426D"/>
    <w:rsid w:val="4D6F1F18"/>
    <w:rsid w:val="4D7376F9"/>
    <w:rsid w:val="4D9E38E4"/>
    <w:rsid w:val="4DB57942"/>
    <w:rsid w:val="4DC82BF0"/>
    <w:rsid w:val="4DD013FD"/>
    <w:rsid w:val="4DE577AB"/>
    <w:rsid w:val="4DFF7171"/>
    <w:rsid w:val="4E3D52C8"/>
    <w:rsid w:val="4E7B4448"/>
    <w:rsid w:val="4EBA1CDB"/>
    <w:rsid w:val="4EDB1BC9"/>
    <w:rsid w:val="4EEB225C"/>
    <w:rsid w:val="4F103158"/>
    <w:rsid w:val="4F172AC2"/>
    <w:rsid w:val="4F1B6653"/>
    <w:rsid w:val="4F314161"/>
    <w:rsid w:val="4F3F55BB"/>
    <w:rsid w:val="4F464A5A"/>
    <w:rsid w:val="4F4C6491"/>
    <w:rsid w:val="4F5551B4"/>
    <w:rsid w:val="4F565731"/>
    <w:rsid w:val="4F5D32A4"/>
    <w:rsid w:val="4F66062D"/>
    <w:rsid w:val="4F6B71DF"/>
    <w:rsid w:val="4F796449"/>
    <w:rsid w:val="4F9818B4"/>
    <w:rsid w:val="4FAC0701"/>
    <w:rsid w:val="4FAD051B"/>
    <w:rsid w:val="4FD46EBD"/>
    <w:rsid w:val="4FE828ED"/>
    <w:rsid w:val="501D392A"/>
    <w:rsid w:val="503D78E7"/>
    <w:rsid w:val="503D7B8D"/>
    <w:rsid w:val="506B2F52"/>
    <w:rsid w:val="507951EA"/>
    <w:rsid w:val="508F2AB3"/>
    <w:rsid w:val="50B138D1"/>
    <w:rsid w:val="50CD3168"/>
    <w:rsid w:val="50D26E91"/>
    <w:rsid w:val="50F0046A"/>
    <w:rsid w:val="50F31B7F"/>
    <w:rsid w:val="50FC0637"/>
    <w:rsid w:val="511A61BA"/>
    <w:rsid w:val="511E35F8"/>
    <w:rsid w:val="51442814"/>
    <w:rsid w:val="51503FA0"/>
    <w:rsid w:val="5156017D"/>
    <w:rsid w:val="51596E11"/>
    <w:rsid w:val="5163210D"/>
    <w:rsid w:val="519B5CC2"/>
    <w:rsid w:val="51A56CD5"/>
    <w:rsid w:val="51CD03C6"/>
    <w:rsid w:val="51FE7D93"/>
    <w:rsid w:val="52121DCF"/>
    <w:rsid w:val="52137423"/>
    <w:rsid w:val="521C6302"/>
    <w:rsid w:val="522105B9"/>
    <w:rsid w:val="52263BCA"/>
    <w:rsid w:val="52552B82"/>
    <w:rsid w:val="5274438A"/>
    <w:rsid w:val="527D188C"/>
    <w:rsid w:val="52AF3E2F"/>
    <w:rsid w:val="52B53473"/>
    <w:rsid w:val="52FB705C"/>
    <w:rsid w:val="5304202F"/>
    <w:rsid w:val="53155197"/>
    <w:rsid w:val="531B7C6E"/>
    <w:rsid w:val="53314D4C"/>
    <w:rsid w:val="53316789"/>
    <w:rsid w:val="53871716"/>
    <w:rsid w:val="53950C89"/>
    <w:rsid w:val="53A40CC6"/>
    <w:rsid w:val="53A43997"/>
    <w:rsid w:val="53B23F93"/>
    <w:rsid w:val="53D42EB7"/>
    <w:rsid w:val="53DB5E5A"/>
    <w:rsid w:val="53DE1453"/>
    <w:rsid w:val="53E052EA"/>
    <w:rsid w:val="53FF5110"/>
    <w:rsid w:val="5403502E"/>
    <w:rsid w:val="540A3EEE"/>
    <w:rsid w:val="540A6D47"/>
    <w:rsid w:val="54457077"/>
    <w:rsid w:val="544F1263"/>
    <w:rsid w:val="54913780"/>
    <w:rsid w:val="549D0C85"/>
    <w:rsid w:val="54EE6554"/>
    <w:rsid w:val="550C6C83"/>
    <w:rsid w:val="551F1765"/>
    <w:rsid w:val="55383911"/>
    <w:rsid w:val="553E32D6"/>
    <w:rsid w:val="55583B90"/>
    <w:rsid w:val="55675C79"/>
    <w:rsid w:val="558D65E8"/>
    <w:rsid w:val="55990B54"/>
    <w:rsid w:val="55B67232"/>
    <w:rsid w:val="55BC2E86"/>
    <w:rsid w:val="55C03CB8"/>
    <w:rsid w:val="55C624E8"/>
    <w:rsid w:val="55CC4DA6"/>
    <w:rsid w:val="55D94BD7"/>
    <w:rsid w:val="561F09B5"/>
    <w:rsid w:val="5625035E"/>
    <w:rsid w:val="562F0568"/>
    <w:rsid w:val="565131FF"/>
    <w:rsid w:val="565F506B"/>
    <w:rsid w:val="566F1F39"/>
    <w:rsid w:val="56830ADF"/>
    <w:rsid w:val="56857CFC"/>
    <w:rsid w:val="569022B2"/>
    <w:rsid w:val="56B771D9"/>
    <w:rsid w:val="56BB20E5"/>
    <w:rsid w:val="56D5033D"/>
    <w:rsid w:val="56D67726"/>
    <w:rsid w:val="56FF2CC1"/>
    <w:rsid w:val="57002B8D"/>
    <w:rsid w:val="571F6FD0"/>
    <w:rsid w:val="57344DFE"/>
    <w:rsid w:val="573577BE"/>
    <w:rsid w:val="573751CA"/>
    <w:rsid w:val="57606083"/>
    <w:rsid w:val="578B0E6E"/>
    <w:rsid w:val="578D2721"/>
    <w:rsid w:val="57A1046F"/>
    <w:rsid w:val="57B5D834"/>
    <w:rsid w:val="57D60C34"/>
    <w:rsid w:val="57F652BC"/>
    <w:rsid w:val="57FB7728"/>
    <w:rsid w:val="582A3C3E"/>
    <w:rsid w:val="5848614A"/>
    <w:rsid w:val="585D6E6C"/>
    <w:rsid w:val="586621E4"/>
    <w:rsid w:val="588C1D68"/>
    <w:rsid w:val="589460F5"/>
    <w:rsid w:val="58A674A5"/>
    <w:rsid w:val="58CD30A4"/>
    <w:rsid w:val="58CD382E"/>
    <w:rsid w:val="58D7418F"/>
    <w:rsid w:val="5900000F"/>
    <w:rsid w:val="590A1DA2"/>
    <w:rsid w:val="590D6489"/>
    <w:rsid w:val="59154896"/>
    <w:rsid w:val="591657B9"/>
    <w:rsid w:val="592B5553"/>
    <w:rsid w:val="59352BE8"/>
    <w:rsid w:val="595042FB"/>
    <w:rsid w:val="59556E43"/>
    <w:rsid w:val="59857983"/>
    <w:rsid w:val="59876675"/>
    <w:rsid w:val="599E2315"/>
    <w:rsid w:val="59B961EA"/>
    <w:rsid w:val="59C9107F"/>
    <w:rsid w:val="59CE04C3"/>
    <w:rsid w:val="59FFE880"/>
    <w:rsid w:val="5A0C0158"/>
    <w:rsid w:val="5A1B7EB7"/>
    <w:rsid w:val="5A376F91"/>
    <w:rsid w:val="5A3D0E34"/>
    <w:rsid w:val="5A4E1D0A"/>
    <w:rsid w:val="5A642481"/>
    <w:rsid w:val="5A6E0818"/>
    <w:rsid w:val="5ABD3179"/>
    <w:rsid w:val="5ABE7049"/>
    <w:rsid w:val="5AC32B55"/>
    <w:rsid w:val="5ADA292E"/>
    <w:rsid w:val="5AE145C9"/>
    <w:rsid w:val="5B421824"/>
    <w:rsid w:val="5B58641F"/>
    <w:rsid w:val="5B695259"/>
    <w:rsid w:val="5B75772B"/>
    <w:rsid w:val="5B9E3DE4"/>
    <w:rsid w:val="5BC44CEE"/>
    <w:rsid w:val="5BCD64AE"/>
    <w:rsid w:val="5BDA0F82"/>
    <w:rsid w:val="5BDF4787"/>
    <w:rsid w:val="5BE106D2"/>
    <w:rsid w:val="5BFFD2DF"/>
    <w:rsid w:val="5C00697E"/>
    <w:rsid w:val="5C2F3299"/>
    <w:rsid w:val="5C37658E"/>
    <w:rsid w:val="5C405FA4"/>
    <w:rsid w:val="5C4837C0"/>
    <w:rsid w:val="5C5F224E"/>
    <w:rsid w:val="5C5F447C"/>
    <w:rsid w:val="5C7521D3"/>
    <w:rsid w:val="5C896574"/>
    <w:rsid w:val="5C8C3697"/>
    <w:rsid w:val="5CAC7B1C"/>
    <w:rsid w:val="5CD13E43"/>
    <w:rsid w:val="5CEF42BA"/>
    <w:rsid w:val="5CEF7ABC"/>
    <w:rsid w:val="5D4024FF"/>
    <w:rsid w:val="5D56661C"/>
    <w:rsid w:val="5D591FBD"/>
    <w:rsid w:val="5D6A4DE5"/>
    <w:rsid w:val="5D94180E"/>
    <w:rsid w:val="5D9F27A5"/>
    <w:rsid w:val="5DC411A3"/>
    <w:rsid w:val="5DCA620A"/>
    <w:rsid w:val="5DDABCF8"/>
    <w:rsid w:val="5DDD008C"/>
    <w:rsid w:val="5DFE433A"/>
    <w:rsid w:val="5E1373C1"/>
    <w:rsid w:val="5E2D4485"/>
    <w:rsid w:val="5E6747E1"/>
    <w:rsid w:val="5E7BB97F"/>
    <w:rsid w:val="5E957B1F"/>
    <w:rsid w:val="5E9641A9"/>
    <w:rsid w:val="5E97068D"/>
    <w:rsid w:val="5EB543C4"/>
    <w:rsid w:val="5EB7CDDF"/>
    <w:rsid w:val="5EB92CF5"/>
    <w:rsid w:val="5EBF3FE0"/>
    <w:rsid w:val="5EBF6980"/>
    <w:rsid w:val="5ED30C10"/>
    <w:rsid w:val="5ED4376C"/>
    <w:rsid w:val="5EDA2A7B"/>
    <w:rsid w:val="5EE16E0E"/>
    <w:rsid w:val="5F24679F"/>
    <w:rsid w:val="5F3940A0"/>
    <w:rsid w:val="5F44566E"/>
    <w:rsid w:val="5F4C554A"/>
    <w:rsid w:val="5F617459"/>
    <w:rsid w:val="5F6379DC"/>
    <w:rsid w:val="5F675369"/>
    <w:rsid w:val="5F996FAF"/>
    <w:rsid w:val="5F9C7872"/>
    <w:rsid w:val="5FB71F10"/>
    <w:rsid w:val="5FC06493"/>
    <w:rsid w:val="5FCF3527"/>
    <w:rsid w:val="5FF11BD5"/>
    <w:rsid w:val="5FF508FC"/>
    <w:rsid w:val="5FFB837C"/>
    <w:rsid w:val="5FFF18DE"/>
    <w:rsid w:val="601531AE"/>
    <w:rsid w:val="602D4F22"/>
    <w:rsid w:val="603F2201"/>
    <w:rsid w:val="604C733B"/>
    <w:rsid w:val="605721AA"/>
    <w:rsid w:val="60AE77CA"/>
    <w:rsid w:val="60B44113"/>
    <w:rsid w:val="60C06C11"/>
    <w:rsid w:val="60DB229B"/>
    <w:rsid w:val="60E517B1"/>
    <w:rsid w:val="60EA573B"/>
    <w:rsid w:val="61301437"/>
    <w:rsid w:val="613445FC"/>
    <w:rsid w:val="613F7C88"/>
    <w:rsid w:val="616816BC"/>
    <w:rsid w:val="61731648"/>
    <w:rsid w:val="617A1E26"/>
    <w:rsid w:val="61D60995"/>
    <w:rsid w:val="61E16FA2"/>
    <w:rsid w:val="61E54B40"/>
    <w:rsid w:val="61F35E84"/>
    <w:rsid w:val="61FE4628"/>
    <w:rsid w:val="622C753A"/>
    <w:rsid w:val="624F3EEF"/>
    <w:rsid w:val="62884618"/>
    <w:rsid w:val="628C5707"/>
    <w:rsid w:val="629B11AE"/>
    <w:rsid w:val="62D70BD1"/>
    <w:rsid w:val="62E47D3E"/>
    <w:rsid w:val="62E92531"/>
    <w:rsid w:val="6341070D"/>
    <w:rsid w:val="63416D06"/>
    <w:rsid w:val="63831FB4"/>
    <w:rsid w:val="639058EE"/>
    <w:rsid w:val="63A6157B"/>
    <w:rsid w:val="63AA21B4"/>
    <w:rsid w:val="63B37860"/>
    <w:rsid w:val="63C3108A"/>
    <w:rsid w:val="63F57C10"/>
    <w:rsid w:val="63FC019F"/>
    <w:rsid w:val="641F5095"/>
    <w:rsid w:val="64481AB7"/>
    <w:rsid w:val="64497B3B"/>
    <w:rsid w:val="646F08D5"/>
    <w:rsid w:val="64726DF4"/>
    <w:rsid w:val="648630F3"/>
    <w:rsid w:val="648A1948"/>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2C1551"/>
    <w:rsid w:val="66785BAA"/>
    <w:rsid w:val="66821BE2"/>
    <w:rsid w:val="66BE22A1"/>
    <w:rsid w:val="66D70B4F"/>
    <w:rsid w:val="66FD5077"/>
    <w:rsid w:val="66FF5A0E"/>
    <w:rsid w:val="67005BCA"/>
    <w:rsid w:val="6702678E"/>
    <w:rsid w:val="671C1D5F"/>
    <w:rsid w:val="671F12E9"/>
    <w:rsid w:val="67282B52"/>
    <w:rsid w:val="673426E5"/>
    <w:rsid w:val="67812CEA"/>
    <w:rsid w:val="679D4CF3"/>
    <w:rsid w:val="679E080A"/>
    <w:rsid w:val="67EE11BE"/>
    <w:rsid w:val="681E63B1"/>
    <w:rsid w:val="683B1C26"/>
    <w:rsid w:val="6889713A"/>
    <w:rsid w:val="68BA1890"/>
    <w:rsid w:val="68DC0F3F"/>
    <w:rsid w:val="68E258A1"/>
    <w:rsid w:val="68FA6BF9"/>
    <w:rsid w:val="691463FB"/>
    <w:rsid w:val="691A565F"/>
    <w:rsid w:val="691B2DF2"/>
    <w:rsid w:val="69541AD9"/>
    <w:rsid w:val="69650E2F"/>
    <w:rsid w:val="69821C79"/>
    <w:rsid w:val="699B5FA0"/>
    <w:rsid w:val="69A9488B"/>
    <w:rsid w:val="69C96177"/>
    <w:rsid w:val="69E16BE6"/>
    <w:rsid w:val="6A057EE6"/>
    <w:rsid w:val="6A230268"/>
    <w:rsid w:val="6A457122"/>
    <w:rsid w:val="6A4D68CC"/>
    <w:rsid w:val="6A5F513A"/>
    <w:rsid w:val="6A6C503F"/>
    <w:rsid w:val="6A7150A8"/>
    <w:rsid w:val="6A7401B1"/>
    <w:rsid w:val="6ABF2D94"/>
    <w:rsid w:val="6AF37175"/>
    <w:rsid w:val="6AFC1C0B"/>
    <w:rsid w:val="6AFF4262"/>
    <w:rsid w:val="6B02331D"/>
    <w:rsid w:val="6B067187"/>
    <w:rsid w:val="6B507AEB"/>
    <w:rsid w:val="6B727905"/>
    <w:rsid w:val="6B9125CB"/>
    <w:rsid w:val="6BB93611"/>
    <w:rsid w:val="6BC35959"/>
    <w:rsid w:val="6BE64B7B"/>
    <w:rsid w:val="6BF315F7"/>
    <w:rsid w:val="6C05168F"/>
    <w:rsid w:val="6C05463D"/>
    <w:rsid w:val="6C0906EB"/>
    <w:rsid w:val="6C130150"/>
    <w:rsid w:val="6C274259"/>
    <w:rsid w:val="6C6050E3"/>
    <w:rsid w:val="6C714624"/>
    <w:rsid w:val="6C7D7121"/>
    <w:rsid w:val="6C9F23F5"/>
    <w:rsid w:val="6CBD664D"/>
    <w:rsid w:val="6CD07465"/>
    <w:rsid w:val="6CDA28F7"/>
    <w:rsid w:val="6D082760"/>
    <w:rsid w:val="6D10711C"/>
    <w:rsid w:val="6D1771CB"/>
    <w:rsid w:val="6D2E27CF"/>
    <w:rsid w:val="6D52034D"/>
    <w:rsid w:val="6D70737B"/>
    <w:rsid w:val="6D76311A"/>
    <w:rsid w:val="6D771760"/>
    <w:rsid w:val="6D993D80"/>
    <w:rsid w:val="6DDF75FC"/>
    <w:rsid w:val="6DF90EC9"/>
    <w:rsid w:val="6DF938AE"/>
    <w:rsid w:val="6DFE509D"/>
    <w:rsid w:val="6E01448B"/>
    <w:rsid w:val="6E025E88"/>
    <w:rsid w:val="6E2E5E48"/>
    <w:rsid w:val="6E3E2A93"/>
    <w:rsid w:val="6E866386"/>
    <w:rsid w:val="6ED160AB"/>
    <w:rsid w:val="6EDB34C1"/>
    <w:rsid w:val="6F006DDA"/>
    <w:rsid w:val="6F085C5D"/>
    <w:rsid w:val="6F0A5470"/>
    <w:rsid w:val="6F411128"/>
    <w:rsid w:val="6F4F6D21"/>
    <w:rsid w:val="6F58696B"/>
    <w:rsid w:val="6F6268A3"/>
    <w:rsid w:val="6F7325D1"/>
    <w:rsid w:val="6F92411E"/>
    <w:rsid w:val="6F95673A"/>
    <w:rsid w:val="6F9673F9"/>
    <w:rsid w:val="6F9D4B96"/>
    <w:rsid w:val="6FBB755E"/>
    <w:rsid w:val="6FCD27E4"/>
    <w:rsid w:val="6FDF5A50"/>
    <w:rsid w:val="6FEE1B2C"/>
    <w:rsid w:val="7019691C"/>
    <w:rsid w:val="701D6C26"/>
    <w:rsid w:val="70216AC8"/>
    <w:rsid w:val="70392C2A"/>
    <w:rsid w:val="70413367"/>
    <w:rsid w:val="70745258"/>
    <w:rsid w:val="707819B0"/>
    <w:rsid w:val="709B2D07"/>
    <w:rsid w:val="709F64A5"/>
    <w:rsid w:val="70AD6346"/>
    <w:rsid w:val="70CF02ED"/>
    <w:rsid w:val="70D74AB3"/>
    <w:rsid w:val="70DA6154"/>
    <w:rsid w:val="70DD0315"/>
    <w:rsid w:val="70E95D7A"/>
    <w:rsid w:val="70ED1EA6"/>
    <w:rsid w:val="70EF3EA8"/>
    <w:rsid w:val="70FA5CE4"/>
    <w:rsid w:val="71136C4F"/>
    <w:rsid w:val="711720FD"/>
    <w:rsid w:val="712E15B0"/>
    <w:rsid w:val="714D0A49"/>
    <w:rsid w:val="71673F9B"/>
    <w:rsid w:val="717520A9"/>
    <w:rsid w:val="719F0B7C"/>
    <w:rsid w:val="71BD50AD"/>
    <w:rsid w:val="71CD6934"/>
    <w:rsid w:val="71EA15C0"/>
    <w:rsid w:val="71F83BE6"/>
    <w:rsid w:val="723942F4"/>
    <w:rsid w:val="725737C3"/>
    <w:rsid w:val="7260622C"/>
    <w:rsid w:val="726D5A47"/>
    <w:rsid w:val="72757496"/>
    <w:rsid w:val="727B41C2"/>
    <w:rsid w:val="72C9C255"/>
    <w:rsid w:val="72D43041"/>
    <w:rsid w:val="72E75711"/>
    <w:rsid w:val="72EB1400"/>
    <w:rsid w:val="730A6779"/>
    <w:rsid w:val="732860A1"/>
    <w:rsid w:val="734C374E"/>
    <w:rsid w:val="73517BC9"/>
    <w:rsid w:val="737B12DF"/>
    <w:rsid w:val="73870389"/>
    <w:rsid w:val="73B44DF0"/>
    <w:rsid w:val="73F21076"/>
    <w:rsid w:val="7417189B"/>
    <w:rsid w:val="74340A39"/>
    <w:rsid w:val="74611F1F"/>
    <w:rsid w:val="7491533F"/>
    <w:rsid w:val="74CE0A9B"/>
    <w:rsid w:val="74D22127"/>
    <w:rsid w:val="74F4555C"/>
    <w:rsid w:val="75037857"/>
    <w:rsid w:val="75040B4E"/>
    <w:rsid w:val="750D524B"/>
    <w:rsid w:val="751C77CB"/>
    <w:rsid w:val="75244E2F"/>
    <w:rsid w:val="752FE869"/>
    <w:rsid w:val="753D053B"/>
    <w:rsid w:val="755539A3"/>
    <w:rsid w:val="75556181"/>
    <w:rsid w:val="75712ACC"/>
    <w:rsid w:val="75804862"/>
    <w:rsid w:val="75846400"/>
    <w:rsid w:val="759871F9"/>
    <w:rsid w:val="75A44310"/>
    <w:rsid w:val="75B614F2"/>
    <w:rsid w:val="75C26102"/>
    <w:rsid w:val="75CC5A83"/>
    <w:rsid w:val="75F95215"/>
    <w:rsid w:val="75FA4693"/>
    <w:rsid w:val="76072028"/>
    <w:rsid w:val="761A3604"/>
    <w:rsid w:val="762A3F4A"/>
    <w:rsid w:val="76390E53"/>
    <w:rsid w:val="76692877"/>
    <w:rsid w:val="767577A0"/>
    <w:rsid w:val="768611D1"/>
    <w:rsid w:val="76A61737"/>
    <w:rsid w:val="76AC12BF"/>
    <w:rsid w:val="76BD780E"/>
    <w:rsid w:val="76BE11CF"/>
    <w:rsid w:val="76BFB7AB"/>
    <w:rsid w:val="76CEC8CE"/>
    <w:rsid w:val="76EF5CA5"/>
    <w:rsid w:val="76F463F0"/>
    <w:rsid w:val="76F47EF1"/>
    <w:rsid w:val="76FAD0CD"/>
    <w:rsid w:val="7701463A"/>
    <w:rsid w:val="770D331C"/>
    <w:rsid w:val="771C1393"/>
    <w:rsid w:val="77445FBB"/>
    <w:rsid w:val="774B2EC4"/>
    <w:rsid w:val="775B22A8"/>
    <w:rsid w:val="7761477F"/>
    <w:rsid w:val="776A7337"/>
    <w:rsid w:val="777F1553"/>
    <w:rsid w:val="77A15C35"/>
    <w:rsid w:val="77A7936F"/>
    <w:rsid w:val="77B41026"/>
    <w:rsid w:val="77B92EBE"/>
    <w:rsid w:val="77BAB242"/>
    <w:rsid w:val="77DB8DFD"/>
    <w:rsid w:val="77ED4CA7"/>
    <w:rsid w:val="77F7656E"/>
    <w:rsid w:val="78041F2B"/>
    <w:rsid w:val="782D5A55"/>
    <w:rsid w:val="78700E16"/>
    <w:rsid w:val="78787717"/>
    <w:rsid w:val="78AB6CF2"/>
    <w:rsid w:val="78AD4335"/>
    <w:rsid w:val="78C85065"/>
    <w:rsid w:val="78CB54A2"/>
    <w:rsid w:val="78F85823"/>
    <w:rsid w:val="78FF40FB"/>
    <w:rsid w:val="79177FA3"/>
    <w:rsid w:val="793122E3"/>
    <w:rsid w:val="794857A6"/>
    <w:rsid w:val="79585961"/>
    <w:rsid w:val="795F6FFA"/>
    <w:rsid w:val="79614897"/>
    <w:rsid w:val="79617D09"/>
    <w:rsid w:val="796727BD"/>
    <w:rsid w:val="79680FED"/>
    <w:rsid w:val="796F1C36"/>
    <w:rsid w:val="79BB2545"/>
    <w:rsid w:val="79C008CD"/>
    <w:rsid w:val="7A4D5C58"/>
    <w:rsid w:val="7A4F7B07"/>
    <w:rsid w:val="7A5101BC"/>
    <w:rsid w:val="7A5E709F"/>
    <w:rsid w:val="7A640DEF"/>
    <w:rsid w:val="7A685998"/>
    <w:rsid w:val="7A826524"/>
    <w:rsid w:val="7A875EF2"/>
    <w:rsid w:val="7A9E1BE8"/>
    <w:rsid w:val="7AC96B81"/>
    <w:rsid w:val="7AD0516C"/>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AE704B"/>
    <w:rsid w:val="7BBB08F9"/>
    <w:rsid w:val="7BC47376"/>
    <w:rsid w:val="7BEB30F6"/>
    <w:rsid w:val="7BFFA655"/>
    <w:rsid w:val="7C00147E"/>
    <w:rsid w:val="7C0E1600"/>
    <w:rsid w:val="7C215FFC"/>
    <w:rsid w:val="7C3717CE"/>
    <w:rsid w:val="7C691183"/>
    <w:rsid w:val="7C9537CE"/>
    <w:rsid w:val="7CAA10A7"/>
    <w:rsid w:val="7CC31975"/>
    <w:rsid w:val="7D0D2D49"/>
    <w:rsid w:val="7D203553"/>
    <w:rsid w:val="7D3638F1"/>
    <w:rsid w:val="7D4441A2"/>
    <w:rsid w:val="7D9948DF"/>
    <w:rsid w:val="7D9C56A0"/>
    <w:rsid w:val="7DBA0B08"/>
    <w:rsid w:val="7DC47C61"/>
    <w:rsid w:val="7DD76F8A"/>
    <w:rsid w:val="7DDB5147"/>
    <w:rsid w:val="7DEA717D"/>
    <w:rsid w:val="7E00744C"/>
    <w:rsid w:val="7E1F5D8A"/>
    <w:rsid w:val="7E27194F"/>
    <w:rsid w:val="7E53DB8D"/>
    <w:rsid w:val="7E5D471B"/>
    <w:rsid w:val="7E93527C"/>
    <w:rsid w:val="7EA64368"/>
    <w:rsid w:val="7EA7CF43"/>
    <w:rsid w:val="7EC17537"/>
    <w:rsid w:val="7EED3DCE"/>
    <w:rsid w:val="7EF438EF"/>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BF46A3"/>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176"/>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character" w:customStyle="1" w:styleId="176">
    <w:name w:val="页脚 Char"/>
    <w:link w:val="2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4</TotalTime>
  <ScaleCrop>false</ScaleCrop>
  <LinksUpToDate>false</LinksUpToDate>
  <CharactersWithSpaces>27898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Start</cp:lastModifiedBy>
  <cp:lastPrinted>2018-07-16T11:27:00Z</cp:lastPrinted>
  <dcterms:modified xsi:type="dcterms:W3CDTF">2026-07-03T10:01:49Z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3E832E4FA009457881DBC2324CAA2DCB</vt:lpwstr>
  </property>
</Properties>
</file>