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D86AEF">
      <w:pPr>
        <w:rPr>
          <w:rFonts w:hint="eastAsia" w:ascii="仿宋" w:hAnsi="仿宋" w:eastAsia="仿宋" w:cs="仿宋"/>
          <w:color w:val="auto"/>
          <w:sz w:val="28"/>
          <w:szCs w:val="28"/>
          <w:highlight w:val="none"/>
        </w:rPr>
      </w:pPr>
    </w:p>
    <w:p w14:paraId="2444B427">
      <w:pPr>
        <w:pStyle w:val="17"/>
        <w:rPr>
          <w:rFonts w:hint="eastAsia"/>
          <w:highlight w:val="none"/>
        </w:rPr>
      </w:pPr>
    </w:p>
    <w:p w14:paraId="49F4BC38">
      <w:pPr>
        <w:adjustRightInd w:val="0"/>
        <w:snapToGrid w:val="0"/>
        <w:spacing w:line="360" w:lineRule="auto"/>
        <w:jc w:val="center"/>
        <w:rPr>
          <w:rFonts w:hint="eastAsia" w:ascii="仿宋" w:hAnsi="仿宋" w:eastAsia="仿宋" w:cs="仿宋"/>
          <w:bCs/>
          <w:color w:val="auto"/>
          <w:sz w:val="28"/>
          <w:szCs w:val="28"/>
          <w:highlight w:val="none"/>
        </w:rPr>
      </w:pPr>
    </w:p>
    <w:p w14:paraId="631DD08B">
      <w:pPr>
        <w:pStyle w:val="17"/>
        <w:rPr>
          <w:rFonts w:hint="eastAsia"/>
          <w:color w:val="auto"/>
          <w:highlight w:val="none"/>
        </w:rPr>
      </w:pPr>
      <w:r>
        <w:rPr>
          <w:rFonts w:hint="eastAsia" w:ascii="仿宋" w:hAnsi="仿宋" w:eastAsia="仿宋" w:cs="宋体"/>
          <w:b/>
          <w:color w:val="auto"/>
          <w:spacing w:val="40"/>
          <w:sz w:val="36"/>
          <w:szCs w:val="36"/>
          <w:highlight w:val="none"/>
          <w:lang w:val="en-US" w:eastAsia="zh-CN"/>
        </w:rPr>
        <w:t>人保财险宁夏分公司银川市贺兰支公司职场装修改造项目</w:t>
      </w:r>
    </w:p>
    <w:p w14:paraId="187DC7A3">
      <w:pPr>
        <w:tabs>
          <w:tab w:val="left" w:pos="720"/>
          <w:tab w:val="left" w:pos="8295"/>
        </w:tabs>
        <w:spacing w:before="240" w:line="360" w:lineRule="auto"/>
        <w:jc w:val="center"/>
        <w:rPr>
          <w:rFonts w:hint="eastAsia" w:ascii="仿宋" w:hAnsi="仿宋" w:eastAsia="仿宋" w:cs="宋体"/>
          <w:b/>
          <w:color w:val="auto"/>
          <w:sz w:val="28"/>
          <w:szCs w:val="28"/>
          <w:highlight w:val="none"/>
        </w:rPr>
      </w:pPr>
    </w:p>
    <w:p w14:paraId="7919E8EC">
      <w:pPr>
        <w:tabs>
          <w:tab w:val="left" w:pos="720"/>
          <w:tab w:val="left" w:pos="8295"/>
        </w:tabs>
        <w:spacing w:before="240" w:line="360" w:lineRule="auto"/>
        <w:jc w:val="center"/>
        <w:rPr>
          <w:rFonts w:hint="eastAsia" w:ascii="仿宋" w:hAnsi="仿宋" w:eastAsia="仿宋" w:cs="仿宋"/>
          <w:b/>
          <w:color w:val="auto"/>
          <w:sz w:val="28"/>
          <w:szCs w:val="28"/>
          <w:highlight w:val="none"/>
          <w:lang w:eastAsia="zh-CN"/>
        </w:rPr>
      </w:pPr>
      <w:r>
        <w:rPr>
          <w:rFonts w:hint="eastAsia" w:ascii="仿宋" w:hAnsi="仿宋" w:eastAsia="仿宋" w:cs="宋体"/>
          <w:b/>
          <w:color w:val="auto"/>
          <w:sz w:val="28"/>
          <w:szCs w:val="28"/>
          <w:highlight w:val="none"/>
        </w:rPr>
        <w:t>采购代理项目编号：NXTFZB-</w:t>
      </w:r>
      <w:r>
        <w:rPr>
          <w:rFonts w:hint="eastAsia" w:ascii="仿宋" w:hAnsi="仿宋" w:eastAsia="仿宋" w:cs="宋体"/>
          <w:b/>
          <w:color w:val="auto"/>
          <w:sz w:val="28"/>
          <w:szCs w:val="28"/>
          <w:highlight w:val="none"/>
          <w:lang w:eastAsia="zh-CN"/>
        </w:rPr>
        <w:t>2026265</w:t>
      </w:r>
    </w:p>
    <w:p w14:paraId="604D12AD">
      <w:pPr>
        <w:rPr>
          <w:rFonts w:hint="eastAsia" w:ascii="仿宋" w:hAnsi="仿宋" w:eastAsia="仿宋" w:cs="仿宋"/>
          <w:color w:val="auto"/>
          <w:highlight w:val="none"/>
        </w:rPr>
      </w:pPr>
    </w:p>
    <w:p w14:paraId="2226B404">
      <w:pPr>
        <w:tabs>
          <w:tab w:val="left" w:pos="720"/>
          <w:tab w:val="left" w:pos="8295"/>
        </w:tabs>
        <w:spacing w:line="360" w:lineRule="auto"/>
        <w:jc w:val="center"/>
        <w:rPr>
          <w:rFonts w:hint="eastAsia" w:ascii="仿宋" w:hAnsi="仿宋" w:eastAsia="仿宋" w:cs="仿宋"/>
          <w:b/>
          <w:color w:val="auto"/>
          <w:sz w:val="28"/>
          <w:szCs w:val="28"/>
          <w:highlight w:val="none"/>
        </w:rPr>
      </w:pPr>
    </w:p>
    <w:p w14:paraId="1FD68197">
      <w:pPr>
        <w:pStyle w:val="17"/>
        <w:rPr>
          <w:rFonts w:hint="eastAsia"/>
          <w:color w:val="auto"/>
          <w:highlight w:val="none"/>
        </w:rPr>
      </w:pPr>
    </w:p>
    <w:p w14:paraId="6D1E5F83">
      <w:pPr>
        <w:tabs>
          <w:tab w:val="left" w:pos="720"/>
          <w:tab w:val="left" w:pos="8295"/>
        </w:tabs>
        <w:spacing w:line="360" w:lineRule="auto"/>
        <w:jc w:val="center"/>
        <w:rPr>
          <w:rFonts w:hint="eastAsia" w:ascii="仿宋" w:hAnsi="仿宋" w:eastAsia="仿宋" w:cs="仿宋"/>
          <w:b/>
          <w:bCs/>
          <w:color w:val="auto"/>
          <w:sz w:val="84"/>
          <w:szCs w:val="84"/>
          <w:highlight w:val="none"/>
        </w:rPr>
      </w:pPr>
      <w:r>
        <w:rPr>
          <w:rFonts w:hint="eastAsia" w:ascii="仿宋" w:hAnsi="仿宋" w:eastAsia="仿宋" w:cs="仿宋"/>
          <w:b/>
          <w:bCs/>
          <w:color w:val="auto"/>
          <w:sz w:val="84"/>
          <w:szCs w:val="84"/>
          <w:highlight w:val="none"/>
        </w:rPr>
        <w:t>竞争性磋商文件</w:t>
      </w:r>
    </w:p>
    <w:p w14:paraId="3B6229C2">
      <w:pPr>
        <w:tabs>
          <w:tab w:val="left" w:pos="720"/>
          <w:tab w:val="left" w:pos="8295"/>
        </w:tabs>
        <w:spacing w:line="360" w:lineRule="auto"/>
        <w:jc w:val="center"/>
        <w:rPr>
          <w:rFonts w:hint="eastAsia" w:ascii="仿宋" w:hAnsi="仿宋" w:eastAsia="仿宋" w:cs="仿宋"/>
          <w:b/>
          <w:color w:val="auto"/>
          <w:sz w:val="28"/>
          <w:szCs w:val="28"/>
          <w:highlight w:val="none"/>
        </w:rPr>
      </w:pPr>
    </w:p>
    <w:p w14:paraId="430E3887">
      <w:pPr>
        <w:tabs>
          <w:tab w:val="left" w:pos="720"/>
          <w:tab w:val="left" w:pos="8295"/>
        </w:tabs>
        <w:spacing w:line="360" w:lineRule="auto"/>
        <w:jc w:val="center"/>
        <w:rPr>
          <w:rFonts w:hint="eastAsia" w:ascii="仿宋" w:hAnsi="仿宋" w:eastAsia="仿宋" w:cs="仿宋"/>
          <w:b/>
          <w:color w:val="auto"/>
          <w:sz w:val="28"/>
          <w:szCs w:val="28"/>
          <w:highlight w:val="none"/>
        </w:rPr>
      </w:pPr>
    </w:p>
    <w:p w14:paraId="1BF82DD9">
      <w:pPr>
        <w:tabs>
          <w:tab w:val="left" w:pos="720"/>
          <w:tab w:val="left" w:pos="8295"/>
        </w:tabs>
        <w:spacing w:line="360" w:lineRule="auto"/>
        <w:jc w:val="center"/>
        <w:rPr>
          <w:rFonts w:hint="eastAsia" w:ascii="仿宋" w:hAnsi="仿宋" w:eastAsia="仿宋" w:cs="仿宋"/>
          <w:b/>
          <w:color w:val="auto"/>
          <w:sz w:val="28"/>
          <w:szCs w:val="28"/>
          <w:highlight w:val="none"/>
        </w:rPr>
      </w:pPr>
    </w:p>
    <w:p w14:paraId="3A977D5B">
      <w:pPr>
        <w:pStyle w:val="17"/>
        <w:rPr>
          <w:rFonts w:hint="eastAsia" w:ascii="仿宋" w:hAnsi="仿宋" w:eastAsia="仿宋" w:cs="仿宋"/>
          <w:b/>
          <w:color w:val="auto"/>
          <w:sz w:val="28"/>
          <w:szCs w:val="28"/>
          <w:highlight w:val="none"/>
        </w:rPr>
      </w:pPr>
    </w:p>
    <w:p w14:paraId="25A38D24">
      <w:pPr>
        <w:pStyle w:val="17"/>
        <w:rPr>
          <w:rFonts w:hint="eastAsia" w:ascii="仿宋" w:hAnsi="仿宋" w:eastAsia="仿宋" w:cs="仿宋"/>
          <w:b/>
          <w:color w:val="auto"/>
          <w:sz w:val="28"/>
          <w:szCs w:val="28"/>
          <w:highlight w:val="none"/>
        </w:rPr>
      </w:pPr>
    </w:p>
    <w:p w14:paraId="6D1AE8E9">
      <w:pPr>
        <w:pStyle w:val="17"/>
        <w:rPr>
          <w:rFonts w:hint="eastAsia" w:ascii="仿宋" w:hAnsi="仿宋" w:eastAsia="仿宋" w:cs="仿宋"/>
          <w:b/>
          <w:color w:val="auto"/>
          <w:sz w:val="28"/>
          <w:szCs w:val="28"/>
          <w:highlight w:val="none"/>
        </w:rPr>
      </w:pPr>
    </w:p>
    <w:p w14:paraId="252BECDC">
      <w:pPr>
        <w:pStyle w:val="17"/>
        <w:rPr>
          <w:rFonts w:hint="eastAsia" w:ascii="仿宋" w:hAnsi="仿宋" w:eastAsia="仿宋" w:cs="仿宋"/>
          <w:b/>
          <w:color w:val="auto"/>
          <w:sz w:val="28"/>
          <w:szCs w:val="28"/>
          <w:highlight w:val="none"/>
        </w:rPr>
      </w:pPr>
    </w:p>
    <w:p w14:paraId="5C3B0383">
      <w:pPr>
        <w:tabs>
          <w:tab w:val="left" w:pos="720"/>
          <w:tab w:val="left" w:pos="8295"/>
        </w:tabs>
        <w:spacing w:line="360" w:lineRule="auto"/>
        <w:jc w:val="center"/>
        <w:rPr>
          <w:rFonts w:ascii="仿宋" w:hAnsi="仿宋" w:eastAsia="仿宋" w:cs="仿宋"/>
          <w:b/>
          <w:color w:val="auto"/>
          <w:sz w:val="36"/>
          <w:szCs w:val="36"/>
          <w:highlight w:val="none"/>
        </w:rPr>
      </w:pPr>
    </w:p>
    <w:p w14:paraId="06A607AE">
      <w:pPr>
        <w:tabs>
          <w:tab w:val="left" w:pos="8295"/>
        </w:tabs>
        <w:adjustRightInd w:val="0"/>
        <w:snapToGrid w:val="0"/>
        <w:spacing w:line="360" w:lineRule="auto"/>
        <w:ind w:left="17" w:right="-21" w:rightChars="-10" w:hanging="17" w:hangingChars="6"/>
        <w:jc w:val="center"/>
        <w:rPr>
          <w:rFonts w:hint="eastAsia" w:ascii="仿宋" w:hAnsi="仿宋" w:eastAsia="仿宋" w:cs="仿宋"/>
          <w:b/>
          <w:color w:val="auto"/>
          <w:kern w:val="0"/>
          <w:sz w:val="28"/>
          <w:szCs w:val="28"/>
          <w:highlight w:val="none"/>
          <w:lang w:eastAsia="zh-CN"/>
        </w:rPr>
      </w:pPr>
      <w:r>
        <w:rPr>
          <w:rFonts w:hint="eastAsia" w:ascii="仿宋" w:hAnsi="仿宋" w:eastAsia="仿宋" w:cs="仿宋"/>
          <w:b/>
          <w:color w:val="auto"/>
          <w:kern w:val="0"/>
          <w:sz w:val="28"/>
          <w:szCs w:val="28"/>
          <w:highlight w:val="none"/>
        </w:rPr>
        <w:t>采购人：</w:t>
      </w:r>
      <w:bookmarkStart w:id="0" w:name="_Toc23584"/>
      <w:r>
        <w:rPr>
          <w:rFonts w:hint="eastAsia" w:ascii="仿宋" w:hAnsi="仿宋" w:eastAsia="仿宋" w:cs="仿宋"/>
          <w:b/>
          <w:color w:val="auto"/>
          <w:kern w:val="0"/>
          <w:sz w:val="28"/>
          <w:szCs w:val="28"/>
          <w:highlight w:val="none"/>
          <w:lang w:val="en-US" w:eastAsia="zh-CN"/>
        </w:rPr>
        <w:t>中国人民财产保险股份有限公司贺兰支公司</w:t>
      </w:r>
    </w:p>
    <w:p w14:paraId="58D34827">
      <w:pPr>
        <w:tabs>
          <w:tab w:val="left" w:pos="8295"/>
        </w:tabs>
        <w:adjustRightInd w:val="0"/>
        <w:snapToGrid w:val="0"/>
        <w:spacing w:line="360" w:lineRule="auto"/>
        <w:ind w:left="1706" w:right="-21" w:rightChars="-10" w:hanging="1706" w:hangingChars="607"/>
        <w:jc w:val="center"/>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采购代理机构：</w:t>
      </w:r>
      <w:r>
        <w:rPr>
          <w:rFonts w:hint="eastAsia" w:ascii="仿宋" w:hAnsi="仿宋" w:eastAsia="仿宋" w:cs="仿宋"/>
          <w:b/>
          <w:color w:val="auto"/>
          <w:kern w:val="0"/>
          <w:sz w:val="28"/>
          <w:szCs w:val="28"/>
          <w:highlight w:val="none"/>
          <w:lang w:val="en-US" w:eastAsia="zh-CN"/>
        </w:rPr>
        <w:t>宁夏回族自治区通信产业服务</w:t>
      </w:r>
      <w:r>
        <w:rPr>
          <w:rFonts w:hint="eastAsia" w:ascii="仿宋" w:hAnsi="仿宋" w:eastAsia="仿宋" w:cs="仿宋"/>
          <w:b/>
          <w:color w:val="auto"/>
          <w:kern w:val="0"/>
          <w:sz w:val="28"/>
          <w:szCs w:val="28"/>
          <w:highlight w:val="none"/>
        </w:rPr>
        <w:t>有限公司</w:t>
      </w:r>
    </w:p>
    <w:p w14:paraId="78937FF0">
      <w:pPr>
        <w:tabs>
          <w:tab w:val="left" w:pos="720"/>
          <w:tab w:val="left" w:pos="8295"/>
        </w:tabs>
        <w:spacing w:line="360" w:lineRule="auto"/>
        <w:jc w:val="center"/>
        <w:rPr>
          <w:rFonts w:hint="eastAsia" w:ascii="仿宋" w:hAnsi="仿宋" w:eastAsia="仿宋" w:cs="仿宋"/>
          <w:b/>
          <w:color w:val="auto"/>
          <w:sz w:val="28"/>
          <w:szCs w:val="28"/>
          <w:highlight w:val="none"/>
        </w:rPr>
      </w:pPr>
    </w:p>
    <w:p w14:paraId="7BDAE387">
      <w:pPr>
        <w:tabs>
          <w:tab w:val="left" w:pos="720"/>
          <w:tab w:val="left" w:pos="8295"/>
        </w:tabs>
        <w:spacing w:line="360" w:lineRule="auto"/>
        <w:jc w:val="center"/>
        <w:rPr>
          <w:rFonts w:hint="eastAsia" w:ascii="仿宋" w:hAnsi="仿宋" w:eastAsia="仿宋" w:cs="仿宋"/>
          <w:b/>
          <w:color w:val="auto"/>
          <w:sz w:val="28"/>
          <w:szCs w:val="28"/>
          <w:highlight w:val="none"/>
        </w:rPr>
      </w:pPr>
    </w:p>
    <w:p w14:paraId="3F4900F0">
      <w:pPr>
        <w:tabs>
          <w:tab w:val="left" w:pos="720"/>
          <w:tab w:val="left" w:pos="8295"/>
        </w:tabs>
        <w:spacing w:line="360" w:lineRule="auto"/>
        <w:jc w:val="center"/>
        <w:rPr>
          <w:rFonts w:hint="eastAsia" w:ascii="仿宋" w:hAnsi="仿宋" w:eastAsia="仿宋" w:cs="仿宋"/>
          <w:b/>
          <w:color w:val="auto"/>
          <w:sz w:val="36"/>
          <w:szCs w:val="36"/>
          <w:highlight w:val="none"/>
        </w:rPr>
      </w:pPr>
      <w:r>
        <w:rPr>
          <w:rFonts w:hint="eastAsia" w:ascii="仿宋" w:hAnsi="仿宋" w:eastAsia="仿宋" w:cs="仿宋"/>
          <w:b/>
          <w:color w:val="auto"/>
          <w:sz w:val="28"/>
          <w:szCs w:val="28"/>
          <w:highlight w:val="none"/>
        </w:rPr>
        <w:t>日期：20</w:t>
      </w:r>
      <w:r>
        <w:rPr>
          <w:rFonts w:hint="eastAsia" w:ascii="仿宋" w:hAnsi="仿宋" w:eastAsia="仿宋" w:cs="仿宋"/>
          <w:b/>
          <w:color w:val="auto"/>
          <w:sz w:val="28"/>
          <w:szCs w:val="28"/>
          <w:highlight w:val="none"/>
          <w:lang w:val="en-US" w:eastAsia="zh-CN"/>
        </w:rPr>
        <w:t>26</w:t>
      </w:r>
      <w:r>
        <w:rPr>
          <w:rFonts w:hint="eastAsia" w:ascii="仿宋" w:hAnsi="仿宋" w:eastAsia="仿宋" w:cs="仿宋"/>
          <w:b/>
          <w:color w:val="auto"/>
          <w:sz w:val="28"/>
          <w:szCs w:val="28"/>
          <w:highlight w:val="none"/>
        </w:rPr>
        <w:t>年</w:t>
      </w:r>
      <w:r>
        <w:rPr>
          <w:rFonts w:hint="eastAsia" w:ascii="仿宋" w:hAnsi="仿宋" w:eastAsia="仿宋" w:cs="仿宋"/>
          <w:b/>
          <w:color w:val="auto"/>
          <w:sz w:val="28"/>
          <w:szCs w:val="28"/>
          <w:highlight w:val="none"/>
          <w:lang w:val="en-US" w:eastAsia="zh-CN"/>
        </w:rPr>
        <w:t>7</w:t>
      </w:r>
      <w:r>
        <w:rPr>
          <w:rFonts w:hint="eastAsia" w:ascii="仿宋" w:hAnsi="仿宋" w:eastAsia="仿宋" w:cs="仿宋"/>
          <w:b/>
          <w:color w:val="auto"/>
          <w:sz w:val="28"/>
          <w:szCs w:val="28"/>
          <w:highlight w:val="none"/>
        </w:rPr>
        <w:t>月</w:t>
      </w:r>
    </w:p>
    <w:p w14:paraId="34996F04">
      <w:pPr>
        <w:spacing w:line="360" w:lineRule="auto"/>
        <w:jc w:val="center"/>
        <w:rPr>
          <w:rFonts w:hint="eastAsia" w:ascii="仿宋" w:hAnsi="仿宋" w:eastAsia="仿宋" w:cs="仿宋"/>
          <w:color w:val="auto"/>
          <w:sz w:val="36"/>
          <w:highlight w:val="none"/>
        </w:rPr>
        <w:sectPr>
          <w:headerReference r:id="rId4" w:type="first"/>
          <w:footerReference r:id="rId7" w:type="first"/>
          <w:headerReference r:id="rId3" w:type="default"/>
          <w:footerReference r:id="rId5" w:type="default"/>
          <w:footerReference r:id="rId6" w:type="even"/>
          <w:pgSz w:w="11906" w:h="16838"/>
          <w:pgMar w:top="1417" w:right="1134" w:bottom="1134" w:left="1134" w:header="964" w:footer="964" w:gutter="0"/>
          <w:pgNumType w:start="1"/>
          <w:cols w:space="720" w:num="1"/>
          <w:docGrid w:linePitch="312" w:charSpace="0"/>
        </w:sectPr>
      </w:pPr>
    </w:p>
    <w:p w14:paraId="0B410D4D">
      <w:pPr>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zh-CN"/>
        </w:rPr>
        <w:t>目  录</w:t>
      </w:r>
      <w:bookmarkEnd w:id="0"/>
    </w:p>
    <w:p w14:paraId="39BBE88A">
      <w:pPr>
        <w:pStyle w:val="28"/>
        <w:tabs>
          <w:tab w:val="right" w:leader="dot" w:pos="9638"/>
        </w:tabs>
      </w:pPr>
      <w:r>
        <w:rPr>
          <w:rFonts w:hint="eastAsia" w:ascii="仿宋" w:hAnsi="仿宋" w:eastAsia="仿宋" w:cs="仿宋"/>
          <w:b w:val="0"/>
          <w:bCs w:val="0"/>
          <w:caps w:val="0"/>
          <w:color w:val="auto"/>
          <w:sz w:val="24"/>
          <w:szCs w:val="24"/>
          <w:highlight w:val="none"/>
        </w:rPr>
        <w:fldChar w:fldCharType="begin"/>
      </w:r>
      <w:r>
        <w:rPr>
          <w:rFonts w:hint="eastAsia" w:ascii="仿宋" w:hAnsi="仿宋" w:eastAsia="仿宋" w:cs="仿宋"/>
          <w:b w:val="0"/>
          <w:bCs w:val="0"/>
          <w:caps w:val="0"/>
          <w:color w:val="auto"/>
          <w:sz w:val="24"/>
          <w:szCs w:val="24"/>
          <w:highlight w:val="none"/>
        </w:rPr>
        <w:instrText xml:space="preserve"> TOC \o "1-3" \h \z \u </w:instrText>
      </w:r>
      <w:r>
        <w:rPr>
          <w:rFonts w:hint="eastAsia" w:ascii="仿宋" w:hAnsi="仿宋" w:eastAsia="仿宋" w:cs="仿宋"/>
          <w:b w:val="0"/>
          <w:bCs w:val="0"/>
          <w:caps w:val="0"/>
          <w:color w:val="auto"/>
          <w:sz w:val="24"/>
          <w:szCs w:val="24"/>
          <w:highlight w:val="none"/>
        </w:rPr>
        <w:fldChar w:fldCharType="separate"/>
      </w:r>
      <w:r>
        <w:rPr>
          <w:rFonts w:hint="eastAsia" w:ascii="仿宋" w:hAnsi="仿宋" w:eastAsia="仿宋" w:cs="仿宋"/>
          <w:bCs w:val="0"/>
          <w:caps w:val="0"/>
          <w:color w:val="auto"/>
          <w:szCs w:val="24"/>
          <w:highlight w:val="none"/>
        </w:rPr>
        <w:fldChar w:fldCharType="begin"/>
      </w:r>
      <w:r>
        <w:rPr>
          <w:rFonts w:hint="eastAsia" w:ascii="仿宋" w:hAnsi="仿宋" w:eastAsia="仿宋" w:cs="仿宋"/>
          <w:bCs w:val="0"/>
          <w:caps w:val="0"/>
          <w:szCs w:val="24"/>
          <w:highlight w:val="none"/>
        </w:rPr>
        <w:instrText xml:space="preserve"> HYPERLINK \l _Toc26009 </w:instrText>
      </w:r>
      <w:r>
        <w:rPr>
          <w:rFonts w:hint="eastAsia" w:ascii="仿宋" w:hAnsi="仿宋" w:eastAsia="仿宋" w:cs="仿宋"/>
          <w:bCs w:val="0"/>
          <w:caps w:val="0"/>
          <w:szCs w:val="24"/>
          <w:highlight w:val="none"/>
        </w:rPr>
        <w:fldChar w:fldCharType="separate"/>
      </w:r>
      <w:r>
        <w:rPr>
          <w:rFonts w:hint="eastAsia" w:ascii="仿宋" w:hAnsi="仿宋" w:eastAsia="仿宋" w:cs="仿宋"/>
          <w:bCs w:val="0"/>
          <w:szCs w:val="28"/>
          <w:highlight w:val="none"/>
        </w:rPr>
        <w:t>第一章 竞争性磋商公告</w:t>
      </w:r>
      <w:r>
        <w:tab/>
      </w:r>
      <w:r>
        <w:fldChar w:fldCharType="begin"/>
      </w:r>
      <w:r>
        <w:instrText xml:space="preserve"> PAGEREF _Toc26009 \h </w:instrText>
      </w:r>
      <w:r>
        <w:fldChar w:fldCharType="separate"/>
      </w:r>
      <w:r>
        <w:t>2</w:t>
      </w:r>
      <w:r>
        <w:fldChar w:fldCharType="end"/>
      </w:r>
      <w:r>
        <w:rPr>
          <w:rFonts w:hint="eastAsia" w:ascii="仿宋" w:hAnsi="仿宋" w:eastAsia="仿宋" w:cs="仿宋"/>
          <w:bCs w:val="0"/>
          <w:caps w:val="0"/>
          <w:color w:val="auto"/>
          <w:szCs w:val="24"/>
          <w:highlight w:val="none"/>
        </w:rPr>
        <w:fldChar w:fldCharType="end"/>
      </w:r>
    </w:p>
    <w:p w14:paraId="06831C2E">
      <w:pPr>
        <w:pStyle w:val="33"/>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_Toc22724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一、项目概况与采购范围</w:t>
      </w:r>
      <w:r>
        <w:tab/>
      </w:r>
      <w:r>
        <w:fldChar w:fldCharType="begin"/>
      </w:r>
      <w:r>
        <w:instrText xml:space="preserve"> PAGEREF _Toc22724 \h </w:instrText>
      </w:r>
      <w:r>
        <w:fldChar w:fldCharType="separate"/>
      </w:r>
      <w:r>
        <w:t>2</w:t>
      </w:r>
      <w:r>
        <w:fldChar w:fldCharType="end"/>
      </w:r>
      <w:r>
        <w:rPr>
          <w:rFonts w:hint="eastAsia" w:ascii="仿宋" w:hAnsi="仿宋" w:eastAsia="仿宋" w:cs="仿宋"/>
          <w:caps/>
          <w:color w:val="auto"/>
          <w:highlight w:val="none"/>
        </w:rPr>
        <w:fldChar w:fldCharType="end"/>
      </w:r>
    </w:p>
    <w:p w14:paraId="037121B6">
      <w:pPr>
        <w:pStyle w:val="33"/>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_Toc21596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二、供应商资格要求</w:t>
      </w:r>
      <w:r>
        <w:tab/>
      </w:r>
      <w:r>
        <w:fldChar w:fldCharType="begin"/>
      </w:r>
      <w:r>
        <w:instrText xml:space="preserve"> PAGEREF _Toc21596 \h </w:instrText>
      </w:r>
      <w:r>
        <w:fldChar w:fldCharType="separate"/>
      </w:r>
      <w:r>
        <w:t>2</w:t>
      </w:r>
      <w:r>
        <w:fldChar w:fldCharType="end"/>
      </w:r>
      <w:r>
        <w:rPr>
          <w:rFonts w:hint="eastAsia" w:ascii="仿宋" w:hAnsi="仿宋" w:eastAsia="仿宋" w:cs="仿宋"/>
          <w:caps/>
          <w:color w:val="auto"/>
          <w:highlight w:val="none"/>
        </w:rPr>
        <w:fldChar w:fldCharType="end"/>
      </w:r>
    </w:p>
    <w:p w14:paraId="7FB9AC5E">
      <w:pPr>
        <w:pStyle w:val="33"/>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_Toc6968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三、资格审查方法</w:t>
      </w:r>
      <w:r>
        <w:tab/>
      </w:r>
      <w:r>
        <w:fldChar w:fldCharType="begin"/>
      </w:r>
      <w:r>
        <w:instrText xml:space="preserve"> PAGEREF _Toc6968 \h </w:instrText>
      </w:r>
      <w:r>
        <w:fldChar w:fldCharType="separate"/>
      </w:r>
      <w:r>
        <w:t>3</w:t>
      </w:r>
      <w:r>
        <w:fldChar w:fldCharType="end"/>
      </w:r>
      <w:r>
        <w:rPr>
          <w:rFonts w:hint="eastAsia" w:ascii="仿宋" w:hAnsi="仿宋" w:eastAsia="仿宋" w:cs="仿宋"/>
          <w:caps/>
          <w:color w:val="auto"/>
          <w:highlight w:val="none"/>
        </w:rPr>
        <w:fldChar w:fldCharType="end"/>
      </w:r>
    </w:p>
    <w:p w14:paraId="4BA40AE9">
      <w:pPr>
        <w:pStyle w:val="33"/>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_Toc12011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四、磋商文件的获取</w:t>
      </w:r>
      <w:r>
        <w:tab/>
      </w:r>
      <w:r>
        <w:fldChar w:fldCharType="begin"/>
      </w:r>
      <w:r>
        <w:instrText xml:space="preserve"> PAGEREF _Toc12011 \h </w:instrText>
      </w:r>
      <w:r>
        <w:fldChar w:fldCharType="separate"/>
      </w:r>
      <w:r>
        <w:t>3</w:t>
      </w:r>
      <w:r>
        <w:fldChar w:fldCharType="end"/>
      </w:r>
      <w:r>
        <w:rPr>
          <w:rFonts w:hint="eastAsia" w:ascii="仿宋" w:hAnsi="仿宋" w:eastAsia="仿宋" w:cs="仿宋"/>
          <w:caps/>
          <w:color w:val="auto"/>
          <w:highlight w:val="none"/>
        </w:rPr>
        <w:fldChar w:fldCharType="end"/>
      </w:r>
    </w:p>
    <w:p w14:paraId="647B6F76">
      <w:pPr>
        <w:pStyle w:val="33"/>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_Toc15216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五、响应文件的递交</w:t>
      </w:r>
      <w:r>
        <w:tab/>
      </w:r>
      <w:r>
        <w:fldChar w:fldCharType="begin"/>
      </w:r>
      <w:r>
        <w:instrText xml:space="preserve"> PAGEREF _Toc15216 \h </w:instrText>
      </w:r>
      <w:r>
        <w:fldChar w:fldCharType="separate"/>
      </w:r>
      <w:r>
        <w:t>4</w:t>
      </w:r>
      <w:r>
        <w:fldChar w:fldCharType="end"/>
      </w:r>
      <w:r>
        <w:rPr>
          <w:rFonts w:hint="eastAsia" w:ascii="仿宋" w:hAnsi="仿宋" w:eastAsia="仿宋" w:cs="仿宋"/>
          <w:caps/>
          <w:color w:val="auto"/>
          <w:highlight w:val="none"/>
        </w:rPr>
        <w:fldChar w:fldCharType="end"/>
      </w:r>
    </w:p>
    <w:p w14:paraId="223D4FFC">
      <w:pPr>
        <w:pStyle w:val="33"/>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_Toc32178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六</w:t>
      </w:r>
      <w:r>
        <w:rPr>
          <w:rFonts w:hint="eastAsia" w:ascii="仿宋" w:hAnsi="仿宋" w:eastAsia="仿宋" w:cs="仿宋"/>
          <w:szCs w:val="24"/>
          <w:highlight w:val="none"/>
        </w:rPr>
        <w:t>、发布公告的媒介</w:t>
      </w:r>
      <w:r>
        <w:tab/>
      </w:r>
      <w:r>
        <w:fldChar w:fldCharType="begin"/>
      </w:r>
      <w:r>
        <w:instrText xml:space="preserve"> PAGEREF _Toc32178 \h </w:instrText>
      </w:r>
      <w:r>
        <w:fldChar w:fldCharType="separate"/>
      </w:r>
      <w:r>
        <w:t>4</w:t>
      </w:r>
      <w:r>
        <w:fldChar w:fldCharType="end"/>
      </w:r>
      <w:r>
        <w:rPr>
          <w:rFonts w:hint="eastAsia" w:ascii="仿宋" w:hAnsi="仿宋" w:eastAsia="仿宋" w:cs="仿宋"/>
          <w:caps/>
          <w:color w:val="auto"/>
          <w:highlight w:val="none"/>
        </w:rPr>
        <w:fldChar w:fldCharType="end"/>
      </w:r>
    </w:p>
    <w:p w14:paraId="47B0967C">
      <w:pPr>
        <w:pStyle w:val="33"/>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_Toc876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七</w:t>
      </w:r>
      <w:r>
        <w:rPr>
          <w:rFonts w:hint="eastAsia" w:ascii="仿宋" w:hAnsi="仿宋" w:eastAsia="仿宋" w:cs="仿宋"/>
          <w:szCs w:val="24"/>
          <w:highlight w:val="none"/>
        </w:rPr>
        <w:t>、联系方式</w:t>
      </w:r>
      <w:r>
        <w:tab/>
      </w:r>
      <w:r>
        <w:fldChar w:fldCharType="begin"/>
      </w:r>
      <w:r>
        <w:instrText xml:space="preserve"> PAGEREF _Toc876 \h </w:instrText>
      </w:r>
      <w:r>
        <w:fldChar w:fldCharType="separate"/>
      </w:r>
      <w:r>
        <w:t>4</w:t>
      </w:r>
      <w:r>
        <w:fldChar w:fldCharType="end"/>
      </w:r>
      <w:r>
        <w:rPr>
          <w:rFonts w:hint="eastAsia" w:ascii="仿宋" w:hAnsi="仿宋" w:eastAsia="仿宋" w:cs="仿宋"/>
          <w:caps/>
          <w:color w:val="auto"/>
          <w:highlight w:val="none"/>
        </w:rPr>
        <w:fldChar w:fldCharType="end"/>
      </w:r>
    </w:p>
    <w:p w14:paraId="0B7D5348">
      <w:pPr>
        <w:pStyle w:val="28"/>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_Toc16623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第二章 供应商须知</w:t>
      </w:r>
      <w:r>
        <w:tab/>
      </w:r>
      <w:r>
        <w:fldChar w:fldCharType="begin"/>
      </w:r>
      <w:r>
        <w:instrText xml:space="preserve"> PAGEREF _Toc16623 \h </w:instrText>
      </w:r>
      <w:r>
        <w:fldChar w:fldCharType="separate"/>
      </w:r>
      <w:r>
        <w:t>5</w:t>
      </w:r>
      <w:r>
        <w:fldChar w:fldCharType="end"/>
      </w:r>
      <w:r>
        <w:rPr>
          <w:rFonts w:hint="eastAsia" w:ascii="仿宋" w:hAnsi="仿宋" w:eastAsia="仿宋" w:cs="仿宋"/>
          <w:caps/>
          <w:color w:val="auto"/>
          <w:highlight w:val="none"/>
        </w:rPr>
        <w:fldChar w:fldCharType="end"/>
      </w:r>
    </w:p>
    <w:p w14:paraId="74F02152">
      <w:pPr>
        <w:pStyle w:val="33"/>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_Toc16320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一、供应商须知前附表</w:t>
      </w:r>
      <w:r>
        <w:tab/>
      </w:r>
      <w:r>
        <w:fldChar w:fldCharType="begin"/>
      </w:r>
      <w:r>
        <w:instrText xml:space="preserve"> PAGEREF _Toc16320 \h </w:instrText>
      </w:r>
      <w:r>
        <w:fldChar w:fldCharType="separate"/>
      </w:r>
      <w:r>
        <w:t>5</w:t>
      </w:r>
      <w:r>
        <w:fldChar w:fldCharType="end"/>
      </w:r>
      <w:r>
        <w:rPr>
          <w:rFonts w:hint="eastAsia" w:ascii="仿宋" w:hAnsi="仿宋" w:eastAsia="仿宋" w:cs="仿宋"/>
          <w:caps/>
          <w:color w:val="auto"/>
          <w:highlight w:val="none"/>
        </w:rPr>
        <w:fldChar w:fldCharType="end"/>
      </w:r>
    </w:p>
    <w:p w14:paraId="3DBC1389">
      <w:pPr>
        <w:pStyle w:val="33"/>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_Toc29424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二、供应商须知正文</w:t>
      </w:r>
      <w:r>
        <w:tab/>
      </w:r>
      <w:r>
        <w:fldChar w:fldCharType="begin"/>
      </w:r>
      <w:r>
        <w:instrText xml:space="preserve"> PAGEREF _Toc29424 \h </w:instrText>
      </w:r>
      <w:r>
        <w:fldChar w:fldCharType="separate"/>
      </w:r>
      <w:r>
        <w:t>10</w:t>
      </w:r>
      <w:r>
        <w:fldChar w:fldCharType="end"/>
      </w:r>
      <w:r>
        <w:rPr>
          <w:rFonts w:hint="eastAsia" w:ascii="仿宋" w:hAnsi="仿宋" w:eastAsia="仿宋" w:cs="仿宋"/>
          <w:caps/>
          <w:color w:val="auto"/>
          <w:highlight w:val="none"/>
        </w:rPr>
        <w:fldChar w:fldCharType="end"/>
      </w:r>
    </w:p>
    <w:p w14:paraId="2C32A1BC">
      <w:pPr>
        <w:pStyle w:val="20"/>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_Toc2408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（一）总 则</w:t>
      </w:r>
      <w:r>
        <w:tab/>
      </w:r>
      <w:r>
        <w:fldChar w:fldCharType="begin"/>
      </w:r>
      <w:r>
        <w:instrText xml:space="preserve"> PAGEREF _Toc2408 \h </w:instrText>
      </w:r>
      <w:r>
        <w:fldChar w:fldCharType="separate"/>
      </w:r>
      <w:r>
        <w:t>10</w:t>
      </w:r>
      <w:r>
        <w:fldChar w:fldCharType="end"/>
      </w:r>
      <w:r>
        <w:rPr>
          <w:rFonts w:hint="eastAsia" w:ascii="仿宋" w:hAnsi="仿宋" w:eastAsia="仿宋" w:cs="仿宋"/>
          <w:caps/>
          <w:color w:val="auto"/>
          <w:highlight w:val="none"/>
        </w:rPr>
        <w:fldChar w:fldCharType="end"/>
      </w:r>
    </w:p>
    <w:p w14:paraId="3A611DCE">
      <w:pPr>
        <w:pStyle w:val="20"/>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_Toc14617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（二）磋商文件</w:t>
      </w:r>
      <w:r>
        <w:tab/>
      </w:r>
      <w:r>
        <w:fldChar w:fldCharType="begin"/>
      </w:r>
      <w:r>
        <w:instrText xml:space="preserve"> PAGEREF _Toc14617 \h </w:instrText>
      </w:r>
      <w:r>
        <w:fldChar w:fldCharType="separate"/>
      </w:r>
      <w:r>
        <w:t>10</w:t>
      </w:r>
      <w:r>
        <w:fldChar w:fldCharType="end"/>
      </w:r>
      <w:r>
        <w:rPr>
          <w:rFonts w:hint="eastAsia" w:ascii="仿宋" w:hAnsi="仿宋" w:eastAsia="仿宋" w:cs="仿宋"/>
          <w:caps/>
          <w:color w:val="auto"/>
          <w:highlight w:val="none"/>
        </w:rPr>
        <w:fldChar w:fldCharType="end"/>
      </w:r>
    </w:p>
    <w:p w14:paraId="39AC8F93">
      <w:pPr>
        <w:pStyle w:val="20"/>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_Toc1832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（三）响应文件</w:t>
      </w:r>
      <w:r>
        <w:tab/>
      </w:r>
      <w:r>
        <w:fldChar w:fldCharType="begin"/>
      </w:r>
      <w:r>
        <w:instrText xml:space="preserve"> PAGEREF _Toc1832 \h </w:instrText>
      </w:r>
      <w:r>
        <w:fldChar w:fldCharType="separate"/>
      </w:r>
      <w:r>
        <w:t>11</w:t>
      </w:r>
      <w:r>
        <w:fldChar w:fldCharType="end"/>
      </w:r>
      <w:r>
        <w:rPr>
          <w:rFonts w:hint="eastAsia" w:ascii="仿宋" w:hAnsi="仿宋" w:eastAsia="仿宋" w:cs="仿宋"/>
          <w:caps/>
          <w:color w:val="auto"/>
          <w:highlight w:val="none"/>
        </w:rPr>
        <w:fldChar w:fldCharType="end"/>
      </w:r>
    </w:p>
    <w:p w14:paraId="4743629F">
      <w:pPr>
        <w:pStyle w:val="20"/>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_Toc8780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（四）响应文件的递交</w:t>
      </w:r>
      <w:r>
        <w:tab/>
      </w:r>
      <w:r>
        <w:fldChar w:fldCharType="begin"/>
      </w:r>
      <w:r>
        <w:instrText xml:space="preserve"> PAGEREF _Toc8780 \h </w:instrText>
      </w:r>
      <w:r>
        <w:fldChar w:fldCharType="separate"/>
      </w:r>
      <w:r>
        <w:t>13</w:t>
      </w:r>
      <w:r>
        <w:fldChar w:fldCharType="end"/>
      </w:r>
      <w:r>
        <w:rPr>
          <w:rFonts w:hint="eastAsia" w:ascii="仿宋" w:hAnsi="仿宋" w:eastAsia="仿宋" w:cs="仿宋"/>
          <w:caps/>
          <w:color w:val="auto"/>
          <w:highlight w:val="none"/>
        </w:rPr>
        <w:fldChar w:fldCharType="end"/>
      </w:r>
    </w:p>
    <w:p w14:paraId="56FD350A">
      <w:pPr>
        <w:pStyle w:val="20"/>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_Toc10971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（五）竞争性磋商和评审</w:t>
      </w:r>
      <w:r>
        <w:tab/>
      </w:r>
      <w:r>
        <w:fldChar w:fldCharType="begin"/>
      </w:r>
      <w:r>
        <w:instrText xml:space="preserve"> PAGEREF _Toc10971 \h </w:instrText>
      </w:r>
      <w:r>
        <w:fldChar w:fldCharType="separate"/>
      </w:r>
      <w:r>
        <w:t>13</w:t>
      </w:r>
      <w:r>
        <w:fldChar w:fldCharType="end"/>
      </w:r>
      <w:r>
        <w:rPr>
          <w:rFonts w:hint="eastAsia" w:ascii="仿宋" w:hAnsi="仿宋" w:eastAsia="仿宋" w:cs="仿宋"/>
          <w:caps/>
          <w:color w:val="auto"/>
          <w:highlight w:val="none"/>
        </w:rPr>
        <w:fldChar w:fldCharType="end"/>
      </w:r>
    </w:p>
    <w:p w14:paraId="0F0A0F91">
      <w:pPr>
        <w:pStyle w:val="20"/>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_Toc1388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（六）授予合同</w:t>
      </w:r>
      <w:r>
        <w:tab/>
      </w:r>
      <w:r>
        <w:fldChar w:fldCharType="begin"/>
      </w:r>
      <w:r>
        <w:instrText xml:space="preserve"> PAGEREF _Toc1388 \h </w:instrText>
      </w:r>
      <w:r>
        <w:fldChar w:fldCharType="separate"/>
      </w:r>
      <w:r>
        <w:t>15</w:t>
      </w:r>
      <w:r>
        <w:fldChar w:fldCharType="end"/>
      </w:r>
      <w:r>
        <w:rPr>
          <w:rFonts w:hint="eastAsia" w:ascii="仿宋" w:hAnsi="仿宋" w:eastAsia="仿宋" w:cs="仿宋"/>
          <w:caps/>
          <w:color w:val="auto"/>
          <w:highlight w:val="none"/>
        </w:rPr>
        <w:fldChar w:fldCharType="end"/>
      </w:r>
    </w:p>
    <w:p w14:paraId="4DB70F24">
      <w:pPr>
        <w:pStyle w:val="20"/>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_Toc21098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（七）其他</w:t>
      </w:r>
      <w:r>
        <w:tab/>
      </w:r>
      <w:r>
        <w:fldChar w:fldCharType="begin"/>
      </w:r>
      <w:r>
        <w:instrText xml:space="preserve"> PAGEREF _Toc21098 \h </w:instrText>
      </w:r>
      <w:r>
        <w:fldChar w:fldCharType="separate"/>
      </w:r>
      <w:r>
        <w:t>15</w:t>
      </w:r>
      <w:r>
        <w:fldChar w:fldCharType="end"/>
      </w:r>
      <w:r>
        <w:rPr>
          <w:rFonts w:hint="eastAsia" w:ascii="仿宋" w:hAnsi="仿宋" w:eastAsia="仿宋" w:cs="仿宋"/>
          <w:caps/>
          <w:color w:val="auto"/>
          <w:highlight w:val="none"/>
        </w:rPr>
        <w:fldChar w:fldCharType="end"/>
      </w:r>
    </w:p>
    <w:p w14:paraId="0DD0CFB6">
      <w:pPr>
        <w:pStyle w:val="28"/>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_Toc26894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第三章 评审办法</w:t>
      </w:r>
      <w:r>
        <w:tab/>
      </w:r>
      <w:r>
        <w:fldChar w:fldCharType="begin"/>
      </w:r>
      <w:r>
        <w:instrText xml:space="preserve"> PAGEREF _Toc26894 \h </w:instrText>
      </w:r>
      <w:r>
        <w:fldChar w:fldCharType="separate"/>
      </w:r>
      <w:r>
        <w:t>17</w:t>
      </w:r>
      <w:r>
        <w:fldChar w:fldCharType="end"/>
      </w:r>
      <w:r>
        <w:rPr>
          <w:rFonts w:hint="eastAsia" w:ascii="仿宋" w:hAnsi="仿宋" w:eastAsia="仿宋" w:cs="仿宋"/>
          <w:caps/>
          <w:color w:val="auto"/>
          <w:highlight w:val="none"/>
        </w:rPr>
        <w:fldChar w:fldCharType="end"/>
      </w:r>
    </w:p>
    <w:p w14:paraId="64C6F712">
      <w:pPr>
        <w:pStyle w:val="33"/>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_Toc12604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一、评审程序</w:t>
      </w:r>
      <w:r>
        <w:tab/>
      </w:r>
      <w:r>
        <w:fldChar w:fldCharType="begin"/>
      </w:r>
      <w:r>
        <w:instrText xml:space="preserve"> PAGEREF _Toc12604 \h </w:instrText>
      </w:r>
      <w:r>
        <w:fldChar w:fldCharType="separate"/>
      </w:r>
      <w:r>
        <w:t>17</w:t>
      </w:r>
      <w:r>
        <w:fldChar w:fldCharType="end"/>
      </w:r>
      <w:r>
        <w:rPr>
          <w:rFonts w:hint="eastAsia" w:ascii="仿宋" w:hAnsi="仿宋" w:eastAsia="仿宋" w:cs="仿宋"/>
          <w:caps/>
          <w:color w:val="auto"/>
          <w:highlight w:val="none"/>
        </w:rPr>
        <w:fldChar w:fldCharType="end"/>
      </w:r>
    </w:p>
    <w:p w14:paraId="57F95462">
      <w:pPr>
        <w:pStyle w:val="33"/>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_Toc26003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二、初步评审</w:t>
      </w:r>
      <w:r>
        <w:tab/>
      </w:r>
      <w:r>
        <w:fldChar w:fldCharType="begin"/>
      </w:r>
      <w:r>
        <w:instrText xml:space="preserve"> PAGEREF _Toc26003 \h </w:instrText>
      </w:r>
      <w:r>
        <w:fldChar w:fldCharType="separate"/>
      </w:r>
      <w:r>
        <w:t>18</w:t>
      </w:r>
      <w:r>
        <w:fldChar w:fldCharType="end"/>
      </w:r>
      <w:r>
        <w:rPr>
          <w:rFonts w:hint="eastAsia" w:ascii="仿宋" w:hAnsi="仿宋" w:eastAsia="仿宋" w:cs="仿宋"/>
          <w:caps/>
          <w:color w:val="auto"/>
          <w:highlight w:val="none"/>
        </w:rPr>
        <w:fldChar w:fldCharType="end"/>
      </w:r>
    </w:p>
    <w:p w14:paraId="6C288482">
      <w:pPr>
        <w:pStyle w:val="33"/>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_Toc20060 </w:instrText>
      </w:r>
      <w:r>
        <w:rPr>
          <w:rFonts w:hint="eastAsia" w:ascii="仿宋" w:hAnsi="仿宋" w:eastAsia="仿宋" w:cs="仿宋"/>
          <w:caps/>
          <w:highlight w:val="none"/>
        </w:rPr>
        <w:fldChar w:fldCharType="separate"/>
      </w:r>
      <w:r>
        <w:rPr>
          <w:rFonts w:hint="eastAsia" w:ascii="仿宋" w:hAnsi="仿宋" w:eastAsia="仿宋" w:cs="仿宋"/>
          <w:szCs w:val="24"/>
        </w:rPr>
        <w:t xml:space="preserve">三、 </w:t>
      </w:r>
      <w:r>
        <w:rPr>
          <w:rFonts w:hint="eastAsia" w:ascii="仿宋" w:hAnsi="仿宋" w:eastAsia="仿宋" w:cs="仿宋"/>
          <w:szCs w:val="24"/>
          <w:highlight w:val="none"/>
        </w:rPr>
        <w:t>详细评审</w:t>
      </w:r>
      <w:r>
        <w:tab/>
      </w:r>
      <w:r>
        <w:fldChar w:fldCharType="begin"/>
      </w:r>
      <w:r>
        <w:instrText xml:space="preserve"> PAGEREF _Toc20060 \h </w:instrText>
      </w:r>
      <w:r>
        <w:fldChar w:fldCharType="separate"/>
      </w:r>
      <w:r>
        <w:t>19</w:t>
      </w:r>
      <w:r>
        <w:fldChar w:fldCharType="end"/>
      </w:r>
      <w:r>
        <w:rPr>
          <w:rFonts w:hint="eastAsia" w:ascii="仿宋" w:hAnsi="仿宋" w:eastAsia="仿宋" w:cs="仿宋"/>
          <w:caps/>
          <w:color w:val="auto"/>
          <w:highlight w:val="none"/>
        </w:rPr>
        <w:fldChar w:fldCharType="end"/>
      </w:r>
    </w:p>
    <w:p w14:paraId="408CD594">
      <w:pPr>
        <w:pStyle w:val="28"/>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_Toc15685 </w:instrText>
      </w:r>
      <w:r>
        <w:rPr>
          <w:rFonts w:hint="eastAsia" w:ascii="仿宋" w:hAnsi="仿宋" w:eastAsia="仿宋" w:cs="仿宋"/>
          <w:caps/>
          <w:highlight w:val="none"/>
        </w:rPr>
        <w:fldChar w:fldCharType="separate"/>
      </w:r>
      <w:r>
        <w:rPr>
          <w:rFonts w:hint="eastAsia" w:ascii="仿宋" w:hAnsi="仿宋" w:eastAsia="仿宋" w:cs="仿宋"/>
          <w:szCs w:val="28"/>
        </w:rPr>
        <w:t xml:space="preserve">第四章 </w:t>
      </w:r>
      <w:r>
        <w:rPr>
          <w:rFonts w:hint="eastAsia" w:ascii="仿宋" w:hAnsi="仿宋" w:eastAsia="仿宋" w:cs="仿宋"/>
          <w:szCs w:val="28"/>
          <w:highlight w:val="none"/>
        </w:rPr>
        <w:t>合同条款</w:t>
      </w:r>
      <w:r>
        <w:tab/>
      </w:r>
      <w:r>
        <w:fldChar w:fldCharType="begin"/>
      </w:r>
      <w:r>
        <w:instrText xml:space="preserve"> PAGEREF _Toc15685 \h </w:instrText>
      </w:r>
      <w:r>
        <w:fldChar w:fldCharType="separate"/>
      </w:r>
      <w:r>
        <w:t>22</w:t>
      </w:r>
      <w:r>
        <w:fldChar w:fldCharType="end"/>
      </w:r>
      <w:r>
        <w:rPr>
          <w:rFonts w:hint="eastAsia" w:ascii="仿宋" w:hAnsi="仿宋" w:eastAsia="仿宋" w:cs="仿宋"/>
          <w:caps/>
          <w:color w:val="auto"/>
          <w:highlight w:val="none"/>
        </w:rPr>
        <w:fldChar w:fldCharType="end"/>
      </w:r>
    </w:p>
    <w:p w14:paraId="2D9DD262">
      <w:pPr>
        <w:pStyle w:val="28"/>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_Toc1199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第五章 采购需求</w:t>
      </w:r>
      <w:r>
        <w:tab/>
      </w:r>
      <w:r>
        <w:fldChar w:fldCharType="begin"/>
      </w:r>
      <w:r>
        <w:instrText xml:space="preserve"> PAGEREF _Toc1199 \h </w:instrText>
      </w:r>
      <w:r>
        <w:fldChar w:fldCharType="separate"/>
      </w:r>
      <w:r>
        <w:t>37</w:t>
      </w:r>
      <w:r>
        <w:fldChar w:fldCharType="end"/>
      </w:r>
      <w:r>
        <w:rPr>
          <w:rFonts w:hint="eastAsia" w:ascii="仿宋" w:hAnsi="仿宋" w:eastAsia="仿宋" w:cs="仿宋"/>
          <w:caps/>
          <w:color w:val="auto"/>
          <w:highlight w:val="none"/>
        </w:rPr>
        <w:fldChar w:fldCharType="end"/>
      </w:r>
    </w:p>
    <w:p w14:paraId="71BD0E15">
      <w:pPr>
        <w:pStyle w:val="28"/>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_Toc558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第六章 响应文件格式</w:t>
      </w:r>
      <w:r>
        <w:tab/>
      </w:r>
      <w:r>
        <w:fldChar w:fldCharType="begin"/>
      </w:r>
      <w:r>
        <w:instrText xml:space="preserve"> PAGEREF _Toc558 \h </w:instrText>
      </w:r>
      <w:r>
        <w:fldChar w:fldCharType="separate"/>
      </w:r>
      <w:r>
        <w:t>42</w:t>
      </w:r>
      <w:r>
        <w:fldChar w:fldCharType="end"/>
      </w:r>
      <w:r>
        <w:rPr>
          <w:rFonts w:hint="eastAsia" w:ascii="仿宋" w:hAnsi="仿宋" w:eastAsia="仿宋" w:cs="仿宋"/>
          <w:caps/>
          <w:color w:val="auto"/>
          <w:highlight w:val="none"/>
        </w:rPr>
        <w:fldChar w:fldCharType="end"/>
      </w:r>
    </w:p>
    <w:p w14:paraId="3DC353C0">
      <w:pPr>
        <w:pStyle w:val="33"/>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_Toc7659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一、</w:t>
      </w:r>
      <w:r>
        <w:rPr>
          <w:rFonts w:hint="eastAsia" w:ascii="仿宋" w:hAnsi="仿宋" w:eastAsia="仿宋" w:cs="仿宋"/>
          <w:szCs w:val="24"/>
          <w:highlight w:val="none"/>
        </w:rPr>
        <w:t>商务文件</w:t>
      </w:r>
      <w:r>
        <w:tab/>
      </w:r>
      <w:r>
        <w:fldChar w:fldCharType="begin"/>
      </w:r>
      <w:r>
        <w:instrText xml:space="preserve"> PAGEREF _Toc7659 \h </w:instrText>
      </w:r>
      <w:r>
        <w:fldChar w:fldCharType="separate"/>
      </w:r>
      <w:r>
        <w:t>43</w:t>
      </w:r>
      <w:r>
        <w:fldChar w:fldCharType="end"/>
      </w:r>
      <w:r>
        <w:rPr>
          <w:rFonts w:hint="eastAsia" w:ascii="仿宋" w:hAnsi="仿宋" w:eastAsia="仿宋" w:cs="仿宋"/>
          <w:caps/>
          <w:color w:val="auto"/>
          <w:highlight w:val="none"/>
        </w:rPr>
        <w:fldChar w:fldCharType="end"/>
      </w:r>
    </w:p>
    <w:p w14:paraId="64F1337E">
      <w:pPr>
        <w:pStyle w:val="20"/>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_Toc8121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（一）响应函</w:t>
      </w:r>
      <w:r>
        <w:tab/>
      </w:r>
      <w:r>
        <w:fldChar w:fldCharType="begin"/>
      </w:r>
      <w:r>
        <w:instrText xml:space="preserve"> PAGEREF _Toc8121 \h </w:instrText>
      </w:r>
      <w:r>
        <w:fldChar w:fldCharType="separate"/>
      </w:r>
      <w:r>
        <w:t>45</w:t>
      </w:r>
      <w:r>
        <w:fldChar w:fldCharType="end"/>
      </w:r>
      <w:r>
        <w:rPr>
          <w:rFonts w:hint="eastAsia" w:ascii="仿宋" w:hAnsi="仿宋" w:eastAsia="仿宋" w:cs="仿宋"/>
          <w:caps/>
          <w:color w:val="auto"/>
          <w:highlight w:val="none"/>
        </w:rPr>
        <w:fldChar w:fldCharType="end"/>
      </w:r>
    </w:p>
    <w:p w14:paraId="6E6BB079">
      <w:pPr>
        <w:pStyle w:val="20"/>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_Toc9772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（二）法定代表人（负责人）身份证明书</w:t>
      </w:r>
      <w:r>
        <w:tab/>
      </w:r>
      <w:r>
        <w:fldChar w:fldCharType="begin"/>
      </w:r>
      <w:r>
        <w:instrText xml:space="preserve"> PAGEREF _Toc9772 \h </w:instrText>
      </w:r>
      <w:r>
        <w:fldChar w:fldCharType="separate"/>
      </w:r>
      <w:r>
        <w:t>46</w:t>
      </w:r>
      <w:r>
        <w:fldChar w:fldCharType="end"/>
      </w:r>
      <w:r>
        <w:rPr>
          <w:rFonts w:hint="eastAsia" w:ascii="仿宋" w:hAnsi="仿宋" w:eastAsia="仿宋" w:cs="仿宋"/>
          <w:caps/>
          <w:color w:val="auto"/>
          <w:highlight w:val="none"/>
        </w:rPr>
        <w:fldChar w:fldCharType="end"/>
      </w:r>
    </w:p>
    <w:p w14:paraId="51ED11BC">
      <w:pPr>
        <w:pStyle w:val="20"/>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_Toc3690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（三）法定代表人（负责人）授权委托书</w:t>
      </w:r>
      <w:r>
        <w:tab/>
      </w:r>
      <w:r>
        <w:fldChar w:fldCharType="begin"/>
      </w:r>
      <w:r>
        <w:instrText xml:space="preserve"> PAGEREF _Toc3690 \h </w:instrText>
      </w:r>
      <w:r>
        <w:fldChar w:fldCharType="separate"/>
      </w:r>
      <w:r>
        <w:t>47</w:t>
      </w:r>
      <w:r>
        <w:fldChar w:fldCharType="end"/>
      </w:r>
      <w:r>
        <w:rPr>
          <w:rFonts w:hint="eastAsia" w:ascii="仿宋" w:hAnsi="仿宋" w:eastAsia="仿宋" w:cs="仿宋"/>
          <w:caps/>
          <w:color w:val="auto"/>
          <w:highlight w:val="none"/>
        </w:rPr>
        <w:fldChar w:fldCharType="end"/>
      </w:r>
    </w:p>
    <w:p w14:paraId="769C437E">
      <w:pPr>
        <w:pStyle w:val="20"/>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_Toc17760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（四）资格证明文件</w:t>
      </w:r>
      <w:r>
        <w:tab/>
      </w:r>
      <w:r>
        <w:fldChar w:fldCharType="begin"/>
      </w:r>
      <w:r>
        <w:instrText xml:space="preserve"> PAGEREF _Toc17760 \h </w:instrText>
      </w:r>
      <w:r>
        <w:fldChar w:fldCharType="separate"/>
      </w:r>
      <w:r>
        <w:t>48</w:t>
      </w:r>
      <w:r>
        <w:fldChar w:fldCharType="end"/>
      </w:r>
      <w:r>
        <w:rPr>
          <w:rFonts w:hint="eastAsia" w:ascii="仿宋" w:hAnsi="仿宋" w:eastAsia="仿宋" w:cs="仿宋"/>
          <w:caps/>
          <w:color w:val="auto"/>
          <w:highlight w:val="none"/>
        </w:rPr>
        <w:fldChar w:fldCharType="end"/>
      </w:r>
    </w:p>
    <w:p w14:paraId="0401E995">
      <w:pPr>
        <w:pStyle w:val="20"/>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_Toc27170 </w:instrText>
      </w:r>
      <w:r>
        <w:rPr>
          <w:rFonts w:hint="eastAsia" w:ascii="仿宋" w:hAnsi="仿宋" w:eastAsia="仿宋" w:cs="仿宋"/>
          <w:caps/>
          <w:highlight w:val="none"/>
        </w:rPr>
        <w:fldChar w:fldCharType="separate"/>
      </w:r>
      <w:r>
        <w:rPr>
          <w:rFonts w:ascii="仿宋" w:hAnsi="仿宋" w:eastAsia="仿宋" w:cs="仿宋"/>
          <w:szCs w:val="24"/>
          <w:highlight w:val="none"/>
        </w:rPr>
        <w:t>（</w:t>
      </w:r>
      <w:r>
        <w:rPr>
          <w:rFonts w:hint="eastAsia" w:ascii="仿宋" w:hAnsi="仿宋" w:eastAsia="仿宋" w:cs="仿宋"/>
          <w:szCs w:val="24"/>
          <w:highlight w:val="none"/>
          <w:lang w:val="en-US" w:eastAsia="zh-CN"/>
        </w:rPr>
        <w:t>五</w:t>
      </w:r>
      <w:r>
        <w:rPr>
          <w:rFonts w:ascii="仿宋" w:hAnsi="仿宋" w:eastAsia="仿宋" w:cs="仿宋"/>
          <w:szCs w:val="24"/>
          <w:highlight w:val="none"/>
        </w:rPr>
        <w:t>）</w:t>
      </w:r>
      <w:r>
        <w:rPr>
          <w:rFonts w:hint="eastAsia" w:ascii="仿宋" w:hAnsi="仿宋" w:eastAsia="仿宋" w:cs="仿宋"/>
          <w:szCs w:val="24"/>
          <w:highlight w:val="none"/>
        </w:rPr>
        <w:t>供应商</w:t>
      </w:r>
      <w:r>
        <w:rPr>
          <w:rFonts w:ascii="仿宋" w:hAnsi="仿宋" w:eastAsia="仿宋" w:cs="仿宋"/>
          <w:szCs w:val="24"/>
          <w:highlight w:val="none"/>
        </w:rPr>
        <w:t>须知应答偏离表</w:t>
      </w:r>
      <w:r>
        <w:tab/>
      </w:r>
      <w:r>
        <w:fldChar w:fldCharType="begin"/>
      </w:r>
      <w:r>
        <w:instrText xml:space="preserve"> PAGEREF _Toc27170 \h </w:instrText>
      </w:r>
      <w:r>
        <w:fldChar w:fldCharType="separate"/>
      </w:r>
      <w:r>
        <w:t>57</w:t>
      </w:r>
      <w:r>
        <w:fldChar w:fldCharType="end"/>
      </w:r>
      <w:r>
        <w:rPr>
          <w:rFonts w:hint="eastAsia" w:ascii="仿宋" w:hAnsi="仿宋" w:eastAsia="仿宋" w:cs="仿宋"/>
          <w:caps/>
          <w:color w:val="auto"/>
          <w:highlight w:val="none"/>
        </w:rPr>
        <w:fldChar w:fldCharType="end"/>
      </w:r>
    </w:p>
    <w:p w14:paraId="2D10BD09">
      <w:pPr>
        <w:pStyle w:val="20"/>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_Toc5342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w:t>
      </w:r>
      <w:r>
        <w:rPr>
          <w:rFonts w:hint="eastAsia" w:ascii="仿宋" w:hAnsi="仿宋" w:eastAsia="仿宋" w:cs="仿宋"/>
          <w:szCs w:val="24"/>
          <w:highlight w:val="none"/>
          <w:lang w:val="en-US" w:eastAsia="zh-CN"/>
        </w:rPr>
        <w:t>七</w:t>
      </w:r>
      <w:r>
        <w:rPr>
          <w:rFonts w:hint="eastAsia" w:ascii="仿宋" w:hAnsi="仿宋" w:eastAsia="仿宋" w:cs="仿宋"/>
          <w:szCs w:val="24"/>
          <w:highlight w:val="none"/>
        </w:rPr>
        <w:t>）供应商行为准则承诺书</w:t>
      </w:r>
      <w:r>
        <w:tab/>
      </w:r>
      <w:r>
        <w:fldChar w:fldCharType="begin"/>
      </w:r>
      <w:r>
        <w:instrText xml:space="preserve"> PAGEREF _Toc5342 \h </w:instrText>
      </w:r>
      <w:r>
        <w:fldChar w:fldCharType="separate"/>
      </w:r>
      <w:r>
        <w:t>59</w:t>
      </w:r>
      <w:r>
        <w:fldChar w:fldCharType="end"/>
      </w:r>
      <w:r>
        <w:rPr>
          <w:rFonts w:hint="eastAsia" w:ascii="仿宋" w:hAnsi="仿宋" w:eastAsia="仿宋" w:cs="仿宋"/>
          <w:caps/>
          <w:color w:val="auto"/>
          <w:highlight w:val="none"/>
        </w:rPr>
        <w:fldChar w:fldCharType="end"/>
      </w:r>
    </w:p>
    <w:p w14:paraId="31594E00">
      <w:pPr>
        <w:pStyle w:val="20"/>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_Toc10196 </w:instrText>
      </w:r>
      <w:r>
        <w:rPr>
          <w:rFonts w:hint="eastAsia" w:ascii="仿宋" w:hAnsi="仿宋" w:eastAsia="仿宋" w:cs="仿宋"/>
          <w:caps/>
          <w:highlight w:val="none"/>
        </w:rPr>
        <w:fldChar w:fldCharType="separate"/>
      </w:r>
      <w:r>
        <w:rPr>
          <w:rFonts w:hint="eastAsia" w:ascii="仿宋" w:hAnsi="仿宋" w:eastAsia="仿宋" w:cs="宋体"/>
          <w:bCs w:val="0"/>
          <w:szCs w:val="24"/>
          <w:highlight w:val="none"/>
        </w:rPr>
        <w:t>（</w:t>
      </w:r>
      <w:r>
        <w:rPr>
          <w:rFonts w:hint="eastAsia" w:ascii="仿宋" w:hAnsi="仿宋" w:eastAsia="仿宋" w:cs="宋体"/>
          <w:bCs w:val="0"/>
          <w:szCs w:val="24"/>
          <w:highlight w:val="none"/>
          <w:lang w:val="en-US" w:eastAsia="zh-CN"/>
        </w:rPr>
        <w:t>八</w:t>
      </w:r>
      <w:r>
        <w:rPr>
          <w:rFonts w:hint="eastAsia" w:ascii="仿宋" w:hAnsi="仿宋" w:eastAsia="仿宋" w:cs="宋体"/>
          <w:bCs w:val="0"/>
          <w:szCs w:val="24"/>
          <w:highlight w:val="none"/>
        </w:rPr>
        <w:t>）供应商廉洁诚信承诺书</w:t>
      </w:r>
      <w:r>
        <w:tab/>
      </w:r>
      <w:r>
        <w:fldChar w:fldCharType="begin"/>
      </w:r>
      <w:r>
        <w:instrText xml:space="preserve"> PAGEREF _Toc10196 \h </w:instrText>
      </w:r>
      <w:r>
        <w:fldChar w:fldCharType="separate"/>
      </w:r>
      <w:r>
        <w:t>61</w:t>
      </w:r>
      <w:r>
        <w:fldChar w:fldCharType="end"/>
      </w:r>
      <w:r>
        <w:rPr>
          <w:rFonts w:hint="eastAsia" w:ascii="仿宋" w:hAnsi="仿宋" w:eastAsia="仿宋" w:cs="仿宋"/>
          <w:caps/>
          <w:color w:val="auto"/>
          <w:highlight w:val="none"/>
        </w:rPr>
        <w:fldChar w:fldCharType="end"/>
      </w:r>
    </w:p>
    <w:p w14:paraId="3FA8C1C6">
      <w:pPr>
        <w:pStyle w:val="33"/>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_Toc23266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二、技术文件</w:t>
      </w:r>
      <w:r>
        <w:tab/>
      </w:r>
      <w:r>
        <w:fldChar w:fldCharType="begin"/>
      </w:r>
      <w:r>
        <w:instrText xml:space="preserve"> PAGEREF _Toc23266 \h </w:instrText>
      </w:r>
      <w:r>
        <w:fldChar w:fldCharType="separate"/>
      </w:r>
      <w:r>
        <w:t>65</w:t>
      </w:r>
      <w:r>
        <w:fldChar w:fldCharType="end"/>
      </w:r>
      <w:r>
        <w:rPr>
          <w:rFonts w:hint="eastAsia" w:ascii="仿宋" w:hAnsi="仿宋" w:eastAsia="仿宋" w:cs="仿宋"/>
          <w:caps/>
          <w:color w:val="auto"/>
          <w:highlight w:val="none"/>
        </w:rPr>
        <w:fldChar w:fldCharType="end"/>
      </w:r>
    </w:p>
    <w:p w14:paraId="636CCC63">
      <w:pPr>
        <w:pStyle w:val="20"/>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_Toc19863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（一）采购需求应答偏离表</w:t>
      </w:r>
      <w:r>
        <w:tab/>
      </w:r>
      <w:r>
        <w:fldChar w:fldCharType="begin"/>
      </w:r>
      <w:r>
        <w:instrText xml:space="preserve"> PAGEREF _Toc19863 \h </w:instrText>
      </w:r>
      <w:r>
        <w:fldChar w:fldCharType="separate"/>
      </w:r>
      <w:r>
        <w:t>66</w:t>
      </w:r>
      <w:r>
        <w:fldChar w:fldCharType="end"/>
      </w:r>
      <w:r>
        <w:rPr>
          <w:rFonts w:hint="eastAsia" w:ascii="仿宋" w:hAnsi="仿宋" w:eastAsia="仿宋" w:cs="仿宋"/>
          <w:caps/>
          <w:color w:val="auto"/>
          <w:highlight w:val="none"/>
        </w:rPr>
        <w:fldChar w:fldCharType="end"/>
      </w:r>
    </w:p>
    <w:p w14:paraId="0508E0E7">
      <w:pPr>
        <w:pStyle w:val="20"/>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_Toc8905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（二）技术方案</w:t>
      </w:r>
      <w:r>
        <w:tab/>
      </w:r>
      <w:r>
        <w:fldChar w:fldCharType="begin"/>
      </w:r>
      <w:r>
        <w:instrText xml:space="preserve"> PAGEREF _Toc8905 \h </w:instrText>
      </w:r>
      <w:r>
        <w:fldChar w:fldCharType="separate"/>
      </w:r>
      <w:r>
        <w:t>67</w:t>
      </w:r>
      <w:r>
        <w:fldChar w:fldCharType="end"/>
      </w:r>
      <w:r>
        <w:rPr>
          <w:rFonts w:hint="eastAsia" w:ascii="仿宋" w:hAnsi="仿宋" w:eastAsia="仿宋" w:cs="仿宋"/>
          <w:caps/>
          <w:color w:val="auto"/>
          <w:highlight w:val="none"/>
        </w:rPr>
        <w:fldChar w:fldCharType="end"/>
      </w:r>
    </w:p>
    <w:p w14:paraId="47BE1542">
      <w:pPr>
        <w:pStyle w:val="20"/>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_Toc26735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（三）其他材料</w:t>
      </w:r>
      <w:r>
        <w:tab/>
      </w:r>
      <w:r>
        <w:fldChar w:fldCharType="begin"/>
      </w:r>
      <w:r>
        <w:instrText xml:space="preserve"> PAGEREF _Toc26735 \h </w:instrText>
      </w:r>
      <w:r>
        <w:fldChar w:fldCharType="separate"/>
      </w:r>
      <w:r>
        <w:t>70</w:t>
      </w:r>
      <w:r>
        <w:fldChar w:fldCharType="end"/>
      </w:r>
      <w:r>
        <w:rPr>
          <w:rFonts w:hint="eastAsia" w:ascii="仿宋" w:hAnsi="仿宋" w:eastAsia="仿宋" w:cs="仿宋"/>
          <w:caps/>
          <w:color w:val="auto"/>
          <w:highlight w:val="none"/>
        </w:rPr>
        <w:fldChar w:fldCharType="end"/>
      </w:r>
    </w:p>
    <w:p w14:paraId="61F193D2">
      <w:pPr>
        <w:pStyle w:val="33"/>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_Toc8252 </w:instrText>
      </w:r>
      <w:r>
        <w:rPr>
          <w:rFonts w:hint="eastAsia" w:ascii="仿宋" w:hAnsi="仿宋" w:eastAsia="仿宋" w:cs="仿宋"/>
          <w:caps/>
          <w:highlight w:val="none"/>
        </w:rPr>
        <w:fldChar w:fldCharType="separate"/>
      </w:r>
      <w:r>
        <w:rPr>
          <w:rFonts w:hint="eastAsia" w:ascii="仿宋" w:hAnsi="仿宋" w:eastAsia="仿宋" w:cs="仿宋"/>
          <w:bCs/>
          <w:kern w:val="2"/>
          <w:szCs w:val="24"/>
          <w:highlight w:val="none"/>
          <w:lang w:val="en-US" w:eastAsia="zh-CN" w:bidi="ar-SA"/>
        </w:rPr>
        <w:t>三、报价文件</w:t>
      </w:r>
      <w:r>
        <w:tab/>
      </w:r>
      <w:r>
        <w:fldChar w:fldCharType="begin"/>
      </w:r>
      <w:r>
        <w:instrText xml:space="preserve"> PAGEREF _Toc8252 \h </w:instrText>
      </w:r>
      <w:r>
        <w:fldChar w:fldCharType="separate"/>
      </w:r>
      <w:r>
        <w:t>71</w:t>
      </w:r>
      <w:r>
        <w:fldChar w:fldCharType="end"/>
      </w:r>
      <w:r>
        <w:rPr>
          <w:rFonts w:hint="eastAsia" w:ascii="仿宋" w:hAnsi="仿宋" w:eastAsia="仿宋" w:cs="仿宋"/>
          <w:caps/>
          <w:color w:val="auto"/>
          <w:highlight w:val="none"/>
        </w:rPr>
        <w:fldChar w:fldCharType="end"/>
      </w:r>
    </w:p>
    <w:p w14:paraId="2D1E07B4">
      <w:pPr>
        <w:pStyle w:val="20"/>
        <w:tabs>
          <w:tab w:val="right" w:leader="dot" w:pos="9638"/>
        </w:tabs>
      </w:pPr>
      <w:r>
        <w:rPr>
          <w:rFonts w:hint="eastAsia" w:ascii="仿宋" w:hAnsi="仿宋" w:eastAsia="仿宋" w:cs="仿宋"/>
          <w:caps/>
          <w:color w:val="auto"/>
          <w:highlight w:val="none"/>
        </w:rPr>
        <w:fldChar w:fldCharType="begin"/>
      </w:r>
      <w:r>
        <w:rPr>
          <w:rFonts w:hint="eastAsia" w:ascii="仿宋" w:hAnsi="仿宋" w:eastAsia="仿宋" w:cs="仿宋"/>
          <w:caps/>
          <w:highlight w:val="none"/>
        </w:rPr>
        <w:instrText xml:space="preserve"> HYPERLINK \l _Toc5449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（一）报价一览表</w:t>
      </w:r>
      <w:r>
        <w:tab/>
      </w:r>
      <w:r>
        <w:fldChar w:fldCharType="begin"/>
      </w:r>
      <w:r>
        <w:instrText xml:space="preserve"> PAGEREF _Toc5449 \h </w:instrText>
      </w:r>
      <w:r>
        <w:fldChar w:fldCharType="separate"/>
      </w:r>
      <w:r>
        <w:t>71</w:t>
      </w:r>
      <w:r>
        <w:fldChar w:fldCharType="end"/>
      </w:r>
      <w:r>
        <w:rPr>
          <w:rFonts w:hint="eastAsia" w:ascii="仿宋" w:hAnsi="仿宋" w:eastAsia="仿宋" w:cs="仿宋"/>
          <w:caps/>
          <w:color w:val="auto"/>
          <w:highlight w:val="none"/>
        </w:rPr>
        <w:fldChar w:fldCharType="end"/>
      </w:r>
    </w:p>
    <w:p w14:paraId="553BC3D6">
      <w:pPr>
        <w:pStyle w:val="20"/>
        <w:tabs>
          <w:tab w:val="right" w:leader="dot" w:pos="9638"/>
        </w:tabs>
        <w:rPr>
          <w:rFonts w:hint="eastAsia" w:ascii="仿宋" w:hAnsi="仿宋" w:eastAsia="仿宋" w:cs="仿宋"/>
          <w:color w:val="auto"/>
          <w:sz w:val="24"/>
          <w:highlight w:val="none"/>
        </w:rPr>
        <w:sectPr>
          <w:headerReference r:id="rId8" w:type="default"/>
          <w:footerReference r:id="rId9" w:type="default"/>
          <w:pgSz w:w="11906" w:h="16838"/>
          <w:pgMar w:top="1417" w:right="1134" w:bottom="1134" w:left="1134" w:header="851" w:footer="992" w:gutter="0"/>
          <w:pgNumType w:start="1"/>
          <w:cols w:space="720" w:num="1"/>
          <w:docGrid w:type="lines" w:linePitch="312" w:charSpace="0"/>
        </w:sectPr>
      </w:pPr>
      <w:r>
        <w:rPr>
          <w:rFonts w:hint="eastAsia" w:ascii="仿宋" w:hAnsi="仿宋" w:eastAsia="仿宋" w:cs="仿宋"/>
          <w:caps/>
          <w:color w:val="auto"/>
          <w:highlight w:val="none"/>
        </w:rPr>
        <w:fldChar w:fldCharType="end"/>
      </w:r>
    </w:p>
    <w:p w14:paraId="4D873D27">
      <w:pPr>
        <w:pStyle w:val="2"/>
        <w:spacing w:before="0" w:after="0" w:line="360" w:lineRule="auto"/>
        <w:jc w:val="center"/>
        <w:rPr>
          <w:rFonts w:ascii="仿宋" w:hAnsi="仿宋" w:eastAsia="仿宋" w:cs="仿宋"/>
          <w:bCs w:val="0"/>
          <w:color w:val="auto"/>
          <w:sz w:val="28"/>
          <w:szCs w:val="28"/>
          <w:highlight w:val="none"/>
        </w:rPr>
      </w:pPr>
      <w:bookmarkStart w:id="1" w:name="_Toc26009"/>
      <w:bookmarkStart w:id="2" w:name="_Toc517281813"/>
      <w:bookmarkStart w:id="3" w:name="_Toc7300"/>
      <w:bookmarkStart w:id="4" w:name="_Toc11826"/>
      <w:bookmarkStart w:id="5" w:name="_Toc19709"/>
      <w:bookmarkStart w:id="6" w:name="_Toc287600115"/>
      <w:bookmarkStart w:id="7" w:name="_Toc444891333"/>
      <w:bookmarkStart w:id="8" w:name="_Toc11838"/>
      <w:r>
        <w:rPr>
          <w:rFonts w:hint="eastAsia" w:ascii="仿宋" w:hAnsi="仿宋" w:eastAsia="仿宋" w:cs="仿宋"/>
          <w:bCs w:val="0"/>
          <w:color w:val="auto"/>
          <w:sz w:val="28"/>
          <w:szCs w:val="28"/>
          <w:highlight w:val="none"/>
        </w:rPr>
        <w:t>第一章 竞争性磋商公告</w:t>
      </w:r>
      <w:bookmarkEnd w:id="1"/>
    </w:p>
    <w:p w14:paraId="4E23C91C">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baseline"/>
        <w:rPr>
          <w:rFonts w:hint="eastAsia" w:ascii="仿宋" w:hAnsi="仿宋" w:eastAsia="仿宋" w:cs="Cambria Math"/>
          <w:color w:val="auto"/>
          <w:sz w:val="24"/>
          <w:highlight w:val="none"/>
        </w:rPr>
      </w:pPr>
      <w:r>
        <w:rPr>
          <w:rFonts w:hint="eastAsia" w:ascii="仿宋" w:hAnsi="仿宋" w:eastAsia="仿宋" w:cs="仿宋"/>
          <w:color w:val="auto"/>
          <w:sz w:val="24"/>
          <w:highlight w:val="none"/>
        </w:rPr>
        <w:t>本项目</w:t>
      </w:r>
      <w:r>
        <w:rPr>
          <w:rFonts w:hint="eastAsia" w:ascii="仿宋" w:hAnsi="仿宋" w:eastAsia="仿宋" w:cs="仿宋"/>
          <w:color w:val="auto"/>
          <w:sz w:val="24"/>
          <w:highlight w:val="none"/>
          <w:u w:val="single"/>
          <w:lang w:val="en-US" w:eastAsia="zh-CN"/>
        </w:rPr>
        <w:t>人保财险宁夏分公司银川市贺兰支公司职场装修改造项目</w:t>
      </w:r>
      <w:r>
        <w:rPr>
          <w:rFonts w:hint="eastAsia" w:ascii="仿宋" w:hAnsi="仿宋" w:eastAsia="仿宋" w:cs="仿宋"/>
          <w:color w:val="auto"/>
          <w:sz w:val="24"/>
          <w:highlight w:val="none"/>
        </w:rPr>
        <w:t>（采购代理项目编号：NXTFZB-</w:t>
      </w:r>
      <w:r>
        <w:rPr>
          <w:rFonts w:hint="eastAsia" w:ascii="仿宋" w:hAnsi="仿宋" w:eastAsia="仿宋" w:cs="仿宋"/>
          <w:color w:val="auto"/>
          <w:sz w:val="24"/>
          <w:highlight w:val="none"/>
          <w:lang w:eastAsia="zh-CN"/>
        </w:rPr>
        <w:t>2026265</w:t>
      </w:r>
      <w:r>
        <w:rPr>
          <w:rFonts w:hint="eastAsia" w:ascii="仿宋" w:hAnsi="仿宋" w:eastAsia="仿宋" w:cs="仿宋"/>
          <w:color w:val="auto"/>
          <w:sz w:val="24"/>
          <w:highlight w:val="none"/>
        </w:rPr>
        <w:t>）由</w:t>
      </w:r>
      <w:r>
        <w:rPr>
          <w:rFonts w:hint="eastAsia" w:ascii="仿宋" w:hAnsi="仿宋" w:eastAsia="仿宋" w:cs="仿宋"/>
          <w:color w:val="auto"/>
          <w:sz w:val="24"/>
          <w:highlight w:val="none"/>
          <w:u w:val="single"/>
          <w:lang w:val="en-US" w:eastAsia="zh-CN"/>
        </w:rPr>
        <w:t>中国人民财产保险股份有限公司贺兰支公司</w:t>
      </w:r>
      <w:r>
        <w:rPr>
          <w:rFonts w:hint="eastAsia" w:ascii="仿宋" w:hAnsi="仿宋" w:eastAsia="仿宋" w:cs="仿宋"/>
          <w:color w:val="auto"/>
          <w:sz w:val="24"/>
          <w:highlight w:val="none"/>
        </w:rPr>
        <w:t>（以下简称“采购人”）</w:t>
      </w:r>
      <w:r>
        <w:rPr>
          <w:rFonts w:hint="eastAsia" w:ascii="仿宋" w:hAnsi="仿宋" w:eastAsia="仿宋" w:cs="Cambria Math"/>
          <w:color w:val="auto"/>
          <w:sz w:val="24"/>
          <w:highlight w:val="none"/>
        </w:rPr>
        <w:t>批准并落实资金，组织本项目的磋商工作</w:t>
      </w:r>
      <w:r>
        <w:rPr>
          <w:rFonts w:hint="eastAsia" w:ascii="仿宋" w:hAnsi="仿宋" w:eastAsia="仿宋" w:cs="仿宋"/>
          <w:color w:val="auto"/>
          <w:sz w:val="24"/>
          <w:highlight w:val="none"/>
        </w:rPr>
        <w:t>，采购合同由</w:t>
      </w:r>
      <w:r>
        <w:rPr>
          <w:rFonts w:hint="eastAsia" w:ascii="仿宋" w:hAnsi="仿宋" w:eastAsia="仿宋" w:cs="宋体"/>
          <w:color w:val="auto"/>
          <w:sz w:val="24"/>
          <w:highlight w:val="none"/>
          <w:u w:val="single"/>
          <w:lang w:eastAsia="zh-CN"/>
        </w:rPr>
        <w:t>中国人民财产保险股份有限公司</w:t>
      </w:r>
      <w:r>
        <w:rPr>
          <w:rFonts w:hint="eastAsia" w:ascii="仿宋" w:hAnsi="仿宋" w:eastAsia="仿宋" w:cs="宋体"/>
          <w:color w:val="auto"/>
          <w:sz w:val="24"/>
          <w:highlight w:val="none"/>
          <w:u w:val="single"/>
          <w:lang w:val="en-US" w:eastAsia="zh-CN"/>
        </w:rPr>
        <w:t>银川</w:t>
      </w:r>
      <w:r>
        <w:rPr>
          <w:rFonts w:hint="eastAsia" w:ascii="仿宋" w:hAnsi="仿宋" w:eastAsia="仿宋" w:cs="宋体"/>
          <w:color w:val="auto"/>
          <w:sz w:val="24"/>
          <w:highlight w:val="none"/>
          <w:u w:val="single"/>
          <w:lang w:eastAsia="zh-CN"/>
        </w:rPr>
        <w:t>分公司</w:t>
      </w:r>
      <w:r>
        <w:rPr>
          <w:rFonts w:hint="eastAsia" w:ascii="仿宋" w:hAnsi="仿宋" w:eastAsia="仿宋" w:cs="宋体"/>
          <w:color w:val="auto"/>
          <w:sz w:val="24"/>
          <w:highlight w:val="none"/>
        </w:rPr>
        <w:t>（以下简称“</w:t>
      </w:r>
      <w:r>
        <w:rPr>
          <w:rFonts w:hint="eastAsia" w:ascii="仿宋" w:hAnsi="仿宋" w:eastAsia="仿宋" w:cs="宋体"/>
          <w:color w:val="auto"/>
          <w:sz w:val="24"/>
          <w:highlight w:val="none"/>
          <w:lang w:eastAsia="zh-CN"/>
        </w:rPr>
        <w:t>人保财险</w:t>
      </w:r>
      <w:r>
        <w:rPr>
          <w:rFonts w:hint="eastAsia" w:ascii="仿宋" w:hAnsi="仿宋" w:eastAsia="仿宋" w:cs="宋体"/>
          <w:color w:val="auto"/>
          <w:sz w:val="24"/>
          <w:highlight w:val="none"/>
          <w:lang w:val="en-US" w:eastAsia="zh-CN"/>
        </w:rPr>
        <w:t>银川</w:t>
      </w:r>
      <w:r>
        <w:rPr>
          <w:rFonts w:hint="eastAsia" w:ascii="仿宋" w:hAnsi="仿宋" w:eastAsia="仿宋" w:cs="宋体"/>
          <w:color w:val="auto"/>
          <w:sz w:val="24"/>
          <w:highlight w:val="none"/>
          <w:lang w:eastAsia="zh-CN"/>
        </w:rPr>
        <w:t>分公司</w:t>
      </w:r>
      <w:r>
        <w:rPr>
          <w:rFonts w:hint="eastAsia" w:ascii="仿宋" w:hAnsi="仿宋" w:eastAsia="仿宋" w:cs="宋体"/>
          <w:color w:val="auto"/>
          <w:sz w:val="24"/>
          <w:highlight w:val="none"/>
        </w:rPr>
        <w:t>”）</w:t>
      </w:r>
      <w:r>
        <w:rPr>
          <w:rFonts w:hint="eastAsia" w:ascii="仿宋" w:hAnsi="仿宋" w:eastAsia="仿宋" w:cs="仿宋"/>
          <w:color w:val="auto"/>
          <w:sz w:val="24"/>
          <w:highlight w:val="none"/>
        </w:rPr>
        <w:t>根据成交结果与成交人签署。现委托</w:t>
      </w:r>
      <w:r>
        <w:rPr>
          <w:rFonts w:hint="eastAsia" w:ascii="仿宋" w:hAnsi="仿宋" w:eastAsia="仿宋" w:cs="宋体"/>
          <w:color w:val="auto"/>
          <w:sz w:val="24"/>
          <w:highlight w:val="none"/>
          <w:u w:val="single"/>
          <w:lang w:val="en-US" w:eastAsia="zh-CN"/>
        </w:rPr>
        <w:t>宁夏回族自治区通信产业服务</w:t>
      </w:r>
      <w:r>
        <w:rPr>
          <w:rFonts w:hint="eastAsia" w:ascii="仿宋" w:hAnsi="仿宋" w:eastAsia="仿宋" w:cs="宋体"/>
          <w:color w:val="auto"/>
          <w:sz w:val="24"/>
          <w:highlight w:val="none"/>
          <w:u w:val="single"/>
        </w:rPr>
        <w:t>有限公司</w:t>
      </w:r>
      <w:r>
        <w:rPr>
          <w:rFonts w:hint="eastAsia" w:ascii="仿宋" w:hAnsi="仿宋" w:eastAsia="仿宋" w:cs="仿宋"/>
          <w:color w:val="auto"/>
          <w:sz w:val="24"/>
          <w:highlight w:val="none"/>
        </w:rPr>
        <w:t>（以下简称“采购代理机构”）进行公开竞争性磋商，</w:t>
      </w:r>
      <w:r>
        <w:rPr>
          <w:rFonts w:hint="eastAsia" w:ascii="仿宋" w:hAnsi="仿宋" w:eastAsia="仿宋" w:cs="Cambria Math"/>
          <w:color w:val="auto"/>
          <w:sz w:val="24"/>
          <w:highlight w:val="none"/>
        </w:rPr>
        <w:t xml:space="preserve">有意向且具有提供标的物能力的潜在供应商（以下简称“供应商”）可前来参与磋商响应。 </w:t>
      </w:r>
    </w:p>
    <w:p w14:paraId="2E6659AB">
      <w:pPr>
        <w:pStyle w:val="3"/>
        <w:pageBreakBefore w:val="0"/>
        <w:widowControl w:val="0"/>
        <w:kinsoku/>
        <w:overflowPunct/>
        <w:topLinePunct w:val="0"/>
        <w:autoSpaceDE/>
        <w:autoSpaceDN/>
        <w:bidi w:val="0"/>
        <w:adjustRightInd/>
        <w:snapToGrid/>
        <w:spacing w:line="360" w:lineRule="auto"/>
        <w:ind w:firstLine="482" w:firstLineChars="200"/>
        <w:jc w:val="left"/>
        <w:rPr>
          <w:rFonts w:hint="eastAsia" w:ascii="仿宋" w:hAnsi="仿宋" w:eastAsia="仿宋" w:cs="仿宋"/>
          <w:color w:val="auto"/>
          <w:sz w:val="24"/>
          <w:szCs w:val="24"/>
          <w:highlight w:val="none"/>
        </w:rPr>
      </w:pPr>
      <w:bookmarkStart w:id="9" w:name="_Toc22724"/>
      <w:r>
        <w:rPr>
          <w:rFonts w:hint="eastAsia" w:ascii="仿宋" w:hAnsi="仿宋" w:eastAsia="仿宋" w:cs="仿宋"/>
          <w:color w:val="auto"/>
          <w:sz w:val="24"/>
          <w:szCs w:val="24"/>
          <w:highlight w:val="none"/>
        </w:rPr>
        <w:t>一、项目概况与采购范围</w:t>
      </w:r>
      <w:bookmarkEnd w:id="9"/>
    </w:p>
    <w:p w14:paraId="04E69C1A">
      <w:pPr>
        <w:pageBreakBefore w:val="0"/>
        <w:widowControl w:val="0"/>
        <w:kinsoku/>
        <w:overflowPunct/>
        <w:topLinePunct w:val="0"/>
        <w:autoSpaceDE/>
        <w:autoSpaceDN/>
        <w:bidi w:val="0"/>
        <w:adjustRightInd/>
        <w:snapToGrid/>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1.1 项目名称</w:t>
      </w:r>
      <w:r>
        <w:rPr>
          <w:rFonts w:hint="eastAsia" w:ascii="仿宋" w:hAnsi="仿宋" w:eastAsia="仿宋" w:cs="仿宋"/>
          <w:color w:val="auto"/>
          <w:sz w:val="24"/>
          <w:highlight w:val="none"/>
          <w:u w:val="none"/>
        </w:rPr>
        <w:t>：</w:t>
      </w:r>
      <w:r>
        <w:rPr>
          <w:rFonts w:hint="eastAsia" w:ascii="仿宋" w:hAnsi="仿宋" w:eastAsia="仿宋" w:cs="仿宋"/>
          <w:color w:val="auto"/>
          <w:sz w:val="24"/>
          <w:highlight w:val="none"/>
          <w:u w:val="none"/>
          <w:lang w:val="en-US" w:eastAsia="zh-CN"/>
        </w:rPr>
        <w:t>人保财险宁夏分公司银川市贺兰支公司职场装修改造项目</w:t>
      </w:r>
      <w:r>
        <w:rPr>
          <w:rFonts w:hint="eastAsia" w:ascii="仿宋" w:hAnsi="仿宋" w:eastAsia="仿宋" w:cs="仿宋"/>
          <w:color w:val="auto"/>
          <w:sz w:val="24"/>
          <w:highlight w:val="none"/>
          <w:u w:val="none"/>
        </w:rPr>
        <w:t>。</w:t>
      </w:r>
    </w:p>
    <w:p w14:paraId="5AE78284">
      <w:pPr>
        <w:pageBreakBefore w:val="0"/>
        <w:widowControl w:val="0"/>
        <w:kinsoku/>
        <w:overflowPunct/>
        <w:topLinePunct w:val="0"/>
        <w:autoSpaceDE/>
        <w:autoSpaceDN/>
        <w:bidi w:val="0"/>
        <w:adjustRightInd/>
        <w:snapToGrid/>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1.2 采购范围：本项目</w:t>
      </w:r>
      <w:r>
        <w:rPr>
          <w:rFonts w:hint="eastAsia" w:ascii="仿宋" w:hAnsi="仿宋" w:eastAsia="仿宋" w:cs="仿宋"/>
          <w:color w:val="auto"/>
          <w:sz w:val="24"/>
          <w:highlight w:val="none"/>
          <w:lang w:eastAsia="zh-CN"/>
        </w:rPr>
        <w:t>拟</w:t>
      </w:r>
      <w:r>
        <w:rPr>
          <w:rFonts w:hint="eastAsia" w:ascii="仿宋" w:hAnsi="仿宋" w:eastAsia="仿宋" w:cs="仿宋"/>
          <w:color w:val="auto"/>
          <w:sz w:val="24"/>
          <w:highlight w:val="none"/>
        </w:rPr>
        <w:t>选取1家供应商</w:t>
      </w:r>
      <w:r>
        <w:rPr>
          <w:rFonts w:hint="eastAsia" w:ascii="仿宋" w:hAnsi="仿宋" w:eastAsia="仿宋" w:cs="仿宋"/>
          <w:color w:val="auto"/>
          <w:sz w:val="24"/>
          <w:highlight w:val="none"/>
          <w:lang w:eastAsia="zh-CN"/>
        </w:rPr>
        <w:t>为</w:t>
      </w:r>
      <w:r>
        <w:rPr>
          <w:rFonts w:hint="eastAsia" w:ascii="仿宋" w:hAnsi="仿宋" w:eastAsia="仿宋" w:cs="仿宋"/>
          <w:color w:val="auto"/>
          <w:sz w:val="24"/>
          <w:highlight w:val="none"/>
          <w:lang w:val="en-US" w:eastAsia="zh-CN"/>
        </w:rPr>
        <w:t>贺兰支公司</w:t>
      </w:r>
      <w:r>
        <w:rPr>
          <w:rFonts w:hint="eastAsia" w:ascii="仿宋" w:hAnsi="仿宋" w:eastAsia="仿宋" w:cs="仿宋"/>
          <w:color w:val="auto"/>
          <w:sz w:val="24"/>
          <w:highlight w:val="none"/>
          <w:lang w:eastAsia="zh-CN"/>
        </w:rPr>
        <w:t>进行</w:t>
      </w:r>
      <w:r>
        <w:rPr>
          <w:rFonts w:hint="eastAsia" w:ascii="仿宋" w:hAnsi="仿宋" w:eastAsia="仿宋" w:cs="仿宋"/>
          <w:color w:val="auto"/>
          <w:sz w:val="24"/>
          <w:highlight w:val="none"/>
          <w:lang w:val="en-US" w:eastAsia="zh-CN"/>
        </w:rPr>
        <w:t>装修改造，</w:t>
      </w:r>
      <w:r>
        <w:rPr>
          <w:rFonts w:hint="eastAsia" w:ascii="仿宋" w:hAnsi="仿宋" w:eastAsia="仿宋" w:cs="仿宋"/>
          <w:color w:val="auto"/>
          <w:sz w:val="24"/>
          <w:highlight w:val="none"/>
          <w:lang w:eastAsia="zh-CN"/>
        </w:rPr>
        <w:t>主要内容包括</w:t>
      </w:r>
      <w:r>
        <w:rPr>
          <w:rFonts w:hint="eastAsia" w:ascii="仿宋" w:hAnsi="仿宋" w:eastAsia="仿宋" w:cs="仿宋"/>
          <w:color w:val="auto"/>
          <w:sz w:val="24"/>
          <w:highlight w:val="none"/>
          <w:lang w:val="en-US" w:eastAsia="zh-CN"/>
        </w:rPr>
        <w:t>强弱电改造、室内装饰和电气设备安装工程等施工工程，详见工程量清单。供应商须按国家及行业现行标准、规范、规程，完成本项目的全部施工、安装、调试、验收、质保及售后等工作，确保工程质量合格并通过相关主管部门验收。供应商按总价方式进行报价</w:t>
      </w:r>
      <w:r>
        <w:rPr>
          <w:rFonts w:hint="eastAsia" w:ascii="仿宋" w:hAnsi="仿宋" w:eastAsia="仿宋" w:cs="仿宋"/>
          <w:color w:val="auto"/>
          <w:sz w:val="24"/>
          <w:highlight w:val="none"/>
          <w:lang w:eastAsia="zh-CN"/>
        </w:rPr>
        <w:t>，服务要求详见</w:t>
      </w:r>
      <w:r>
        <w:rPr>
          <w:rFonts w:hint="eastAsia" w:ascii="仿宋" w:hAnsi="仿宋" w:eastAsia="仿宋" w:cs="仿宋"/>
          <w:color w:val="auto"/>
          <w:sz w:val="24"/>
          <w:highlight w:val="none"/>
          <w:lang w:val="en-US" w:eastAsia="zh-CN"/>
        </w:rPr>
        <w:t>磋商文件</w:t>
      </w:r>
      <w:r>
        <w:rPr>
          <w:rFonts w:hint="eastAsia" w:ascii="仿宋" w:hAnsi="仿宋" w:eastAsia="仿宋" w:cs="仿宋"/>
          <w:color w:val="auto"/>
          <w:sz w:val="24"/>
          <w:highlight w:val="none"/>
        </w:rPr>
        <w:t>。</w:t>
      </w:r>
    </w:p>
    <w:p w14:paraId="16971A70">
      <w:pPr>
        <w:pageBreakBefore w:val="0"/>
        <w:widowControl w:val="0"/>
        <w:kinsoku/>
        <w:overflowPunct/>
        <w:topLinePunct w:val="0"/>
        <w:autoSpaceDE/>
        <w:autoSpaceDN/>
        <w:bidi w:val="0"/>
        <w:adjustRightInd/>
        <w:snapToGrid/>
        <w:spacing w:line="360" w:lineRule="auto"/>
        <w:ind w:firstLine="480" w:firstLineChars="200"/>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1.3 标包划分：</w:t>
      </w:r>
      <w:r>
        <w:rPr>
          <w:rFonts w:hint="eastAsia" w:ascii="仿宋" w:hAnsi="仿宋" w:eastAsia="仿宋" w:cs="宋体"/>
          <w:color w:val="auto"/>
          <w:sz w:val="24"/>
          <w:highlight w:val="none"/>
        </w:rPr>
        <w:t>本项目不划分标包</w:t>
      </w:r>
      <w:r>
        <w:rPr>
          <w:rFonts w:hint="eastAsia" w:ascii="仿宋" w:hAnsi="仿宋" w:eastAsia="仿宋" w:cs="宋体"/>
          <w:color w:val="auto"/>
          <w:sz w:val="24"/>
          <w:highlight w:val="none"/>
          <w:lang w:eastAsia="zh-CN"/>
        </w:rPr>
        <w:t>。</w:t>
      </w:r>
    </w:p>
    <w:p w14:paraId="3A616B10">
      <w:pPr>
        <w:pageBreakBefore w:val="0"/>
        <w:widowControl w:val="0"/>
        <w:kinsoku/>
        <w:overflowPunct/>
        <w:topLinePunct w:val="0"/>
        <w:autoSpaceDE/>
        <w:autoSpaceDN/>
        <w:bidi w:val="0"/>
        <w:adjustRightInd/>
        <w:snapToGrid/>
        <w:spacing w:line="360" w:lineRule="auto"/>
        <w:ind w:firstLine="480" w:firstLineChars="200"/>
        <w:jc w:val="left"/>
        <w:rPr>
          <w:rFonts w:hint="default" w:ascii="仿宋" w:hAnsi="仿宋" w:eastAsia="仿宋" w:cs="仿宋"/>
          <w:color w:val="auto"/>
          <w:sz w:val="24"/>
          <w:highlight w:val="none"/>
          <w:lang w:val="en-US" w:eastAsia="zh-CN"/>
        </w:rPr>
      </w:pPr>
      <w:r>
        <w:rPr>
          <w:rFonts w:ascii="仿宋" w:hAnsi="仿宋" w:eastAsia="仿宋" w:cs="仿宋"/>
          <w:color w:val="auto"/>
          <w:sz w:val="24"/>
          <w:highlight w:val="none"/>
        </w:rPr>
        <w:t>1.4</w:t>
      </w:r>
      <w:r>
        <w:rPr>
          <w:rFonts w:hint="eastAsia" w:ascii="仿宋" w:hAnsi="仿宋" w:eastAsia="仿宋" w:cs="仿宋"/>
          <w:color w:val="auto"/>
          <w:sz w:val="24"/>
          <w:highlight w:val="none"/>
          <w:lang w:val="en-US" w:eastAsia="zh-CN"/>
        </w:rPr>
        <w:t>项目预算：本项目设置最高限价，最高限价为605789.37元（含税），详见报价一览表。</w:t>
      </w:r>
    </w:p>
    <w:p w14:paraId="7573B826">
      <w:pPr>
        <w:pageBreakBefore w:val="0"/>
        <w:widowControl w:val="0"/>
        <w:kinsoku/>
        <w:overflowPunct/>
        <w:topLinePunct w:val="0"/>
        <w:autoSpaceDE/>
        <w:autoSpaceDN/>
        <w:bidi w:val="0"/>
        <w:adjustRightInd/>
        <w:snapToGrid/>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1.5</w:t>
      </w:r>
      <w:r>
        <w:rPr>
          <w:rFonts w:hint="eastAsia" w:ascii="仿宋" w:hAnsi="仿宋" w:eastAsia="仿宋" w:cs="仿宋"/>
          <w:color w:val="auto"/>
          <w:sz w:val="24"/>
          <w:highlight w:val="none"/>
        </w:rPr>
        <w:t>项目性质：</w:t>
      </w:r>
      <w:r>
        <w:rPr>
          <w:rFonts w:hint="eastAsia" w:ascii="仿宋" w:hAnsi="仿宋" w:eastAsia="仿宋" w:cs="宋体"/>
          <w:color w:val="auto"/>
          <w:sz w:val="24"/>
          <w:highlight w:val="none"/>
          <w:lang w:val="en-US" w:eastAsia="zh-CN"/>
        </w:rPr>
        <w:t>工程</w:t>
      </w:r>
      <w:r>
        <w:rPr>
          <w:rFonts w:hint="eastAsia" w:ascii="仿宋" w:hAnsi="仿宋" w:eastAsia="仿宋" w:cs="仿宋"/>
          <w:color w:val="auto"/>
          <w:sz w:val="24"/>
          <w:highlight w:val="none"/>
        </w:rPr>
        <w:t>。</w:t>
      </w:r>
    </w:p>
    <w:p w14:paraId="651BC19B">
      <w:pPr>
        <w:pageBreakBefore w:val="0"/>
        <w:widowControl w:val="0"/>
        <w:kinsoku/>
        <w:wordWrap/>
        <w:overflowPunct/>
        <w:topLinePunct w:val="0"/>
        <w:autoSpaceDE/>
        <w:autoSpaceDN/>
        <w:bidi w:val="0"/>
        <w:adjustRightInd/>
        <w:snapToGrid/>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6施工期限：自合同签订之日起50日历天</w:t>
      </w:r>
      <w:r>
        <w:rPr>
          <w:rFonts w:hint="eastAsia" w:ascii="仿宋" w:hAnsi="仿宋" w:eastAsia="仿宋" w:cs="仿宋"/>
          <w:color w:val="auto"/>
          <w:sz w:val="24"/>
          <w:highlight w:val="none"/>
        </w:rPr>
        <w:t>。</w:t>
      </w:r>
    </w:p>
    <w:p w14:paraId="31CDC5F5">
      <w:pPr>
        <w:pageBreakBefore w:val="0"/>
        <w:widowControl w:val="0"/>
        <w:kinsoku/>
        <w:wordWrap/>
        <w:overflowPunct/>
        <w:topLinePunct w:val="0"/>
        <w:autoSpaceDE/>
        <w:autoSpaceDN/>
        <w:bidi w:val="0"/>
        <w:adjustRightInd/>
        <w:snapToGrid/>
        <w:spacing w:line="360" w:lineRule="auto"/>
        <w:ind w:firstLine="480" w:firstLineChars="200"/>
        <w:jc w:val="left"/>
        <w:rPr>
          <w:rFonts w:hint="eastAsia" w:ascii="仿宋" w:hAnsi="仿宋" w:eastAsia="仿宋" w:cs="宋体"/>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7质保期：本项目分分项约定保修期限，自工程竣工验收合格之日起计算：防水防渗工程保修期5年，其余装修工程保修期2年</w:t>
      </w:r>
      <w:r>
        <w:rPr>
          <w:rFonts w:hint="eastAsia" w:ascii="仿宋" w:hAnsi="仿宋" w:eastAsia="仿宋" w:cs="宋体"/>
          <w:color w:val="auto"/>
          <w:sz w:val="24"/>
          <w:highlight w:val="none"/>
        </w:rPr>
        <w:t>。</w:t>
      </w:r>
    </w:p>
    <w:p w14:paraId="0DD6ACC5">
      <w:pPr>
        <w:pageBreakBefore w:val="0"/>
        <w:widowControl w:val="0"/>
        <w:kinsoku/>
        <w:wordWrap/>
        <w:overflowPunct/>
        <w:topLinePunct w:val="0"/>
        <w:autoSpaceDE/>
        <w:autoSpaceDN/>
        <w:bidi w:val="0"/>
        <w:adjustRightInd/>
        <w:snapToGrid/>
        <w:spacing w:line="360" w:lineRule="auto"/>
        <w:ind w:firstLine="480" w:firstLineChars="200"/>
        <w:jc w:val="left"/>
        <w:rPr>
          <w:rFonts w:hint="default"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1.8地点：银川市贺兰县。</w:t>
      </w:r>
    </w:p>
    <w:p w14:paraId="36F9D43C">
      <w:pPr>
        <w:pStyle w:val="3"/>
        <w:pageBreakBefore w:val="0"/>
        <w:widowControl w:val="0"/>
        <w:kinsoku/>
        <w:overflowPunct/>
        <w:topLinePunct w:val="0"/>
        <w:autoSpaceDE/>
        <w:autoSpaceDN/>
        <w:bidi w:val="0"/>
        <w:adjustRightInd/>
        <w:snapToGrid/>
        <w:spacing w:line="360" w:lineRule="auto"/>
        <w:ind w:firstLine="482" w:firstLineChars="200"/>
        <w:jc w:val="left"/>
        <w:rPr>
          <w:rFonts w:hint="eastAsia" w:ascii="仿宋" w:hAnsi="仿宋" w:eastAsia="仿宋" w:cs="仿宋"/>
          <w:color w:val="auto"/>
          <w:sz w:val="24"/>
          <w:szCs w:val="24"/>
          <w:highlight w:val="none"/>
        </w:rPr>
      </w:pPr>
      <w:bookmarkStart w:id="10" w:name="_Toc21596"/>
      <w:r>
        <w:rPr>
          <w:rFonts w:hint="eastAsia" w:ascii="仿宋" w:hAnsi="仿宋" w:eastAsia="仿宋" w:cs="仿宋"/>
          <w:color w:val="auto"/>
          <w:sz w:val="24"/>
          <w:szCs w:val="24"/>
          <w:highlight w:val="none"/>
        </w:rPr>
        <w:t>二、供应商资格要求</w:t>
      </w:r>
      <w:bookmarkEnd w:id="10"/>
    </w:p>
    <w:p w14:paraId="63921FAD">
      <w:pPr>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2.1在中华</w:t>
      </w:r>
      <w:r>
        <w:rPr>
          <w:rFonts w:hint="eastAsia" w:ascii="仿宋" w:hAnsi="仿宋" w:eastAsia="仿宋" w:cs="宋体"/>
          <w:b w:val="0"/>
          <w:bCs w:val="0"/>
          <w:color w:val="auto"/>
          <w:sz w:val="24"/>
          <w:highlight w:val="none"/>
        </w:rPr>
        <w:t>人民共和国境内依法登记的法人或其他组织，具有独立承担民事责任的能力，供应商如为企业法人，须提供企业法人营业执照（复印件）；供应商如为事业单位或其他组织，须提供事业单位法人证书或登记证或组织机构代码证或其他有效证明</w:t>
      </w:r>
      <w:r>
        <w:rPr>
          <w:rFonts w:hint="eastAsia" w:ascii="仿宋" w:hAnsi="仿宋" w:eastAsia="仿宋" w:cs="宋体"/>
          <w:color w:val="auto"/>
          <w:sz w:val="24"/>
          <w:highlight w:val="none"/>
        </w:rPr>
        <w:t>文件（复印件）。如供应商为自然人的需提供自然人身份证明；法定代表人授权书原件及被授权人身份证复印件（法定代表人直接投标可不提供，但须提供法定代表人身份证明</w:t>
      </w:r>
      <w:r>
        <w:rPr>
          <w:rFonts w:hint="eastAsia" w:ascii="仿宋" w:hAnsi="仿宋" w:eastAsia="仿宋" w:cs="宋体"/>
          <w:color w:val="auto"/>
          <w:sz w:val="24"/>
          <w:highlight w:val="none"/>
          <w:lang w:val="en-US" w:eastAsia="zh-CN"/>
        </w:rPr>
        <w:t>。</w:t>
      </w:r>
    </w:p>
    <w:p w14:paraId="626EBCE9">
      <w:pPr>
        <w:pageBreakBefore w:val="0"/>
        <w:kinsoku/>
        <w:wordWrap/>
        <w:overflowPunct/>
        <w:topLinePunct w:val="0"/>
        <w:autoSpaceDE/>
        <w:autoSpaceDN/>
        <w:bidi w:val="0"/>
        <w:snapToGrid/>
        <w:spacing w:line="360" w:lineRule="auto"/>
        <w:ind w:firstLine="480" w:firstLineChars="200"/>
        <w:textAlignment w:val="baseline"/>
        <w:rPr>
          <w:rFonts w:hint="eastAsia" w:ascii="仿宋" w:hAnsi="仿宋" w:eastAsia="仿宋" w:cs="宋体"/>
          <w:b w:val="0"/>
          <w:bCs w:val="0"/>
          <w:color w:val="auto"/>
          <w:sz w:val="24"/>
          <w:highlight w:val="none"/>
        </w:rPr>
      </w:pPr>
      <w:r>
        <w:rPr>
          <w:rFonts w:hint="eastAsia" w:ascii="仿宋" w:hAnsi="仿宋" w:eastAsia="仿宋" w:cs="宋体"/>
          <w:color w:val="auto"/>
          <w:sz w:val="24"/>
          <w:highlight w:val="none"/>
        </w:rPr>
        <w:t>2.2具有良好的商业信誉和健全的财务会计制度，需提供202</w:t>
      </w:r>
      <w:r>
        <w:rPr>
          <w:rFonts w:hint="eastAsia" w:ascii="仿宋" w:hAnsi="仿宋" w:eastAsia="仿宋" w:cs="宋体"/>
          <w:color w:val="auto"/>
          <w:sz w:val="24"/>
          <w:highlight w:val="none"/>
          <w:lang w:val="en-US" w:eastAsia="zh-CN"/>
        </w:rPr>
        <w:t>5</w:t>
      </w:r>
      <w:r>
        <w:rPr>
          <w:rFonts w:hint="eastAsia" w:ascii="仿宋" w:hAnsi="仿宋" w:eastAsia="仿宋" w:cs="宋体"/>
          <w:color w:val="auto"/>
          <w:sz w:val="24"/>
          <w:highlight w:val="none"/>
        </w:rPr>
        <w:t>年度经会计师事务所或审计机构审计的财务审计报告及财务报表（至少包含会计师事务所或审计机构签章页、资产负债表、现金</w:t>
      </w:r>
      <w:r>
        <w:rPr>
          <w:rFonts w:hint="eastAsia" w:ascii="仿宋" w:hAnsi="仿宋" w:eastAsia="仿宋" w:cs="宋体"/>
          <w:b w:val="0"/>
          <w:bCs w:val="0"/>
          <w:color w:val="auto"/>
          <w:sz w:val="24"/>
          <w:highlight w:val="none"/>
        </w:rPr>
        <w:t>流量表、损益表/利润表）或提供投标截止日前6个月内开具的银行资信证明。</w:t>
      </w:r>
    </w:p>
    <w:p w14:paraId="450997A6">
      <w:pPr>
        <w:pageBreakBefore w:val="0"/>
        <w:kinsoku/>
        <w:wordWrap/>
        <w:overflowPunct/>
        <w:topLinePunct w:val="0"/>
        <w:autoSpaceDE/>
        <w:autoSpaceDN/>
        <w:bidi w:val="0"/>
        <w:snapToGrid/>
        <w:spacing w:line="360" w:lineRule="auto"/>
        <w:ind w:firstLine="480" w:firstLineChars="200"/>
        <w:textAlignment w:val="baseline"/>
        <w:rPr>
          <w:rFonts w:hint="eastAsia" w:ascii="仿宋" w:hAnsi="仿宋" w:eastAsia="仿宋" w:cs="宋体"/>
          <w:b w:val="0"/>
          <w:bCs w:val="0"/>
          <w:color w:val="auto"/>
          <w:sz w:val="24"/>
          <w:highlight w:val="none"/>
        </w:rPr>
      </w:pPr>
      <w:r>
        <w:rPr>
          <w:rFonts w:hint="eastAsia" w:ascii="仿宋" w:hAnsi="仿宋" w:eastAsia="仿宋" w:cs="宋体"/>
          <w:b w:val="0"/>
          <w:bCs w:val="0"/>
          <w:color w:val="auto"/>
          <w:sz w:val="24"/>
          <w:highlight w:val="none"/>
        </w:rPr>
        <w:t>2.3 具有依法缴纳税收和社会保障资金的良好记录，提供近6个月任意一个月的税收和社会保障资金缴纳凭证。</w:t>
      </w:r>
    </w:p>
    <w:p w14:paraId="3F15A476">
      <w:pPr>
        <w:pageBreakBefore w:val="0"/>
        <w:kinsoku/>
        <w:wordWrap/>
        <w:overflowPunct/>
        <w:topLinePunct w:val="0"/>
        <w:autoSpaceDE/>
        <w:autoSpaceDN/>
        <w:bidi w:val="0"/>
        <w:snapToGrid/>
        <w:spacing w:line="360" w:lineRule="auto"/>
        <w:ind w:firstLine="480" w:firstLineChars="200"/>
        <w:textAlignment w:val="baseline"/>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rPr>
        <w:t>2.</w:t>
      </w:r>
      <w:r>
        <w:rPr>
          <w:rFonts w:hint="eastAsia" w:ascii="仿宋" w:hAnsi="仿宋" w:eastAsia="仿宋" w:cs="宋体"/>
          <w:color w:val="auto"/>
          <w:sz w:val="24"/>
          <w:highlight w:val="none"/>
          <w:lang w:val="en-US" w:eastAsia="zh-CN"/>
        </w:rPr>
        <w:t>4参加采购活动前三年内，在经营活动中没有重大违法记录承诺书（或相应证明材料），且近三年内（2023年1月1日至今）无违法违规记录。违法违规记录是指被“信用中国”列入失信被执行人、重大税收违法失信主体、政府采购严重违法失信行为记录名单。供应商需提供自采购公告发布之日至响应文件递交截止之日期间对以上三项内容的查询截图。信用中国查询网址：https：//www.creditchina.gov.cn/xinyongfuwu/?navPage=5</w:t>
      </w:r>
    </w:p>
    <w:p w14:paraId="57E2F5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rPr>
        <w:t>2.</w:t>
      </w:r>
      <w:r>
        <w:rPr>
          <w:rFonts w:hint="eastAsia" w:ascii="仿宋" w:hAnsi="仿宋" w:eastAsia="仿宋" w:cs="宋体"/>
          <w:color w:val="auto"/>
          <w:sz w:val="24"/>
          <w:highlight w:val="none"/>
          <w:lang w:val="en-US" w:eastAsia="zh-CN"/>
        </w:rPr>
        <w:t>5严禁列入采购人及其所隶属的中国人民保险各级机构的供应商黑名单且在禁入期内的供应商参与采购活动。</w:t>
      </w:r>
    </w:p>
    <w:p w14:paraId="76DFCF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2.6供应商的法定代表人或单位负责人为同一人或存在控股、管理关系的不同单位，不得参加同一标包响应或未划分标包的同一采购项目的响应，需填写《供应商控股及管理关系情况申报表》。</w:t>
      </w:r>
    </w:p>
    <w:p w14:paraId="150E6ABC">
      <w:pPr>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2.7本项目不接受联合体响应，不允许中标后分包、转包。</w:t>
      </w:r>
    </w:p>
    <w:p w14:paraId="235BC9D9">
      <w:pPr>
        <w:keepNext/>
        <w:keepLines/>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仿宋" w:hAnsi="仿宋" w:eastAsia="仿宋" w:cs="宋体"/>
          <w:b w:val="0"/>
          <w:bCs w:val="0"/>
          <w:color w:val="auto"/>
          <w:kern w:val="2"/>
          <w:sz w:val="24"/>
          <w:szCs w:val="24"/>
          <w:highlight w:val="none"/>
          <w:lang w:val="en-US" w:eastAsia="zh-CN" w:bidi="ar-SA"/>
        </w:rPr>
      </w:pPr>
      <w:r>
        <w:rPr>
          <w:rFonts w:hint="eastAsia" w:ascii="仿宋" w:hAnsi="仿宋" w:eastAsia="仿宋" w:cs="宋体"/>
          <w:b/>
          <w:bCs/>
          <w:color w:val="auto"/>
          <w:sz w:val="24"/>
          <w:highlight w:val="none"/>
        </w:rPr>
        <w:t>2.8资质要求</w:t>
      </w:r>
      <w:r>
        <w:rPr>
          <w:rFonts w:hint="eastAsia" w:ascii="仿宋" w:hAnsi="仿宋" w:eastAsia="仿宋" w:cs="宋体"/>
          <w:b/>
          <w:bCs/>
          <w:color w:val="auto"/>
          <w:sz w:val="24"/>
          <w:highlight w:val="none"/>
          <w:lang w:val="en-US" w:eastAsia="zh-CN"/>
        </w:rPr>
        <w:t>：</w:t>
      </w:r>
      <w:r>
        <w:rPr>
          <w:rFonts w:hint="eastAsia" w:ascii="仿宋" w:hAnsi="仿宋" w:eastAsia="仿宋" w:cs="宋体"/>
          <w:b w:val="0"/>
          <w:bCs w:val="0"/>
          <w:color w:val="auto"/>
          <w:sz w:val="24"/>
          <w:highlight w:val="none"/>
          <w:lang w:val="en-US" w:eastAsia="zh-CN"/>
        </w:rPr>
        <w:t>供应商须具备建设行政主管部门核发的有效的建筑装修装饰工程专业承包二级及以上资质，同时具备建设行政主管部门核发的有效的安全生产许可证书</w:t>
      </w:r>
      <w:r>
        <w:rPr>
          <w:rFonts w:hint="eastAsia" w:ascii="仿宋" w:hAnsi="仿宋" w:eastAsia="仿宋" w:cs="宋体"/>
          <w:b w:val="0"/>
          <w:bCs w:val="0"/>
          <w:color w:val="auto"/>
          <w:kern w:val="2"/>
          <w:sz w:val="24"/>
          <w:szCs w:val="24"/>
          <w:highlight w:val="none"/>
          <w:lang w:val="en-US" w:eastAsia="zh-CN" w:bidi="ar-SA"/>
        </w:rPr>
        <w:t>。</w:t>
      </w:r>
    </w:p>
    <w:p w14:paraId="3691C427">
      <w:pPr>
        <w:pStyle w:val="17"/>
        <w:pageBreakBefore w:val="0"/>
        <w:widowControl w:val="0"/>
        <w:kinsoku/>
        <w:wordWrap/>
        <w:overflowPunct/>
        <w:topLinePunct w:val="0"/>
        <w:autoSpaceDE/>
        <w:autoSpaceDN/>
        <w:bidi w:val="0"/>
        <w:adjustRightInd/>
        <w:snapToGrid/>
        <w:spacing w:line="360" w:lineRule="auto"/>
        <w:ind w:firstLine="482" w:firstLineChars="200"/>
        <w:jc w:val="left"/>
        <w:rPr>
          <w:rFonts w:hint="default" w:ascii="仿宋" w:hAnsi="仿宋" w:eastAsia="仿宋" w:cs="宋体"/>
          <w:b/>
          <w:bCs/>
          <w:color w:val="auto"/>
          <w:kern w:val="2"/>
          <w:sz w:val="24"/>
          <w:szCs w:val="24"/>
          <w:highlight w:val="none"/>
          <w:lang w:val="en-US" w:eastAsia="zh-CN" w:bidi="ar-SA"/>
        </w:rPr>
      </w:pPr>
      <w:r>
        <w:rPr>
          <w:rFonts w:hint="eastAsia" w:ascii="仿宋" w:hAnsi="仿宋" w:eastAsia="仿宋" w:cs="宋体"/>
          <w:b/>
          <w:bCs/>
          <w:color w:val="auto"/>
          <w:kern w:val="2"/>
          <w:sz w:val="24"/>
          <w:szCs w:val="24"/>
          <w:highlight w:val="none"/>
          <w:lang w:val="en-US" w:eastAsia="zh-CN" w:bidi="ar-SA"/>
        </w:rPr>
        <w:t>2.9项目经理要求：</w:t>
      </w:r>
      <w:r>
        <w:rPr>
          <w:rFonts w:hint="eastAsia" w:ascii="仿宋" w:hAnsi="仿宋" w:eastAsia="仿宋" w:cs="宋体"/>
          <w:b w:val="0"/>
          <w:bCs w:val="0"/>
          <w:color w:val="auto"/>
          <w:kern w:val="2"/>
          <w:sz w:val="24"/>
          <w:szCs w:val="24"/>
          <w:highlight w:val="none"/>
          <w:lang w:val="en-US" w:eastAsia="zh-CN" w:bidi="ar-SA"/>
        </w:rPr>
        <w:t>拟派项目经理须具备建筑工程专业二级及以上注册建造师执业资格，具备有效的安全生产考核合格证书（B类）（提供证件复印件）；且未担任其他在施建设工程项目的项目经理（提供承诺书）。</w:t>
      </w:r>
    </w:p>
    <w:p w14:paraId="2082767E">
      <w:pPr>
        <w:pStyle w:val="3"/>
        <w:pageBreakBefore w:val="0"/>
        <w:widowControl w:val="0"/>
        <w:kinsoku/>
        <w:wordWrap/>
        <w:overflowPunct/>
        <w:topLinePunct w:val="0"/>
        <w:autoSpaceDE/>
        <w:autoSpaceDN/>
        <w:bidi w:val="0"/>
        <w:adjustRightInd/>
        <w:snapToGrid/>
        <w:spacing w:line="360" w:lineRule="auto"/>
        <w:ind w:firstLine="482" w:firstLineChars="200"/>
        <w:jc w:val="left"/>
        <w:rPr>
          <w:rFonts w:hint="eastAsia" w:ascii="仿宋" w:hAnsi="仿宋" w:eastAsia="仿宋" w:cs="仿宋"/>
          <w:color w:val="auto"/>
          <w:sz w:val="24"/>
          <w:szCs w:val="24"/>
          <w:highlight w:val="none"/>
        </w:rPr>
      </w:pPr>
      <w:bookmarkStart w:id="11" w:name="_Toc6968"/>
      <w:r>
        <w:rPr>
          <w:rFonts w:hint="eastAsia" w:ascii="仿宋" w:hAnsi="仿宋" w:eastAsia="仿宋" w:cs="仿宋"/>
          <w:color w:val="auto"/>
          <w:sz w:val="24"/>
          <w:szCs w:val="24"/>
          <w:highlight w:val="none"/>
        </w:rPr>
        <w:t>三、资格审查方法</w:t>
      </w:r>
      <w:bookmarkEnd w:id="11"/>
    </w:p>
    <w:p w14:paraId="0047E0DD">
      <w:pPr>
        <w:pageBreakBefore w:val="0"/>
        <w:widowControl w:val="0"/>
        <w:kinsoku/>
        <w:wordWrap/>
        <w:overflowPunct/>
        <w:topLinePunct w:val="0"/>
        <w:autoSpaceDE/>
        <w:autoSpaceDN/>
        <w:bidi w:val="0"/>
        <w:adjustRightInd/>
        <w:snapToGrid/>
        <w:spacing w:line="360" w:lineRule="auto"/>
        <w:ind w:firstLine="480" w:firstLineChars="200"/>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本项目将进行资格后审，资格审查方法为合格制，资格审查标准和内容见磋商文件第三章评审办法。未通过资格后审的供应商，响应文件将被否决，不进入磋商、详细评审等后续环节。</w:t>
      </w:r>
    </w:p>
    <w:p w14:paraId="6F1880E8">
      <w:pPr>
        <w:pStyle w:val="3"/>
        <w:spacing w:after="240"/>
        <w:ind w:firstLine="0" w:firstLineChars="0"/>
        <w:jc w:val="left"/>
        <w:rPr>
          <w:rFonts w:hint="eastAsia" w:ascii="仿宋" w:hAnsi="仿宋" w:eastAsia="仿宋" w:cs="仿宋"/>
          <w:color w:val="auto"/>
          <w:sz w:val="24"/>
          <w:szCs w:val="24"/>
          <w:highlight w:val="none"/>
        </w:rPr>
      </w:pPr>
      <w:bookmarkStart w:id="12" w:name="_Toc12011"/>
      <w:r>
        <w:rPr>
          <w:rFonts w:hint="eastAsia" w:ascii="仿宋" w:hAnsi="仿宋" w:eastAsia="仿宋" w:cs="仿宋"/>
          <w:color w:val="auto"/>
          <w:sz w:val="24"/>
          <w:szCs w:val="24"/>
          <w:highlight w:val="none"/>
        </w:rPr>
        <w:t>四、磋商文件的获取</w:t>
      </w:r>
      <w:bookmarkEnd w:id="12"/>
    </w:p>
    <w:p w14:paraId="43C70558">
      <w:pPr>
        <w:pStyle w:val="83"/>
        <w:pageBreakBefore w:val="0"/>
        <w:kinsoku/>
        <w:wordWrap/>
        <w:overflowPunct/>
        <w:topLinePunct w:val="0"/>
        <w:autoSpaceDE/>
        <w:autoSpaceDN/>
        <w:bidi w:val="0"/>
        <w:adjustRightInd w:val="0"/>
        <w:snapToGrid/>
        <w:spacing w:line="360" w:lineRule="auto"/>
        <w:ind w:firstLine="480" w:firstLineChars="200"/>
        <w:jc w:val="left"/>
        <w:outlineLvl w:val="9"/>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4</w:t>
      </w:r>
      <w:r>
        <w:rPr>
          <w:rFonts w:hint="eastAsia" w:ascii="仿宋" w:hAnsi="仿宋" w:eastAsia="仿宋" w:cs="仿宋"/>
          <w:color w:val="auto"/>
          <w:sz w:val="24"/>
          <w:szCs w:val="24"/>
          <w:highlight w:val="none"/>
        </w:rPr>
        <w:t>.1磋商文件</w:t>
      </w:r>
      <w:r>
        <w:rPr>
          <w:rFonts w:hint="eastAsia" w:ascii="仿宋" w:hAnsi="仿宋" w:eastAsia="仿宋" w:cs="宋体"/>
          <w:color w:val="auto"/>
          <w:sz w:val="24"/>
          <w:szCs w:val="24"/>
          <w:highlight w:val="none"/>
        </w:rPr>
        <w:t>获取</w:t>
      </w:r>
      <w:r>
        <w:rPr>
          <w:rFonts w:hint="eastAsia" w:ascii="仿宋" w:hAnsi="仿宋" w:eastAsia="仿宋" w:cs="仿宋"/>
          <w:color w:val="auto"/>
          <w:sz w:val="24"/>
          <w:szCs w:val="24"/>
          <w:highlight w:val="none"/>
        </w:rPr>
        <w:t>时间：</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7</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4</w:t>
      </w:r>
      <w:r>
        <w:rPr>
          <w:rFonts w:hint="eastAsia" w:ascii="仿宋" w:hAnsi="仿宋" w:eastAsia="仿宋" w:cs="宋体"/>
          <w:b/>
          <w:color w:val="auto"/>
          <w:sz w:val="24"/>
          <w:szCs w:val="24"/>
          <w:highlight w:val="none"/>
          <w:u w:val="single"/>
        </w:rPr>
        <w:t>日</w:t>
      </w:r>
      <w:r>
        <w:rPr>
          <w:rFonts w:hint="eastAsia" w:ascii="仿宋" w:hAnsi="仿宋" w:eastAsia="仿宋" w:cs="宋体"/>
          <w:b/>
          <w:color w:val="auto"/>
          <w:sz w:val="24"/>
          <w:szCs w:val="24"/>
          <w:highlight w:val="none"/>
        </w:rPr>
        <w:t>至</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7</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10</w:t>
      </w:r>
      <w:r>
        <w:rPr>
          <w:rFonts w:hint="eastAsia" w:ascii="仿宋" w:hAnsi="仿宋" w:eastAsia="仿宋" w:cs="宋体"/>
          <w:b/>
          <w:color w:val="auto"/>
          <w:sz w:val="24"/>
          <w:szCs w:val="24"/>
          <w:highlight w:val="none"/>
          <w:u w:val="single"/>
        </w:rPr>
        <w:t>日，</w:t>
      </w:r>
      <w:r>
        <w:rPr>
          <w:rFonts w:hint="eastAsia" w:ascii="仿宋" w:hAnsi="仿宋" w:eastAsia="仿宋" w:cs="宋体"/>
          <w:color w:val="auto"/>
          <w:sz w:val="24"/>
          <w:szCs w:val="24"/>
          <w:highlight w:val="none"/>
        </w:rPr>
        <w:t>上午</w:t>
      </w:r>
      <w:r>
        <w:rPr>
          <w:rFonts w:hint="eastAsia" w:ascii="仿宋" w:hAnsi="仿宋" w:eastAsia="仿宋" w:cs="宋体"/>
          <w:color w:val="auto"/>
          <w:sz w:val="24"/>
          <w:szCs w:val="24"/>
          <w:highlight w:val="none"/>
          <w:lang w:val="en-US" w:eastAsia="zh-CN"/>
        </w:rPr>
        <w:t>8</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12</w:t>
      </w:r>
      <w:r>
        <w:rPr>
          <w:rFonts w:hint="eastAsia" w:ascii="仿宋" w:hAnsi="仿宋" w:eastAsia="仿宋" w:cs="宋体"/>
          <w:color w:val="auto"/>
          <w:sz w:val="24"/>
          <w:szCs w:val="24"/>
          <w:highlight w:val="none"/>
        </w:rPr>
        <w:t>时，下午</w:t>
      </w:r>
      <w:r>
        <w:rPr>
          <w:rFonts w:hint="eastAsia" w:ascii="仿宋" w:hAnsi="仿宋" w:eastAsia="仿宋" w:cs="宋体"/>
          <w:color w:val="auto"/>
          <w:sz w:val="24"/>
          <w:szCs w:val="24"/>
          <w:highlight w:val="none"/>
          <w:lang w:val="en-US" w:eastAsia="zh-CN"/>
        </w:rPr>
        <w:t>14</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18</w:t>
      </w:r>
      <w:r>
        <w:rPr>
          <w:rFonts w:hint="eastAsia" w:ascii="仿宋" w:hAnsi="仿宋" w:eastAsia="仿宋" w:cs="宋体"/>
          <w:color w:val="auto"/>
          <w:sz w:val="24"/>
          <w:szCs w:val="24"/>
          <w:highlight w:val="none"/>
        </w:rPr>
        <w:t>时（北京时间，下同）。</w:t>
      </w:r>
    </w:p>
    <w:p w14:paraId="7ADA8ED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宋体"/>
          <w:color w:val="auto"/>
          <w:kern w:val="0"/>
          <w:sz w:val="24"/>
          <w:szCs w:val="20"/>
          <w:highlight w:val="none"/>
          <w:lang w:val="en-US" w:eastAsia="zh-CN" w:bidi="ar-SA"/>
        </w:rPr>
      </w:pPr>
      <w:r>
        <w:rPr>
          <w:rFonts w:ascii="仿宋" w:hAnsi="仿宋" w:eastAsia="仿宋" w:cs="宋体"/>
          <w:color w:val="auto"/>
          <w:sz w:val="24"/>
          <w:highlight w:val="none"/>
        </w:rPr>
        <w:t>4</w:t>
      </w:r>
      <w:r>
        <w:rPr>
          <w:rFonts w:hint="eastAsia" w:ascii="仿宋" w:hAnsi="仿宋" w:eastAsia="仿宋" w:cs="宋体"/>
          <w:color w:val="auto"/>
          <w:sz w:val="24"/>
          <w:highlight w:val="none"/>
        </w:rPr>
        <w:t>.2</w:t>
      </w:r>
      <w:r>
        <w:rPr>
          <w:rFonts w:hint="eastAsia" w:ascii="仿宋" w:hAnsi="仿宋" w:eastAsia="仿宋" w:cs="宋体"/>
          <w:color w:val="000000"/>
          <w:sz w:val="24"/>
          <w:szCs w:val="24"/>
          <w:highlight w:val="none"/>
        </w:rPr>
        <w:t>人保e采门户注册入库</w:t>
      </w:r>
      <w:r>
        <w:rPr>
          <w:rFonts w:hint="eastAsia" w:ascii="仿宋" w:hAnsi="仿宋" w:eastAsia="仿宋" w:cs="宋体"/>
          <w:color w:val="000000"/>
          <w:sz w:val="24"/>
          <w:szCs w:val="24"/>
          <w:highlight w:val="none"/>
          <w:lang w:eastAsia="zh-CN"/>
        </w:rPr>
        <w:t>：</w:t>
      </w:r>
      <w:r>
        <w:rPr>
          <w:rFonts w:hint="eastAsia" w:ascii="仿宋" w:hAnsi="仿宋" w:eastAsia="仿宋" w:cs="宋体"/>
          <w:color w:val="000000"/>
          <w:sz w:val="24"/>
          <w:szCs w:val="24"/>
          <w:highlight w:val="none"/>
        </w:rPr>
        <w:t>登录中国人保e采门户(https://ec.picc.com/)申请注册入库，审核通过后，根据提示自行下载</w:t>
      </w:r>
      <w:r>
        <w:rPr>
          <w:rFonts w:hint="eastAsia" w:ascii="仿宋" w:hAnsi="仿宋" w:eastAsia="仿宋" w:cs="宋体"/>
          <w:color w:val="000000"/>
          <w:sz w:val="24"/>
          <w:szCs w:val="24"/>
          <w:highlight w:val="none"/>
          <w:lang w:val="en-US" w:eastAsia="zh-CN"/>
        </w:rPr>
        <w:t>磋商</w:t>
      </w:r>
      <w:r>
        <w:rPr>
          <w:rFonts w:hint="eastAsia" w:ascii="仿宋" w:hAnsi="仿宋" w:eastAsia="仿宋" w:cs="宋体"/>
          <w:color w:val="000000"/>
          <w:sz w:val="24"/>
          <w:szCs w:val="24"/>
          <w:highlight w:val="none"/>
        </w:rPr>
        <w:t>文件。</w:t>
      </w:r>
    </w:p>
    <w:p w14:paraId="4882EB8A">
      <w:pPr>
        <w:pStyle w:val="3"/>
        <w:pageBreakBefore w:val="0"/>
        <w:kinsoku/>
        <w:wordWrap/>
        <w:overflowPunct/>
        <w:topLinePunct w:val="0"/>
        <w:autoSpaceDE/>
        <w:autoSpaceDN/>
        <w:bidi w:val="0"/>
        <w:adjustRightInd/>
        <w:snapToGrid/>
        <w:ind w:firstLine="0" w:firstLineChars="0"/>
        <w:jc w:val="left"/>
        <w:rPr>
          <w:rFonts w:hint="eastAsia" w:ascii="仿宋" w:hAnsi="仿宋" w:eastAsia="仿宋" w:cs="仿宋"/>
          <w:color w:val="auto"/>
          <w:sz w:val="24"/>
          <w:szCs w:val="24"/>
          <w:highlight w:val="none"/>
        </w:rPr>
      </w:pPr>
      <w:bookmarkStart w:id="13" w:name="_Toc15216"/>
      <w:r>
        <w:rPr>
          <w:rFonts w:hint="eastAsia" w:ascii="仿宋" w:hAnsi="仿宋" w:eastAsia="仿宋" w:cs="仿宋"/>
          <w:color w:val="auto"/>
          <w:sz w:val="24"/>
          <w:szCs w:val="24"/>
          <w:highlight w:val="none"/>
        </w:rPr>
        <w:t>五、响应文件的递交</w:t>
      </w:r>
      <w:bookmarkEnd w:id="13"/>
    </w:p>
    <w:p w14:paraId="07406B58">
      <w:pPr>
        <w:pageBreakBefore w:val="0"/>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宋体"/>
          <w:color w:val="auto"/>
          <w:sz w:val="24"/>
          <w:highlight w:val="none"/>
        </w:rPr>
      </w:pPr>
      <w:r>
        <w:rPr>
          <w:rFonts w:ascii="仿宋" w:hAnsi="仿宋" w:eastAsia="仿宋" w:cs="宋体"/>
          <w:color w:val="auto"/>
          <w:sz w:val="24"/>
          <w:highlight w:val="none"/>
        </w:rPr>
        <w:t>5</w:t>
      </w:r>
      <w:r>
        <w:rPr>
          <w:rFonts w:hint="eastAsia" w:ascii="仿宋" w:hAnsi="仿宋" w:eastAsia="仿宋" w:cs="宋体"/>
          <w:color w:val="auto"/>
          <w:sz w:val="24"/>
          <w:highlight w:val="none"/>
        </w:rPr>
        <w:t>.1响应文件递交截止时间：</w:t>
      </w:r>
      <w:r>
        <w:rPr>
          <w:rFonts w:hint="eastAsia" w:ascii="仿宋" w:hAnsi="仿宋" w:eastAsia="仿宋" w:cs="宋体"/>
          <w:color w:val="auto"/>
          <w:sz w:val="24"/>
          <w:highlight w:val="none"/>
          <w:u w:val="single"/>
        </w:rPr>
        <w:t>20</w:t>
      </w:r>
      <w:r>
        <w:rPr>
          <w:rFonts w:hint="eastAsia" w:ascii="仿宋" w:hAnsi="仿宋" w:eastAsia="仿宋" w:cs="宋体"/>
          <w:color w:val="auto"/>
          <w:sz w:val="24"/>
          <w:highlight w:val="none"/>
          <w:u w:val="single"/>
          <w:lang w:val="en-US" w:eastAsia="zh-CN"/>
        </w:rPr>
        <w:t>26</w:t>
      </w:r>
      <w:r>
        <w:rPr>
          <w:rFonts w:hint="eastAsia" w:ascii="仿宋" w:hAnsi="仿宋" w:eastAsia="仿宋" w:cs="宋体"/>
          <w:color w:val="auto"/>
          <w:sz w:val="24"/>
          <w:highlight w:val="none"/>
          <w:u w:val="single"/>
        </w:rPr>
        <w:t>年</w:t>
      </w:r>
      <w:r>
        <w:rPr>
          <w:rFonts w:hint="eastAsia" w:ascii="仿宋" w:hAnsi="仿宋" w:eastAsia="仿宋" w:cs="宋体"/>
          <w:color w:val="auto"/>
          <w:sz w:val="24"/>
          <w:highlight w:val="none"/>
          <w:u w:val="single"/>
          <w:lang w:val="en-US" w:eastAsia="zh-CN"/>
        </w:rPr>
        <w:t>7</w:t>
      </w:r>
      <w:r>
        <w:rPr>
          <w:rFonts w:hint="eastAsia" w:ascii="仿宋" w:hAnsi="仿宋" w:eastAsia="仿宋" w:cs="宋体"/>
          <w:color w:val="auto"/>
          <w:sz w:val="24"/>
          <w:highlight w:val="none"/>
          <w:u w:val="single"/>
        </w:rPr>
        <w:t>月</w:t>
      </w:r>
      <w:r>
        <w:rPr>
          <w:rFonts w:hint="eastAsia" w:ascii="仿宋" w:hAnsi="仿宋" w:eastAsia="仿宋" w:cs="宋体"/>
          <w:color w:val="auto"/>
          <w:sz w:val="24"/>
          <w:highlight w:val="none"/>
          <w:u w:val="single"/>
          <w:lang w:val="en-US" w:eastAsia="zh-CN"/>
        </w:rPr>
        <w:t>16</w:t>
      </w:r>
      <w:r>
        <w:rPr>
          <w:rFonts w:hint="eastAsia" w:ascii="仿宋" w:hAnsi="仿宋" w:eastAsia="仿宋" w:cs="宋体"/>
          <w:color w:val="auto"/>
          <w:sz w:val="24"/>
          <w:highlight w:val="none"/>
          <w:u w:val="single"/>
        </w:rPr>
        <w:t>日</w:t>
      </w:r>
      <w:r>
        <w:rPr>
          <w:rFonts w:hint="eastAsia" w:ascii="仿宋" w:hAnsi="仿宋" w:eastAsia="仿宋" w:cs="宋体"/>
          <w:color w:val="auto"/>
          <w:sz w:val="24"/>
          <w:highlight w:val="none"/>
          <w:u w:val="single"/>
          <w:lang w:val="en-US" w:eastAsia="zh-CN"/>
        </w:rPr>
        <w:t>9</w:t>
      </w:r>
      <w:r>
        <w:rPr>
          <w:rFonts w:hint="eastAsia" w:ascii="仿宋" w:hAnsi="仿宋" w:eastAsia="仿宋" w:cs="宋体"/>
          <w:color w:val="auto"/>
          <w:sz w:val="24"/>
          <w:highlight w:val="none"/>
          <w:u w:val="single"/>
        </w:rPr>
        <w:t>时</w:t>
      </w:r>
      <w:r>
        <w:rPr>
          <w:rFonts w:hint="eastAsia" w:ascii="仿宋" w:hAnsi="仿宋" w:eastAsia="仿宋" w:cs="宋体"/>
          <w:color w:val="auto"/>
          <w:sz w:val="24"/>
          <w:highlight w:val="none"/>
          <w:u w:val="single"/>
          <w:lang w:val="en-US" w:eastAsia="zh-CN"/>
        </w:rPr>
        <w:t>00</w:t>
      </w:r>
      <w:r>
        <w:rPr>
          <w:rFonts w:hint="eastAsia" w:ascii="仿宋" w:hAnsi="仿宋" w:eastAsia="仿宋" w:cs="宋体"/>
          <w:color w:val="auto"/>
          <w:sz w:val="24"/>
          <w:highlight w:val="none"/>
          <w:u w:val="single"/>
        </w:rPr>
        <w:t>分00秒</w:t>
      </w:r>
      <w:r>
        <w:rPr>
          <w:rFonts w:hint="eastAsia" w:ascii="仿宋" w:hAnsi="仿宋" w:eastAsia="仿宋" w:cs="宋体"/>
          <w:color w:val="auto"/>
          <w:sz w:val="24"/>
          <w:highlight w:val="none"/>
        </w:rPr>
        <w:t>。</w:t>
      </w:r>
    </w:p>
    <w:p w14:paraId="138BE9AD">
      <w:pPr>
        <w:spacing w:line="360" w:lineRule="auto"/>
        <w:ind w:firstLine="480" w:firstLineChars="200"/>
        <w:jc w:val="left"/>
        <w:textAlignment w:val="baseline"/>
        <w:rPr>
          <w:rFonts w:hint="eastAsia"/>
          <w:color w:val="auto"/>
          <w:highlight w:val="none"/>
        </w:rPr>
      </w:pPr>
      <w:r>
        <w:rPr>
          <w:rFonts w:hint="eastAsia" w:ascii="仿宋" w:hAnsi="仿宋" w:eastAsia="仿宋" w:cs="宋体"/>
          <w:color w:val="auto"/>
          <w:sz w:val="24"/>
          <w:highlight w:val="none"/>
        </w:rPr>
        <w:t>5.2响应文件的递交：须现场递交至宁夏回族自治区通信产业服务有限公司开标室（宁夏银川市兴庆区中山北街13号电信商城4楼开标室），</w:t>
      </w:r>
      <w:r>
        <w:rPr>
          <w:rFonts w:hint="eastAsia" w:ascii="仿宋" w:hAnsi="仿宋" w:eastAsia="仿宋" w:cs="宋体"/>
          <w:b/>
          <w:bCs/>
          <w:color w:val="auto"/>
          <w:sz w:val="24"/>
          <w:highlight w:val="none"/>
        </w:rPr>
        <w:t>逾期送达或者未送达指定地点或者未按照磋商文件要求封装的纸质响应文件不予接收。</w:t>
      </w:r>
    </w:p>
    <w:p w14:paraId="31FC9091">
      <w:pPr>
        <w:spacing w:line="360" w:lineRule="auto"/>
        <w:ind w:firstLine="480" w:firstLineChars="200"/>
        <w:textAlignment w:val="baseline"/>
        <w:rPr>
          <w:rFonts w:hint="eastAsia" w:ascii="仿宋" w:hAnsi="仿宋" w:eastAsia="仿宋" w:cs="宋体"/>
          <w:b w:val="0"/>
          <w:bCs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5.3</w:t>
      </w:r>
      <w:r>
        <w:rPr>
          <w:rFonts w:hint="eastAsia" w:ascii="仿宋" w:hAnsi="仿宋" w:eastAsia="仿宋" w:cs="宋体"/>
          <w:b w:val="0"/>
          <w:bCs w:val="0"/>
          <w:color w:val="auto"/>
          <w:kern w:val="2"/>
          <w:sz w:val="24"/>
          <w:szCs w:val="24"/>
          <w:highlight w:val="none"/>
          <w:lang w:val="en-US" w:eastAsia="zh-CN" w:bidi="ar-SA"/>
        </w:rPr>
        <w:t>本项目将于上述同一时间、地点进行磋商，采购代理机构邀请供应商代表准时参加。</w:t>
      </w:r>
    </w:p>
    <w:p w14:paraId="5CAD29AA">
      <w:pPr>
        <w:spacing w:line="360" w:lineRule="auto"/>
        <w:ind w:firstLine="480" w:firstLineChars="200"/>
        <w:textAlignment w:val="baseline"/>
        <w:rPr>
          <w:rFonts w:hint="eastAsia" w:ascii="仿宋" w:hAnsi="仿宋" w:eastAsia="仿宋" w:cs="宋体"/>
          <w:b/>
          <w:bCs/>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5.4</w:t>
      </w:r>
      <w:r>
        <w:rPr>
          <w:rFonts w:hint="eastAsia" w:ascii="仿宋" w:hAnsi="仿宋" w:eastAsia="仿宋" w:cs="宋体"/>
          <w:b/>
          <w:bCs/>
          <w:color w:val="auto"/>
          <w:kern w:val="2"/>
          <w:sz w:val="24"/>
          <w:szCs w:val="24"/>
          <w:highlight w:val="none"/>
          <w:lang w:val="en-US" w:eastAsia="zh-CN" w:bidi="ar-SA"/>
        </w:rPr>
        <w:t>出现以下情形之一时，采购代理机构不予接收响应文件：</w:t>
      </w:r>
    </w:p>
    <w:p w14:paraId="7B6ED5F4">
      <w:pPr>
        <w:spacing w:line="360" w:lineRule="auto"/>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（1）逾期送达或者未送达指定地点的；</w:t>
      </w:r>
    </w:p>
    <w:p w14:paraId="6F811B3D">
      <w:pPr>
        <w:spacing w:line="360" w:lineRule="auto"/>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（2）未按照响应文件要求密封的；</w:t>
      </w:r>
    </w:p>
    <w:p w14:paraId="4AD5CB9A">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b w:val="0"/>
          <w:color w:val="auto"/>
          <w:kern w:val="2"/>
          <w:sz w:val="24"/>
          <w:szCs w:val="24"/>
          <w:highlight w:val="none"/>
          <w:lang w:val="en-US" w:eastAsia="zh-CN" w:bidi="ar-SA"/>
        </w:rPr>
        <w:t>（3）未按照磋商公告要求获取磋商文件的。</w:t>
      </w:r>
    </w:p>
    <w:p w14:paraId="537E192C">
      <w:pPr>
        <w:pStyle w:val="3"/>
        <w:ind w:firstLine="0" w:firstLineChars="0"/>
        <w:jc w:val="left"/>
        <w:rPr>
          <w:rFonts w:hint="eastAsia" w:ascii="仿宋" w:hAnsi="仿宋" w:eastAsia="仿宋" w:cs="仿宋"/>
          <w:color w:val="auto"/>
          <w:sz w:val="24"/>
          <w:szCs w:val="24"/>
          <w:highlight w:val="none"/>
        </w:rPr>
      </w:pPr>
      <w:bookmarkStart w:id="14" w:name="_Toc32178"/>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、发布公告的媒介</w:t>
      </w:r>
      <w:bookmarkEnd w:id="14"/>
    </w:p>
    <w:p w14:paraId="1FB17D97">
      <w:pPr>
        <w:spacing w:line="360" w:lineRule="auto"/>
        <w:ind w:firstLine="480" w:firstLineChars="200"/>
        <w:textAlignment w:val="baseline"/>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本项目磋商公告同时在人保e采”外网门户（https://ec.picc.com/）</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中国招标投标公共服务平台（http://www.cebpubservice.com/）</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中国</w:t>
      </w:r>
      <w:r>
        <w:rPr>
          <w:rFonts w:hint="eastAsia" w:ascii="仿宋" w:hAnsi="仿宋" w:eastAsia="仿宋" w:cs="仿宋"/>
          <w:color w:val="auto"/>
          <w:sz w:val="24"/>
          <w:highlight w:val="none"/>
        </w:rPr>
        <w:t>采购与招标网（http://www.chinabidding.cn）、中国金融集中采购网（http://www.cfcpn.com）上发布，除上述外，采购人</w:t>
      </w:r>
      <w:r>
        <w:rPr>
          <w:rFonts w:hint="eastAsia" w:ascii="仿宋" w:hAnsi="仿宋" w:eastAsia="仿宋" w:cs="仿宋"/>
          <w:color w:val="auto"/>
          <w:sz w:val="24"/>
          <w:highlight w:val="none"/>
          <w:lang w:val="en-US" w:eastAsia="zh-CN"/>
        </w:rPr>
        <w:t>和</w:t>
      </w:r>
      <w:r>
        <w:rPr>
          <w:rFonts w:hint="eastAsia" w:ascii="仿宋" w:hAnsi="仿宋" w:eastAsia="仿宋" w:cs="仿宋"/>
          <w:color w:val="auto"/>
          <w:sz w:val="24"/>
          <w:highlight w:val="none"/>
        </w:rPr>
        <w:t>采购代理机构不在其他任何网站、论坛等媒介上发布任何采购信息，其他任何媒介上转载的、以采购人为采</w:t>
      </w:r>
      <w:r>
        <w:rPr>
          <w:rFonts w:hint="eastAsia" w:ascii="仿宋" w:hAnsi="仿宋" w:eastAsia="仿宋" w:cs="宋体"/>
          <w:color w:val="auto"/>
          <w:sz w:val="24"/>
          <w:highlight w:val="none"/>
        </w:rPr>
        <w:t>购主体的采购信息均为非法转载，均为无效</w:t>
      </w:r>
      <w:r>
        <w:rPr>
          <w:rFonts w:hint="eastAsia" w:ascii="仿宋" w:hAnsi="仿宋" w:eastAsia="仿宋" w:cs="仿宋"/>
          <w:color w:val="auto"/>
          <w:sz w:val="24"/>
          <w:highlight w:val="none"/>
        </w:rPr>
        <w:t>。对于非法转载、篡改采购公告信息的组织或个人，采购人保留追究其法律责任的权利。</w:t>
      </w:r>
    </w:p>
    <w:p w14:paraId="6F892E23">
      <w:pPr>
        <w:pStyle w:val="3"/>
        <w:ind w:firstLine="0" w:firstLineChars="0"/>
        <w:jc w:val="left"/>
        <w:rPr>
          <w:rFonts w:hint="eastAsia" w:ascii="仿宋" w:hAnsi="仿宋" w:eastAsia="仿宋" w:cs="仿宋"/>
          <w:color w:val="auto"/>
          <w:sz w:val="24"/>
          <w:szCs w:val="24"/>
          <w:highlight w:val="none"/>
        </w:rPr>
      </w:pPr>
      <w:bookmarkStart w:id="15" w:name="_Toc876"/>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rPr>
        <w:t>、联系方式</w:t>
      </w:r>
      <w:bookmarkEnd w:id="15"/>
    </w:p>
    <w:p w14:paraId="1B7B222A">
      <w:pPr>
        <w:tabs>
          <w:tab w:val="left" w:pos="-105"/>
          <w:tab w:val="left" w:pos="420"/>
          <w:tab w:val="left" w:pos="630"/>
          <w:tab w:val="left" w:pos="1155"/>
          <w:tab w:val="left" w:pos="1890"/>
          <w:tab w:val="left" w:pos="3150"/>
          <w:tab w:val="left" w:pos="3780"/>
        </w:tabs>
        <w:spacing w:line="360" w:lineRule="auto"/>
        <w:ind w:firstLine="422" w:firstLineChars="175"/>
        <w:jc w:val="left"/>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采购人：</w:t>
      </w:r>
      <w:r>
        <w:rPr>
          <w:rFonts w:hint="eastAsia" w:ascii="仿宋" w:hAnsi="仿宋" w:eastAsia="仿宋" w:cs="仿宋"/>
          <w:b/>
          <w:bCs/>
          <w:color w:val="auto"/>
          <w:sz w:val="24"/>
          <w:highlight w:val="none"/>
          <w:lang w:val="en-US" w:eastAsia="zh-CN"/>
        </w:rPr>
        <w:t>中国人民财产保险股份有限公司贺兰支公司</w:t>
      </w:r>
    </w:p>
    <w:p w14:paraId="2CA63ADD">
      <w:pPr>
        <w:spacing w:line="360" w:lineRule="auto"/>
        <w:ind w:firstLine="420" w:firstLineChars="175"/>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地址：宁夏银川市</w:t>
      </w:r>
      <w:r>
        <w:rPr>
          <w:rFonts w:hint="eastAsia" w:ascii="仿宋" w:hAnsi="仿宋" w:eastAsia="仿宋" w:cs="仿宋"/>
          <w:color w:val="auto"/>
          <w:sz w:val="24"/>
          <w:highlight w:val="none"/>
          <w:lang w:val="en-US" w:eastAsia="zh-CN"/>
        </w:rPr>
        <w:t>贺兰县城朔方南街19号</w:t>
      </w:r>
    </w:p>
    <w:p w14:paraId="09EF081C">
      <w:pPr>
        <w:spacing w:line="360" w:lineRule="auto"/>
        <w:ind w:firstLine="422" w:firstLineChars="175"/>
        <w:jc w:val="left"/>
        <w:rPr>
          <w:rFonts w:hint="eastAsia" w:ascii="仿宋" w:hAnsi="仿宋" w:eastAsia="仿宋" w:cs="宋体"/>
          <w:b/>
          <w:color w:val="auto"/>
          <w:sz w:val="24"/>
          <w:highlight w:val="none"/>
        </w:rPr>
      </w:pPr>
    </w:p>
    <w:p w14:paraId="74916196">
      <w:pPr>
        <w:spacing w:line="360" w:lineRule="auto"/>
        <w:ind w:firstLine="422" w:firstLineChars="175"/>
        <w:jc w:val="left"/>
        <w:rPr>
          <w:rFonts w:ascii="仿宋" w:hAnsi="仿宋" w:eastAsia="仿宋" w:cs="仿宋"/>
          <w:color w:val="auto"/>
          <w:sz w:val="24"/>
          <w:highlight w:val="none"/>
        </w:rPr>
      </w:pPr>
      <w:r>
        <w:rPr>
          <w:rFonts w:hint="eastAsia" w:ascii="仿宋" w:hAnsi="仿宋" w:eastAsia="仿宋" w:cs="宋体"/>
          <w:b/>
          <w:color w:val="auto"/>
          <w:sz w:val="24"/>
          <w:highlight w:val="none"/>
        </w:rPr>
        <w:t>采购代理机构：宁夏回族自治区通信产业服务有限公司</w:t>
      </w:r>
    </w:p>
    <w:p w14:paraId="3737D5C4">
      <w:pPr>
        <w:spacing w:line="360" w:lineRule="auto"/>
        <w:ind w:firstLine="420" w:firstLineChars="175"/>
        <w:jc w:val="left"/>
        <w:rPr>
          <w:rFonts w:ascii="仿宋" w:hAnsi="仿宋" w:eastAsia="仿宋" w:cs="仿宋"/>
          <w:color w:val="auto"/>
          <w:sz w:val="24"/>
          <w:highlight w:val="none"/>
        </w:rPr>
      </w:pPr>
      <w:r>
        <w:rPr>
          <w:rFonts w:hint="eastAsia" w:ascii="仿宋" w:hAnsi="仿宋" w:eastAsia="仿宋" w:cs="宋体"/>
          <w:color w:val="auto"/>
          <w:sz w:val="24"/>
          <w:highlight w:val="none"/>
        </w:rPr>
        <w:t>地址：宁夏银川市兴庆区中山北街13号电信商城4楼</w:t>
      </w:r>
    </w:p>
    <w:p w14:paraId="38B314EC">
      <w:pPr>
        <w:spacing w:line="360" w:lineRule="auto"/>
        <w:ind w:firstLine="420" w:firstLineChars="175"/>
        <w:jc w:val="left"/>
        <w:rPr>
          <w:rFonts w:ascii="仿宋" w:hAnsi="仿宋" w:eastAsia="仿宋" w:cs="仿宋"/>
          <w:color w:val="auto"/>
          <w:sz w:val="24"/>
          <w:highlight w:val="none"/>
        </w:rPr>
      </w:pPr>
      <w:r>
        <w:rPr>
          <w:rFonts w:hint="eastAsia" w:ascii="仿宋" w:hAnsi="仿宋" w:eastAsia="仿宋" w:cs="宋体"/>
          <w:color w:val="auto"/>
          <w:sz w:val="24"/>
          <w:highlight w:val="none"/>
        </w:rPr>
        <w:t>联系人：杨燕、成丽华</w:t>
      </w:r>
    </w:p>
    <w:p w14:paraId="632F63F0">
      <w:pPr>
        <w:spacing w:line="360" w:lineRule="auto"/>
        <w:ind w:firstLine="420" w:firstLineChars="175"/>
        <w:jc w:val="left"/>
        <w:rPr>
          <w:rFonts w:ascii="仿宋" w:hAnsi="仿宋" w:eastAsia="仿宋" w:cs="仿宋"/>
          <w:color w:val="auto"/>
          <w:sz w:val="24"/>
          <w:highlight w:val="none"/>
        </w:rPr>
      </w:pPr>
      <w:r>
        <w:rPr>
          <w:rFonts w:hint="eastAsia" w:ascii="仿宋" w:hAnsi="仿宋" w:eastAsia="仿宋" w:cs="宋体"/>
          <w:color w:val="auto"/>
          <w:sz w:val="24"/>
          <w:highlight w:val="none"/>
        </w:rPr>
        <w:t>电话：18995113665、17795185421</w:t>
      </w:r>
    </w:p>
    <w:p w14:paraId="075D0F6E">
      <w:pPr>
        <w:spacing w:line="360" w:lineRule="auto"/>
        <w:ind w:firstLine="420" w:firstLineChars="175"/>
        <w:jc w:val="left"/>
        <w:rPr>
          <w:rFonts w:hint="eastAsia" w:ascii="仿宋" w:hAnsi="仿宋" w:eastAsia="仿宋" w:cs="仿宋"/>
          <w:color w:val="auto"/>
          <w:sz w:val="24"/>
          <w:highlight w:val="none"/>
          <w:lang w:eastAsia="zh-CN"/>
        </w:rPr>
      </w:pPr>
      <w:r>
        <w:rPr>
          <w:rFonts w:hint="eastAsia" w:ascii="仿宋" w:hAnsi="仿宋" w:eastAsia="仿宋" w:cs="宋体"/>
          <w:color w:val="auto"/>
          <w:sz w:val="24"/>
          <w:highlight w:val="none"/>
        </w:rPr>
        <w:t>电子邮件：</w:t>
      </w:r>
      <w:r>
        <w:rPr>
          <w:rFonts w:hint="eastAsia" w:ascii="仿宋" w:hAnsi="仿宋" w:eastAsia="仿宋" w:cs="宋体"/>
          <w:color w:val="auto"/>
          <w:sz w:val="24"/>
          <w:highlight w:val="none"/>
          <w:lang w:eastAsia="zh-CN"/>
        </w:rPr>
        <w:t>77827584@qq.com</w:t>
      </w:r>
    </w:p>
    <w:p w14:paraId="4420CCF7">
      <w:pPr>
        <w:spacing w:line="360" w:lineRule="auto"/>
        <w:ind w:firstLine="480" w:firstLineChars="200"/>
        <w:jc w:val="right"/>
        <w:textAlignment w:val="baseline"/>
        <w:rPr>
          <w:color w:val="auto"/>
          <w:highlight w:val="none"/>
        </w:rPr>
      </w:pPr>
      <w:r>
        <w:rPr>
          <w:rFonts w:hint="eastAsia" w:ascii="仿宋" w:hAnsi="仿宋" w:eastAsia="仿宋" w:cs="宋体"/>
          <w:color w:val="auto"/>
          <w:sz w:val="24"/>
          <w:highlight w:val="none"/>
        </w:rPr>
        <w:t>202</w:t>
      </w:r>
      <w:r>
        <w:rPr>
          <w:rFonts w:hint="eastAsia" w:ascii="仿宋" w:hAnsi="仿宋" w:eastAsia="仿宋" w:cs="宋体"/>
          <w:color w:val="auto"/>
          <w:sz w:val="24"/>
          <w:highlight w:val="none"/>
          <w:lang w:val="en-US" w:eastAsia="zh-CN"/>
        </w:rPr>
        <w:t>6</w:t>
      </w:r>
      <w:r>
        <w:rPr>
          <w:rFonts w:hint="eastAsia" w:ascii="仿宋" w:hAnsi="仿宋" w:eastAsia="仿宋" w:cs="宋体"/>
          <w:color w:val="auto"/>
          <w:sz w:val="24"/>
          <w:highlight w:val="none"/>
        </w:rPr>
        <w:t>年</w:t>
      </w:r>
      <w:r>
        <w:rPr>
          <w:rFonts w:hint="eastAsia" w:ascii="仿宋" w:hAnsi="仿宋" w:eastAsia="仿宋" w:cs="宋体"/>
          <w:color w:val="auto"/>
          <w:sz w:val="24"/>
          <w:highlight w:val="none"/>
          <w:lang w:val="en-US" w:eastAsia="zh-CN"/>
        </w:rPr>
        <w:t>7</w:t>
      </w:r>
      <w:r>
        <w:rPr>
          <w:rFonts w:hint="eastAsia" w:ascii="仿宋" w:hAnsi="仿宋" w:eastAsia="仿宋" w:cs="宋体"/>
          <w:color w:val="auto"/>
          <w:sz w:val="24"/>
          <w:highlight w:val="none"/>
        </w:rPr>
        <w:t>月</w:t>
      </w:r>
      <w:r>
        <w:rPr>
          <w:rFonts w:hint="eastAsia" w:ascii="仿宋" w:hAnsi="仿宋" w:eastAsia="仿宋" w:cs="宋体"/>
          <w:color w:val="auto"/>
          <w:sz w:val="24"/>
          <w:highlight w:val="none"/>
          <w:lang w:val="en-US" w:eastAsia="zh-CN"/>
        </w:rPr>
        <w:t>4</w:t>
      </w:r>
      <w:r>
        <w:rPr>
          <w:rFonts w:hint="eastAsia" w:ascii="仿宋" w:hAnsi="仿宋" w:eastAsia="仿宋" w:cs="宋体"/>
          <w:color w:val="auto"/>
          <w:sz w:val="24"/>
          <w:highlight w:val="none"/>
        </w:rPr>
        <w:t>日</w:t>
      </w:r>
    </w:p>
    <w:bookmarkEnd w:id="2"/>
    <w:bookmarkEnd w:id="3"/>
    <w:bookmarkEnd w:id="4"/>
    <w:bookmarkEnd w:id="5"/>
    <w:bookmarkEnd w:id="6"/>
    <w:bookmarkEnd w:id="7"/>
    <w:bookmarkEnd w:id="8"/>
    <w:p w14:paraId="2455AA12">
      <w:pPr>
        <w:pStyle w:val="2"/>
        <w:spacing w:before="0" w:after="0" w:line="360" w:lineRule="auto"/>
        <w:jc w:val="center"/>
        <w:rPr>
          <w:rFonts w:hint="eastAsia" w:ascii="仿宋" w:hAnsi="仿宋" w:eastAsia="仿宋" w:cs="仿宋"/>
          <w:color w:val="auto"/>
          <w:sz w:val="28"/>
          <w:szCs w:val="28"/>
          <w:highlight w:val="none"/>
        </w:rPr>
      </w:pPr>
      <w:bookmarkStart w:id="16" w:name="_Toc517281814"/>
      <w:bookmarkStart w:id="17" w:name="_Toc17103"/>
      <w:bookmarkStart w:id="18" w:name="_Toc444891334"/>
      <w:bookmarkStart w:id="19" w:name="_Toc2797"/>
      <w:bookmarkStart w:id="20" w:name="_Toc1895"/>
      <w:bookmarkStart w:id="21" w:name="_Toc287600116"/>
      <w:bookmarkStart w:id="22" w:name="_Toc23165"/>
      <w:r>
        <w:rPr>
          <w:rFonts w:ascii="仿宋" w:hAnsi="仿宋" w:eastAsia="仿宋" w:cs="仿宋"/>
          <w:color w:val="auto"/>
          <w:sz w:val="28"/>
          <w:szCs w:val="28"/>
          <w:highlight w:val="none"/>
        </w:rPr>
        <w:br w:type="page"/>
      </w:r>
      <w:bookmarkStart w:id="23" w:name="_Toc16623"/>
      <w:r>
        <w:rPr>
          <w:rFonts w:hint="eastAsia" w:ascii="仿宋" w:hAnsi="仿宋" w:eastAsia="仿宋" w:cs="仿宋"/>
          <w:color w:val="auto"/>
          <w:sz w:val="28"/>
          <w:szCs w:val="28"/>
          <w:highlight w:val="none"/>
        </w:rPr>
        <w:t>第二章 供应商须知</w:t>
      </w:r>
      <w:bookmarkEnd w:id="16"/>
      <w:bookmarkEnd w:id="17"/>
      <w:bookmarkEnd w:id="18"/>
      <w:bookmarkEnd w:id="19"/>
      <w:bookmarkEnd w:id="20"/>
      <w:bookmarkEnd w:id="21"/>
      <w:bookmarkEnd w:id="22"/>
      <w:bookmarkEnd w:id="23"/>
    </w:p>
    <w:p w14:paraId="53EB4B3C">
      <w:pPr>
        <w:pStyle w:val="3"/>
        <w:ind w:firstLine="0" w:firstLineChars="0"/>
        <w:jc w:val="center"/>
        <w:rPr>
          <w:rFonts w:hint="eastAsia" w:ascii="仿宋" w:hAnsi="仿宋" w:eastAsia="仿宋" w:cs="仿宋"/>
          <w:color w:val="auto"/>
          <w:sz w:val="24"/>
          <w:szCs w:val="24"/>
          <w:highlight w:val="none"/>
        </w:rPr>
      </w:pPr>
      <w:bookmarkStart w:id="24" w:name="_Toc32464"/>
      <w:bookmarkStart w:id="25" w:name="_Toc287600117"/>
      <w:bookmarkStart w:id="26" w:name="_Toc27353"/>
      <w:bookmarkStart w:id="27" w:name="_Toc16320"/>
      <w:bookmarkStart w:id="28" w:name="_Toc19783312"/>
      <w:bookmarkStart w:id="29" w:name="_Toc444891335"/>
      <w:bookmarkStart w:id="30" w:name="_Toc29571"/>
      <w:bookmarkStart w:id="31" w:name="_Toc517281815"/>
      <w:bookmarkStart w:id="32" w:name="_Toc17721"/>
      <w:r>
        <w:rPr>
          <w:rFonts w:hint="eastAsia" w:ascii="仿宋" w:hAnsi="仿宋" w:eastAsia="仿宋" w:cs="仿宋"/>
          <w:color w:val="auto"/>
          <w:sz w:val="24"/>
          <w:szCs w:val="24"/>
          <w:highlight w:val="none"/>
        </w:rPr>
        <w:t>一、供应商须知前附表</w:t>
      </w:r>
      <w:bookmarkEnd w:id="24"/>
      <w:bookmarkEnd w:id="25"/>
      <w:bookmarkEnd w:id="26"/>
      <w:bookmarkEnd w:id="27"/>
      <w:bookmarkEnd w:id="28"/>
      <w:bookmarkEnd w:id="29"/>
      <w:bookmarkEnd w:id="30"/>
      <w:bookmarkEnd w:id="31"/>
      <w:bookmarkEnd w:id="32"/>
    </w:p>
    <w:p w14:paraId="394994EE">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本须知前附表是对供应商须知正文的具体补充和修改，如有矛盾，以本前附表为准。</w:t>
      </w:r>
    </w:p>
    <w:tbl>
      <w:tblPr>
        <w:tblStyle w:val="41"/>
        <w:tblW w:w="49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0" w:type="dxa"/>
          <w:right w:w="108" w:type="dxa"/>
        </w:tblCellMar>
      </w:tblPr>
      <w:tblGrid>
        <w:gridCol w:w="949"/>
        <w:gridCol w:w="1822"/>
        <w:gridCol w:w="7048"/>
      </w:tblGrid>
      <w:tr w14:paraId="514F3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469" w:hRule="atLeast"/>
          <w:tblHeader/>
          <w:jc w:val="center"/>
        </w:trPr>
        <w:tc>
          <w:tcPr>
            <w:tcW w:w="483" w:type="pct"/>
            <w:noWrap w:val="0"/>
            <w:vAlign w:val="center"/>
          </w:tcPr>
          <w:p w14:paraId="419EBC86">
            <w:pPr>
              <w:adjustRightInd w:val="0"/>
              <w:snapToGrid w:val="0"/>
              <w:spacing w:line="360" w:lineRule="auto"/>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条款号</w:t>
            </w:r>
          </w:p>
        </w:tc>
        <w:tc>
          <w:tcPr>
            <w:tcW w:w="927" w:type="pct"/>
            <w:noWrap w:val="0"/>
            <w:vAlign w:val="center"/>
          </w:tcPr>
          <w:p w14:paraId="53DAEAB2">
            <w:pPr>
              <w:adjustRightInd w:val="0"/>
              <w:snapToGrid w:val="0"/>
              <w:spacing w:line="360" w:lineRule="auto"/>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条款名称</w:t>
            </w:r>
          </w:p>
        </w:tc>
        <w:tc>
          <w:tcPr>
            <w:tcW w:w="3588" w:type="pct"/>
            <w:noWrap w:val="0"/>
            <w:vAlign w:val="center"/>
          </w:tcPr>
          <w:p w14:paraId="0D0075BC">
            <w:pPr>
              <w:tabs>
                <w:tab w:val="left" w:pos="1180"/>
              </w:tabs>
              <w:adjustRightInd w:val="0"/>
              <w:snapToGrid w:val="0"/>
              <w:spacing w:line="360" w:lineRule="auto"/>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编列内容</w:t>
            </w:r>
          </w:p>
        </w:tc>
      </w:tr>
      <w:tr w14:paraId="7B55E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546" w:hRule="atLeast"/>
          <w:jc w:val="center"/>
        </w:trPr>
        <w:tc>
          <w:tcPr>
            <w:tcW w:w="483" w:type="pct"/>
            <w:noWrap w:val="0"/>
            <w:vAlign w:val="center"/>
          </w:tcPr>
          <w:p w14:paraId="48407001">
            <w:pPr>
              <w:adjustRightInd w:val="0"/>
              <w:snapToGrid w:val="0"/>
              <w:spacing w:line="360" w:lineRule="auto"/>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w:t>
            </w:r>
          </w:p>
        </w:tc>
        <w:tc>
          <w:tcPr>
            <w:tcW w:w="927" w:type="pct"/>
            <w:noWrap w:val="0"/>
            <w:vAlign w:val="center"/>
          </w:tcPr>
          <w:p w14:paraId="1C7A2FA3">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采购范围</w:t>
            </w:r>
          </w:p>
        </w:tc>
        <w:tc>
          <w:tcPr>
            <w:tcW w:w="3588" w:type="pct"/>
            <w:noWrap w:val="0"/>
            <w:vAlign w:val="center"/>
          </w:tcPr>
          <w:p w14:paraId="368C5435">
            <w:pPr>
              <w:pStyle w:val="157"/>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仿宋"/>
                <w:color w:val="auto"/>
                <w:highlight w:val="none"/>
              </w:rPr>
              <w:t>详见</w:t>
            </w:r>
            <w:r>
              <w:rPr>
                <w:rFonts w:hint="eastAsia" w:ascii="仿宋" w:hAnsi="仿宋" w:eastAsia="仿宋" w:cs="仿宋"/>
                <w:color w:val="auto"/>
                <w:highlight w:val="none"/>
                <w:u w:val="single"/>
              </w:rPr>
              <w:t>第一章 竞争性磋商公告“一、项目概况与采购范围”</w:t>
            </w:r>
            <w:r>
              <w:rPr>
                <w:rFonts w:hint="eastAsia" w:ascii="仿宋" w:hAnsi="仿宋" w:eastAsia="仿宋" w:cs="仿宋"/>
                <w:color w:val="auto"/>
                <w:highlight w:val="none"/>
              </w:rPr>
              <w:t>。</w:t>
            </w:r>
          </w:p>
        </w:tc>
      </w:tr>
      <w:tr w14:paraId="05B7F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5F5731D3">
            <w:pPr>
              <w:adjustRightInd w:val="0"/>
              <w:snapToGrid w:val="0"/>
              <w:spacing w:line="360" w:lineRule="auto"/>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w:t>
            </w:r>
          </w:p>
        </w:tc>
        <w:tc>
          <w:tcPr>
            <w:tcW w:w="927" w:type="pct"/>
            <w:noWrap w:val="0"/>
            <w:vAlign w:val="center"/>
          </w:tcPr>
          <w:p w14:paraId="0A6F6878">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资格审查方式及供应商应具备的资格条件</w:t>
            </w:r>
          </w:p>
        </w:tc>
        <w:tc>
          <w:tcPr>
            <w:tcW w:w="3588" w:type="pct"/>
            <w:noWrap w:val="0"/>
            <w:vAlign w:val="center"/>
          </w:tcPr>
          <w:p w14:paraId="4070BF0A">
            <w:pPr>
              <w:pStyle w:val="140"/>
              <w:topLinePunct/>
              <w:spacing w:before="62" w:beforeLines="20" w:after="62" w:afterLines="2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□资格预审</w:t>
            </w:r>
          </w:p>
          <w:p w14:paraId="445DDEEC">
            <w:pPr>
              <w:pStyle w:val="157"/>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宋体"/>
                <w:color w:val="auto"/>
                <w:highlight w:val="none"/>
                <w:lang w:eastAsia="zh-CN"/>
              </w:rPr>
              <w:t>☑</w:t>
            </w:r>
            <w:r>
              <w:rPr>
                <w:rFonts w:hint="eastAsia" w:ascii="仿宋" w:hAnsi="仿宋" w:eastAsia="仿宋" w:cs="宋体"/>
                <w:color w:val="auto"/>
                <w:highlight w:val="none"/>
              </w:rPr>
              <w:t>资格后审，</w:t>
            </w:r>
            <w:r>
              <w:rPr>
                <w:rFonts w:hint="eastAsia" w:ascii="仿宋" w:hAnsi="仿宋" w:eastAsia="仿宋" w:cs="仿宋"/>
                <w:color w:val="auto"/>
                <w:highlight w:val="none"/>
              </w:rPr>
              <w:t>详见</w:t>
            </w:r>
            <w:r>
              <w:rPr>
                <w:rFonts w:hint="eastAsia" w:ascii="仿宋" w:hAnsi="仿宋" w:eastAsia="仿宋" w:cs="仿宋"/>
                <w:color w:val="auto"/>
                <w:highlight w:val="none"/>
                <w:u w:val="single"/>
              </w:rPr>
              <w:t>第一章 竞争性磋商公告“二、供应商资格要求”</w:t>
            </w:r>
            <w:r>
              <w:rPr>
                <w:rFonts w:hint="eastAsia" w:ascii="仿宋" w:hAnsi="仿宋" w:eastAsia="仿宋" w:cs="仿宋"/>
                <w:color w:val="auto"/>
                <w:highlight w:val="none"/>
              </w:rPr>
              <w:t>。</w:t>
            </w:r>
          </w:p>
        </w:tc>
      </w:tr>
      <w:tr w14:paraId="2BA0D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6DBC0373">
            <w:pPr>
              <w:adjustRightInd w:val="0"/>
              <w:snapToGrid w:val="0"/>
              <w:spacing w:line="360" w:lineRule="auto"/>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3</w:t>
            </w:r>
          </w:p>
        </w:tc>
        <w:tc>
          <w:tcPr>
            <w:tcW w:w="927" w:type="pct"/>
            <w:noWrap w:val="0"/>
            <w:vAlign w:val="center"/>
          </w:tcPr>
          <w:p w14:paraId="789484F2">
            <w:pPr>
              <w:spacing w:before="62" w:beforeLines="20" w:after="62" w:afterLines="20"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★磋商文件实质性要求的标识</w:t>
            </w:r>
          </w:p>
        </w:tc>
        <w:tc>
          <w:tcPr>
            <w:tcW w:w="3588" w:type="pct"/>
            <w:noWrap w:val="0"/>
            <w:vAlign w:val="center"/>
          </w:tcPr>
          <w:p w14:paraId="4DD9F754">
            <w:pPr>
              <w:pStyle w:val="140"/>
              <w:keepNext w:val="0"/>
              <w:keepLines w:val="0"/>
              <w:pageBreakBefore w:val="0"/>
              <w:widowControl w:val="0"/>
              <w:kinsoku/>
              <w:wordWrap/>
              <w:overflowPunct/>
              <w:topLinePunct/>
              <w:autoSpaceDE/>
              <w:autoSpaceDN/>
              <w:bidi w:val="0"/>
              <w:adjustRightInd/>
              <w:snapToGrid/>
              <w:spacing w:before="62" w:beforeLines="20" w:after="62" w:afterLines="20" w:line="360" w:lineRule="auto"/>
              <w:textAlignment w:val="auto"/>
              <w:rPr>
                <w:rFonts w:hint="eastAsia" w:ascii="仿宋" w:hAnsi="仿宋" w:eastAsia="仿宋" w:cs="Cambria Math"/>
                <w:b/>
                <w:color w:val="auto"/>
                <w:sz w:val="21"/>
                <w:szCs w:val="21"/>
                <w:highlight w:val="none"/>
              </w:rPr>
            </w:pPr>
            <w:r>
              <w:rPr>
                <w:rFonts w:hint="eastAsia" w:ascii="仿宋" w:hAnsi="仿宋" w:eastAsia="仿宋" w:cs="Cambria Math"/>
                <w:color w:val="auto"/>
                <w:sz w:val="21"/>
                <w:szCs w:val="21"/>
                <w:highlight w:val="none"/>
                <w:u w:val="single"/>
              </w:rPr>
              <w:t>磋商文件中标识“★”条款、注明“磋商响应将被否决”、“对其响应做否决处理”</w:t>
            </w:r>
            <w:r>
              <w:rPr>
                <w:rFonts w:hint="eastAsia" w:ascii="仿宋" w:hAnsi="仿宋" w:eastAsia="仿宋" w:cs="宋体"/>
                <w:color w:val="auto"/>
                <w:sz w:val="21"/>
                <w:szCs w:val="21"/>
                <w:highlight w:val="none"/>
                <w:u w:val="single"/>
              </w:rPr>
              <w:t>等</w:t>
            </w:r>
            <w:r>
              <w:rPr>
                <w:rFonts w:hint="eastAsia" w:ascii="仿宋" w:hAnsi="仿宋" w:eastAsia="仿宋" w:cs="Cambria Math"/>
                <w:color w:val="auto"/>
                <w:sz w:val="21"/>
                <w:szCs w:val="21"/>
                <w:highlight w:val="none"/>
                <w:u w:val="single"/>
              </w:rPr>
              <w:t>的条款</w:t>
            </w:r>
            <w:r>
              <w:rPr>
                <w:rFonts w:hint="eastAsia" w:ascii="仿宋" w:hAnsi="仿宋" w:eastAsia="仿宋" w:cs="Cambria Math"/>
                <w:color w:val="auto"/>
                <w:sz w:val="21"/>
                <w:szCs w:val="21"/>
                <w:highlight w:val="none"/>
              </w:rPr>
              <w:t>，均为实质性条款，</w:t>
            </w:r>
            <w:r>
              <w:rPr>
                <w:rFonts w:hint="eastAsia" w:ascii="仿宋" w:hAnsi="仿宋" w:eastAsia="仿宋" w:cs="宋体"/>
                <w:b/>
                <w:color w:val="auto"/>
                <w:sz w:val="21"/>
                <w:szCs w:val="21"/>
                <w:highlight w:val="none"/>
              </w:rPr>
              <w:t>不满足任意一项</w:t>
            </w:r>
            <w:r>
              <w:rPr>
                <w:rFonts w:hint="eastAsia" w:ascii="仿宋" w:hAnsi="仿宋" w:eastAsia="仿宋" w:cs="Cambria Math"/>
                <w:b/>
                <w:color w:val="auto"/>
                <w:sz w:val="21"/>
                <w:szCs w:val="21"/>
                <w:highlight w:val="none"/>
              </w:rPr>
              <w:t>实质性条款的响应将被否决。</w:t>
            </w:r>
          </w:p>
        </w:tc>
      </w:tr>
      <w:tr w14:paraId="78F78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37C44589">
            <w:pPr>
              <w:adjustRightInd w:val="0"/>
              <w:snapToGrid w:val="0"/>
              <w:spacing w:line="360" w:lineRule="auto"/>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4</w:t>
            </w:r>
          </w:p>
        </w:tc>
        <w:tc>
          <w:tcPr>
            <w:tcW w:w="927" w:type="pct"/>
            <w:noWrap w:val="0"/>
            <w:vAlign w:val="center"/>
          </w:tcPr>
          <w:p w14:paraId="065D8878">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供应商提出澄清的截止时间和方式</w:t>
            </w:r>
          </w:p>
        </w:tc>
        <w:tc>
          <w:tcPr>
            <w:tcW w:w="3588" w:type="pct"/>
            <w:noWrap w:val="0"/>
            <w:vAlign w:val="center"/>
          </w:tcPr>
          <w:p w14:paraId="1F65DDEF">
            <w:pPr>
              <w:pStyle w:val="140"/>
              <w:topLinePunct/>
              <w:spacing w:before="62" w:beforeLines="20" w:after="62" w:afterLines="20"/>
              <w:rPr>
                <w:rFonts w:hint="eastAsia" w:ascii="仿宋" w:hAnsi="仿宋" w:eastAsia="仿宋" w:cs="宋体"/>
                <w:color w:val="auto"/>
                <w:sz w:val="21"/>
                <w:szCs w:val="21"/>
                <w:highlight w:val="none"/>
              </w:rPr>
            </w:pPr>
            <w:r>
              <w:rPr>
                <w:rFonts w:hint="eastAsia" w:ascii="仿宋" w:hAnsi="仿宋" w:eastAsia="仿宋" w:cs="宋体"/>
                <w:b/>
                <w:color w:val="auto"/>
                <w:sz w:val="21"/>
                <w:szCs w:val="21"/>
                <w:highlight w:val="none"/>
              </w:rPr>
              <w:t>截止时间：</w:t>
            </w:r>
            <w:r>
              <w:rPr>
                <w:rFonts w:hint="eastAsia" w:ascii="仿宋" w:hAnsi="仿宋" w:eastAsia="仿宋" w:cs="宋体"/>
                <w:b/>
                <w:color w:val="auto"/>
                <w:sz w:val="21"/>
                <w:szCs w:val="21"/>
                <w:highlight w:val="none"/>
                <w:u w:val="single"/>
              </w:rPr>
              <w:t>202</w:t>
            </w:r>
            <w:r>
              <w:rPr>
                <w:rFonts w:hint="eastAsia" w:ascii="仿宋" w:hAnsi="仿宋" w:eastAsia="仿宋" w:cs="宋体"/>
                <w:b/>
                <w:color w:val="auto"/>
                <w:sz w:val="21"/>
                <w:szCs w:val="21"/>
                <w:highlight w:val="none"/>
                <w:u w:val="single"/>
                <w:lang w:val="en-US" w:eastAsia="zh-CN"/>
              </w:rPr>
              <w:t>6</w:t>
            </w:r>
            <w:r>
              <w:rPr>
                <w:rFonts w:hint="eastAsia" w:ascii="仿宋" w:hAnsi="仿宋" w:eastAsia="仿宋" w:cs="宋体"/>
                <w:b/>
                <w:color w:val="auto"/>
                <w:sz w:val="21"/>
                <w:szCs w:val="21"/>
                <w:highlight w:val="none"/>
                <w:u w:val="single"/>
              </w:rPr>
              <w:t>年</w:t>
            </w:r>
            <w:r>
              <w:rPr>
                <w:rFonts w:hint="eastAsia" w:ascii="仿宋" w:hAnsi="仿宋" w:eastAsia="仿宋" w:cs="宋体"/>
                <w:b/>
                <w:color w:val="auto"/>
                <w:sz w:val="21"/>
                <w:szCs w:val="21"/>
                <w:highlight w:val="none"/>
                <w:u w:val="single"/>
                <w:lang w:val="en-US" w:eastAsia="zh-CN"/>
              </w:rPr>
              <w:t>7</w:t>
            </w:r>
            <w:r>
              <w:rPr>
                <w:rFonts w:hint="eastAsia" w:ascii="仿宋" w:hAnsi="仿宋" w:eastAsia="仿宋" w:cs="宋体"/>
                <w:b/>
                <w:color w:val="auto"/>
                <w:sz w:val="21"/>
                <w:szCs w:val="21"/>
                <w:highlight w:val="none"/>
                <w:u w:val="single"/>
              </w:rPr>
              <w:t>月</w:t>
            </w:r>
            <w:r>
              <w:rPr>
                <w:rFonts w:hint="eastAsia" w:ascii="仿宋" w:hAnsi="仿宋" w:eastAsia="仿宋" w:cs="宋体"/>
                <w:b/>
                <w:color w:val="auto"/>
                <w:sz w:val="21"/>
                <w:szCs w:val="21"/>
                <w:highlight w:val="none"/>
                <w:u w:val="single"/>
                <w:lang w:val="en-US" w:eastAsia="zh-CN"/>
              </w:rPr>
              <w:t>12</w:t>
            </w:r>
            <w:r>
              <w:rPr>
                <w:rFonts w:hint="eastAsia" w:ascii="仿宋" w:hAnsi="仿宋" w:eastAsia="仿宋" w:cs="宋体"/>
                <w:b/>
                <w:color w:val="auto"/>
                <w:sz w:val="21"/>
                <w:szCs w:val="21"/>
                <w:highlight w:val="none"/>
                <w:u w:val="single"/>
              </w:rPr>
              <w:t xml:space="preserve">日 </w:t>
            </w:r>
            <w:r>
              <w:rPr>
                <w:rFonts w:hint="eastAsia" w:ascii="仿宋" w:hAnsi="仿宋" w:eastAsia="仿宋" w:cs="宋体"/>
                <w:b/>
                <w:color w:val="auto"/>
                <w:sz w:val="21"/>
                <w:szCs w:val="21"/>
                <w:highlight w:val="none"/>
                <w:u w:val="single"/>
                <w:lang w:val="en-US" w:eastAsia="zh-CN"/>
              </w:rPr>
              <w:t>18</w:t>
            </w:r>
            <w:r>
              <w:rPr>
                <w:rFonts w:hint="eastAsia" w:ascii="仿宋" w:hAnsi="仿宋" w:eastAsia="仿宋" w:cs="宋体"/>
                <w:b/>
                <w:color w:val="auto"/>
                <w:sz w:val="21"/>
                <w:szCs w:val="21"/>
                <w:highlight w:val="none"/>
                <w:u w:val="single"/>
              </w:rPr>
              <w:t xml:space="preserve">时 </w:t>
            </w:r>
            <w:r>
              <w:rPr>
                <w:rFonts w:hint="eastAsia" w:ascii="仿宋" w:hAnsi="仿宋" w:eastAsia="仿宋" w:cs="宋体"/>
                <w:b/>
                <w:color w:val="auto"/>
                <w:sz w:val="21"/>
                <w:szCs w:val="21"/>
                <w:highlight w:val="none"/>
                <w:u w:val="single"/>
                <w:lang w:val="en-US" w:eastAsia="zh-CN"/>
              </w:rPr>
              <w:t>00</w:t>
            </w:r>
            <w:r>
              <w:rPr>
                <w:rFonts w:hint="eastAsia" w:ascii="仿宋" w:hAnsi="仿宋" w:eastAsia="仿宋" w:cs="宋体"/>
                <w:b/>
                <w:color w:val="auto"/>
                <w:sz w:val="21"/>
                <w:szCs w:val="21"/>
                <w:highlight w:val="none"/>
                <w:u w:val="single"/>
              </w:rPr>
              <w:t>分</w:t>
            </w:r>
            <w:r>
              <w:rPr>
                <w:rFonts w:hint="eastAsia" w:ascii="仿宋" w:hAnsi="仿宋" w:eastAsia="仿宋" w:cs="宋体"/>
                <w:b/>
                <w:color w:val="auto"/>
                <w:sz w:val="21"/>
                <w:szCs w:val="21"/>
                <w:highlight w:val="none"/>
              </w:rPr>
              <w:t>（北京时间）。</w:t>
            </w:r>
          </w:p>
          <w:p w14:paraId="673AEB5E">
            <w:pPr>
              <w:keepNext w:val="0"/>
              <w:keepLines w:val="0"/>
              <w:pageBreakBefore w:val="0"/>
              <w:widowControl w:val="0"/>
              <w:suppressLineNumbers w:val="0"/>
              <w:kinsoku/>
              <w:wordWrap/>
              <w:overflowPunct/>
              <w:autoSpaceDE w:val="0"/>
              <w:autoSpaceDN w:val="0"/>
              <w:bidi w:val="0"/>
              <w:adjustRightInd/>
              <w:snapToGrid/>
              <w:spacing w:before="0" w:beforeAutospacing="0" w:after="0" w:afterAutospacing="0" w:line="360" w:lineRule="auto"/>
              <w:ind w:left="0" w:right="0"/>
              <w:textAlignment w:val="auto"/>
              <w:rPr>
                <w:rFonts w:hint="eastAsia" w:ascii="仿宋" w:hAnsi="仿宋" w:eastAsia="仿宋" w:cs="宋体"/>
                <w:b w:val="0"/>
                <w:bCs w:val="0"/>
                <w:color w:val="auto"/>
                <w:sz w:val="21"/>
                <w:szCs w:val="21"/>
                <w:highlight w:val="none"/>
              </w:rPr>
            </w:pPr>
            <w:r>
              <w:rPr>
                <w:rFonts w:hint="eastAsia" w:ascii="仿宋" w:hAnsi="仿宋" w:eastAsia="仿宋" w:cs="宋体"/>
                <w:color w:val="auto"/>
                <w:sz w:val="21"/>
                <w:szCs w:val="21"/>
                <w:highlight w:val="none"/>
              </w:rPr>
              <w:t>提出澄清的方式：书面方式，</w:t>
            </w:r>
            <w:r>
              <w:rPr>
                <w:rFonts w:hint="eastAsia" w:ascii="仿宋" w:hAnsi="仿宋" w:eastAsia="仿宋" w:cs="宋体"/>
                <w:b w:val="0"/>
                <w:bCs w:val="0"/>
                <w:color w:val="auto"/>
                <w:sz w:val="21"/>
                <w:szCs w:val="21"/>
                <w:highlight w:val="none"/>
              </w:rPr>
              <w:t>所有需要澄清的疑问应于</w:t>
            </w:r>
            <w:r>
              <w:rPr>
                <w:rFonts w:hint="eastAsia" w:ascii="仿宋" w:hAnsi="仿宋" w:eastAsia="仿宋" w:cs="宋体"/>
                <w:b w:val="0"/>
                <w:bCs w:val="0"/>
                <w:color w:val="auto"/>
                <w:sz w:val="21"/>
                <w:szCs w:val="21"/>
                <w:highlight w:val="none"/>
                <w:lang w:eastAsia="zh-CN"/>
              </w:rPr>
              <w:t>响应文件</w:t>
            </w:r>
            <w:r>
              <w:rPr>
                <w:rFonts w:hint="eastAsia" w:ascii="仿宋" w:hAnsi="仿宋" w:eastAsia="仿宋" w:cs="宋体"/>
                <w:b w:val="0"/>
                <w:bCs w:val="0"/>
                <w:color w:val="auto"/>
                <w:sz w:val="21"/>
                <w:szCs w:val="21"/>
                <w:highlight w:val="none"/>
              </w:rPr>
              <w:t>递交截止时间的</w:t>
            </w:r>
            <w:r>
              <w:rPr>
                <w:rFonts w:hint="eastAsia" w:ascii="仿宋" w:hAnsi="仿宋" w:eastAsia="仿宋" w:cs="宋体"/>
                <w:b w:val="0"/>
                <w:bCs w:val="0"/>
                <w:color w:val="auto"/>
                <w:sz w:val="21"/>
                <w:szCs w:val="21"/>
                <w:highlight w:val="none"/>
                <w:lang w:val="en-US" w:eastAsia="zh-CN"/>
              </w:rPr>
              <w:t>3</w:t>
            </w:r>
            <w:r>
              <w:rPr>
                <w:rFonts w:hint="eastAsia" w:ascii="仿宋" w:hAnsi="仿宋" w:eastAsia="仿宋" w:cs="宋体"/>
                <w:b w:val="0"/>
                <w:bCs w:val="0"/>
                <w:color w:val="auto"/>
                <w:sz w:val="21"/>
                <w:szCs w:val="21"/>
                <w:highlight w:val="none"/>
              </w:rPr>
              <w:t>日前书面提交于代理公司。</w:t>
            </w:r>
          </w:p>
          <w:p w14:paraId="4E72D108">
            <w:pPr>
              <w:keepNext w:val="0"/>
              <w:keepLines w:val="0"/>
              <w:pageBreakBefore w:val="0"/>
              <w:widowControl w:val="0"/>
              <w:suppressLineNumbers w:val="0"/>
              <w:kinsoku/>
              <w:wordWrap/>
              <w:overflowPunct/>
              <w:autoSpaceDE w:val="0"/>
              <w:autoSpaceDN w:val="0"/>
              <w:bidi w:val="0"/>
              <w:adjustRightInd/>
              <w:snapToGrid/>
              <w:spacing w:before="0" w:beforeAutospacing="0" w:after="0" w:afterAutospacing="0" w:line="360" w:lineRule="auto"/>
              <w:ind w:left="0" w:right="0"/>
              <w:textAlignment w:val="auto"/>
              <w:rPr>
                <w:rFonts w:hint="eastAsia" w:ascii="仿宋" w:hAnsi="仿宋" w:eastAsia="仿宋" w:cs="宋体"/>
                <w:b w:val="0"/>
                <w:bCs w:val="0"/>
                <w:color w:val="auto"/>
                <w:sz w:val="21"/>
                <w:szCs w:val="21"/>
                <w:highlight w:val="none"/>
              </w:rPr>
            </w:pPr>
            <w:r>
              <w:rPr>
                <w:rFonts w:hint="eastAsia" w:ascii="仿宋" w:hAnsi="仿宋" w:eastAsia="仿宋" w:cs="宋体"/>
                <w:b w:val="0"/>
                <w:bCs w:val="0"/>
                <w:color w:val="auto"/>
                <w:sz w:val="21"/>
                <w:szCs w:val="21"/>
                <w:highlight w:val="none"/>
              </w:rPr>
              <w:t>提交疑问的方式：将疑问文件电子版（须为可编辑的WORD文档）与盖章的纸质版扫描件发送至</w:t>
            </w:r>
            <w:r>
              <w:rPr>
                <w:rFonts w:hint="eastAsia" w:ascii="仿宋" w:hAnsi="仿宋" w:eastAsia="仿宋" w:cs="宋体"/>
                <w:b w:val="0"/>
                <w:bCs w:val="0"/>
                <w:color w:val="auto"/>
                <w:sz w:val="21"/>
                <w:szCs w:val="21"/>
                <w:highlight w:val="none"/>
                <w:lang w:eastAsia="zh-CN"/>
              </w:rPr>
              <w:t>77827584@qq.com</w:t>
            </w:r>
            <w:r>
              <w:rPr>
                <w:rFonts w:hint="eastAsia" w:ascii="仿宋" w:hAnsi="仿宋" w:eastAsia="仿宋" w:cs="宋体"/>
                <w:b w:val="0"/>
                <w:bCs w:val="0"/>
                <w:color w:val="auto"/>
                <w:sz w:val="21"/>
                <w:szCs w:val="21"/>
                <w:highlight w:val="none"/>
              </w:rPr>
              <w:t>；如WORD文档内容与盖章的纸质版扫描件内容不一致的，以盖章的纸质版扫描件内容为准。</w:t>
            </w:r>
          </w:p>
          <w:p w14:paraId="76BAD2E9">
            <w:pPr>
              <w:keepNext w:val="0"/>
              <w:keepLines w:val="0"/>
              <w:pageBreakBefore w:val="0"/>
              <w:widowControl w:val="0"/>
              <w:suppressLineNumbers w:val="0"/>
              <w:kinsoku/>
              <w:wordWrap/>
              <w:overflowPunct/>
              <w:autoSpaceDE w:val="0"/>
              <w:autoSpaceDN w:val="0"/>
              <w:bidi w:val="0"/>
              <w:adjustRightInd/>
              <w:snapToGrid/>
              <w:spacing w:before="0" w:beforeAutospacing="0" w:after="0" w:afterAutospacing="0" w:line="360" w:lineRule="auto"/>
              <w:ind w:left="0" w:right="0"/>
              <w:textAlignment w:val="auto"/>
              <w:rPr>
                <w:rFonts w:hint="eastAsia" w:ascii="仿宋" w:hAnsi="仿宋" w:eastAsia="仿宋" w:cs="宋体"/>
                <w:b w:val="0"/>
                <w:bCs w:val="0"/>
                <w:color w:val="auto"/>
                <w:sz w:val="21"/>
                <w:szCs w:val="21"/>
                <w:highlight w:val="none"/>
              </w:rPr>
            </w:pPr>
            <w:r>
              <w:rPr>
                <w:rFonts w:hint="eastAsia" w:ascii="仿宋" w:hAnsi="仿宋" w:eastAsia="仿宋" w:cs="宋体"/>
                <w:b w:val="0"/>
                <w:bCs w:val="0"/>
                <w:color w:val="auto"/>
                <w:sz w:val="21"/>
                <w:szCs w:val="21"/>
                <w:highlight w:val="none"/>
              </w:rPr>
              <w:t>各</w:t>
            </w:r>
            <w:r>
              <w:rPr>
                <w:rFonts w:hint="eastAsia" w:ascii="仿宋" w:hAnsi="仿宋" w:eastAsia="仿宋" w:cs="宋体"/>
                <w:b w:val="0"/>
                <w:bCs w:val="0"/>
                <w:color w:val="auto"/>
                <w:sz w:val="21"/>
                <w:szCs w:val="21"/>
                <w:highlight w:val="none"/>
                <w:lang w:eastAsia="zh-CN"/>
              </w:rPr>
              <w:t>供应商</w:t>
            </w:r>
            <w:r>
              <w:rPr>
                <w:rFonts w:hint="eastAsia" w:ascii="仿宋" w:hAnsi="仿宋" w:eastAsia="仿宋" w:cs="宋体"/>
                <w:b w:val="0"/>
                <w:bCs w:val="0"/>
                <w:color w:val="auto"/>
                <w:sz w:val="21"/>
                <w:szCs w:val="21"/>
                <w:highlight w:val="none"/>
              </w:rPr>
              <w:t>收到澄清回复或</w:t>
            </w:r>
            <w:r>
              <w:rPr>
                <w:rFonts w:hint="eastAsia" w:ascii="仿宋" w:hAnsi="仿宋" w:eastAsia="仿宋" w:cs="宋体"/>
                <w:b w:val="0"/>
                <w:bCs w:val="0"/>
                <w:color w:val="auto"/>
                <w:sz w:val="21"/>
                <w:szCs w:val="21"/>
                <w:highlight w:val="none"/>
                <w:lang w:eastAsia="zh-CN"/>
              </w:rPr>
              <w:t>磋商文件</w:t>
            </w:r>
            <w:r>
              <w:rPr>
                <w:rFonts w:hint="eastAsia" w:ascii="仿宋" w:hAnsi="仿宋" w:eastAsia="仿宋" w:cs="宋体"/>
                <w:b w:val="0"/>
                <w:bCs w:val="0"/>
                <w:color w:val="auto"/>
                <w:sz w:val="21"/>
                <w:szCs w:val="21"/>
                <w:highlight w:val="none"/>
              </w:rPr>
              <w:t>的修改文件后应立即以书面形式确认收到文件。</w:t>
            </w:r>
          </w:p>
          <w:p w14:paraId="358D349C">
            <w:pPr>
              <w:keepNext w:val="0"/>
              <w:keepLines w:val="0"/>
              <w:pageBreakBefore w:val="0"/>
              <w:widowControl w:val="0"/>
              <w:suppressLineNumbers w:val="0"/>
              <w:kinsoku/>
              <w:wordWrap/>
              <w:overflowPunct/>
              <w:autoSpaceDE w:val="0"/>
              <w:autoSpaceDN w:val="0"/>
              <w:bidi w:val="0"/>
              <w:adjustRightInd/>
              <w:snapToGrid/>
              <w:spacing w:before="0" w:beforeAutospacing="0" w:after="0" w:afterAutospacing="0" w:line="360" w:lineRule="auto"/>
              <w:ind w:left="0" w:right="0"/>
              <w:textAlignment w:val="auto"/>
              <w:rPr>
                <w:rFonts w:hint="eastAsia" w:ascii="仿宋" w:hAnsi="仿宋" w:eastAsia="仿宋" w:cs="宋体"/>
                <w:b w:val="0"/>
                <w:bCs w:val="0"/>
                <w:color w:val="auto"/>
                <w:sz w:val="21"/>
                <w:szCs w:val="21"/>
                <w:highlight w:val="none"/>
                <w:lang w:val="en-US" w:eastAsia="zh-CN"/>
              </w:rPr>
            </w:pPr>
            <w:r>
              <w:rPr>
                <w:rFonts w:hint="eastAsia" w:ascii="仿宋" w:hAnsi="仿宋" w:eastAsia="仿宋" w:cs="宋体"/>
                <w:b w:val="0"/>
                <w:bCs w:val="0"/>
                <w:color w:val="auto"/>
                <w:sz w:val="21"/>
                <w:szCs w:val="21"/>
                <w:highlight w:val="none"/>
              </w:rPr>
              <w:t>联系人：</w:t>
            </w:r>
            <w:r>
              <w:rPr>
                <w:rFonts w:hint="eastAsia" w:ascii="仿宋" w:hAnsi="仿宋" w:eastAsia="仿宋" w:cs="宋体"/>
                <w:b w:val="0"/>
                <w:bCs w:val="0"/>
                <w:color w:val="auto"/>
                <w:sz w:val="21"/>
                <w:szCs w:val="21"/>
                <w:highlight w:val="none"/>
                <w:lang w:val="en-US" w:eastAsia="zh-CN"/>
              </w:rPr>
              <w:t>成丽华</w:t>
            </w:r>
          </w:p>
          <w:p w14:paraId="5395EB34">
            <w:pPr>
              <w:keepNext w:val="0"/>
              <w:keepLines w:val="0"/>
              <w:pageBreakBefore w:val="0"/>
              <w:widowControl w:val="0"/>
              <w:suppressLineNumbers w:val="0"/>
              <w:kinsoku/>
              <w:wordWrap/>
              <w:overflowPunct/>
              <w:autoSpaceDE w:val="0"/>
              <w:autoSpaceDN w:val="0"/>
              <w:bidi w:val="0"/>
              <w:adjustRightInd/>
              <w:snapToGrid/>
              <w:spacing w:before="0" w:beforeAutospacing="0" w:after="0" w:afterAutospacing="0" w:line="360" w:lineRule="auto"/>
              <w:ind w:left="0" w:right="0"/>
              <w:textAlignment w:val="auto"/>
              <w:rPr>
                <w:rFonts w:hint="default" w:ascii="仿宋" w:hAnsi="仿宋" w:eastAsia="仿宋" w:cs="宋体"/>
                <w:b w:val="0"/>
                <w:bCs w:val="0"/>
                <w:color w:val="auto"/>
                <w:sz w:val="21"/>
                <w:szCs w:val="21"/>
                <w:highlight w:val="none"/>
                <w:lang w:val="en-US" w:eastAsia="zh-CN"/>
              </w:rPr>
            </w:pPr>
            <w:r>
              <w:rPr>
                <w:rFonts w:hint="eastAsia" w:ascii="仿宋" w:hAnsi="仿宋" w:eastAsia="仿宋" w:cs="宋体"/>
                <w:b w:val="0"/>
                <w:bCs w:val="0"/>
                <w:color w:val="auto"/>
                <w:sz w:val="21"/>
                <w:szCs w:val="21"/>
                <w:highlight w:val="none"/>
              </w:rPr>
              <w:t>联系电话：</w:t>
            </w:r>
            <w:r>
              <w:rPr>
                <w:rFonts w:hint="eastAsia" w:ascii="仿宋" w:hAnsi="仿宋" w:eastAsia="仿宋" w:cs="宋体"/>
                <w:b w:val="0"/>
                <w:bCs w:val="0"/>
                <w:color w:val="auto"/>
                <w:sz w:val="21"/>
                <w:szCs w:val="21"/>
                <w:highlight w:val="none"/>
                <w:lang w:eastAsia="zh-CN"/>
              </w:rPr>
              <w:t>1</w:t>
            </w:r>
            <w:r>
              <w:rPr>
                <w:rFonts w:hint="eastAsia" w:ascii="仿宋" w:hAnsi="仿宋" w:eastAsia="仿宋" w:cs="宋体"/>
                <w:b w:val="0"/>
                <w:bCs w:val="0"/>
                <w:color w:val="auto"/>
                <w:sz w:val="21"/>
                <w:szCs w:val="21"/>
                <w:highlight w:val="none"/>
                <w:lang w:val="en-US" w:eastAsia="zh-CN"/>
              </w:rPr>
              <w:t>7795185421</w:t>
            </w:r>
          </w:p>
          <w:p w14:paraId="4537794A">
            <w:pPr>
              <w:keepNext w:val="0"/>
              <w:keepLines w:val="0"/>
              <w:pageBreakBefore w:val="0"/>
              <w:widowControl w:val="0"/>
              <w:suppressLineNumbers w:val="0"/>
              <w:kinsoku/>
              <w:wordWrap/>
              <w:overflowPunct/>
              <w:autoSpaceDE w:val="0"/>
              <w:autoSpaceDN w:val="0"/>
              <w:bidi w:val="0"/>
              <w:adjustRightInd/>
              <w:snapToGrid/>
              <w:spacing w:before="0" w:beforeAutospacing="0" w:after="0" w:afterAutospacing="0" w:line="360" w:lineRule="auto"/>
              <w:ind w:left="0" w:right="0"/>
              <w:textAlignment w:val="auto"/>
              <w:rPr>
                <w:rFonts w:hint="eastAsia" w:ascii="仿宋" w:hAnsi="仿宋" w:eastAsia="仿宋" w:cs="宋体"/>
                <w:color w:val="auto"/>
                <w:sz w:val="21"/>
                <w:szCs w:val="21"/>
                <w:highlight w:val="none"/>
                <w:lang w:val="en-US" w:eastAsia="zh-CN"/>
              </w:rPr>
            </w:pPr>
            <w:r>
              <w:rPr>
                <w:rFonts w:hint="eastAsia" w:ascii="仿宋" w:hAnsi="仿宋" w:eastAsia="仿宋" w:cs="宋体"/>
                <w:b w:val="0"/>
                <w:bCs w:val="0"/>
                <w:color w:val="auto"/>
                <w:sz w:val="21"/>
                <w:szCs w:val="21"/>
                <w:highlight w:val="none"/>
              </w:rPr>
              <w:t>邮件：</w:t>
            </w:r>
            <w:r>
              <w:rPr>
                <w:rFonts w:hint="eastAsia" w:ascii="仿宋" w:hAnsi="仿宋" w:eastAsia="仿宋" w:cs="宋体"/>
                <w:b w:val="0"/>
                <w:bCs w:val="0"/>
                <w:color w:val="auto"/>
                <w:sz w:val="21"/>
                <w:szCs w:val="21"/>
                <w:highlight w:val="none"/>
                <w:lang w:eastAsia="zh-CN"/>
              </w:rPr>
              <w:t>77827584@qq.com</w:t>
            </w:r>
          </w:p>
        </w:tc>
      </w:tr>
      <w:tr w14:paraId="3078D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506AFBCF">
            <w:pPr>
              <w:adjustRightInd w:val="0"/>
              <w:snapToGrid w:val="0"/>
              <w:spacing w:line="360" w:lineRule="auto"/>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5</w:t>
            </w:r>
          </w:p>
        </w:tc>
        <w:tc>
          <w:tcPr>
            <w:tcW w:w="927" w:type="pct"/>
            <w:noWrap w:val="0"/>
            <w:vAlign w:val="center"/>
          </w:tcPr>
          <w:p w14:paraId="67FDBFA1">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宋体"/>
                <w:color w:val="auto"/>
                <w:szCs w:val="21"/>
                <w:highlight w:val="none"/>
              </w:rPr>
              <w:t>供应商确认收到澄清或修改的截止时间和方式</w:t>
            </w:r>
          </w:p>
        </w:tc>
        <w:tc>
          <w:tcPr>
            <w:tcW w:w="3588" w:type="pct"/>
            <w:noWrap w:val="0"/>
            <w:vAlign w:val="center"/>
          </w:tcPr>
          <w:p w14:paraId="4A669309">
            <w:pPr>
              <w:spacing w:line="360" w:lineRule="auto"/>
              <w:rPr>
                <w:rFonts w:hint="eastAsia" w:ascii="仿宋" w:hAnsi="仿宋" w:eastAsia="仿宋" w:cs="宋体"/>
                <w:b w:val="0"/>
                <w:bCs/>
                <w:color w:val="auto"/>
                <w:szCs w:val="21"/>
                <w:highlight w:val="none"/>
              </w:rPr>
            </w:pPr>
            <w:r>
              <w:rPr>
                <w:rFonts w:hint="eastAsia" w:ascii="仿宋" w:hAnsi="仿宋" w:eastAsia="仿宋" w:cs="宋体"/>
                <w:b/>
                <w:color w:val="auto"/>
                <w:szCs w:val="21"/>
                <w:highlight w:val="none"/>
              </w:rPr>
              <w:t>确认收到澄清或修改的时间：</w:t>
            </w:r>
            <w:r>
              <w:rPr>
                <w:rFonts w:hint="eastAsia" w:ascii="仿宋" w:hAnsi="仿宋" w:eastAsia="仿宋" w:cs="宋体"/>
                <w:b w:val="0"/>
                <w:bCs/>
                <w:color w:val="auto"/>
                <w:szCs w:val="21"/>
                <w:highlight w:val="none"/>
                <w:u w:val="single"/>
              </w:rPr>
              <w:t>收到</w:t>
            </w:r>
            <w:r>
              <w:rPr>
                <w:rFonts w:hint="eastAsia" w:ascii="仿宋" w:hAnsi="仿宋" w:eastAsia="仿宋" w:cs="宋体"/>
                <w:b w:val="0"/>
                <w:bCs/>
                <w:color w:val="auto"/>
                <w:szCs w:val="21"/>
                <w:highlight w:val="none"/>
                <w:u w:val="single"/>
                <w:lang w:val="en-US" w:eastAsia="zh-CN"/>
              </w:rPr>
              <w:t>磋商</w:t>
            </w:r>
            <w:r>
              <w:rPr>
                <w:rFonts w:hint="eastAsia" w:ascii="仿宋" w:hAnsi="仿宋" w:eastAsia="仿宋" w:cs="宋体"/>
                <w:b w:val="0"/>
                <w:bCs/>
                <w:color w:val="auto"/>
                <w:szCs w:val="21"/>
                <w:highlight w:val="none"/>
                <w:u w:val="single"/>
              </w:rPr>
              <w:t>文件澄清或修改通知后</w:t>
            </w:r>
            <w:r>
              <w:rPr>
                <w:rFonts w:hint="eastAsia" w:ascii="仿宋" w:hAnsi="仿宋" w:eastAsia="仿宋" w:cs="宋体"/>
                <w:b w:val="0"/>
                <w:bCs/>
                <w:color w:val="auto"/>
                <w:szCs w:val="21"/>
                <w:highlight w:val="none"/>
                <w:u w:val="single"/>
                <w:lang w:val="en-US" w:eastAsia="zh-CN"/>
              </w:rPr>
              <w:t>10</w:t>
            </w:r>
            <w:r>
              <w:rPr>
                <w:rFonts w:hint="eastAsia" w:ascii="仿宋" w:hAnsi="仿宋" w:eastAsia="仿宋" w:cs="宋体"/>
                <w:b w:val="0"/>
                <w:bCs/>
                <w:color w:val="auto"/>
                <w:szCs w:val="21"/>
                <w:highlight w:val="none"/>
                <w:u w:val="single"/>
              </w:rPr>
              <w:t>个工作日内。</w:t>
            </w:r>
          </w:p>
          <w:p w14:paraId="05DE392C">
            <w:pPr>
              <w:spacing w:line="360" w:lineRule="auto"/>
              <w:rPr>
                <w:rFonts w:hint="eastAsia" w:ascii="仿宋" w:hAnsi="仿宋" w:eastAsia="仿宋" w:cs="宋体"/>
                <w:color w:val="auto"/>
                <w:szCs w:val="21"/>
                <w:highlight w:val="none"/>
              </w:rPr>
            </w:pPr>
            <w:r>
              <w:rPr>
                <w:rFonts w:hint="eastAsia" w:ascii="仿宋" w:hAnsi="仿宋" w:eastAsia="仿宋" w:cs="宋体"/>
                <w:color w:val="auto"/>
                <w:szCs w:val="21"/>
                <w:highlight w:val="none"/>
              </w:rPr>
              <w:t>确认收到澄清或修改文件的方式：</w:t>
            </w:r>
            <w:r>
              <w:rPr>
                <w:rFonts w:hint="eastAsia" w:ascii="仿宋" w:hAnsi="仿宋" w:eastAsia="仿宋" w:cs="宋体"/>
                <w:color w:val="auto"/>
                <w:sz w:val="21"/>
                <w:szCs w:val="21"/>
                <w:highlight w:val="none"/>
                <w:u w:val="single"/>
                <w:lang w:val="en-US" w:eastAsia="zh-CN"/>
              </w:rPr>
              <w:t>邮寄方式。</w:t>
            </w:r>
          </w:p>
        </w:tc>
      </w:tr>
      <w:tr w14:paraId="761EB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37A3AF82">
            <w:pPr>
              <w:adjustRightInd w:val="0"/>
              <w:snapToGrid w:val="0"/>
              <w:spacing w:line="360" w:lineRule="auto"/>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6</w:t>
            </w:r>
          </w:p>
        </w:tc>
        <w:tc>
          <w:tcPr>
            <w:tcW w:w="927" w:type="pct"/>
            <w:shd w:val="clear" w:color="auto" w:fill="auto"/>
            <w:noWrap w:val="0"/>
            <w:vAlign w:val="center"/>
          </w:tcPr>
          <w:p w14:paraId="16464299">
            <w:pPr>
              <w:adjustRightInd w:val="0"/>
              <w:snapToGrid w:val="0"/>
              <w:spacing w:line="360" w:lineRule="auto"/>
              <w:ind w:left="36" w:leftChars="17"/>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响应文件的组成</w:t>
            </w:r>
          </w:p>
        </w:tc>
        <w:tc>
          <w:tcPr>
            <w:tcW w:w="3588" w:type="pct"/>
            <w:shd w:val="clear" w:color="auto" w:fill="auto"/>
            <w:noWrap w:val="0"/>
            <w:vAlign w:val="center"/>
          </w:tcPr>
          <w:p w14:paraId="3BF11DD0">
            <w:pPr>
              <w:pStyle w:val="150"/>
              <w:spacing w:before="62" w:beforeLines="20" w:after="62" w:afterLines="20" w:line="276"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响应文件按照以下架构分成三册并顺序编制：</w:t>
            </w:r>
          </w:p>
          <w:p w14:paraId="7137F215">
            <w:pPr>
              <w:pStyle w:val="157"/>
              <w:spacing w:before="62" w:beforeLines="20" w:after="62" w:afterLines="20" w:line="276" w:lineRule="auto"/>
              <w:rPr>
                <w:rFonts w:hint="eastAsia" w:ascii="仿宋" w:hAnsi="仿宋" w:eastAsia="仿宋" w:cs="仿宋"/>
                <w:b/>
                <w:color w:val="auto"/>
                <w:highlight w:val="none"/>
              </w:rPr>
            </w:pPr>
            <w:r>
              <w:rPr>
                <w:rFonts w:hint="eastAsia" w:ascii="仿宋" w:hAnsi="仿宋" w:eastAsia="仿宋" w:cs="仿宋"/>
                <w:b/>
                <w:color w:val="auto"/>
                <w:highlight w:val="none"/>
              </w:rPr>
              <w:t>一、商务文件</w:t>
            </w:r>
          </w:p>
          <w:p w14:paraId="6C36CB2E">
            <w:pPr>
              <w:autoSpaceDE w:val="0"/>
              <w:autoSpaceDN w:val="0"/>
              <w:spacing w:line="276"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初步评审索引表</w:t>
            </w:r>
          </w:p>
          <w:p w14:paraId="13BE1750">
            <w:pPr>
              <w:autoSpaceDE w:val="0"/>
              <w:autoSpaceDN w:val="0"/>
              <w:spacing w:line="276" w:lineRule="auto"/>
              <w:rPr>
                <w:color w:val="auto"/>
                <w:highlight w:val="none"/>
              </w:rPr>
            </w:pPr>
            <w:r>
              <w:rPr>
                <w:rFonts w:hint="eastAsia" w:ascii="仿宋" w:hAnsi="仿宋" w:eastAsia="仿宋" w:cs="仿宋"/>
                <w:b/>
                <w:color w:val="auto"/>
                <w:szCs w:val="21"/>
                <w:highlight w:val="none"/>
              </w:rPr>
              <w:t>详细评审索引表</w:t>
            </w:r>
          </w:p>
          <w:p w14:paraId="45603C66">
            <w:pPr>
              <w:pStyle w:val="157"/>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（一）响应函</w:t>
            </w:r>
          </w:p>
          <w:p w14:paraId="5B0036C4">
            <w:pPr>
              <w:pStyle w:val="150"/>
              <w:spacing w:before="62" w:beforeLines="20" w:after="62" w:afterLines="2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（二）法定代表人（负责人）身份证明</w:t>
            </w:r>
          </w:p>
          <w:p w14:paraId="1F9C39EC">
            <w:pPr>
              <w:pStyle w:val="150"/>
              <w:spacing w:before="62" w:beforeLines="20" w:after="62" w:afterLines="2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（三）法定代表人（负责人）授权委托书</w:t>
            </w:r>
          </w:p>
          <w:p w14:paraId="0A2E9506">
            <w:pPr>
              <w:pStyle w:val="157"/>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（四）资格证明文件</w:t>
            </w:r>
          </w:p>
          <w:p w14:paraId="709AE020">
            <w:pPr>
              <w:pStyle w:val="150"/>
              <w:spacing w:before="62" w:beforeLines="20" w:after="62" w:afterLines="20"/>
              <w:rPr>
                <w:rFonts w:hint="eastAsia" w:ascii="仿宋" w:hAnsi="仿宋" w:eastAsia="仿宋" w:cs="仿宋"/>
                <w:color w:val="auto"/>
                <w:highlight w:val="none"/>
              </w:rPr>
            </w:pPr>
            <w:r>
              <w:rPr>
                <w:rFonts w:hint="eastAsia" w:ascii="仿宋" w:hAnsi="仿宋" w:eastAsia="仿宋" w:cs="宋体"/>
                <w:color w:val="auto"/>
                <w:sz w:val="21"/>
                <w:szCs w:val="21"/>
                <w:highlight w:val="none"/>
              </w:rPr>
              <w:t>（五）供应商须知应答偏离表</w:t>
            </w:r>
          </w:p>
          <w:p w14:paraId="7C353780">
            <w:pPr>
              <w:pStyle w:val="157"/>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（六）合同条款应答偏离表</w:t>
            </w:r>
          </w:p>
          <w:p w14:paraId="112AFE9D">
            <w:pPr>
              <w:pStyle w:val="157"/>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（七）供应商行为准则承诺书</w:t>
            </w:r>
          </w:p>
          <w:p w14:paraId="035A1AD2">
            <w:pPr>
              <w:pStyle w:val="157"/>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宋体"/>
                <w:color w:val="auto"/>
                <w:highlight w:val="none"/>
              </w:rPr>
              <w:t>（八）供应商廉洁诚信承诺书</w:t>
            </w:r>
          </w:p>
          <w:p w14:paraId="2CFE57D4">
            <w:pPr>
              <w:pStyle w:val="157"/>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（九）其他材料</w:t>
            </w:r>
            <w:r>
              <w:rPr>
                <w:rFonts w:hint="eastAsia" w:ascii="仿宋" w:hAnsi="仿宋" w:eastAsia="仿宋" w:cs="宋体"/>
                <w:color w:val="auto"/>
                <w:sz w:val="21"/>
                <w:szCs w:val="21"/>
                <w:highlight w:val="none"/>
              </w:rPr>
              <w:t>（如有）</w:t>
            </w:r>
          </w:p>
          <w:p w14:paraId="3779E9FC">
            <w:pPr>
              <w:autoSpaceDE w:val="0"/>
              <w:autoSpaceDN w:val="0"/>
              <w:spacing w:line="276"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二、技术文件</w:t>
            </w:r>
          </w:p>
          <w:p w14:paraId="557AC8E1">
            <w:pPr>
              <w:autoSpaceDE w:val="0"/>
              <w:autoSpaceDN w:val="0"/>
              <w:spacing w:line="276" w:lineRule="auto"/>
              <w:rPr>
                <w:rFonts w:ascii="仿宋" w:hAnsi="仿宋" w:eastAsia="仿宋" w:cs="仿宋"/>
                <w:b/>
                <w:color w:val="auto"/>
                <w:szCs w:val="21"/>
                <w:highlight w:val="none"/>
              </w:rPr>
            </w:pPr>
            <w:r>
              <w:rPr>
                <w:rFonts w:hint="eastAsia" w:ascii="仿宋" w:hAnsi="仿宋" w:eastAsia="仿宋" w:cs="仿宋"/>
                <w:b/>
                <w:color w:val="auto"/>
                <w:szCs w:val="21"/>
                <w:highlight w:val="none"/>
              </w:rPr>
              <w:t>详细评审索引表</w:t>
            </w:r>
          </w:p>
          <w:p w14:paraId="2A605635">
            <w:pPr>
              <w:autoSpaceDE w:val="0"/>
              <w:autoSpaceDN w:val="0"/>
              <w:spacing w:line="276" w:lineRule="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（一）采购需求应答偏离表</w:t>
            </w:r>
          </w:p>
          <w:p w14:paraId="7957CE06">
            <w:pPr>
              <w:pStyle w:val="157"/>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（二）技术方案</w:t>
            </w:r>
          </w:p>
          <w:p w14:paraId="63919030">
            <w:pPr>
              <w:pStyle w:val="157"/>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（三）其他材料</w:t>
            </w:r>
            <w:r>
              <w:rPr>
                <w:rFonts w:hint="eastAsia" w:ascii="仿宋" w:hAnsi="仿宋" w:eastAsia="仿宋" w:cs="宋体"/>
                <w:color w:val="auto"/>
                <w:sz w:val="21"/>
                <w:szCs w:val="21"/>
                <w:highlight w:val="none"/>
              </w:rPr>
              <w:t>（如有）</w:t>
            </w:r>
          </w:p>
          <w:p w14:paraId="5202A44A">
            <w:pPr>
              <w:autoSpaceDE w:val="0"/>
              <w:autoSpaceDN w:val="0"/>
              <w:spacing w:line="276"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三、报价文件</w:t>
            </w:r>
          </w:p>
          <w:p w14:paraId="6E948894">
            <w:pPr>
              <w:pStyle w:val="157"/>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（一）报价一览表</w:t>
            </w:r>
          </w:p>
          <w:p w14:paraId="7B063D31">
            <w:pPr>
              <w:pStyle w:val="157"/>
              <w:spacing w:before="62" w:beforeLines="20" w:after="62" w:afterLines="20" w:line="276" w:lineRule="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highlight w:val="none"/>
              </w:rPr>
              <w:t>（二）分项报价表</w:t>
            </w:r>
            <w:r>
              <w:rPr>
                <w:rFonts w:hint="eastAsia" w:ascii="仿宋" w:hAnsi="仿宋" w:eastAsia="仿宋" w:cs="宋体"/>
                <w:color w:val="auto"/>
                <w:sz w:val="21"/>
                <w:szCs w:val="21"/>
                <w:highlight w:val="none"/>
              </w:rPr>
              <w:t>（如有）</w:t>
            </w:r>
          </w:p>
        </w:tc>
      </w:tr>
      <w:tr w14:paraId="3F2DD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78F1FE28">
            <w:pPr>
              <w:adjustRightInd w:val="0"/>
              <w:snapToGrid w:val="0"/>
              <w:spacing w:line="360" w:lineRule="auto"/>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7</w:t>
            </w:r>
          </w:p>
        </w:tc>
        <w:tc>
          <w:tcPr>
            <w:tcW w:w="927" w:type="pct"/>
            <w:shd w:val="clear" w:color="auto" w:fill="auto"/>
            <w:noWrap w:val="0"/>
            <w:vAlign w:val="center"/>
          </w:tcPr>
          <w:p w14:paraId="41973348">
            <w:pPr>
              <w:adjustRightInd w:val="0"/>
              <w:snapToGrid w:val="0"/>
              <w:spacing w:line="360" w:lineRule="auto"/>
              <w:ind w:left="36" w:leftChars="17"/>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响应文件的递交</w:t>
            </w:r>
          </w:p>
        </w:tc>
        <w:tc>
          <w:tcPr>
            <w:tcW w:w="3588" w:type="pct"/>
            <w:shd w:val="clear" w:color="auto" w:fill="auto"/>
            <w:noWrap w:val="0"/>
            <w:vAlign w:val="center"/>
          </w:tcPr>
          <w:p w14:paraId="2655C630">
            <w:pPr>
              <w:autoSpaceDE w:val="0"/>
              <w:autoSpaceDN w:val="0"/>
              <w:spacing w:line="360" w:lineRule="auto"/>
              <w:rPr>
                <w:rFonts w:hint="eastAsia" w:ascii="仿宋" w:hAnsi="仿宋" w:eastAsia="仿宋" w:cs="宋体"/>
                <w:bCs/>
                <w:color w:val="auto"/>
                <w:kern w:val="2"/>
                <w:sz w:val="21"/>
                <w:szCs w:val="21"/>
                <w:highlight w:val="none"/>
                <w:lang w:val="en-US" w:eastAsia="zh-CN" w:bidi="ar-SA"/>
              </w:rPr>
            </w:pPr>
            <w:r>
              <w:rPr>
                <w:rFonts w:hint="eastAsia" w:ascii="仿宋" w:hAnsi="仿宋" w:eastAsia="仿宋" w:cs="仿宋"/>
                <w:color w:val="auto"/>
                <w:highlight w:val="none"/>
              </w:rPr>
              <w:t>详见</w:t>
            </w:r>
            <w:r>
              <w:rPr>
                <w:rFonts w:hint="eastAsia" w:ascii="仿宋" w:hAnsi="仿宋" w:eastAsia="仿宋" w:cs="仿宋"/>
                <w:color w:val="auto"/>
                <w:highlight w:val="none"/>
                <w:u w:val="single"/>
              </w:rPr>
              <w:t>第一章 竞争性磋商公告</w:t>
            </w:r>
          </w:p>
        </w:tc>
      </w:tr>
      <w:tr w14:paraId="632B8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2A076BDB">
            <w:pPr>
              <w:adjustRightInd w:val="0"/>
              <w:snapToGrid w:val="0"/>
              <w:spacing w:line="360" w:lineRule="auto"/>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8</w:t>
            </w:r>
          </w:p>
        </w:tc>
        <w:tc>
          <w:tcPr>
            <w:tcW w:w="927" w:type="pct"/>
            <w:shd w:val="clear" w:color="auto" w:fill="auto"/>
            <w:noWrap w:val="0"/>
            <w:vAlign w:val="center"/>
          </w:tcPr>
          <w:p w14:paraId="78C20C8F">
            <w:pPr>
              <w:adjustRightInd w:val="0"/>
              <w:snapToGrid w:val="0"/>
              <w:spacing w:line="360" w:lineRule="auto"/>
              <w:ind w:left="36" w:leftChars="17"/>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Cambria Math"/>
                <w:color w:val="auto"/>
                <w:szCs w:val="21"/>
                <w:highlight w:val="none"/>
              </w:rPr>
              <w:t>★</w:t>
            </w:r>
            <w:r>
              <w:rPr>
                <w:rFonts w:hint="eastAsia" w:ascii="仿宋" w:hAnsi="仿宋" w:eastAsia="仿宋" w:cs="宋体"/>
                <w:color w:val="auto"/>
                <w:szCs w:val="21"/>
                <w:highlight w:val="none"/>
              </w:rPr>
              <w:t>响应文件的盖章或签字要求</w:t>
            </w:r>
          </w:p>
        </w:tc>
        <w:tc>
          <w:tcPr>
            <w:tcW w:w="3588" w:type="pct"/>
            <w:shd w:val="clear" w:color="auto" w:fill="auto"/>
            <w:noWrap w:val="0"/>
            <w:vAlign w:val="center"/>
          </w:tcPr>
          <w:p w14:paraId="0BF779D8">
            <w:pPr>
              <w:pStyle w:val="140"/>
              <w:topLinePunct/>
              <w:spacing w:before="62" w:beforeLines="20" w:after="62" w:afterLines="20" w:line="360" w:lineRule="auto"/>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（1）《法定代表人（负责人）身份证明》的落款处应加盖公章。</w:t>
            </w:r>
          </w:p>
          <w:p w14:paraId="50669DAF">
            <w:pPr>
              <w:pStyle w:val="140"/>
              <w:topLinePunct/>
              <w:spacing w:before="62" w:beforeLines="20" w:after="62" w:afterLines="20" w:line="360" w:lineRule="auto"/>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（2）《法定代表人（负责人）授权委托书》的落款处应加盖公章</w:t>
            </w:r>
            <w:r>
              <w:rPr>
                <w:rFonts w:hint="eastAsia" w:ascii="仿宋" w:hAnsi="仿宋" w:eastAsia="仿宋" w:cs="宋体"/>
                <w:b/>
                <w:color w:val="auto"/>
                <w:sz w:val="21"/>
                <w:szCs w:val="21"/>
                <w:highlight w:val="none"/>
              </w:rPr>
              <w:t>并由</w:t>
            </w:r>
            <w:r>
              <w:rPr>
                <w:rFonts w:hint="eastAsia" w:ascii="仿宋" w:hAnsi="仿宋" w:eastAsia="仿宋" w:cs="宋体"/>
                <w:color w:val="auto"/>
                <w:sz w:val="21"/>
                <w:szCs w:val="21"/>
                <w:highlight w:val="none"/>
              </w:rPr>
              <w:t>法定代表人（负责人）</w:t>
            </w:r>
            <w:r>
              <w:rPr>
                <w:rFonts w:hint="eastAsia" w:ascii="仿宋" w:hAnsi="仿宋" w:eastAsia="仿宋" w:cs="宋体"/>
                <w:b/>
                <w:color w:val="auto"/>
                <w:sz w:val="21"/>
                <w:szCs w:val="21"/>
                <w:highlight w:val="none"/>
              </w:rPr>
              <w:t>和</w:t>
            </w:r>
            <w:r>
              <w:rPr>
                <w:rFonts w:hint="eastAsia" w:ascii="仿宋" w:hAnsi="仿宋" w:eastAsia="仿宋" w:cs="宋体"/>
                <w:color w:val="auto"/>
                <w:sz w:val="21"/>
                <w:szCs w:val="21"/>
                <w:highlight w:val="none"/>
              </w:rPr>
              <w:t>其委托代理人</w:t>
            </w:r>
            <w:r>
              <w:rPr>
                <w:rFonts w:hint="eastAsia" w:ascii="仿宋" w:hAnsi="仿宋" w:eastAsia="仿宋" w:cs="宋体"/>
                <w:b/>
                <w:color w:val="auto"/>
                <w:sz w:val="21"/>
                <w:szCs w:val="21"/>
                <w:highlight w:val="none"/>
              </w:rPr>
              <w:t>双方</w:t>
            </w:r>
            <w:r>
              <w:rPr>
                <w:rFonts w:hint="eastAsia" w:ascii="仿宋" w:hAnsi="仿宋" w:eastAsia="仿宋" w:cs="宋体"/>
                <w:color w:val="auto"/>
                <w:sz w:val="21"/>
                <w:szCs w:val="21"/>
                <w:highlight w:val="none"/>
              </w:rPr>
              <w:t>签字。</w:t>
            </w:r>
          </w:p>
          <w:p w14:paraId="29462C06">
            <w:pPr>
              <w:pStyle w:val="140"/>
              <w:topLinePunct/>
              <w:spacing w:before="62" w:beforeLines="20" w:after="62" w:afterLines="20" w:line="360" w:lineRule="auto"/>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（3）响应文件格式中其他有落款的文件，</w:t>
            </w:r>
            <w:r>
              <w:rPr>
                <w:rFonts w:hint="eastAsia" w:ascii="仿宋" w:hAnsi="仿宋" w:eastAsia="仿宋" w:cs="宋体"/>
                <w:b/>
                <w:color w:val="auto"/>
                <w:sz w:val="21"/>
                <w:szCs w:val="21"/>
                <w:highlight w:val="none"/>
              </w:rPr>
              <w:t>均需</w:t>
            </w:r>
            <w:r>
              <w:rPr>
                <w:rFonts w:hint="eastAsia" w:ascii="仿宋" w:hAnsi="仿宋" w:eastAsia="仿宋" w:cs="宋体"/>
                <w:color w:val="auto"/>
                <w:sz w:val="21"/>
                <w:szCs w:val="21"/>
                <w:highlight w:val="none"/>
              </w:rPr>
              <w:t>加盖公章。</w:t>
            </w:r>
          </w:p>
          <w:p w14:paraId="3A5E947E">
            <w:pPr>
              <w:pStyle w:val="140"/>
              <w:topLinePunct/>
              <w:spacing w:before="62" w:beforeLines="20" w:after="62" w:afterLines="20" w:line="360" w:lineRule="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宋体"/>
                <w:color w:val="auto"/>
                <w:sz w:val="21"/>
                <w:szCs w:val="21"/>
                <w:highlight w:val="none"/>
              </w:rPr>
              <w:t>（4）响应文件的所有签字处均指手写签字</w:t>
            </w:r>
            <w:r>
              <w:rPr>
                <w:rFonts w:hint="eastAsia" w:ascii="仿宋" w:hAnsi="仿宋" w:eastAsia="仿宋" w:cs="宋体"/>
                <w:b/>
                <w:color w:val="auto"/>
                <w:sz w:val="21"/>
                <w:szCs w:val="21"/>
                <w:highlight w:val="none"/>
              </w:rPr>
              <w:t>或</w:t>
            </w:r>
            <w:r>
              <w:rPr>
                <w:rFonts w:hint="eastAsia" w:ascii="仿宋" w:hAnsi="仿宋" w:eastAsia="仿宋" w:cs="宋体"/>
                <w:color w:val="auto"/>
                <w:sz w:val="21"/>
                <w:szCs w:val="21"/>
                <w:highlight w:val="none"/>
              </w:rPr>
              <w:t>签名章，</w:t>
            </w:r>
            <w:r>
              <w:rPr>
                <w:rFonts w:hint="eastAsia" w:ascii="仿宋" w:hAnsi="仿宋" w:eastAsia="仿宋" w:cs="宋体"/>
                <w:b/>
                <w:color w:val="auto"/>
                <w:sz w:val="21"/>
                <w:szCs w:val="21"/>
                <w:highlight w:val="none"/>
              </w:rPr>
              <w:t>不得</w:t>
            </w:r>
            <w:r>
              <w:rPr>
                <w:rFonts w:hint="eastAsia" w:ascii="仿宋" w:hAnsi="仿宋" w:eastAsia="仿宋" w:cs="宋体"/>
                <w:color w:val="auto"/>
                <w:sz w:val="21"/>
                <w:szCs w:val="21"/>
                <w:highlight w:val="none"/>
              </w:rPr>
              <w:t>以打印体代替。</w:t>
            </w:r>
          </w:p>
        </w:tc>
      </w:tr>
      <w:tr w14:paraId="71092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05A355BA">
            <w:pPr>
              <w:adjustRightInd w:val="0"/>
              <w:snapToGrid w:val="0"/>
              <w:spacing w:line="360" w:lineRule="auto"/>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9</w:t>
            </w:r>
          </w:p>
        </w:tc>
        <w:tc>
          <w:tcPr>
            <w:tcW w:w="927" w:type="pct"/>
            <w:shd w:val="clear" w:color="auto" w:fill="auto"/>
            <w:noWrap w:val="0"/>
            <w:vAlign w:val="center"/>
          </w:tcPr>
          <w:p w14:paraId="60C100B7">
            <w:pPr>
              <w:adjustRightInd w:val="0"/>
              <w:snapToGrid w:val="0"/>
              <w:spacing w:line="360" w:lineRule="auto"/>
              <w:ind w:left="36" w:leftChars="17"/>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磋商响应报价</w:t>
            </w:r>
          </w:p>
        </w:tc>
        <w:tc>
          <w:tcPr>
            <w:tcW w:w="3588" w:type="pct"/>
            <w:shd w:val="clear" w:color="auto" w:fill="auto"/>
            <w:noWrap w:val="0"/>
            <w:vAlign w:val="center"/>
          </w:tcPr>
          <w:p w14:paraId="2202E24D">
            <w:pPr>
              <w:pStyle w:val="157"/>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仿宋"/>
                <w:color w:val="auto"/>
                <w:highlight w:val="none"/>
              </w:rPr>
              <w:t>1）供应商应结合自身实力与经验、市场价格竞争及合同实施风险等因素进行综合考虑进行报价。</w:t>
            </w:r>
          </w:p>
          <w:p w14:paraId="6E33A319">
            <w:pPr>
              <w:pStyle w:val="157"/>
              <w:spacing w:before="62" w:beforeLines="20" w:after="62" w:afterLines="20" w:line="360" w:lineRule="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highlight w:val="none"/>
              </w:rPr>
              <w:t>2）磋商小组将视磋商情况决定是否进行多轮次报价，供应商</w:t>
            </w:r>
            <w:r>
              <w:rPr>
                <w:rFonts w:hint="eastAsia" w:ascii="仿宋" w:hAnsi="仿宋" w:eastAsia="仿宋" w:cs="仿宋"/>
                <w:color w:val="auto"/>
                <w:highlight w:val="none"/>
                <w:u w:val="single"/>
              </w:rPr>
              <w:t>最后一轮磋商提交的报价</w:t>
            </w:r>
            <w:r>
              <w:rPr>
                <w:rFonts w:hint="eastAsia" w:ascii="仿宋" w:hAnsi="仿宋" w:eastAsia="仿宋" w:cs="仿宋"/>
                <w:color w:val="auto"/>
                <w:highlight w:val="none"/>
              </w:rPr>
              <w:t>将作为该供应商的</w:t>
            </w:r>
            <w:r>
              <w:rPr>
                <w:rFonts w:hint="eastAsia" w:ascii="仿宋" w:hAnsi="仿宋" w:eastAsia="仿宋" w:cs="仿宋"/>
                <w:b/>
                <w:bCs/>
                <w:color w:val="auto"/>
                <w:highlight w:val="none"/>
              </w:rPr>
              <w:t>最终报价</w:t>
            </w:r>
            <w:r>
              <w:rPr>
                <w:rFonts w:hint="eastAsia" w:ascii="仿宋" w:hAnsi="仿宋" w:eastAsia="仿宋" w:cs="仿宋"/>
                <w:color w:val="auto"/>
                <w:highlight w:val="none"/>
              </w:rPr>
              <w:t>进行评审。</w:t>
            </w:r>
          </w:p>
        </w:tc>
      </w:tr>
      <w:tr w14:paraId="02604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15F366D5">
            <w:pPr>
              <w:adjustRightInd w:val="0"/>
              <w:snapToGrid w:val="0"/>
              <w:spacing w:line="360" w:lineRule="auto"/>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10</w:t>
            </w:r>
          </w:p>
        </w:tc>
        <w:tc>
          <w:tcPr>
            <w:tcW w:w="927" w:type="pct"/>
            <w:shd w:val="clear" w:color="auto" w:fill="auto"/>
            <w:noWrap w:val="0"/>
            <w:vAlign w:val="center"/>
          </w:tcPr>
          <w:p w14:paraId="420A9589">
            <w:pPr>
              <w:adjustRightInd w:val="0"/>
              <w:snapToGrid w:val="0"/>
              <w:spacing w:line="360" w:lineRule="auto"/>
              <w:ind w:left="36" w:leftChars="17"/>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★磋商响应有效期</w:t>
            </w:r>
          </w:p>
        </w:tc>
        <w:tc>
          <w:tcPr>
            <w:tcW w:w="3588" w:type="pct"/>
            <w:shd w:val="clear" w:color="auto" w:fill="auto"/>
            <w:noWrap w:val="0"/>
            <w:vAlign w:val="center"/>
          </w:tcPr>
          <w:p w14:paraId="079836BC">
            <w:pPr>
              <w:pStyle w:val="157"/>
              <w:spacing w:before="62" w:beforeLines="20" w:after="62" w:afterLines="20" w:line="360" w:lineRule="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宋体"/>
                <w:color w:val="auto"/>
                <w:highlight w:val="none"/>
              </w:rPr>
              <w:t>磋商响应有效期：</w:t>
            </w:r>
            <w:r>
              <w:rPr>
                <w:rFonts w:hint="eastAsia" w:ascii="仿宋" w:hAnsi="仿宋" w:eastAsia="仿宋" w:cs="仿宋"/>
                <w:color w:val="auto"/>
                <w:highlight w:val="none"/>
                <w:u w:val="single"/>
                <w:lang w:val="en-US" w:eastAsia="zh-CN"/>
              </w:rPr>
              <w:t>90</w:t>
            </w:r>
            <w:r>
              <w:rPr>
                <w:rFonts w:hint="eastAsia" w:ascii="仿宋" w:hAnsi="仿宋" w:eastAsia="仿宋" w:cs="仿宋"/>
                <w:color w:val="auto"/>
                <w:highlight w:val="none"/>
                <w:u w:val="single"/>
              </w:rPr>
              <w:t>天。</w:t>
            </w:r>
          </w:p>
        </w:tc>
      </w:tr>
      <w:tr w14:paraId="23233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07B97C84">
            <w:pPr>
              <w:adjustRightInd w:val="0"/>
              <w:snapToGrid w:val="0"/>
              <w:spacing w:line="360" w:lineRule="auto"/>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11</w:t>
            </w:r>
          </w:p>
        </w:tc>
        <w:tc>
          <w:tcPr>
            <w:tcW w:w="927" w:type="pct"/>
            <w:shd w:val="clear" w:color="auto" w:fill="auto"/>
            <w:noWrap w:val="0"/>
            <w:vAlign w:val="center"/>
          </w:tcPr>
          <w:p w14:paraId="3EC15D3F">
            <w:pPr>
              <w:adjustRightInd w:val="0"/>
              <w:snapToGrid w:val="0"/>
              <w:spacing w:line="360" w:lineRule="auto"/>
              <w:ind w:left="36" w:leftChars="17"/>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宋体"/>
                <w:color w:val="auto"/>
                <w:szCs w:val="21"/>
                <w:highlight w:val="none"/>
              </w:rPr>
              <w:t>★磋商保证金</w:t>
            </w:r>
            <w:r>
              <w:rPr>
                <w:rFonts w:hint="eastAsia" w:ascii="仿宋" w:hAnsi="仿宋" w:eastAsia="仿宋" w:cs="宋体"/>
                <w:color w:val="auto"/>
                <w:szCs w:val="21"/>
                <w:highlight w:val="none"/>
                <w:lang w:val="en-US" w:eastAsia="zh-CN"/>
              </w:rPr>
              <w:t>的金额</w:t>
            </w:r>
          </w:p>
        </w:tc>
        <w:tc>
          <w:tcPr>
            <w:tcW w:w="3588" w:type="pct"/>
            <w:shd w:val="clear" w:color="auto" w:fill="auto"/>
            <w:noWrap w:val="0"/>
            <w:vAlign w:val="center"/>
          </w:tcPr>
          <w:p w14:paraId="33D58D21">
            <w:pPr>
              <w:pStyle w:val="157"/>
              <w:spacing w:before="62" w:beforeLines="20" w:after="62" w:afterLines="20" w:line="360" w:lineRule="auto"/>
              <w:rPr>
                <w:rFonts w:hint="eastAsia" w:ascii="仿宋" w:hAnsi="仿宋" w:eastAsia="仿宋" w:cs="仿宋"/>
                <w:color w:val="auto"/>
                <w:kern w:val="0"/>
                <w:sz w:val="21"/>
                <w:szCs w:val="21"/>
                <w:highlight w:val="none"/>
                <w:u w:val="single"/>
                <w:lang w:val="en-US" w:eastAsia="zh-CN" w:bidi="ar-SA"/>
              </w:rPr>
            </w:pPr>
            <w:r>
              <w:rPr>
                <w:rFonts w:hint="eastAsia" w:ascii="仿宋" w:hAnsi="仿宋" w:eastAsia="仿宋" w:cs="仿宋"/>
                <w:color w:val="auto"/>
                <w:highlight w:val="none"/>
              </w:rPr>
              <w:t>磋商保证金金额：</w:t>
            </w:r>
            <w:r>
              <w:rPr>
                <w:rFonts w:hint="eastAsia" w:ascii="仿宋" w:hAnsi="仿宋" w:eastAsia="仿宋" w:cs="仿宋"/>
                <w:color w:val="auto"/>
                <w:highlight w:val="none"/>
                <w:u w:val="single"/>
              </w:rPr>
              <w:t>人民币</w:t>
            </w:r>
            <w:r>
              <w:rPr>
                <w:rFonts w:hint="eastAsia" w:ascii="仿宋" w:hAnsi="仿宋" w:eastAsia="仿宋" w:cs="仿宋"/>
                <w:color w:val="auto"/>
                <w:highlight w:val="none"/>
                <w:u w:val="single"/>
                <w:lang w:val="en-US" w:eastAsia="zh-CN"/>
              </w:rPr>
              <w:t>￥3100.00元（</w:t>
            </w:r>
            <w:r>
              <w:rPr>
                <w:rFonts w:hint="eastAsia" w:ascii="仿宋" w:hAnsi="仿宋" w:eastAsia="仿宋" w:cs="仿宋"/>
                <w:color w:val="auto"/>
                <w:highlight w:val="none"/>
                <w:u w:val="single"/>
              </w:rPr>
              <w:t>人民币</w:t>
            </w:r>
            <w:r>
              <w:rPr>
                <w:rFonts w:hint="eastAsia" w:ascii="仿宋" w:hAnsi="仿宋" w:eastAsia="仿宋" w:cs="仿宋"/>
                <w:color w:val="auto"/>
                <w:highlight w:val="none"/>
                <w:u w:val="single"/>
                <w:lang w:val="en-US" w:eastAsia="zh-CN"/>
              </w:rPr>
              <w:t>叁仟壹佰元整）</w:t>
            </w:r>
          </w:p>
        </w:tc>
      </w:tr>
      <w:tr w14:paraId="23C69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388B75DC">
            <w:pPr>
              <w:adjustRightInd w:val="0"/>
              <w:snapToGrid w:val="0"/>
              <w:spacing w:line="360" w:lineRule="auto"/>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12</w:t>
            </w:r>
          </w:p>
        </w:tc>
        <w:tc>
          <w:tcPr>
            <w:tcW w:w="927" w:type="pct"/>
            <w:shd w:val="clear" w:color="auto" w:fill="auto"/>
            <w:noWrap w:val="0"/>
            <w:vAlign w:val="center"/>
          </w:tcPr>
          <w:p w14:paraId="3218B5E6">
            <w:pPr>
              <w:adjustRightInd w:val="0"/>
              <w:snapToGrid w:val="0"/>
              <w:spacing w:line="360" w:lineRule="auto"/>
              <w:ind w:left="36" w:leftChars="17"/>
              <w:jc w:val="center"/>
              <w:rPr>
                <w:rFonts w:hint="default" w:ascii="仿宋" w:hAnsi="仿宋" w:eastAsia="仿宋" w:cs="仿宋"/>
                <w:color w:val="auto"/>
                <w:kern w:val="2"/>
                <w:sz w:val="21"/>
                <w:szCs w:val="21"/>
                <w:highlight w:val="none"/>
                <w:lang w:val="en-US" w:eastAsia="zh-CN" w:bidi="ar-SA"/>
              </w:rPr>
            </w:pPr>
            <w:r>
              <w:rPr>
                <w:rFonts w:hint="eastAsia" w:ascii="仿宋" w:hAnsi="仿宋" w:eastAsia="仿宋" w:cs="Cambria Math"/>
                <w:color w:val="auto"/>
                <w:szCs w:val="21"/>
                <w:highlight w:val="none"/>
              </w:rPr>
              <w:t>★</w:t>
            </w:r>
            <w:r>
              <w:rPr>
                <w:rFonts w:hint="eastAsia" w:ascii="仿宋" w:hAnsi="仿宋" w:eastAsia="仿宋" w:cs="宋体"/>
                <w:color w:val="auto"/>
                <w:szCs w:val="21"/>
                <w:highlight w:val="none"/>
                <w:lang w:val="en-US" w:eastAsia="zh-CN"/>
              </w:rPr>
              <w:t>磋商</w:t>
            </w:r>
            <w:r>
              <w:rPr>
                <w:rFonts w:hint="eastAsia" w:ascii="仿宋" w:hAnsi="仿宋" w:eastAsia="仿宋" w:cs="宋体"/>
                <w:color w:val="auto"/>
                <w:szCs w:val="21"/>
                <w:highlight w:val="none"/>
              </w:rPr>
              <w:t>保证金</w:t>
            </w:r>
            <w:r>
              <w:rPr>
                <w:rFonts w:hint="eastAsia" w:ascii="仿宋" w:hAnsi="仿宋" w:eastAsia="仿宋" w:cs="宋体"/>
                <w:color w:val="auto"/>
                <w:szCs w:val="21"/>
                <w:highlight w:val="none"/>
                <w:lang w:val="en-US" w:eastAsia="zh-CN"/>
              </w:rPr>
              <w:t>的</w:t>
            </w:r>
            <w:r>
              <w:rPr>
                <w:rFonts w:hint="eastAsia" w:ascii="仿宋" w:hAnsi="仿宋" w:eastAsia="仿宋" w:cs="宋体"/>
                <w:color w:val="auto"/>
                <w:szCs w:val="21"/>
                <w:highlight w:val="none"/>
              </w:rPr>
              <w:t>形式</w:t>
            </w:r>
          </w:p>
        </w:tc>
        <w:tc>
          <w:tcPr>
            <w:tcW w:w="3588" w:type="pct"/>
            <w:shd w:val="clear" w:color="auto" w:fill="auto"/>
            <w:noWrap w:val="0"/>
            <w:vAlign w:val="center"/>
          </w:tcPr>
          <w:p w14:paraId="7CB0D432">
            <w:pPr>
              <w:pStyle w:val="157"/>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磋商</w:t>
            </w:r>
            <w:r>
              <w:rPr>
                <w:rFonts w:hint="eastAsia" w:ascii="仿宋" w:hAnsi="仿宋" w:eastAsia="仿宋" w:cs="仿宋"/>
                <w:color w:val="auto"/>
                <w:highlight w:val="none"/>
              </w:rPr>
              <w:t>保证金的形式：银行电汇/银行转账/在中国注册的银行出具的银行保函/电子保函。</w:t>
            </w:r>
          </w:p>
          <w:p w14:paraId="19402125">
            <w:pPr>
              <w:pStyle w:val="157"/>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仿宋"/>
                <w:color w:val="auto"/>
                <w:highlight w:val="none"/>
              </w:rPr>
              <w:t>（2）缴纳方式：响应保证金形式包括在中国注册的银行出具的银行保函、银行汇款、现金、支票、汇票以及其他在中国注册的机构依法出具的响应保函、保险等，以银行汇款、支票、汇票等形式提交的响应保证金应当从供应商账户转出；以银行汇款等形式提交响应保证金的，响应保证金缴纳至如下账户：</w:t>
            </w:r>
          </w:p>
          <w:p w14:paraId="5A83656B">
            <w:pPr>
              <w:pStyle w:val="157"/>
              <w:spacing w:before="62" w:beforeLines="20" w:after="62" w:afterLines="20" w:line="36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户名：宁夏回族自治区通信产业服务有限公司   </w:t>
            </w:r>
          </w:p>
          <w:p w14:paraId="05CD72D8">
            <w:pPr>
              <w:pStyle w:val="157"/>
              <w:spacing w:before="62" w:beforeLines="20" w:after="62" w:afterLines="20" w:line="36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开户行：交通银行北京市分行营业部   </w:t>
            </w:r>
          </w:p>
          <w:p w14:paraId="39B2C281">
            <w:pPr>
              <w:pStyle w:val="157"/>
              <w:spacing w:before="62" w:beforeLines="20" w:after="62" w:afterLines="20" w:line="36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账号：990204012101004201</w:t>
            </w:r>
          </w:p>
          <w:p w14:paraId="39633911">
            <w:pPr>
              <w:pStyle w:val="157"/>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仿宋"/>
                <w:color w:val="auto"/>
                <w:highlight w:val="none"/>
              </w:rPr>
              <w:t>以银行保函形式提交响应保证金的，保函中应当写明受益人为[采购人]，担保项目为[项目名称]，保函有效期应覆盖响应有效期。</w:t>
            </w:r>
          </w:p>
          <w:p w14:paraId="1D6074DF">
            <w:pPr>
              <w:pStyle w:val="157"/>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仿宋"/>
                <w:color w:val="auto"/>
                <w:highlight w:val="none"/>
              </w:rPr>
              <w:t>保函、保险等原件应作为响应文件在响应截止时间前提交到响应文件递交地点。</w:t>
            </w:r>
          </w:p>
          <w:p w14:paraId="391EEA6D">
            <w:pPr>
              <w:pStyle w:val="157"/>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仿宋"/>
                <w:color w:val="auto"/>
                <w:highlight w:val="none"/>
              </w:rPr>
              <w:t>注：保证金以转账形式缴纳的，须提交一份保证金缴纳底单扫描件，并在底单上注明单位全称、账号、开户行全称等信息，以保证保证金能够顺利退还。供应商所提交的保证金只能以供应商的名称提交，采购人或代理机构不接受第三人（法人或自然人）以供应商的名称提交保证金。采购人或代理机构在退还保证金时将直接退还到申请单位账户上，不与第三人（法人或自然人）发生业务往来。</w:t>
            </w:r>
          </w:p>
          <w:p w14:paraId="5C5F73B7">
            <w:pPr>
              <w:pStyle w:val="157"/>
              <w:spacing w:before="62" w:beforeLines="20" w:after="62" w:afterLines="20" w:line="360" w:lineRule="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highlight w:val="none"/>
              </w:rPr>
              <w:t>（3）未在文件递交截止时间前提交</w:t>
            </w:r>
            <w:r>
              <w:rPr>
                <w:rFonts w:hint="eastAsia" w:ascii="仿宋" w:hAnsi="仿宋" w:eastAsia="仿宋" w:cs="仿宋"/>
                <w:color w:val="auto"/>
                <w:highlight w:val="none"/>
                <w:lang w:val="en-US" w:eastAsia="zh-CN"/>
              </w:rPr>
              <w:t>磋商</w:t>
            </w:r>
            <w:r>
              <w:rPr>
                <w:rFonts w:hint="eastAsia" w:ascii="仿宋" w:hAnsi="仿宋" w:eastAsia="仿宋" w:cs="仿宋"/>
                <w:color w:val="auto"/>
                <w:highlight w:val="none"/>
              </w:rPr>
              <w:t>保证保险的或者提交的</w:t>
            </w:r>
            <w:r>
              <w:rPr>
                <w:rFonts w:hint="eastAsia" w:ascii="仿宋" w:hAnsi="仿宋" w:eastAsia="仿宋" w:cs="仿宋"/>
                <w:color w:val="auto"/>
                <w:highlight w:val="none"/>
                <w:lang w:val="en-US" w:eastAsia="zh-CN"/>
              </w:rPr>
              <w:t>磋商</w:t>
            </w:r>
            <w:r>
              <w:rPr>
                <w:rFonts w:hint="eastAsia" w:ascii="仿宋" w:hAnsi="仿宋" w:eastAsia="仿宋" w:cs="仿宋"/>
                <w:color w:val="auto"/>
                <w:highlight w:val="none"/>
              </w:rPr>
              <w:t>保证保险有瑕疵的，</w:t>
            </w:r>
            <w:r>
              <w:rPr>
                <w:rFonts w:hint="eastAsia" w:ascii="仿宋" w:hAnsi="仿宋" w:eastAsia="仿宋" w:cs="仿宋"/>
                <w:color w:val="auto"/>
                <w:highlight w:val="none"/>
                <w:lang w:val="en-US" w:eastAsia="zh-CN"/>
              </w:rPr>
              <w:t>响应</w:t>
            </w:r>
            <w:r>
              <w:rPr>
                <w:rFonts w:hint="eastAsia" w:ascii="仿宋" w:hAnsi="仿宋" w:eastAsia="仿宋" w:cs="仿宋"/>
                <w:color w:val="auto"/>
                <w:highlight w:val="none"/>
              </w:rPr>
              <w:t>将被否决。</w:t>
            </w:r>
          </w:p>
        </w:tc>
      </w:tr>
      <w:tr w14:paraId="2B5E4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0FB46F46">
            <w:pPr>
              <w:adjustRightInd w:val="0"/>
              <w:snapToGrid w:val="0"/>
              <w:spacing w:line="360" w:lineRule="auto"/>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13</w:t>
            </w:r>
          </w:p>
        </w:tc>
        <w:tc>
          <w:tcPr>
            <w:tcW w:w="927" w:type="pct"/>
            <w:shd w:val="clear" w:color="auto" w:fill="auto"/>
            <w:noWrap w:val="0"/>
            <w:vAlign w:val="center"/>
          </w:tcPr>
          <w:p w14:paraId="15027E60">
            <w:pPr>
              <w:pStyle w:val="157"/>
              <w:spacing w:before="62" w:beforeLines="20" w:after="62" w:afterLines="20" w:line="276" w:lineRule="auto"/>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宋体"/>
                <w:color w:val="auto"/>
                <w:highlight w:val="none"/>
              </w:rPr>
              <w:t>★磋商保证金不予退还情形</w:t>
            </w:r>
          </w:p>
        </w:tc>
        <w:tc>
          <w:tcPr>
            <w:tcW w:w="3588" w:type="pct"/>
            <w:shd w:val="clear" w:color="auto" w:fill="auto"/>
            <w:noWrap w:val="0"/>
            <w:vAlign w:val="center"/>
          </w:tcPr>
          <w:p w14:paraId="1E101076">
            <w:pPr>
              <w:pStyle w:val="17"/>
              <w:spacing w:line="360" w:lineRule="auto"/>
              <w:jc w:val="left"/>
              <w:rPr>
                <w:rFonts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bidi="ar"/>
              </w:rPr>
              <w:t>供应商或成交供应商出现下列行为之一，磋商保证金不予退还：</w:t>
            </w:r>
          </w:p>
          <w:p w14:paraId="3DEBE8DD">
            <w:pPr>
              <w:pStyle w:val="17"/>
              <w:spacing w:line="360" w:lineRule="auto"/>
              <w:jc w:val="left"/>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bidi="ar"/>
              </w:rPr>
              <w:t>（1）供应商在磋商截止后至磋商有效期期满前,要求撤回已递交的响应文件；</w:t>
            </w:r>
          </w:p>
          <w:p w14:paraId="4D4D424F">
            <w:pPr>
              <w:pStyle w:val="17"/>
              <w:spacing w:line="360" w:lineRule="auto"/>
              <w:jc w:val="left"/>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bidi="ar"/>
              </w:rPr>
              <w:t>（2）成交后放弃成交的；</w:t>
            </w:r>
          </w:p>
          <w:p w14:paraId="025038EC">
            <w:pPr>
              <w:pStyle w:val="17"/>
              <w:spacing w:line="360" w:lineRule="auto"/>
              <w:jc w:val="left"/>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bidi="ar"/>
              </w:rPr>
              <w:t>（3）成交后无正当理由不与采购人订立合同的；</w:t>
            </w:r>
          </w:p>
          <w:p w14:paraId="75C60AEE">
            <w:pPr>
              <w:pStyle w:val="17"/>
              <w:spacing w:line="360" w:lineRule="auto"/>
              <w:jc w:val="left"/>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bidi="ar"/>
              </w:rPr>
              <w:t>（4）成交供应商在签订合同时向采购人提出附加条件或要求变更实质性合同条款的；</w:t>
            </w:r>
          </w:p>
          <w:p w14:paraId="049BFC84">
            <w:pPr>
              <w:pStyle w:val="17"/>
              <w:spacing w:line="360" w:lineRule="auto"/>
              <w:jc w:val="left"/>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bidi="ar"/>
              </w:rPr>
              <w:t>（5）成交供应商不按照磋商文件要求提交履约保证金的；</w:t>
            </w:r>
          </w:p>
          <w:p w14:paraId="02BA4834">
            <w:pPr>
              <w:pStyle w:val="157"/>
              <w:spacing w:before="62" w:beforeLines="20" w:after="62" w:afterLines="20" w:line="360" w:lineRule="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highlight w:val="none"/>
                <w:lang w:bidi="ar"/>
              </w:rPr>
              <w:t>（6）供应商有恶意欺诈、弄虚作假、围标串标、哄抬标价、徇私行贿等法律法规中所列违规行为的。</w:t>
            </w:r>
          </w:p>
        </w:tc>
      </w:tr>
      <w:tr w14:paraId="33848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369649A8">
            <w:pPr>
              <w:pStyle w:val="157"/>
              <w:spacing w:before="62" w:beforeLines="20" w:after="62" w:afterLines="20" w:line="276" w:lineRule="auto"/>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14</w:t>
            </w:r>
          </w:p>
        </w:tc>
        <w:tc>
          <w:tcPr>
            <w:tcW w:w="927" w:type="pct"/>
            <w:shd w:val="clear" w:color="auto" w:fill="auto"/>
            <w:noWrap w:val="0"/>
            <w:vAlign w:val="center"/>
          </w:tcPr>
          <w:p w14:paraId="4579ED92">
            <w:pPr>
              <w:adjustRightInd w:val="0"/>
              <w:snapToGrid w:val="0"/>
              <w:spacing w:line="360" w:lineRule="auto"/>
              <w:ind w:left="36" w:leftChars="17"/>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响应文件的份数</w:t>
            </w:r>
          </w:p>
        </w:tc>
        <w:tc>
          <w:tcPr>
            <w:tcW w:w="3588" w:type="pct"/>
            <w:shd w:val="clear" w:color="auto" w:fill="auto"/>
            <w:noWrap w:val="0"/>
            <w:vAlign w:val="center"/>
          </w:tcPr>
          <w:p w14:paraId="662918F5">
            <w:pPr>
              <w:pStyle w:val="15"/>
              <w:rPr>
                <w:rFonts w:hint="eastAsia" w:ascii="仿宋" w:hAnsi="仿宋" w:eastAsia="仿宋" w:cs="宋体"/>
                <w:color w:val="auto"/>
                <w:kern w:val="0"/>
                <w:sz w:val="24"/>
                <w:szCs w:val="20"/>
                <w:highlight w:val="none"/>
                <w:lang w:val="en-US" w:eastAsia="zh-CN" w:bidi="ar-SA"/>
              </w:rPr>
            </w:pPr>
            <w:r>
              <w:rPr>
                <w:rFonts w:hint="eastAsia" w:ascii="仿宋" w:hAnsi="仿宋" w:eastAsia="仿宋" w:cs="宋体"/>
                <w:color w:val="auto"/>
                <w:sz w:val="21"/>
                <w:szCs w:val="21"/>
                <w:highlight w:val="none"/>
              </w:rPr>
              <w:t>电子文件</w:t>
            </w:r>
            <w:r>
              <w:rPr>
                <w:rFonts w:hint="eastAsia" w:ascii="仿宋" w:hAnsi="仿宋" w:eastAsia="仿宋" w:cs="宋体"/>
                <w:color w:val="auto"/>
                <w:sz w:val="21"/>
                <w:szCs w:val="21"/>
                <w:highlight w:val="none"/>
                <w:u w:val="single"/>
              </w:rPr>
              <w:t>1</w:t>
            </w:r>
            <w:r>
              <w:rPr>
                <w:rFonts w:hint="eastAsia" w:ascii="仿宋" w:hAnsi="仿宋" w:eastAsia="仿宋" w:cs="宋体"/>
                <w:color w:val="auto"/>
                <w:sz w:val="21"/>
                <w:szCs w:val="21"/>
                <w:highlight w:val="none"/>
              </w:rPr>
              <w:t>份（采用U盘单独密封</w:t>
            </w:r>
            <w:r>
              <w:rPr>
                <w:rFonts w:hint="eastAsia" w:ascii="仿宋" w:hAnsi="仿宋" w:eastAsia="仿宋" w:cs="宋体"/>
                <w:color w:val="auto"/>
                <w:sz w:val="21"/>
                <w:szCs w:val="21"/>
                <w:highlight w:val="none"/>
                <w:lang w:eastAsia="zh-CN"/>
              </w:rPr>
              <w:t>，</w:t>
            </w:r>
            <w:r>
              <w:rPr>
                <w:rFonts w:hint="eastAsia" w:ascii="仿宋" w:hAnsi="仿宋" w:eastAsia="仿宋" w:cs="宋体"/>
                <w:color w:val="auto"/>
                <w:sz w:val="21"/>
                <w:szCs w:val="21"/>
                <w:highlight w:val="none"/>
              </w:rPr>
              <w:t>含签章的pdf格式）；纸质文件正本</w:t>
            </w:r>
            <w:r>
              <w:rPr>
                <w:rFonts w:hint="eastAsia" w:ascii="仿宋" w:hAnsi="仿宋" w:eastAsia="仿宋" w:cs="宋体"/>
                <w:color w:val="auto"/>
                <w:sz w:val="21"/>
                <w:szCs w:val="21"/>
                <w:highlight w:val="none"/>
                <w:u w:val="single"/>
              </w:rPr>
              <w:t xml:space="preserve"> 1 </w:t>
            </w:r>
            <w:r>
              <w:rPr>
                <w:rFonts w:hint="eastAsia" w:ascii="仿宋" w:hAnsi="仿宋" w:eastAsia="仿宋" w:cs="宋体"/>
                <w:color w:val="auto"/>
                <w:sz w:val="21"/>
                <w:szCs w:val="21"/>
                <w:highlight w:val="none"/>
              </w:rPr>
              <w:t>份，副本</w:t>
            </w:r>
            <w:r>
              <w:rPr>
                <w:rFonts w:hint="default" w:ascii="仿宋" w:hAnsi="仿宋" w:eastAsia="仿宋" w:cs="宋体"/>
                <w:color w:val="auto"/>
                <w:sz w:val="21"/>
                <w:szCs w:val="21"/>
                <w:highlight w:val="none"/>
                <w:u w:val="single"/>
              </w:rPr>
              <w:t xml:space="preserve"> </w:t>
            </w:r>
            <w:r>
              <w:rPr>
                <w:rFonts w:hint="eastAsia" w:ascii="仿宋" w:hAnsi="仿宋" w:eastAsia="仿宋" w:cs="宋体"/>
                <w:color w:val="auto"/>
                <w:sz w:val="21"/>
                <w:szCs w:val="21"/>
                <w:highlight w:val="none"/>
                <w:u w:val="single"/>
                <w:lang w:val="en-US" w:eastAsia="zh-CN"/>
              </w:rPr>
              <w:t>2</w:t>
            </w:r>
            <w:r>
              <w:rPr>
                <w:rFonts w:hint="eastAsia" w:ascii="仿宋" w:hAnsi="仿宋" w:eastAsia="仿宋" w:cs="宋体"/>
                <w:color w:val="auto"/>
                <w:sz w:val="21"/>
                <w:szCs w:val="21"/>
                <w:highlight w:val="none"/>
                <w:u w:val="single"/>
              </w:rPr>
              <w:t xml:space="preserve"> </w:t>
            </w:r>
            <w:r>
              <w:rPr>
                <w:rFonts w:hint="eastAsia" w:ascii="仿宋" w:hAnsi="仿宋" w:eastAsia="仿宋" w:cs="宋体"/>
                <w:color w:val="auto"/>
                <w:sz w:val="21"/>
                <w:szCs w:val="21"/>
                <w:highlight w:val="none"/>
              </w:rPr>
              <w:t>份。</w:t>
            </w:r>
          </w:p>
        </w:tc>
      </w:tr>
      <w:tr w14:paraId="19CD4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42640777">
            <w:pPr>
              <w:pStyle w:val="157"/>
              <w:spacing w:before="62" w:beforeLines="20" w:after="62" w:afterLines="20" w:line="360" w:lineRule="auto"/>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15</w:t>
            </w:r>
          </w:p>
        </w:tc>
        <w:tc>
          <w:tcPr>
            <w:tcW w:w="927" w:type="pct"/>
            <w:shd w:val="clear" w:color="auto" w:fill="auto"/>
            <w:noWrap w:val="0"/>
            <w:vAlign w:val="center"/>
          </w:tcPr>
          <w:p w14:paraId="0A8F0332">
            <w:pPr>
              <w:adjustRightInd w:val="0"/>
              <w:snapToGrid w:val="0"/>
              <w:spacing w:line="360" w:lineRule="auto"/>
              <w:ind w:left="36" w:leftChars="17"/>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宋体"/>
                <w:color w:val="auto"/>
                <w:szCs w:val="21"/>
                <w:highlight w:val="none"/>
              </w:rPr>
              <w:t>纸质</w:t>
            </w:r>
            <w:r>
              <w:rPr>
                <w:rFonts w:hint="eastAsia" w:ascii="仿宋" w:hAnsi="仿宋" w:eastAsia="仿宋" w:cs="仿宋"/>
                <w:color w:val="auto"/>
                <w:szCs w:val="21"/>
                <w:highlight w:val="none"/>
              </w:rPr>
              <w:t>响应文件的装订、密封和标记</w:t>
            </w:r>
          </w:p>
        </w:tc>
        <w:tc>
          <w:tcPr>
            <w:tcW w:w="3588" w:type="pct"/>
            <w:shd w:val="clear" w:color="auto" w:fill="auto"/>
            <w:noWrap w:val="0"/>
            <w:vAlign w:val="center"/>
          </w:tcPr>
          <w:p w14:paraId="6962DD86">
            <w:pPr>
              <w:spacing w:line="360" w:lineRule="auto"/>
              <w:rPr>
                <w:rFonts w:hint="eastAsia" w:ascii="仿宋" w:hAnsi="仿宋" w:eastAsia="仿宋" w:cs="Cambria Math"/>
                <w:color w:val="auto"/>
                <w:szCs w:val="21"/>
                <w:highlight w:val="none"/>
              </w:rPr>
            </w:pPr>
            <w:r>
              <w:rPr>
                <w:rFonts w:hint="eastAsia" w:ascii="仿宋" w:hAnsi="仿宋" w:eastAsia="仿宋" w:cs="Cambria Math"/>
                <w:color w:val="auto"/>
                <w:szCs w:val="21"/>
                <w:highlight w:val="none"/>
              </w:rPr>
              <w:t>（1）采用A4纸胶装，双面打印，商务、技术、报价文件分别装订成册，密封粘接缝隙加盖供应商公章或由法定代表人（负责人）或其委托代理人签字。未按要求密封的</w:t>
            </w:r>
            <w:r>
              <w:rPr>
                <w:rFonts w:hint="eastAsia" w:ascii="仿宋" w:hAnsi="仿宋" w:eastAsia="仿宋" w:cs="Cambria Math"/>
                <w:color w:val="auto"/>
                <w:szCs w:val="21"/>
                <w:highlight w:val="none"/>
                <w:lang w:eastAsia="zh-Hans"/>
              </w:rPr>
              <w:t>纸质</w:t>
            </w:r>
            <w:r>
              <w:rPr>
                <w:rFonts w:hint="eastAsia" w:ascii="仿宋" w:hAnsi="仿宋" w:eastAsia="仿宋" w:cs="Cambria Math"/>
                <w:color w:val="auto"/>
                <w:szCs w:val="21"/>
                <w:highlight w:val="none"/>
              </w:rPr>
              <w:t>响应文件不予接收。</w:t>
            </w:r>
          </w:p>
          <w:p w14:paraId="45078CE0">
            <w:pPr>
              <w:rPr>
                <w:rFonts w:ascii="仿宋" w:hAnsi="仿宋" w:eastAsia="仿宋"/>
                <w:color w:val="auto"/>
                <w:highlight w:val="none"/>
              </w:rPr>
            </w:pPr>
            <w:r>
              <w:rPr>
                <w:rFonts w:hint="eastAsia" w:ascii="仿宋" w:hAnsi="仿宋" w:eastAsia="仿宋" w:cs="Cambria Math"/>
                <w:color w:val="auto"/>
                <w:szCs w:val="21"/>
                <w:highlight w:val="none"/>
              </w:rPr>
              <w:t>（2）外层包封具体样式如下：</w:t>
            </w:r>
          </w:p>
          <w:p w14:paraId="22150C9B">
            <w:pPr>
              <w:pStyle w:val="157"/>
              <w:spacing w:before="62" w:beforeLines="20" w:after="62" w:afterLines="20" w:line="360" w:lineRule="auto"/>
              <w:rPr>
                <w:rFonts w:hint="eastAsia" w:ascii="仿宋" w:hAnsi="仿宋" w:eastAsia="仿宋" w:cs="Cambria Math"/>
                <w:b/>
                <w:color w:val="auto"/>
                <w:kern w:val="0"/>
                <w:sz w:val="21"/>
                <w:szCs w:val="21"/>
                <w:highlight w:val="none"/>
                <w:lang w:val="en-US" w:eastAsia="zh-CN" w:bidi="ar-SA"/>
              </w:rPr>
            </w:pPr>
            <w:r>
              <w:rPr>
                <w:rFonts w:hint="eastAsia" w:ascii="仿宋" w:hAnsi="仿宋" w:eastAsia="仿宋" w:cs="仿宋"/>
                <w:color w:val="auto"/>
                <w:highlight w:val="none"/>
              </w:rPr>
              <mc:AlternateContent>
                <mc:Choice Requires="wps">
                  <w:drawing>
                    <wp:inline distT="0" distB="0" distL="114300" distR="114300">
                      <wp:extent cx="4320540" cy="2775585"/>
                      <wp:effectExtent l="4445" t="4445" r="18415" b="20320"/>
                      <wp:docPr id="12"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1A07E38">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highlight w:val="none"/>
                                    </w:rPr>
                                    <w:t xml:space="preserve"> </w:t>
                                  </w:r>
                                </w:p>
                                <w:p w14:paraId="4967184E">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采购人名称：</w:t>
                                  </w:r>
                                  <w:r>
                                    <w:rPr>
                                      <w:rFonts w:hint="eastAsia" w:ascii="仿宋" w:hAnsi="仿宋" w:eastAsia="仿宋" w:cs="仿宋"/>
                                      <w:kern w:val="0"/>
                                      <w:szCs w:val="21"/>
                                      <w:u w:val="single"/>
                                    </w:rPr>
                                    <w:t xml:space="preserve">                 </w:t>
                                  </w:r>
                                </w:p>
                                <w:p w14:paraId="4921A4B2">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kern w:val="0"/>
                                      <w:szCs w:val="21"/>
                                    </w:rPr>
                                    <w:t>（北京时间）前不得开封</w:t>
                                  </w:r>
                                </w:p>
                                <w:p w14:paraId="0231D1A4">
                                  <w:pPr>
                                    <w:spacing w:line="360" w:lineRule="auto"/>
                                    <w:rPr>
                                      <w:rFonts w:hint="eastAsia"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14:paraId="291DCF9E">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14:paraId="170878B4">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14:paraId="379D491A">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DM1F8EMQIAAIMEAAAOAAAAAAAAAAEAIAAAACUBAABkcnMvZTJvRG9jLnht&#10;bFBLBQYAAAAABgAGAFkBAADIBQAAAAA=&#10;">
                      <v:fill on="t" focussize="0,0"/>
                      <v:stroke color="#000000" joinstyle="miter"/>
                      <v:imagedata o:title=""/>
                      <o:lock v:ext="edit" rotation="t" aspectratio="f"/>
                      <v:textbox style="mso-fit-shape-to-text:t;">
                        <w:txbxContent>
                          <w:p w14:paraId="01A07E38">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highlight w:val="none"/>
                              </w:rPr>
                              <w:t xml:space="preserve"> </w:t>
                            </w:r>
                          </w:p>
                          <w:p w14:paraId="4967184E">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采购人名称：</w:t>
                            </w:r>
                            <w:r>
                              <w:rPr>
                                <w:rFonts w:hint="eastAsia" w:ascii="仿宋" w:hAnsi="仿宋" w:eastAsia="仿宋" w:cs="仿宋"/>
                                <w:kern w:val="0"/>
                                <w:szCs w:val="21"/>
                                <w:u w:val="single"/>
                              </w:rPr>
                              <w:t xml:space="preserve">                 </w:t>
                            </w:r>
                          </w:p>
                          <w:p w14:paraId="4921A4B2">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kern w:val="0"/>
                                <w:szCs w:val="21"/>
                              </w:rPr>
                              <w:t>（北京时间）前不得开封</w:t>
                            </w:r>
                          </w:p>
                          <w:p w14:paraId="0231D1A4">
                            <w:pPr>
                              <w:spacing w:line="360" w:lineRule="auto"/>
                              <w:rPr>
                                <w:rFonts w:hint="eastAsia"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14:paraId="291DCF9E">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14:paraId="170878B4">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14:paraId="379D491A">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v:textbox>
                      <w10:wrap type="none"/>
                      <w10:anchorlock/>
                    </v:shape>
                  </w:pict>
                </mc:Fallback>
              </mc:AlternateContent>
            </w:r>
          </w:p>
        </w:tc>
      </w:tr>
      <w:tr w14:paraId="7FDD5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24DD6EF8">
            <w:pPr>
              <w:adjustRightInd w:val="0"/>
              <w:snapToGrid w:val="0"/>
              <w:spacing w:line="360" w:lineRule="auto"/>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16</w:t>
            </w:r>
          </w:p>
        </w:tc>
        <w:tc>
          <w:tcPr>
            <w:tcW w:w="927" w:type="pct"/>
            <w:shd w:val="clear" w:color="auto" w:fill="auto"/>
            <w:noWrap w:val="0"/>
            <w:vAlign w:val="center"/>
          </w:tcPr>
          <w:p w14:paraId="08B5532A">
            <w:pPr>
              <w:pStyle w:val="157"/>
              <w:spacing w:before="62" w:beforeLines="20" w:after="62" w:afterLines="20" w:line="360" w:lineRule="auto"/>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highlight w:val="none"/>
              </w:rPr>
              <w:t>响应文件的递交</w:t>
            </w:r>
          </w:p>
        </w:tc>
        <w:tc>
          <w:tcPr>
            <w:tcW w:w="3588" w:type="pct"/>
            <w:shd w:val="clear" w:color="auto" w:fill="auto"/>
            <w:noWrap w:val="0"/>
            <w:vAlign w:val="center"/>
          </w:tcPr>
          <w:p w14:paraId="1522C467">
            <w:pPr>
              <w:pStyle w:val="157"/>
              <w:spacing w:before="62" w:beforeLines="20" w:after="62" w:afterLines="20" w:line="360" w:lineRule="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highlight w:val="none"/>
              </w:rPr>
              <w:t>详见</w:t>
            </w:r>
            <w:r>
              <w:rPr>
                <w:rFonts w:hint="eastAsia" w:ascii="仿宋" w:hAnsi="仿宋" w:eastAsia="仿宋" w:cs="仿宋"/>
                <w:color w:val="auto"/>
                <w:highlight w:val="none"/>
                <w:u w:val="single"/>
              </w:rPr>
              <w:t>第一章 竞争性磋商公告“五、响应文件的递交”</w:t>
            </w:r>
            <w:r>
              <w:rPr>
                <w:rFonts w:hint="eastAsia" w:ascii="仿宋" w:hAnsi="仿宋" w:eastAsia="仿宋" w:cs="仿宋"/>
                <w:color w:val="auto"/>
                <w:highlight w:val="none"/>
              </w:rPr>
              <w:t>。</w:t>
            </w:r>
          </w:p>
        </w:tc>
      </w:tr>
      <w:tr w14:paraId="7B5A3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2482FC08">
            <w:pPr>
              <w:adjustRightInd w:val="0"/>
              <w:snapToGrid w:val="0"/>
              <w:spacing w:line="360" w:lineRule="auto"/>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17</w:t>
            </w:r>
          </w:p>
        </w:tc>
        <w:tc>
          <w:tcPr>
            <w:tcW w:w="927" w:type="pct"/>
            <w:shd w:val="clear" w:color="auto" w:fill="auto"/>
            <w:noWrap w:val="0"/>
            <w:vAlign w:val="center"/>
          </w:tcPr>
          <w:p w14:paraId="452126E0">
            <w:pPr>
              <w:adjustRightInd w:val="0"/>
              <w:snapToGrid w:val="0"/>
              <w:spacing w:line="360" w:lineRule="auto"/>
              <w:ind w:left="36" w:leftChars="17"/>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组建磋商小组</w:t>
            </w:r>
          </w:p>
        </w:tc>
        <w:tc>
          <w:tcPr>
            <w:tcW w:w="3588" w:type="pct"/>
            <w:shd w:val="clear" w:color="auto" w:fill="auto"/>
            <w:noWrap w:val="0"/>
            <w:vAlign w:val="center"/>
          </w:tcPr>
          <w:p w14:paraId="11CFF6E3">
            <w:pPr>
              <w:pStyle w:val="157"/>
              <w:spacing w:before="62" w:beforeLines="20" w:after="62" w:afterLines="20" w:line="360" w:lineRule="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highlight w:val="none"/>
              </w:rPr>
              <w:t>本项目磋商小组成员人数为</w:t>
            </w:r>
            <w:r>
              <w:rPr>
                <w:rFonts w:hint="eastAsia" w:ascii="仿宋" w:hAnsi="仿宋" w:eastAsia="仿宋" w:cs="仿宋"/>
                <w:color w:val="auto"/>
                <w:highlight w:val="none"/>
                <w:u w:val="single"/>
                <w:lang w:val="en-US" w:eastAsia="zh-CN"/>
              </w:rPr>
              <w:t>5</w:t>
            </w:r>
            <w:r>
              <w:rPr>
                <w:rFonts w:hint="eastAsia" w:ascii="仿宋" w:hAnsi="仿宋" w:eastAsia="仿宋" w:cs="仿宋"/>
                <w:color w:val="auto"/>
                <w:highlight w:val="none"/>
                <w:u w:val="single"/>
              </w:rPr>
              <w:t>人</w:t>
            </w:r>
          </w:p>
        </w:tc>
      </w:tr>
      <w:tr w14:paraId="6D378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01CBC98F">
            <w:pPr>
              <w:adjustRightInd w:val="0"/>
              <w:snapToGrid w:val="0"/>
              <w:spacing w:line="360" w:lineRule="auto"/>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18</w:t>
            </w:r>
          </w:p>
        </w:tc>
        <w:tc>
          <w:tcPr>
            <w:tcW w:w="927" w:type="pct"/>
            <w:shd w:val="clear" w:color="auto" w:fill="auto"/>
            <w:noWrap w:val="0"/>
            <w:vAlign w:val="center"/>
          </w:tcPr>
          <w:p w14:paraId="6833322B">
            <w:pPr>
              <w:adjustRightInd w:val="0"/>
              <w:snapToGrid w:val="0"/>
              <w:spacing w:line="360" w:lineRule="auto"/>
              <w:ind w:left="36" w:leftChars="17"/>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Cs w:val="21"/>
                <w:highlight w:val="none"/>
              </w:rPr>
              <w:t>磋商程序及方式</w:t>
            </w:r>
          </w:p>
        </w:tc>
        <w:tc>
          <w:tcPr>
            <w:tcW w:w="3588" w:type="pct"/>
            <w:shd w:val="clear" w:color="auto" w:fill="auto"/>
            <w:noWrap w:val="0"/>
            <w:vAlign w:val="center"/>
          </w:tcPr>
          <w:p w14:paraId="54D4780D">
            <w:pPr>
              <w:pStyle w:val="157"/>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仿宋"/>
                <w:color w:val="auto"/>
                <w:highlight w:val="none"/>
              </w:rPr>
              <w:t>（1）磋商小组将与通过初步评审的有效供应商按照</w:t>
            </w:r>
            <w:r>
              <w:rPr>
                <w:rFonts w:hint="eastAsia" w:ascii="仿宋" w:hAnsi="仿宋" w:eastAsia="仿宋" w:cs="仿宋"/>
                <w:color w:val="auto"/>
                <w:highlight w:val="none"/>
                <w:u w:val="single"/>
                <w:lang w:val="en-US" w:eastAsia="zh-CN"/>
              </w:rPr>
              <w:t>响应文件递交顺序</w:t>
            </w:r>
            <w:r>
              <w:rPr>
                <w:rFonts w:hint="eastAsia" w:ascii="仿宋" w:hAnsi="仿宋" w:eastAsia="仿宋" w:cs="仿宋"/>
                <w:color w:val="auto"/>
                <w:highlight w:val="none"/>
              </w:rPr>
              <w:t>逐一进行磋商，供应商至少应派法定代表人或其授权委托人准时参会。</w:t>
            </w:r>
          </w:p>
          <w:p w14:paraId="2D960E0C">
            <w:pPr>
              <w:pStyle w:val="157"/>
              <w:spacing w:before="62" w:beforeLines="20" w:after="62" w:afterLines="20" w:line="360" w:lineRule="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highlight w:val="none"/>
              </w:rPr>
              <w:t>（2）磋商小组有权要求供应商对响应文件中含义不明确、同类问题表述不一致或者有明显文字和计算错误的内容等进行澄清、说明或更正。第一轮磋商结束后，供应商提交第一轮报价及磋商小组要求提供的其他文件，磋商小组将视具体情况决定是否进行多轮磋商及报价。最后一轮磋商结束后，供应商提交最终报价并签署相关承诺性文件。</w:t>
            </w:r>
          </w:p>
        </w:tc>
      </w:tr>
      <w:tr w14:paraId="5BF1F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14127FFE">
            <w:pPr>
              <w:adjustRightInd w:val="0"/>
              <w:snapToGrid w:val="0"/>
              <w:spacing w:line="360" w:lineRule="auto"/>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19</w:t>
            </w:r>
          </w:p>
        </w:tc>
        <w:tc>
          <w:tcPr>
            <w:tcW w:w="927" w:type="pct"/>
            <w:shd w:val="clear" w:color="auto" w:fill="auto"/>
            <w:noWrap w:val="0"/>
            <w:vAlign w:val="center"/>
          </w:tcPr>
          <w:p w14:paraId="2E70BCBE">
            <w:pPr>
              <w:adjustRightInd w:val="0"/>
              <w:snapToGrid w:val="0"/>
              <w:spacing w:line="360" w:lineRule="auto"/>
              <w:ind w:left="36" w:leftChars="17"/>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磋商内容</w:t>
            </w:r>
          </w:p>
        </w:tc>
        <w:tc>
          <w:tcPr>
            <w:tcW w:w="3588" w:type="pct"/>
            <w:shd w:val="clear" w:color="auto" w:fill="auto"/>
            <w:noWrap w:val="0"/>
            <w:vAlign w:val="center"/>
          </w:tcPr>
          <w:p w14:paraId="183F6FF0">
            <w:pPr>
              <w:pStyle w:val="157"/>
              <w:spacing w:before="62" w:beforeLines="20" w:after="62" w:afterLines="20" w:line="360" w:lineRule="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highlight w:val="none"/>
              </w:rPr>
              <w:t>包含但不仅限于</w:t>
            </w:r>
            <w:r>
              <w:rPr>
                <w:rFonts w:hint="eastAsia" w:ascii="仿宋" w:hAnsi="仿宋" w:eastAsia="仿宋" w:cs="仿宋"/>
                <w:color w:val="auto"/>
                <w:highlight w:val="none"/>
                <w:u w:val="single"/>
              </w:rPr>
              <w:t>报价、对采购需求的理解、实施方案、人员配置、服务承诺、商务条款</w:t>
            </w:r>
            <w:r>
              <w:rPr>
                <w:rFonts w:hint="eastAsia" w:ascii="仿宋" w:hAnsi="仿宋" w:eastAsia="仿宋" w:cs="仿宋"/>
                <w:color w:val="auto"/>
                <w:highlight w:val="none"/>
              </w:rPr>
              <w:t>等。</w:t>
            </w:r>
          </w:p>
        </w:tc>
      </w:tr>
      <w:tr w14:paraId="3D9B9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2733152C">
            <w:pPr>
              <w:adjustRightInd w:val="0"/>
              <w:snapToGrid w:val="0"/>
              <w:spacing w:line="360" w:lineRule="auto"/>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20</w:t>
            </w:r>
          </w:p>
        </w:tc>
        <w:tc>
          <w:tcPr>
            <w:tcW w:w="927" w:type="pct"/>
            <w:shd w:val="clear" w:color="auto" w:fill="auto"/>
            <w:noWrap w:val="0"/>
            <w:vAlign w:val="center"/>
          </w:tcPr>
          <w:p w14:paraId="1EF37E1E">
            <w:pPr>
              <w:adjustRightInd w:val="0"/>
              <w:snapToGrid w:val="0"/>
              <w:spacing w:line="360" w:lineRule="auto"/>
              <w:ind w:left="36" w:leftChars="17"/>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highlight w:val="none"/>
              </w:rPr>
              <w:t>成交候选人推荐原则</w:t>
            </w:r>
          </w:p>
        </w:tc>
        <w:tc>
          <w:tcPr>
            <w:tcW w:w="3588" w:type="pct"/>
            <w:shd w:val="clear" w:color="auto" w:fill="auto"/>
            <w:noWrap w:val="0"/>
            <w:vAlign w:val="center"/>
          </w:tcPr>
          <w:p w14:paraId="1D8FDD83">
            <w:pPr>
              <w:pStyle w:val="157"/>
              <w:spacing w:before="62" w:beforeLines="20" w:after="62" w:afterLines="20" w:line="360" w:lineRule="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highlight w:val="none"/>
              </w:rPr>
              <w:t>磋商小组根据有效供应商</w:t>
            </w:r>
            <w:r>
              <w:rPr>
                <w:rFonts w:hint="eastAsia" w:ascii="仿宋" w:hAnsi="仿宋" w:eastAsia="仿宋" w:cs="宋体"/>
                <w:color w:val="auto"/>
                <w:highlight w:val="none"/>
              </w:rPr>
              <w:t>综合得分由高至低排出的名次，顺序推荐</w:t>
            </w:r>
            <w:r>
              <w:rPr>
                <w:rFonts w:hint="eastAsia" w:ascii="仿宋" w:hAnsi="仿宋" w:eastAsia="仿宋" w:cs="宋体"/>
                <w:color w:val="auto"/>
                <w:highlight w:val="none"/>
                <w:u w:val="single"/>
              </w:rPr>
              <w:t>综合得分前</w:t>
            </w:r>
            <w:r>
              <w:rPr>
                <w:rFonts w:hint="eastAsia" w:ascii="仿宋" w:hAnsi="仿宋" w:eastAsia="仿宋" w:cs="宋体"/>
                <w:color w:val="auto"/>
                <w:highlight w:val="none"/>
                <w:u w:val="single"/>
                <w:lang w:val="en-US" w:eastAsia="zh-CN"/>
              </w:rPr>
              <w:t>1</w:t>
            </w:r>
            <w:r>
              <w:rPr>
                <w:rFonts w:hint="eastAsia" w:ascii="仿宋" w:hAnsi="仿宋" w:eastAsia="仿宋" w:cs="宋体"/>
                <w:color w:val="auto"/>
                <w:highlight w:val="none"/>
                <w:u w:val="single"/>
              </w:rPr>
              <w:t>名</w:t>
            </w:r>
            <w:r>
              <w:rPr>
                <w:rFonts w:hint="eastAsia" w:ascii="仿宋" w:hAnsi="仿宋" w:eastAsia="仿宋" w:cs="宋体"/>
                <w:color w:val="auto"/>
                <w:highlight w:val="none"/>
              </w:rPr>
              <w:t>为成交候选人。</w:t>
            </w:r>
            <w:r>
              <w:rPr>
                <w:rFonts w:hint="eastAsia" w:ascii="仿宋" w:hAnsi="仿宋" w:eastAsia="仿宋" w:cs="仿宋"/>
                <w:color w:val="auto"/>
                <w:highlight w:val="none"/>
              </w:rPr>
              <w:t>综合得分相同时，价格得分高者排名优先；价格得分也相同时，</w:t>
            </w:r>
            <w:r>
              <w:rPr>
                <w:rFonts w:hint="eastAsia" w:ascii="仿宋" w:hAnsi="仿宋" w:eastAsia="仿宋" w:cs="仿宋"/>
                <w:color w:val="auto"/>
                <w:highlight w:val="none"/>
                <w:u w:val="single"/>
              </w:rPr>
              <w:t>技术</w:t>
            </w:r>
            <w:r>
              <w:rPr>
                <w:rFonts w:hint="eastAsia" w:ascii="仿宋" w:hAnsi="仿宋" w:eastAsia="仿宋" w:cs="仿宋"/>
                <w:color w:val="auto"/>
                <w:highlight w:val="none"/>
              </w:rPr>
              <w:t>得分高者排名优先。</w:t>
            </w:r>
          </w:p>
        </w:tc>
      </w:tr>
      <w:tr w14:paraId="61721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622" w:hRule="atLeast"/>
          <w:jc w:val="center"/>
        </w:trPr>
        <w:tc>
          <w:tcPr>
            <w:tcW w:w="483" w:type="pct"/>
            <w:noWrap w:val="0"/>
            <w:vAlign w:val="center"/>
          </w:tcPr>
          <w:p w14:paraId="3A9F1168">
            <w:pPr>
              <w:adjustRightInd w:val="0"/>
              <w:snapToGrid w:val="0"/>
              <w:spacing w:line="360" w:lineRule="auto"/>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21</w:t>
            </w:r>
          </w:p>
        </w:tc>
        <w:tc>
          <w:tcPr>
            <w:tcW w:w="927" w:type="pct"/>
            <w:shd w:val="clear" w:color="auto" w:fill="auto"/>
            <w:noWrap w:val="0"/>
            <w:vAlign w:val="center"/>
          </w:tcPr>
          <w:p w14:paraId="0F7C5748">
            <w:pPr>
              <w:pStyle w:val="157"/>
              <w:spacing w:before="62" w:beforeLines="20" w:after="62" w:afterLines="20" w:line="360" w:lineRule="auto"/>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highlight w:val="none"/>
              </w:rPr>
              <w:t>成交人数量</w:t>
            </w:r>
          </w:p>
        </w:tc>
        <w:tc>
          <w:tcPr>
            <w:tcW w:w="3588" w:type="pct"/>
            <w:shd w:val="clear" w:color="auto" w:fill="auto"/>
            <w:noWrap w:val="0"/>
            <w:vAlign w:val="center"/>
          </w:tcPr>
          <w:p w14:paraId="6B046798">
            <w:pPr>
              <w:pStyle w:val="157"/>
              <w:spacing w:before="62" w:beforeLines="20" w:after="62" w:afterLines="20"/>
              <w:rPr>
                <w:rFonts w:ascii="仿宋" w:hAnsi="仿宋" w:eastAsia="仿宋" w:cs="仿宋"/>
                <w:color w:val="auto"/>
                <w:highlight w:val="none"/>
                <w:u w:val="single"/>
              </w:rPr>
            </w:pPr>
            <w:r>
              <w:rPr>
                <w:rFonts w:hint="eastAsia" w:ascii="仿宋" w:hAnsi="仿宋" w:eastAsia="仿宋" w:cs="仿宋"/>
                <w:color w:val="auto"/>
                <w:highlight w:val="none"/>
              </w:rPr>
              <w:t>成交人数量：</w:t>
            </w:r>
            <w:r>
              <w:rPr>
                <w:rFonts w:hint="eastAsia" w:ascii="仿宋" w:hAnsi="仿宋" w:eastAsia="仿宋" w:cs="仿宋"/>
                <w:color w:val="auto"/>
                <w:highlight w:val="none"/>
                <w:u w:val="single"/>
              </w:rPr>
              <w:t>1家</w:t>
            </w:r>
          </w:p>
          <w:p w14:paraId="555DD1CA">
            <w:pPr>
              <w:pStyle w:val="157"/>
              <w:spacing w:before="62" w:beforeLines="20" w:after="62" w:afterLines="20" w:line="360" w:lineRule="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宋体"/>
                <w:color w:val="auto"/>
                <w:highlight w:val="none"/>
                <w:u w:val="single"/>
              </w:rPr>
              <w:t>综合排名第一</w:t>
            </w:r>
            <w:r>
              <w:rPr>
                <w:rFonts w:hint="eastAsia" w:ascii="仿宋" w:hAnsi="仿宋" w:eastAsia="仿宋" w:cs="仿宋"/>
                <w:color w:val="auto"/>
                <w:highlight w:val="none"/>
              </w:rPr>
              <w:t>成交候选人放弃成交、因不可抗力不能履行合同、</w:t>
            </w:r>
            <w:r>
              <w:rPr>
                <w:rFonts w:hint="eastAsia" w:ascii="仿宋" w:hAnsi="仿宋" w:eastAsia="仿宋" w:cs="宋体"/>
                <w:color w:val="auto"/>
                <w:highlight w:val="none"/>
              </w:rPr>
              <w:t>不按照磋商文件要求提交履约保证金</w:t>
            </w:r>
            <w:r>
              <w:rPr>
                <w:rFonts w:hint="eastAsia" w:ascii="仿宋" w:hAnsi="仿宋" w:eastAsia="仿宋" w:cs="仿宋"/>
                <w:color w:val="auto"/>
                <w:highlight w:val="none"/>
              </w:rPr>
              <w:t>、存在重大经营或法律风险、被查实存在影响采购结果的违法行为等情形，采购人按照磋商小组提出的成交候选人名单排序依次确定其他成交候选人为成交人，或者重新采购。</w:t>
            </w:r>
          </w:p>
        </w:tc>
      </w:tr>
      <w:tr w14:paraId="4CE9C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46FA9298">
            <w:pPr>
              <w:adjustRightInd w:val="0"/>
              <w:snapToGrid w:val="0"/>
              <w:spacing w:line="360" w:lineRule="auto"/>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22</w:t>
            </w:r>
          </w:p>
        </w:tc>
        <w:tc>
          <w:tcPr>
            <w:tcW w:w="927" w:type="pct"/>
            <w:shd w:val="clear" w:color="auto" w:fill="auto"/>
            <w:noWrap w:val="0"/>
            <w:vAlign w:val="center"/>
          </w:tcPr>
          <w:p w14:paraId="2DF9C6A6">
            <w:pPr>
              <w:adjustRightInd w:val="0"/>
              <w:snapToGrid w:val="0"/>
              <w:spacing w:line="360" w:lineRule="auto"/>
              <w:ind w:left="36" w:leftChars="17"/>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履约保证金</w:t>
            </w:r>
          </w:p>
        </w:tc>
        <w:tc>
          <w:tcPr>
            <w:tcW w:w="3588" w:type="pct"/>
            <w:shd w:val="clear" w:color="auto" w:fill="auto"/>
            <w:noWrap w:val="0"/>
            <w:vAlign w:val="center"/>
          </w:tcPr>
          <w:p w14:paraId="29EB9B08">
            <w:pPr>
              <w:pStyle w:val="157"/>
              <w:spacing w:before="62" w:beforeLines="20" w:after="62" w:afterLines="20" w:line="360" w:lineRule="auto"/>
              <w:rPr>
                <w:rFonts w:ascii="仿宋" w:hAnsi="仿宋" w:eastAsia="仿宋" w:cs="宋体"/>
                <w:color w:val="auto"/>
                <w:highlight w:val="none"/>
              </w:rPr>
            </w:pPr>
            <w:r>
              <w:rPr>
                <w:rFonts w:hint="eastAsia" w:ascii="仿宋" w:hAnsi="仿宋" w:eastAsia="仿宋" w:cs="宋体"/>
                <w:color w:val="auto"/>
                <w:highlight w:val="none"/>
              </w:rPr>
              <w:t>□收取，形式及比例：</w:t>
            </w:r>
          </w:p>
          <w:p w14:paraId="6436523D">
            <w:pPr>
              <w:autoSpaceDE w:val="0"/>
              <w:autoSpaceDN w:val="0"/>
              <w:spacing w:line="360" w:lineRule="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宋体"/>
                <w:color w:val="auto"/>
                <w:szCs w:val="21"/>
                <w:highlight w:val="none"/>
                <w:lang w:eastAsia="zh-CN"/>
              </w:rPr>
              <w:t>☑</w:t>
            </w:r>
            <w:r>
              <w:rPr>
                <w:rFonts w:hint="eastAsia" w:ascii="仿宋" w:hAnsi="仿宋" w:eastAsia="仿宋" w:cs="宋体"/>
                <w:color w:val="auto"/>
                <w:szCs w:val="21"/>
                <w:highlight w:val="none"/>
              </w:rPr>
              <w:t>不收取</w:t>
            </w:r>
          </w:p>
        </w:tc>
      </w:tr>
      <w:tr w14:paraId="67972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6ADE2AA1">
            <w:pPr>
              <w:adjustRightInd w:val="0"/>
              <w:snapToGrid w:val="0"/>
              <w:spacing w:line="360" w:lineRule="auto"/>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23</w:t>
            </w:r>
          </w:p>
        </w:tc>
        <w:tc>
          <w:tcPr>
            <w:tcW w:w="927" w:type="pct"/>
            <w:shd w:val="clear" w:color="auto" w:fill="auto"/>
            <w:noWrap w:val="0"/>
            <w:vAlign w:val="center"/>
          </w:tcPr>
          <w:p w14:paraId="7D832A46">
            <w:pPr>
              <w:adjustRightInd w:val="0"/>
              <w:snapToGrid w:val="0"/>
              <w:spacing w:line="360" w:lineRule="auto"/>
              <w:ind w:left="36" w:leftChars="17"/>
              <w:jc w:val="center"/>
              <w:rPr>
                <w:rFonts w:hint="default" w:ascii="仿宋" w:hAnsi="仿宋" w:eastAsia="仿宋" w:cs="仿宋"/>
                <w:color w:val="auto"/>
                <w:szCs w:val="21"/>
                <w:highlight w:val="none"/>
                <w:lang w:val="en-US" w:eastAsia="zh-CN"/>
              </w:rPr>
            </w:pPr>
            <w:r>
              <w:rPr>
                <w:rFonts w:hint="eastAsia" w:ascii="仿宋" w:hAnsi="仿宋" w:eastAsia="仿宋" w:cs="仿宋"/>
                <w:color w:val="000000"/>
                <w:szCs w:val="21"/>
                <w:highlight w:val="none"/>
              </w:rPr>
              <w:t>异常处理情况</w:t>
            </w:r>
          </w:p>
        </w:tc>
        <w:tc>
          <w:tcPr>
            <w:tcW w:w="3588" w:type="pct"/>
            <w:shd w:val="clear" w:color="auto" w:fill="auto"/>
            <w:noWrap w:val="0"/>
            <w:vAlign w:val="center"/>
          </w:tcPr>
          <w:p w14:paraId="5B9ED242">
            <w:pPr>
              <w:autoSpaceDE w:val="0"/>
              <w:autoSpaceDN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val="en-US" w:eastAsia="zh-CN"/>
              </w:rPr>
              <w:t>响应</w:t>
            </w:r>
            <w:r>
              <w:rPr>
                <w:rFonts w:hint="eastAsia" w:ascii="仿宋" w:hAnsi="仿宋" w:eastAsia="仿宋" w:cs="仿宋"/>
                <w:color w:val="auto"/>
                <w:szCs w:val="21"/>
                <w:highlight w:val="none"/>
              </w:rPr>
              <w:t>截止时间止，若供应商少于2家的，不得唱价，采购人应重新采购；</w:t>
            </w:r>
          </w:p>
          <w:p w14:paraId="26AF3D8B">
            <w:pPr>
              <w:autoSpaceDE w:val="0"/>
              <w:autoSpaceDN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（2）通过初步评审的有效供应商数量：若通过初步评审的有效供应商数量少于2家，采购人应重新采购。</w:t>
            </w:r>
          </w:p>
        </w:tc>
      </w:tr>
      <w:tr w14:paraId="1943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614ED8F1">
            <w:pPr>
              <w:adjustRightInd w:val="0"/>
              <w:snapToGrid w:val="0"/>
              <w:spacing w:line="360" w:lineRule="auto"/>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24</w:t>
            </w:r>
          </w:p>
        </w:tc>
        <w:tc>
          <w:tcPr>
            <w:tcW w:w="927" w:type="pct"/>
            <w:shd w:val="clear" w:color="auto" w:fill="auto"/>
            <w:noWrap w:val="0"/>
            <w:vAlign w:val="center"/>
          </w:tcPr>
          <w:p w14:paraId="59B16A55">
            <w:pPr>
              <w:adjustRightInd w:val="0"/>
              <w:snapToGrid w:val="0"/>
              <w:spacing w:line="360" w:lineRule="auto"/>
              <w:ind w:left="36" w:leftChars="17"/>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采购代理服务费</w:t>
            </w:r>
          </w:p>
        </w:tc>
        <w:tc>
          <w:tcPr>
            <w:tcW w:w="3588" w:type="pct"/>
            <w:shd w:val="clear" w:color="auto" w:fill="auto"/>
            <w:noWrap w:val="0"/>
            <w:vAlign w:val="center"/>
          </w:tcPr>
          <w:p w14:paraId="36874291">
            <w:pPr>
              <w:autoSpaceDE w:val="0"/>
              <w:autoSpaceDN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收费依据：参考原国家发展计划委员会《采购代理服务收费管理暂行办法》(计价格[2002]1980号文)、国家发展改革委员会办公厅发布的关于《采购代理服务收费有关问题的通知》(发改办[2003]857号文)和国家发展改革委《关于降低部分建设项目收费标准规范收费行为等有关问题的通知》(发改价格[2011]534号)的规定。</w:t>
            </w:r>
          </w:p>
          <w:p w14:paraId="34089EDB">
            <w:pPr>
              <w:autoSpaceDE w:val="0"/>
              <w:autoSpaceDN w:val="0"/>
              <w:spacing w:line="360" w:lineRule="auto"/>
              <w:rPr>
                <w:rFonts w:hint="default" w:ascii="仿宋" w:hAnsi="仿宋" w:eastAsia="仿宋" w:cs="仿宋"/>
                <w:b/>
                <w:color w:val="auto"/>
                <w:kern w:val="0"/>
                <w:szCs w:val="21"/>
                <w:highlight w:val="none"/>
                <w:lang w:val="en-US" w:eastAsia="zh-CN"/>
              </w:rPr>
            </w:pPr>
            <w:r>
              <w:rPr>
                <w:rFonts w:hint="eastAsia" w:ascii="仿宋" w:hAnsi="仿宋" w:eastAsia="仿宋" w:cs="仿宋"/>
                <w:color w:val="auto"/>
                <w:szCs w:val="21"/>
                <w:highlight w:val="none"/>
              </w:rPr>
              <w:t>（2）</w:t>
            </w:r>
            <w:r>
              <w:rPr>
                <w:rFonts w:hint="eastAsia" w:ascii="仿宋" w:hAnsi="仿宋" w:eastAsia="仿宋" w:cs="Monaco"/>
                <w:color w:val="auto"/>
                <w:szCs w:val="21"/>
                <w:highlight w:val="none"/>
              </w:rPr>
              <w:t>服务费金额：</w:t>
            </w:r>
            <w:r>
              <w:rPr>
                <w:rFonts w:hint="eastAsia" w:ascii="仿宋" w:hAnsi="仿宋" w:eastAsia="仿宋" w:cs="Monaco"/>
                <w:b/>
                <w:bCs/>
                <w:color w:val="auto"/>
                <w:szCs w:val="21"/>
                <w:highlight w:val="none"/>
              </w:rPr>
              <w:t>人民币</w:t>
            </w:r>
            <w:r>
              <w:rPr>
                <w:rFonts w:hint="eastAsia" w:ascii="仿宋" w:hAnsi="仿宋" w:eastAsia="仿宋" w:cs="Monaco"/>
                <w:b/>
                <w:bCs/>
                <w:color w:val="auto"/>
                <w:szCs w:val="21"/>
                <w:highlight w:val="none"/>
                <w:lang w:val="en-US" w:eastAsia="zh-CN"/>
              </w:rPr>
              <w:t>￥3100.00元（</w:t>
            </w:r>
            <w:r>
              <w:rPr>
                <w:rFonts w:hint="eastAsia" w:ascii="仿宋" w:hAnsi="仿宋" w:eastAsia="仿宋" w:cs="Monaco"/>
                <w:b/>
                <w:bCs/>
                <w:color w:val="auto"/>
                <w:szCs w:val="21"/>
                <w:highlight w:val="none"/>
              </w:rPr>
              <w:t>人民币</w:t>
            </w:r>
            <w:r>
              <w:rPr>
                <w:rFonts w:hint="eastAsia" w:ascii="仿宋" w:hAnsi="仿宋" w:eastAsia="仿宋" w:cs="Monaco"/>
                <w:b/>
                <w:bCs/>
                <w:color w:val="auto"/>
                <w:szCs w:val="21"/>
                <w:highlight w:val="none"/>
                <w:lang w:val="en-US" w:eastAsia="zh-CN"/>
              </w:rPr>
              <w:t>叁仟壹佰元整）</w:t>
            </w:r>
          </w:p>
          <w:p w14:paraId="35DF329F">
            <w:pPr>
              <w:autoSpaceDE w:val="0"/>
              <w:autoSpaceDN w:val="0"/>
              <w:spacing w:line="360" w:lineRule="auto"/>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szCs w:val="21"/>
                <w:highlight w:val="none"/>
              </w:rPr>
              <w:t>（3）缴纳时限：成交人在收到采购代理服务费付款通知书后15日内，向采购代理机构一次性支付。</w:t>
            </w:r>
          </w:p>
        </w:tc>
      </w:tr>
    </w:tbl>
    <w:p w14:paraId="61159742">
      <w:pPr>
        <w:pStyle w:val="3"/>
        <w:ind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highlight w:val="none"/>
        </w:rPr>
        <w:br w:type="page"/>
      </w:r>
      <w:bookmarkStart w:id="33" w:name="_Toc20514"/>
      <w:bookmarkStart w:id="34" w:name="_Toc19783313"/>
      <w:bookmarkStart w:id="35" w:name="_Toc444891336"/>
      <w:bookmarkStart w:id="36" w:name="_Toc11071"/>
      <w:bookmarkStart w:id="37" w:name="_Toc517281816"/>
      <w:bookmarkStart w:id="38" w:name="_Toc6047"/>
      <w:bookmarkStart w:id="39" w:name="_Toc287600118"/>
      <w:bookmarkStart w:id="40" w:name="_Toc27232"/>
      <w:bookmarkStart w:id="41" w:name="_Toc29424"/>
      <w:r>
        <w:rPr>
          <w:rFonts w:hint="eastAsia" w:ascii="仿宋" w:hAnsi="仿宋" w:eastAsia="仿宋" w:cs="仿宋"/>
          <w:color w:val="auto"/>
          <w:sz w:val="24"/>
          <w:szCs w:val="24"/>
          <w:highlight w:val="none"/>
        </w:rPr>
        <w:t>二、供应商须知</w:t>
      </w:r>
      <w:bookmarkEnd w:id="33"/>
      <w:bookmarkEnd w:id="34"/>
      <w:bookmarkEnd w:id="35"/>
      <w:bookmarkEnd w:id="36"/>
      <w:bookmarkEnd w:id="37"/>
      <w:bookmarkEnd w:id="38"/>
      <w:bookmarkEnd w:id="39"/>
      <w:bookmarkEnd w:id="40"/>
      <w:r>
        <w:rPr>
          <w:rFonts w:hint="eastAsia" w:ascii="仿宋" w:hAnsi="仿宋" w:eastAsia="仿宋" w:cs="仿宋"/>
          <w:color w:val="auto"/>
          <w:sz w:val="24"/>
          <w:szCs w:val="24"/>
          <w:highlight w:val="none"/>
        </w:rPr>
        <w:t>正文</w:t>
      </w:r>
      <w:bookmarkEnd w:id="41"/>
    </w:p>
    <w:p w14:paraId="4A5EA9BA">
      <w:pPr>
        <w:pStyle w:val="4"/>
        <w:spacing w:before="0" w:after="0" w:line="360" w:lineRule="auto"/>
        <w:ind w:firstLine="482"/>
        <w:rPr>
          <w:rFonts w:hint="eastAsia" w:ascii="仿宋" w:hAnsi="仿宋" w:eastAsia="仿宋" w:cs="仿宋"/>
          <w:color w:val="auto"/>
          <w:sz w:val="24"/>
          <w:szCs w:val="24"/>
          <w:highlight w:val="none"/>
        </w:rPr>
      </w:pPr>
      <w:bookmarkStart w:id="42" w:name="_Toc19783314"/>
      <w:bookmarkStart w:id="43" w:name="_Toc11851"/>
      <w:bookmarkStart w:id="44" w:name="_Toc6681"/>
      <w:bookmarkStart w:id="45" w:name="_Toc444891337"/>
      <w:bookmarkStart w:id="46" w:name="_Toc517281817"/>
      <w:bookmarkStart w:id="47" w:name="_Toc2408"/>
      <w:bookmarkStart w:id="48" w:name="_Toc22969"/>
      <w:bookmarkStart w:id="49" w:name="_Toc287600119"/>
      <w:bookmarkStart w:id="50" w:name="_Toc431"/>
      <w:bookmarkStart w:id="51" w:name="_Toc16441"/>
      <w:r>
        <w:rPr>
          <w:rFonts w:hint="eastAsia" w:ascii="仿宋" w:hAnsi="仿宋" w:eastAsia="仿宋" w:cs="仿宋"/>
          <w:color w:val="auto"/>
          <w:sz w:val="24"/>
          <w:szCs w:val="24"/>
          <w:highlight w:val="none"/>
        </w:rPr>
        <w:t>（一）总 则</w:t>
      </w:r>
      <w:bookmarkEnd w:id="42"/>
      <w:bookmarkEnd w:id="43"/>
      <w:bookmarkEnd w:id="44"/>
      <w:bookmarkEnd w:id="45"/>
      <w:bookmarkEnd w:id="46"/>
      <w:bookmarkEnd w:id="47"/>
      <w:bookmarkEnd w:id="48"/>
      <w:bookmarkEnd w:id="49"/>
      <w:bookmarkEnd w:id="50"/>
      <w:bookmarkEnd w:id="51"/>
    </w:p>
    <w:p w14:paraId="3B41C60F">
      <w:pPr>
        <w:pStyle w:val="5"/>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1.项目说明</w:t>
      </w:r>
    </w:p>
    <w:p w14:paraId="00F0A1D2">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本项目按照中华人民共和国有关法律、行政法规和部门规章以及采购人的采购管理制度，通过竞争性磋商方式确定签约供应商。</w:t>
      </w:r>
    </w:p>
    <w:p w14:paraId="670EB287">
      <w:pPr>
        <w:pStyle w:val="5"/>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2.采购范围</w:t>
      </w:r>
    </w:p>
    <w:p w14:paraId="53DFA919">
      <w:pPr>
        <w:tabs>
          <w:tab w:val="left" w:pos="3150"/>
          <w:tab w:val="left" w:pos="3780"/>
        </w:tabs>
        <w:spacing w:line="360" w:lineRule="auto"/>
        <w:jc w:val="left"/>
        <w:rPr>
          <w:rFonts w:hint="eastAsia" w:ascii="仿宋" w:hAnsi="仿宋" w:eastAsia="仿宋" w:cs="仿宋"/>
          <w:bCs/>
          <w:color w:val="auto"/>
          <w:sz w:val="24"/>
          <w:highlight w:val="none"/>
        </w:rPr>
      </w:pPr>
      <w:r>
        <w:rPr>
          <w:rFonts w:hint="eastAsia" w:ascii="仿宋" w:hAnsi="仿宋" w:eastAsia="仿宋" w:cs="仿宋"/>
          <w:color w:val="auto"/>
          <w:sz w:val="24"/>
          <w:highlight w:val="none"/>
          <w:u w:val="single"/>
        </w:rPr>
        <w:t>详见本须知前附表</w:t>
      </w:r>
      <w:r>
        <w:rPr>
          <w:rFonts w:hint="eastAsia" w:ascii="仿宋" w:hAnsi="仿宋" w:eastAsia="仿宋" w:cs="仿宋"/>
          <w:color w:val="auto"/>
          <w:sz w:val="24"/>
          <w:highlight w:val="none"/>
        </w:rPr>
        <w:t>，</w:t>
      </w:r>
      <w:r>
        <w:rPr>
          <w:rFonts w:hint="eastAsia" w:ascii="仿宋" w:hAnsi="仿宋" w:eastAsia="仿宋" w:cs="仿宋"/>
          <w:bCs/>
          <w:color w:val="auto"/>
          <w:sz w:val="24"/>
          <w:highlight w:val="none"/>
        </w:rPr>
        <w:t>详细内容详见第五章采购需求。</w:t>
      </w:r>
    </w:p>
    <w:p w14:paraId="0234EC48">
      <w:pPr>
        <w:pStyle w:val="5"/>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3.资金来源</w:t>
      </w:r>
    </w:p>
    <w:p w14:paraId="420ED7A6">
      <w:pPr>
        <w:tabs>
          <w:tab w:val="left" w:pos="3150"/>
          <w:tab w:val="left" w:pos="378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资金来源于采购人或其子公司（含分支机构）自筹（比例100%），且资金已落实。</w:t>
      </w:r>
    </w:p>
    <w:p w14:paraId="63F03DA6">
      <w:pPr>
        <w:pStyle w:val="5"/>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4.资格审查</w:t>
      </w:r>
    </w:p>
    <w:p w14:paraId="1FE6039A">
      <w:pPr>
        <w:widowControl/>
        <w:topLinePunct/>
        <w:spacing w:line="360" w:lineRule="auto"/>
        <w:rPr>
          <w:rFonts w:hint="eastAsia" w:ascii="仿宋" w:hAnsi="仿宋" w:eastAsia="仿宋" w:cs="宋体"/>
          <w:color w:val="auto"/>
          <w:kern w:val="0"/>
          <w:sz w:val="24"/>
          <w:highlight w:val="none"/>
        </w:rPr>
      </w:pPr>
      <w:r>
        <w:rPr>
          <w:rFonts w:ascii="仿宋" w:hAnsi="仿宋" w:eastAsia="仿宋" w:cs="宋体"/>
          <w:color w:val="auto"/>
          <w:kern w:val="0"/>
          <w:sz w:val="24"/>
          <w:highlight w:val="none"/>
        </w:rPr>
        <w:t>4.1</w:t>
      </w:r>
      <w:r>
        <w:rPr>
          <w:rFonts w:hint="eastAsia" w:ascii="仿宋" w:hAnsi="仿宋" w:eastAsia="仿宋" w:cs="宋体"/>
          <w:color w:val="auto"/>
          <w:kern w:val="0"/>
          <w:sz w:val="24"/>
          <w:highlight w:val="none"/>
        </w:rPr>
        <w:t>资格预审：是指在递交响应文件前对潜在供应商进行的资格审查。采用资格预审方式的，资格条件已经在磋商文件发出前的资格预审文件中作出规定。</w:t>
      </w:r>
    </w:p>
    <w:p w14:paraId="7AEC9A73">
      <w:pPr>
        <w:widowControl/>
        <w:topLinePunct/>
        <w:spacing w:line="360" w:lineRule="auto"/>
        <w:rPr>
          <w:rFonts w:hint="eastAsia" w:ascii="仿宋" w:hAnsi="仿宋" w:eastAsia="仿宋" w:cs="宋体"/>
          <w:color w:val="auto"/>
          <w:kern w:val="0"/>
          <w:sz w:val="24"/>
          <w:highlight w:val="none"/>
        </w:rPr>
      </w:pPr>
      <w:r>
        <w:rPr>
          <w:rFonts w:ascii="仿宋" w:hAnsi="仿宋" w:eastAsia="仿宋" w:cs="宋体"/>
          <w:color w:val="auto"/>
          <w:kern w:val="0"/>
          <w:sz w:val="24"/>
          <w:highlight w:val="none"/>
        </w:rPr>
        <w:t>4</w:t>
      </w:r>
      <w:r>
        <w:rPr>
          <w:rFonts w:hint="eastAsia" w:ascii="仿宋" w:hAnsi="仿宋" w:eastAsia="仿宋" w:cs="宋体"/>
          <w:color w:val="auto"/>
          <w:kern w:val="0"/>
          <w:sz w:val="24"/>
          <w:highlight w:val="none"/>
        </w:rPr>
        <w:t>.2资格后审：是指在首次响应文件递交截止时间后由磋商小组根据磋商文件的规定对供应商进行的资格审查。采购人应当在磋商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auto"/>
          <w:kern w:val="0"/>
          <w:sz w:val="24"/>
          <w:highlight w:val="none"/>
          <w:u w:val="single"/>
        </w:rPr>
        <w:t>详见本须知前附表。</w:t>
      </w:r>
    </w:p>
    <w:p w14:paraId="759ACAA6">
      <w:pPr>
        <w:pStyle w:val="5"/>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5.磋商响应费用</w:t>
      </w:r>
    </w:p>
    <w:p w14:paraId="0867DCF8">
      <w:pPr>
        <w:spacing w:line="360" w:lineRule="auto"/>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不论结果如何，</w:t>
      </w:r>
      <w:r>
        <w:rPr>
          <w:rFonts w:hint="eastAsia" w:ascii="仿宋" w:hAnsi="仿宋" w:eastAsia="仿宋" w:cs="仿宋"/>
          <w:color w:val="auto"/>
          <w:sz w:val="24"/>
          <w:highlight w:val="none"/>
        </w:rPr>
        <w:t>供应商</w:t>
      </w:r>
      <w:r>
        <w:rPr>
          <w:rFonts w:hint="eastAsia" w:ascii="仿宋" w:hAnsi="仿宋" w:eastAsia="仿宋" w:cs="宋体"/>
          <w:color w:val="auto"/>
          <w:sz w:val="24"/>
          <w:highlight w:val="none"/>
        </w:rPr>
        <w:t>自行承担所有准备和参与本次磋商响应的有关费用。</w:t>
      </w:r>
    </w:p>
    <w:p w14:paraId="1C767925">
      <w:pPr>
        <w:pStyle w:val="4"/>
        <w:spacing w:after="0" w:line="360" w:lineRule="auto"/>
        <w:ind w:firstLine="482"/>
        <w:rPr>
          <w:rFonts w:hint="eastAsia" w:ascii="仿宋" w:hAnsi="仿宋" w:eastAsia="仿宋" w:cs="仿宋"/>
          <w:color w:val="auto"/>
          <w:sz w:val="24"/>
          <w:szCs w:val="24"/>
          <w:highlight w:val="none"/>
        </w:rPr>
      </w:pPr>
      <w:bookmarkStart w:id="52" w:name="_Toc25513"/>
      <w:bookmarkStart w:id="53" w:name="_Toc517281818"/>
      <w:bookmarkStart w:id="54" w:name="_Toc24246"/>
      <w:bookmarkStart w:id="55" w:name="_Toc19783315"/>
      <w:bookmarkStart w:id="56" w:name="_Toc287600120"/>
      <w:bookmarkStart w:id="57" w:name="_Toc444891338"/>
      <w:bookmarkStart w:id="58" w:name="_Toc10975"/>
      <w:bookmarkStart w:id="59" w:name="_Toc14617"/>
      <w:bookmarkStart w:id="60" w:name="_Toc5255"/>
      <w:bookmarkStart w:id="61" w:name="_Toc3016"/>
      <w:r>
        <w:rPr>
          <w:rFonts w:hint="eastAsia" w:ascii="仿宋" w:hAnsi="仿宋" w:eastAsia="仿宋" w:cs="仿宋"/>
          <w:color w:val="auto"/>
          <w:sz w:val="24"/>
          <w:szCs w:val="24"/>
          <w:highlight w:val="none"/>
        </w:rPr>
        <w:t>（二）磋商文件</w:t>
      </w:r>
      <w:bookmarkEnd w:id="52"/>
      <w:bookmarkEnd w:id="53"/>
      <w:bookmarkEnd w:id="54"/>
      <w:bookmarkEnd w:id="55"/>
      <w:bookmarkEnd w:id="56"/>
      <w:bookmarkEnd w:id="57"/>
      <w:bookmarkEnd w:id="58"/>
      <w:bookmarkEnd w:id="59"/>
      <w:bookmarkEnd w:id="60"/>
      <w:bookmarkEnd w:id="61"/>
    </w:p>
    <w:p w14:paraId="0570AF86">
      <w:pPr>
        <w:pStyle w:val="5"/>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6.磋商文件的组成</w:t>
      </w:r>
    </w:p>
    <w:p w14:paraId="55220A22">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6.1磋商文件包括下列内容：</w:t>
      </w:r>
    </w:p>
    <w:p w14:paraId="16561EE9">
      <w:pPr>
        <w:pStyle w:val="23"/>
        <w:widowControl/>
        <w:spacing w:line="360" w:lineRule="auto"/>
        <w:ind w:left="0" w:leftChars="0"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第一章 竞争性磋商公告</w:t>
      </w:r>
    </w:p>
    <w:p w14:paraId="07EB1EFF">
      <w:pPr>
        <w:pStyle w:val="23"/>
        <w:widowControl/>
        <w:spacing w:line="360" w:lineRule="auto"/>
        <w:ind w:left="0" w:leftChars="0"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第二章 供应商须知</w:t>
      </w:r>
    </w:p>
    <w:p w14:paraId="453E66F3">
      <w:pPr>
        <w:pStyle w:val="23"/>
        <w:widowControl/>
        <w:spacing w:line="360" w:lineRule="auto"/>
        <w:ind w:left="0" w:leftChars="0"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第三章 评审办法</w:t>
      </w:r>
    </w:p>
    <w:p w14:paraId="031CF3B0">
      <w:pPr>
        <w:pStyle w:val="23"/>
        <w:widowControl/>
        <w:spacing w:line="360" w:lineRule="auto"/>
        <w:ind w:left="0" w:leftChars="0" w:firstLine="480" w:firstLineChars="200"/>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第四章 合同</w:t>
      </w:r>
      <w:r>
        <w:rPr>
          <w:rFonts w:hint="eastAsia" w:ascii="仿宋" w:hAnsi="仿宋" w:eastAsia="仿宋" w:cs="仿宋"/>
          <w:color w:val="auto"/>
          <w:sz w:val="24"/>
          <w:highlight w:val="none"/>
          <w:lang w:val="en-US" w:eastAsia="zh-CN"/>
        </w:rPr>
        <w:t>条款</w:t>
      </w:r>
    </w:p>
    <w:p w14:paraId="0DE159C4">
      <w:pPr>
        <w:tabs>
          <w:tab w:val="left" w:pos="540"/>
          <w:tab w:val="left" w:pos="720"/>
        </w:tabs>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第五章 采购需求</w:t>
      </w:r>
    </w:p>
    <w:p w14:paraId="35E8F874">
      <w:pPr>
        <w:tabs>
          <w:tab w:val="left" w:pos="540"/>
          <w:tab w:val="left" w:pos="720"/>
        </w:tabs>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第六章 响应文件格式</w:t>
      </w:r>
    </w:p>
    <w:p w14:paraId="60F4FF9A">
      <w:pPr>
        <w:widowControl/>
        <w:topLinePunct/>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6.</w:t>
      </w:r>
      <w:r>
        <w:rPr>
          <w:rFonts w:ascii="仿宋" w:hAnsi="仿宋" w:eastAsia="仿宋" w:cs="仿宋"/>
          <w:color w:val="auto"/>
          <w:kern w:val="0"/>
          <w:sz w:val="24"/>
          <w:highlight w:val="none"/>
        </w:rPr>
        <w:t>2</w:t>
      </w:r>
      <w:r>
        <w:rPr>
          <w:rFonts w:hint="eastAsia" w:ascii="仿宋" w:hAnsi="仿宋" w:eastAsia="仿宋" w:cs="仿宋"/>
          <w:color w:val="auto"/>
          <w:kern w:val="0"/>
          <w:sz w:val="24"/>
          <w:highlight w:val="none"/>
        </w:rPr>
        <w:t>采购人在磋商文件中以显著的方式标明实质性要求、条件以及不满足实质性要求和条件的响应文件将被否决的提示。实质性标识方式和具体要求</w:t>
      </w:r>
      <w:r>
        <w:rPr>
          <w:rFonts w:hint="eastAsia" w:ascii="仿宋" w:hAnsi="仿宋" w:eastAsia="仿宋" w:cs="仿宋"/>
          <w:color w:val="auto"/>
          <w:kern w:val="0"/>
          <w:sz w:val="24"/>
          <w:highlight w:val="none"/>
          <w:u w:val="single"/>
        </w:rPr>
        <w:t>见本须知前附表</w:t>
      </w:r>
      <w:r>
        <w:rPr>
          <w:rFonts w:hint="eastAsia" w:ascii="仿宋" w:hAnsi="仿宋" w:eastAsia="仿宋" w:cs="仿宋"/>
          <w:color w:val="auto"/>
          <w:kern w:val="0"/>
          <w:sz w:val="24"/>
          <w:highlight w:val="none"/>
        </w:rPr>
        <w:t>。</w:t>
      </w:r>
    </w:p>
    <w:p w14:paraId="59942A54">
      <w:pPr>
        <w:pStyle w:val="5"/>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7.磋商文件的修改</w:t>
      </w:r>
    </w:p>
    <w:p w14:paraId="680BAA0B">
      <w:pPr>
        <w:widowControl/>
        <w:topLinePunct/>
        <w:spacing w:line="360" w:lineRule="auto"/>
        <w:rPr>
          <w:rFonts w:ascii="仿宋" w:hAnsi="仿宋" w:eastAsia="仿宋" w:cs="宋体"/>
          <w:color w:val="auto"/>
          <w:kern w:val="0"/>
          <w:sz w:val="24"/>
          <w:highlight w:val="none"/>
        </w:rPr>
      </w:pPr>
      <w:r>
        <w:rPr>
          <w:rFonts w:hint="eastAsia" w:ascii="仿宋" w:hAnsi="仿宋" w:eastAsia="仿宋" w:cs="仿宋"/>
          <w:color w:val="auto"/>
          <w:sz w:val="24"/>
          <w:highlight w:val="none"/>
        </w:rPr>
        <w:t>7.1潜在</w:t>
      </w:r>
      <w:r>
        <w:rPr>
          <w:rFonts w:hint="eastAsia" w:ascii="仿宋" w:hAnsi="仿宋" w:eastAsia="仿宋" w:cs="宋体"/>
          <w:color w:val="auto"/>
          <w:kern w:val="0"/>
          <w:sz w:val="24"/>
          <w:highlight w:val="none"/>
        </w:rPr>
        <w:t>供应商对</w:t>
      </w:r>
      <w:r>
        <w:rPr>
          <w:rFonts w:hint="eastAsia" w:ascii="仿宋" w:hAnsi="仿宋" w:eastAsia="仿宋" w:cs="仿宋"/>
          <w:color w:val="auto"/>
          <w:sz w:val="24"/>
          <w:highlight w:val="none"/>
        </w:rPr>
        <w:t>磋商文件</w:t>
      </w:r>
      <w:r>
        <w:rPr>
          <w:rFonts w:hint="eastAsia" w:ascii="仿宋" w:hAnsi="仿宋" w:eastAsia="仿宋" w:cs="宋体"/>
          <w:color w:val="auto"/>
          <w:kern w:val="0"/>
          <w:sz w:val="24"/>
          <w:highlight w:val="none"/>
        </w:rPr>
        <w:t>有疑问的，应当按照</w:t>
      </w:r>
      <w:r>
        <w:rPr>
          <w:rFonts w:hint="eastAsia" w:ascii="仿宋" w:hAnsi="仿宋" w:eastAsia="仿宋" w:cs="宋体"/>
          <w:color w:val="auto"/>
          <w:kern w:val="0"/>
          <w:sz w:val="24"/>
          <w:highlight w:val="none"/>
          <w:u w:val="single"/>
        </w:rPr>
        <w:t>本须知前附表</w:t>
      </w:r>
      <w:r>
        <w:rPr>
          <w:rFonts w:hint="eastAsia" w:ascii="仿宋" w:hAnsi="仿宋" w:eastAsia="仿宋" w:cs="宋体"/>
          <w:color w:val="auto"/>
          <w:kern w:val="0"/>
          <w:sz w:val="24"/>
          <w:highlight w:val="none"/>
        </w:rPr>
        <w:t>规定的时间和方式，要求采购人对</w:t>
      </w:r>
      <w:r>
        <w:rPr>
          <w:rFonts w:hint="eastAsia" w:ascii="仿宋" w:hAnsi="仿宋" w:eastAsia="仿宋" w:cs="仿宋"/>
          <w:color w:val="auto"/>
          <w:sz w:val="24"/>
          <w:highlight w:val="none"/>
        </w:rPr>
        <w:t>磋商文件</w:t>
      </w:r>
      <w:r>
        <w:rPr>
          <w:rFonts w:hint="eastAsia" w:ascii="仿宋" w:hAnsi="仿宋" w:eastAsia="仿宋" w:cs="宋体"/>
          <w:color w:val="auto"/>
          <w:kern w:val="0"/>
          <w:sz w:val="24"/>
          <w:highlight w:val="none"/>
        </w:rPr>
        <w:t>进行澄清。</w:t>
      </w:r>
    </w:p>
    <w:p w14:paraId="69FECF68">
      <w:pPr>
        <w:widowControl/>
        <w:topLinePunct/>
        <w:spacing w:line="360" w:lineRule="auto"/>
        <w:rPr>
          <w:rFonts w:hint="eastAsia" w:ascii="仿宋" w:hAnsi="仿宋" w:eastAsia="仿宋" w:cs="宋体"/>
          <w:color w:val="auto"/>
          <w:kern w:val="0"/>
          <w:sz w:val="24"/>
          <w:highlight w:val="none"/>
        </w:rPr>
      </w:pPr>
      <w:r>
        <w:rPr>
          <w:rFonts w:ascii="仿宋" w:hAnsi="仿宋" w:eastAsia="仿宋" w:cs="宋体"/>
          <w:color w:val="auto"/>
          <w:kern w:val="0"/>
          <w:sz w:val="24"/>
          <w:highlight w:val="none"/>
        </w:rPr>
        <w:t>7.2</w:t>
      </w:r>
      <w:r>
        <w:rPr>
          <w:rFonts w:hint="eastAsia" w:ascii="仿宋" w:hAnsi="仿宋" w:eastAsia="仿宋" w:cs="仿宋"/>
          <w:color w:val="auto"/>
          <w:sz w:val="24"/>
          <w:highlight w:val="none"/>
        </w:rPr>
        <w:t>采购人在响应文件递交截止时间前，可以书面形式发出的对磋商文件的澄清或修改内容，</w:t>
      </w:r>
      <w:r>
        <w:rPr>
          <w:rFonts w:hint="eastAsia" w:ascii="仿宋" w:hAnsi="仿宋" w:eastAsia="仿宋" w:cs="宋体"/>
          <w:color w:val="auto"/>
          <w:kern w:val="0"/>
          <w:sz w:val="24"/>
          <w:highlight w:val="none"/>
        </w:rPr>
        <w:t>如澄清或修改的内容可能影响响应文件编制的，原则上应当在响应文件递交截止之日3个工作日前，以书面形式通知所有获取</w:t>
      </w:r>
      <w:r>
        <w:rPr>
          <w:rFonts w:hint="eastAsia" w:ascii="仿宋" w:hAnsi="仿宋" w:eastAsia="仿宋" w:cs="仿宋"/>
          <w:color w:val="auto"/>
          <w:sz w:val="24"/>
          <w:highlight w:val="none"/>
        </w:rPr>
        <w:t>磋商文件</w:t>
      </w:r>
      <w:r>
        <w:rPr>
          <w:rFonts w:hint="eastAsia" w:ascii="仿宋" w:hAnsi="仿宋" w:eastAsia="仿宋" w:cs="宋体"/>
          <w:color w:val="auto"/>
          <w:kern w:val="0"/>
          <w:sz w:val="24"/>
          <w:highlight w:val="none"/>
        </w:rPr>
        <w:t>的潜在供应商，不足3个工作日的，原则上应顺延响应文件递交截止时间。</w:t>
      </w:r>
    </w:p>
    <w:p w14:paraId="0E9656D1">
      <w:pPr>
        <w:widowControl/>
        <w:topLinePunct/>
        <w:spacing w:line="360" w:lineRule="auto"/>
        <w:rPr>
          <w:rFonts w:hint="eastAsia" w:ascii="仿宋" w:hAnsi="仿宋" w:eastAsia="仿宋" w:cs="宋体"/>
          <w:color w:val="auto"/>
          <w:kern w:val="0"/>
          <w:sz w:val="24"/>
          <w:highlight w:val="none"/>
        </w:rPr>
      </w:pPr>
      <w:r>
        <w:rPr>
          <w:rFonts w:hint="eastAsia" w:ascii="仿宋" w:hAnsi="仿宋" w:eastAsia="仿宋" w:cs="宋体"/>
          <w:color w:val="auto"/>
          <w:kern w:val="0"/>
          <w:sz w:val="24"/>
          <w:highlight w:val="none"/>
        </w:rPr>
        <w:t>7.</w:t>
      </w:r>
      <w:r>
        <w:rPr>
          <w:rFonts w:ascii="仿宋" w:hAnsi="仿宋" w:eastAsia="仿宋" w:cs="宋体"/>
          <w:color w:val="auto"/>
          <w:kern w:val="0"/>
          <w:sz w:val="24"/>
          <w:highlight w:val="none"/>
        </w:rPr>
        <w:t>3</w:t>
      </w:r>
      <w:r>
        <w:rPr>
          <w:rFonts w:hint="eastAsia" w:ascii="仿宋" w:hAnsi="仿宋" w:eastAsia="仿宋" w:cs="宋体"/>
          <w:color w:val="auto"/>
          <w:kern w:val="0"/>
          <w:sz w:val="24"/>
          <w:highlight w:val="none"/>
        </w:rPr>
        <w:t xml:space="preserve">  供应商收到澄清或修改后，应当按照供应商须知前附表规定的时间和方式通知采购人，确认已收到该澄清或修改。</w:t>
      </w:r>
    </w:p>
    <w:p w14:paraId="45CFE693">
      <w:pPr>
        <w:spacing w:line="360" w:lineRule="auto"/>
        <w:jc w:val="left"/>
        <w:rPr>
          <w:rFonts w:ascii="仿宋" w:hAnsi="仿宋" w:eastAsia="仿宋" w:cs="仿宋"/>
          <w:color w:val="auto"/>
          <w:sz w:val="24"/>
          <w:highlight w:val="none"/>
        </w:rPr>
      </w:pPr>
      <w:r>
        <w:rPr>
          <w:rFonts w:hint="eastAsia" w:ascii="仿宋" w:hAnsi="仿宋" w:eastAsia="仿宋" w:cs="宋体"/>
          <w:color w:val="auto"/>
          <w:kern w:val="0"/>
          <w:sz w:val="24"/>
          <w:highlight w:val="none"/>
        </w:rPr>
        <w:t>7</w:t>
      </w:r>
      <w:r>
        <w:rPr>
          <w:rFonts w:ascii="仿宋" w:hAnsi="仿宋" w:eastAsia="仿宋" w:cs="宋体"/>
          <w:color w:val="auto"/>
          <w:kern w:val="0"/>
          <w:sz w:val="24"/>
          <w:highlight w:val="none"/>
        </w:rPr>
        <w:t>.</w:t>
      </w:r>
      <w:r>
        <w:rPr>
          <w:rFonts w:hint="eastAsia" w:ascii="仿宋" w:hAnsi="仿宋" w:eastAsia="仿宋" w:cs="宋体"/>
          <w:color w:val="auto"/>
          <w:kern w:val="0"/>
          <w:sz w:val="24"/>
          <w:highlight w:val="none"/>
        </w:rPr>
        <w:t>4</w:t>
      </w:r>
      <w:r>
        <w:rPr>
          <w:rFonts w:hint="eastAsia" w:ascii="仿宋" w:hAnsi="仿宋" w:eastAsia="仿宋" w:cs="仿宋"/>
          <w:color w:val="auto"/>
          <w:sz w:val="24"/>
          <w:highlight w:val="none"/>
        </w:rPr>
        <w:t xml:space="preserve"> </w:t>
      </w:r>
      <w:r>
        <w:rPr>
          <w:rFonts w:hint="eastAsia" w:ascii="仿宋" w:hAnsi="仿宋" w:eastAsia="仿宋" w:cs="宋体"/>
          <w:color w:val="auto"/>
          <w:kern w:val="0"/>
          <w:sz w:val="24"/>
          <w:highlight w:val="none"/>
        </w:rPr>
        <w:t>所有关于</w:t>
      </w:r>
      <w:r>
        <w:rPr>
          <w:rFonts w:hint="eastAsia" w:ascii="仿宋" w:hAnsi="仿宋" w:eastAsia="仿宋" w:cs="仿宋"/>
          <w:color w:val="auto"/>
          <w:sz w:val="24"/>
          <w:highlight w:val="none"/>
        </w:rPr>
        <w:t>磋商文件</w:t>
      </w:r>
      <w:r>
        <w:rPr>
          <w:rFonts w:hint="eastAsia" w:ascii="仿宋" w:hAnsi="仿宋" w:eastAsia="仿宋" w:cs="宋体"/>
          <w:color w:val="auto"/>
          <w:kern w:val="0"/>
          <w:sz w:val="24"/>
          <w:highlight w:val="none"/>
        </w:rPr>
        <w:t>的澄清和修改均作为</w:t>
      </w:r>
      <w:r>
        <w:rPr>
          <w:rFonts w:hint="eastAsia" w:ascii="仿宋" w:hAnsi="仿宋" w:eastAsia="仿宋" w:cs="仿宋"/>
          <w:color w:val="auto"/>
          <w:sz w:val="24"/>
          <w:highlight w:val="none"/>
        </w:rPr>
        <w:t>磋商文件</w:t>
      </w:r>
      <w:r>
        <w:rPr>
          <w:rFonts w:hint="eastAsia" w:ascii="仿宋" w:hAnsi="仿宋" w:eastAsia="仿宋" w:cs="宋体"/>
          <w:color w:val="auto"/>
          <w:kern w:val="0"/>
          <w:sz w:val="24"/>
          <w:highlight w:val="none"/>
        </w:rPr>
        <w:t>的补充部分。</w:t>
      </w:r>
      <w:r>
        <w:rPr>
          <w:rFonts w:hint="eastAsia" w:ascii="仿宋" w:hAnsi="仿宋" w:eastAsia="仿宋" w:cs="仿宋"/>
          <w:color w:val="auto"/>
          <w:sz w:val="24"/>
          <w:highlight w:val="none"/>
        </w:rPr>
        <w:t>当磋商文件、磋商文件的澄清或修改等在同一内容的表述上不一致时，以最后发出的书面文件为准。</w:t>
      </w:r>
    </w:p>
    <w:p w14:paraId="03323B2E">
      <w:pPr>
        <w:pStyle w:val="5"/>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8.磋商响应预备会</w:t>
      </w:r>
    </w:p>
    <w:p w14:paraId="34936C56">
      <w:pPr>
        <w:spacing w:line="360" w:lineRule="auto"/>
        <w:textAlignment w:val="baseline"/>
        <w:rPr>
          <w:rFonts w:hint="eastAsia" w:ascii="仿宋" w:hAnsi="仿宋" w:eastAsia="仿宋" w:cs="宋体"/>
          <w:color w:val="auto"/>
          <w:sz w:val="24"/>
          <w:highlight w:val="none"/>
          <w:u w:val="single"/>
          <w:lang w:eastAsia="zh-CN"/>
        </w:rPr>
      </w:pPr>
      <w:r>
        <w:rPr>
          <w:rFonts w:hint="eastAsia" w:ascii="仿宋" w:hAnsi="仿宋" w:eastAsia="仿宋" w:cs="宋体"/>
          <w:color w:val="auto"/>
          <w:sz w:val="24"/>
          <w:highlight w:val="none"/>
        </w:rPr>
        <w:t>采购人认为必要时，将召开磋商响应预备会(答疑会)，公开解答潜在供应商对磋商文件提出的疑问</w:t>
      </w:r>
      <w:r>
        <w:rPr>
          <w:rFonts w:hint="eastAsia" w:ascii="仿宋" w:hAnsi="仿宋" w:eastAsia="仿宋" w:cs="宋体"/>
          <w:color w:val="auto"/>
          <w:sz w:val="24"/>
          <w:highlight w:val="none"/>
          <w:lang w:eastAsia="zh-CN"/>
        </w:rPr>
        <w:t>。</w:t>
      </w:r>
    </w:p>
    <w:p w14:paraId="370B0A43">
      <w:pPr>
        <w:pStyle w:val="4"/>
        <w:numPr>
          <w:ilvl w:val="0"/>
          <w:numId w:val="0"/>
        </w:numPr>
        <w:spacing w:after="0" w:line="360" w:lineRule="auto"/>
        <w:jc w:val="center"/>
        <w:rPr>
          <w:rFonts w:hint="eastAsia" w:ascii="仿宋" w:hAnsi="仿宋" w:eastAsia="仿宋" w:cs="仿宋"/>
          <w:color w:val="auto"/>
          <w:sz w:val="24"/>
          <w:szCs w:val="24"/>
          <w:highlight w:val="none"/>
        </w:rPr>
      </w:pPr>
      <w:bookmarkStart w:id="62" w:name="_Toc1832"/>
      <w:bookmarkStart w:id="63" w:name="_Toc444891339"/>
      <w:bookmarkStart w:id="64" w:name="_Toc517281819"/>
      <w:bookmarkStart w:id="65" w:name="_Toc13691"/>
      <w:bookmarkStart w:id="66" w:name="_Toc19783316"/>
      <w:bookmarkStart w:id="67" w:name="_Toc27642"/>
      <w:bookmarkStart w:id="68" w:name="_Toc14308"/>
      <w:bookmarkStart w:id="69" w:name="_Toc27563"/>
      <w:bookmarkStart w:id="70" w:name="_Toc16985"/>
      <w:bookmarkStart w:id="71" w:name="_Toc287600121"/>
      <w:r>
        <w:rPr>
          <w:rFonts w:hint="eastAsia" w:ascii="仿宋" w:hAnsi="仿宋" w:eastAsia="仿宋" w:cs="仿宋"/>
          <w:color w:val="auto"/>
          <w:sz w:val="24"/>
          <w:szCs w:val="24"/>
          <w:highlight w:val="none"/>
        </w:rPr>
        <w:t>（三）响应文件</w:t>
      </w:r>
      <w:bookmarkEnd w:id="62"/>
      <w:bookmarkEnd w:id="63"/>
      <w:bookmarkEnd w:id="64"/>
      <w:bookmarkEnd w:id="65"/>
      <w:bookmarkEnd w:id="66"/>
      <w:bookmarkEnd w:id="67"/>
      <w:bookmarkEnd w:id="68"/>
      <w:bookmarkEnd w:id="69"/>
      <w:bookmarkEnd w:id="70"/>
      <w:bookmarkEnd w:id="71"/>
    </w:p>
    <w:p w14:paraId="0444D743">
      <w:pPr>
        <w:pStyle w:val="5"/>
        <w:spacing w:before="0" w:after="0" w:line="360" w:lineRule="auto"/>
        <w:jc w:val="left"/>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9</w:t>
      </w:r>
      <w:r>
        <w:rPr>
          <w:rFonts w:hint="eastAsia" w:ascii="仿宋" w:hAnsi="仿宋" w:eastAsia="仿宋" w:cs="仿宋"/>
          <w:color w:val="auto"/>
          <w:sz w:val="24"/>
          <w:szCs w:val="24"/>
          <w:highlight w:val="none"/>
        </w:rPr>
        <w:t>.响应文件的组成</w:t>
      </w:r>
    </w:p>
    <w:p w14:paraId="7C1211CE">
      <w:pPr>
        <w:spacing w:line="360" w:lineRule="auto"/>
        <w:jc w:val="left"/>
        <w:rPr>
          <w:rFonts w:hint="eastAsia" w:ascii="仿宋" w:hAnsi="仿宋" w:eastAsia="仿宋" w:cs="仿宋"/>
          <w:color w:val="auto"/>
          <w:sz w:val="24"/>
          <w:highlight w:val="none"/>
        </w:rPr>
      </w:pPr>
      <w:r>
        <w:rPr>
          <w:rFonts w:hint="eastAsia" w:ascii="仿宋" w:hAnsi="仿宋" w:eastAsia="仿宋" w:cs="宋体"/>
          <w:color w:val="auto"/>
          <w:sz w:val="24"/>
          <w:highlight w:val="none"/>
        </w:rPr>
        <w:t>供应商应当按照供应商须知前附表的要求制作并提交响应文件，具体组成</w:t>
      </w:r>
      <w:r>
        <w:rPr>
          <w:rFonts w:hint="eastAsia" w:ascii="仿宋" w:hAnsi="仿宋" w:eastAsia="仿宋" w:cs="仿宋"/>
          <w:color w:val="auto"/>
          <w:sz w:val="24"/>
          <w:highlight w:val="none"/>
          <w:u w:val="single"/>
        </w:rPr>
        <w:t>见本须知前附表</w:t>
      </w:r>
      <w:r>
        <w:rPr>
          <w:rFonts w:hint="eastAsia" w:ascii="仿宋" w:hAnsi="仿宋" w:eastAsia="仿宋" w:cs="仿宋"/>
          <w:color w:val="auto"/>
          <w:sz w:val="24"/>
          <w:highlight w:val="none"/>
        </w:rPr>
        <w:t>。</w:t>
      </w:r>
    </w:p>
    <w:p w14:paraId="616BCD2A">
      <w:pPr>
        <w:pStyle w:val="5"/>
        <w:spacing w:before="0" w:after="0" w:line="360" w:lineRule="auto"/>
        <w:jc w:val="left"/>
        <w:rPr>
          <w:rFonts w:ascii="仿宋" w:hAnsi="仿宋" w:eastAsia="仿宋" w:cs="仿宋"/>
          <w:color w:val="auto"/>
          <w:sz w:val="24"/>
          <w:szCs w:val="24"/>
          <w:highlight w:val="none"/>
        </w:rPr>
      </w:pPr>
      <w:r>
        <w:rPr>
          <w:rFonts w:ascii="仿宋" w:hAnsi="仿宋" w:eastAsia="仿宋" w:cs="仿宋"/>
          <w:color w:val="auto"/>
          <w:sz w:val="24"/>
          <w:szCs w:val="24"/>
          <w:highlight w:val="none"/>
        </w:rPr>
        <w:t>10</w:t>
      </w:r>
      <w:r>
        <w:rPr>
          <w:rFonts w:hint="eastAsia" w:ascii="仿宋" w:hAnsi="仿宋" w:eastAsia="仿宋" w:cs="仿宋"/>
          <w:color w:val="auto"/>
          <w:sz w:val="24"/>
          <w:szCs w:val="24"/>
          <w:highlight w:val="none"/>
        </w:rPr>
        <w:t>.响应文件的编制</w:t>
      </w:r>
    </w:p>
    <w:p w14:paraId="54A8FB78">
      <w:pPr>
        <w:widowControl/>
        <w:topLinePunct/>
        <w:spacing w:line="360" w:lineRule="auto"/>
        <w:rPr>
          <w:rFonts w:hint="eastAsia" w:ascii="仿宋" w:hAnsi="仿宋" w:eastAsia="仿宋" w:cs="宋体"/>
          <w:color w:val="auto"/>
          <w:kern w:val="0"/>
          <w:sz w:val="24"/>
          <w:highlight w:val="none"/>
        </w:rPr>
      </w:pPr>
      <w:r>
        <w:rPr>
          <w:rFonts w:ascii="仿宋" w:hAnsi="仿宋" w:eastAsia="仿宋" w:cs="宋体"/>
          <w:color w:val="auto"/>
          <w:kern w:val="0"/>
          <w:sz w:val="24"/>
          <w:highlight w:val="none"/>
        </w:rPr>
        <w:t>10</w:t>
      </w:r>
      <w:r>
        <w:rPr>
          <w:rFonts w:hint="eastAsia" w:ascii="仿宋" w:hAnsi="仿宋" w:eastAsia="仿宋" w:cs="宋体"/>
          <w:color w:val="auto"/>
          <w:kern w:val="0"/>
          <w:sz w:val="24"/>
          <w:highlight w:val="none"/>
        </w:rPr>
        <w:t xml:space="preserve">.1 供应商应当按照磋商文件的要求编制响应文件，并对其提交的响应文件的真实性、合法性承担法律责任。响应文件应当对磋商文件提出的实质性要求和条件作出响应。 </w:t>
      </w:r>
    </w:p>
    <w:p w14:paraId="0C78DD20">
      <w:pPr>
        <w:widowControl/>
        <w:topLinePunct/>
        <w:spacing w:line="360" w:lineRule="auto"/>
        <w:rPr>
          <w:rFonts w:ascii="仿宋" w:hAnsi="仿宋" w:eastAsia="仿宋" w:cs="宋体"/>
          <w:color w:val="auto"/>
          <w:kern w:val="0"/>
          <w:sz w:val="24"/>
          <w:highlight w:val="none"/>
        </w:rPr>
      </w:pPr>
      <w:r>
        <w:rPr>
          <w:rFonts w:ascii="仿宋" w:hAnsi="仿宋" w:eastAsia="仿宋" w:cs="宋体"/>
          <w:color w:val="auto"/>
          <w:kern w:val="0"/>
          <w:sz w:val="24"/>
          <w:highlight w:val="none"/>
        </w:rPr>
        <w:t>10</w:t>
      </w:r>
      <w:r>
        <w:rPr>
          <w:rFonts w:hint="eastAsia" w:ascii="仿宋" w:hAnsi="仿宋" w:eastAsia="仿宋" w:cs="宋体"/>
          <w:color w:val="auto"/>
          <w:kern w:val="0"/>
          <w:sz w:val="24"/>
          <w:highlight w:val="none"/>
        </w:rPr>
        <w:t xml:space="preserve">.2 供应商应认真阅读磋商文件中所有的事项、格式、条款和技术规范等。供应商没有按照磋商文件要求递交全部资料，或者供应商没有对磋商文件在各方面都作出实质性响应是供应商的风险，并可能导致其磋商响应被否决。 </w:t>
      </w:r>
    </w:p>
    <w:p w14:paraId="0DB1B81A">
      <w:pPr>
        <w:widowControl/>
        <w:topLinePunct/>
        <w:spacing w:line="360" w:lineRule="auto"/>
        <w:rPr>
          <w:rFonts w:hint="eastAsia" w:ascii="仿宋" w:hAnsi="仿宋" w:eastAsia="仿宋" w:cs="宋体"/>
          <w:color w:val="auto"/>
          <w:kern w:val="0"/>
          <w:sz w:val="24"/>
          <w:highlight w:val="none"/>
        </w:rPr>
      </w:pPr>
      <w:r>
        <w:rPr>
          <w:rFonts w:hint="eastAsia" w:ascii="仿宋" w:hAnsi="仿宋" w:eastAsia="仿宋" w:cs="宋体"/>
          <w:color w:val="auto"/>
          <w:kern w:val="0"/>
          <w:sz w:val="24"/>
          <w:highlight w:val="none"/>
        </w:rPr>
        <w:t>1</w:t>
      </w:r>
      <w:r>
        <w:rPr>
          <w:rFonts w:ascii="仿宋" w:hAnsi="仿宋" w:eastAsia="仿宋" w:cs="宋体"/>
          <w:color w:val="auto"/>
          <w:kern w:val="0"/>
          <w:sz w:val="24"/>
          <w:highlight w:val="none"/>
        </w:rPr>
        <w:t xml:space="preserve">0.3 </w:t>
      </w:r>
      <w:r>
        <w:rPr>
          <w:rFonts w:hint="eastAsia" w:ascii="仿宋" w:hAnsi="仿宋" w:eastAsia="仿宋" w:cs="宋体"/>
          <w:color w:val="auto"/>
          <w:kern w:val="0"/>
          <w:sz w:val="24"/>
          <w:highlight w:val="none"/>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磋商文件中要求进行解释或提出建议的除外）。</w:t>
      </w:r>
    </w:p>
    <w:p w14:paraId="4E7CDBD0">
      <w:pPr>
        <w:widowControl/>
        <w:topLinePunct/>
        <w:spacing w:line="360" w:lineRule="auto"/>
        <w:rPr>
          <w:rFonts w:hint="eastAsia" w:ascii="仿宋" w:hAnsi="仿宋" w:eastAsia="仿宋" w:cs="宋体"/>
          <w:color w:val="auto"/>
          <w:kern w:val="0"/>
          <w:sz w:val="24"/>
          <w:highlight w:val="none"/>
        </w:rPr>
      </w:pPr>
      <w:r>
        <w:rPr>
          <w:rFonts w:hint="eastAsia" w:ascii="仿宋" w:hAnsi="仿宋" w:eastAsia="仿宋" w:cs="宋体"/>
          <w:color w:val="auto"/>
          <w:kern w:val="0"/>
          <w:sz w:val="24"/>
          <w:highlight w:val="none"/>
        </w:rPr>
        <w:t>1</w:t>
      </w:r>
      <w:r>
        <w:rPr>
          <w:rFonts w:ascii="仿宋" w:hAnsi="仿宋" w:eastAsia="仿宋" w:cs="宋体"/>
          <w:color w:val="auto"/>
          <w:kern w:val="0"/>
          <w:sz w:val="24"/>
          <w:highlight w:val="none"/>
        </w:rPr>
        <w:t xml:space="preserve">0.4 </w:t>
      </w:r>
      <w:r>
        <w:rPr>
          <w:rFonts w:hint="eastAsia" w:ascii="仿宋" w:hAnsi="仿宋" w:eastAsia="仿宋" w:cs="宋体"/>
          <w:color w:val="auto"/>
          <w:kern w:val="0"/>
          <w:sz w:val="24"/>
          <w:highlight w:val="none"/>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磋商文件中要求进行解释或提出建议的除外）。</w:t>
      </w:r>
    </w:p>
    <w:p w14:paraId="0817BBA0">
      <w:pPr>
        <w:widowControl/>
        <w:topLinePunct/>
        <w:spacing w:line="360" w:lineRule="auto"/>
        <w:rPr>
          <w:rFonts w:hint="eastAsia" w:ascii="仿宋" w:hAnsi="仿宋" w:eastAsia="仿宋" w:cs="宋体"/>
          <w:color w:val="auto"/>
          <w:kern w:val="0"/>
          <w:sz w:val="24"/>
          <w:highlight w:val="none"/>
        </w:rPr>
      </w:pPr>
      <w:r>
        <w:rPr>
          <w:rFonts w:ascii="仿宋" w:hAnsi="仿宋" w:eastAsia="仿宋" w:cs="宋体"/>
          <w:color w:val="auto"/>
          <w:kern w:val="0"/>
          <w:sz w:val="24"/>
          <w:highlight w:val="none"/>
        </w:rPr>
        <w:t>10</w:t>
      </w:r>
      <w:r>
        <w:rPr>
          <w:rFonts w:hint="eastAsia" w:ascii="仿宋" w:hAnsi="仿宋" w:eastAsia="仿宋" w:cs="宋体"/>
          <w:color w:val="auto"/>
          <w:kern w:val="0"/>
          <w:sz w:val="24"/>
          <w:highlight w:val="none"/>
        </w:rPr>
        <w:t>.</w:t>
      </w:r>
      <w:r>
        <w:rPr>
          <w:rFonts w:ascii="仿宋" w:hAnsi="仿宋" w:eastAsia="仿宋" w:cs="宋体"/>
          <w:color w:val="auto"/>
          <w:kern w:val="0"/>
          <w:sz w:val="24"/>
          <w:highlight w:val="none"/>
        </w:rPr>
        <w:t>5</w:t>
      </w:r>
      <w:r>
        <w:rPr>
          <w:rFonts w:hint="eastAsia" w:ascii="仿宋" w:hAnsi="仿宋" w:eastAsia="仿宋" w:cs="宋体"/>
          <w:color w:val="auto"/>
          <w:kern w:val="0"/>
          <w:sz w:val="24"/>
          <w:highlight w:val="none"/>
        </w:rPr>
        <w:t xml:space="preserve"> 供应商提交的响应文件以及供应商与采购人就有关磋商的所有往来函电均应使用中文。供应商提交的证明文件和印刷的文献可以使用另一种语言，但相应内容应当译成中文，在解释响应文件时以中文译本为准。</w:t>
      </w:r>
    </w:p>
    <w:p w14:paraId="4FB0FE9F">
      <w:pPr>
        <w:widowControl/>
        <w:topLinePunct/>
        <w:spacing w:line="360" w:lineRule="auto"/>
        <w:rPr>
          <w:rFonts w:hint="eastAsia" w:ascii="仿宋" w:hAnsi="仿宋" w:eastAsia="仿宋" w:cs="宋体"/>
          <w:color w:val="auto"/>
          <w:kern w:val="0"/>
          <w:sz w:val="24"/>
          <w:highlight w:val="none"/>
          <w:u w:val="single"/>
        </w:rPr>
      </w:pPr>
      <w:r>
        <w:rPr>
          <w:rFonts w:ascii="仿宋" w:hAnsi="仿宋" w:eastAsia="仿宋" w:cs="宋体"/>
          <w:color w:val="auto"/>
          <w:kern w:val="0"/>
          <w:sz w:val="24"/>
          <w:highlight w:val="none"/>
        </w:rPr>
        <w:t>10</w:t>
      </w:r>
      <w:r>
        <w:rPr>
          <w:rFonts w:hint="eastAsia" w:ascii="仿宋" w:hAnsi="仿宋" w:eastAsia="仿宋" w:cs="宋体"/>
          <w:color w:val="auto"/>
          <w:kern w:val="0"/>
          <w:sz w:val="24"/>
          <w:highlight w:val="none"/>
        </w:rPr>
        <w:t>.</w:t>
      </w:r>
      <w:r>
        <w:rPr>
          <w:rFonts w:ascii="仿宋" w:hAnsi="仿宋" w:eastAsia="仿宋" w:cs="宋体"/>
          <w:color w:val="auto"/>
          <w:kern w:val="0"/>
          <w:sz w:val="24"/>
          <w:highlight w:val="none"/>
        </w:rPr>
        <w:t>6</w:t>
      </w:r>
      <w:r>
        <w:rPr>
          <w:rFonts w:hint="eastAsia" w:ascii="仿宋" w:hAnsi="仿宋" w:eastAsia="仿宋" w:cs="宋体"/>
          <w:color w:val="auto"/>
          <w:kern w:val="0"/>
          <w:sz w:val="24"/>
          <w:highlight w:val="none"/>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72" w:name="_Hlk173250545"/>
      <w:r>
        <w:rPr>
          <w:rFonts w:hint="eastAsia" w:ascii="仿宋" w:hAnsi="仿宋" w:eastAsia="仿宋" w:cs="宋体"/>
          <w:color w:val="auto"/>
          <w:kern w:val="0"/>
          <w:sz w:val="24"/>
          <w:highlight w:val="none"/>
        </w:rPr>
        <w:t>盖章或者签字另有要求的，</w:t>
      </w:r>
      <w:r>
        <w:rPr>
          <w:rFonts w:hint="eastAsia" w:ascii="仿宋" w:hAnsi="仿宋" w:eastAsia="仿宋" w:cs="宋体"/>
          <w:color w:val="auto"/>
          <w:kern w:val="0"/>
          <w:sz w:val="24"/>
          <w:highlight w:val="none"/>
          <w:u w:val="single"/>
        </w:rPr>
        <w:t>见本须知前附表。</w:t>
      </w:r>
    </w:p>
    <w:bookmarkEnd w:id="72"/>
    <w:p w14:paraId="0A040C1C">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ascii="仿宋" w:hAnsi="仿宋" w:eastAsia="仿宋" w:cs="仿宋"/>
          <w:color w:val="auto"/>
          <w:sz w:val="24"/>
          <w:highlight w:val="none"/>
        </w:rPr>
        <w:t>0.7</w:t>
      </w:r>
      <w:r>
        <w:rPr>
          <w:rFonts w:hint="eastAsia" w:ascii="仿宋" w:hAnsi="仿宋" w:eastAsia="仿宋" w:cs="仿宋"/>
          <w:color w:val="auto"/>
          <w:sz w:val="24"/>
          <w:highlight w:val="none"/>
        </w:rPr>
        <w:t>除工程规范另有规定外，响应文件使用的度量衡单位，均采用中华人民共和国法定计量单位。</w:t>
      </w:r>
    </w:p>
    <w:p w14:paraId="70626FC5">
      <w:pPr>
        <w:pStyle w:val="5"/>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11.磋商响应报价</w:t>
      </w:r>
    </w:p>
    <w:p w14:paraId="5C573679">
      <w:pPr>
        <w:widowControl/>
        <w:topLinePunct/>
        <w:spacing w:line="360" w:lineRule="auto"/>
        <w:rPr>
          <w:rFonts w:hint="eastAsia" w:ascii="仿宋" w:hAnsi="仿宋" w:eastAsia="仿宋" w:cs="宋体"/>
          <w:color w:val="auto"/>
          <w:kern w:val="0"/>
          <w:sz w:val="24"/>
          <w:highlight w:val="none"/>
        </w:rPr>
      </w:pPr>
      <w:r>
        <w:rPr>
          <w:rFonts w:hint="eastAsia" w:ascii="仿宋" w:hAnsi="仿宋" w:eastAsia="仿宋" w:cs="宋体"/>
          <w:color w:val="auto"/>
          <w:kern w:val="0"/>
          <w:sz w:val="24"/>
          <w:highlight w:val="none"/>
        </w:rPr>
        <w:t>供应商应当根据磋商文件要求进行报价，供应商应当报出符合磋商文件要求的拟提供货物或服务的单价、总价、费率、税率等内容，采购人不接受供应商的任何低于成本报价的不正当竞争方式，其他报价要求</w:t>
      </w:r>
      <w:r>
        <w:rPr>
          <w:rFonts w:hint="eastAsia" w:ascii="仿宋" w:hAnsi="仿宋" w:eastAsia="仿宋" w:cs="仿宋"/>
          <w:color w:val="auto"/>
          <w:sz w:val="24"/>
          <w:highlight w:val="none"/>
        </w:rPr>
        <w:t>见</w:t>
      </w:r>
      <w:r>
        <w:rPr>
          <w:rFonts w:hint="eastAsia" w:ascii="仿宋" w:hAnsi="仿宋" w:eastAsia="仿宋" w:cs="仿宋"/>
          <w:color w:val="auto"/>
          <w:sz w:val="24"/>
          <w:highlight w:val="none"/>
          <w:u w:val="single"/>
        </w:rPr>
        <w:t>供应商须知前附表</w:t>
      </w:r>
      <w:r>
        <w:rPr>
          <w:rFonts w:hint="eastAsia" w:ascii="仿宋" w:hAnsi="仿宋" w:eastAsia="仿宋" w:cs="仿宋"/>
          <w:color w:val="auto"/>
          <w:sz w:val="24"/>
          <w:highlight w:val="none"/>
        </w:rPr>
        <w:t>。</w:t>
      </w:r>
    </w:p>
    <w:p w14:paraId="129402C4">
      <w:pPr>
        <w:pStyle w:val="5"/>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ascii="仿宋" w:hAnsi="仿宋" w:eastAsia="仿宋" w:cs="仿宋"/>
          <w:color w:val="auto"/>
          <w:sz w:val="24"/>
          <w:szCs w:val="24"/>
          <w:highlight w:val="none"/>
        </w:rPr>
        <w:t>2</w:t>
      </w:r>
      <w:r>
        <w:rPr>
          <w:rFonts w:hint="eastAsia" w:ascii="仿宋" w:hAnsi="仿宋" w:eastAsia="仿宋" w:cs="仿宋"/>
          <w:color w:val="auto"/>
          <w:sz w:val="24"/>
          <w:szCs w:val="24"/>
          <w:highlight w:val="none"/>
        </w:rPr>
        <w:t>.磋商响应有效期</w:t>
      </w:r>
    </w:p>
    <w:p w14:paraId="3F90830C">
      <w:pPr>
        <w:widowControl/>
        <w:topLinePunct/>
        <w:spacing w:line="360" w:lineRule="auto"/>
        <w:rPr>
          <w:rFonts w:hint="eastAsia" w:ascii="仿宋" w:hAnsi="仿宋" w:eastAsia="仿宋" w:cs="宋体"/>
          <w:color w:val="auto"/>
          <w:kern w:val="0"/>
          <w:sz w:val="24"/>
          <w:highlight w:val="none"/>
        </w:rPr>
      </w:pPr>
      <w:r>
        <w:rPr>
          <w:rFonts w:ascii="仿宋" w:hAnsi="仿宋" w:eastAsia="仿宋" w:cs="宋体"/>
          <w:color w:val="auto"/>
          <w:kern w:val="0"/>
          <w:sz w:val="24"/>
          <w:highlight w:val="none"/>
        </w:rPr>
        <w:t>12</w:t>
      </w:r>
      <w:r>
        <w:rPr>
          <w:rFonts w:hint="eastAsia" w:ascii="仿宋" w:hAnsi="仿宋" w:eastAsia="仿宋" w:cs="宋体"/>
          <w:color w:val="auto"/>
          <w:kern w:val="0"/>
          <w:sz w:val="24"/>
          <w:highlight w:val="none"/>
        </w:rPr>
        <w:t>.1 磋商响应有效期从响应文件递交截止之日起算，具体时间</w:t>
      </w:r>
      <w:r>
        <w:rPr>
          <w:rFonts w:hint="eastAsia" w:ascii="仿宋" w:hAnsi="仿宋" w:eastAsia="仿宋" w:cs="宋体"/>
          <w:color w:val="auto"/>
          <w:kern w:val="0"/>
          <w:sz w:val="24"/>
          <w:highlight w:val="none"/>
          <w:u w:val="single"/>
        </w:rPr>
        <w:t>见本须知前附表</w:t>
      </w:r>
      <w:r>
        <w:rPr>
          <w:rFonts w:hint="eastAsia" w:ascii="仿宋" w:hAnsi="仿宋" w:eastAsia="仿宋" w:cs="宋体"/>
          <w:color w:val="auto"/>
          <w:kern w:val="0"/>
          <w:sz w:val="24"/>
          <w:highlight w:val="none"/>
        </w:rPr>
        <w:t>，在此期间，供应商不得要求撤销或修改其响应文件。供应商承诺的磋商响应有效期必须不短于磋商文件规定的磋商响应有效期，否则将构成对磋商文件的非实质性响应，磋商响应将被否决。</w:t>
      </w:r>
    </w:p>
    <w:p w14:paraId="30BF7775">
      <w:pPr>
        <w:widowControl/>
        <w:topLinePunct/>
        <w:spacing w:line="360" w:lineRule="auto"/>
        <w:rPr>
          <w:rFonts w:hint="eastAsia" w:ascii="仿宋" w:hAnsi="仿宋" w:eastAsia="仿宋" w:cs="宋体"/>
          <w:color w:val="auto"/>
          <w:kern w:val="0"/>
          <w:sz w:val="24"/>
          <w:highlight w:val="none"/>
        </w:rPr>
      </w:pPr>
      <w:r>
        <w:rPr>
          <w:rFonts w:ascii="仿宋" w:hAnsi="仿宋" w:eastAsia="仿宋" w:cs="宋体"/>
          <w:color w:val="auto"/>
          <w:kern w:val="0"/>
          <w:sz w:val="24"/>
          <w:highlight w:val="none"/>
        </w:rPr>
        <w:t>12</w:t>
      </w:r>
      <w:r>
        <w:rPr>
          <w:rFonts w:hint="eastAsia" w:ascii="仿宋" w:hAnsi="仿宋" w:eastAsia="仿宋" w:cs="宋体"/>
          <w:color w:val="auto"/>
          <w:kern w:val="0"/>
          <w:sz w:val="24"/>
          <w:highlight w:val="none"/>
        </w:rPr>
        <w:t>.2 在原磋商响应有效期结束前，出现特殊情况的，采购人可以书面形式要求所有供应商延长磋商响应有效期。供应商同意延长的，不得要求或被允许修改其响应文件的实质性内容</w:t>
      </w:r>
      <w:r>
        <w:rPr>
          <w:rFonts w:hint="eastAsia" w:ascii="仿宋" w:hAnsi="仿宋" w:eastAsia="仿宋" w:cs="宋体"/>
          <w:color w:val="auto"/>
          <w:kern w:val="0"/>
          <w:sz w:val="24"/>
          <w:highlight w:val="none"/>
          <w:lang w:eastAsia="zh-CN"/>
        </w:rPr>
        <w:t>。</w:t>
      </w:r>
      <w:r>
        <w:rPr>
          <w:rFonts w:hint="eastAsia" w:ascii="仿宋" w:hAnsi="仿宋" w:eastAsia="仿宋" w:cs="宋体"/>
          <w:color w:val="auto"/>
          <w:kern w:val="0"/>
          <w:sz w:val="24"/>
          <w:highlight w:val="none"/>
        </w:rPr>
        <w:t>供应商拒绝延长的，其磋商响应失效。</w:t>
      </w:r>
    </w:p>
    <w:p w14:paraId="61D15F4B">
      <w:pPr>
        <w:pStyle w:val="5"/>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ascii="仿宋" w:hAnsi="仿宋" w:eastAsia="仿宋" w:cs="仿宋"/>
          <w:color w:val="auto"/>
          <w:sz w:val="24"/>
          <w:szCs w:val="24"/>
          <w:highlight w:val="none"/>
        </w:rPr>
        <w:t>3</w:t>
      </w:r>
      <w:r>
        <w:rPr>
          <w:rFonts w:hint="eastAsia" w:ascii="仿宋" w:hAnsi="仿宋" w:eastAsia="仿宋" w:cs="仿宋"/>
          <w:color w:val="auto"/>
          <w:sz w:val="24"/>
          <w:szCs w:val="24"/>
          <w:highlight w:val="none"/>
        </w:rPr>
        <w:t>.磋商保证金</w:t>
      </w:r>
    </w:p>
    <w:p w14:paraId="16585896">
      <w:pPr>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1</w:t>
      </w:r>
      <w:r>
        <w:rPr>
          <w:rFonts w:ascii="仿宋" w:hAnsi="仿宋" w:eastAsia="仿宋" w:cs="仿宋"/>
          <w:color w:val="auto"/>
          <w:sz w:val="24"/>
          <w:highlight w:val="none"/>
        </w:rPr>
        <w:t>3</w:t>
      </w:r>
      <w:r>
        <w:rPr>
          <w:rFonts w:hint="eastAsia" w:ascii="仿宋" w:hAnsi="仿宋" w:eastAsia="仿宋" w:cs="仿宋"/>
          <w:color w:val="auto"/>
          <w:sz w:val="24"/>
          <w:highlight w:val="none"/>
        </w:rPr>
        <w:t>.1</w:t>
      </w:r>
      <w:r>
        <w:rPr>
          <w:rFonts w:hint="eastAsia" w:ascii="仿宋" w:hAnsi="仿宋" w:eastAsia="仿宋" w:cs="宋体"/>
          <w:color w:val="auto"/>
          <w:kern w:val="0"/>
          <w:sz w:val="24"/>
          <w:highlight w:val="none"/>
        </w:rPr>
        <w:t>采购人要求</w:t>
      </w:r>
      <w:r>
        <w:rPr>
          <w:rFonts w:hint="eastAsia" w:ascii="仿宋" w:hAnsi="仿宋" w:eastAsia="仿宋" w:cs="仿宋"/>
          <w:color w:val="auto"/>
          <w:sz w:val="24"/>
          <w:highlight w:val="none"/>
        </w:rPr>
        <w:t>供应商</w:t>
      </w:r>
      <w:r>
        <w:rPr>
          <w:rFonts w:hint="eastAsia" w:ascii="仿宋" w:hAnsi="仿宋" w:eastAsia="仿宋" w:cs="宋体"/>
          <w:color w:val="auto"/>
          <w:kern w:val="0"/>
          <w:sz w:val="24"/>
          <w:highlight w:val="none"/>
        </w:rPr>
        <w:t>提交磋商保证金的，磋商</w:t>
      </w:r>
      <w:r>
        <w:rPr>
          <w:rFonts w:hint="eastAsia" w:ascii="仿宋" w:hAnsi="仿宋" w:eastAsia="仿宋" w:cs="仿宋"/>
          <w:color w:val="auto"/>
          <w:sz w:val="24"/>
          <w:highlight w:val="none"/>
        </w:rPr>
        <w:t>保证金数额应当不超过采购项目预算的2%，磋商保证金有效期与磋商响应有效期一致，本项目磋商保证金金额、形式见</w:t>
      </w:r>
      <w:r>
        <w:rPr>
          <w:rFonts w:hint="eastAsia" w:ascii="仿宋" w:hAnsi="仿宋" w:eastAsia="仿宋" w:cs="仿宋"/>
          <w:color w:val="auto"/>
          <w:sz w:val="24"/>
          <w:highlight w:val="none"/>
          <w:u w:val="single"/>
        </w:rPr>
        <w:t>本须知前附表</w:t>
      </w:r>
      <w:r>
        <w:rPr>
          <w:rFonts w:hint="eastAsia" w:ascii="仿宋" w:hAnsi="仿宋" w:eastAsia="仿宋" w:cs="仿宋"/>
          <w:color w:val="auto"/>
          <w:sz w:val="24"/>
          <w:highlight w:val="none"/>
        </w:rPr>
        <w:t>。</w:t>
      </w:r>
    </w:p>
    <w:p w14:paraId="1EEC3AB3">
      <w:pPr>
        <w:widowControl/>
        <w:topLinePunct/>
        <w:spacing w:line="360" w:lineRule="auto"/>
        <w:rPr>
          <w:rFonts w:ascii="仿宋" w:hAnsi="仿宋" w:eastAsia="仿宋" w:cs="仿宋"/>
          <w:color w:val="auto"/>
          <w:kern w:val="0"/>
          <w:sz w:val="24"/>
          <w:highlight w:val="none"/>
          <w:lang w:bidi="ar"/>
        </w:rPr>
      </w:pPr>
      <w:r>
        <w:rPr>
          <w:rFonts w:ascii="仿宋" w:hAnsi="仿宋" w:eastAsia="仿宋" w:cs="仿宋"/>
          <w:color w:val="auto"/>
          <w:sz w:val="24"/>
          <w:highlight w:val="none"/>
        </w:rPr>
        <w:t>13.2</w:t>
      </w:r>
      <w:r>
        <w:rPr>
          <w:rFonts w:hint="eastAsia" w:ascii="仿宋" w:hAnsi="仿宋" w:eastAsia="仿宋" w:cs="仿宋"/>
          <w:color w:val="auto"/>
          <w:kern w:val="0"/>
          <w:sz w:val="24"/>
          <w:highlight w:val="none"/>
          <w:lang w:bidi="ar"/>
        </w:rPr>
        <w:t>供应商或成交供应商出现下列行为之一，</w:t>
      </w:r>
      <w:r>
        <w:rPr>
          <w:rFonts w:hint="eastAsia" w:ascii="仿宋" w:hAnsi="仿宋" w:eastAsia="仿宋" w:cs="宋体"/>
          <w:color w:val="auto"/>
          <w:sz w:val="24"/>
          <w:highlight w:val="none"/>
        </w:rPr>
        <w:t>磋商</w:t>
      </w:r>
      <w:r>
        <w:rPr>
          <w:rFonts w:hint="eastAsia" w:ascii="仿宋" w:hAnsi="仿宋" w:eastAsia="仿宋" w:cs="仿宋"/>
          <w:color w:val="auto"/>
          <w:kern w:val="0"/>
          <w:sz w:val="24"/>
          <w:highlight w:val="none"/>
          <w:lang w:bidi="ar"/>
        </w:rPr>
        <w:t>保证金不予退还：</w:t>
      </w:r>
    </w:p>
    <w:p w14:paraId="4A3ABEEE">
      <w:pPr>
        <w:pStyle w:val="17"/>
        <w:spacing w:line="360" w:lineRule="auto"/>
        <w:jc w:val="left"/>
        <w:rPr>
          <w:rFonts w:hint="eastAsia"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bidi="ar"/>
        </w:rPr>
        <w:t>（1）供应商在磋商截止后至磋商有效期期满前,要求撤回已递交的响应文件；</w:t>
      </w:r>
    </w:p>
    <w:p w14:paraId="6C99D8CA">
      <w:pPr>
        <w:pStyle w:val="17"/>
        <w:spacing w:line="360" w:lineRule="auto"/>
        <w:jc w:val="left"/>
        <w:rPr>
          <w:rFonts w:hint="eastAsia"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bidi="ar"/>
        </w:rPr>
        <w:t>（2）成交后放弃成交的；</w:t>
      </w:r>
    </w:p>
    <w:p w14:paraId="4E5D0462">
      <w:pPr>
        <w:pStyle w:val="17"/>
        <w:spacing w:line="360" w:lineRule="auto"/>
        <w:jc w:val="left"/>
        <w:rPr>
          <w:rFonts w:hint="eastAsia"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bidi="ar"/>
        </w:rPr>
        <w:t>（3）成交后无正当理由不与采购人订立合同的；</w:t>
      </w:r>
    </w:p>
    <w:p w14:paraId="00ECF97D">
      <w:pPr>
        <w:pStyle w:val="17"/>
        <w:spacing w:line="360" w:lineRule="auto"/>
        <w:jc w:val="left"/>
        <w:rPr>
          <w:rFonts w:hint="eastAsia"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bidi="ar"/>
        </w:rPr>
        <w:t>（4）成交供应商在签订合同时向采购人提出附加条件或要求变更实质性合同条款的；</w:t>
      </w:r>
    </w:p>
    <w:p w14:paraId="72554CB6">
      <w:pPr>
        <w:pStyle w:val="17"/>
        <w:spacing w:line="360" w:lineRule="auto"/>
        <w:jc w:val="left"/>
        <w:rPr>
          <w:rFonts w:hint="eastAsia"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bidi="ar"/>
        </w:rPr>
        <w:t>（5）成交供应商不按照磋商文件要求提交履约保证金的；</w:t>
      </w:r>
    </w:p>
    <w:p w14:paraId="65E771D1">
      <w:pPr>
        <w:pStyle w:val="17"/>
        <w:spacing w:line="360" w:lineRule="auto"/>
        <w:jc w:val="left"/>
        <w:rPr>
          <w:rStyle w:val="90"/>
          <w:rFonts w:hint="default"/>
          <w:color w:val="auto"/>
          <w:highlight w:val="none"/>
        </w:rPr>
      </w:pPr>
      <w:r>
        <w:rPr>
          <w:rFonts w:hint="eastAsia" w:ascii="仿宋" w:hAnsi="仿宋" w:eastAsia="仿宋" w:cs="仿宋"/>
          <w:color w:val="auto"/>
          <w:kern w:val="0"/>
          <w:sz w:val="24"/>
          <w:highlight w:val="none"/>
          <w:lang w:bidi="ar"/>
        </w:rPr>
        <w:t>（6）供应商有恶意欺诈、弄虚作假、围标串标、哄抬标价、徇私行贿等法律法规中所列违规行为的</w:t>
      </w:r>
      <w:r>
        <w:rPr>
          <w:rStyle w:val="90"/>
          <w:rFonts w:hint="default"/>
          <w:color w:val="auto"/>
          <w:highlight w:val="none"/>
        </w:rPr>
        <w:t>。</w:t>
      </w:r>
    </w:p>
    <w:p w14:paraId="12912CE5">
      <w:pPr>
        <w:pStyle w:val="5"/>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ascii="仿宋" w:hAnsi="仿宋" w:eastAsia="仿宋" w:cs="仿宋"/>
          <w:color w:val="auto"/>
          <w:sz w:val="24"/>
          <w:szCs w:val="24"/>
          <w:highlight w:val="none"/>
        </w:rPr>
        <w:t>4</w:t>
      </w:r>
      <w:r>
        <w:rPr>
          <w:rFonts w:hint="eastAsia" w:ascii="仿宋" w:hAnsi="仿宋" w:eastAsia="仿宋" w:cs="仿宋"/>
          <w:color w:val="auto"/>
          <w:sz w:val="24"/>
          <w:szCs w:val="24"/>
          <w:highlight w:val="none"/>
        </w:rPr>
        <w:t>.响应文件的式样、密封和标记</w:t>
      </w:r>
    </w:p>
    <w:p w14:paraId="46B5B8A6">
      <w:pPr>
        <w:widowControl/>
        <w:topLinePunct/>
        <w:spacing w:line="360" w:lineRule="auto"/>
        <w:rPr>
          <w:rFonts w:hint="eastAsia" w:ascii="仿宋" w:hAnsi="仿宋" w:eastAsia="仿宋" w:cs="宋体"/>
          <w:color w:val="auto"/>
          <w:kern w:val="0"/>
          <w:sz w:val="24"/>
          <w:highlight w:val="none"/>
        </w:rPr>
      </w:pPr>
      <w:r>
        <w:rPr>
          <w:rFonts w:ascii="仿宋" w:hAnsi="仿宋" w:eastAsia="仿宋" w:cs="宋体"/>
          <w:color w:val="auto"/>
          <w:kern w:val="0"/>
          <w:sz w:val="24"/>
          <w:highlight w:val="none"/>
        </w:rPr>
        <w:t>14</w:t>
      </w:r>
      <w:r>
        <w:rPr>
          <w:rFonts w:hint="eastAsia" w:ascii="仿宋" w:hAnsi="仿宋" w:eastAsia="仿宋" w:cs="宋体"/>
          <w:color w:val="auto"/>
          <w:kern w:val="0"/>
          <w:sz w:val="24"/>
          <w:highlight w:val="none"/>
        </w:rPr>
        <w:t>.1 供应商应当编制一份响应文件“正本”和</w:t>
      </w:r>
      <w:r>
        <w:rPr>
          <w:rFonts w:hint="eastAsia" w:ascii="仿宋" w:hAnsi="仿宋" w:eastAsia="仿宋" w:cs="宋体"/>
          <w:color w:val="auto"/>
          <w:kern w:val="0"/>
          <w:sz w:val="24"/>
          <w:highlight w:val="none"/>
          <w:u w:val="single"/>
        </w:rPr>
        <w:t>本须知前附表</w:t>
      </w:r>
      <w:r>
        <w:rPr>
          <w:rFonts w:hint="eastAsia" w:ascii="仿宋" w:hAnsi="仿宋" w:eastAsia="仿宋" w:cs="宋体"/>
          <w:color w:val="auto"/>
          <w:kern w:val="0"/>
          <w:sz w:val="24"/>
          <w:highlight w:val="none"/>
        </w:rPr>
        <w:t>所述份数的“副本”和“电子版”，副本为正本复印件。纸质版文件与电子版文件不一致时，以</w:t>
      </w:r>
      <w:r>
        <w:rPr>
          <w:rFonts w:hint="eastAsia" w:ascii="仿宋" w:hAnsi="仿宋" w:eastAsia="仿宋" w:cs="宋体"/>
          <w:b/>
          <w:bCs/>
          <w:color w:val="auto"/>
          <w:kern w:val="0"/>
          <w:sz w:val="24"/>
          <w:highlight w:val="none"/>
          <w:lang w:eastAsia="zh-Hans"/>
        </w:rPr>
        <w:t>电子版</w:t>
      </w:r>
      <w:r>
        <w:rPr>
          <w:rFonts w:hint="eastAsia" w:ascii="仿宋" w:hAnsi="仿宋" w:eastAsia="仿宋" w:cs="宋体"/>
          <w:color w:val="auto"/>
          <w:kern w:val="0"/>
          <w:sz w:val="24"/>
          <w:highlight w:val="none"/>
        </w:rPr>
        <w:t>文件为准;响应文件正本与副本不一致时，以正本为准</w:t>
      </w:r>
      <w:r>
        <w:rPr>
          <w:rFonts w:hint="eastAsia" w:ascii="仿宋" w:hAnsi="仿宋" w:eastAsia="仿宋" w:cs="宋体"/>
          <w:color w:val="auto"/>
          <w:kern w:val="0"/>
          <w:sz w:val="24"/>
          <w:highlight w:val="none"/>
          <w:lang w:eastAsia="zh-CN"/>
        </w:rPr>
        <w:t>。</w:t>
      </w:r>
      <w:r>
        <w:rPr>
          <w:rFonts w:hint="eastAsia" w:ascii="仿宋" w:hAnsi="仿宋" w:eastAsia="仿宋" w:cs="宋体"/>
          <w:color w:val="auto"/>
          <w:kern w:val="0"/>
          <w:sz w:val="24"/>
          <w:highlight w:val="none"/>
        </w:rPr>
        <w:t xml:space="preserve"> </w:t>
      </w:r>
    </w:p>
    <w:p w14:paraId="73FAF1F2">
      <w:pPr>
        <w:widowControl/>
        <w:topLinePunct/>
        <w:spacing w:line="360" w:lineRule="auto"/>
        <w:rPr>
          <w:rFonts w:ascii="仿宋" w:hAnsi="仿宋" w:eastAsia="仿宋" w:cs="宋体"/>
          <w:color w:val="auto"/>
          <w:kern w:val="0"/>
          <w:sz w:val="24"/>
          <w:highlight w:val="none"/>
        </w:rPr>
      </w:pPr>
      <w:r>
        <w:rPr>
          <w:rFonts w:ascii="仿宋" w:hAnsi="仿宋" w:eastAsia="仿宋" w:cs="宋体"/>
          <w:color w:val="auto"/>
          <w:kern w:val="0"/>
          <w:sz w:val="24"/>
          <w:highlight w:val="none"/>
        </w:rPr>
        <w:t>14</w:t>
      </w:r>
      <w:r>
        <w:rPr>
          <w:rFonts w:hint="eastAsia" w:ascii="仿宋" w:hAnsi="仿宋" w:eastAsia="仿宋" w:cs="宋体"/>
          <w:color w:val="auto"/>
          <w:kern w:val="0"/>
          <w:sz w:val="24"/>
          <w:highlight w:val="none"/>
        </w:rPr>
        <w:t>.2 每份纸质文件响应文件的正本、副本应当分别装订，并于封面上明确标明“正本”“副本”字样。具体要求</w:t>
      </w:r>
      <w:r>
        <w:rPr>
          <w:rFonts w:hint="eastAsia" w:ascii="仿宋" w:hAnsi="仿宋" w:eastAsia="仿宋" w:cs="宋体"/>
          <w:color w:val="auto"/>
          <w:kern w:val="0"/>
          <w:sz w:val="24"/>
          <w:highlight w:val="none"/>
          <w:u w:val="single"/>
        </w:rPr>
        <w:t>见本须知前附表</w:t>
      </w:r>
      <w:r>
        <w:rPr>
          <w:rFonts w:hint="eastAsia" w:ascii="仿宋" w:hAnsi="仿宋" w:eastAsia="仿宋" w:cs="宋体"/>
          <w:color w:val="auto"/>
          <w:kern w:val="0"/>
          <w:sz w:val="24"/>
          <w:highlight w:val="none"/>
        </w:rPr>
        <w:t>。</w:t>
      </w:r>
    </w:p>
    <w:p w14:paraId="4648798B">
      <w:pPr>
        <w:widowControl/>
        <w:topLinePunct/>
        <w:spacing w:line="360" w:lineRule="auto"/>
        <w:rPr>
          <w:rFonts w:hint="eastAsia" w:ascii="仿宋" w:hAnsi="仿宋" w:eastAsia="仿宋" w:cs="宋体"/>
          <w:color w:val="auto"/>
          <w:kern w:val="0"/>
          <w:sz w:val="24"/>
          <w:highlight w:val="none"/>
        </w:rPr>
      </w:pPr>
      <w:r>
        <w:rPr>
          <w:rFonts w:ascii="仿宋" w:hAnsi="仿宋" w:eastAsia="仿宋" w:cs="宋体"/>
          <w:color w:val="auto"/>
          <w:kern w:val="0"/>
          <w:sz w:val="24"/>
          <w:highlight w:val="none"/>
        </w:rPr>
        <w:t>14</w:t>
      </w:r>
      <w:r>
        <w:rPr>
          <w:rFonts w:hint="eastAsia" w:ascii="仿宋" w:hAnsi="仿宋" w:eastAsia="仿宋" w:cs="宋体"/>
          <w:color w:val="auto"/>
          <w:kern w:val="0"/>
          <w:sz w:val="24"/>
          <w:highlight w:val="none"/>
        </w:rPr>
        <w:t>.</w:t>
      </w:r>
      <w:r>
        <w:rPr>
          <w:rFonts w:ascii="仿宋" w:hAnsi="仿宋" w:eastAsia="仿宋" w:cs="宋体"/>
          <w:color w:val="auto"/>
          <w:kern w:val="0"/>
          <w:sz w:val="24"/>
          <w:highlight w:val="none"/>
        </w:rPr>
        <w:t>3</w:t>
      </w:r>
      <w:r>
        <w:rPr>
          <w:rFonts w:hint="eastAsia" w:ascii="仿宋" w:hAnsi="仿宋" w:eastAsia="仿宋" w:cs="宋体"/>
          <w:color w:val="auto"/>
          <w:kern w:val="0"/>
          <w:sz w:val="24"/>
          <w:highlight w:val="none"/>
        </w:rPr>
        <w:t xml:space="preserve"> 对于磋商文件中提及的原件或复印件要求，照片件、扫描件、影印件、截图件等与其具有同等效力（磋商文件有特殊要求的除外）。</w:t>
      </w:r>
    </w:p>
    <w:p w14:paraId="7E48857A">
      <w:pPr>
        <w:pStyle w:val="4"/>
        <w:spacing w:after="0" w:line="360" w:lineRule="auto"/>
        <w:ind w:firstLine="482"/>
        <w:rPr>
          <w:rFonts w:hint="eastAsia" w:ascii="仿宋" w:hAnsi="仿宋" w:eastAsia="仿宋" w:cs="仿宋"/>
          <w:color w:val="auto"/>
          <w:sz w:val="24"/>
          <w:szCs w:val="24"/>
          <w:highlight w:val="none"/>
        </w:rPr>
      </w:pPr>
      <w:bookmarkStart w:id="73" w:name="_Toc287600122"/>
      <w:bookmarkStart w:id="74" w:name="_Toc21600"/>
      <w:bookmarkStart w:id="75" w:name="_Toc7129"/>
      <w:bookmarkStart w:id="76" w:name="_Toc4155"/>
      <w:bookmarkStart w:id="77" w:name="_Toc444891340"/>
      <w:bookmarkStart w:id="78" w:name="_Toc14726"/>
      <w:bookmarkStart w:id="79" w:name="_Toc517281820"/>
      <w:bookmarkStart w:id="80" w:name="_Toc18673"/>
      <w:bookmarkStart w:id="81" w:name="_Toc19783317"/>
      <w:bookmarkStart w:id="82" w:name="_Toc8780"/>
      <w:r>
        <w:rPr>
          <w:rFonts w:hint="eastAsia" w:ascii="仿宋" w:hAnsi="仿宋" w:eastAsia="仿宋" w:cs="仿宋"/>
          <w:color w:val="auto"/>
          <w:sz w:val="24"/>
          <w:szCs w:val="24"/>
          <w:highlight w:val="none"/>
        </w:rPr>
        <w:t>（四）响应文件的</w:t>
      </w:r>
      <w:bookmarkEnd w:id="73"/>
      <w:bookmarkEnd w:id="74"/>
      <w:bookmarkEnd w:id="75"/>
      <w:bookmarkEnd w:id="76"/>
      <w:bookmarkEnd w:id="77"/>
      <w:bookmarkEnd w:id="78"/>
      <w:bookmarkEnd w:id="79"/>
      <w:bookmarkEnd w:id="80"/>
      <w:bookmarkEnd w:id="81"/>
      <w:r>
        <w:rPr>
          <w:rFonts w:hint="eastAsia" w:ascii="仿宋" w:hAnsi="仿宋" w:eastAsia="仿宋" w:cs="仿宋"/>
          <w:color w:val="auto"/>
          <w:sz w:val="24"/>
          <w:szCs w:val="24"/>
          <w:highlight w:val="none"/>
        </w:rPr>
        <w:t>递交</w:t>
      </w:r>
      <w:bookmarkEnd w:id="82"/>
    </w:p>
    <w:p w14:paraId="244CC5BD">
      <w:pPr>
        <w:pStyle w:val="5"/>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ascii="仿宋" w:hAnsi="仿宋" w:eastAsia="仿宋" w:cs="仿宋"/>
          <w:color w:val="auto"/>
          <w:sz w:val="24"/>
          <w:szCs w:val="24"/>
          <w:highlight w:val="none"/>
        </w:rPr>
        <w:t>5</w:t>
      </w:r>
      <w:r>
        <w:rPr>
          <w:rFonts w:hint="eastAsia" w:ascii="仿宋" w:hAnsi="仿宋" w:eastAsia="仿宋" w:cs="仿宋"/>
          <w:color w:val="auto"/>
          <w:sz w:val="24"/>
          <w:szCs w:val="24"/>
          <w:highlight w:val="none"/>
        </w:rPr>
        <w:t>.响应文件的递交</w:t>
      </w:r>
    </w:p>
    <w:p w14:paraId="060AE4B3">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ascii="仿宋" w:hAnsi="仿宋" w:eastAsia="仿宋" w:cs="仿宋"/>
          <w:color w:val="auto"/>
          <w:sz w:val="24"/>
          <w:highlight w:val="none"/>
        </w:rPr>
        <w:t>5</w:t>
      </w:r>
      <w:r>
        <w:rPr>
          <w:rFonts w:hint="eastAsia" w:ascii="仿宋" w:hAnsi="仿宋" w:eastAsia="仿宋" w:cs="仿宋"/>
          <w:color w:val="auto"/>
          <w:sz w:val="24"/>
          <w:highlight w:val="none"/>
        </w:rPr>
        <w:t>.1供应商应按</w:t>
      </w:r>
      <w:r>
        <w:rPr>
          <w:rFonts w:hint="eastAsia" w:ascii="仿宋" w:hAnsi="仿宋" w:eastAsia="仿宋" w:cs="仿宋"/>
          <w:color w:val="auto"/>
          <w:sz w:val="24"/>
          <w:highlight w:val="none"/>
          <w:u w:val="single"/>
        </w:rPr>
        <w:t>本须知前附表</w:t>
      </w:r>
      <w:r>
        <w:rPr>
          <w:rFonts w:hint="eastAsia" w:ascii="仿宋" w:hAnsi="仿宋" w:eastAsia="仿宋" w:cs="仿宋"/>
          <w:color w:val="auto"/>
          <w:sz w:val="24"/>
          <w:highlight w:val="none"/>
        </w:rPr>
        <w:t>规定的时间、方式递交响应文件。</w:t>
      </w:r>
    </w:p>
    <w:p w14:paraId="7653A0D0">
      <w:pPr>
        <w:spacing w:line="360" w:lineRule="auto"/>
        <w:jc w:val="left"/>
        <w:rPr>
          <w:rFonts w:hint="eastAsia" w:ascii="仿宋" w:hAnsi="仿宋" w:eastAsia="仿宋" w:cs="宋体"/>
          <w:b/>
          <w:bCs/>
          <w:color w:val="auto"/>
          <w:sz w:val="24"/>
          <w:highlight w:val="none"/>
        </w:rPr>
      </w:pPr>
      <w:r>
        <w:rPr>
          <w:rFonts w:hint="eastAsia" w:ascii="仿宋" w:hAnsi="仿宋" w:eastAsia="仿宋" w:cs="宋体"/>
          <w:color w:val="auto"/>
          <w:sz w:val="24"/>
          <w:highlight w:val="none"/>
        </w:rPr>
        <w:t>15.2出现下列情形之一时，</w:t>
      </w:r>
      <w:r>
        <w:rPr>
          <w:rFonts w:hint="eastAsia" w:ascii="仿宋" w:hAnsi="仿宋" w:eastAsia="仿宋" w:cs="宋体"/>
          <w:b/>
          <w:bCs/>
          <w:color w:val="auto"/>
          <w:sz w:val="24"/>
          <w:highlight w:val="none"/>
        </w:rPr>
        <w:t>响应文件不予接收或已经递交的响应文件无效；</w:t>
      </w:r>
    </w:p>
    <w:p w14:paraId="7053523F">
      <w:pPr>
        <w:spacing w:line="360" w:lineRule="auto"/>
        <w:jc w:val="left"/>
        <w:rPr>
          <w:rFonts w:hint="eastAsia" w:ascii="仿宋" w:hAnsi="仿宋" w:eastAsia="仿宋" w:cs="宋体"/>
          <w:color w:val="auto"/>
          <w:sz w:val="24"/>
          <w:highlight w:val="none"/>
        </w:rPr>
      </w:pPr>
      <w:r>
        <w:rPr>
          <w:rFonts w:hint="eastAsia" w:ascii="仿宋" w:hAnsi="仿宋" w:eastAsia="仿宋" w:cs="宋体"/>
          <w:color w:val="auto"/>
          <w:sz w:val="24"/>
          <w:highlight w:val="none"/>
        </w:rPr>
        <w:t>（1）电子响应文件逾期递交的；</w:t>
      </w:r>
    </w:p>
    <w:p w14:paraId="7C3F5966">
      <w:pPr>
        <w:spacing w:line="360" w:lineRule="auto"/>
        <w:jc w:val="left"/>
        <w:rPr>
          <w:rFonts w:hint="eastAsia" w:ascii="仿宋" w:hAnsi="仿宋" w:eastAsia="仿宋" w:cs="宋体"/>
          <w:color w:val="auto"/>
          <w:sz w:val="24"/>
          <w:highlight w:val="none"/>
        </w:rPr>
      </w:pPr>
      <w:r>
        <w:rPr>
          <w:rFonts w:hint="eastAsia" w:ascii="仿宋" w:hAnsi="仿宋" w:eastAsia="仿宋" w:cs="宋体"/>
          <w:color w:val="auto"/>
          <w:sz w:val="24"/>
          <w:highlight w:val="none"/>
        </w:rPr>
        <w:t>（2）纸质响应文件逾期递交或者未送达指定地点或者未按照磋商文件要求封装的；</w:t>
      </w:r>
    </w:p>
    <w:p w14:paraId="515751DC">
      <w:pPr>
        <w:spacing w:line="360" w:lineRule="auto"/>
        <w:jc w:val="left"/>
        <w:rPr>
          <w:rFonts w:hint="eastAsia" w:ascii="仿宋" w:hAnsi="仿宋" w:eastAsia="仿宋" w:cs="宋体"/>
          <w:color w:val="auto"/>
          <w:sz w:val="24"/>
          <w:highlight w:val="none"/>
        </w:rPr>
      </w:pPr>
      <w:r>
        <w:rPr>
          <w:rFonts w:hint="eastAsia" w:ascii="仿宋" w:hAnsi="仿宋" w:eastAsia="仿宋" w:cs="宋体"/>
          <w:color w:val="auto"/>
          <w:sz w:val="24"/>
          <w:highlight w:val="none"/>
        </w:rPr>
        <w:t>（3）未通过资格预审的申请供应商递交的；</w:t>
      </w:r>
      <w:r>
        <w:rPr>
          <w:rFonts w:hint="eastAsia" w:ascii="仿宋" w:hAnsi="仿宋" w:eastAsia="仿宋" w:cs="宋体"/>
          <w:i/>
          <w:color w:val="auto"/>
          <w:sz w:val="24"/>
          <w:highlight w:val="none"/>
        </w:rPr>
        <w:t>（资格预审项目适用）</w:t>
      </w:r>
    </w:p>
    <w:p w14:paraId="7F73726A">
      <w:pPr>
        <w:spacing w:line="360" w:lineRule="auto"/>
        <w:jc w:val="left"/>
        <w:rPr>
          <w:rFonts w:ascii="仿宋" w:hAnsi="仿宋" w:eastAsia="仿宋" w:cs="宋体"/>
          <w:color w:val="auto"/>
          <w:sz w:val="24"/>
          <w:highlight w:val="none"/>
        </w:rPr>
      </w:pPr>
      <w:r>
        <w:rPr>
          <w:rFonts w:hint="eastAsia" w:ascii="仿宋" w:hAnsi="仿宋" w:eastAsia="仿宋" w:cs="宋体"/>
          <w:color w:val="auto"/>
          <w:sz w:val="24"/>
          <w:highlight w:val="none"/>
        </w:rPr>
        <w:t>（4）未按磋商公告或者响应公告书要求获得本项目磋商文件的。</w:t>
      </w:r>
    </w:p>
    <w:p w14:paraId="7E63CE95">
      <w:pPr>
        <w:pStyle w:val="5"/>
        <w:spacing w:before="0" w:after="0" w:line="360" w:lineRule="auto"/>
        <w:jc w:val="left"/>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16</w:t>
      </w:r>
      <w:r>
        <w:rPr>
          <w:rFonts w:hint="eastAsia" w:ascii="仿宋" w:hAnsi="仿宋" w:eastAsia="仿宋" w:cs="仿宋"/>
          <w:color w:val="auto"/>
          <w:sz w:val="24"/>
          <w:szCs w:val="24"/>
          <w:highlight w:val="none"/>
        </w:rPr>
        <w:t>.响应文件的修改、撤回和撤销</w:t>
      </w:r>
    </w:p>
    <w:p w14:paraId="4EDCD9BD">
      <w:pPr>
        <w:spacing w:line="360" w:lineRule="auto"/>
        <w:jc w:val="left"/>
        <w:rPr>
          <w:rFonts w:hint="eastAsia" w:ascii="仿宋" w:hAnsi="仿宋" w:eastAsia="仿宋" w:cs="仿宋"/>
          <w:color w:val="auto"/>
          <w:sz w:val="24"/>
          <w:highlight w:val="none"/>
        </w:rPr>
      </w:pPr>
      <w:r>
        <w:rPr>
          <w:rFonts w:ascii="仿宋" w:hAnsi="仿宋" w:eastAsia="仿宋" w:cs="仿宋"/>
          <w:color w:val="auto"/>
          <w:sz w:val="24"/>
          <w:highlight w:val="none"/>
        </w:rPr>
        <w:t>16</w:t>
      </w:r>
      <w:r>
        <w:rPr>
          <w:rFonts w:hint="eastAsia" w:ascii="仿宋" w:hAnsi="仿宋" w:eastAsia="仿宋" w:cs="仿宋"/>
          <w:color w:val="auto"/>
          <w:sz w:val="24"/>
          <w:highlight w:val="none"/>
        </w:rPr>
        <w:t>.1</w:t>
      </w:r>
      <w:r>
        <w:rPr>
          <w:rFonts w:hint="eastAsia" w:ascii="仿宋" w:hAnsi="仿宋" w:eastAsia="仿宋" w:cs="宋体"/>
          <w:color w:val="auto"/>
          <w:spacing w:val="-4"/>
          <w:kern w:val="0"/>
          <w:sz w:val="24"/>
          <w:highlight w:val="none"/>
        </w:rPr>
        <w:t>在</w:t>
      </w:r>
      <w:r>
        <w:rPr>
          <w:rFonts w:hint="eastAsia" w:ascii="仿宋" w:hAnsi="仿宋" w:eastAsia="仿宋" w:cs="宋体"/>
          <w:color w:val="auto"/>
          <w:kern w:val="0"/>
          <w:sz w:val="24"/>
          <w:highlight w:val="none"/>
        </w:rPr>
        <w:t>磋商文件</w:t>
      </w:r>
      <w:r>
        <w:rPr>
          <w:rFonts w:hint="eastAsia" w:ascii="仿宋" w:hAnsi="仿宋" w:eastAsia="仿宋" w:cs="宋体"/>
          <w:color w:val="auto"/>
          <w:spacing w:val="-4"/>
          <w:kern w:val="0"/>
          <w:sz w:val="24"/>
          <w:highlight w:val="none"/>
        </w:rPr>
        <w:t>规定的</w:t>
      </w:r>
      <w:r>
        <w:rPr>
          <w:rFonts w:hint="eastAsia" w:ascii="仿宋" w:hAnsi="仿宋" w:eastAsia="仿宋" w:cs="仿宋"/>
          <w:color w:val="auto"/>
          <w:sz w:val="24"/>
          <w:highlight w:val="none"/>
        </w:rPr>
        <w:t>响应文件</w:t>
      </w:r>
      <w:r>
        <w:rPr>
          <w:rFonts w:hint="eastAsia" w:ascii="仿宋" w:hAnsi="仿宋" w:eastAsia="仿宋" w:cs="宋体"/>
          <w:color w:val="auto"/>
          <w:spacing w:val="-4"/>
          <w:kern w:val="0"/>
          <w:sz w:val="24"/>
          <w:highlight w:val="none"/>
        </w:rPr>
        <w:t>递交截止时间前，</w:t>
      </w:r>
      <w:r>
        <w:rPr>
          <w:rFonts w:hint="eastAsia" w:ascii="仿宋" w:hAnsi="仿宋" w:eastAsia="仿宋" w:cs="宋体"/>
          <w:color w:val="auto"/>
          <w:kern w:val="0"/>
          <w:sz w:val="24"/>
          <w:highlight w:val="none"/>
        </w:rPr>
        <w:t>可以补充、修改或撤回已提交的响应文件。</w:t>
      </w:r>
      <w:r>
        <w:rPr>
          <w:rFonts w:ascii="仿宋" w:hAnsi="仿宋" w:eastAsia="仿宋" w:cs="宋体"/>
          <w:color w:val="auto"/>
          <w:kern w:val="0"/>
          <w:sz w:val="24"/>
          <w:highlight w:val="none"/>
        </w:rPr>
        <w:t>补充、修改的内容为</w:t>
      </w:r>
      <w:r>
        <w:rPr>
          <w:rFonts w:hint="eastAsia" w:ascii="仿宋" w:hAnsi="仿宋" w:eastAsia="仿宋" w:cs="宋体"/>
          <w:color w:val="auto"/>
          <w:kern w:val="0"/>
          <w:sz w:val="24"/>
          <w:highlight w:val="none"/>
        </w:rPr>
        <w:t>响应</w:t>
      </w:r>
      <w:r>
        <w:rPr>
          <w:rFonts w:ascii="仿宋" w:hAnsi="仿宋" w:eastAsia="仿宋" w:cs="宋体"/>
          <w:color w:val="auto"/>
          <w:kern w:val="0"/>
          <w:sz w:val="24"/>
          <w:highlight w:val="none"/>
        </w:rPr>
        <w:t>文件的组成部分</w:t>
      </w:r>
      <w:r>
        <w:rPr>
          <w:rFonts w:hint="eastAsia" w:ascii="仿宋" w:hAnsi="仿宋" w:eastAsia="仿宋" w:cs="宋体"/>
          <w:color w:val="auto"/>
          <w:kern w:val="0"/>
          <w:sz w:val="24"/>
          <w:highlight w:val="none"/>
        </w:rPr>
        <w:t>，应当在响应文件递交截止时间前按照磋商文件的规定进行递交。</w:t>
      </w:r>
    </w:p>
    <w:p w14:paraId="6695FF98">
      <w:pPr>
        <w:pStyle w:val="17"/>
        <w:spacing w:line="360" w:lineRule="auto"/>
        <w:jc w:val="left"/>
        <w:rPr>
          <w:rFonts w:hint="eastAsia"/>
          <w:color w:val="auto"/>
          <w:highlight w:val="none"/>
        </w:rPr>
      </w:pPr>
      <w:bookmarkStart w:id="83" w:name="_Toc179632576"/>
      <w:bookmarkStart w:id="84" w:name="_Toc326223561"/>
      <w:bookmarkStart w:id="85" w:name="_Toc334766948"/>
      <w:bookmarkStart w:id="86" w:name="_Toc246996945"/>
      <w:bookmarkStart w:id="87" w:name="_Toc247085716"/>
      <w:bookmarkStart w:id="88" w:name="_Toc144974526"/>
      <w:bookmarkStart w:id="89" w:name="_Toc152045558"/>
      <w:bookmarkStart w:id="90" w:name="_Toc332188194"/>
      <w:bookmarkStart w:id="91" w:name="_Toc246996202"/>
      <w:bookmarkStart w:id="92" w:name="_Toc152042334"/>
      <w:r>
        <w:rPr>
          <w:rFonts w:ascii="仿宋" w:hAnsi="仿宋" w:eastAsia="仿宋" w:cs="仿宋"/>
          <w:color w:val="auto"/>
          <w:sz w:val="24"/>
          <w:highlight w:val="none"/>
        </w:rPr>
        <w:t>16.2</w:t>
      </w:r>
      <w:bookmarkEnd w:id="83"/>
      <w:bookmarkEnd w:id="84"/>
      <w:bookmarkEnd w:id="85"/>
      <w:bookmarkEnd w:id="86"/>
      <w:bookmarkEnd w:id="87"/>
      <w:bookmarkEnd w:id="88"/>
      <w:bookmarkEnd w:id="89"/>
      <w:bookmarkEnd w:id="90"/>
      <w:bookmarkEnd w:id="91"/>
      <w:bookmarkEnd w:id="92"/>
      <w:r>
        <w:rPr>
          <w:rFonts w:hint="eastAsia" w:ascii="仿宋" w:hAnsi="仿宋" w:eastAsia="仿宋" w:cs="仿宋"/>
          <w:color w:val="auto"/>
          <w:sz w:val="24"/>
          <w:highlight w:val="none"/>
          <w:lang w:val="en-US" w:eastAsia="zh-CN"/>
        </w:rPr>
        <w:t xml:space="preserve"> </w:t>
      </w:r>
      <w:r>
        <w:rPr>
          <w:rFonts w:hint="eastAsia" w:ascii="仿宋" w:hAnsi="仿宋" w:eastAsia="仿宋" w:cs="宋体"/>
          <w:color w:val="auto"/>
          <w:kern w:val="0"/>
          <w:sz w:val="24"/>
          <w:highlight w:val="none"/>
        </w:rPr>
        <w:t>响应文件递交截止时间后，供应商在响应有效期内撤销其响应文件，磋商保证金不予退还。</w:t>
      </w:r>
    </w:p>
    <w:p w14:paraId="12843AED">
      <w:pPr>
        <w:pStyle w:val="4"/>
        <w:spacing w:before="0" w:after="0" w:line="360" w:lineRule="auto"/>
        <w:ind w:firstLine="482"/>
        <w:rPr>
          <w:rFonts w:hint="eastAsia" w:ascii="仿宋" w:hAnsi="仿宋" w:eastAsia="仿宋" w:cs="仿宋"/>
          <w:color w:val="auto"/>
          <w:sz w:val="24"/>
          <w:szCs w:val="24"/>
          <w:highlight w:val="none"/>
        </w:rPr>
      </w:pPr>
      <w:bookmarkStart w:id="93" w:name="_Toc11361"/>
      <w:bookmarkStart w:id="94" w:name="_Toc444891341"/>
      <w:bookmarkStart w:id="95" w:name="_Toc287600123"/>
      <w:bookmarkStart w:id="96" w:name="_Toc2636"/>
      <w:bookmarkStart w:id="97" w:name="_Toc517281821"/>
      <w:bookmarkStart w:id="98" w:name="_Toc20741"/>
      <w:bookmarkStart w:id="99" w:name="_Toc30466"/>
      <w:bookmarkStart w:id="100" w:name="_Toc10971"/>
      <w:bookmarkStart w:id="101" w:name="_Toc12797"/>
      <w:r>
        <w:rPr>
          <w:rFonts w:hint="eastAsia" w:ascii="仿宋" w:hAnsi="仿宋" w:eastAsia="仿宋" w:cs="仿宋"/>
          <w:color w:val="auto"/>
          <w:sz w:val="24"/>
          <w:szCs w:val="24"/>
          <w:highlight w:val="none"/>
        </w:rPr>
        <w:t>（五）竞争性磋商和评审</w:t>
      </w:r>
      <w:bookmarkEnd w:id="93"/>
      <w:bookmarkEnd w:id="94"/>
      <w:bookmarkEnd w:id="95"/>
      <w:bookmarkEnd w:id="96"/>
      <w:bookmarkEnd w:id="97"/>
      <w:bookmarkEnd w:id="98"/>
      <w:bookmarkEnd w:id="99"/>
      <w:bookmarkEnd w:id="100"/>
      <w:bookmarkEnd w:id="101"/>
    </w:p>
    <w:p w14:paraId="3FE73747">
      <w:pPr>
        <w:pStyle w:val="5"/>
        <w:spacing w:before="0" w:after="0" w:line="360" w:lineRule="auto"/>
        <w:jc w:val="left"/>
        <w:rPr>
          <w:rFonts w:hint="eastAsia" w:ascii="仿宋" w:hAnsi="仿宋" w:eastAsia="仿宋" w:cs="仿宋"/>
          <w:color w:val="auto"/>
          <w:sz w:val="24"/>
          <w:szCs w:val="24"/>
          <w:highlight w:val="none"/>
        </w:rPr>
      </w:pPr>
      <w:bookmarkStart w:id="102" w:name="_Toc234223229"/>
      <w:bookmarkStart w:id="103" w:name="_Toc234223227"/>
      <w:r>
        <w:rPr>
          <w:rFonts w:ascii="仿宋" w:hAnsi="仿宋" w:eastAsia="仿宋" w:cs="仿宋"/>
          <w:color w:val="auto"/>
          <w:sz w:val="24"/>
          <w:szCs w:val="24"/>
          <w:highlight w:val="none"/>
        </w:rPr>
        <w:t>17</w:t>
      </w:r>
      <w:r>
        <w:rPr>
          <w:rFonts w:hint="eastAsia" w:ascii="仿宋" w:hAnsi="仿宋" w:eastAsia="仿宋" w:cs="仿宋"/>
          <w:color w:val="auto"/>
          <w:sz w:val="24"/>
          <w:szCs w:val="24"/>
          <w:highlight w:val="none"/>
        </w:rPr>
        <w:t>.组建</w:t>
      </w:r>
      <w:bookmarkEnd w:id="102"/>
      <w:r>
        <w:rPr>
          <w:rFonts w:hint="eastAsia" w:ascii="仿宋" w:hAnsi="仿宋" w:eastAsia="仿宋" w:cs="仿宋"/>
          <w:color w:val="auto"/>
          <w:sz w:val="24"/>
          <w:szCs w:val="24"/>
          <w:highlight w:val="none"/>
        </w:rPr>
        <w:t>磋商小组</w:t>
      </w:r>
    </w:p>
    <w:p w14:paraId="09F5E789">
      <w:pPr>
        <w:widowControl/>
        <w:topLinePunct/>
        <w:spacing w:line="360" w:lineRule="auto"/>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1</w:t>
      </w:r>
      <w:r>
        <w:rPr>
          <w:rFonts w:ascii="仿宋" w:hAnsi="仿宋" w:eastAsia="仿宋" w:cs="宋体"/>
          <w:color w:val="auto"/>
          <w:kern w:val="0"/>
          <w:sz w:val="24"/>
          <w:highlight w:val="none"/>
        </w:rPr>
        <w:t>7.1</w:t>
      </w:r>
      <w:r>
        <w:rPr>
          <w:rFonts w:hint="eastAsia" w:ascii="仿宋" w:hAnsi="仿宋" w:eastAsia="仿宋" w:cs="宋体"/>
          <w:color w:val="auto"/>
          <w:kern w:val="0"/>
          <w:sz w:val="24"/>
          <w:highlight w:val="none"/>
        </w:rPr>
        <w:t>采购人依照企业采购管理制度的相关规定组建</w:t>
      </w:r>
      <w:r>
        <w:rPr>
          <w:rFonts w:hint="eastAsia" w:ascii="仿宋" w:hAnsi="仿宋" w:eastAsia="仿宋" w:cs="宋体"/>
          <w:color w:val="auto"/>
          <w:kern w:val="0"/>
          <w:sz w:val="24"/>
          <w:highlight w:val="none"/>
          <w:lang w:val="en-US" w:eastAsia="zh-CN"/>
        </w:rPr>
        <w:t>X</w:t>
      </w:r>
      <w:r>
        <w:rPr>
          <w:rFonts w:hint="eastAsia" w:ascii="仿宋" w:hAnsi="仿宋" w:eastAsia="仿宋" w:cs="宋体"/>
          <w:color w:val="auto"/>
          <w:kern w:val="0"/>
          <w:sz w:val="24"/>
          <w:highlight w:val="none"/>
        </w:rPr>
        <w:t>人及以上单数的磋商小组，具体人数</w:t>
      </w:r>
      <w:r>
        <w:rPr>
          <w:rFonts w:hint="eastAsia" w:ascii="仿宋" w:hAnsi="仿宋" w:eastAsia="仿宋" w:cs="仿宋"/>
          <w:color w:val="auto"/>
          <w:sz w:val="24"/>
          <w:highlight w:val="none"/>
        </w:rPr>
        <w:t>见</w:t>
      </w:r>
      <w:r>
        <w:rPr>
          <w:rFonts w:hint="eastAsia" w:ascii="仿宋" w:hAnsi="仿宋" w:eastAsia="仿宋" w:cs="仿宋"/>
          <w:color w:val="auto"/>
          <w:sz w:val="24"/>
          <w:highlight w:val="none"/>
          <w:u w:val="single"/>
        </w:rPr>
        <w:t>本须知前附表</w:t>
      </w:r>
      <w:r>
        <w:rPr>
          <w:rFonts w:hint="eastAsia" w:ascii="仿宋" w:hAnsi="仿宋" w:eastAsia="仿宋" w:cs="宋体"/>
          <w:color w:val="auto"/>
          <w:kern w:val="0"/>
          <w:sz w:val="24"/>
          <w:highlight w:val="none"/>
        </w:rPr>
        <w:t>，磋商小组成员名单在成交结果确定前保密。</w:t>
      </w:r>
    </w:p>
    <w:p w14:paraId="75359B6F">
      <w:pPr>
        <w:widowControl/>
        <w:topLinePunct/>
        <w:spacing w:line="360" w:lineRule="auto"/>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1</w:t>
      </w:r>
      <w:r>
        <w:rPr>
          <w:rFonts w:ascii="仿宋" w:hAnsi="仿宋" w:eastAsia="仿宋" w:cs="宋体"/>
          <w:color w:val="auto"/>
          <w:kern w:val="0"/>
          <w:sz w:val="24"/>
          <w:highlight w:val="none"/>
        </w:rPr>
        <w:t>7.2</w:t>
      </w:r>
      <w:r>
        <w:rPr>
          <w:rFonts w:hint="eastAsia" w:ascii="仿宋" w:hAnsi="仿宋" w:eastAsia="仿宋" w:cs="宋体"/>
          <w:color w:val="auto"/>
          <w:kern w:val="0"/>
          <w:sz w:val="24"/>
          <w:highlight w:val="none"/>
        </w:rPr>
        <w:t>磋商小组成员应当按照客观、公正、审慎的原则，根据磋商文件规定的评审程序、评审方法和评审标准进行独立评审。</w:t>
      </w:r>
    </w:p>
    <w:p w14:paraId="4A8BE06B">
      <w:pPr>
        <w:pStyle w:val="5"/>
        <w:spacing w:before="0" w:after="0" w:line="360" w:lineRule="auto"/>
        <w:jc w:val="left"/>
        <w:rPr>
          <w:rFonts w:ascii="仿宋" w:hAnsi="仿宋" w:eastAsia="仿宋" w:cs="仿宋"/>
          <w:color w:val="auto"/>
          <w:sz w:val="24"/>
          <w:szCs w:val="24"/>
          <w:highlight w:val="none"/>
        </w:rPr>
      </w:pPr>
      <w:bookmarkStart w:id="104" w:name="_Toc234223228"/>
      <w:r>
        <w:rPr>
          <w:rFonts w:ascii="仿宋" w:hAnsi="仿宋" w:eastAsia="仿宋" w:cs="仿宋"/>
          <w:color w:val="auto"/>
          <w:sz w:val="24"/>
          <w:szCs w:val="24"/>
          <w:highlight w:val="none"/>
        </w:rPr>
        <w:t>18</w:t>
      </w:r>
      <w:r>
        <w:rPr>
          <w:rFonts w:hint="eastAsia" w:ascii="仿宋" w:hAnsi="仿宋" w:eastAsia="仿宋" w:cs="仿宋"/>
          <w:color w:val="auto"/>
          <w:sz w:val="24"/>
          <w:szCs w:val="24"/>
          <w:highlight w:val="none"/>
        </w:rPr>
        <w:t>.初步评审</w:t>
      </w:r>
    </w:p>
    <w:p w14:paraId="22024924">
      <w:pPr>
        <w:widowControl/>
        <w:topLinePunct/>
        <w:spacing w:line="360" w:lineRule="auto"/>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1</w:t>
      </w:r>
      <w:r>
        <w:rPr>
          <w:rFonts w:ascii="仿宋" w:hAnsi="仿宋" w:eastAsia="仿宋" w:cs="宋体"/>
          <w:color w:val="auto"/>
          <w:kern w:val="0"/>
          <w:sz w:val="24"/>
          <w:highlight w:val="none"/>
        </w:rPr>
        <w:t>8.1</w:t>
      </w:r>
      <w:r>
        <w:rPr>
          <w:rFonts w:hint="eastAsia" w:ascii="仿宋" w:hAnsi="仿宋" w:eastAsia="仿宋" w:cs="宋体"/>
          <w:color w:val="auto"/>
          <w:kern w:val="0"/>
          <w:sz w:val="24"/>
          <w:highlight w:val="none"/>
        </w:rPr>
        <w:t>磋商小组按照第三章评审办法中初步评审的内容及要求，对响应文件进行初步评审。通过初步评审的供应商进入磋商环节，未通过初步评审的供应商，其磋商响应将被否决，不进入磋商、详细评审等后续环节。</w:t>
      </w:r>
    </w:p>
    <w:p w14:paraId="4EE3A239">
      <w:pPr>
        <w:widowControl/>
        <w:topLinePunct/>
        <w:spacing w:line="360" w:lineRule="auto"/>
        <w:rPr>
          <w:rFonts w:hint="eastAsia" w:ascii="仿宋" w:hAnsi="仿宋" w:eastAsia="仿宋" w:cs="宋体"/>
          <w:color w:val="auto"/>
          <w:kern w:val="0"/>
          <w:sz w:val="24"/>
          <w:highlight w:val="none"/>
        </w:rPr>
      </w:pPr>
      <w:r>
        <w:rPr>
          <w:rFonts w:hint="eastAsia" w:ascii="仿宋" w:hAnsi="仿宋" w:eastAsia="仿宋" w:cs="宋体"/>
          <w:color w:val="auto"/>
          <w:kern w:val="0"/>
          <w:sz w:val="24"/>
          <w:highlight w:val="none"/>
        </w:rPr>
        <w:t>1</w:t>
      </w:r>
      <w:r>
        <w:rPr>
          <w:rFonts w:ascii="仿宋" w:hAnsi="仿宋" w:eastAsia="仿宋" w:cs="宋体"/>
          <w:color w:val="auto"/>
          <w:kern w:val="0"/>
          <w:sz w:val="24"/>
          <w:highlight w:val="none"/>
        </w:rPr>
        <w:t>8.2</w:t>
      </w:r>
      <w:r>
        <w:rPr>
          <w:rFonts w:hint="eastAsia" w:ascii="仿宋" w:hAnsi="仿宋" w:eastAsia="仿宋" w:cs="宋体"/>
          <w:color w:val="auto"/>
          <w:kern w:val="0"/>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14:paraId="20BDE9EA">
      <w:pPr>
        <w:widowControl/>
        <w:topLinePunct/>
        <w:spacing w:line="360" w:lineRule="auto"/>
        <w:rPr>
          <w:rFonts w:ascii="仿宋" w:hAnsi="仿宋" w:eastAsia="仿宋" w:cs="仿宋"/>
          <w:b/>
          <w:bCs/>
          <w:color w:val="auto"/>
          <w:sz w:val="24"/>
          <w:highlight w:val="none"/>
        </w:rPr>
      </w:pPr>
      <w:r>
        <w:rPr>
          <w:rFonts w:hint="eastAsia" w:ascii="仿宋" w:hAnsi="仿宋" w:eastAsia="仿宋" w:cs="宋体"/>
          <w:color w:val="auto"/>
          <w:kern w:val="0"/>
          <w:sz w:val="24"/>
          <w:highlight w:val="none"/>
        </w:rPr>
        <w:t>18</w:t>
      </w:r>
      <w:r>
        <w:rPr>
          <w:rFonts w:ascii="仿宋" w:hAnsi="仿宋" w:eastAsia="仿宋" w:cs="宋体"/>
          <w:color w:val="auto"/>
          <w:kern w:val="0"/>
          <w:sz w:val="24"/>
          <w:highlight w:val="none"/>
        </w:rPr>
        <w:t>.3</w:t>
      </w:r>
      <w:r>
        <w:rPr>
          <w:rFonts w:hint="eastAsia" w:ascii="仿宋" w:hAnsi="仿宋" w:eastAsia="仿宋" w:cs="宋体"/>
          <w:color w:val="auto"/>
          <w:kern w:val="0"/>
          <w:sz w:val="24"/>
          <w:highlight w:val="none"/>
        </w:rPr>
        <w:t>磋商小组对供应商递交的澄清、说明或补正有疑问的，可以要求供应商进一步澄清、说明或者补正，直至满足磋商小组的要求。拒不按要求进行澄清、说明或者补正的供应商</w:t>
      </w:r>
      <w:r>
        <w:rPr>
          <w:rFonts w:hint="eastAsia" w:ascii="仿宋" w:hAnsi="仿宋" w:eastAsia="仿宋" w:cs="仿宋"/>
          <w:b/>
          <w:bCs/>
          <w:color w:val="auto"/>
          <w:sz w:val="24"/>
          <w:highlight w:val="none"/>
        </w:rPr>
        <w:t>，磋商小组有权对其响应做否决处理。</w:t>
      </w:r>
    </w:p>
    <w:p w14:paraId="1D813E92">
      <w:pPr>
        <w:widowControl/>
        <w:topLinePunct/>
        <w:spacing w:line="360" w:lineRule="auto"/>
        <w:rPr>
          <w:rFonts w:hint="eastAsia"/>
          <w:color w:val="auto"/>
          <w:highlight w:val="none"/>
        </w:rPr>
      </w:pPr>
      <w:r>
        <w:rPr>
          <w:rFonts w:hint="eastAsia" w:ascii="仿宋" w:hAnsi="仿宋" w:eastAsia="仿宋" w:cs="宋体"/>
          <w:color w:val="auto"/>
          <w:kern w:val="0"/>
          <w:sz w:val="24"/>
          <w:highlight w:val="none"/>
        </w:rPr>
        <w:t>18</w:t>
      </w:r>
      <w:r>
        <w:rPr>
          <w:rFonts w:ascii="仿宋" w:hAnsi="仿宋" w:eastAsia="仿宋" w:cs="宋体"/>
          <w:color w:val="auto"/>
          <w:kern w:val="0"/>
          <w:sz w:val="24"/>
          <w:highlight w:val="none"/>
        </w:rPr>
        <w:t>.4</w:t>
      </w:r>
      <w:r>
        <w:rPr>
          <w:rFonts w:hint="eastAsia" w:ascii="仿宋" w:hAnsi="仿宋" w:eastAsia="仿宋" w:cs="宋体"/>
          <w:color w:val="auto"/>
          <w:kern w:val="0"/>
          <w:sz w:val="24"/>
          <w:highlight w:val="none"/>
        </w:rPr>
        <w:t>磋商小组必要时可以要求供应商提交有关证明和证件的原件，以便核验。拒不按要求提供原件的供应商，</w:t>
      </w:r>
      <w:r>
        <w:rPr>
          <w:rFonts w:hint="eastAsia" w:ascii="仿宋" w:hAnsi="仿宋" w:eastAsia="仿宋" w:cs="仿宋"/>
          <w:b/>
          <w:bCs/>
          <w:color w:val="auto"/>
          <w:sz w:val="24"/>
          <w:highlight w:val="none"/>
        </w:rPr>
        <w:t>磋商小组有权对其响应做否决处理。</w:t>
      </w:r>
    </w:p>
    <w:p w14:paraId="4E510257">
      <w:pPr>
        <w:pStyle w:val="5"/>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ascii="仿宋" w:hAnsi="仿宋" w:eastAsia="仿宋" w:cs="仿宋"/>
          <w:color w:val="auto"/>
          <w:sz w:val="24"/>
          <w:szCs w:val="24"/>
          <w:highlight w:val="none"/>
        </w:rPr>
        <w:t>9.</w:t>
      </w:r>
      <w:r>
        <w:rPr>
          <w:rFonts w:hint="eastAsia" w:ascii="仿宋" w:hAnsi="仿宋" w:eastAsia="仿宋" w:cs="仿宋"/>
          <w:color w:val="auto"/>
          <w:sz w:val="24"/>
          <w:szCs w:val="24"/>
          <w:highlight w:val="none"/>
        </w:rPr>
        <w:t>磋商程序</w:t>
      </w:r>
    </w:p>
    <w:p w14:paraId="56A16AD9">
      <w:pPr>
        <w:spacing w:line="360" w:lineRule="auto"/>
        <w:jc w:val="left"/>
        <w:rPr>
          <w:rFonts w:ascii="仿宋" w:hAnsi="仿宋" w:eastAsia="仿宋" w:cs="仿宋"/>
          <w:color w:val="auto"/>
          <w:sz w:val="24"/>
          <w:highlight w:val="none"/>
          <w:u w:val="single"/>
        </w:rPr>
      </w:pPr>
      <w:r>
        <w:rPr>
          <w:rFonts w:ascii="仿宋" w:hAnsi="仿宋" w:eastAsia="仿宋" w:cs="仿宋"/>
          <w:color w:val="auto"/>
          <w:sz w:val="24"/>
          <w:highlight w:val="none"/>
        </w:rPr>
        <w:t>19</w:t>
      </w:r>
      <w:r>
        <w:rPr>
          <w:rFonts w:hint="eastAsia" w:ascii="仿宋" w:hAnsi="仿宋" w:eastAsia="仿宋" w:cs="仿宋"/>
          <w:color w:val="auto"/>
          <w:sz w:val="24"/>
          <w:highlight w:val="none"/>
        </w:rPr>
        <w:t>.1磋商小组所有成员应当集中与通过初步评审的单一供应商分别进行磋商，并给予所有参加磋商的供应商平等的磋商机会。供应商磋商顺序、磋商形式以及其他要求等</w:t>
      </w:r>
      <w:r>
        <w:rPr>
          <w:rFonts w:hint="eastAsia" w:ascii="仿宋" w:hAnsi="仿宋" w:eastAsia="仿宋" w:cs="仿宋"/>
          <w:color w:val="auto"/>
          <w:sz w:val="24"/>
          <w:highlight w:val="none"/>
          <w:u w:val="single"/>
        </w:rPr>
        <w:t>详见本须知前附表。</w:t>
      </w:r>
    </w:p>
    <w:p w14:paraId="1E969AD1">
      <w:pPr>
        <w:spacing w:line="360" w:lineRule="auto"/>
        <w:jc w:val="left"/>
        <w:rPr>
          <w:rFonts w:ascii="仿宋" w:hAnsi="仿宋" w:eastAsia="仿宋" w:cs="仿宋"/>
          <w:color w:val="auto"/>
          <w:sz w:val="24"/>
          <w:highlight w:val="none"/>
        </w:rPr>
      </w:pPr>
      <w:r>
        <w:rPr>
          <w:rFonts w:ascii="仿宋" w:hAnsi="仿宋" w:eastAsia="仿宋" w:cs="仿宋"/>
          <w:color w:val="auto"/>
          <w:sz w:val="24"/>
          <w:highlight w:val="none"/>
        </w:rPr>
        <w:t>19.2</w:t>
      </w:r>
      <w:r>
        <w:rPr>
          <w:rFonts w:hint="eastAsia" w:ascii="仿宋" w:hAnsi="仿宋" w:eastAsia="仿宋" w:cs="仿宋"/>
          <w:color w:val="auto"/>
          <w:sz w:val="24"/>
          <w:highlight w:val="none"/>
        </w:rPr>
        <w:t>磋商小组与供应商就磋商文件中的价格、商务内容、技术内容或有待供应商进一步明确的内容等进行一对一磋商，并要求实质性响应的供应商提交最终报价。具体磋商内容详见</w:t>
      </w:r>
      <w:r>
        <w:rPr>
          <w:rFonts w:hint="eastAsia" w:ascii="仿宋" w:hAnsi="仿宋" w:eastAsia="仿宋" w:cs="仿宋"/>
          <w:color w:val="auto"/>
          <w:sz w:val="24"/>
          <w:highlight w:val="none"/>
          <w:u w:val="single"/>
        </w:rPr>
        <w:t>本须知前附表</w:t>
      </w:r>
      <w:r>
        <w:rPr>
          <w:rFonts w:hint="eastAsia" w:ascii="仿宋" w:hAnsi="仿宋" w:eastAsia="仿宋" w:cs="仿宋"/>
          <w:color w:val="auto"/>
          <w:sz w:val="24"/>
          <w:highlight w:val="none"/>
        </w:rPr>
        <w:t>。</w:t>
      </w:r>
    </w:p>
    <w:p w14:paraId="3B6CEB82">
      <w:pPr>
        <w:spacing w:line="360" w:lineRule="auto"/>
        <w:jc w:val="left"/>
        <w:rPr>
          <w:rFonts w:ascii="仿宋" w:hAnsi="仿宋" w:eastAsia="仿宋" w:cs="仿宋"/>
          <w:color w:val="auto"/>
          <w:sz w:val="24"/>
          <w:highlight w:val="none"/>
        </w:rPr>
      </w:pPr>
      <w:r>
        <w:rPr>
          <w:rFonts w:ascii="仿宋" w:hAnsi="仿宋" w:eastAsia="仿宋" w:cs="仿宋"/>
          <w:color w:val="auto"/>
          <w:sz w:val="24"/>
          <w:highlight w:val="none"/>
        </w:rPr>
        <w:t>19.3</w:t>
      </w:r>
      <w:r>
        <w:rPr>
          <w:rFonts w:hint="eastAsia" w:ascii="仿宋" w:hAnsi="仿宋" w:eastAsia="仿宋" w:cs="仿宋"/>
          <w:color w:val="auto"/>
          <w:sz w:val="24"/>
          <w:highlight w:val="none"/>
        </w:rPr>
        <w:t>磋商小组可视情况要求供应商进行多轮磋商及报价。磋商中，任何一方不得向第三方透露与磋商有关的任何信息。</w:t>
      </w:r>
    </w:p>
    <w:bookmarkEnd w:id="104"/>
    <w:p w14:paraId="4150C60F">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19.4各轮报价有算术错误的，磋商小组按照以下原则对报价进行修正，修正的价格经供应商书面确认后具有约束力。供应商不接受或不确认修正后价格的，磋商小组</w:t>
      </w:r>
      <w:r>
        <w:rPr>
          <w:rFonts w:hint="eastAsia" w:ascii="仿宋" w:hAnsi="仿宋" w:eastAsia="仿宋" w:cs="仿宋"/>
          <w:b/>
          <w:bCs/>
          <w:color w:val="auto"/>
          <w:sz w:val="24"/>
          <w:highlight w:val="none"/>
        </w:rPr>
        <w:t>应当否决其响应</w:t>
      </w:r>
      <w:r>
        <w:rPr>
          <w:rFonts w:hint="eastAsia" w:ascii="仿宋" w:hAnsi="仿宋" w:eastAsia="仿宋" w:cs="仿宋"/>
          <w:color w:val="auto"/>
          <w:sz w:val="24"/>
          <w:highlight w:val="none"/>
        </w:rPr>
        <w:t>。</w:t>
      </w:r>
    </w:p>
    <w:p w14:paraId="6427B9C0">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（1）大写金额与小写金额不一致的，以大写金额为准；</w:t>
      </w:r>
    </w:p>
    <w:p w14:paraId="45B9BF35">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（2）总价金额与根据单价计算出的结果不一致的，以单价金额为准修正总价，但单价金额小数点有明显错误的除外。</w:t>
      </w:r>
    </w:p>
    <w:bookmarkEnd w:id="103"/>
    <w:p w14:paraId="0316D4C5">
      <w:pPr>
        <w:pStyle w:val="5"/>
        <w:spacing w:before="0" w:after="0" w:line="360" w:lineRule="auto"/>
        <w:jc w:val="left"/>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20</w:t>
      </w:r>
      <w:r>
        <w:rPr>
          <w:rFonts w:hint="eastAsia" w:ascii="仿宋" w:hAnsi="仿宋" w:eastAsia="仿宋" w:cs="仿宋"/>
          <w:color w:val="auto"/>
          <w:sz w:val="24"/>
          <w:szCs w:val="24"/>
          <w:highlight w:val="none"/>
        </w:rPr>
        <w:t>.详细评审</w:t>
      </w:r>
    </w:p>
    <w:p w14:paraId="04D3A2C5">
      <w:pPr>
        <w:spacing w:line="360" w:lineRule="auto"/>
        <w:jc w:val="left"/>
        <w:rPr>
          <w:rFonts w:hint="eastAsia" w:ascii="仿宋" w:hAnsi="仿宋" w:eastAsia="仿宋" w:cs="仿宋"/>
          <w:color w:val="auto"/>
          <w:sz w:val="24"/>
          <w:highlight w:val="none"/>
        </w:rPr>
      </w:pPr>
      <w:r>
        <w:rPr>
          <w:rFonts w:ascii="仿宋" w:hAnsi="仿宋" w:eastAsia="仿宋" w:cs="仿宋"/>
          <w:color w:val="auto"/>
          <w:sz w:val="24"/>
          <w:highlight w:val="none"/>
        </w:rPr>
        <w:t>20</w:t>
      </w:r>
      <w:r>
        <w:rPr>
          <w:rFonts w:hint="eastAsia" w:ascii="仿宋" w:hAnsi="仿宋" w:eastAsia="仿宋" w:cs="仿宋"/>
          <w:color w:val="auto"/>
          <w:sz w:val="24"/>
          <w:highlight w:val="none"/>
        </w:rPr>
        <w:t>.1磋商小组采用综合评分法对提交最终报价的供应商的响应文件及其最终报价进行综合评分。综合评分法，是指响应文件满足磋商文件全部实质性要求且按评审因素的量化指标评审得分最高的供应商为成交候选人的评审方法。磋商文件中没有规定的评审标准不得作为评审依据。</w:t>
      </w:r>
    </w:p>
    <w:p w14:paraId="0CD88A83">
      <w:pPr>
        <w:spacing w:line="360" w:lineRule="auto"/>
        <w:jc w:val="left"/>
        <w:rPr>
          <w:rFonts w:hint="eastAsia" w:ascii="仿宋" w:hAnsi="仿宋" w:eastAsia="仿宋" w:cs="仿宋"/>
          <w:color w:val="auto"/>
          <w:sz w:val="24"/>
          <w:highlight w:val="none"/>
        </w:rPr>
      </w:pPr>
      <w:r>
        <w:rPr>
          <w:rFonts w:ascii="仿宋" w:hAnsi="仿宋" w:eastAsia="仿宋" w:cs="仿宋"/>
          <w:color w:val="auto"/>
          <w:sz w:val="24"/>
          <w:highlight w:val="none"/>
        </w:rPr>
        <w:t>20</w:t>
      </w:r>
      <w:r>
        <w:rPr>
          <w:rFonts w:hint="eastAsia" w:ascii="仿宋" w:hAnsi="仿宋" w:eastAsia="仿宋" w:cs="仿宋"/>
          <w:color w:val="auto"/>
          <w:sz w:val="24"/>
          <w:highlight w:val="none"/>
        </w:rPr>
        <w:t>.2发生以下情形之一的，原则上做终止采购处理：</w:t>
      </w:r>
    </w:p>
    <w:p w14:paraId="7FF2B52F">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（1）出现影响采购公正的违法、违规行为的；</w:t>
      </w:r>
    </w:p>
    <w:p w14:paraId="1DEFBB2A">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（2）成交候选人报价超过预算金额，采购需求方无法解决的；</w:t>
      </w:r>
    </w:p>
    <w:p w14:paraId="1A43AC4C">
      <w:pPr>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（3）成交人为N家（1＜N≤3）的项目，有效供应商少于2N家（不含本数）；成交人为N家（N＞3）的项目，有效供应商少于1.5N家（不含本数）。 </w:t>
      </w:r>
    </w:p>
    <w:p w14:paraId="17FF3447">
      <w:pPr>
        <w:widowControl/>
        <w:topLinePunct/>
        <w:spacing w:line="360" w:lineRule="auto"/>
        <w:rPr>
          <w:rFonts w:hint="eastAsia" w:ascii="仿宋" w:hAnsi="仿宋" w:eastAsia="仿宋" w:cs="仿宋"/>
          <w:color w:val="auto"/>
          <w:sz w:val="24"/>
          <w:highlight w:val="none"/>
        </w:rPr>
      </w:pPr>
      <w:r>
        <w:rPr>
          <w:rFonts w:ascii="仿宋" w:hAnsi="仿宋" w:eastAsia="仿宋" w:cs="仿宋"/>
          <w:color w:val="auto"/>
          <w:sz w:val="24"/>
          <w:highlight w:val="none"/>
        </w:rPr>
        <w:t>20</w:t>
      </w:r>
      <w:r>
        <w:rPr>
          <w:rFonts w:hint="eastAsia" w:ascii="仿宋" w:hAnsi="仿宋" w:eastAsia="仿宋" w:cs="仿宋"/>
          <w:color w:val="auto"/>
          <w:sz w:val="24"/>
          <w:highlight w:val="none"/>
        </w:rPr>
        <w:t>.</w:t>
      </w:r>
      <w:r>
        <w:rPr>
          <w:rFonts w:ascii="仿宋" w:hAnsi="仿宋" w:eastAsia="仿宋" w:cs="仿宋"/>
          <w:color w:val="auto"/>
          <w:sz w:val="24"/>
          <w:highlight w:val="none"/>
        </w:rPr>
        <w:t>3</w:t>
      </w:r>
      <w:r>
        <w:rPr>
          <w:rFonts w:hint="eastAsia" w:ascii="仿宋" w:hAnsi="仿宋" w:eastAsia="仿宋" w:cs="仿宋"/>
          <w:color w:val="auto"/>
          <w:sz w:val="24"/>
          <w:highlight w:val="none"/>
        </w:rPr>
        <w:t>成交候选人推荐原则</w:t>
      </w:r>
      <w:r>
        <w:rPr>
          <w:rFonts w:hint="eastAsia" w:ascii="仿宋" w:hAnsi="仿宋" w:eastAsia="仿宋" w:cs="仿宋"/>
          <w:color w:val="auto"/>
          <w:sz w:val="24"/>
          <w:highlight w:val="none"/>
          <w:u w:val="single"/>
        </w:rPr>
        <w:t>详见本须知前附表</w:t>
      </w:r>
      <w:r>
        <w:rPr>
          <w:rFonts w:hint="eastAsia" w:ascii="仿宋" w:hAnsi="仿宋" w:eastAsia="仿宋" w:cs="仿宋"/>
          <w:color w:val="auto"/>
          <w:sz w:val="24"/>
          <w:highlight w:val="none"/>
        </w:rPr>
        <w:t>。</w:t>
      </w:r>
      <w:r>
        <w:rPr>
          <w:rFonts w:hint="eastAsia" w:ascii="仿宋" w:hAnsi="仿宋" w:eastAsia="仿宋" w:cs="宋体"/>
          <w:color w:val="auto"/>
          <w:kern w:val="0"/>
          <w:sz w:val="24"/>
          <w:highlight w:val="none"/>
        </w:rPr>
        <w:t>成交候选人的经营、财务状况发生较大变化或者存在违法行为，采购人认为可能影响其履约能力的，应当在发出成交通知书前由原磋商小组会按照磋商文件规定的标准和方法审查确认。</w:t>
      </w:r>
    </w:p>
    <w:p w14:paraId="00775767">
      <w:pPr>
        <w:pStyle w:val="4"/>
        <w:spacing w:before="0" w:after="0" w:line="360" w:lineRule="auto"/>
        <w:ind w:firstLine="482"/>
        <w:rPr>
          <w:rFonts w:hint="eastAsia" w:ascii="仿宋" w:hAnsi="仿宋" w:eastAsia="仿宋" w:cs="仿宋"/>
          <w:color w:val="auto"/>
          <w:sz w:val="24"/>
          <w:szCs w:val="24"/>
          <w:highlight w:val="none"/>
        </w:rPr>
      </w:pPr>
      <w:bookmarkStart w:id="105" w:name="_Toc19451"/>
      <w:bookmarkStart w:id="106" w:name="_Toc1388"/>
      <w:bookmarkStart w:id="107" w:name="_Toc234223231"/>
      <w:bookmarkStart w:id="108" w:name="_Toc9911"/>
      <w:bookmarkStart w:id="109" w:name="_Toc16781"/>
      <w:bookmarkStart w:id="110" w:name="_Toc517281822"/>
      <w:bookmarkStart w:id="111" w:name="_Toc444891342"/>
      <w:bookmarkStart w:id="112" w:name="_Toc13936"/>
      <w:bookmarkStart w:id="113" w:name="_Toc2322"/>
      <w:bookmarkStart w:id="114" w:name="_Toc287600124"/>
      <w:r>
        <w:rPr>
          <w:rFonts w:hint="eastAsia" w:ascii="仿宋" w:hAnsi="仿宋" w:eastAsia="仿宋" w:cs="仿宋"/>
          <w:color w:val="auto"/>
          <w:sz w:val="24"/>
          <w:szCs w:val="24"/>
          <w:highlight w:val="none"/>
        </w:rPr>
        <w:t>（六）授予合同</w:t>
      </w:r>
      <w:bookmarkEnd w:id="105"/>
      <w:bookmarkEnd w:id="106"/>
      <w:bookmarkEnd w:id="107"/>
      <w:bookmarkEnd w:id="108"/>
      <w:bookmarkEnd w:id="109"/>
      <w:bookmarkEnd w:id="110"/>
      <w:bookmarkEnd w:id="111"/>
      <w:bookmarkEnd w:id="112"/>
      <w:bookmarkEnd w:id="113"/>
      <w:bookmarkEnd w:id="114"/>
    </w:p>
    <w:p w14:paraId="4D0ABD72">
      <w:pPr>
        <w:pStyle w:val="5"/>
        <w:spacing w:before="0" w:after="0" w:line="360" w:lineRule="auto"/>
        <w:jc w:val="left"/>
        <w:rPr>
          <w:rFonts w:hint="eastAsia" w:ascii="仿宋" w:hAnsi="仿宋" w:eastAsia="仿宋" w:cs="仿宋"/>
          <w:color w:val="auto"/>
          <w:sz w:val="24"/>
          <w:szCs w:val="24"/>
          <w:highlight w:val="none"/>
        </w:rPr>
      </w:pPr>
      <w:bookmarkStart w:id="115" w:name="_Toc234223232"/>
      <w:r>
        <w:rPr>
          <w:rFonts w:hint="eastAsia" w:ascii="仿宋" w:hAnsi="仿宋" w:eastAsia="仿宋" w:cs="仿宋"/>
          <w:color w:val="auto"/>
          <w:sz w:val="24"/>
          <w:szCs w:val="24"/>
          <w:highlight w:val="none"/>
        </w:rPr>
        <w:t>2</w:t>
      </w:r>
      <w:r>
        <w:rPr>
          <w:rFonts w:ascii="仿宋" w:hAnsi="仿宋" w:eastAsia="仿宋" w:cs="仿宋"/>
          <w:color w:val="auto"/>
          <w:sz w:val="24"/>
          <w:szCs w:val="24"/>
          <w:highlight w:val="none"/>
        </w:rPr>
        <w:t>1</w:t>
      </w:r>
      <w:r>
        <w:rPr>
          <w:rFonts w:hint="eastAsia" w:ascii="仿宋" w:hAnsi="仿宋" w:eastAsia="仿宋" w:cs="仿宋"/>
          <w:color w:val="auto"/>
          <w:sz w:val="24"/>
          <w:szCs w:val="24"/>
          <w:highlight w:val="none"/>
        </w:rPr>
        <w:t>.确定</w:t>
      </w:r>
      <w:bookmarkEnd w:id="115"/>
      <w:r>
        <w:rPr>
          <w:rFonts w:hint="eastAsia" w:ascii="仿宋" w:hAnsi="仿宋" w:eastAsia="仿宋" w:cs="仿宋"/>
          <w:color w:val="auto"/>
          <w:sz w:val="24"/>
          <w:szCs w:val="24"/>
          <w:highlight w:val="none"/>
        </w:rPr>
        <w:t>成交人</w:t>
      </w:r>
    </w:p>
    <w:p w14:paraId="50F623E4">
      <w:pPr>
        <w:spacing w:line="360" w:lineRule="auto"/>
        <w:jc w:val="left"/>
        <w:rPr>
          <w:rFonts w:ascii="仿宋" w:hAnsi="仿宋" w:eastAsia="仿宋" w:cs="仿宋"/>
          <w:color w:val="auto"/>
          <w:sz w:val="24"/>
          <w:highlight w:val="none"/>
        </w:rPr>
      </w:pPr>
      <w:r>
        <w:rPr>
          <w:rFonts w:ascii="仿宋" w:hAnsi="仿宋" w:eastAsia="仿宋" w:cs="仿宋"/>
          <w:color w:val="auto"/>
          <w:sz w:val="24"/>
          <w:highlight w:val="none"/>
        </w:rPr>
        <w:t>21.1</w:t>
      </w:r>
      <w:r>
        <w:rPr>
          <w:rFonts w:hint="eastAsia" w:ascii="仿宋" w:hAnsi="仿宋" w:eastAsia="仿宋" w:cs="仿宋"/>
          <w:color w:val="auto"/>
          <w:sz w:val="24"/>
          <w:highlight w:val="none"/>
        </w:rPr>
        <w:t>采购人依据磋商小组推荐的成交候选人名单确定成交人，成交人数量</w:t>
      </w:r>
      <w:r>
        <w:rPr>
          <w:rFonts w:hint="eastAsia" w:ascii="仿宋" w:hAnsi="仿宋" w:eastAsia="仿宋" w:cs="仿宋"/>
          <w:color w:val="auto"/>
          <w:sz w:val="24"/>
          <w:highlight w:val="none"/>
          <w:u w:val="single"/>
        </w:rPr>
        <w:t>见本须知前附表</w:t>
      </w:r>
      <w:r>
        <w:rPr>
          <w:rFonts w:hint="eastAsia" w:ascii="仿宋" w:hAnsi="仿宋" w:eastAsia="仿宋" w:cs="仿宋"/>
          <w:color w:val="auto"/>
          <w:sz w:val="24"/>
          <w:highlight w:val="none"/>
        </w:rPr>
        <w:t>。</w:t>
      </w:r>
    </w:p>
    <w:p w14:paraId="7D2A2AA0">
      <w:pPr>
        <w:widowControl/>
        <w:topLinePunct/>
        <w:spacing w:line="360" w:lineRule="auto"/>
        <w:rPr>
          <w:rFonts w:ascii="仿宋" w:hAnsi="仿宋" w:eastAsia="仿宋" w:cs="宋体"/>
          <w:color w:val="auto"/>
          <w:kern w:val="0"/>
          <w:sz w:val="24"/>
          <w:highlight w:val="none"/>
        </w:rPr>
      </w:pPr>
      <w:r>
        <w:rPr>
          <w:rFonts w:ascii="仿宋" w:hAnsi="仿宋" w:eastAsia="仿宋" w:cs="宋体"/>
          <w:color w:val="auto"/>
          <w:kern w:val="0"/>
          <w:sz w:val="24"/>
          <w:highlight w:val="none"/>
        </w:rPr>
        <w:t>21.</w:t>
      </w:r>
      <w:r>
        <w:rPr>
          <w:rFonts w:hint="eastAsia" w:ascii="仿宋" w:hAnsi="仿宋" w:eastAsia="仿宋" w:cs="宋体"/>
          <w:color w:val="auto"/>
          <w:kern w:val="0"/>
          <w:sz w:val="24"/>
          <w:highlight w:val="none"/>
          <w:lang w:val="en-US" w:eastAsia="zh-CN"/>
        </w:rPr>
        <w:t>2</w:t>
      </w:r>
      <w:r>
        <w:rPr>
          <w:rFonts w:hint="eastAsia" w:ascii="仿宋" w:hAnsi="仿宋" w:eastAsia="仿宋" w:cs="宋体"/>
          <w:color w:val="auto"/>
          <w:kern w:val="0"/>
          <w:sz w:val="24"/>
          <w:highlight w:val="none"/>
        </w:rPr>
        <w:t>成交人确定后，采购人应当向成交人发出成交通知书，同时将成交结果通知所有未成交的供应商。成交通知书对采购人和成交人</w:t>
      </w:r>
      <w:r>
        <w:rPr>
          <w:rFonts w:hint="eastAsia" w:ascii="仿宋" w:hAnsi="仿宋" w:eastAsia="仿宋" w:cs="宋体"/>
          <w:color w:val="auto"/>
          <w:kern w:val="0"/>
          <w:sz w:val="24"/>
          <w:highlight w:val="none"/>
          <w:lang w:val="en-US" w:eastAsia="zh-CN"/>
        </w:rPr>
        <w:t>均</w:t>
      </w:r>
      <w:r>
        <w:rPr>
          <w:rFonts w:hint="eastAsia" w:ascii="仿宋" w:hAnsi="仿宋" w:eastAsia="仿宋" w:cs="宋体"/>
          <w:color w:val="auto"/>
          <w:kern w:val="0"/>
          <w:sz w:val="24"/>
          <w:highlight w:val="none"/>
        </w:rPr>
        <w:t>具有法律效力。成交人收到成交通知书后放弃成交的，应当承担法律责任。</w:t>
      </w:r>
    </w:p>
    <w:p w14:paraId="04E0A58D">
      <w:pPr>
        <w:pStyle w:val="5"/>
        <w:spacing w:before="0" w:after="0"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ascii="仿宋" w:hAnsi="仿宋" w:eastAsia="仿宋" w:cs="仿宋"/>
          <w:color w:val="auto"/>
          <w:sz w:val="24"/>
          <w:szCs w:val="24"/>
          <w:highlight w:val="none"/>
        </w:rPr>
        <w:t>2.</w:t>
      </w:r>
      <w:r>
        <w:rPr>
          <w:rFonts w:hint="eastAsia" w:ascii="仿宋" w:hAnsi="仿宋" w:eastAsia="仿宋" w:cs="仿宋"/>
          <w:color w:val="auto"/>
          <w:sz w:val="24"/>
          <w:szCs w:val="24"/>
          <w:highlight w:val="none"/>
        </w:rPr>
        <w:t>签订合同</w:t>
      </w:r>
    </w:p>
    <w:p w14:paraId="16D01B45">
      <w:pPr>
        <w:widowControl/>
        <w:topLinePunc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2</w:t>
      </w:r>
      <w:r>
        <w:rPr>
          <w:rFonts w:ascii="仿宋" w:hAnsi="仿宋" w:eastAsia="仿宋" w:cs="仿宋"/>
          <w:color w:val="auto"/>
          <w:sz w:val="24"/>
          <w:highlight w:val="none"/>
        </w:rPr>
        <w:t>2.1</w:t>
      </w:r>
      <w:r>
        <w:rPr>
          <w:rFonts w:hint="eastAsia" w:ascii="仿宋" w:hAnsi="仿宋" w:eastAsia="仿宋" w:cs="仿宋"/>
          <w:color w:val="auto"/>
          <w:sz w:val="24"/>
          <w:highlight w:val="none"/>
        </w:rPr>
        <w:t>采购人与成交人按照磋商文件和成交人的响应文件</w:t>
      </w:r>
      <w:r>
        <w:rPr>
          <w:rFonts w:hint="eastAsia" w:ascii="仿宋" w:hAnsi="仿宋" w:eastAsia="仿宋" w:cs="宋体"/>
          <w:color w:val="auto"/>
          <w:kern w:val="0"/>
          <w:sz w:val="24"/>
          <w:highlight w:val="none"/>
        </w:rPr>
        <w:t>订立书面合同。合同的标的、价款、质量、履行期限等主要条款应当与</w:t>
      </w:r>
      <w:r>
        <w:rPr>
          <w:rFonts w:hint="eastAsia" w:ascii="仿宋" w:hAnsi="仿宋" w:eastAsia="仿宋" w:cs="仿宋"/>
          <w:color w:val="auto"/>
          <w:sz w:val="24"/>
          <w:highlight w:val="none"/>
        </w:rPr>
        <w:t>磋商</w:t>
      </w:r>
      <w:r>
        <w:rPr>
          <w:rFonts w:hint="eastAsia" w:ascii="仿宋" w:hAnsi="仿宋" w:eastAsia="仿宋" w:cs="宋体"/>
          <w:color w:val="auto"/>
          <w:kern w:val="0"/>
          <w:sz w:val="24"/>
          <w:highlight w:val="none"/>
        </w:rPr>
        <w:t>文件和</w:t>
      </w:r>
      <w:r>
        <w:rPr>
          <w:rFonts w:hint="eastAsia" w:ascii="仿宋" w:hAnsi="仿宋" w:eastAsia="仿宋" w:cs="仿宋"/>
          <w:color w:val="auto"/>
          <w:sz w:val="24"/>
          <w:highlight w:val="none"/>
        </w:rPr>
        <w:t>成交</w:t>
      </w:r>
      <w:r>
        <w:rPr>
          <w:rFonts w:hint="eastAsia" w:ascii="仿宋" w:hAnsi="仿宋" w:eastAsia="仿宋" w:cs="宋体"/>
          <w:color w:val="auto"/>
          <w:kern w:val="0"/>
          <w:sz w:val="24"/>
          <w:highlight w:val="none"/>
        </w:rPr>
        <w:t>人的</w:t>
      </w:r>
      <w:r>
        <w:rPr>
          <w:rFonts w:hint="eastAsia" w:ascii="仿宋" w:hAnsi="仿宋" w:eastAsia="仿宋" w:cs="仿宋"/>
          <w:color w:val="auto"/>
          <w:sz w:val="24"/>
          <w:highlight w:val="none"/>
        </w:rPr>
        <w:t>响应</w:t>
      </w:r>
      <w:r>
        <w:rPr>
          <w:rFonts w:hint="eastAsia" w:ascii="仿宋" w:hAnsi="仿宋" w:eastAsia="仿宋" w:cs="宋体"/>
          <w:color w:val="auto"/>
          <w:kern w:val="0"/>
          <w:sz w:val="24"/>
          <w:highlight w:val="none"/>
        </w:rPr>
        <w:t>文件的内容一致。</w:t>
      </w:r>
    </w:p>
    <w:p w14:paraId="33354088">
      <w:pPr>
        <w:widowControl/>
        <w:topLinePunct/>
        <w:spacing w:line="360" w:lineRule="auto"/>
        <w:rPr>
          <w:rFonts w:hint="eastAsia" w:ascii="仿宋" w:hAnsi="仿宋" w:eastAsia="仿宋" w:cs="宋体"/>
          <w:color w:val="auto"/>
          <w:kern w:val="0"/>
          <w:sz w:val="24"/>
          <w:highlight w:val="none"/>
        </w:rPr>
      </w:pPr>
      <w:r>
        <w:rPr>
          <w:rFonts w:hint="eastAsia" w:ascii="仿宋" w:hAnsi="仿宋" w:eastAsia="仿宋" w:cs="仿宋"/>
          <w:color w:val="auto"/>
          <w:sz w:val="24"/>
          <w:highlight w:val="none"/>
        </w:rPr>
        <w:t>2</w:t>
      </w:r>
      <w:r>
        <w:rPr>
          <w:rFonts w:ascii="仿宋" w:hAnsi="仿宋" w:eastAsia="仿宋" w:cs="仿宋"/>
          <w:color w:val="auto"/>
          <w:sz w:val="24"/>
          <w:highlight w:val="none"/>
        </w:rPr>
        <w:t>2.2</w:t>
      </w:r>
      <w:r>
        <w:rPr>
          <w:rFonts w:hint="eastAsia" w:ascii="仿宋" w:hAnsi="仿宋" w:eastAsia="仿宋" w:cs="仿宋"/>
          <w:color w:val="auto"/>
          <w:sz w:val="24"/>
          <w:highlight w:val="none"/>
        </w:rPr>
        <w:t xml:space="preserve"> </w:t>
      </w:r>
      <w:r>
        <w:rPr>
          <w:rFonts w:hint="eastAsia" w:ascii="仿宋" w:hAnsi="仿宋" w:eastAsia="仿宋" w:cs="宋体"/>
          <w:color w:val="auto"/>
          <w:kern w:val="0"/>
          <w:sz w:val="24"/>
          <w:highlight w:val="none"/>
        </w:rPr>
        <w:t>成交人无正当理由不与采购人订立合同，在签订合同时向采购人提出附加条件，将取消其成交资格。给采购人造成损失的，成交人应当予以赔偿。</w:t>
      </w:r>
    </w:p>
    <w:p w14:paraId="12F8B3F6">
      <w:pPr>
        <w:widowControl/>
        <w:topLinePunct/>
        <w:spacing w:line="360" w:lineRule="auto"/>
        <w:rPr>
          <w:rFonts w:ascii="仿宋" w:hAnsi="仿宋" w:eastAsia="仿宋" w:cs="宋体"/>
          <w:color w:val="auto"/>
          <w:kern w:val="0"/>
          <w:sz w:val="24"/>
          <w:highlight w:val="none"/>
        </w:rPr>
      </w:pPr>
      <w:r>
        <w:rPr>
          <w:rFonts w:ascii="仿宋" w:hAnsi="仿宋" w:eastAsia="仿宋" w:cs="宋体"/>
          <w:color w:val="auto"/>
          <w:kern w:val="0"/>
          <w:sz w:val="24"/>
          <w:highlight w:val="none"/>
        </w:rPr>
        <w:t>22.3</w:t>
      </w:r>
      <w:r>
        <w:rPr>
          <w:rFonts w:hint="eastAsia" w:ascii="仿宋" w:hAnsi="仿宋" w:eastAsia="仿宋" w:cs="宋体"/>
          <w:color w:val="auto"/>
          <w:kern w:val="0"/>
          <w:sz w:val="24"/>
          <w:highlight w:val="none"/>
        </w:rPr>
        <w:t>磋商文件要求成交人提交履约保证金的，成交人应当按照</w:t>
      </w:r>
      <w:r>
        <w:rPr>
          <w:rFonts w:hint="eastAsia" w:ascii="仿宋" w:hAnsi="仿宋" w:eastAsia="仿宋" w:cs="宋体"/>
          <w:color w:val="auto"/>
          <w:kern w:val="0"/>
          <w:sz w:val="24"/>
          <w:highlight w:val="none"/>
          <w:u w:val="single"/>
        </w:rPr>
        <w:t>本须知前附表</w:t>
      </w:r>
      <w:r>
        <w:rPr>
          <w:rFonts w:hint="eastAsia" w:ascii="仿宋" w:hAnsi="仿宋" w:eastAsia="仿宋" w:cs="宋体"/>
          <w:color w:val="auto"/>
          <w:kern w:val="0"/>
          <w:sz w:val="24"/>
          <w:highlight w:val="none"/>
        </w:rPr>
        <w:t>要求的金额和方式递交。成交人如不按要求提交履约保证金，将取消其成交资格，磋商保证金不予退还。</w:t>
      </w:r>
    </w:p>
    <w:p w14:paraId="548054F5">
      <w:pPr>
        <w:widowControl/>
        <w:topLinePunct/>
        <w:spacing w:line="360" w:lineRule="auto"/>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22.4成交供应商</w:t>
      </w:r>
      <w:r>
        <w:rPr>
          <w:rFonts w:ascii="仿宋" w:hAnsi="仿宋" w:eastAsia="仿宋" w:cs="宋体"/>
          <w:color w:val="auto"/>
          <w:kern w:val="0"/>
          <w:sz w:val="24"/>
          <w:highlight w:val="none"/>
        </w:rPr>
        <w:t>不履行与</w:t>
      </w:r>
      <w:r>
        <w:rPr>
          <w:rFonts w:hint="eastAsia" w:ascii="仿宋" w:hAnsi="仿宋" w:eastAsia="仿宋" w:cs="宋体"/>
          <w:color w:val="auto"/>
          <w:kern w:val="0"/>
          <w:sz w:val="24"/>
          <w:highlight w:val="none"/>
        </w:rPr>
        <w:t>采购</w:t>
      </w:r>
      <w:r>
        <w:rPr>
          <w:rFonts w:ascii="仿宋" w:hAnsi="仿宋" w:eastAsia="仿宋" w:cs="宋体"/>
          <w:color w:val="auto"/>
          <w:kern w:val="0"/>
          <w:sz w:val="24"/>
          <w:highlight w:val="none"/>
        </w:rPr>
        <w:t>人订立的合同的，</w:t>
      </w:r>
      <w:r>
        <w:rPr>
          <w:rFonts w:hint="eastAsia" w:ascii="仿宋" w:hAnsi="仿宋" w:eastAsia="仿宋" w:cs="宋体"/>
          <w:color w:val="auto"/>
          <w:kern w:val="0"/>
          <w:sz w:val="24"/>
          <w:highlight w:val="none"/>
        </w:rPr>
        <w:t>履约</w:t>
      </w:r>
      <w:r>
        <w:rPr>
          <w:rFonts w:ascii="仿宋" w:hAnsi="仿宋" w:eastAsia="仿宋" w:cs="宋体"/>
          <w:color w:val="auto"/>
          <w:kern w:val="0"/>
          <w:sz w:val="24"/>
          <w:highlight w:val="none"/>
        </w:rPr>
        <w:t>保证金不予退还，给</w:t>
      </w:r>
      <w:r>
        <w:rPr>
          <w:rFonts w:hint="eastAsia" w:ascii="仿宋" w:hAnsi="仿宋" w:eastAsia="仿宋" w:cs="宋体"/>
          <w:color w:val="auto"/>
          <w:kern w:val="0"/>
          <w:sz w:val="24"/>
          <w:highlight w:val="none"/>
        </w:rPr>
        <w:t>采购</w:t>
      </w:r>
      <w:r>
        <w:rPr>
          <w:rFonts w:ascii="仿宋" w:hAnsi="仿宋" w:eastAsia="仿宋" w:cs="宋体"/>
          <w:color w:val="auto"/>
          <w:kern w:val="0"/>
          <w:sz w:val="24"/>
          <w:highlight w:val="none"/>
        </w:rPr>
        <w:t>人造成的损失超过履约保证金数额的，还应当对超过部分予以赔偿；没有提交履约保证金的，应当对</w:t>
      </w:r>
      <w:r>
        <w:rPr>
          <w:rFonts w:hint="eastAsia" w:ascii="仿宋" w:hAnsi="仿宋" w:eastAsia="仿宋" w:cs="宋体"/>
          <w:color w:val="auto"/>
          <w:kern w:val="0"/>
          <w:sz w:val="24"/>
          <w:highlight w:val="none"/>
        </w:rPr>
        <w:t>采购</w:t>
      </w:r>
      <w:r>
        <w:rPr>
          <w:rFonts w:ascii="仿宋" w:hAnsi="仿宋" w:eastAsia="仿宋" w:cs="宋体"/>
          <w:color w:val="auto"/>
          <w:kern w:val="0"/>
          <w:sz w:val="24"/>
          <w:highlight w:val="none"/>
        </w:rPr>
        <w:t>人的损失承担赔偿责任。</w:t>
      </w:r>
    </w:p>
    <w:p w14:paraId="5A1F2A23">
      <w:pPr>
        <w:pStyle w:val="4"/>
        <w:spacing w:before="0" w:after="0" w:line="360" w:lineRule="auto"/>
        <w:ind w:firstLine="482"/>
        <w:jc w:val="both"/>
        <w:rPr>
          <w:rFonts w:hint="eastAsia" w:ascii="仿宋" w:hAnsi="仿宋" w:eastAsia="仿宋" w:cs="仿宋"/>
          <w:color w:val="auto"/>
          <w:sz w:val="24"/>
          <w:szCs w:val="24"/>
          <w:highlight w:val="none"/>
        </w:rPr>
      </w:pPr>
      <w:bookmarkStart w:id="116" w:name="_Toc21098"/>
      <w:bookmarkStart w:id="117" w:name="_Toc14533"/>
      <w:bookmarkStart w:id="118" w:name="_Toc234223235"/>
      <w:r>
        <w:rPr>
          <w:rFonts w:hint="eastAsia" w:ascii="仿宋" w:hAnsi="仿宋" w:eastAsia="仿宋" w:cs="仿宋"/>
          <w:color w:val="auto"/>
          <w:sz w:val="24"/>
          <w:szCs w:val="24"/>
          <w:highlight w:val="none"/>
        </w:rPr>
        <w:t>（七）其他</w:t>
      </w:r>
      <w:bookmarkEnd w:id="116"/>
      <w:bookmarkEnd w:id="117"/>
    </w:p>
    <w:p w14:paraId="5B00C327">
      <w:pPr>
        <w:pStyle w:val="5"/>
        <w:spacing w:before="0" w:after="0" w:line="360" w:lineRule="auto"/>
        <w:jc w:val="lef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2</w:t>
      </w:r>
      <w:r>
        <w:rPr>
          <w:rFonts w:ascii="仿宋" w:hAnsi="仿宋" w:eastAsia="仿宋" w:cs="仿宋"/>
          <w:bCs w:val="0"/>
          <w:color w:val="auto"/>
          <w:sz w:val="24"/>
          <w:szCs w:val="24"/>
          <w:highlight w:val="none"/>
        </w:rPr>
        <w:t>3</w:t>
      </w:r>
      <w:r>
        <w:rPr>
          <w:rFonts w:hint="eastAsia" w:ascii="仿宋" w:hAnsi="仿宋" w:eastAsia="仿宋" w:cs="仿宋"/>
          <w:bCs w:val="0"/>
          <w:color w:val="auto"/>
          <w:sz w:val="24"/>
          <w:szCs w:val="24"/>
          <w:highlight w:val="none"/>
        </w:rPr>
        <w:t>.采购代理服务费</w:t>
      </w:r>
      <w:bookmarkEnd w:id="118"/>
    </w:p>
    <w:p w14:paraId="6DAB42D2">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详见</w:t>
      </w:r>
      <w:r>
        <w:rPr>
          <w:rFonts w:hint="eastAsia" w:ascii="仿宋" w:hAnsi="仿宋" w:eastAsia="仿宋" w:cs="仿宋"/>
          <w:color w:val="auto"/>
          <w:sz w:val="24"/>
          <w:highlight w:val="none"/>
          <w:u w:val="single"/>
        </w:rPr>
        <w:t>本须知前附表</w:t>
      </w:r>
      <w:r>
        <w:rPr>
          <w:rFonts w:hint="eastAsia" w:ascii="仿宋" w:hAnsi="仿宋" w:eastAsia="仿宋" w:cs="仿宋"/>
          <w:color w:val="auto"/>
          <w:sz w:val="24"/>
          <w:highlight w:val="none"/>
        </w:rPr>
        <w:t>。</w:t>
      </w:r>
    </w:p>
    <w:p w14:paraId="3F03F71F">
      <w:pPr>
        <w:pStyle w:val="5"/>
        <w:spacing w:before="0" w:after="0" w:line="360" w:lineRule="auto"/>
        <w:jc w:val="lef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2</w:t>
      </w:r>
      <w:r>
        <w:rPr>
          <w:rFonts w:ascii="仿宋" w:hAnsi="仿宋" w:eastAsia="仿宋" w:cs="仿宋"/>
          <w:bCs w:val="0"/>
          <w:color w:val="auto"/>
          <w:sz w:val="24"/>
          <w:szCs w:val="24"/>
          <w:highlight w:val="none"/>
        </w:rPr>
        <w:t>4.</w:t>
      </w:r>
      <w:r>
        <w:rPr>
          <w:rFonts w:hint="eastAsia" w:ascii="仿宋" w:hAnsi="仿宋" w:eastAsia="仿宋" w:cs="仿宋"/>
          <w:bCs w:val="0"/>
          <w:color w:val="auto"/>
          <w:sz w:val="24"/>
          <w:szCs w:val="24"/>
          <w:highlight w:val="none"/>
        </w:rPr>
        <w:t>其他情况</w:t>
      </w:r>
    </w:p>
    <w:p w14:paraId="5959BF8D">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详见</w:t>
      </w:r>
      <w:r>
        <w:rPr>
          <w:rFonts w:hint="eastAsia" w:ascii="仿宋" w:hAnsi="仿宋" w:eastAsia="仿宋" w:cs="仿宋"/>
          <w:color w:val="auto"/>
          <w:sz w:val="24"/>
          <w:highlight w:val="none"/>
          <w:u w:val="single"/>
        </w:rPr>
        <w:t>本须知前附表</w:t>
      </w:r>
      <w:r>
        <w:rPr>
          <w:rFonts w:hint="eastAsia" w:ascii="仿宋" w:hAnsi="仿宋" w:eastAsia="仿宋" w:cs="仿宋"/>
          <w:color w:val="auto"/>
          <w:sz w:val="24"/>
          <w:highlight w:val="none"/>
        </w:rPr>
        <w:t>。</w:t>
      </w:r>
    </w:p>
    <w:p w14:paraId="20F3E257">
      <w:pPr>
        <w:rPr>
          <w:color w:val="auto"/>
          <w:highlight w:val="none"/>
        </w:rPr>
        <w:sectPr>
          <w:footerReference r:id="rId10" w:type="default"/>
          <w:pgSz w:w="11906" w:h="16838"/>
          <w:pgMar w:top="1417" w:right="1134" w:bottom="1134" w:left="1134" w:header="851" w:footer="992" w:gutter="0"/>
          <w:cols w:space="720" w:num="1"/>
          <w:docGrid w:type="lines" w:linePitch="312" w:charSpace="0"/>
        </w:sectPr>
      </w:pPr>
    </w:p>
    <w:p w14:paraId="51184615">
      <w:pPr>
        <w:pStyle w:val="2"/>
        <w:spacing w:before="0" w:after="0" w:line="360" w:lineRule="auto"/>
        <w:jc w:val="center"/>
        <w:rPr>
          <w:rFonts w:hint="eastAsia" w:ascii="仿宋" w:hAnsi="仿宋" w:eastAsia="仿宋" w:cs="仿宋"/>
          <w:color w:val="auto"/>
          <w:sz w:val="28"/>
          <w:szCs w:val="28"/>
          <w:highlight w:val="none"/>
        </w:rPr>
      </w:pPr>
      <w:bookmarkStart w:id="119" w:name="_Toc26894"/>
      <w:bookmarkStart w:id="120" w:name="_Toc444891343"/>
      <w:bookmarkStart w:id="121" w:name="_Toc517281824"/>
      <w:r>
        <w:rPr>
          <w:rFonts w:hint="eastAsia" w:ascii="仿宋" w:hAnsi="仿宋" w:eastAsia="仿宋" w:cs="仿宋"/>
          <w:color w:val="auto"/>
          <w:sz w:val="28"/>
          <w:szCs w:val="28"/>
          <w:highlight w:val="none"/>
        </w:rPr>
        <w:t>第三章 评审办法</w:t>
      </w:r>
      <w:bookmarkEnd w:id="119"/>
    </w:p>
    <w:p w14:paraId="6D95EA1F">
      <w:pPr>
        <w:pStyle w:val="3"/>
        <w:ind w:firstLine="0" w:firstLineChars="0"/>
        <w:jc w:val="left"/>
        <w:rPr>
          <w:rFonts w:hint="eastAsia" w:ascii="仿宋" w:hAnsi="仿宋" w:eastAsia="仿宋" w:cs="仿宋"/>
          <w:color w:val="auto"/>
          <w:sz w:val="24"/>
          <w:szCs w:val="24"/>
          <w:highlight w:val="none"/>
        </w:rPr>
      </w:pPr>
      <w:bookmarkStart w:id="122" w:name="_Toc517281825"/>
      <w:bookmarkStart w:id="123" w:name="_Toc444891344"/>
      <w:bookmarkStart w:id="124" w:name="_Toc12604"/>
      <w:bookmarkStart w:id="125" w:name="_Toc226969358"/>
      <w:bookmarkStart w:id="126" w:name="_Toc227057964"/>
      <w:r>
        <w:rPr>
          <w:rFonts w:hint="eastAsia" w:ascii="仿宋" w:hAnsi="仿宋" w:eastAsia="仿宋" w:cs="仿宋"/>
          <w:color w:val="auto"/>
          <w:sz w:val="24"/>
          <w:szCs w:val="24"/>
          <w:highlight w:val="none"/>
        </w:rPr>
        <w:t>一、评审程序</w:t>
      </w:r>
      <w:bookmarkEnd w:id="122"/>
      <w:bookmarkEnd w:id="123"/>
      <w:bookmarkEnd w:id="124"/>
    </w:p>
    <w:p w14:paraId="23CA6506">
      <w:pPr>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磋商小组</w:t>
      </w:r>
      <w:r>
        <w:rPr>
          <w:rFonts w:hint="eastAsia" w:ascii="仿宋" w:hAnsi="仿宋" w:eastAsia="仿宋" w:cs="仿宋"/>
          <w:color w:val="auto"/>
          <w:kern w:val="0"/>
          <w:sz w:val="24"/>
          <w:highlight w:val="none"/>
        </w:rPr>
        <w:t>对响应文件中的相关内容进行评审。评审按照以下程序进行：</w:t>
      </w:r>
    </w:p>
    <w:p w14:paraId="44F774D4">
      <w:pPr>
        <w:spacing w:line="360" w:lineRule="auto"/>
        <w:ind w:firstLine="420" w:firstLineChars="175"/>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1.</w:t>
      </w:r>
      <w:r>
        <w:rPr>
          <w:rFonts w:hint="eastAsia" w:ascii="仿宋" w:hAnsi="仿宋" w:eastAsia="仿宋" w:cs="仿宋"/>
          <w:color w:val="auto"/>
          <w:kern w:val="0"/>
          <w:sz w:val="24"/>
          <w:highlight w:val="none"/>
        </w:rPr>
        <w:t>熟悉</w:t>
      </w:r>
      <w:r>
        <w:rPr>
          <w:rFonts w:hint="eastAsia" w:ascii="仿宋" w:hAnsi="仿宋" w:eastAsia="仿宋" w:cs="仿宋"/>
          <w:color w:val="auto"/>
          <w:kern w:val="0"/>
          <w:sz w:val="24"/>
          <w:highlight w:val="none"/>
          <w:lang w:eastAsia="zh-CN"/>
        </w:rPr>
        <w:t>磋商文件</w:t>
      </w:r>
      <w:r>
        <w:rPr>
          <w:rFonts w:hint="eastAsia" w:ascii="仿宋" w:hAnsi="仿宋" w:eastAsia="仿宋" w:cs="仿宋"/>
          <w:color w:val="auto"/>
          <w:kern w:val="0"/>
          <w:sz w:val="24"/>
          <w:highlight w:val="none"/>
        </w:rPr>
        <w:t>；</w:t>
      </w:r>
    </w:p>
    <w:p w14:paraId="46AC4B01">
      <w:pPr>
        <w:spacing w:line="360" w:lineRule="auto"/>
        <w:ind w:firstLine="420" w:firstLineChars="175"/>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2.</w:t>
      </w:r>
      <w:r>
        <w:rPr>
          <w:rFonts w:hint="eastAsia" w:ascii="仿宋" w:hAnsi="仿宋" w:eastAsia="仿宋" w:cs="仿宋"/>
          <w:color w:val="auto"/>
          <w:kern w:val="0"/>
          <w:sz w:val="24"/>
          <w:highlight w:val="none"/>
        </w:rPr>
        <w:t>对响应文件进行初步评审，检查响应文件是否满足</w:t>
      </w:r>
      <w:r>
        <w:rPr>
          <w:rFonts w:hint="eastAsia" w:ascii="仿宋" w:hAnsi="仿宋" w:eastAsia="仿宋" w:cs="仿宋"/>
          <w:color w:val="auto"/>
          <w:kern w:val="0"/>
          <w:sz w:val="24"/>
          <w:highlight w:val="none"/>
          <w:lang w:eastAsia="zh-CN"/>
        </w:rPr>
        <w:t>磋商文件</w:t>
      </w:r>
      <w:r>
        <w:rPr>
          <w:rFonts w:hint="eastAsia" w:ascii="仿宋" w:hAnsi="仿宋" w:eastAsia="仿宋" w:cs="仿宋"/>
          <w:color w:val="auto"/>
          <w:kern w:val="0"/>
          <w:sz w:val="24"/>
          <w:highlight w:val="none"/>
        </w:rPr>
        <w:t>的初审要求；初步评审中不符合评审标准的，将做否决磋商响应处理；</w:t>
      </w:r>
    </w:p>
    <w:p w14:paraId="5E5C3017">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3.</w:t>
      </w:r>
      <w:r>
        <w:rPr>
          <w:rFonts w:hint="eastAsia" w:ascii="仿宋" w:hAnsi="仿宋" w:eastAsia="仿宋" w:cs="仿宋"/>
          <w:color w:val="auto"/>
          <w:kern w:val="0"/>
          <w:sz w:val="24"/>
          <w:highlight w:val="none"/>
        </w:rPr>
        <w:t>供应商有以下情形之一的，磋商小组应当否决其磋商响应：</w:t>
      </w:r>
    </w:p>
    <w:p w14:paraId="2AFF381C">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（1）按照</w:t>
      </w:r>
      <w:r>
        <w:rPr>
          <w:rFonts w:hint="eastAsia" w:ascii="仿宋" w:hAnsi="仿宋" w:eastAsia="仿宋" w:cs="仿宋"/>
          <w:color w:val="auto"/>
          <w:kern w:val="0"/>
          <w:sz w:val="24"/>
          <w:highlight w:val="none"/>
          <w:lang w:val="en-US" w:eastAsia="zh-CN"/>
        </w:rPr>
        <w:t>磋商</w:t>
      </w:r>
      <w:r>
        <w:rPr>
          <w:rFonts w:hint="eastAsia" w:ascii="仿宋" w:hAnsi="仿宋" w:eastAsia="仿宋" w:cs="仿宋"/>
          <w:color w:val="auto"/>
          <w:kern w:val="0"/>
          <w:sz w:val="24"/>
          <w:highlight w:val="none"/>
        </w:rPr>
        <w:t>公告要求已经递交电子</w:t>
      </w:r>
      <w:r>
        <w:rPr>
          <w:rFonts w:hint="eastAsia" w:ascii="仿宋" w:hAnsi="仿宋" w:eastAsia="仿宋" w:cs="仿宋"/>
          <w:color w:val="auto"/>
          <w:kern w:val="0"/>
          <w:sz w:val="24"/>
          <w:highlight w:val="none"/>
          <w:lang w:val="en-US" w:eastAsia="zh-CN"/>
        </w:rPr>
        <w:t>响应</w:t>
      </w:r>
      <w:r>
        <w:rPr>
          <w:rFonts w:hint="eastAsia" w:ascii="仿宋" w:hAnsi="仿宋" w:eastAsia="仿宋" w:cs="仿宋"/>
          <w:color w:val="auto"/>
          <w:kern w:val="0"/>
          <w:sz w:val="24"/>
          <w:highlight w:val="none"/>
        </w:rPr>
        <w:t>文件，</w:t>
      </w:r>
      <w:r>
        <w:rPr>
          <w:rFonts w:hint="eastAsia" w:ascii="仿宋" w:hAnsi="仿宋" w:eastAsia="仿宋" w:cs="仿宋"/>
          <w:color w:val="auto"/>
          <w:kern w:val="0"/>
          <w:sz w:val="24"/>
          <w:highlight w:val="none"/>
          <w:lang w:val="en-US" w:eastAsia="zh-CN"/>
        </w:rPr>
        <w:t>但</w:t>
      </w:r>
      <w:r>
        <w:rPr>
          <w:rFonts w:hint="eastAsia" w:ascii="仿宋" w:hAnsi="仿宋" w:eastAsia="仿宋" w:cs="仿宋"/>
          <w:color w:val="auto"/>
          <w:kern w:val="0"/>
          <w:sz w:val="24"/>
          <w:highlight w:val="none"/>
        </w:rPr>
        <w:t>未按要求递交纸质响应文件；</w:t>
      </w:r>
    </w:p>
    <w:p w14:paraId="59B2B4E1">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（2）响应文件未经供应商盖章和单位负责人签字；</w:t>
      </w:r>
    </w:p>
    <w:p w14:paraId="3AF1DAD4">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（3）允许联合体响应的，联合体没有递交共同响应协议；</w:t>
      </w:r>
    </w:p>
    <w:p w14:paraId="0105231C">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（4）不符合国家或者</w:t>
      </w:r>
      <w:r>
        <w:rPr>
          <w:rFonts w:hint="eastAsia" w:ascii="仿宋" w:hAnsi="仿宋" w:eastAsia="仿宋" w:cs="仿宋"/>
          <w:color w:val="auto"/>
          <w:kern w:val="0"/>
          <w:sz w:val="24"/>
          <w:highlight w:val="none"/>
          <w:lang w:eastAsia="zh-CN"/>
        </w:rPr>
        <w:t>磋商文件</w:t>
      </w:r>
      <w:r>
        <w:rPr>
          <w:rFonts w:hint="eastAsia" w:ascii="仿宋" w:hAnsi="仿宋" w:eastAsia="仿宋" w:cs="仿宋"/>
          <w:color w:val="auto"/>
          <w:kern w:val="0"/>
          <w:sz w:val="24"/>
          <w:highlight w:val="none"/>
        </w:rPr>
        <w:t>规定的资格条件；</w:t>
      </w:r>
    </w:p>
    <w:p w14:paraId="5D2D83D4">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（5）同一供应商提交两个以上不同的响应文件或者响应报价，但</w:t>
      </w:r>
      <w:r>
        <w:rPr>
          <w:rFonts w:hint="eastAsia" w:ascii="仿宋" w:hAnsi="仿宋" w:eastAsia="仿宋" w:cs="仿宋"/>
          <w:color w:val="auto"/>
          <w:kern w:val="0"/>
          <w:sz w:val="24"/>
          <w:highlight w:val="none"/>
          <w:lang w:eastAsia="zh-CN"/>
        </w:rPr>
        <w:t>磋商文件</w:t>
      </w:r>
      <w:r>
        <w:rPr>
          <w:rFonts w:hint="eastAsia" w:ascii="仿宋" w:hAnsi="仿宋" w:eastAsia="仿宋" w:cs="仿宋"/>
          <w:color w:val="auto"/>
          <w:kern w:val="0"/>
          <w:sz w:val="24"/>
          <w:highlight w:val="none"/>
        </w:rPr>
        <w:t>要求提交备选文件的除外；</w:t>
      </w:r>
    </w:p>
    <w:p w14:paraId="2FFD5CB3">
      <w:pPr>
        <w:spacing w:line="360" w:lineRule="auto"/>
        <w:ind w:firstLine="420" w:firstLineChars="175"/>
        <w:jc w:val="left"/>
        <w:rPr>
          <w:rFonts w:hint="eastAsia" w:ascii="仿宋" w:hAnsi="仿宋" w:eastAsia="仿宋" w:cs="宋体"/>
          <w:color w:val="auto"/>
          <w:kern w:val="0"/>
          <w:sz w:val="24"/>
          <w:szCs w:val="24"/>
          <w:highlight w:val="none"/>
        </w:rPr>
      </w:pPr>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lang w:val="en-US" w:eastAsia="zh-CN"/>
        </w:rPr>
        <w:t>6</w:t>
      </w:r>
      <w:r>
        <w:rPr>
          <w:rFonts w:hint="eastAsia" w:ascii="仿宋" w:hAnsi="仿宋" w:eastAsia="仿宋" w:cs="仿宋"/>
          <w:color w:val="auto"/>
          <w:kern w:val="0"/>
          <w:sz w:val="24"/>
          <w:highlight w:val="none"/>
          <w:lang w:eastAsia="zh-CN"/>
        </w:rPr>
        <w:t>）</w:t>
      </w:r>
      <w:r>
        <w:rPr>
          <w:rFonts w:hint="eastAsia" w:ascii="仿宋" w:hAnsi="仿宋" w:eastAsia="仿宋" w:cs="宋体"/>
          <w:color w:val="auto"/>
          <w:kern w:val="0"/>
          <w:sz w:val="24"/>
          <w:szCs w:val="24"/>
          <w:highlight w:val="none"/>
          <w:lang w:val="en-US" w:eastAsia="zh-CN"/>
        </w:rPr>
        <w:t>最终</w:t>
      </w:r>
      <w:r>
        <w:rPr>
          <w:rFonts w:hint="eastAsia" w:ascii="仿宋" w:hAnsi="仿宋" w:eastAsia="仿宋" w:cs="宋体"/>
          <w:color w:val="auto"/>
          <w:kern w:val="0"/>
          <w:sz w:val="24"/>
          <w:szCs w:val="24"/>
          <w:highlight w:val="none"/>
        </w:rPr>
        <w:t>报价低于成本或者高于</w:t>
      </w:r>
      <w:r>
        <w:rPr>
          <w:rFonts w:hint="eastAsia" w:ascii="仿宋" w:hAnsi="仿宋" w:eastAsia="仿宋" w:cs="宋体"/>
          <w:color w:val="auto"/>
          <w:kern w:val="0"/>
          <w:sz w:val="24"/>
          <w:szCs w:val="24"/>
          <w:highlight w:val="none"/>
          <w:lang w:val="en-US" w:eastAsia="zh-CN"/>
        </w:rPr>
        <w:t>磋商文件</w:t>
      </w:r>
      <w:r>
        <w:rPr>
          <w:rFonts w:hint="eastAsia" w:ascii="仿宋" w:hAnsi="仿宋" w:eastAsia="仿宋" w:cs="宋体"/>
          <w:color w:val="auto"/>
          <w:kern w:val="0"/>
          <w:sz w:val="24"/>
          <w:szCs w:val="24"/>
          <w:highlight w:val="none"/>
        </w:rPr>
        <w:t>设定的最高投标限价；</w:t>
      </w:r>
    </w:p>
    <w:p w14:paraId="594607CE">
      <w:pPr>
        <w:spacing w:line="360" w:lineRule="auto"/>
        <w:ind w:firstLine="420" w:firstLineChars="175"/>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（7）</w:t>
      </w:r>
      <w:r>
        <w:rPr>
          <w:rFonts w:hint="eastAsia" w:ascii="仿宋" w:hAnsi="仿宋" w:eastAsia="仿宋" w:cs="宋体"/>
          <w:color w:val="auto"/>
          <w:kern w:val="0"/>
          <w:sz w:val="24"/>
          <w:szCs w:val="24"/>
          <w:highlight w:val="none"/>
          <w:lang w:val="en-US" w:eastAsia="zh-CN"/>
        </w:rPr>
        <w:t>响应</w:t>
      </w:r>
      <w:r>
        <w:rPr>
          <w:rFonts w:hint="eastAsia" w:ascii="仿宋" w:hAnsi="仿宋" w:eastAsia="仿宋" w:cs="宋体"/>
          <w:color w:val="auto"/>
          <w:kern w:val="0"/>
          <w:sz w:val="24"/>
          <w:szCs w:val="24"/>
          <w:highlight w:val="none"/>
        </w:rPr>
        <w:t>文件未对</w:t>
      </w:r>
      <w:r>
        <w:rPr>
          <w:rFonts w:hint="eastAsia" w:ascii="仿宋" w:hAnsi="仿宋" w:eastAsia="仿宋" w:cs="宋体"/>
          <w:color w:val="auto"/>
          <w:kern w:val="0"/>
          <w:sz w:val="24"/>
          <w:szCs w:val="24"/>
          <w:highlight w:val="none"/>
          <w:lang w:val="en-US" w:eastAsia="zh-CN"/>
        </w:rPr>
        <w:t>磋商文件</w:t>
      </w:r>
      <w:r>
        <w:rPr>
          <w:rFonts w:hint="eastAsia" w:ascii="仿宋" w:hAnsi="仿宋" w:eastAsia="仿宋" w:cs="宋体"/>
          <w:color w:val="auto"/>
          <w:kern w:val="0"/>
          <w:sz w:val="24"/>
          <w:szCs w:val="24"/>
          <w:highlight w:val="none"/>
        </w:rPr>
        <w:t xml:space="preserve">的实质性要求和条件作出响应； </w:t>
      </w:r>
    </w:p>
    <w:p w14:paraId="271AEA78">
      <w:pPr>
        <w:spacing w:line="360" w:lineRule="auto"/>
        <w:ind w:firstLine="420" w:firstLineChars="175"/>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（8）</w:t>
      </w:r>
      <w:r>
        <w:rPr>
          <w:rFonts w:hint="eastAsia" w:ascii="仿宋" w:hAnsi="仿宋" w:eastAsia="仿宋" w:cs="宋体"/>
          <w:color w:val="auto"/>
          <w:kern w:val="0"/>
          <w:sz w:val="24"/>
          <w:szCs w:val="24"/>
          <w:highlight w:val="none"/>
          <w:lang w:val="en-US" w:eastAsia="zh-CN"/>
        </w:rPr>
        <w:t>供应商</w:t>
      </w:r>
      <w:r>
        <w:rPr>
          <w:rFonts w:hint="eastAsia" w:ascii="仿宋" w:hAnsi="仿宋" w:eastAsia="仿宋" w:cs="宋体"/>
          <w:color w:val="auto"/>
          <w:kern w:val="0"/>
          <w:sz w:val="24"/>
          <w:szCs w:val="24"/>
          <w:highlight w:val="none"/>
        </w:rPr>
        <w:t>有串通投标、弄虚作假、行贿等违法行为；</w:t>
      </w:r>
    </w:p>
    <w:p w14:paraId="7A1547DF">
      <w:pPr>
        <w:spacing w:line="360" w:lineRule="auto"/>
        <w:ind w:firstLine="420" w:firstLineChars="175"/>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（9）不接受或不确认因算术性错误进行的价格修正；</w:t>
      </w:r>
    </w:p>
    <w:p w14:paraId="15CB4532">
      <w:pPr>
        <w:spacing w:line="360" w:lineRule="auto"/>
        <w:ind w:firstLine="420" w:firstLineChars="175"/>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（10）</w:t>
      </w:r>
      <w:r>
        <w:rPr>
          <w:rFonts w:hint="eastAsia" w:ascii="仿宋" w:hAnsi="仿宋" w:eastAsia="仿宋" w:cs="宋体"/>
          <w:color w:val="auto"/>
          <w:kern w:val="0"/>
          <w:sz w:val="24"/>
          <w:szCs w:val="24"/>
          <w:highlight w:val="none"/>
          <w:lang w:val="en-US" w:eastAsia="zh-CN"/>
        </w:rPr>
        <w:t>响应</w:t>
      </w:r>
      <w:r>
        <w:rPr>
          <w:rFonts w:hint="eastAsia" w:ascii="仿宋" w:hAnsi="仿宋" w:eastAsia="仿宋" w:cs="宋体"/>
          <w:color w:val="auto"/>
          <w:kern w:val="0"/>
          <w:sz w:val="24"/>
          <w:szCs w:val="24"/>
          <w:highlight w:val="none"/>
        </w:rPr>
        <w:t>文件附有</w:t>
      </w:r>
      <w:r>
        <w:rPr>
          <w:rFonts w:hint="eastAsia" w:ascii="仿宋" w:hAnsi="仿宋" w:eastAsia="仿宋" w:cs="宋体"/>
          <w:color w:val="auto"/>
          <w:kern w:val="0"/>
          <w:sz w:val="24"/>
          <w:szCs w:val="24"/>
          <w:highlight w:val="none"/>
          <w:lang w:val="en-US" w:eastAsia="zh-CN"/>
        </w:rPr>
        <w:t>采购</w:t>
      </w:r>
      <w:r>
        <w:rPr>
          <w:rFonts w:hint="eastAsia" w:ascii="仿宋" w:hAnsi="仿宋" w:eastAsia="仿宋" w:cs="宋体"/>
          <w:color w:val="auto"/>
          <w:kern w:val="0"/>
          <w:sz w:val="24"/>
          <w:szCs w:val="24"/>
          <w:highlight w:val="none"/>
        </w:rPr>
        <w:t>人不能接受的条件；</w:t>
      </w:r>
    </w:p>
    <w:p w14:paraId="66B1D82C">
      <w:pPr>
        <w:spacing w:line="360" w:lineRule="auto"/>
        <w:ind w:firstLine="420" w:firstLineChars="175"/>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（11）不符合</w:t>
      </w:r>
      <w:r>
        <w:rPr>
          <w:rFonts w:hint="eastAsia" w:ascii="仿宋" w:hAnsi="仿宋" w:eastAsia="仿宋" w:cs="宋体"/>
          <w:color w:val="auto"/>
          <w:kern w:val="0"/>
          <w:sz w:val="24"/>
          <w:szCs w:val="24"/>
          <w:highlight w:val="none"/>
          <w:lang w:val="en-US" w:eastAsia="zh-CN"/>
        </w:rPr>
        <w:t>磋商文件</w:t>
      </w:r>
      <w:r>
        <w:rPr>
          <w:rFonts w:hint="eastAsia" w:ascii="仿宋" w:hAnsi="仿宋" w:eastAsia="仿宋" w:cs="宋体"/>
          <w:color w:val="auto"/>
          <w:kern w:val="0"/>
          <w:sz w:val="24"/>
          <w:szCs w:val="24"/>
          <w:highlight w:val="none"/>
        </w:rPr>
        <w:t>中规定的其他实质性要求。</w:t>
      </w:r>
    </w:p>
    <w:p w14:paraId="0813D841">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4.初步评审</w:t>
      </w:r>
      <w:r>
        <w:rPr>
          <w:rFonts w:hint="eastAsia" w:ascii="仿宋" w:hAnsi="仿宋" w:eastAsia="仿宋" w:cs="仿宋"/>
          <w:color w:val="auto"/>
          <w:kern w:val="0"/>
          <w:sz w:val="24"/>
          <w:highlight w:val="none"/>
          <w:lang w:val="zh-CN" w:eastAsia="zh-CN"/>
        </w:rPr>
        <w:t>内容允许在磋商过程中按磋商小组规定的时间内补充，若未在规定时间内补充则将导致响应无效。</w:t>
      </w:r>
    </w:p>
    <w:p w14:paraId="644ED1A1">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5.</w:t>
      </w:r>
      <w:r>
        <w:rPr>
          <w:rFonts w:hint="eastAsia" w:ascii="仿宋" w:hAnsi="仿宋" w:eastAsia="仿宋" w:cs="仿宋"/>
          <w:color w:val="auto"/>
          <w:kern w:val="0"/>
          <w:sz w:val="24"/>
          <w:highlight w:val="none"/>
        </w:rPr>
        <w:t>通过初步评审的供应商分别进行磋商；</w:t>
      </w:r>
    </w:p>
    <w:p w14:paraId="4C7149A2">
      <w:pPr>
        <w:spacing w:line="360" w:lineRule="auto"/>
        <w:ind w:firstLine="420" w:firstLineChars="175"/>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6.</w:t>
      </w:r>
      <w:r>
        <w:rPr>
          <w:rFonts w:hint="eastAsia" w:ascii="仿宋" w:hAnsi="仿宋" w:eastAsia="仿宋" w:cs="仿宋"/>
          <w:color w:val="auto"/>
          <w:kern w:val="0"/>
          <w:sz w:val="24"/>
          <w:highlight w:val="none"/>
        </w:rPr>
        <w:t>通过初步评审的供应商进行最终报价；</w:t>
      </w:r>
    </w:p>
    <w:p w14:paraId="35D458DD">
      <w:pPr>
        <w:spacing w:line="360" w:lineRule="auto"/>
        <w:ind w:firstLine="420" w:firstLineChars="175"/>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7.</w:t>
      </w:r>
      <w:r>
        <w:rPr>
          <w:rFonts w:hint="eastAsia" w:ascii="仿宋" w:hAnsi="仿宋" w:eastAsia="仿宋" w:cs="仿宋"/>
          <w:color w:val="auto"/>
          <w:kern w:val="0"/>
          <w:sz w:val="24"/>
          <w:highlight w:val="none"/>
        </w:rPr>
        <w:t>通过初步评审的响应文件进行详细评审及打分；</w:t>
      </w:r>
    </w:p>
    <w:p w14:paraId="319BC66E">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8.</w:t>
      </w:r>
      <w:r>
        <w:rPr>
          <w:rFonts w:hint="eastAsia" w:ascii="仿宋" w:hAnsi="仿宋" w:eastAsia="仿宋" w:cs="仿宋"/>
          <w:color w:val="auto"/>
          <w:kern w:val="0"/>
          <w:sz w:val="24"/>
          <w:highlight w:val="none"/>
        </w:rPr>
        <w:t>按照综合评分由高到低的次序推荐成交候选人，提交评审报告，评审报告应包含评审情况说明、排名次序、推荐成交候选人名单及其他说明事项。</w:t>
      </w:r>
    </w:p>
    <w:p w14:paraId="664B2F69">
      <w:pPr>
        <w:pStyle w:val="3"/>
        <w:ind w:firstLine="0" w:firstLineChars="0"/>
        <w:jc w:val="left"/>
        <w:rPr>
          <w:rFonts w:hint="eastAsia" w:ascii="仿宋" w:hAnsi="仿宋" w:eastAsia="仿宋" w:cs="仿宋"/>
          <w:color w:val="auto"/>
          <w:sz w:val="24"/>
          <w:szCs w:val="24"/>
          <w:highlight w:val="none"/>
        </w:rPr>
      </w:pPr>
      <w:bookmarkStart w:id="127" w:name="_Toc517281826"/>
      <w:bookmarkStart w:id="128" w:name="_Toc444891345"/>
      <w:r>
        <w:rPr>
          <w:rFonts w:hint="eastAsia" w:ascii="仿宋" w:hAnsi="仿宋" w:eastAsia="仿宋" w:cs="仿宋"/>
          <w:color w:val="auto"/>
          <w:sz w:val="24"/>
          <w:szCs w:val="24"/>
          <w:highlight w:val="none"/>
        </w:rPr>
        <w:br w:type="page"/>
      </w:r>
      <w:bookmarkStart w:id="129" w:name="_Toc26003"/>
      <w:r>
        <w:rPr>
          <w:rFonts w:hint="eastAsia" w:ascii="仿宋" w:hAnsi="仿宋" w:eastAsia="仿宋" w:cs="仿宋"/>
          <w:color w:val="auto"/>
          <w:sz w:val="24"/>
          <w:szCs w:val="24"/>
          <w:highlight w:val="none"/>
        </w:rPr>
        <w:t>二、初步评审</w:t>
      </w:r>
      <w:bookmarkEnd w:id="127"/>
      <w:bookmarkEnd w:id="128"/>
      <w:bookmarkEnd w:id="129"/>
    </w:p>
    <w:bookmarkEnd w:id="125"/>
    <w:bookmarkEnd w:id="126"/>
    <w:tbl>
      <w:tblPr>
        <w:tblStyle w:val="41"/>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42"/>
        <w:gridCol w:w="1167"/>
        <w:gridCol w:w="1950"/>
        <w:gridCol w:w="6095"/>
      </w:tblGrid>
      <w:tr w14:paraId="6F31501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26" w:type="pct"/>
            <w:noWrap w:val="0"/>
            <w:vAlign w:val="center"/>
          </w:tcPr>
          <w:p w14:paraId="2EE79DAF">
            <w:pPr>
              <w:widowControl/>
              <w:spacing w:line="360" w:lineRule="auto"/>
              <w:jc w:val="center"/>
              <w:rPr>
                <w:rFonts w:hint="eastAsia" w:ascii="仿宋" w:hAnsi="仿宋" w:eastAsia="仿宋" w:cs="仿宋"/>
                <w:b/>
                <w:color w:val="auto"/>
                <w:kern w:val="0"/>
                <w:szCs w:val="21"/>
                <w:highlight w:val="none"/>
              </w:rPr>
            </w:pPr>
            <w:bookmarkStart w:id="130" w:name="_Toc426620345"/>
            <w:bookmarkStart w:id="131" w:name="_Toc4633"/>
            <w:bookmarkStart w:id="132" w:name="_Toc9003"/>
            <w:bookmarkStart w:id="133" w:name="_Toc517281827"/>
            <w:bookmarkStart w:id="134" w:name="_Toc444891346"/>
            <w:bookmarkStart w:id="135" w:name="_Toc13468"/>
            <w:r>
              <w:rPr>
                <w:rFonts w:hint="eastAsia" w:ascii="仿宋" w:hAnsi="仿宋" w:eastAsia="仿宋" w:cs="仿宋"/>
                <w:b/>
                <w:color w:val="auto"/>
                <w:kern w:val="0"/>
                <w:szCs w:val="21"/>
                <w:highlight w:val="none"/>
              </w:rPr>
              <w:t>序号</w:t>
            </w:r>
          </w:p>
        </w:tc>
        <w:tc>
          <w:tcPr>
            <w:tcW w:w="592" w:type="pct"/>
            <w:noWrap w:val="0"/>
            <w:vAlign w:val="top"/>
          </w:tcPr>
          <w:p w14:paraId="1BB2759A">
            <w:pPr>
              <w:widowControl/>
              <w:spacing w:before="24" w:after="24" w:line="360" w:lineRule="auto"/>
              <w:jc w:val="center"/>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评审环节</w:t>
            </w:r>
          </w:p>
        </w:tc>
        <w:tc>
          <w:tcPr>
            <w:tcW w:w="989" w:type="pct"/>
            <w:noWrap w:val="0"/>
            <w:vAlign w:val="center"/>
          </w:tcPr>
          <w:p w14:paraId="1C31688C">
            <w:pPr>
              <w:widowControl/>
              <w:spacing w:before="24" w:after="24" w:line="360" w:lineRule="auto"/>
              <w:jc w:val="center"/>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评审因素</w:t>
            </w:r>
          </w:p>
        </w:tc>
        <w:tc>
          <w:tcPr>
            <w:tcW w:w="3092" w:type="pct"/>
            <w:noWrap w:val="0"/>
            <w:vAlign w:val="center"/>
          </w:tcPr>
          <w:p w14:paraId="5E9302F1">
            <w:pPr>
              <w:widowControl/>
              <w:spacing w:line="360" w:lineRule="auto"/>
              <w:jc w:val="center"/>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评审标准</w:t>
            </w:r>
          </w:p>
        </w:tc>
      </w:tr>
      <w:tr w14:paraId="00AD54D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26" w:type="pct"/>
            <w:vMerge w:val="restart"/>
            <w:noWrap w:val="0"/>
            <w:vAlign w:val="center"/>
          </w:tcPr>
          <w:p w14:paraId="63AC8159">
            <w:pPr>
              <w:widowControl/>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w:t>
            </w:r>
          </w:p>
        </w:tc>
        <w:tc>
          <w:tcPr>
            <w:tcW w:w="592" w:type="pct"/>
            <w:vMerge w:val="restart"/>
            <w:noWrap w:val="0"/>
            <w:vAlign w:val="center"/>
          </w:tcPr>
          <w:p w14:paraId="624647E7">
            <w:pPr>
              <w:spacing w:before="24" w:after="24"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形式评审标准</w:t>
            </w:r>
          </w:p>
        </w:tc>
        <w:tc>
          <w:tcPr>
            <w:tcW w:w="989" w:type="pct"/>
            <w:noWrap w:val="0"/>
            <w:vAlign w:val="center"/>
          </w:tcPr>
          <w:p w14:paraId="331A9EA1">
            <w:pPr>
              <w:spacing w:before="24" w:after="24" w:line="276" w:lineRule="auto"/>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供应商名称</w:t>
            </w:r>
          </w:p>
        </w:tc>
        <w:tc>
          <w:tcPr>
            <w:tcW w:w="3092" w:type="pct"/>
            <w:noWrap w:val="0"/>
            <w:vAlign w:val="center"/>
          </w:tcPr>
          <w:p w14:paraId="164BF37F">
            <w:pPr>
              <w:spacing w:before="24" w:after="24" w:line="276" w:lineRule="auto"/>
              <w:jc w:val="left"/>
              <w:rPr>
                <w:rFonts w:hint="eastAsia" w:ascii="仿宋" w:hAnsi="仿宋" w:eastAsia="仿宋" w:cs="仿宋"/>
                <w:color w:val="auto"/>
                <w:kern w:val="0"/>
                <w:szCs w:val="21"/>
                <w:highlight w:val="none"/>
              </w:rPr>
            </w:pPr>
            <w:r>
              <w:rPr>
                <w:rFonts w:hint="eastAsia" w:ascii="仿宋" w:hAnsi="仿宋" w:eastAsia="仿宋" w:cs="Cambria Math"/>
                <w:color w:val="auto"/>
                <w:szCs w:val="21"/>
                <w:highlight w:val="none"/>
              </w:rPr>
              <w:t>与企业营业执照、单位公章等保持一致。</w:t>
            </w:r>
          </w:p>
        </w:tc>
      </w:tr>
      <w:tr w14:paraId="607BEBF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26" w:type="pct"/>
            <w:vMerge w:val="continue"/>
            <w:noWrap w:val="0"/>
            <w:vAlign w:val="center"/>
          </w:tcPr>
          <w:p w14:paraId="0C460B4A">
            <w:pPr>
              <w:widowControl/>
              <w:spacing w:line="360" w:lineRule="auto"/>
              <w:jc w:val="center"/>
              <w:rPr>
                <w:rFonts w:hint="eastAsia" w:ascii="仿宋" w:hAnsi="仿宋" w:eastAsia="仿宋" w:cs="仿宋"/>
                <w:color w:val="auto"/>
                <w:kern w:val="0"/>
                <w:szCs w:val="21"/>
                <w:highlight w:val="none"/>
              </w:rPr>
            </w:pPr>
          </w:p>
        </w:tc>
        <w:tc>
          <w:tcPr>
            <w:tcW w:w="592" w:type="pct"/>
            <w:vMerge w:val="continue"/>
            <w:noWrap w:val="0"/>
            <w:vAlign w:val="top"/>
          </w:tcPr>
          <w:p w14:paraId="6668AFBF">
            <w:pPr>
              <w:spacing w:before="24" w:after="24" w:line="360" w:lineRule="auto"/>
              <w:jc w:val="center"/>
              <w:rPr>
                <w:rFonts w:hint="eastAsia" w:ascii="仿宋" w:hAnsi="仿宋" w:eastAsia="仿宋" w:cs="仿宋"/>
                <w:color w:val="auto"/>
                <w:szCs w:val="21"/>
                <w:highlight w:val="none"/>
              </w:rPr>
            </w:pPr>
          </w:p>
        </w:tc>
        <w:tc>
          <w:tcPr>
            <w:tcW w:w="989" w:type="pct"/>
            <w:noWrap w:val="0"/>
            <w:vAlign w:val="center"/>
          </w:tcPr>
          <w:p w14:paraId="36F11CBD">
            <w:pPr>
              <w:spacing w:before="24" w:after="24" w:line="276" w:lineRule="auto"/>
              <w:jc w:val="center"/>
              <w:rPr>
                <w:rFonts w:hint="eastAsia" w:ascii="仿宋" w:hAnsi="仿宋" w:eastAsia="仿宋" w:cs="仿宋"/>
                <w:color w:val="auto"/>
                <w:spacing w:val="-4"/>
                <w:kern w:val="0"/>
                <w:szCs w:val="21"/>
                <w:highlight w:val="none"/>
              </w:rPr>
            </w:pPr>
            <w:r>
              <w:rPr>
                <w:rFonts w:hint="eastAsia" w:ascii="仿宋" w:hAnsi="仿宋" w:eastAsia="仿宋" w:cs="仿宋"/>
                <w:color w:val="auto"/>
                <w:szCs w:val="21"/>
                <w:highlight w:val="none"/>
              </w:rPr>
              <w:t>法定代表人（负责人）身份证明</w:t>
            </w:r>
          </w:p>
        </w:tc>
        <w:tc>
          <w:tcPr>
            <w:tcW w:w="3092" w:type="pct"/>
            <w:noWrap w:val="0"/>
            <w:vAlign w:val="center"/>
          </w:tcPr>
          <w:p w14:paraId="0A2C94D1">
            <w:pPr>
              <w:pStyle w:val="175"/>
              <w:topLinePunct/>
              <w:jc w:val="lef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1、提供法定代表人（负责人）身份证复印件。</w:t>
            </w:r>
          </w:p>
          <w:p w14:paraId="5767E793">
            <w:pPr>
              <w:pStyle w:val="138"/>
              <w:tabs>
                <w:tab w:val="left" w:pos="630"/>
              </w:tabs>
              <w:topLinePunct/>
              <w:spacing w:before="62" w:beforeLines="20" w:after="62" w:afterLines="20"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2"/>
                <w:highlight w:val="none"/>
              </w:rPr>
              <w:t>2、落款加盖公章。</w:t>
            </w:r>
          </w:p>
        </w:tc>
      </w:tr>
      <w:tr w14:paraId="0E91EE6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26" w:type="pct"/>
            <w:vMerge w:val="continue"/>
            <w:noWrap w:val="0"/>
            <w:vAlign w:val="center"/>
          </w:tcPr>
          <w:p w14:paraId="0F2F7297">
            <w:pPr>
              <w:widowControl/>
              <w:spacing w:line="360" w:lineRule="auto"/>
              <w:jc w:val="center"/>
              <w:rPr>
                <w:rFonts w:hint="eastAsia" w:ascii="仿宋" w:hAnsi="仿宋" w:eastAsia="仿宋" w:cs="仿宋"/>
                <w:color w:val="auto"/>
                <w:kern w:val="0"/>
                <w:szCs w:val="21"/>
                <w:highlight w:val="none"/>
              </w:rPr>
            </w:pPr>
          </w:p>
        </w:tc>
        <w:tc>
          <w:tcPr>
            <w:tcW w:w="592" w:type="pct"/>
            <w:vMerge w:val="continue"/>
            <w:noWrap w:val="0"/>
            <w:vAlign w:val="top"/>
          </w:tcPr>
          <w:p w14:paraId="271EA31B">
            <w:pPr>
              <w:spacing w:before="24" w:after="24" w:line="360" w:lineRule="auto"/>
              <w:jc w:val="center"/>
              <w:rPr>
                <w:rFonts w:hint="eastAsia" w:ascii="仿宋" w:hAnsi="仿宋" w:eastAsia="仿宋" w:cs="仿宋"/>
                <w:color w:val="auto"/>
                <w:szCs w:val="21"/>
                <w:highlight w:val="none"/>
              </w:rPr>
            </w:pPr>
          </w:p>
        </w:tc>
        <w:tc>
          <w:tcPr>
            <w:tcW w:w="989" w:type="pct"/>
            <w:noWrap w:val="0"/>
            <w:vAlign w:val="center"/>
          </w:tcPr>
          <w:p w14:paraId="7E10544C">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法定代表人（负责人）授权委托书</w:t>
            </w:r>
          </w:p>
        </w:tc>
        <w:tc>
          <w:tcPr>
            <w:tcW w:w="3092" w:type="pct"/>
            <w:noWrap w:val="0"/>
            <w:vAlign w:val="center"/>
          </w:tcPr>
          <w:p w14:paraId="77ED44BA">
            <w:pPr>
              <w:pStyle w:val="175"/>
              <w:topLinePunct/>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1、提供委托代理人身份证复印件。</w:t>
            </w:r>
          </w:p>
          <w:p w14:paraId="7ED2EEEB">
            <w:pPr>
              <w:pStyle w:val="175"/>
              <w:topLinePunct/>
              <w:spacing w:line="276" w:lineRule="auto"/>
              <w:rPr>
                <w:rFonts w:hint="eastAsia" w:ascii="仿宋" w:hAnsi="仿宋" w:eastAsia="仿宋" w:cs="Cambria Math"/>
                <w:color w:val="auto"/>
                <w:sz w:val="21"/>
                <w:szCs w:val="21"/>
                <w:highlight w:val="none"/>
              </w:rPr>
            </w:pPr>
            <w:r>
              <w:rPr>
                <w:rFonts w:hint="eastAsia" w:ascii="仿宋" w:hAnsi="仿宋" w:eastAsia="仿宋" w:cs="仿宋"/>
                <w:color w:val="auto"/>
                <w:sz w:val="22"/>
                <w:highlight w:val="none"/>
              </w:rPr>
              <w:t>2、落款</w:t>
            </w:r>
            <w:r>
              <w:rPr>
                <w:rFonts w:hint="eastAsia" w:ascii="仿宋" w:hAnsi="仿宋" w:eastAsia="仿宋" w:cs="仿宋"/>
                <w:bCs/>
                <w:color w:val="auto"/>
                <w:sz w:val="22"/>
                <w:highlight w:val="none"/>
              </w:rPr>
              <w:t>加盖公章</w:t>
            </w:r>
            <w:r>
              <w:rPr>
                <w:rFonts w:hint="eastAsia" w:ascii="仿宋" w:hAnsi="仿宋" w:eastAsia="仿宋" w:cs="仿宋"/>
                <w:b/>
                <w:bCs/>
                <w:color w:val="auto"/>
                <w:sz w:val="22"/>
                <w:highlight w:val="none"/>
              </w:rPr>
              <w:t>并由</w:t>
            </w:r>
            <w:r>
              <w:rPr>
                <w:rFonts w:hint="eastAsia" w:ascii="仿宋" w:hAnsi="仿宋" w:eastAsia="仿宋" w:cs="仿宋"/>
                <w:color w:val="auto"/>
                <w:sz w:val="22"/>
                <w:highlight w:val="none"/>
              </w:rPr>
              <w:t>法定代表人（负责人）签字</w:t>
            </w:r>
            <w:r>
              <w:rPr>
                <w:rFonts w:hint="eastAsia" w:ascii="仿宋" w:hAnsi="仿宋" w:eastAsia="仿宋" w:cs="仿宋"/>
                <w:b/>
                <w:bCs/>
                <w:color w:val="auto"/>
                <w:sz w:val="22"/>
                <w:highlight w:val="none"/>
              </w:rPr>
              <w:t>和</w:t>
            </w:r>
            <w:r>
              <w:rPr>
                <w:rFonts w:hint="eastAsia" w:ascii="仿宋" w:hAnsi="仿宋" w:eastAsia="仿宋" w:cs="仿宋"/>
                <w:color w:val="auto"/>
                <w:sz w:val="22"/>
                <w:highlight w:val="none"/>
              </w:rPr>
              <w:t>其委托代理人</w:t>
            </w:r>
            <w:r>
              <w:rPr>
                <w:rFonts w:hint="eastAsia" w:ascii="仿宋" w:hAnsi="仿宋" w:eastAsia="仿宋" w:cs="仿宋"/>
                <w:b/>
                <w:bCs/>
                <w:color w:val="auto"/>
                <w:sz w:val="22"/>
                <w:highlight w:val="none"/>
              </w:rPr>
              <w:t>双方</w:t>
            </w:r>
            <w:r>
              <w:rPr>
                <w:rFonts w:hint="eastAsia" w:ascii="仿宋" w:hAnsi="仿宋" w:eastAsia="仿宋" w:cs="仿宋"/>
                <w:bCs/>
                <w:color w:val="auto"/>
                <w:sz w:val="22"/>
                <w:highlight w:val="none"/>
              </w:rPr>
              <w:t>签字。</w:t>
            </w:r>
          </w:p>
        </w:tc>
      </w:tr>
      <w:tr w14:paraId="402997A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26" w:type="pct"/>
            <w:vMerge w:val="continue"/>
            <w:noWrap w:val="0"/>
            <w:vAlign w:val="center"/>
          </w:tcPr>
          <w:p w14:paraId="459FBB3C">
            <w:pPr>
              <w:widowControl/>
              <w:spacing w:line="360" w:lineRule="auto"/>
              <w:jc w:val="center"/>
              <w:rPr>
                <w:rFonts w:hint="eastAsia" w:ascii="仿宋" w:hAnsi="仿宋" w:eastAsia="仿宋" w:cs="仿宋"/>
                <w:color w:val="auto"/>
                <w:kern w:val="0"/>
                <w:szCs w:val="21"/>
                <w:highlight w:val="none"/>
              </w:rPr>
            </w:pPr>
          </w:p>
        </w:tc>
        <w:tc>
          <w:tcPr>
            <w:tcW w:w="592" w:type="pct"/>
            <w:vMerge w:val="continue"/>
            <w:noWrap w:val="0"/>
            <w:vAlign w:val="top"/>
          </w:tcPr>
          <w:p w14:paraId="30BC825A">
            <w:pPr>
              <w:spacing w:before="24" w:after="24" w:line="360" w:lineRule="auto"/>
              <w:jc w:val="center"/>
              <w:rPr>
                <w:rFonts w:hint="eastAsia" w:ascii="仿宋" w:hAnsi="仿宋" w:eastAsia="仿宋" w:cs="仿宋"/>
                <w:color w:val="auto"/>
                <w:szCs w:val="21"/>
                <w:highlight w:val="none"/>
              </w:rPr>
            </w:pPr>
          </w:p>
        </w:tc>
        <w:tc>
          <w:tcPr>
            <w:tcW w:w="989" w:type="pct"/>
            <w:noWrap w:val="0"/>
            <w:vAlign w:val="center"/>
          </w:tcPr>
          <w:p w14:paraId="09DD72A7">
            <w:pPr>
              <w:spacing w:before="24" w:after="24" w:line="276" w:lineRule="auto"/>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响应文件签字或盖章</w:t>
            </w:r>
          </w:p>
        </w:tc>
        <w:tc>
          <w:tcPr>
            <w:tcW w:w="3092" w:type="pct"/>
            <w:noWrap w:val="0"/>
            <w:vAlign w:val="center"/>
          </w:tcPr>
          <w:p w14:paraId="6A9443D0">
            <w:pPr>
              <w:spacing w:before="24" w:after="24"/>
              <w:jc w:val="left"/>
              <w:rPr>
                <w:rFonts w:hint="eastAsia" w:ascii="仿宋" w:hAnsi="仿宋" w:eastAsia="仿宋" w:cs="宋体"/>
                <w:color w:val="auto"/>
                <w:szCs w:val="21"/>
                <w:highlight w:val="none"/>
              </w:rPr>
            </w:pPr>
            <w:r>
              <w:rPr>
                <w:rFonts w:hint="eastAsia" w:ascii="仿宋" w:hAnsi="仿宋" w:eastAsia="仿宋" w:cs="宋体"/>
                <w:color w:val="auto"/>
                <w:szCs w:val="21"/>
                <w:highlight w:val="none"/>
              </w:rPr>
              <w:t>1、上述两款以外的响应文件格式中有落款的文件，</w:t>
            </w:r>
            <w:r>
              <w:rPr>
                <w:rFonts w:hint="eastAsia" w:ascii="仿宋" w:hAnsi="仿宋" w:eastAsia="仿宋" w:cs="宋体"/>
                <w:b/>
                <w:color w:val="auto"/>
                <w:szCs w:val="21"/>
                <w:highlight w:val="none"/>
              </w:rPr>
              <w:t>均需</w:t>
            </w:r>
            <w:r>
              <w:rPr>
                <w:rFonts w:hint="eastAsia" w:ascii="仿宋" w:hAnsi="仿宋" w:eastAsia="仿宋" w:cs="宋体"/>
                <w:color w:val="auto"/>
                <w:szCs w:val="21"/>
                <w:highlight w:val="none"/>
              </w:rPr>
              <w:t>加盖公章</w:t>
            </w:r>
            <w:r>
              <w:rPr>
                <w:rFonts w:hint="eastAsia" w:ascii="仿宋" w:hAnsi="仿宋" w:eastAsia="仿宋" w:cs="宋体"/>
                <w:b/>
                <w:color w:val="auto"/>
                <w:szCs w:val="21"/>
                <w:highlight w:val="none"/>
              </w:rPr>
              <w:t>或</w:t>
            </w:r>
            <w:r>
              <w:rPr>
                <w:rFonts w:hint="eastAsia" w:ascii="仿宋" w:hAnsi="仿宋" w:eastAsia="仿宋" w:cs="宋体"/>
                <w:color w:val="auto"/>
                <w:szCs w:val="21"/>
                <w:highlight w:val="none"/>
              </w:rPr>
              <w:t>由法定代表人（负责人）签字</w:t>
            </w:r>
            <w:r>
              <w:rPr>
                <w:rFonts w:hint="eastAsia" w:ascii="仿宋" w:hAnsi="仿宋" w:eastAsia="仿宋" w:cs="宋体"/>
                <w:b/>
                <w:color w:val="auto"/>
                <w:szCs w:val="21"/>
                <w:highlight w:val="none"/>
              </w:rPr>
              <w:t>或</w:t>
            </w:r>
            <w:r>
              <w:rPr>
                <w:rFonts w:hint="eastAsia" w:ascii="仿宋" w:hAnsi="仿宋" w:eastAsia="仿宋" w:cs="宋体"/>
                <w:color w:val="auto"/>
                <w:szCs w:val="21"/>
                <w:highlight w:val="none"/>
              </w:rPr>
              <w:t>其委托代理人签字。</w:t>
            </w:r>
          </w:p>
          <w:p w14:paraId="373A3FC0">
            <w:pPr>
              <w:pStyle w:val="157"/>
              <w:spacing w:before="62" w:beforeLines="20" w:after="62" w:afterLines="20" w:line="276" w:lineRule="auto"/>
              <w:rPr>
                <w:rFonts w:hint="eastAsia" w:ascii="仿宋" w:hAnsi="仿宋" w:eastAsia="仿宋" w:cs="宋体"/>
                <w:color w:val="auto"/>
                <w:highlight w:val="none"/>
              </w:rPr>
            </w:pPr>
            <w:r>
              <w:rPr>
                <w:rFonts w:hint="eastAsia" w:ascii="仿宋" w:hAnsi="仿宋" w:eastAsia="仿宋" w:cs="宋体"/>
                <w:color w:val="auto"/>
                <w:highlight w:val="none"/>
              </w:rPr>
              <w:t>2、响应文件的所有签字处均指手写签字</w:t>
            </w:r>
            <w:r>
              <w:rPr>
                <w:rFonts w:hint="eastAsia" w:ascii="仿宋" w:hAnsi="仿宋" w:eastAsia="仿宋" w:cs="宋体"/>
                <w:b/>
                <w:color w:val="auto"/>
                <w:highlight w:val="none"/>
              </w:rPr>
              <w:t>或</w:t>
            </w:r>
            <w:r>
              <w:rPr>
                <w:rFonts w:hint="eastAsia" w:ascii="仿宋" w:hAnsi="仿宋" w:eastAsia="仿宋" w:cs="宋体"/>
                <w:color w:val="auto"/>
                <w:highlight w:val="none"/>
              </w:rPr>
              <w:t>签名章，</w:t>
            </w:r>
            <w:r>
              <w:rPr>
                <w:rFonts w:hint="eastAsia" w:ascii="仿宋" w:hAnsi="仿宋" w:eastAsia="仿宋" w:cs="宋体"/>
                <w:b/>
                <w:color w:val="auto"/>
                <w:highlight w:val="none"/>
              </w:rPr>
              <w:t>不得</w:t>
            </w:r>
            <w:r>
              <w:rPr>
                <w:rFonts w:hint="eastAsia" w:ascii="仿宋" w:hAnsi="仿宋" w:eastAsia="仿宋" w:cs="宋体"/>
                <w:color w:val="auto"/>
                <w:highlight w:val="none"/>
              </w:rPr>
              <w:t>以打印体代替。</w:t>
            </w:r>
          </w:p>
        </w:tc>
      </w:tr>
      <w:tr w14:paraId="7506C59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26" w:type="pct"/>
            <w:vMerge w:val="restart"/>
            <w:noWrap w:val="0"/>
            <w:vAlign w:val="center"/>
          </w:tcPr>
          <w:p w14:paraId="70A547B8">
            <w:pPr>
              <w:widowControl/>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p>
        </w:tc>
        <w:tc>
          <w:tcPr>
            <w:tcW w:w="592" w:type="pct"/>
            <w:vMerge w:val="restart"/>
            <w:noWrap w:val="0"/>
            <w:vAlign w:val="center"/>
          </w:tcPr>
          <w:p w14:paraId="67C0FD71">
            <w:pPr>
              <w:spacing w:before="24" w:after="24"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资格评审标准</w:t>
            </w:r>
          </w:p>
        </w:tc>
        <w:tc>
          <w:tcPr>
            <w:tcW w:w="989" w:type="pct"/>
            <w:noWrap w:val="0"/>
            <w:vAlign w:val="center"/>
          </w:tcPr>
          <w:p w14:paraId="20690CFD">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营业执照</w:t>
            </w:r>
          </w:p>
        </w:tc>
        <w:tc>
          <w:tcPr>
            <w:tcW w:w="3092" w:type="pct"/>
            <w:noWrap w:val="0"/>
            <w:vAlign w:val="center"/>
          </w:tcPr>
          <w:p w14:paraId="58A4A61F">
            <w:pPr>
              <w:spacing w:before="24" w:after="24" w:line="276" w:lineRule="auto"/>
              <w:jc w:val="left"/>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rPr>
              <w:t>符合第一章“</w:t>
            </w:r>
            <w:r>
              <w:rPr>
                <w:rFonts w:hint="eastAsia" w:ascii="仿宋" w:hAnsi="仿宋" w:eastAsia="仿宋" w:cs="仿宋"/>
                <w:color w:val="auto"/>
                <w:szCs w:val="21"/>
                <w:highlight w:val="none"/>
                <w:lang w:eastAsia="zh-CN"/>
              </w:rPr>
              <w:t>竞争性磋商公告</w:t>
            </w:r>
            <w:r>
              <w:rPr>
                <w:rFonts w:hint="eastAsia" w:ascii="仿宋" w:hAnsi="仿宋" w:eastAsia="仿宋" w:cs="仿宋"/>
                <w:color w:val="auto"/>
                <w:szCs w:val="21"/>
                <w:highlight w:val="none"/>
              </w:rPr>
              <w:t>”</w:t>
            </w:r>
            <w:r>
              <w:rPr>
                <w:rFonts w:hint="eastAsia" w:ascii="仿宋" w:hAnsi="仿宋" w:eastAsia="仿宋" w:cs="Cambria Math"/>
                <w:color w:val="auto"/>
                <w:szCs w:val="21"/>
                <w:highlight w:val="none"/>
              </w:rPr>
              <w:t>规定</w:t>
            </w:r>
          </w:p>
        </w:tc>
      </w:tr>
      <w:tr w14:paraId="105324C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702" w:hRule="atLeast"/>
          <w:jc w:val="center"/>
        </w:trPr>
        <w:tc>
          <w:tcPr>
            <w:tcW w:w="326" w:type="pct"/>
            <w:vMerge w:val="continue"/>
            <w:noWrap w:val="0"/>
            <w:vAlign w:val="center"/>
          </w:tcPr>
          <w:p w14:paraId="02F3A301">
            <w:pPr>
              <w:widowControl/>
              <w:spacing w:line="360" w:lineRule="auto"/>
              <w:jc w:val="center"/>
              <w:rPr>
                <w:rFonts w:hint="eastAsia" w:ascii="仿宋" w:hAnsi="仿宋" w:eastAsia="仿宋" w:cs="仿宋"/>
                <w:color w:val="auto"/>
                <w:kern w:val="0"/>
                <w:szCs w:val="21"/>
                <w:highlight w:val="none"/>
              </w:rPr>
            </w:pPr>
          </w:p>
        </w:tc>
        <w:tc>
          <w:tcPr>
            <w:tcW w:w="592" w:type="pct"/>
            <w:vMerge w:val="continue"/>
            <w:noWrap w:val="0"/>
            <w:vAlign w:val="center"/>
          </w:tcPr>
          <w:p w14:paraId="3B8DB048">
            <w:pPr>
              <w:spacing w:before="24" w:after="24" w:line="360" w:lineRule="auto"/>
              <w:jc w:val="center"/>
              <w:rPr>
                <w:rFonts w:hint="eastAsia" w:ascii="仿宋" w:hAnsi="仿宋" w:eastAsia="仿宋" w:cs="仿宋"/>
                <w:color w:val="auto"/>
                <w:szCs w:val="21"/>
                <w:highlight w:val="none"/>
              </w:rPr>
            </w:pPr>
          </w:p>
        </w:tc>
        <w:tc>
          <w:tcPr>
            <w:tcW w:w="989" w:type="pct"/>
            <w:shd w:val="clear" w:color="auto" w:fill="auto"/>
            <w:noWrap w:val="0"/>
            <w:vAlign w:val="center"/>
          </w:tcPr>
          <w:p w14:paraId="507985B1">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szCs w:val="21"/>
                <w:highlight w:val="none"/>
              </w:rPr>
              <w:t>商业信誉和财务会计制度</w:t>
            </w:r>
          </w:p>
        </w:tc>
        <w:tc>
          <w:tcPr>
            <w:tcW w:w="3092" w:type="pct"/>
            <w:shd w:val="clear" w:color="auto" w:fill="auto"/>
            <w:noWrap w:val="0"/>
            <w:vAlign w:val="center"/>
          </w:tcPr>
          <w:p w14:paraId="5BC50680">
            <w:pPr>
              <w:spacing w:before="24" w:after="24" w:line="276" w:lineRule="auto"/>
              <w:jc w:val="left"/>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符合第一章“</w:t>
            </w:r>
            <w:r>
              <w:rPr>
                <w:rFonts w:hint="eastAsia" w:ascii="仿宋" w:hAnsi="仿宋" w:eastAsia="仿宋" w:cs="仿宋"/>
                <w:color w:val="auto"/>
                <w:szCs w:val="21"/>
                <w:highlight w:val="none"/>
                <w:lang w:eastAsia="zh-CN"/>
              </w:rPr>
              <w:t>竞争性磋商公告</w:t>
            </w:r>
            <w:r>
              <w:rPr>
                <w:rFonts w:hint="eastAsia" w:ascii="仿宋" w:hAnsi="仿宋" w:eastAsia="仿宋" w:cs="仿宋"/>
                <w:color w:val="auto"/>
                <w:szCs w:val="21"/>
                <w:highlight w:val="none"/>
              </w:rPr>
              <w:t>”</w:t>
            </w:r>
            <w:r>
              <w:rPr>
                <w:rFonts w:hint="eastAsia" w:ascii="仿宋" w:hAnsi="仿宋" w:eastAsia="仿宋" w:cs="Cambria Math"/>
                <w:color w:val="auto"/>
                <w:szCs w:val="21"/>
                <w:highlight w:val="none"/>
              </w:rPr>
              <w:t>规定</w:t>
            </w:r>
          </w:p>
        </w:tc>
      </w:tr>
      <w:tr w14:paraId="672DF5B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204" w:hRule="atLeast"/>
          <w:jc w:val="center"/>
        </w:trPr>
        <w:tc>
          <w:tcPr>
            <w:tcW w:w="326" w:type="pct"/>
            <w:vMerge w:val="continue"/>
            <w:noWrap w:val="0"/>
            <w:vAlign w:val="center"/>
          </w:tcPr>
          <w:p w14:paraId="57D24994">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szCs w:val="21"/>
                <w:highlight w:val="none"/>
              </w:rPr>
            </w:pPr>
          </w:p>
        </w:tc>
        <w:tc>
          <w:tcPr>
            <w:tcW w:w="592" w:type="pct"/>
            <w:vMerge w:val="continue"/>
            <w:noWrap w:val="0"/>
            <w:vAlign w:val="center"/>
          </w:tcPr>
          <w:p w14:paraId="28B18394">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szCs w:val="21"/>
                <w:highlight w:val="none"/>
              </w:rPr>
            </w:pPr>
          </w:p>
        </w:tc>
        <w:tc>
          <w:tcPr>
            <w:tcW w:w="989" w:type="pct"/>
            <w:shd w:val="clear" w:color="auto" w:fill="auto"/>
            <w:noWrap w:val="0"/>
            <w:vAlign w:val="center"/>
          </w:tcPr>
          <w:p w14:paraId="081772BE">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szCs w:val="21"/>
                <w:highlight w:val="none"/>
                <w:lang w:val="en-US" w:eastAsia="zh-CN"/>
              </w:rPr>
              <w:t>缴纳税收和社会保障资金</w:t>
            </w:r>
          </w:p>
        </w:tc>
        <w:tc>
          <w:tcPr>
            <w:tcW w:w="3092" w:type="pct"/>
            <w:shd w:val="clear" w:color="auto" w:fill="auto"/>
            <w:noWrap w:val="0"/>
            <w:vAlign w:val="center"/>
          </w:tcPr>
          <w:p w14:paraId="27E75388">
            <w:pPr>
              <w:spacing w:before="24" w:after="24" w:line="276" w:lineRule="auto"/>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符合第一章“</w:t>
            </w:r>
            <w:r>
              <w:rPr>
                <w:rFonts w:hint="eastAsia" w:ascii="仿宋" w:hAnsi="仿宋" w:eastAsia="仿宋" w:cs="仿宋"/>
                <w:color w:val="auto"/>
                <w:szCs w:val="21"/>
                <w:highlight w:val="none"/>
                <w:lang w:eastAsia="zh-CN"/>
              </w:rPr>
              <w:t>竞争性磋商公告</w:t>
            </w:r>
            <w:r>
              <w:rPr>
                <w:rFonts w:hint="eastAsia" w:ascii="仿宋" w:hAnsi="仿宋" w:eastAsia="仿宋" w:cs="仿宋"/>
                <w:color w:val="auto"/>
                <w:szCs w:val="21"/>
                <w:highlight w:val="none"/>
              </w:rPr>
              <w:t>”</w:t>
            </w:r>
            <w:r>
              <w:rPr>
                <w:rFonts w:hint="eastAsia" w:ascii="仿宋" w:hAnsi="仿宋" w:eastAsia="仿宋" w:cs="Cambria Math"/>
                <w:color w:val="auto"/>
                <w:szCs w:val="21"/>
                <w:highlight w:val="none"/>
              </w:rPr>
              <w:t>规定</w:t>
            </w:r>
          </w:p>
        </w:tc>
      </w:tr>
      <w:tr w14:paraId="48B6A7A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26" w:type="pct"/>
            <w:vMerge w:val="continue"/>
            <w:noWrap w:val="0"/>
            <w:vAlign w:val="center"/>
          </w:tcPr>
          <w:p w14:paraId="55014090">
            <w:pPr>
              <w:widowControl/>
              <w:spacing w:line="360" w:lineRule="auto"/>
              <w:jc w:val="center"/>
              <w:rPr>
                <w:rFonts w:hint="eastAsia" w:ascii="仿宋" w:hAnsi="仿宋" w:eastAsia="仿宋" w:cs="仿宋"/>
                <w:color w:val="auto"/>
                <w:kern w:val="0"/>
                <w:szCs w:val="21"/>
                <w:highlight w:val="none"/>
              </w:rPr>
            </w:pPr>
          </w:p>
        </w:tc>
        <w:tc>
          <w:tcPr>
            <w:tcW w:w="592" w:type="pct"/>
            <w:vMerge w:val="continue"/>
            <w:noWrap w:val="0"/>
            <w:vAlign w:val="center"/>
          </w:tcPr>
          <w:p w14:paraId="7CC4662E">
            <w:pPr>
              <w:spacing w:before="24" w:after="24" w:line="360" w:lineRule="auto"/>
              <w:jc w:val="center"/>
              <w:rPr>
                <w:rFonts w:hint="eastAsia" w:ascii="仿宋" w:hAnsi="仿宋" w:eastAsia="仿宋" w:cs="仿宋"/>
                <w:color w:val="auto"/>
                <w:szCs w:val="21"/>
                <w:highlight w:val="none"/>
              </w:rPr>
            </w:pPr>
          </w:p>
        </w:tc>
        <w:tc>
          <w:tcPr>
            <w:tcW w:w="989" w:type="pct"/>
            <w:shd w:val="clear" w:color="auto" w:fill="auto"/>
            <w:noWrap w:val="0"/>
            <w:vAlign w:val="center"/>
          </w:tcPr>
          <w:p w14:paraId="522B8A15">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无违法违规记录</w:t>
            </w:r>
          </w:p>
        </w:tc>
        <w:tc>
          <w:tcPr>
            <w:tcW w:w="3092" w:type="pct"/>
            <w:shd w:val="clear" w:color="auto" w:fill="auto"/>
            <w:noWrap w:val="0"/>
            <w:vAlign w:val="center"/>
          </w:tcPr>
          <w:p w14:paraId="35BCA67E">
            <w:pPr>
              <w:spacing w:before="24" w:after="24" w:line="276" w:lineRule="auto"/>
              <w:jc w:val="left"/>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符合第一章“</w:t>
            </w:r>
            <w:r>
              <w:rPr>
                <w:rFonts w:hint="eastAsia" w:ascii="仿宋" w:hAnsi="仿宋" w:eastAsia="仿宋" w:cs="仿宋"/>
                <w:color w:val="auto"/>
                <w:szCs w:val="21"/>
                <w:highlight w:val="none"/>
                <w:lang w:eastAsia="zh-CN"/>
              </w:rPr>
              <w:t>竞争性磋商公告</w:t>
            </w:r>
            <w:r>
              <w:rPr>
                <w:rFonts w:hint="eastAsia" w:ascii="仿宋" w:hAnsi="仿宋" w:eastAsia="仿宋" w:cs="仿宋"/>
                <w:color w:val="auto"/>
                <w:szCs w:val="21"/>
                <w:highlight w:val="none"/>
              </w:rPr>
              <w:t>”</w:t>
            </w:r>
            <w:r>
              <w:rPr>
                <w:rFonts w:hint="eastAsia" w:ascii="仿宋" w:hAnsi="仿宋" w:eastAsia="仿宋" w:cs="Cambria Math"/>
                <w:color w:val="auto"/>
                <w:szCs w:val="21"/>
                <w:highlight w:val="none"/>
              </w:rPr>
              <w:t>规定</w:t>
            </w:r>
          </w:p>
        </w:tc>
      </w:tr>
      <w:tr w14:paraId="0A9405E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26" w:type="pct"/>
            <w:vMerge w:val="continue"/>
            <w:noWrap w:val="0"/>
            <w:vAlign w:val="center"/>
          </w:tcPr>
          <w:p w14:paraId="384C3CB2">
            <w:pPr>
              <w:widowControl/>
              <w:spacing w:line="360" w:lineRule="auto"/>
              <w:jc w:val="center"/>
              <w:rPr>
                <w:rFonts w:hint="eastAsia" w:ascii="仿宋" w:hAnsi="仿宋" w:eastAsia="仿宋" w:cs="仿宋"/>
                <w:color w:val="auto"/>
                <w:kern w:val="0"/>
                <w:szCs w:val="21"/>
                <w:highlight w:val="none"/>
              </w:rPr>
            </w:pPr>
          </w:p>
        </w:tc>
        <w:tc>
          <w:tcPr>
            <w:tcW w:w="592" w:type="pct"/>
            <w:vMerge w:val="continue"/>
            <w:noWrap w:val="0"/>
            <w:vAlign w:val="top"/>
          </w:tcPr>
          <w:p w14:paraId="7BFFC225">
            <w:pPr>
              <w:spacing w:before="24" w:after="24" w:line="360" w:lineRule="auto"/>
              <w:jc w:val="center"/>
              <w:rPr>
                <w:rFonts w:hint="eastAsia" w:ascii="仿宋" w:hAnsi="仿宋" w:eastAsia="仿宋" w:cs="仿宋"/>
                <w:color w:val="auto"/>
                <w:kern w:val="0"/>
                <w:szCs w:val="21"/>
                <w:highlight w:val="none"/>
              </w:rPr>
            </w:pPr>
          </w:p>
        </w:tc>
        <w:tc>
          <w:tcPr>
            <w:tcW w:w="989" w:type="pct"/>
            <w:shd w:val="clear" w:color="auto" w:fill="auto"/>
            <w:noWrap w:val="0"/>
            <w:vAlign w:val="center"/>
          </w:tcPr>
          <w:p w14:paraId="06C87CE0">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Monaco"/>
                <w:color w:val="auto"/>
                <w:szCs w:val="21"/>
                <w:highlight w:val="none"/>
              </w:rPr>
              <w:t>未被列入黑名单</w:t>
            </w:r>
          </w:p>
        </w:tc>
        <w:tc>
          <w:tcPr>
            <w:tcW w:w="3092" w:type="pct"/>
            <w:shd w:val="clear" w:color="auto" w:fill="auto"/>
            <w:noWrap w:val="0"/>
            <w:vAlign w:val="center"/>
          </w:tcPr>
          <w:p w14:paraId="5EAF9658">
            <w:pPr>
              <w:spacing w:before="24" w:after="24" w:line="276" w:lineRule="auto"/>
              <w:jc w:val="left"/>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符合第一章“</w:t>
            </w:r>
            <w:r>
              <w:rPr>
                <w:rFonts w:hint="eastAsia" w:ascii="仿宋" w:hAnsi="仿宋" w:eastAsia="仿宋" w:cs="仿宋"/>
                <w:color w:val="auto"/>
                <w:szCs w:val="21"/>
                <w:highlight w:val="none"/>
                <w:lang w:eastAsia="zh-CN"/>
              </w:rPr>
              <w:t>竞争性磋商公告</w:t>
            </w:r>
            <w:r>
              <w:rPr>
                <w:rFonts w:hint="eastAsia" w:ascii="仿宋" w:hAnsi="仿宋" w:eastAsia="仿宋" w:cs="仿宋"/>
                <w:color w:val="auto"/>
                <w:szCs w:val="21"/>
                <w:highlight w:val="none"/>
              </w:rPr>
              <w:t>”</w:t>
            </w:r>
            <w:r>
              <w:rPr>
                <w:rFonts w:hint="eastAsia" w:ascii="仿宋" w:hAnsi="仿宋" w:eastAsia="仿宋" w:cs="Cambria Math"/>
                <w:color w:val="auto"/>
                <w:szCs w:val="21"/>
                <w:highlight w:val="none"/>
              </w:rPr>
              <w:t>规定</w:t>
            </w:r>
          </w:p>
        </w:tc>
      </w:tr>
      <w:tr w14:paraId="746C944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26" w:type="pct"/>
            <w:vMerge w:val="continue"/>
            <w:noWrap w:val="0"/>
            <w:vAlign w:val="center"/>
          </w:tcPr>
          <w:p w14:paraId="78E1A94F">
            <w:pPr>
              <w:widowControl/>
              <w:spacing w:line="360" w:lineRule="auto"/>
              <w:jc w:val="center"/>
              <w:rPr>
                <w:rFonts w:hint="eastAsia" w:ascii="仿宋" w:hAnsi="仿宋" w:eastAsia="仿宋" w:cs="仿宋"/>
                <w:color w:val="auto"/>
                <w:kern w:val="0"/>
                <w:szCs w:val="21"/>
                <w:highlight w:val="none"/>
              </w:rPr>
            </w:pPr>
          </w:p>
        </w:tc>
        <w:tc>
          <w:tcPr>
            <w:tcW w:w="592" w:type="pct"/>
            <w:vMerge w:val="continue"/>
            <w:noWrap w:val="0"/>
            <w:vAlign w:val="top"/>
          </w:tcPr>
          <w:p w14:paraId="7ADB0028">
            <w:pPr>
              <w:spacing w:before="24" w:after="24" w:line="360" w:lineRule="auto"/>
              <w:jc w:val="center"/>
              <w:rPr>
                <w:rFonts w:hint="eastAsia" w:ascii="仿宋" w:hAnsi="仿宋" w:eastAsia="仿宋" w:cs="仿宋"/>
                <w:color w:val="auto"/>
                <w:kern w:val="0"/>
                <w:szCs w:val="21"/>
                <w:highlight w:val="none"/>
              </w:rPr>
            </w:pPr>
          </w:p>
        </w:tc>
        <w:tc>
          <w:tcPr>
            <w:tcW w:w="989" w:type="pct"/>
            <w:shd w:val="clear" w:color="auto" w:fill="auto"/>
            <w:noWrap w:val="0"/>
            <w:vAlign w:val="center"/>
          </w:tcPr>
          <w:p w14:paraId="692C1D22">
            <w:pPr>
              <w:keepNext w:val="0"/>
              <w:keepLines w:val="0"/>
              <w:suppressLineNumbers w:val="0"/>
              <w:spacing w:before="24" w:beforeAutospacing="0" w:after="24" w:afterAutospacing="0"/>
              <w:ind w:left="0" w:leftChars="0" w:right="0" w:rightChars="0"/>
              <w:jc w:val="center"/>
              <w:rPr>
                <w:rFonts w:hint="default" w:ascii="仿宋" w:hAnsi="仿宋" w:eastAsia="仿宋" w:cs="仿宋"/>
                <w:color w:val="auto"/>
                <w:kern w:val="2"/>
                <w:sz w:val="21"/>
                <w:szCs w:val="21"/>
                <w:highlight w:val="none"/>
                <w:lang w:val="en-US" w:eastAsia="zh-CN" w:bidi="ar-SA"/>
              </w:rPr>
            </w:pPr>
            <w:r>
              <w:rPr>
                <w:rFonts w:hint="eastAsia" w:ascii="仿宋" w:hAnsi="仿宋" w:eastAsia="仿宋" w:cs="Cambria Math"/>
                <w:color w:val="auto"/>
                <w:szCs w:val="21"/>
                <w:highlight w:val="none"/>
              </w:rPr>
              <w:t>控股及管理关系</w:t>
            </w:r>
          </w:p>
        </w:tc>
        <w:tc>
          <w:tcPr>
            <w:tcW w:w="3092" w:type="pct"/>
            <w:shd w:val="clear" w:color="auto" w:fill="auto"/>
            <w:noWrap w:val="0"/>
            <w:vAlign w:val="center"/>
          </w:tcPr>
          <w:p w14:paraId="67E0107E">
            <w:pPr>
              <w:spacing w:before="24" w:after="24" w:line="276" w:lineRule="auto"/>
              <w:jc w:val="left"/>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符合第一章“</w:t>
            </w:r>
            <w:r>
              <w:rPr>
                <w:rFonts w:hint="eastAsia" w:ascii="仿宋" w:hAnsi="仿宋" w:eastAsia="仿宋" w:cs="仿宋"/>
                <w:color w:val="auto"/>
                <w:szCs w:val="21"/>
                <w:highlight w:val="none"/>
                <w:lang w:eastAsia="zh-CN"/>
              </w:rPr>
              <w:t>竞争性磋商公告</w:t>
            </w:r>
            <w:r>
              <w:rPr>
                <w:rFonts w:hint="eastAsia" w:ascii="仿宋" w:hAnsi="仿宋" w:eastAsia="仿宋" w:cs="仿宋"/>
                <w:color w:val="auto"/>
                <w:szCs w:val="21"/>
                <w:highlight w:val="none"/>
              </w:rPr>
              <w:t>”</w:t>
            </w:r>
            <w:r>
              <w:rPr>
                <w:rFonts w:hint="eastAsia" w:ascii="仿宋" w:hAnsi="仿宋" w:eastAsia="仿宋" w:cs="Cambria Math"/>
                <w:color w:val="auto"/>
                <w:szCs w:val="21"/>
                <w:highlight w:val="none"/>
              </w:rPr>
              <w:t>规定</w:t>
            </w:r>
          </w:p>
        </w:tc>
      </w:tr>
      <w:tr w14:paraId="09FEAA6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26" w:type="pct"/>
            <w:vMerge w:val="continue"/>
            <w:noWrap w:val="0"/>
            <w:vAlign w:val="center"/>
          </w:tcPr>
          <w:p w14:paraId="0D304F39">
            <w:pPr>
              <w:widowControl/>
              <w:spacing w:line="360" w:lineRule="auto"/>
              <w:jc w:val="center"/>
              <w:rPr>
                <w:rFonts w:hint="eastAsia" w:ascii="仿宋" w:hAnsi="仿宋" w:eastAsia="仿宋" w:cs="仿宋"/>
                <w:color w:val="auto"/>
                <w:kern w:val="0"/>
                <w:szCs w:val="21"/>
                <w:highlight w:val="none"/>
              </w:rPr>
            </w:pPr>
          </w:p>
        </w:tc>
        <w:tc>
          <w:tcPr>
            <w:tcW w:w="592" w:type="pct"/>
            <w:vMerge w:val="continue"/>
            <w:noWrap w:val="0"/>
            <w:vAlign w:val="top"/>
          </w:tcPr>
          <w:p w14:paraId="4CA44158">
            <w:pPr>
              <w:spacing w:before="24" w:after="24" w:line="360" w:lineRule="auto"/>
              <w:jc w:val="center"/>
              <w:rPr>
                <w:rFonts w:hint="eastAsia" w:ascii="仿宋" w:hAnsi="仿宋" w:eastAsia="仿宋" w:cs="仿宋"/>
                <w:color w:val="auto"/>
                <w:kern w:val="0"/>
                <w:szCs w:val="21"/>
                <w:highlight w:val="none"/>
              </w:rPr>
            </w:pPr>
          </w:p>
        </w:tc>
        <w:tc>
          <w:tcPr>
            <w:tcW w:w="989" w:type="pct"/>
            <w:shd w:val="clear" w:color="auto" w:fill="auto"/>
            <w:noWrap w:val="0"/>
            <w:vAlign w:val="center"/>
          </w:tcPr>
          <w:p w14:paraId="4B263B47">
            <w:pPr>
              <w:keepNext w:val="0"/>
              <w:keepLines w:val="0"/>
              <w:suppressLineNumbers w:val="0"/>
              <w:spacing w:before="24" w:beforeAutospacing="0" w:after="24" w:afterAutospacing="0"/>
              <w:ind w:left="0" w:leftChars="0" w:right="0" w:rightChars="0"/>
              <w:jc w:val="center"/>
              <w:rPr>
                <w:rFonts w:hint="default" w:ascii="仿宋" w:hAnsi="仿宋" w:eastAsia="仿宋" w:cs="仿宋"/>
                <w:color w:val="auto"/>
                <w:kern w:val="2"/>
                <w:sz w:val="21"/>
                <w:szCs w:val="21"/>
                <w:highlight w:val="none"/>
                <w:lang w:val="en-US" w:eastAsia="zh-CN" w:bidi="ar-SA"/>
              </w:rPr>
            </w:pPr>
            <w:r>
              <w:rPr>
                <w:rFonts w:hint="default" w:ascii="仿宋" w:hAnsi="仿宋" w:eastAsia="仿宋" w:cs="仿宋"/>
                <w:color w:val="auto"/>
                <w:kern w:val="2"/>
                <w:sz w:val="21"/>
                <w:szCs w:val="21"/>
                <w:highlight w:val="none"/>
                <w:lang w:val="en-US" w:eastAsia="zh-CN" w:bidi="ar-SA"/>
              </w:rPr>
              <w:t>联合体响应</w:t>
            </w:r>
          </w:p>
        </w:tc>
        <w:tc>
          <w:tcPr>
            <w:tcW w:w="3092" w:type="pct"/>
            <w:shd w:val="clear" w:color="auto" w:fill="auto"/>
            <w:noWrap w:val="0"/>
            <w:vAlign w:val="center"/>
          </w:tcPr>
          <w:p w14:paraId="7DCFE439">
            <w:pPr>
              <w:spacing w:before="24" w:after="24" w:line="276" w:lineRule="auto"/>
              <w:jc w:val="left"/>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符合第一章“</w:t>
            </w:r>
            <w:r>
              <w:rPr>
                <w:rFonts w:hint="eastAsia" w:ascii="仿宋" w:hAnsi="仿宋" w:eastAsia="仿宋" w:cs="仿宋"/>
                <w:color w:val="auto"/>
                <w:szCs w:val="21"/>
                <w:highlight w:val="none"/>
                <w:lang w:eastAsia="zh-CN"/>
              </w:rPr>
              <w:t>竞争性磋商公告</w:t>
            </w:r>
            <w:r>
              <w:rPr>
                <w:rFonts w:hint="eastAsia" w:ascii="仿宋" w:hAnsi="仿宋" w:eastAsia="仿宋" w:cs="仿宋"/>
                <w:color w:val="auto"/>
                <w:szCs w:val="21"/>
                <w:highlight w:val="none"/>
              </w:rPr>
              <w:t>”</w:t>
            </w:r>
            <w:r>
              <w:rPr>
                <w:rFonts w:hint="eastAsia" w:ascii="仿宋" w:hAnsi="仿宋" w:eastAsia="仿宋" w:cs="Cambria Math"/>
                <w:color w:val="auto"/>
                <w:szCs w:val="21"/>
                <w:highlight w:val="none"/>
              </w:rPr>
              <w:t>规定</w:t>
            </w:r>
          </w:p>
        </w:tc>
      </w:tr>
      <w:tr w14:paraId="1B20361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97" w:hRule="atLeast"/>
          <w:jc w:val="center"/>
        </w:trPr>
        <w:tc>
          <w:tcPr>
            <w:tcW w:w="326" w:type="pct"/>
            <w:vMerge w:val="continue"/>
            <w:noWrap w:val="0"/>
            <w:vAlign w:val="center"/>
          </w:tcPr>
          <w:p w14:paraId="6AD8BF12">
            <w:pPr>
              <w:widowControl/>
              <w:spacing w:line="360" w:lineRule="auto"/>
              <w:jc w:val="center"/>
              <w:rPr>
                <w:rFonts w:hint="eastAsia" w:ascii="仿宋" w:hAnsi="仿宋" w:eastAsia="仿宋" w:cs="仿宋"/>
                <w:color w:val="auto"/>
                <w:kern w:val="0"/>
                <w:szCs w:val="21"/>
                <w:highlight w:val="none"/>
              </w:rPr>
            </w:pPr>
          </w:p>
        </w:tc>
        <w:tc>
          <w:tcPr>
            <w:tcW w:w="592" w:type="pct"/>
            <w:vMerge w:val="continue"/>
            <w:noWrap w:val="0"/>
            <w:vAlign w:val="top"/>
          </w:tcPr>
          <w:p w14:paraId="4D7AF472">
            <w:pPr>
              <w:spacing w:before="24" w:after="24" w:line="360" w:lineRule="auto"/>
              <w:jc w:val="center"/>
              <w:rPr>
                <w:rFonts w:hint="eastAsia" w:ascii="仿宋" w:hAnsi="仿宋" w:eastAsia="仿宋" w:cs="仿宋"/>
                <w:color w:val="auto"/>
                <w:kern w:val="0"/>
                <w:szCs w:val="21"/>
                <w:highlight w:val="none"/>
              </w:rPr>
            </w:pPr>
          </w:p>
        </w:tc>
        <w:tc>
          <w:tcPr>
            <w:tcW w:w="989" w:type="pct"/>
            <w:noWrap w:val="0"/>
            <w:vAlign w:val="center"/>
          </w:tcPr>
          <w:p w14:paraId="20590711">
            <w:pPr>
              <w:spacing w:before="24" w:after="24" w:line="276" w:lineRule="auto"/>
              <w:jc w:val="center"/>
              <w:rPr>
                <w:rFonts w:hint="default" w:ascii="仿宋" w:hAnsi="仿宋" w:eastAsia="仿宋" w:cs="仿宋"/>
                <w:color w:val="auto"/>
                <w:kern w:val="0"/>
                <w:szCs w:val="21"/>
                <w:highlight w:val="none"/>
                <w:lang w:val="en-US" w:eastAsia="zh-CN"/>
              </w:rPr>
            </w:pPr>
            <w:r>
              <w:rPr>
                <w:rFonts w:hint="eastAsia" w:ascii="仿宋" w:hAnsi="仿宋" w:eastAsia="仿宋" w:cs="仿宋"/>
                <w:color w:val="auto"/>
                <w:szCs w:val="21"/>
                <w:highlight w:val="none"/>
                <w:lang w:val="en-US" w:eastAsia="zh-CN"/>
              </w:rPr>
              <w:t>特定资格要求</w:t>
            </w:r>
          </w:p>
        </w:tc>
        <w:tc>
          <w:tcPr>
            <w:tcW w:w="3092" w:type="pct"/>
            <w:noWrap w:val="0"/>
            <w:vAlign w:val="center"/>
          </w:tcPr>
          <w:p w14:paraId="5E599BD7">
            <w:pPr>
              <w:spacing w:before="24" w:after="24" w:line="276" w:lineRule="auto"/>
              <w:jc w:val="left"/>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rPr>
              <w:t>符合第一章“</w:t>
            </w:r>
            <w:r>
              <w:rPr>
                <w:rFonts w:hint="eastAsia" w:ascii="仿宋" w:hAnsi="仿宋" w:eastAsia="仿宋" w:cs="仿宋"/>
                <w:color w:val="auto"/>
                <w:szCs w:val="21"/>
                <w:highlight w:val="none"/>
                <w:lang w:eastAsia="zh-CN"/>
              </w:rPr>
              <w:t>竞争性磋商公告</w:t>
            </w:r>
            <w:r>
              <w:rPr>
                <w:rFonts w:hint="eastAsia" w:ascii="仿宋" w:hAnsi="仿宋" w:eastAsia="仿宋" w:cs="仿宋"/>
                <w:color w:val="auto"/>
                <w:szCs w:val="21"/>
                <w:highlight w:val="none"/>
              </w:rPr>
              <w:t>”</w:t>
            </w:r>
            <w:r>
              <w:rPr>
                <w:rFonts w:hint="eastAsia" w:ascii="仿宋" w:hAnsi="仿宋" w:eastAsia="仿宋" w:cs="Cambria Math"/>
                <w:color w:val="auto"/>
                <w:szCs w:val="21"/>
                <w:highlight w:val="none"/>
              </w:rPr>
              <w:t>规定</w:t>
            </w:r>
          </w:p>
        </w:tc>
      </w:tr>
      <w:tr w14:paraId="4718EFB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26" w:type="pct"/>
            <w:vMerge w:val="restart"/>
            <w:noWrap w:val="0"/>
            <w:vAlign w:val="center"/>
          </w:tcPr>
          <w:p w14:paraId="089F0550">
            <w:pPr>
              <w:widowControl/>
              <w:spacing w:line="360" w:lineRule="auto"/>
              <w:jc w:val="center"/>
              <w:rPr>
                <w:rFonts w:hint="eastAsia" w:ascii="仿宋" w:hAnsi="仿宋" w:eastAsia="仿宋" w:cs="仿宋"/>
                <w:color w:val="auto"/>
                <w:kern w:val="0"/>
                <w:szCs w:val="21"/>
                <w:highlight w:val="none"/>
              </w:rPr>
            </w:pPr>
            <w:r>
              <w:rPr>
                <w:rFonts w:ascii="仿宋" w:hAnsi="仿宋" w:eastAsia="仿宋" w:cs="仿宋"/>
                <w:color w:val="auto"/>
                <w:kern w:val="0"/>
                <w:szCs w:val="21"/>
                <w:highlight w:val="none"/>
              </w:rPr>
              <w:t>3</w:t>
            </w:r>
          </w:p>
        </w:tc>
        <w:tc>
          <w:tcPr>
            <w:tcW w:w="592" w:type="pct"/>
            <w:vMerge w:val="restart"/>
            <w:noWrap w:val="0"/>
            <w:vAlign w:val="center"/>
          </w:tcPr>
          <w:p w14:paraId="4FB8AD0E">
            <w:pPr>
              <w:spacing w:before="24" w:after="24"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响应性评审标准</w:t>
            </w:r>
          </w:p>
        </w:tc>
        <w:tc>
          <w:tcPr>
            <w:tcW w:w="989" w:type="pct"/>
            <w:noWrap w:val="0"/>
            <w:vAlign w:val="center"/>
          </w:tcPr>
          <w:p w14:paraId="13500B81">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响应函</w:t>
            </w:r>
          </w:p>
        </w:tc>
        <w:tc>
          <w:tcPr>
            <w:tcW w:w="3092" w:type="pct"/>
            <w:noWrap w:val="0"/>
            <w:vAlign w:val="center"/>
          </w:tcPr>
          <w:p w14:paraId="51966A43">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olor w:val="auto"/>
                <w:szCs w:val="21"/>
                <w:highlight w:val="none"/>
              </w:rPr>
              <w:t>除填写双方名称、项目名称外，未修改原文内容</w:t>
            </w:r>
            <w:r>
              <w:rPr>
                <w:rFonts w:hint="eastAsia" w:ascii="仿宋" w:hAnsi="仿宋" w:eastAsia="仿宋" w:cs="Cambria Math"/>
                <w:color w:val="auto"/>
                <w:szCs w:val="21"/>
                <w:highlight w:val="none"/>
              </w:rPr>
              <w:t>。</w:t>
            </w:r>
          </w:p>
        </w:tc>
      </w:tr>
      <w:tr w14:paraId="3E4D3EB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26" w:type="pct"/>
            <w:vMerge w:val="continue"/>
            <w:noWrap w:val="0"/>
            <w:vAlign w:val="center"/>
          </w:tcPr>
          <w:p w14:paraId="594553B5">
            <w:pPr>
              <w:widowControl/>
              <w:spacing w:line="360" w:lineRule="auto"/>
              <w:jc w:val="center"/>
              <w:rPr>
                <w:rFonts w:hint="eastAsia" w:ascii="仿宋" w:hAnsi="仿宋" w:eastAsia="仿宋" w:cs="仿宋"/>
                <w:color w:val="auto"/>
                <w:kern w:val="0"/>
                <w:szCs w:val="21"/>
                <w:highlight w:val="none"/>
              </w:rPr>
            </w:pPr>
          </w:p>
        </w:tc>
        <w:tc>
          <w:tcPr>
            <w:tcW w:w="592" w:type="pct"/>
            <w:vMerge w:val="continue"/>
            <w:noWrap w:val="0"/>
            <w:vAlign w:val="center"/>
          </w:tcPr>
          <w:p w14:paraId="4B3E7F3D">
            <w:pPr>
              <w:spacing w:before="24" w:after="24" w:line="360" w:lineRule="auto"/>
              <w:jc w:val="center"/>
              <w:rPr>
                <w:rFonts w:hint="eastAsia" w:ascii="仿宋" w:hAnsi="仿宋" w:eastAsia="仿宋" w:cs="仿宋"/>
                <w:color w:val="auto"/>
                <w:kern w:val="0"/>
                <w:szCs w:val="21"/>
                <w:highlight w:val="none"/>
              </w:rPr>
            </w:pPr>
          </w:p>
        </w:tc>
        <w:tc>
          <w:tcPr>
            <w:tcW w:w="989" w:type="pct"/>
            <w:noWrap w:val="0"/>
            <w:vAlign w:val="center"/>
          </w:tcPr>
          <w:p w14:paraId="05DA3537">
            <w:pPr>
              <w:spacing w:before="24" w:after="24" w:line="276" w:lineRule="auto"/>
              <w:jc w:val="center"/>
              <w:rPr>
                <w:rFonts w:hint="eastAsia" w:ascii="仿宋" w:hAnsi="仿宋" w:eastAsia="仿宋" w:cs="仿宋"/>
                <w:color w:val="auto"/>
                <w:kern w:val="0"/>
                <w:szCs w:val="21"/>
                <w:highlight w:val="none"/>
                <w:lang w:val="en-US" w:eastAsia="zh-CN"/>
              </w:rPr>
            </w:pPr>
            <w:r>
              <w:rPr>
                <w:rFonts w:hint="eastAsia" w:ascii="仿宋" w:hAnsi="仿宋" w:eastAsia="仿宋" w:cs="Cambria Math"/>
                <w:color w:val="auto"/>
                <w:szCs w:val="21"/>
                <w:highlight w:val="none"/>
              </w:rPr>
              <w:t>磋商保证</w:t>
            </w:r>
            <w:r>
              <w:rPr>
                <w:rFonts w:hint="eastAsia" w:ascii="仿宋" w:hAnsi="仿宋" w:eastAsia="仿宋" w:cs="Cambria Math"/>
                <w:color w:val="auto"/>
                <w:szCs w:val="21"/>
                <w:highlight w:val="none"/>
                <w:lang w:val="en-US" w:eastAsia="zh-CN"/>
              </w:rPr>
              <w:t>金</w:t>
            </w:r>
          </w:p>
        </w:tc>
        <w:tc>
          <w:tcPr>
            <w:tcW w:w="3092" w:type="pct"/>
            <w:noWrap w:val="0"/>
            <w:vAlign w:val="center"/>
          </w:tcPr>
          <w:p w14:paraId="3A50EF5E">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Cambria Math"/>
                <w:color w:val="auto"/>
                <w:szCs w:val="21"/>
                <w:highlight w:val="none"/>
              </w:rPr>
              <w:t>符合第二章“供应商须知前附表”规定</w:t>
            </w:r>
          </w:p>
        </w:tc>
      </w:tr>
      <w:tr w14:paraId="390FBE9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26" w:type="pct"/>
            <w:vMerge w:val="continue"/>
            <w:noWrap w:val="0"/>
            <w:vAlign w:val="center"/>
          </w:tcPr>
          <w:p w14:paraId="424801F8">
            <w:pPr>
              <w:widowControl/>
              <w:spacing w:line="360" w:lineRule="auto"/>
              <w:jc w:val="center"/>
              <w:rPr>
                <w:rFonts w:hint="eastAsia" w:ascii="仿宋" w:hAnsi="仿宋" w:eastAsia="仿宋" w:cs="仿宋"/>
                <w:color w:val="auto"/>
                <w:kern w:val="0"/>
                <w:szCs w:val="21"/>
                <w:highlight w:val="none"/>
              </w:rPr>
            </w:pPr>
          </w:p>
        </w:tc>
        <w:tc>
          <w:tcPr>
            <w:tcW w:w="592" w:type="pct"/>
            <w:vMerge w:val="continue"/>
            <w:noWrap w:val="0"/>
            <w:vAlign w:val="center"/>
          </w:tcPr>
          <w:p w14:paraId="3E0BC9F2">
            <w:pPr>
              <w:spacing w:before="24" w:after="24" w:line="360" w:lineRule="auto"/>
              <w:jc w:val="center"/>
              <w:rPr>
                <w:rFonts w:hint="eastAsia" w:ascii="仿宋" w:hAnsi="仿宋" w:eastAsia="仿宋" w:cs="仿宋"/>
                <w:color w:val="auto"/>
                <w:kern w:val="0"/>
                <w:szCs w:val="21"/>
                <w:highlight w:val="none"/>
              </w:rPr>
            </w:pPr>
          </w:p>
        </w:tc>
        <w:tc>
          <w:tcPr>
            <w:tcW w:w="989" w:type="pct"/>
            <w:noWrap w:val="0"/>
            <w:vAlign w:val="center"/>
          </w:tcPr>
          <w:p w14:paraId="673A1585">
            <w:pPr>
              <w:spacing w:before="24" w:after="24" w:line="276" w:lineRule="auto"/>
              <w:jc w:val="center"/>
              <w:rPr>
                <w:rFonts w:hint="eastAsia" w:ascii="仿宋" w:hAnsi="仿宋" w:eastAsia="仿宋" w:cs="Cambria Math"/>
                <w:color w:val="auto"/>
                <w:szCs w:val="21"/>
                <w:highlight w:val="none"/>
              </w:rPr>
            </w:pPr>
            <w:r>
              <w:rPr>
                <w:rFonts w:hint="eastAsia" w:ascii="仿宋" w:hAnsi="仿宋" w:eastAsia="仿宋" w:cs="宋体"/>
                <w:color w:val="auto"/>
                <w:szCs w:val="21"/>
                <w:highlight w:val="none"/>
              </w:rPr>
              <w:t>供应商行为准则承诺书</w:t>
            </w:r>
          </w:p>
        </w:tc>
        <w:tc>
          <w:tcPr>
            <w:tcW w:w="3092" w:type="pct"/>
            <w:noWrap w:val="0"/>
            <w:vAlign w:val="center"/>
          </w:tcPr>
          <w:p w14:paraId="43926C27">
            <w:pPr>
              <w:spacing w:before="24" w:after="24" w:line="276" w:lineRule="auto"/>
              <w:jc w:val="left"/>
              <w:rPr>
                <w:rFonts w:hint="eastAsia" w:ascii="仿宋" w:hAnsi="仿宋" w:eastAsia="仿宋" w:cs="Cambria Math"/>
                <w:color w:val="auto"/>
                <w:szCs w:val="21"/>
                <w:highlight w:val="none"/>
              </w:rPr>
            </w:pPr>
            <w:r>
              <w:rPr>
                <w:rFonts w:hint="eastAsia" w:ascii="仿宋" w:hAnsi="仿宋" w:eastAsia="仿宋" w:cs="仿宋"/>
                <w:color w:val="auto"/>
                <w:szCs w:val="21"/>
                <w:highlight w:val="none"/>
              </w:rPr>
              <w:t>除供应商填写内容外，未修改原文内容。</w:t>
            </w:r>
          </w:p>
        </w:tc>
      </w:tr>
      <w:tr w14:paraId="3B51982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26" w:type="pct"/>
            <w:vMerge w:val="continue"/>
            <w:noWrap w:val="0"/>
            <w:vAlign w:val="center"/>
          </w:tcPr>
          <w:p w14:paraId="72D9A4C9">
            <w:pPr>
              <w:widowControl/>
              <w:spacing w:line="360" w:lineRule="auto"/>
              <w:jc w:val="center"/>
              <w:rPr>
                <w:rFonts w:hint="eastAsia" w:ascii="仿宋" w:hAnsi="仿宋" w:eastAsia="仿宋" w:cs="仿宋"/>
                <w:color w:val="auto"/>
                <w:kern w:val="0"/>
                <w:szCs w:val="21"/>
                <w:highlight w:val="none"/>
              </w:rPr>
            </w:pPr>
          </w:p>
        </w:tc>
        <w:tc>
          <w:tcPr>
            <w:tcW w:w="592" w:type="pct"/>
            <w:vMerge w:val="continue"/>
            <w:noWrap w:val="0"/>
            <w:vAlign w:val="center"/>
          </w:tcPr>
          <w:p w14:paraId="47BF6B33">
            <w:pPr>
              <w:spacing w:before="24" w:after="24" w:line="360" w:lineRule="auto"/>
              <w:jc w:val="center"/>
              <w:rPr>
                <w:rFonts w:hint="eastAsia" w:ascii="仿宋" w:hAnsi="仿宋" w:eastAsia="仿宋" w:cs="仿宋"/>
                <w:color w:val="auto"/>
                <w:kern w:val="0"/>
                <w:szCs w:val="21"/>
                <w:highlight w:val="none"/>
              </w:rPr>
            </w:pPr>
          </w:p>
        </w:tc>
        <w:tc>
          <w:tcPr>
            <w:tcW w:w="989" w:type="pct"/>
            <w:noWrap w:val="0"/>
            <w:vAlign w:val="center"/>
          </w:tcPr>
          <w:p w14:paraId="0A247F8F">
            <w:pPr>
              <w:spacing w:before="24" w:after="24" w:line="276" w:lineRule="auto"/>
              <w:jc w:val="center"/>
              <w:rPr>
                <w:rFonts w:hint="eastAsia" w:ascii="仿宋" w:hAnsi="仿宋" w:eastAsia="仿宋" w:cs="Cambria Math"/>
                <w:color w:val="auto"/>
                <w:szCs w:val="21"/>
                <w:highlight w:val="none"/>
              </w:rPr>
            </w:pPr>
            <w:r>
              <w:rPr>
                <w:rFonts w:hint="eastAsia" w:ascii="仿宋" w:hAnsi="仿宋" w:eastAsia="仿宋" w:cs="宋体"/>
                <w:color w:val="auto"/>
                <w:szCs w:val="21"/>
                <w:highlight w:val="none"/>
              </w:rPr>
              <w:t>供应商廉洁诚信承诺书</w:t>
            </w:r>
          </w:p>
        </w:tc>
        <w:tc>
          <w:tcPr>
            <w:tcW w:w="3092" w:type="pct"/>
            <w:noWrap w:val="0"/>
            <w:vAlign w:val="center"/>
          </w:tcPr>
          <w:p w14:paraId="31BDC705">
            <w:pPr>
              <w:spacing w:before="24" w:after="24" w:line="276" w:lineRule="auto"/>
              <w:jc w:val="left"/>
              <w:rPr>
                <w:rFonts w:hint="eastAsia" w:ascii="仿宋" w:hAnsi="仿宋" w:eastAsia="仿宋" w:cs="Cambria Math"/>
                <w:color w:val="auto"/>
                <w:szCs w:val="21"/>
                <w:highlight w:val="none"/>
              </w:rPr>
            </w:pPr>
            <w:r>
              <w:rPr>
                <w:rFonts w:hint="eastAsia" w:ascii="仿宋" w:hAnsi="仿宋" w:eastAsia="仿宋" w:cs="仿宋"/>
                <w:color w:val="auto"/>
                <w:szCs w:val="21"/>
                <w:highlight w:val="none"/>
              </w:rPr>
              <w:t>除供应商填写内容外，未修改原文内容。</w:t>
            </w:r>
          </w:p>
        </w:tc>
      </w:tr>
      <w:tr w14:paraId="2F195D1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26" w:type="pct"/>
            <w:vMerge w:val="continue"/>
            <w:noWrap w:val="0"/>
            <w:vAlign w:val="center"/>
          </w:tcPr>
          <w:p w14:paraId="68408DB0">
            <w:pPr>
              <w:widowControl/>
              <w:spacing w:line="360" w:lineRule="auto"/>
              <w:jc w:val="center"/>
              <w:rPr>
                <w:rFonts w:ascii="仿宋" w:hAnsi="仿宋" w:eastAsia="仿宋" w:cs="仿宋"/>
                <w:color w:val="auto"/>
                <w:kern w:val="0"/>
                <w:szCs w:val="21"/>
                <w:highlight w:val="none"/>
              </w:rPr>
            </w:pPr>
          </w:p>
        </w:tc>
        <w:tc>
          <w:tcPr>
            <w:tcW w:w="592" w:type="pct"/>
            <w:vMerge w:val="continue"/>
            <w:noWrap w:val="0"/>
            <w:vAlign w:val="center"/>
          </w:tcPr>
          <w:p w14:paraId="22A1A5BF">
            <w:pPr>
              <w:spacing w:before="24" w:after="24" w:line="360" w:lineRule="auto"/>
              <w:jc w:val="center"/>
              <w:rPr>
                <w:rFonts w:hint="eastAsia" w:ascii="仿宋" w:hAnsi="仿宋" w:eastAsia="仿宋" w:cs="仿宋"/>
                <w:color w:val="auto"/>
                <w:kern w:val="0"/>
                <w:szCs w:val="21"/>
                <w:highlight w:val="none"/>
              </w:rPr>
            </w:pPr>
          </w:p>
        </w:tc>
        <w:tc>
          <w:tcPr>
            <w:tcW w:w="989" w:type="pct"/>
            <w:noWrap w:val="0"/>
            <w:vAlign w:val="center"/>
          </w:tcPr>
          <w:p w14:paraId="37131534">
            <w:pPr>
              <w:spacing w:before="24" w:after="24" w:line="276" w:lineRule="auto"/>
              <w:jc w:val="center"/>
              <w:rPr>
                <w:rFonts w:ascii="仿宋" w:hAnsi="仿宋" w:eastAsia="仿宋" w:cs="仿宋"/>
                <w:color w:val="auto"/>
                <w:kern w:val="0"/>
                <w:szCs w:val="21"/>
                <w:highlight w:val="none"/>
              </w:rPr>
            </w:pPr>
            <w:r>
              <w:rPr>
                <w:rFonts w:hint="eastAsia" w:ascii="仿宋" w:hAnsi="仿宋" w:eastAsia="仿宋" w:cs="Cambria Math"/>
                <w:color w:val="auto"/>
                <w:szCs w:val="21"/>
                <w:highlight w:val="none"/>
              </w:rPr>
              <w:t>供应商偏离应答</w:t>
            </w:r>
          </w:p>
        </w:tc>
        <w:tc>
          <w:tcPr>
            <w:tcW w:w="3092" w:type="pct"/>
            <w:noWrap w:val="0"/>
            <w:vAlign w:val="center"/>
          </w:tcPr>
          <w:p w14:paraId="7DEDE4C5">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《供应商须知应答偏离表》、《合同条款应答偏离表》、《采购需求应答偏离表》》进行了符合第二章“供应商须知”的应答</w:t>
            </w:r>
          </w:p>
        </w:tc>
      </w:tr>
    </w:tbl>
    <w:p w14:paraId="2D028136">
      <w:pPr>
        <w:pStyle w:val="3"/>
        <w:numPr>
          <w:ilvl w:val="0"/>
          <w:numId w:val="4"/>
        </w:numPr>
        <w:ind w:firstLine="420" w:firstLineChars="200"/>
        <w:jc w:val="left"/>
        <w:rPr>
          <w:rFonts w:hint="eastAsia" w:ascii="仿宋" w:hAnsi="仿宋" w:eastAsia="仿宋" w:cs="仿宋"/>
          <w:color w:val="auto"/>
          <w:sz w:val="24"/>
          <w:szCs w:val="24"/>
          <w:highlight w:val="none"/>
        </w:rPr>
      </w:pPr>
      <w:r>
        <w:rPr>
          <w:rFonts w:hint="eastAsia" w:ascii="仿宋" w:hAnsi="仿宋" w:eastAsia="仿宋" w:cs="仿宋"/>
          <w:b w:val="0"/>
          <w:bCs w:val="0"/>
          <w:color w:val="auto"/>
          <w:sz w:val="21"/>
          <w:szCs w:val="21"/>
          <w:highlight w:val="none"/>
        </w:rPr>
        <w:br w:type="page"/>
      </w:r>
      <w:bookmarkEnd w:id="130"/>
      <w:bookmarkEnd w:id="131"/>
      <w:bookmarkEnd w:id="132"/>
      <w:bookmarkEnd w:id="133"/>
      <w:bookmarkEnd w:id="134"/>
      <w:bookmarkEnd w:id="135"/>
      <w:bookmarkStart w:id="136" w:name="_Toc20060"/>
      <w:r>
        <w:rPr>
          <w:rFonts w:hint="eastAsia" w:ascii="仿宋" w:hAnsi="仿宋" w:eastAsia="仿宋" w:cs="仿宋"/>
          <w:color w:val="auto"/>
          <w:sz w:val="24"/>
          <w:szCs w:val="24"/>
          <w:highlight w:val="none"/>
        </w:rPr>
        <w:t>详细评审</w:t>
      </w:r>
      <w:bookmarkEnd w:id="136"/>
    </w:p>
    <w:tbl>
      <w:tblPr>
        <w:tblStyle w:val="42"/>
        <w:tblW w:w="99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4"/>
        <w:gridCol w:w="1125"/>
        <w:gridCol w:w="750"/>
        <w:gridCol w:w="7060"/>
      </w:tblGrid>
      <w:tr w14:paraId="420F3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shd w:val="clear" w:color="auto" w:fill="auto"/>
            <w:vAlign w:val="center"/>
          </w:tcPr>
          <w:p w14:paraId="7C046550">
            <w:pPr>
              <w:keepNext w:val="0"/>
              <w:keepLines w:val="0"/>
              <w:pageBreakBefore w:val="0"/>
              <w:widowControl w:val="0"/>
              <w:kinsoku/>
              <w:wordWrap/>
              <w:overflowPunct/>
              <w:topLinePunct w:val="0"/>
              <w:autoSpaceDE w:val="0"/>
              <w:autoSpaceDN w:val="0"/>
              <w:bidi w:val="0"/>
              <w:adjustRightInd/>
              <w:snapToGrid/>
              <w:spacing w:line="360" w:lineRule="auto"/>
              <w:ind w:left="-105" w:leftChars="-50" w:right="-105" w:rightChars="-50"/>
              <w:jc w:val="center"/>
              <w:textAlignment w:val="auto"/>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
                <w:bCs/>
                <w:color w:val="auto"/>
                <w:sz w:val="21"/>
                <w:szCs w:val="21"/>
                <w:highlight w:val="none"/>
                <w:lang w:val="en-US" w:eastAsia="zh-CN"/>
              </w:rPr>
              <w:t>评审内容</w:t>
            </w:r>
          </w:p>
        </w:tc>
        <w:tc>
          <w:tcPr>
            <w:tcW w:w="1125" w:type="dxa"/>
            <w:shd w:val="clear" w:color="auto" w:fill="auto"/>
            <w:vAlign w:val="center"/>
          </w:tcPr>
          <w:p w14:paraId="36556B29">
            <w:pPr>
              <w:keepNext w:val="0"/>
              <w:keepLines w:val="0"/>
              <w:pageBreakBefore w:val="0"/>
              <w:kinsoku/>
              <w:wordWrap/>
              <w:overflowPunct/>
              <w:topLinePunct w:val="0"/>
              <w:autoSpaceDE w:val="0"/>
              <w:autoSpaceDN w:val="0"/>
              <w:bidi w:val="0"/>
              <w:adjustRightInd/>
              <w:snapToGrid/>
              <w:spacing w:line="360" w:lineRule="auto"/>
              <w:ind w:left="0" w:leftChars="0" w:right="0" w:rightChars="0"/>
              <w:jc w:val="center"/>
              <w:textAlignment w:val="auto"/>
              <w:rPr>
                <w:rFonts w:hint="eastAsia" w:ascii="仿宋" w:hAnsi="仿宋" w:eastAsia="仿宋" w:cs="仿宋"/>
                <w:b/>
                <w:color w:val="auto"/>
                <w:kern w:val="0"/>
                <w:sz w:val="21"/>
                <w:szCs w:val="21"/>
                <w:highlight w:val="none"/>
                <w:lang w:val="en-US" w:eastAsia="zh-CN" w:bidi="ar-SA"/>
              </w:rPr>
            </w:pPr>
            <w:r>
              <w:rPr>
                <w:rFonts w:hint="eastAsia" w:ascii="仿宋" w:hAnsi="仿宋" w:eastAsia="仿宋" w:cs="仿宋"/>
                <w:b/>
                <w:bCs/>
                <w:color w:val="auto"/>
                <w:sz w:val="21"/>
                <w:szCs w:val="21"/>
                <w:highlight w:val="none"/>
              </w:rPr>
              <w:t>评标项</w:t>
            </w:r>
          </w:p>
        </w:tc>
        <w:tc>
          <w:tcPr>
            <w:tcW w:w="750" w:type="dxa"/>
            <w:shd w:val="clear" w:color="auto" w:fill="auto"/>
            <w:vAlign w:val="center"/>
          </w:tcPr>
          <w:p w14:paraId="297E4D11">
            <w:pPr>
              <w:keepNext w:val="0"/>
              <w:keepLines w:val="0"/>
              <w:pageBreakBefore w:val="0"/>
              <w:kinsoku/>
              <w:wordWrap/>
              <w:overflowPunct/>
              <w:topLinePunct w:val="0"/>
              <w:autoSpaceDE w:val="0"/>
              <w:autoSpaceDN w:val="0"/>
              <w:bidi w:val="0"/>
              <w:adjustRightInd/>
              <w:snapToGrid/>
              <w:spacing w:line="360" w:lineRule="auto"/>
              <w:ind w:left="0" w:leftChars="0" w:right="0" w:rightChars="0"/>
              <w:jc w:val="center"/>
              <w:textAlignment w:val="auto"/>
              <w:rPr>
                <w:rFonts w:hint="eastAsia" w:ascii="仿宋" w:hAnsi="仿宋" w:eastAsia="仿宋" w:cs="仿宋"/>
                <w:b/>
                <w:color w:val="auto"/>
                <w:kern w:val="0"/>
                <w:sz w:val="21"/>
                <w:szCs w:val="21"/>
                <w:highlight w:val="none"/>
                <w:lang w:val="en-US" w:eastAsia="zh-CN" w:bidi="ar-SA"/>
              </w:rPr>
            </w:pPr>
            <w:r>
              <w:rPr>
                <w:rFonts w:hint="eastAsia" w:ascii="仿宋" w:hAnsi="仿宋" w:eastAsia="仿宋" w:cs="仿宋"/>
                <w:b/>
                <w:bCs/>
                <w:color w:val="auto"/>
                <w:sz w:val="21"/>
                <w:szCs w:val="21"/>
                <w:highlight w:val="none"/>
              </w:rPr>
              <w:t>分值</w:t>
            </w:r>
          </w:p>
        </w:tc>
        <w:tc>
          <w:tcPr>
            <w:tcW w:w="7060" w:type="dxa"/>
            <w:shd w:val="clear" w:color="auto" w:fill="auto"/>
            <w:vAlign w:val="center"/>
          </w:tcPr>
          <w:p w14:paraId="51BB8E61">
            <w:pPr>
              <w:keepNext w:val="0"/>
              <w:keepLines w:val="0"/>
              <w:pageBreakBefore w:val="0"/>
              <w:kinsoku/>
              <w:wordWrap/>
              <w:overflowPunct/>
              <w:topLinePunct w:val="0"/>
              <w:autoSpaceDE w:val="0"/>
              <w:autoSpaceDN w:val="0"/>
              <w:bidi w:val="0"/>
              <w:adjustRightInd/>
              <w:snapToGrid/>
              <w:spacing w:line="360" w:lineRule="auto"/>
              <w:ind w:left="0" w:leftChars="0" w:right="0" w:rightChars="0"/>
              <w:jc w:val="center"/>
              <w:textAlignment w:val="auto"/>
              <w:rPr>
                <w:rFonts w:hint="eastAsia" w:ascii="仿宋" w:hAnsi="仿宋" w:eastAsia="仿宋" w:cs="仿宋"/>
                <w:b/>
                <w:color w:val="auto"/>
                <w:kern w:val="0"/>
                <w:sz w:val="21"/>
                <w:szCs w:val="21"/>
                <w:highlight w:val="none"/>
                <w:lang w:val="en-US" w:eastAsia="zh-CN" w:bidi="ar-SA"/>
              </w:rPr>
            </w:pPr>
            <w:r>
              <w:rPr>
                <w:rFonts w:hint="eastAsia" w:ascii="仿宋" w:hAnsi="仿宋" w:eastAsia="仿宋" w:cs="仿宋"/>
                <w:b/>
                <w:color w:val="auto"/>
                <w:kern w:val="0"/>
                <w:sz w:val="21"/>
                <w:szCs w:val="21"/>
                <w:highlight w:val="none"/>
              </w:rPr>
              <w:t>评分标准</w:t>
            </w:r>
          </w:p>
        </w:tc>
      </w:tr>
      <w:tr w14:paraId="73BE9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shd w:val="clear" w:color="auto" w:fill="auto"/>
            <w:vAlign w:val="center"/>
          </w:tcPr>
          <w:p w14:paraId="00803015">
            <w:pPr>
              <w:pStyle w:val="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
                <w:bCs/>
                <w:color w:val="auto"/>
                <w:kern w:val="2"/>
                <w:sz w:val="21"/>
                <w:szCs w:val="21"/>
                <w:highlight w:val="none"/>
                <w:lang w:val="en-US" w:eastAsia="zh-CN" w:bidi="ar-SA"/>
              </w:rPr>
              <w:t>价格</w:t>
            </w:r>
          </w:p>
          <w:p w14:paraId="13F27C23">
            <w:pPr>
              <w:pStyle w:val="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
                <w:bCs/>
                <w:color w:val="auto"/>
                <w:kern w:val="2"/>
                <w:sz w:val="21"/>
                <w:szCs w:val="21"/>
                <w:highlight w:val="none"/>
                <w:lang w:val="en-US" w:eastAsia="zh-CN" w:bidi="ar-SA"/>
              </w:rPr>
              <w:t>部分</w:t>
            </w:r>
          </w:p>
          <w:p w14:paraId="2AE06A72">
            <w:pPr>
              <w:pStyle w:val="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b/>
                <w:bCs/>
                <w:color w:val="auto"/>
                <w:kern w:val="2"/>
                <w:sz w:val="21"/>
                <w:szCs w:val="21"/>
                <w:highlight w:val="none"/>
                <w:lang w:val="en-US" w:eastAsia="zh-CN" w:bidi="ar-SA"/>
              </w:rPr>
              <w:t>（50分）</w:t>
            </w:r>
          </w:p>
        </w:tc>
        <w:tc>
          <w:tcPr>
            <w:tcW w:w="1125" w:type="dxa"/>
            <w:shd w:val="clear" w:color="auto" w:fill="auto"/>
            <w:vAlign w:val="center"/>
          </w:tcPr>
          <w:p w14:paraId="205DB6D6">
            <w:pPr>
              <w:pStyle w:val="36"/>
              <w:keepNext w:val="0"/>
              <w:keepLines w:val="0"/>
              <w:pageBreakBefore w:val="0"/>
              <w:widowControl/>
              <w:kinsoku/>
              <w:wordWrap/>
              <w:overflowPunct/>
              <w:topLinePunct w:val="0"/>
              <w:bidi w:val="0"/>
              <w:adjustRightInd/>
              <w:snapToGrid/>
              <w:spacing w:line="360" w:lineRule="auto"/>
              <w:ind w:left="0" w:leftChars="0" w:right="0" w:rightChars="0" w:firstLine="0" w:firstLine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报价</w:t>
            </w:r>
          </w:p>
        </w:tc>
        <w:tc>
          <w:tcPr>
            <w:tcW w:w="750" w:type="dxa"/>
            <w:shd w:val="clear" w:color="auto" w:fill="auto"/>
            <w:vAlign w:val="center"/>
          </w:tcPr>
          <w:p w14:paraId="75096DC6">
            <w:pPr>
              <w:pStyle w:val="36"/>
              <w:keepNext w:val="0"/>
              <w:keepLines w:val="0"/>
              <w:pageBreakBefore w:val="0"/>
              <w:widowControl/>
              <w:kinsoku/>
              <w:wordWrap/>
              <w:overflowPunct/>
              <w:topLinePunct w:val="0"/>
              <w:bidi w:val="0"/>
              <w:adjustRightInd/>
              <w:snapToGrid/>
              <w:spacing w:line="360" w:lineRule="auto"/>
              <w:ind w:left="0" w:leftChars="0" w:right="0" w:rightChars="0" w:firstLine="0" w:firstLine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50分</w:t>
            </w:r>
          </w:p>
        </w:tc>
        <w:tc>
          <w:tcPr>
            <w:tcW w:w="7060" w:type="dxa"/>
            <w:shd w:val="clear" w:color="auto" w:fill="auto"/>
            <w:vAlign w:val="center"/>
          </w:tcPr>
          <w:p w14:paraId="515C1D07">
            <w:pPr>
              <w:keepNext w:val="0"/>
              <w:keepLines w:val="0"/>
              <w:pageBreakBefore w:val="0"/>
              <w:kinsoku/>
              <w:wordWrap/>
              <w:overflowPunct/>
              <w:topLinePunct w:val="0"/>
              <w:bidi w:val="0"/>
              <w:adjustRightInd/>
              <w:snapToGrid/>
              <w:spacing w:line="360" w:lineRule="auto"/>
              <w:ind w:left="0" w:leftChars="0" w:right="0" w:rightChars="0"/>
              <w:jc w:val="both"/>
              <w:textAlignment w:val="auto"/>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评标价：各有效供应商的不含税报价，剔除可抵扣的增值税进项税额。</w:t>
            </w:r>
          </w:p>
          <w:p w14:paraId="38A4BBB1">
            <w:pPr>
              <w:keepNext w:val="0"/>
              <w:keepLines w:val="0"/>
              <w:pageBreakBefore w:val="0"/>
              <w:kinsoku/>
              <w:wordWrap/>
              <w:overflowPunct/>
              <w:topLinePunct w:val="0"/>
              <w:bidi w:val="0"/>
              <w:adjustRightInd/>
              <w:snapToGrid/>
              <w:spacing w:line="360" w:lineRule="auto"/>
              <w:ind w:left="0" w:leftChars="0" w:right="0" w:rightChars="0"/>
              <w:jc w:val="both"/>
              <w:textAlignment w:val="auto"/>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评标基准价：满足磋商文件要求且最低的有效评标价。</w:t>
            </w:r>
          </w:p>
          <w:p w14:paraId="5E49E1AC">
            <w:pPr>
              <w:keepNext w:val="0"/>
              <w:keepLines w:val="0"/>
              <w:pageBreakBefore w:val="0"/>
              <w:kinsoku/>
              <w:wordWrap/>
              <w:overflowPunct/>
              <w:topLinePunct w:val="0"/>
              <w:bidi w:val="0"/>
              <w:adjustRightInd/>
              <w:snapToGrid/>
              <w:spacing w:line="360" w:lineRule="auto"/>
              <w:ind w:left="0" w:leftChars="0" w:right="0" w:rightChars="0"/>
              <w:jc w:val="both"/>
              <w:textAlignment w:val="auto"/>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价格分计算：评标价=评标基准价的供应商，得价格分的满分；其他供应商的价格分按照以下公式计算，并精确到小数点后两位：</w:t>
            </w:r>
          </w:p>
          <w:p w14:paraId="10113AE0">
            <w:pPr>
              <w:keepNext w:val="0"/>
              <w:keepLines w:val="0"/>
              <w:pageBreakBefore w:val="0"/>
              <w:kinsoku/>
              <w:wordWrap/>
              <w:overflowPunct/>
              <w:topLinePunct w:val="0"/>
              <w:bidi w:val="0"/>
              <w:adjustRightInd/>
              <w:snapToGrid/>
              <w:spacing w:line="360" w:lineRule="auto"/>
              <w:ind w:left="0" w:leftChars="0" w:right="0" w:rightChars="0"/>
              <w:jc w:val="both"/>
              <w:textAlignment w:val="auto"/>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
                <w:bCs/>
                <w:color w:val="auto"/>
                <w:kern w:val="2"/>
                <w:sz w:val="21"/>
                <w:szCs w:val="21"/>
                <w:highlight w:val="none"/>
                <w:lang w:val="en-US" w:eastAsia="zh-CN" w:bidi="ar-SA"/>
              </w:rPr>
              <w:t>价格得分＝（评审基准价/该供应商的评标价）*50</w:t>
            </w:r>
          </w:p>
          <w:p w14:paraId="68D8E5F3">
            <w:pPr>
              <w:keepNext w:val="0"/>
              <w:keepLines w:val="0"/>
              <w:pageBreakBefore w:val="0"/>
              <w:kinsoku/>
              <w:wordWrap/>
              <w:overflowPunct/>
              <w:topLinePunct w:val="0"/>
              <w:bidi w:val="0"/>
              <w:adjustRightInd/>
              <w:snapToGrid/>
              <w:spacing w:line="360" w:lineRule="auto"/>
              <w:ind w:left="0" w:leftChars="0" w:right="0" w:rightChars="0"/>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（注：现场还需开展三轮或三轮以上价格磋商）</w:t>
            </w:r>
          </w:p>
        </w:tc>
      </w:tr>
      <w:tr w14:paraId="04F57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trPr>
        <w:tc>
          <w:tcPr>
            <w:tcW w:w="1054" w:type="dxa"/>
            <w:vMerge w:val="restart"/>
            <w:shd w:val="clear" w:color="auto" w:fill="auto"/>
            <w:vAlign w:val="center"/>
          </w:tcPr>
          <w:p w14:paraId="2409B99B">
            <w:pPr>
              <w:pStyle w:val="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
                <w:bCs/>
                <w:color w:val="auto"/>
                <w:kern w:val="2"/>
                <w:sz w:val="21"/>
                <w:szCs w:val="21"/>
                <w:highlight w:val="none"/>
                <w:lang w:val="en-US" w:eastAsia="zh-CN" w:bidi="ar-SA"/>
              </w:rPr>
              <w:t>商务</w:t>
            </w:r>
          </w:p>
          <w:p w14:paraId="41B3D106">
            <w:pPr>
              <w:pStyle w:val="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
                <w:bCs/>
                <w:color w:val="auto"/>
                <w:kern w:val="2"/>
                <w:sz w:val="21"/>
                <w:szCs w:val="21"/>
                <w:highlight w:val="none"/>
                <w:lang w:val="en-US" w:eastAsia="zh-CN" w:bidi="ar-SA"/>
              </w:rPr>
              <w:t>部分</w:t>
            </w:r>
          </w:p>
          <w:p w14:paraId="009901D2">
            <w:pPr>
              <w:pStyle w:val="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b/>
                <w:bCs/>
                <w:color w:val="auto"/>
                <w:kern w:val="2"/>
                <w:sz w:val="21"/>
                <w:szCs w:val="21"/>
                <w:highlight w:val="none"/>
                <w:lang w:val="en-US" w:eastAsia="zh-CN" w:bidi="ar-SA"/>
              </w:rPr>
              <w:t>（13分）</w:t>
            </w:r>
          </w:p>
        </w:tc>
        <w:tc>
          <w:tcPr>
            <w:tcW w:w="1125" w:type="dxa"/>
            <w:shd w:val="clear" w:color="auto" w:fill="auto"/>
            <w:vAlign w:val="center"/>
          </w:tcPr>
          <w:p w14:paraId="09F2C8C9">
            <w:pPr>
              <w:pStyle w:val="36"/>
              <w:keepNext w:val="0"/>
              <w:keepLines w:val="0"/>
              <w:pageBreakBefore w:val="0"/>
              <w:widowControl/>
              <w:kinsoku/>
              <w:wordWrap/>
              <w:overflowPunct/>
              <w:topLinePunct w:val="0"/>
              <w:bidi w:val="0"/>
              <w:adjustRightInd/>
              <w:snapToGrid/>
              <w:spacing w:before="0" w:beforeAutospacing="0" w:after="0" w:afterAutospacing="0" w:line="400" w:lineRule="exact"/>
              <w:ind w:firstLine="0" w:firstLine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同类项目业绩</w:t>
            </w:r>
          </w:p>
        </w:tc>
        <w:tc>
          <w:tcPr>
            <w:tcW w:w="750" w:type="dxa"/>
            <w:shd w:val="clear" w:color="auto" w:fill="auto"/>
            <w:vAlign w:val="center"/>
          </w:tcPr>
          <w:p w14:paraId="14C3F6D1">
            <w:pPr>
              <w:pStyle w:val="36"/>
              <w:keepNext w:val="0"/>
              <w:keepLines w:val="0"/>
              <w:pageBreakBefore w:val="0"/>
              <w:widowControl/>
              <w:kinsoku/>
              <w:wordWrap/>
              <w:overflowPunct/>
              <w:topLinePunct w:val="0"/>
              <w:bidi w:val="0"/>
              <w:adjustRightInd/>
              <w:snapToGrid/>
              <w:spacing w:before="0" w:beforeAutospacing="0" w:after="0" w:afterAutospacing="0" w:line="400" w:lineRule="exact"/>
              <w:ind w:firstLine="0" w:firstLine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10分</w:t>
            </w:r>
          </w:p>
        </w:tc>
        <w:tc>
          <w:tcPr>
            <w:tcW w:w="7060" w:type="dxa"/>
            <w:shd w:val="clear" w:color="auto" w:fill="auto"/>
            <w:vAlign w:val="center"/>
          </w:tcPr>
          <w:p w14:paraId="17F40436">
            <w:pPr>
              <w:keepNext w:val="0"/>
              <w:keepLines w:val="0"/>
              <w:pageBreakBefore w:val="0"/>
              <w:kinsoku/>
              <w:wordWrap/>
              <w:overflowPunct/>
              <w:topLinePunct w:val="0"/>
              <w:bidi w:val="0"/>
              <w:adjustRightInd/>
              <w:snapToGrid/>
              <w:spacing w:beforeAutospacing="0" w:afterAutospacing="0" w:line="400" w:lineRule="exact"/>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 xml:space="preserve">供应商自2023年1月1日（以合同签订时间为准）至今，具有营业职场装修项目业绩的，每提供一个得2分，最高得10分。 </w:t>
            </w:r>
          </w:p>
          <w:p w14:paraId="716675BD">
            <w:pPr>
              <w:keepNext w:val="0"/>
              <w:keepLines w:val="0"/>
              <w:pageBreakBefore w:val="0"/>
              <w:kinsoku/>
              <w:wordWrap/>
              <w:overflowPunct/>
              <w:topLinePunct w:val="0"/>
              <w:bidi w:val="0"/>
              <w:adjustRightInd/>
              <w:snapToGrid/>
              <w:spacing w:beforeAutospacing="0" w:afterAutospacing="0" w:line="400" w:lineRule="exact"/>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提供合同关键页（含签订合同双方的单位名称、合同项目名称、服务内容与含签订合同双方的落款盖章、签订日期的关键页）复印件。上述证明材料均需加盖公章，不提供或不齐全均不得分。</w:t>
            </w:r>
          </w:p>
        </w:tc>
      </w:tr>
      <w:tr w14:paraId="283D8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trPr>
        <w:tc>
          <w:tcPr>
            <w:tcW w:w="1054" w:type="dxa"/>
            <w:vMerge w:val="continue"/>
            <w:shd w:val="clear" w:color="auto" w:fill="auto"/>
            <w:vAlign w:val="center"/>
          </w:tcPr>
          <w:p w14:paraId="3D82A123">
            <w:pPr>
              <w:pStyle w:val="36"/>
              <w:keepNext w:val="0"/>
              <w:keepLines w:val="0"/>
              <w:pageBreakBefore w:val="0"/>
              <w:widowControl/>
              <w:kinsoku/>
              <w:wordWrap/>
              <w:overflowPunct/>
              <w:topLinePunct w:val="0"/>
              <w:bidi w:val="0"/>
              <w:adjustRightInd/>
              <w:snapToGrid/>
              <w:spacing w:line="360" w:lineRule="auto"/>
              <w:ind w:left="0" w:leftChars="0" w:right="0" w:rightChars="0" w:firstLine="0" w:firstLineChars="0"/>
              <w:jc w:val="center"/>
              <w:textAlignment w:val="auto"/>
              <w:rPr>
                <w:rFonts w:hint="eastAsia" w:ascii="仿宋" w:hAnsi="仿宋" w:eastAsia="仿宋" w:cs="仿宋"/>
                <w:sz w:val="21"/>
                <w:szCs w:val="21"/>
              </w:rPr>
            </w:pPr>
          </w:p>
        </w:tc>
        <w:tc>
          <w:tcPr>
            <w:tcW w:w="1125" w:type="dxa"/>
            <w:shd w:val="clear" w:color="auto" w:fill="auto"/>
            <w:vAlign w:val="center"/>
          </w:tcPr>
          <w:p w14:paraId="4EA83465">
            <w:pPr>
              <w:pStyle w:val="36"/>
              <w:keepNext w:val="0"/>
              <w:keepLines w:val="0"/>
              <w:pageBreakBefore w:val="0"/>
              <w:widowControl/>
              <w:kinsoku/>
              <w:wordWrap/>
              <w:overflowPunct/>
              <w:topLinePunct w:val="0"/>
              <w:bidi w:val="0"/>
              <w:adjustRightInd/>
              <w:snapToGrid/>
              <w:spacing w:before="0" w:beforeAutospacing="0" w:after="0" w:afterAutospacing="0" w:line="400" w:lineRule="exact"/>
              <w:ind w:firstLine="0" w:firstLine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zh-CN" w:eastAsia="zh-CN" w:bidi="ar-SA"/>
              </w:rPr>
              <w:t>管理体系认证证书</w:t>
            </w:r>
          </w:p>
        </w:tc>
        <w:tc>
          <w:tcPr>
            <w:tcW w:w="750" w:type="dxa"/>
            <w:shd w:val="clear" w:color="auto" w:fill="auto"/>
            <w:vAlign w:val="center"/>
          </w:tcPr>
          <w:p w14:paraId="36BE29EC">
            <w:pPr>
              <w:pStyle w:val="36"/>
              <w:keepNext w:val="0"/>
              <w:keepLines w:val="0"/>
              <w:pageBreakBefore w:val="0"/>
              <w:widowControl/>
              <w:kinsoku/>
              <w:wordWrap/>
              <w:overflowPunct/>
              <w:topLinePunct w:val="0"/>
              <w:bidi w:val="0"/>
              <w:adjustRightInd/>
              <w:snapToGrid/>
              <w:spacing w:before="0" w:beforeAutospacing="0" w:after="0" w:afterAutospacing="0" w:line="400" w:lineRule="exact"/>
              <w:ind w:firstLine="0" w:firstLine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3分</w:t>
            </w:r>
          </w:p>
        </w:tc>
        <w:tc>
          <w:tcPr>
            <w:tcW w:w="7060" w:type="dxa"/>
            <w:shd w:val="clear" w:color="auto" w:fill="auto"/>
            <w:vAlign w:val="center"/>
          </w:tcPr>
          <w:p w14:paraId="2426AED6">
            <w:pPr>
              <w:keepNext w:val="0"/>
              <w:keepLines w:val="0"/>
              <w:pageBreakBefore w:val="0"/>
              <w:kinsoku/>
              <w:wordWrap/>
              <w:overflowPunct/>
              <w:topLinePunct w:val="0"/>
              <w:bidi w:val="0"/>
              <w:adjustRightInd/>
              <w:snapToGrid/>
              <w:spacing w:beforeAutospacing="0" w:afterAutospacing="0" w:line="400" w:lineRule="exact"/>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供应商具备质量管理体系认证证书、环境管理体系认证证书、职业健康管理体系认证证书，每提供1项证书得1分，满分3分。</w:t>
            </w:r>
          </w:p>
          <w:p w14:paraId="0F968460">
            <w:pPr>
              <w:keepNext w:val="0"/>
              <w:keepLines w:val="0"/>
              <w:pageBreakBefore w:val="0"/>
              <w:kinsoku/>
              <w:wordWrap/>
              <w:overflowPunct/>
              <w:topLinePunct w:val="0"/>
              <w:bidi w:val="0"/>
              <w:adjustRightInd/>
              <w:snapToGrid/>
              <w:spacing w:beforeAutospacing="0" w:afterAutospacing="0" w:line="400" w:lineRule="exact"/>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须提供有效的认证证书复印件。</w:t>
            </w:r>
          </w:p>
        </w:tc>
      </w:tr>
      <w:tr w14:paraId="6E446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vMerge w:val="restart"/>
            <w:shd w:val="clear" w:color="auto" w:fill="auto"/>
            <w:vAlign w:val="center"/>
          </w:tcPr>
          <w:p w14:paraId="2C0038FC">
            <w:pPr>
              <w:pStyle w:val="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
                <w:bCs/>
                <w:color w:val="auto"/>
                <w:kern w:val="2"/>
                <w:sz w:val="21"/>
                <w:szCs w:val="21"/>
                <w:highlight w:val="none"/>
                <w:lang w:val="en-US" w:eastAsia="zh-CN" w:bidi="ar-SA"/>
              </w:rPr>
              <w:t>技术</w:t>
            </w:r>
          </w:p>
          <w:p w14:paraId="653A7BA7">
            <w:pPr>
              <w:pStyle w:val="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
                <w:bCs/>
                <w:color w:val="auto"/>
                <w:kern w:val="2"/>
                <w:sz w:val="21"/>
                <w:szCs w:val="21"/>
                <w:highlight w:val="none"/>
                <w:lang w:val="en-US" w:eastAsia="zh-CN" w:bidi="ar-SA"/>
              </w:rPr>
              <w:t>部分</w:t>
            </w:r>
          </w:p>
          <w:p w14:paraId="15C5C586">
            <w:pPr>
              <w:pStyle w:val="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b/>
                <w:bCs/>
                <w:color w:val="auto"/>
                <w:kern w:val="2"/>
                <w:sz w:val="21"/>
                <w:szCs w:val="21"/>
                <w:highlight w:val="none"/>
                <w:lang w:val="en-US" w:eastAsia="zh-CN" w:bidi="ar-SA"/>
              </w:rPr>
              <w:t>（37分）</w:t>
            </w:r>
          </w:p>
        </w:tc>
        <w:tc>
          <w:tcPr>
            <w:tcW w:w="1125" w:type="dxa"/>
            <w:shd w:val="clear" w:color="auto" w:fill="auto"/>
            <w:vAlign w:val="center"/>
          </w:tcPr>
          <w:p w14:paraId="0CCC8CDC">
            <w:pPr>
              <w:keepNext w:val="0"/>
              <w:keepLines w:val="0"/>
              <w:pageBreakBefore w:val="0"/>
              <w:kinsoku/>
              <w:wordWrap/>
              <w:overflowPunct/>
              <w:topLinePunct w:val="0"/>
              <w:bidi w:val="0"/>
              <w:adjustRightInd/>
              <w:snapToGrid/>
              <w:spacing w:beforeAutospacing="0" w:afterAutospacing="0" w:line="400" w:lineRule="exact"/>
              <w:jc w:val="center"/>
              <w:textAlignment w:val="auto"/>
              <w:rPr>
                <w:rFonts w:hint="eastAsia" w:ascii="仿宋" w:hAnsi="仿宋" w:eastAsia="仿宋" w:cs="仿宋"/>
                <w:color w:val="auto"/>
                <w:kern w:val="2"/>
                <w:sz w:val="21"/>
                <w:szCs w:val="21"/>
                <w:highlight w:val="none"/>
                <w:lang w:val="en-US" w:eastAsia="zh-CN" w:bidi="ar-SA"/>
              </w:rPr>
            </w:pPr>
          </w:p>
          <w:p w14:paraId="28E2D678">
            <w:pPr>
              <w:keepNext w:val="0"/>
              <w:keepLines w:val="0"/>
              <w:pageBreakBefore w:val="0"/>
              <w:kinsoku/>
              <w:wordWrap/>
              <w:overflowPunct/>
              <w:topLinePunct w:val="0"/>
              <w:bidi w:val="0"/>
              <w:adjustRightInd/>
              <w:snapToGrid/>
              <w:spacing w:beforeAutospacing="0" w:afterAutospacing="0" w:line="400" w:lineRule="exact"/>
              <w:jc w:val="center"/>
              <w:textAlignment w:val="auto"/>
              <w:rPr>
                <w:rFonts w:hint="eastAsia" w:ascii="仿宋" w:hAnsi="仿宋" w:eastAsia="仿宋" w:cs="仿宋"/>
                <w:color w:val="auto"/>
                <w:kern w:val="2"/>
                <w:sz w:val="21"/>
                <w:szCs w:val="21"/>
                <w:highlight w:val="none"/>
                <w:lang w:val="en-US" w:eastAsia="zh-CN" w:bidi="ar-SA"/>
              </w:rPr>
            </w:pPr>
          </w:p>
          <w:p w14:paraId="175BCC29">
            <w:pPr>
              <w:keepNext w:val="0"/>
              <w:keepLines w:val="0"/>
              <w:pageBreakBefore w:val="0"/>
              <w:kinsoku/>
              <w:wordWrap/>
              <w:overflowPunct/>
              <w:topLinePunct w:val="0"/>
              <w:bidi w:val="0"/>
              <w:adjustRightInd/>
              <w:snapToGrid/>
              <w:spacing w:beforeAutospacing="0" w:afterAutospacing="0" w:line="400" w:lineRule="exact"/>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项目经理</w:t>
            </w:r>
          </w:p>
        </w:tc>
        <w:tc>
          <w:tcPr>
            <w:tcW w:w="750" w:type="dxa"/>
            <w:shd w:val="clear" w:color="auto" w:fill="auto"/>
            <w:vAlign w:val="center"/>
          </w:tcPr>
          <w:p w14:paraId="546C7CC3">
            <w:pPr>
              <w:keepNext w:val="0"/>
              <w:keepLines w:val="0"/>
              <w:pageBreakBefore w:val="0"/>
              <w:kinsoku/>
              <w:wordWrap/>
              <w:overflowPunct/>
              <w:topLinePunct w:val="0"/>
              <w:bidi w:val="0"/>
              <w:adjustRightInd/>
              <w:snapToGrid/>
              <w:spacing w:beforeAutospacing="0" w:afterAutospacing="0" w:line="400" w:lineRule="exact"/>
              <w:jc w:val="center"/>
              <w:textAlignment w:val="auto"/>
              <w:rPr>
                <w:rFonts w:hint="eastAsia" w:ascii="仿宋" w:hAnsi="仿宋" w:eastAsia="仿宋" w:cs="仿宋"/>
                <w:color w:val="auto"/>
                <w:kern w:val="2"/>
                <w:sz w:val="21"/>
                <w:szCs w:val="21"/>
                <w:highlight w:val="none"/>
                <w:lang w:val="en-US" w:eastAsia="zh-CN" w:bidi="ar-SA"/>
              </w:rPr>
            </w:pPr>
          </w:p>
          <w:p w14:paraId="72324D46">
            <w:pPr>
              <w:keepNext w:val="0"/>
              <w:keepLines w:val="0"/>
              <w:pageBreakBefore w:val="0"/>
              <w:kinsoku/>
              <w:wordWrap/>
              <w:overflowPunct/>
              <w:topLinePunct w:val="0"/>
              <w:bidi w:val="0"/>
              <w:adjustRightInd/>
              <w:snapToGrid/>
              <w:spacing w:beforeAutospacing="0" w:afterAutospacing="0" w:line="400" w:lineRule="exact"/>
              <w:jc w:val="center"/>
              <w:textAlignment w:val="auto"/>
              <w:rPr>
                <w:rFonts w:hint="eastAsia" w:ascii="仿宋" w:hAnsi="仿宋" w:eastAsia="仿宋" w:cs="仿宋"/>
                <w:color w:val="auto"/>
                <w:kern w:val="2"/>
                <w:sz w:val="21"/>
                <w:szCs w:val="21"/>
                <w:highlight w:val="none"/>
                <w:lang w:val="en-US" w:eastAsia="zh-CN" w:bidi="ar-SA"/>
              </w:rPr>
            </w:pPr>
          </w:p>
          <w:p w14:paraId="2A0F0078">
            <w:pPr>
              <w:keepNext w:val="0"/>
              <w:keepLines w:val="0"/>
              <w:pageBreakBefore w:val="0"/>
              <w:kinsoku/>
              <w:wordWrap/>
              <w:overflowPunct/>
              <w:topLinePunct w:val="0"/>
              <w:bidi w:val="0"/>
              <w:adjustRightInd/>
              <w:snapToGrid/>
              <w:spacing w:beforeAutospacing="0" w:afterAutospacing="0" w:line="400" w:lineRule="exact"/>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3分</w:t>
            </w:r>
          </w:p>
        </w:tc>
        <w:tc>
          <w:tcPr>
            <w:tcW w:w="7060" w:type="dxa"/>
            <w:shd w:val="clear" w:color="auto" w:fill="auto"/>
            <w:vAlign w:val="center"/>
          </w:tcPr>
          <w:p w14:paraId="2028F113">
            <w:pPr>
              <w:keepNext w:val="0"/>
              <w:keepLines w:val="0"/>
              <w:pageBreakBefore w:val="0"/>
              <w:kinsoku/>
              <w:wordWrap/>
              <w:overflowPunct/>
              <w:topLinePunct w:val="0"/>
              <w:bidi w:val="0"/>
              <w:adjustRightInd/>
              <w:snapToGrid/>
              <w:spacing w:beforeAutospacing="0" w:afterAutospacing="0" w:line="400" w:lineRule="exact"/>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根据供应商为本项目配置的项目经理进行评审：</w:t>
            </w:r>
          </w:p>
          <w:p w14:paraId="68BEEA71">
            <w:pPr>
              <w:keepNext w:val="0"/>
              <w:keepLines w:val="0"/>
              <w:pageBreakBefore w:val="0"/>
              <w:kinsoku/>
              <w:wordWrap/>
              <w:overflowPunct/>
              <w:topLinePunct w:val="0"/>
              <w:bidi w:val="0"/>
              <w:adjustRightInd/>
              <w:snapToGrid/>
              <w:spacing w:beforeAutospacing="0" w:afterAutospacing="0" w:line="400" w:lineRule="exact"/>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（1）供应商为本项目配备的项目经理具备建筑工程相关专业高级及以上技术职称的得1分；</w:t>
            </w:r>
          </w:p>
          <w:p w14:paraId="0DA320A7">
            <w:pPr>
              <w:keepNext w:val="0"/>
              <w:keepLines w:val="0"/>
              <w:pageBreakBefore w:val="0"/>
              <w:kinsoku/>
              <w:wordWrap/>
              <w:overflowPunct/>
              <w:topLinePunct w:val="0"/>
              <w:bidi w:val="0"/>
              <w:adjustRightInd/>
              <w:snapToGrid/>
              <w:spacing w:beforeAutospacing="0" w:afterAutospacing="0" w:line="400" w:lineRule="exact"/>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2）供应商为本项目配备的项目经理自2023年1月1日至本项目响应截止日前具备至少2份及以上同类项目业绩的得2分。同类项目业绩合同中需体现供应商为本项目配备的项目经理姓名，如同类项目业绩合同中未体现项目负责人的姓名则需提供合同甲方出具的证明文件。同类项目业绩证明材料不清楚或难以证明其担任过项目经理的，评委无法确定的则不予认可。</w:t>
            </w:r>
          </w:p>
          <w:p w14:paraId="6208532C">
            <w:pPr>
              <w:keepNext w:val="0"/>
              <w:keepLines w:val="0"/>
              <w:pageBreakBefore w:val="0"/>
              <w:kinsoku/>
              <w:wordWrap/>
              <w:overflowPunct/>
              <w:topLinePunct w:val="0"/>
              <w:bidi w:val="0"/>
              <w:adjustRightInd/>
              <w:snapToGrid/>
              <w:spacing w:beforeAutospacing="0" w:afterAutospacing="0" w:line="400" w:lineRule="exact"/>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注：以上人员须提供有效期内身份证正反面复印件、职称证书复印件、2026年1月份以来连续三个月的社保缴纳证明材料或劳动合同。</w:t>
            </w:r>
          </w:p>
        </w:tc>
      </w:tr>
      <w:tr w14:paraId="21827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vMerge w:val="continue"/>
          </w:tcPr>
          <w:p w14:paraId="04860DB7">
            <w:pPr>
              <w:keepNext w:val="0"/>
              <w:keepLines w:val="0"/>
              <w:pageBreakBefore w:val="0"/>
              <w:numPr>
                <w:ilvl w:val="0"/>
                <w:numId w:val="0"/>
              </w:numPr>
              <w:kinsoku/>
              <w:wordWrap/>
              <w:overflowPunct/>
              <w:topLinePunct w:val="0"/>
              <w:bidi w:val="0"/>
              <w:adjustRightInd/>
              <w:snapToGrid/>
              <w:textAlignment w:val="auto"/>
              <w:rPr>
                <w:rFonts w:hint="eastAsia" w:ascii="仿宋" w:hAnsi="仿宋" w:eastAsia="仿宋" w:cs="仿宋"/>
                <w:color w:val="auto"/>
                <w:sz w:val="21"/>
                <w:szCs w:val="21"/>
                <w:highlight w:val="none"/>
                <w:vertAlign w:val="baseline"/>
              </w:rPr>
            </w:pPr>
          </w:p>
        </w:tc>
        <w:tc>
          <w:tcPr>
            <w:tcW w:w="1125" w:type="dxa"/>
            <w:vAlign w:val="center"/>
          </w:tcPr>
          <w:p w14:paraId="6E63A1FE">
            <w:pPr>
              <w:keepNext w:val="0"/>
              <w:keepLines w:val="0"/>
              <w:pageBreakBefore w:val="0"/>
              <w:widowControl w:val="0"/>
              <w:kinsoku/>
              <w:wordWrap/>
              <w:overflowPunct/>
              <w:topLinePunct w:val="0"/>
              <w:bidi w:val="0"/>
              <w:adjustRightInd/>
              <w:snapToGrid/>
              <w:spacing w:beforeAutospacing="0" w:afterAutospacing="0" w:line="400" w:lineRule="exact"/>
              <w:ind w:left="0" w:leftChars="0" w:right="0" w:right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项目人员</w:t>
            </w:r>
          </w:p>
          <w:p w14:paraId="4C50C822">
            <w:pPr>
              <w:keepNext w:val="0"/>
              <w:keepLines w:val="0"/>
              <w:pageBreakBefore w:val="0"/>
              <w:widowControl w:val="0"/>
              <w:kinsoku/>
              <w:wordWrap/>
              <w:overflowPunct/>
              <w:topLinePunct w:val="0"/>
              <w:bidi w:val="0"/>
              <w:adjustRightInd/>
              <w:snapToGrid/>
              <w:spacing w:beforeAutospacing="0" w:afterAutospacing="0" w:line="400" w:lineRule="exact"/>
              <w:ind w:left="0" w:leftChars="0" w:right="0" w:rightChars="0"/>
              <w:jc w:val="center"/>
              <w:textAlignment w:val="auto"/>
              <w:rPr>
                <w:rFonts w:hint="eastAsia" w:ascii="仿宋" w:hAnsi="仿宋" w:eastAsia="仿宋" w:cs="仿宋"/>
                <w:color w:val="auto"/>
                <w:sz w:val="21"/>
                <w:szCs w:val="21"/>
                <w:highlight w:val="none"/>
                <w:vertAlign w:val="baseline"/>
              </w:rPr>
            </w:pPr>
            <w:r>
              <w:rPr>
                <w:rFonts w:hint="eastAsia" w:ascii="仿宋" w:hAnsi="仿宋" w:eastAsia="仿宋" w:cs="仿宋"/>
                <w:color w:val="auto"/>
                <w:kern w:val="2"/>
                <w:sz w:val="21"/>
                <w:szCs w:val="21"/>
                <w:highlight w:val="none"/>
                <w:lang w:val="en-US" w:eastAsia="zh-CN" w:bidi="ar-SA"/>
              </w:rPr>
              <w:t>配置</w:t>
            </w:r>
          </w:p>
        </w:tc>
        <w:tc>
          <w:tcPr>
            <w:tcW w:w="750" w:type="dxa"/>
            <w:vAlign w:val="center"/>
          </w:tcPr>
          <w:p w14:paraId="15E08B6D">
            <w:pPr>
              <w:keepNext w:val="0"/>
              <w:keepLines w:val="0"/>
              <w:pageBreakBefore w:val="0"/>
              <w:widowControl w:val="0"/>
              <w:kinsoku/>
              <w:wordWrap/>
              <w:overflowPunct/>
              <w:topLinePunct w:val="0"/>
              <w:bidi w:val="0"/>
              <w:adjustRightInd/>
              <w:snapToGrid/>
              <w:spacing w:beforeAutospacing="0" w:afterAutospacing="0" w:line="400" w:lineRule="exact"/>
              <w:ind w:left="0" w:leftChars="0" w:right="0" w:rightChars="0"/>
              <w:jc w:val="center"/>
              <w:textAlignment w:val="auto"/>
              <w:rPr>
                <w:rFonts w:hint="eastAsia" w:ascii="仿宋" w:hAnsi="仿宋" w:eastAsia="仿宋" w:cs="仿宋"/>
                <w:color w:val="auto"/>
                <w:sz w:val="21"/>
                <w:szCs w:val="21"/>
                <w:highlight w:val="none"/>
                <w:vertAlign w:val="baseline"/>
              </w:rPr>
            </w:pPr>
            <w:r>
              <w:rPr>
                <w:rFonts w:hint="eastAsia" w:ascii="仿宋" w:hAnsi="仿宋" w:eastAsia="仿宋" w:cs="仿宋"/>
                <w:color w:val="auto"/>
                <w:kern w:val="2"/>
                <w:sz w:val="21"/>
                <w:szCs w:val="21"/>
                <w:highlight w:val="none"/>
                <w:lang w:val="en-US" w:eastAsia="zh-CN" w:bidi="ar-SA"/>
              </w:rPr>
              <w:t>4分</w:t>
            </w:r>
          </w:p>
        </w:tc>
        <w:tc>
          <w:tcPr>
            <w:tcW w:w="7060" w:type="dxa"/>
            <w:vAlign w:val="top"/>
          </w:tcPr>
          <w:p w14:paraId="7948774C">
            <w:pPr>
              <w:pStyle w:val="17"/>
              <w:keepNext w:val="0"/>
              <w:keepLines w:val="0"/>
              <w:pageBreakBefore w:val="0"/>
              <w:widowControl w:val="0"/>
              <w:tabs>
                <w:tab w:val="left" w:pos="567"/>
              </w:tabs>
              <w:kinsoku/>
              <w:wordWrap/>
              <w:overflowPunct/>
              <w:topLinePunct w:val="0"/>
              <w:autoSpaceDE/>
              <w:autoSpaceDN/>
              <w:bidi w:val="0"/>
              <w:adjustRightInd/>
              <w:snapToGrid/>
              <w:spacing w:before="0" w:beforeAutospacing="0" w:afterAutospacing="0" w:line="400" w:lineRule="exact"/>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根据供应商为本项目配置的施工团队进行评审：</w:t>
            </w:r>
          </w:p>
          <w:p w14:paraId="7FA94583">
            <w:pPr>
              <w:pStyle w:val="17"/>
              <w:keepNext w:val="0"/>
              <w:keepLines w:val="0"/>
              <w:pageBreakBefore w:val="0"/>
              <w:widowControl w:val="0"/>
              <w:tabs>
                <w:tab w:val="left" w:pos="567"/>
              </w:tabs>
              <w:kinsoku/>
              <w:wordWrap/>
              <w:overflowPunct/>
              <w:topLinePunct w:val="0"/>
              <w:autoSpaceDE/>
              <w:autoSpaceDN/>
              <w:bidi w:val="0"/>
              <w:adjustRightInd/>
              <w:snapToGrid/>
              <w:spacing w:before="0" w:beforeAutospacing="0" w:afterAutospacing="0" w:line="400" w:lineRule="exact"/>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（1）配备1名技术负责人，具备建筑工程专业中级及以上职称得1分，须提供职称证书复印件；</w:t>
            </w:r>
          </w:p>
          <w:p w14:paraId="5948E45C">
            <w:pPr>
              <w:keepNext w:val="0"/>
              <w:keepLines w:val="0"/>
              <w:pageBreakBefore w:val="0"/>
              <w:kinsoku/>
              <w:wordWrap/>
              <w:overflowPunct/>
              <w:topLinePunct w:val="0"/>
              <w:bidi w:val="0"/>
              <w:adjustRightInd/>
              <w:snapToGrid/>
              <w:spacing w:beforeAutospacing="0" w:afterAutospacing="0" w:line="400" w:lineRule="exact"/>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（2）配备施工员1名、安全员1名（须具备住建部门颁发的安全生产考核合格证C证）、质量员1名，满足上述要求得3分，每少1名人员扣1分。</w:t>
            </w:r>
          </w:p>
          <w:p w14:paraId="7FBB7D97">
            <w:pPr>
              <w:keepNext w:val="0"/>
              <w:keepLines w:val="0"/>
              <w:pageBreakBefore w:val="0"/>
              <w:kinsoku/>
              <w:wordWrap/>
              <w:overflowPunct/>
              <w:topLinePunct w:val="0"/>
              <w:bidi w:val="0"/>
              <w:adjustRightInd/>
              <w:snapToGrid/>
              <w:spacing w:beforeAutospacing="0" w:afterAutospacing="0" w:line="400" w:lineRule="exact"/>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注：以上人员须提供有效期内身份证正反面复印件、职称证书复印件（技术负责人提供）、安全生产考核合格证C证（安全员提供）、岗位证书（施工员、质量员提供）、2026年1月份以来连续三个月的社保缴纳证明材料或劳动合同。</w:t>
            </w:r>
          </w:p>
        </w:tc>
      </w:tr>
      <w:tr w14:paraId="575D5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vMerge w:val="continue"/>
          </w:tcPr>
          <w:p w14:paraId="1FE24189">
            <w:pPr>
              <w:keepNext w:val="0"/>
              <w:keepLines w:val="0"/>
              <w:pageBreakBefore w:val="0"/>
              <w:numPr>
                <w:ilvl w:val="0"/>
                <w:numId w:val="0"/>
              </w:numPr>
              <w:kinsoku/>
              <w:wordWrap/>
              <w:overflowPunct/>
              <w:topLinePunct w:val="0"/>
              <w:bidi w:val="0"/>
              <w:adjustRightInd/>
              <w:snapToGrid/>
              <w:textAlignment w:val="auto"/>
              <w:rPr>
                <w:rFonts w:hint="eastAsia" w:ascii="仿宋" w:hAnsi="仿宋" w:eastAsia="仿宋" w:cs="仿宋"/>
                <w:color w:val="auto"/>
                <w:sz w:val="21"/>
                <w:szCs w:val="21"/>
                <w:highlight w:val="none"/>
                <w:vertAlign w:val="baseline"/>
              </w:rPr>
            </w:pPr>
          </w:p>
        </w:tc>
        <w:tc>
          <w:tcPr>
            <w:tcW w:w="1125" w:type="dxa"/>
            <w:vAlign w:val="center"/>
          </w:tcPr>
          <w:p w14:paraId="775ECE43">
            <w:pPr>
              <w:keepNext w:val="0"/>
              <w:keepLines w:val="0"/>
              <w:pageBreakBefore w:val="0"/>
              <w:widowControl w:val="0"/>
              <w:kinsoku/>
              <w:wordWrap/>
              <w:overflowPunct/>
              <w:topLinePunct w:val="0"/>
              <w:bidi w:val="0"/>
              <w:adjustRightInd/>
              <w:snapToGrid/>
              <w:spacing w:beforeAutospacing="0" w:afterAutospacing="0" w:line="400" w:lineRule="exact"/>
              <w:ind w:left="0" w:leftChars="0" w:right="0" w:rightChars="0"/>
              <w:jc w:val="center"/>
              <w:textAlignment w:val="auto"/>
              <w:rPr>
                <w:rFonts w:hint="eastAsia" w:ascii="仿宋" w:hAnsi="仿宋" w:eastAsia="仿宋" w:cs="仿宋"/>
                <w:color w:val="auto"/>
                <w:sz w:val="21"/>
                <w:szCs w:val="21"/>
                <w:highlight w:val="none"/>
                <w:vertAlign w:val="baseline"/>
              </w:rPr>
            </w:pPr>
            <w:r>
              <w:rPr>
                <w:rFonts w:hint="eastAsia" w:ascii="仿宋" w:hAnsi="仿宋" w:eastAsia="仿宋" w:cs="仿宋"/>
                <w:color w:val="auto"/>
                <w:kern w:val="2"/>
                <w:sz w:val="21"/>
                <w:szCs w:val="21"/>
                <w:highlight w:val="none"/>
                <w:lang w:val="en-US" w:eastAsia="zh-CN" w:bidi="ar-SA"/>
              </w:rPr>
              <w:t>施工组织设计总体概述</w:t>
            </w:r>
          </w:p>
        </w:tc>
        <w:tc>
          <w:tcPr>
            <w:tcW w:w="750" w:type="dxa"/>
            <w:vAlign w:val="center"/>
          </w:tcPr>
          <w:p w14:paraId="4827AB31">
            <w:pPr>
              <w:keepNext w:val="0"/>
              <w:keepLines w:val="0"/>
              <w:pageBreakBefore w:val="0"/>
              <w:widowControl w:val="0"/>
              <w:kinsoku/>
              <w:wordWrap/>
              <w:overflowPunct/>
              <w:topLinePunct w:val="0"/>
              <w:bidi w:val="0"/>
              <w:adjustRightInd/>
              <w:snapToGrid/>
              <w:spacing w:beforeAutospacing="0" w:afterAutospacing="0" w:line="400" w:lineRule="exact"/>
              <w:ind w:left="0" w:leftChars="0" w:right="0" w:rightChars="0"/>
              <w:jc w:val="center"/>
              <w:textAlignment w:val="auto"/>
              <w:rPr>
                <w:rFonts w:hint="eastAsia" w:ascii="仿宋" w:hAnsi="仿宋" w:eastAsia="仿宋" w:cs="仿宋"/>
                <w:color w:val="auto"/>
                <w:sz w:val="21"/>
                <w:szCs w:val="21"/>
                <w:highlight w:val="none"/>
                <w:vertAlign w:val="baseline"/>
              </w:rPr>
            </w:pPr>
            <w:r>
              <w:rPr>
                <w:rFonts w:hint="eastAsia" w:ascii="仿宋" w:hAnsi="仿宋" w:eastAsia="仿宋" w:cs="仿宋"/>
                <w:color w:val="auto"/>
                <w:kern w:val="2"/>
                <w:sz w:val="21"/>
                <w:szCs w:val="21"/>
                <w:highlight w:val="none"/>
                <w:lang w:val="en-US" w:eastAsia="zh-CN" w:bidi="ar-SA"/>
              </w:rPr>
              <w:t>5分</w:t>
            </w:r>
          </w:p>
        </w:tc>
        <w:tc>
          <w:tcPr>
            <w:tcW w:w="7060" w:type="dxa"/>
            <w:vAlign w:val="center"/>
          </w:tcPr>
          <w:p w14:paraId="55DC8800">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right="0" w:rightChars="0"/>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有完善的施工、技术管理措施，有健全的组织机构，管理人员配置合理，明确项目经理、技术负责人、施工员、质量员、安全员等有关人员的职责与权限，管理人员数量与工程规模相适应。根据以上进行横向对比，进行综合评审：</w:t>
            </w:r>
          </w:p>
          <w:p w14:paraId="3EEE61BA">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right="0" w:rightChars="0"/>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对项目总体有深刻认识，表述清晰、完整、严谨、合理，措施先进、具体、有效、成熟，采用了己论证的新技术、新工艺、新材料、新设备；施工段划分呼应总体表述，划分清晰、合理，符合规范要求，得4（不含）-5（含）分；</w:t>
            </w:r>
          </w:p>
          <w:p w14:paraId="777C59F0">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right="0" w:rightChars="0"/>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对项目总体有一定认识，表述清晰、完整，措施具体有效；施工段划分呼应总体表述，划分清晰，符合规范要求，得2（不含）-4（含）分；</w:t>
            </w:r>
          </w:p>
          <w:p w14:paraId="2C9659C0">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right="0" w:rightChars="0"/>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对项目认识不足，表述不清晰，措施不具体；施工段划分不合理，得0（不含）-2（含）分。</w:t>
            </w:r>
          </w:p>
          <w:p w14:paraId="56B27A7C">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right="0" w:rightChars="0"/>
              <w:jc w:val="both"/>
              <w:textAlignment w:val="auto"/>
              <w:rPr>
                <w:rFonts w:hint="eastAsia" w:ascii="仿宋" w:hAnsi="仿宋" w:eastAsia="仿宋" w:cs="仿宋"/>
                <w:sz w:val="21"/>
                <w:szCs w:val="21"/>
                <w:highlight w:val="none"/>
              </w:rPr>
            </w:pPr>
            <w:r>
              <w:rPr>
                <w:rFonts w:hint="eastAsia" w:ascii="仿宋" w:hAnsi="仿宋" w:eastAsia="仿宋" w:cs="仿宋"/>
                <w:color w:val="auto"/>
                <w:kern w:val="2"/>
                <w:sz w:val="21"/>
                <w:szCs w:val="21"/>
                <w:highlight w:val="none"/>
                <w:lang w:val="en-US" w:eastAsia="zh-CN" w:bidi="ar-SA"/>
              </w:rPr>
              <w:t>不提供不得分。</w:t>
            </w:r>
          </w:p>
        </w:tc>
      </w:tr>
      <w:tr w14:paraId="45108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vMerge w:val="continue"/>
          </w:tcPr>
          <w:p w14:paraId="7943FA46">
            <w:pPr>
              <w:keepNext w:val="0"/>
              <w:keepLines w:val="0"/>
              <w:pageBreakBefore w:val="0"/>
              <w:numPr>
                <w:ilvl w:val="0"/>
                <w:numId w:val="0"/>
              </w:numPr>
              <w:kinsoku/>
              <w:wordWrap/>
              <w:overflowPunct/>
              <w:topLinePunct w:val="0"/>
              <w:bidi w:val="0"/>
              <w:adjustRightInd/>
              <w:snapToGrid/>
              <w:textAlignment w:val="auto"/>
              <w:rPr>
                <w:rFonts w:hint="eastAsia" w:ascii="仿宋" w:hAnsi="仿宋" w:eastAsia="仿宋" w:cs="仿宋"/>
                <w:color w:val="auto"/>
                <w:sz w:val="21"/>
                <w:szCs w:val="21"/>
                <w:highlight w:val="none"/>
                <w:vertAlign w:val="baseline"/>
              </w:rPr>
            </w:pPr>
          </w:p>
        </w:tc>
        <w:tc>
          <w:tcPr>
            <w:tcW w:w="1125" w:type="dxa"/>
            <w:vAlign w:val="center"/>
          </w:tcPr>
          <w:p w14:paraId="54CBD8B1">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rightChars="0" w:firstLine="0" w:firstLineChars="0"/>
              <w:jc w:val="center"/>
              <w:textAlignment w:val="auto"/>
              <w:rPr>
                <w:rFonts w:hint="eastAsia" w:ascii="仿宋" w:hAnsi="仿宋" w:eastAsia="仿宋" w:cs="仿宋"/>
                <w:color w:val="auto"/>
                <w:sz w:val="21"/>
                <w:szCs w:val="21"/>
                <w:highlight w:val="none"/>
                <w:vertAlign w:val="baseline"/>
              </w:rPr>
            </w:pPr>
            <w:r>
              <w:rPr>
                <w:rFonts w:hint="eastAsia" w:ascii="仿宋" w:hAnsi="仿宋" w:eastAsia="仿宋" w:cs="仿宋"/>
                <w:color w:val="auto"/>
                <w:kern w:val="2"/>
                <w:sz w:val="21"/>
                <w:szCs w:val="21"/>
                <w:highlight w:val="none"/>
                <w:lang w:val="en-US" w:eastAsia="zh-CN" w:bidi="ar-SA"/>
              </w:rPr>
              <w:t>施工进度计划和各阶段进度的保证措施</w:t>
            </w:r>
          </w:p>
        </w:tc>
        <w:tc>
          <w:tcPr>
            <w:tcW w:w="750" w:type="dxa"/>
            <w:vAlign w:val="center"/>
          </w:tcPr>
          <w:p w14:paraId="3B44F248">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rightChars="0" w:firstLine="0" w:firstLineChars="0"/>
              <w:jc w:val="center"/>
              <w:textAlignment w:val="auto"/>
              <w:rPr>
                <w:rFonts w:hint="eastAsia" w:ascii="仿宋" w:hAnsi="仿宋" w:eastAsia="仿宋" w:cs="仿宋"/>
                <w:color w:val="auto"/>
                <w:sz w:val="21"/>
                <w:szCs w:val="21"/>
                <w:highlight w:val="none"/>
                <w:vertAlign w:val="baseline"/>
              </w:rPr>
            </w:pPr>
            <w:r>
              <w:rPr>
                <w:rFonts w:hint="eastAsia" w:ascii="仿宋" w:hAnsi="仿宋" w:eastAsia="仿宋" w:cs="仿宋"/>
                <w:color w:val="auto"/>
                <w:kern w:val="2"/>
                <w:sz w:val="21"/>
                <w:szCs w:val="21"/>
                <w:highlight w:val="none"/>
                <w:lang w:val="en-US" w:eastAsia="zh-CN" w:bidi="ar-SA"/>
              </w:rPr>
              <w:t>5分</w:t>
            </w:r>
          </w:p>
        </w:tc>
        <w:tc>
          <w:tcPr>
            <w:tcW w:w="7060" w:type="dxa"/>
            <w:vAlign w:val="center"/>
          </w:tcPr>
          <w:p w14:paraId="415B1AA1">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firstLine="0" w:firstLineChars="0"/>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有施工进度计划及工期保证措施、施工总进度计划符合磋商文件规定的工期要求，根据以上进行横向对比，进行综合评审：</w:t>
            </w:r>
          </w:p>
          <w:p w14:paraId="76E504C9">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firstLine="0" w:firstLineChars="0"/>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关键线路清晰、准确、完整，计划编制合理、可行，关键节点的控制措施有力、合理、可行，进度违约责任承诺具体，保证措施符合相关管理规定，针对性强，得4（不含）-5（含）分；</w:t>
            </w:r>
          </w:p>
          <w:p w14:paraId="7E00C760">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firstLine="0" w:firstLineChars="0"/>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关键线路清晰、准确、完整，计划编制可行，关键节点的控制措施合理、可行，进度违约责任承诺具体，保证措施符合相关管理规定，针对性较强，得2（不含）-4（含）分；</w:t>
            </w:r>
          </w:p>
          <w:p w14:paraId="2B6484A4">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firstLine="0" w:firstLineChars="0"/>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关键线路不准确，计划编制不合理，关键节点的控制不可行，没有违约责任承诺，保证措施符合相关管理规定，针对性差，得0（不含）-2（含）分。</w:t>
            </w:r>
          </w:p>
          <w:p w14:paraId="5E04474B">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rightChars="0" w:firstLine="0" w:firstLineChars="0"/>
              <w:jc w:val="both"/>
              <w:textAlignment w:val="auto"/>
              <w:rPr>
                <w:rFonts w:hint="eastAsia" w:ascii="仿宋" w:hAnsi="仿宋" w:eastAsia="仿宋" w:cs="仿宋"/>
                <w:sz w:val="21"/>
                <w:szCs w:val="21"/>
                <w:highlight w:val="none"/>
              </w:rPr>
            </w:pPr>
            <w:r>
              <w:rPr>
                <w:rFonts w:hint="eastAsia" w:ascii="仿宋" w:hAnsi="仿宋" w:eastAsia="仿宋" w:cs="仿宋"/>
                <w:color w:val="auto"/>
                <w:kern w:val="2"/>
                <w:sz w:val="21"/>
                <w:szCs w:val="21"/>
                <w:highlight w:val="none"/>
                <w:lang w:val="en-US" w:eastAsia="zh-CN" w:bidi="ar-SA"/>
              </w:rPr>
              <w:t>不提供不得分。</w:t>
            </w:r>
          </w:p>
        </w:tc>
      </w:tr>
      <w:tr w14:paraId="6461D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vMerge w:val="continue"/>
          </w:tcPr>
          <w:p w14:paraId="78D85022">
            <w:pPr>
              <w:keepNext w:val="0"/>
              <w:keepLines w:val="0"/>
              <w:pageBreakBefore w:val="0"/>
              <w:numPr>
                <w:ilvl w:val="0"/>
                <w:numId w:val="0"/>
              </w:numPr>
              <w:kinsoku/>
              <w:wordWrap/>
              <w:overflowPunct/>
              <w:topLinePunct w:val="0"/>
              <w:bidi w:val="0"/>
              <w:adjustRightInd/>
              <w:snapToGrid/>
              <w:textAlignment w:val="auto"/>
              <w:rPr>
                <w:rFonts w:hint="eastAsia" w:ascii="仿宋" w:hAnsi="仿宋" w:eastAsia="仿宋" w:cs="仿宋"/>
                <w:color w:val="auto"/>
                <w:sz w:val="21"/>
                <w:szCs w:val="21"/>
                <w:highlight w:val="none"/>
                <w:vertAlign w:val="baseline"/>
              </w:rPr>
            </w:pPr>
          </w:p>
        </w:tc>
        <w:tc>
          <w:tcPr>
            <w:tcW w:w="1125" w:type="dxa"/>
            <w:vAlign w:val="center"/>
          </w:tcPr>
          <w:p w14:paraId="1BC892BF">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rightChars="0" w:firstLine="0" w:firstLineChars="0"/>
              <w:jc w:val="center"/>
              <w:textAlignment w:val="auto"/>
              <w:rPr>
                <w:rFonts w:hint="eastAsia" w:ascii="仿宋" w:hAnsi="仿宋" w:eastAsia="仿宋" w:cs="仿宋"/>
                <w:color w:val="auto"/>
                <w:sz w:val="21"/>
                <w:szCs w:val="21"/>
                <w:highlight w:val="none"/>
                <w:vertAlign w:val="baseline"/>
              </w:rPr>
            </w:pPr>
            <w:r>
              <w:rPr>
                <w:rFonts w:hint="eastAsia" w:ascii="仿宋" w:hAnsi="仿宋" w:eastAsia="仿宋" w:cs="仿宋"/>
                <w:color w:val="auto"/>
                <w:kern w:val="2"/>
                <w:sz w:val="21"/>
                <w:szCs w:val="21"/>
                <w:highlight w:val="none"/>
                <w:lang w:val="en-US" w:eastAsia="zh-CN" w:bidi="ar-SA"/>
              </w:rPr>
              <w:t>关键施工技术及重难点分析</w:t>
            </w:r>
          </w:p>
        </w:tc>
        <w:tc>
          <w:tcPr>
            <w:tcW w:w="750" w:type="dxa"/>
            <w:vAlign w:val="center"/>
          </w:tcPr>
          <w:p w14:paraId="634C3DCE">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rightChars="0" w:firstLine="0" w:firstLineChars="0"/>
              <w:jc w:val="center"/>
              <w:textAlignment w:val="auto"/>
              <w:rPr>
                <w:rFonts w:hint="eastAsia" w:ascii="仿宋" w:hAnsi="仿宋" w:eastAsia="仿宋" w:cs="仿宋"/>
                <w:color w:val="auto"/>
                <w:sz w:val="21"/>
                <w:szCs w:val="21"/>
                <w:highlight w:val="none"/>
                <w:vertAlign w:val="baseline"/>
              </w:rPr>
            </w:pPr>
            <w:r>
              <w:rPr>
                <w:rFonts w:hint="eastAsia" w:ascii="仿宋" w:hAnsi="仿宋" w:eastAsia="仿宋" w:cs="仿宋"/>
                <w:color w:val="auto"/>
                <w:kern w:val="2"/>
                <w:sz w:val="21"/>
                <w:szCs w:val="21"/>
                <w:highlight w:val="none"/>
                <w:lang w:val="en-US" w:eastAsia="zh-CN" w:bidi="ar-SA"/>
              </w:rPr>
              <w:t>5分</w:t>
            </w:r>
          </w:p>
        </w:tc>
        <w:tc>
          <w:tcPr>
            <w:tcW w:w="7060" w:type="dxa"/>
            <w:vAlign w:val="center"/>
          </w:tcPr>
          <w:p w14:paraId="18B5BBB7">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firstLine="0" w:firstLineChars="0"/>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针对项目实际,对关键施工技术、工艺及工程项目实施的重点、难点分析，进行横向对比，进行综合评审：</w:t>
            </w:r>
          </w:p>
          <w:p w14:paraId="390DFEA6">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firstLine="0" w:firstLineChars="0"/>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方案安全、经济、切实、可行、措施得力，重点、难点分析突出的，得4（不含）-5（含）分；</w:t>
            </w:r>
          </w:p>
          <w:p w14:paraId="576C813D">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firstLine="0" w:firstLineChars="0"/>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方案较安全、经济、切实、可行性一般、措施较得力，重点、难点分析基本到位的，得2（不含）-4（含）分；</w:t>
            </w:r>
          </w:p>
          <w:p w14:paraId="28228A11">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firstLine="0" w:firstLineChars="0"/>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方案可行性差、措施不到位，重点、难点分析差得，得0（不含）-2（含）分。</w:t>
            </w:r>
          </w:p>
          <w:p w14:paraId="7941A370">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rightChars="0" w:firstLine="0" w:firstLineChars="0"/>
              <w:jc w:val="both"/>
              <w:textAlignment w:val="auto"/>
              <w:rPr>
                <w:rFonts w:hint="eastAsia" w:ascii="仿宋" w:hAnsi="仿宋" w:eastAsia="仿宋" w:cs="仿宋"/>
                <w:sz w:val="21"/>
                <w:szCs w:val="21"/>
                <w:highlight w:val="none"/>
              </w:rPr>
            </w:pPr>
            <w:r>
              <w:rPr>
                <w:rFonts w:hint="eastAsia" w:ascii="仿宋" w:hAnsi="仿宋" w:eastAsia="仿宋" w:cs="仿宋"/>
                <w:color w:val="auto"/>
                <w:kern w:val="2"/>
                <w:sz w:val="21"/>
                <w:szCs w:val="21"/>
                <w:highlight w:val="none"/>
                <w:lang w:val="en-US" w:eastAsia="zh-CN" w:bidi="ar-SA"/>
              </w:rPr>
              <w:t>不提供不得分。</w:t>
            </w:r>
          </w:p>
        </w:tc>
      </w:tr>
      <w:tr w14:paraId="15A3B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vMerge w:val="continue"/>
          </w:tcPr>
          <w:p w14:paraId="70CDAC74">
            <w:pPr>
              <w:keepNext w:val="0"/>
              <w:keepLines w:val="0"/>
              <w:pageBreakBefore w:val="0"/>
              <w:numPr>
                <w:ilvl w:val="0"/>
                <w:numId w:val="0"/>
              </w:numPr>
              <w:kinsoku/>
              <w:wordWrap/>
              <w:overflowPunct/>
              <w:topLinePunct w:val="0"/>
              <w:bidi w:val="0"/>
              <w:adjustRightInd/>
              <w:snapToGrid/>
              <w:textAlignment w:val="auto"/>
              <w:rPr>
                <w:rFonts w:hint="eastAsia" w:ascii="仿宋" w:hAnsi="仿宋" w:eastAsia="仿宋" w:cs="仿宋"/>
                <w:color w:val="auto"/>
                <w:sz w:val="21"/>
                <w:szCs w:val="21"/>
                <w:highlight w:val="none"/>
                <w:vertAlign w:val="baseline"/>
              </w:rPr>
            </w:pPr>
          </w:p>
        </w:tc>
        <w:tc>
          <w:tcPr>
            <w:tcW w:w="1125" w:type="dxa"/>
            <w:vAlign w:val="center"/>
          </w:tcPr>
          <w:p w14:paraId="06D43FB2">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rightChars="0" w:firstLine="0" w:firstLine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安全管理体系与措施</w:t>
            </w:r>
          </w:p>
        </w:tc>
        <w:tc>
          <w:tcPr>
            <w:tcW w:w="750" w:type="dxa"/>
            <w:vAlign w:val="center"/>
          </w:tcPr>
          <w:p w14:paraId="18CAD636">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rightChars="0" w:firstLine="0" w:firstLine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5分</w:t>
            </w:r>
          </w:p>
        </w:tc>
        <w:tc>
          <w:tcPr>
            <w:tcW w:w="7060" w:type="dxa"/>
            <w:vAlign w:val="center"/>
          </w:tcPr>
          <w:p w14:paraId="316C4A3D">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firstLine="0" w:firstLineChars="0"/>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根据供应商提供的本项目安全控制措施进行评审，包括且不限于：①安全生产管理目标；②安全管理体系；③安全综合保证措施；④安全的各项保证措施和安全应急救援预案；⑤安全教育和管理等：</w:t>
            </w:r>
          </w:p>
          <w:p w14:paraId="017EB498">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firstLine="0" w:firstLineChars="0"/>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安全管理体系与措施内容合理性、针对性强得4（不含）-5（含）分；</w:t>
            </w:r>
          </w:p>
          <w:p w14:paraId="487B049E">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firstLine="0" w:firstLineChars="0"/>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安全管理体系与措施合理性、针对性一般得2（不含）-4（含）分；</w:t>
            </w:r>
          </w:p>
          <w:p w14:paraId="07D6F36B">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firstLine="0" w:firstLineChars="0"/>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安全管理体系与措施合理性、针对性差得0（不含）-2（含）分。</w:t>
            </w:r>
          </w:p>
          <w:p w14:paraId="4B6060E0">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rightChars="0" w:firstLine="0" w:firstLineChars="0"/>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未提供得0分。</w:t>
            </w:r>
          </w:p>
        </w:tc>
      </w:tr>
      <w:tr w14:paraId="04498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vMerge w:val="continue"/>
          </w:tcPr>
          <w:p w14:paraId="0568D032">
            <w:pPr>
              <w:keepNext w:val="0"/>
              <w:keepLines w:val="0"/>
              <w:pageBreakBefore w:val="0"/>
              <w:numPr>
                <w:ilvl w:val="0"/>
                <w:numId w:val="0"/>
              </w:numPr>
              <w:kinsoku/>
              <w:wordWrap/>
              <w:overflowPunct/>
              <w:topLinePunct w:val="0"/>
              <w:bidi w:val="0"/>
              <w:adjustRightInd/>
              <w:snapToGrid/>
              <w:textAlignment w:val="auto"/>
              <w:rPr>
                <w:rFonts w:hint="eastAsia" w:ascii="仿宋" w:hAnsi="仿宋" w:eastAsia="仿宋" w:cs="仿宋"/>
                <w:color w:val="auto"/>
                <w:sz w:val="21"/>
                <w:szCs w:val="21"/>
                <w:highlight w:val="none"/>
                <w:vertAlign w:val="baseline"/>
              </w:rPr>
            </w:pPr>
          </w:p>
        </w:tc>
        <w:tc>
          <w:tcPr>
            <w:tcW w:w="1125" w:type="dxa"/>
            <w:shd w:val="clear" w:color="auto" w:fill="auto"/>
            <w:vAlign w:val="center"/>
          </w:tcPr>
          <w:p w14:paraId="712ED82D">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rightChars="0" w:firstLine="0" w:firstLine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质量保证</w:t>
            </w:r>
          </w:p>
        </w:tc>
        <w:tc>
          <w:tcPr>
            <w:tcW w:w="750" w:type="dxa"/>
            <w:shd w:val="clear" w:color="auto" w:fill="auto"/>
            <w:vAlign w:val="center"/>
          </w:tcPr>
          <w:p w14:paraId="70F1AA4A">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rightChars="0" w:firstLine="0" w:firstLine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5分</w:t>
            </w:r>
          </w:p>
        </w:tc>
        <w:tc>
          <w:tcPr>
            <w:tcW w:w="7060" w:type="dxa"/>
            <w:shd w:val="clear" w:color="auto" w:fill="auto"/>
            <w:vAlign w:val="center"/>
          </w:tcPr>
          <w:p w14:paraId="5792A4DC">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firstLine="0" w:firstLineChars="0"/>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针对项目实际情况，提供质量控制管理目标及保证措施，包括施工技术措施、安全措施及质量控制；技术交底，材料检验，工程质量检查和验收等技术管理制度；根据以上进行横向对比，进行综合评审：</w:t>
            </w:r>
          </w:p>
          <w:p w14:paraId="08799EC9">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firstLine="0" w:firstLineChars="0"/>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针对项目实际提出先进、可行、具体的保证措施，质保期限超过磋商文件的质量要求及施工验收规范要求，得4（不含）-5（含）分；</w:t>
            </w:r>
          </w:p>
          <w:p w14:paraId="3CB0CC80">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firstLine="0" w:firstLineChars="0"/>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针对项目实际提出先进、可行、具体的保证措施，质保期限满足磋商文件的质量要求，得2（不含）-4（含）分；</w:t>
            </w:r>
          </w:p>
          <w:p w14:paraId="51CB735A">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firstLine="0" w:firstLineChars="0"/>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措施不可行，没有质量违约责任承诺，得0（不含）-2（含）分。</w:t>
            </w:r>
          </w:p>
          <w:p w14:paraId="37BD2ACF">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rightChars="0" w:firstLine="0" w:firstLineChars="0"/>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不提供不得分。</w:t>
            </w:r>
          </w:p>
        </w:tc>
      </w:tr>
      <w:tr w14:paraId="2D795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trPr>
        <w:tc>
          <w:tcPr>
            <w:tcW w:w="1054" w:type="dxa"/>
            <w:vMerge w:val="continue"/>
          </w:tcPr>
          <w:p w14:paraId="5BD66AF3">
            <w:pPr>
              <w:keepNext w:val="0"/>
              <w:keepLines w:val="0"/>
              <w:pageBreakBefore w:val="0"/>
              <w:numPr>
                <w:ilvl w:val="0"/>
                <w:numId w:val="0"/>
              </w:numPr>
              <w:kinsoku/>
              <w:wordWrap/>
              <w:overflowPunct/>
              <w:topLinePunct w:val="0"/>
              <w:bidi w:val="0"/>
              <w:adjustRightInd/>
              <w:snapToGrid/>
              <w:textAlignment w:val="auto"/>
              <w:rPr>
                <w:rFonts w:hint="eastAsia" w:ascii="仿宋" w:hAnsi="仿宋" w:eastAsia="仿宋" w:cs="仿宋"/>
                <w:color w:val="auto"/>
                <w:sz w:val="21"/>
                <w:szCs w:val="21"/>
                <w:highlight w:val="none"/>
                <w:vertAlign w:val="baseline"/>
              </w:rPr>
            </w:pPr>
          </w:p>
        </w:tc>
        <w:tc>
          <w:tcPr>
            <w:tcW w:w="1125" w:type="dxa"/>
            <w:shd w:val="clear" w:color="auto" w:fill="auto"/>
            <w:vAlign w:val="center"/>
          </w:tcPr>
          <w:p w14:paraId="3923435E">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rightChars="0" w:firstLine="0" w:firstLine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服务承诺</w:t>
            </w:r>
          </w:p>
        </w:tc>
        <w:tc>
          <w:tcPr>
            <w:tcW w:w="750" w:type="dxa"/>
            <w:shd w:val="clear" w:color="auto" w:fill="auto"/>
            <w:vAlign w:val="center"/>
          </w:tcPr>
          <w:p w14:paraId="1BF40D7F">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rightChars="0" w:firstLine="0" w:firstLine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5分</w:t>
            </w:r>
          </w:p>
        </w:tc>
        <w:tc>
          <w:tcPr>
            <w:tcW w:w="7060" w:type="dxa"/>
            <w:shd w:val="clear" w:color="auto" w:fill="auto"/>
            <w:vAlign w:val="center"/>
          </w:tcPr>
          <w:p w14:paraId="3F0B116D">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rightChars="0" w:firstLine="0" w:firstLineChars="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（1）承诺项目施工过程中发生任何安全问题与采购人无关，由供应商自行承担。提供承诺得1分，不提供或提供不全的不得分。</w:t>
            </w:r>
          </w:p>
          <w:p w14:paraId="0FD6F96F">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rightChars="0" w:firstLine="0" w:firstLineChars="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2）承诺装修装饰的材料、构配件和设备应当符合设计要求、产品质量、节能和有害物质限量及燃烧性能控制标准，禁止使用质量不合格、国家明令淘汰或者不符合环境污染控制、节能等相关标准的材料及设备。提供承诺得1分，不提供或提供不全的不得分。</w:t>
            </w:r>
          </w:p>
          <w:p w14:paraId="5161B187">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rightChars="0" w:firstLine="0" w:firstLineChars="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（3）项目团队人员须保持稳定，未经采购人同意不得擅自更换；确需更换的，须提前7个工作日书面报备，更换人员资质、经验不低于原人员，且不影响项目进度。提供承诺得1分，不提供或提供不全的不得分。</w:t>
            </w:r>
          </w:p>
          <w:p w14:paraId="6B66F484">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rightChars="0" w:firstLine="0" w:firstLineChars="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（4)施工过程中产生的垃圾、废料须按采购人要求及时清理，做到工完场清，不得影响采购人的正常办公或经营秩序。提供承诺得1分，不提供或提供不全的不得分。</w:t>
            </w:r>
          </w:p>
          <w:p w14:paraId="12FF9A57">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leftChars="0" w:right="0" w:rightChars="0" w:firstLine="0" w:firstLineChars="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(5)供应商须对施工过程中接触到的采购人涉密信息、场地信息承担保密义务，不得向第三方泄露。提供承诺得1分，不提供或提供不全的不得分。</w:t>
            </w:r>
          </w:p>
        </w:tc>
      </w:tr>
    </w:tbl>
    <w:p w14:paraId="4BA75208">
      <w:pPr>
        <w:numPr>
          <w:ilvl w:val="0"/>
          <w:numId w:val="0"/>
        </w:numPr>
        <w:rPr>
          <w:rFonts w:hint="eastAsia"/>
          <w:highlight w:val="none"/>
        </w:rPr>
      </w:pPr>
    </w:p>
    <w:p w14:paraId="0E3DC335">
      <w:pPr>
        <w:pStyle w:val="112"/>
        <w:tabs>
          <w:tab w:val="left" w:pos="0"/>
        </w:tabs>
        <w:adjustRightInd w:val="0"/>
        <w:snapToGrid w:val="0"/>
        <w:spacing w:line="360" w:lineRule="auto"/>
        <w:ind w:firstLine="480"/>
        <w:rPr>
          <w:rFonts w:ascii="仿宋" w:hAnsi="仿宋" w:eastAsia="仿宋" w:cs="仿宋"/>
          <w:color w:val="auto"/>
          <w:sz w:val="24"/>
          <w:szCs w:val="24"/>
          <w:highlight w:val="none"/>
        </w:rPr>
      </w:pPr>
    </w:p>
    <w:p w14:paraId="7F1037B2">
      <w:pPr>
        <w:rPr>
          <w:rFonts w:ascii="仿宋" w:hAnsi="仿宋" w:eastAsia="仿宋" w:cs="仿宋"/>
          <w:color w:val="auto"/>
          <w:sz w:val="24"/>
          <w:szCs w:val="24"/>
          <w:highlight w:val="none"/>
        </w:rPr>
      </w:pPr>
      <w:r>
        <w:rPr>
          <w:rFonts w:ascii="仿宋" w:hAnsi="仿宋" w:eastAsia="仿宋" w:cs="仿宋"/>
          <w:color w:val="auto"/>
          <w:sz w:val="24"/>
          <w:szCs w:val="24"/>
          <w:highlight w:val="none"/>
        </w:rPr>
        <w:br w:type="page"/>
      </w:r>
    </w:p>
    <w:p w14:paraId="35DC1ABB">
      <w:pPr>
        <w:pStyle w:val="2"/>
        <w:numPr>
          <w:ilvl w:val="0"/>
          <w:numId w:val="5"/>
        </w:numPr>
        <w:spacing w:before="0" w:after="0"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 </w:t>
      </w:r>
      <w:bookmarkStart w:id="137" w:name="_Toc15685"/>
      <w:r>
        <w:rPr>
          <w:rFonts w:hint="eastAsia" w:ascii="仿宋" w:hAnsi="仿宋" w:eastAsia="仿宋" w:cs="仿宋"/>
          <w:color w:val="auto"/>
          <w:sz w:val="28"/>
          <w:szCs w:val="28"/>
          <w:highlight w:val="none"/>
        </w:rPr>
        <w:t>合同条款</w:t>
      </w:r>
      <w:bookmarkEnd w:id="137"/>
    </w:p>
    <w:bookmarkEnd w:id="120"/>
    <w:bookmarkEnd w:id="121"/>
    <w:p w14:paraId="1E386AB0">
      <w:pPr>
        <w:ind w:firstLine="422" w:firstLineChars="200"/>
        <w:jc w:val="left"/>
        <w:rPr>
          <w:rFonts w:hint="eastAsia" w:ascii="仿宋" w:hAnsi="仿宋" w:eastAsia="仿宋" w:cs="仿宋"/>
          <w:color w:val="auto"/>
          <w:sz w:val="28"/>
          <w:szCs w:val="28"/>
          <w:highlight w:val="none"/>
        </w:rPr>
      </w:pPr>
      <w:bookmarkStart w:id="138" w:name="_Toc28349"/>
      <w:bookmarkStart w:id="139" w:name="_Toc24217"/>
      <w:bookmarkStart w:id="140" w:name="_Toc16424"/>
      <w:bookmarkStart w:id="141" w:name="_Toc24143"/>
      <w:bookmarkStart w:id="142" w:name="_Toc444891347"/>
      <w:bookmarkStart w:id="143" w:name="_Toc517281828"/>
      <w:r>
        <w:rPr>
          <w:rFonts w:hint="eastAsia" w:ascii="仿宋" w:hAnsi="仿宋" w:eastAsia="仿宋" w:cs="仿宋"/>
          <w:b/>
          <w:bCs/>
          <w:color w:val="auto"/>
          <w:kern w:val="2"/>
          <w:sz w:val="21"/>
          <w:szCs w:val="21"/>
          <w:highlight w:val="none"/>
          <w:lang w:val="en-US" w:eastAsia="zh-CN" w:bidi="ar-SA"/>
        </w:rPr>
        <w:t>详见附件</w:t>
      </w:r>
      <w:r>
        <w:rPr>
          <w:rFonts w:hint="eastAsia" w:ascii="仿宋" w:hAnsi="仿宋" w:eastAsia="仿宋" w:cs="仿宋"/>
          <w:color w:val="auto"/>
          <w:sz w:val="28"/>
          <w:szCs w:val="28"/>
          <w:highlight w:val="none"/>
        </w:rPr>
        <w:br w:type="page"/>
      </w:r>
    </w:p>
    <w:p w14:paraId="6C31EC98">
      <w:pPr>
        <w:pStyle w:val="2"/>
        <w:spacing w:before="0" w:after="0" w:line="360" w:lineRule="auto"/>
        <w:jc w:val="center"/>
        <w:rPr>
          <w:rFonts w:hint="eastAsia" w:ascii="仿宋" w:hAnsi="仿宋" w:eastAsia="仿宋" w:cs="仿宋"/>
          <w:color w:val="auto"/>
          <w:highlight w:val="none"/>
        </w:rPr>
      </w:pPr>
      <w:bookmarkStart w:id="144" w:name="_Toc1199"/>
      <w:r>
        <w:rPr>
          <w:rFonts w:hint="eastAsia" w:ascii="仿宋" w:hAnsi="仿宋" w:eastAsia="仿宋" w:cs="仿宋"/>
          <w:color w:val="auto"/>
          <w:sz w:val="28"/>
          <w:szCs w:val="28"/>
          <w:highlight w:val="none"/>
        </w:rPr>
        <w:t xml:space="preserve">第五章 </w:t>
      </w:r>
      <w:bookmarkEnd w:id="138"/>
      <w:bookmarkEnd w:id="139"/>
      <w:bookmarkEnd w:id="140"/>
      <w:bookmarkEnd w:id="141"/>
      <w:bookmarkEnd w:id="142"/>
      <w:r>
        <w:rPr>
          <w:rFonts w:hint="eastAsia" w:ascii="仿宋" w:hAnsi="仿宋" w:eastAsia="仿宋" w:cs="仿宋"/>
          <w:color w:val="auto"/>
          <w:sz w:val="28"/>
          <w:szCs w:val="28"/>
          <w:highlight w:val="none"/>
        </w:rPr>
        <w:t>采购需求</w:t>
      </w:r>
      <w:bookmarkEnd w:id="143"/>
      <w:bookmarkEnd w:id="144"/>
    </w:p>
    <w:p w14:paraId="1F92FB2F">
      <w:pPr>
        <w:keepNext w:val="0"/>
        <w:keepLines w:val="0"/>
        <w:pageBreakBefore w:val="0"/>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val="0"/>
          <w:color w:val="auto"/>
          <w:sz w:val="24"/>
          <w:szCs w:val="24"/>
          <w:highlight w:val="none"/>
        </w:rPr>
      </w:pPr>
      <w:bookmarkStart w:id="145" w:name="_Toc10693"/>
      <w:bookmarkStart w:id="146" w:name="_Toc517281835"/>
      <w:bookmarkStart w:id="147" w:name="_Toc444891352"/>
      <w:bookmarkStart w:id="148" w:name="_Toc287600128"/>
      <w:bookmarkStart w:id="149" w:name="_Toc11206"/>
      <w:bookmarkStart w:id="150" w:name="_Toc17141"/>
      <w:bookmarkStart w:id="151" w:name="_Toc21125"/>
      <w:r>
        <w:rPr>
          <w:rFonts w:hint="eastAsia" w:ascii="仿宋" w:hAnsi="仿宋" w:eastAsia="仿宋" w:cs="仿宋"/>
          <w:b/>
          <w:bCs w:val="0"/>
          <w:color w:val="auto"/>
          <w:sz w:val="24"/>
          <w:szCs w:val="24"/>
          <w:highlight w:val="none"/>
        </w:rPr>
        <w:t>一、项目概况</w:t>
      </w:r>
    </w:p>
    <w:p w14:paraId="5E4F6FC4">
      <w:pPr>
        <w:keepNext w:val="0"/>
        <w:keepLines w:val="0"/>
        <w:pageBreakBefore w:val="0"/>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（一）采购背景</w:t>
      </w:r>
    </w:p>
    <w:p w14:paraId="6DFAD35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中国人民财产保险股份有限公司贺兰支公司新租赁营业用房位于贺兰县富兴北街月湖名邸西B区东侧，紧邻贺兰兰山公园与新茂市场，坐拥庞大客流，企业标识展示效果突出，曝光度高，是品牌宣传与形象展示的优质窗口。</w:t>
      </w:r>
    </w:p>
    <w:p w14:paraId="080B2CF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中国人民财产保险股份有限公司贺兰支公司于1982年12月恢复营业，截至目前已开办40余年，原职场贺兰县朔方南街19号经2025年地震后，墙面、屋顶出现多处裂缝，为保障人员安全，委托宁夏中测计量测试检验院(有限公司)依据《既有建筑鉴定与加固通用规范》GB 55021-2021及现行的其他相关规范标准，对办公楼进行安全性及抗震性能鉴定，经鉴定抗震设防类别为丙类建筑，且办公楼抗震横墙的最大间距、圈梁的布置等抗震措施不符合抗震鉴定要求。为确保工作正常开展及人员安全，贺兰支公司经理室经过前期的考察调研，与上级相关部门的沟通协调，拟对现职场进行迁址，并对新租赁房屋进行装修改造，总建筑面积913平方米。</w:t>
      </w:r>
    </w:p>
    <w:p w14:paraId="19C3EC9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建设工程项目质量要求按照国家《建筑工程施工质量验收统一标准》达到合格工程。项目总工期控制在50天以内，工程造价不超过控制价，不得发生质量、人身、财产安全事故，节能环保要达到当地政府要求。</w:t>
      </w:r>
    </w:p>
    <w:p w14:paraId="010920DE">
      <w:pPr>
        <w:keepNext w:val="0"/>
        <w:keepLines w:val="0"/>
        <w:pageBreakBefore w:val="0"/>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（二）采购需求</w:t>
      </w:r>
    </w:p>
    <w:p w14:paraId="08770469">
      <w:pPr>
        <w:keepNext w:val="0"/>
        <w:keepLines w:val="0"/>
        <w:pageBreakBefore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eastAsia="zh-CN"/>
        </w:rPr>
        <w:t>本项目拟选取1家供应商为</w:t>
      </w:r>
      <w:r>
        <w:rPr>
          <w:rFonts w:hint="eastAsia" w:ascii="仿宋" w:hAnsi="仿宋" w:eastAsia="仿宋" w:cs="仿宋"/>
          <w:color w:val="auto"/>
          <w:sz w:val="24"/>
          <w:szCs w:val="24"/>
          <w:highlight w:val="none"/>
          <w:u w:val="none"/>
          <w:lang w:val="en-US" w:eastAsia="zh-CN"/>
        </w:rPr>
        <w:t>贺兰支公司</w:t>
      </w:r>
      <w:r>
        <w:rPr>
          <w:rFonts w:hint="eastAsia" w:ascii="仿宋" w:hAnsi="仿宋" w:eastAsia="仿宋" w:cs="仿宋"/>
          <w:color w:val="auto"/>
          <w:sz w:val="24"/>
          <w:szCs w:val="24"/>
          <w:highlight w:val="none"/>
          <w:u w:val="none"/>
          <w:lang w:eastAsia="zh-CN"/>
        </w:rPr>
        <w:t>进行</w:t>
      </w:r>
      <w:r>
        <w:rPr>
          <w:rFonts w:hint="eastAsia" w:ascii="仿宋" w:hAnsi="仿宋" w:eastAsia="仿宋" w:cs="仿宋"/>
          <w:color w:val="auto"/>
          <w:sz w:val="24"/>
          <w:szCs w:val="24"/>
          <w:highlight w:val="none"/>
          <w:u w:val="none"/>
          <w:lang w:val="en-US" w:eastAsia="zh-CN"/>
        </w:rPr>
        <w:t>装修改造，</w:t>
      </w:r>
      <w:r>
        <w:rPr>
          <w:rFonts w:hint="eastAsia" w:ascii="仿宋" w:hAnsi="仿宋" w:eastAsia="仿宋" w:cs="仿宋"/>
          <w:color w:val="auto"/>
          <w:sz w:val="24"/>
          <w:szCs w:val="24"/>
          <w:highlight w:val="none"/>
          <w:u w:val="none"/>
          <w:lang w:eastAsia="zh-CN"/>
        </w:rPr>
        <w:t>主要内容包括</w:t>
      </w:r>
      <w:r>
        <w:rPr>
          <w:rFonts w:hint="eastAsia" w:ascii="仿宋" w:hAnsi="仿宋" w:eastAsia="仿宋" w:cs="仿宋"/>
          <w:color w:val="auto"/>
          <w:sz w:val="24"/>
          <w:szCs w:val="24"/>
          <w:highlight w:val="none"/>
          <w:u w:val="none"/>
          <w:lang w:val="en-US" w:eastAsia="zh-CN"/>
        </w:rPr>
        <w:t>强弱电改造、室内装饰和电气设备安装工程等施工工程，详见工程量清单。供应商须按国家及行业现行标准、规范、规程，完成本项目的全部施工、安装、调试、验收、质保及售后等工作，确保工程质量合格并通过相关主管部门验收。供应商按总价方式进行报价</w:t>
      </w:r>
      <w:r>
        <w:rPr>
          <w:rFonts w:hint="eastAsia" w:ascii="仿宋" w:hAnsi="仿宋" w:eastAsia="仿宋" w:cs="仿宋"/>
          <w:color w:val="auto"/>
          <w:sz w:val="24"/>
          <w:szCs w:val="24"/>
          <w:highlight w:val="none"/>
          <w:u w:val="none"/>
          <w:lang w:eastAsia="zh-CN"/>
        </w:rPr>
        <w:t>，服务要求详见（附件</w:t>
      </w:r>
      <w:r>
        <w:rPr>
          <w:rFonts w:hint="eastAsia" w:ascii="仿宋" w:hAnsi="仿宋" w:eastAsia="仿宋" w:cs="仿宋"/>
          <w:color w:val="auto"/>
          <w:sz w:val="24"/>
          <w:szCs w:val="24"/>
          <w:highlight w:val="none"/>
          <w:u w:val="none"/>
          <w:lang w:val="en-US" w:eastAsia="zh-CN"/>
        </w:rPr>
        <w:t>2：</w:t>
      </w:r>
      <w:r>
        <w:rPr>
          <w:rFonts w:hint="eastAsia" w:ascii="仿宋" w:hAnsi="仿宋" w:eastAsia="仿宋" w:cs="仿宋"/>
          <w:color w:val="auto"/>
          <w:sz w:val="24"/>
          <w:szCs w:val="24"/>
          <w:highlight w:val="none"/>
          <w:u w:val="none"/>
          <w:lang w:eastAsia="zh-CN"/>
        </w:rPr>
        <w:t>磋商文件）。</w:t>
      </w:r>
    </w:p>
    <w:p w14:paraId="6F0E31DA">
      <w:pPr>
        <w:keepNext w:val="0"/>
        <w:keepLines w:val="0"/>
        <w:pageBreakBefore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eastAsia="zh-CN"/>
        </w:rPr>
        <w:t>施工期限：自合同签订之日起</w:t>
      </w:r>
      <w:r>
        <w:rPr>
          <w:rFonts w:hint="eastAsia" w:ascii="仿宋" w:hAnsi="仿宋" w:eastAsia="仿宋" w:cs="仿宋"/>
          <w:color w:val="auto"/>
          <w:sz w:val="24"/>
          <w:szCs w:val="24"/>
          <w:highlight w:val="none"/>
          <w:u w:val="none"/>
          <w:lang w:val="en-US" w:eastAsia="zh-CN"/>
        </w:rPr>
        <w:t>50</w:t>
      </w:r>
      <w:r>
        <w:rPr>
          <w:rFonts w:hint="eastAsia" w:ascii="仿宋" w:hAnsi="仿宋" w:eastAsia="仿宋" w:cs="仿宋"/>
          <w:color w:val="auto"/>
          <w:sz w:val="24"/>
          <w:szCs w:val="24"/>
          <w:highlight w:val="none"/>
          <w:u w:val="none"/>
          <w:lang w:eastAsia="zh-CN"/>
        </w:rPr>
        <w:t>日历天。</w:t>
      </w:r>
    </w:p>
    <w:p w14:paraId="2253A1C1">
      <w:pPr>
        <w:keepNext w:val="0"/>
        <w:keepLines w:val="0"/>
        <w:pageBreakBefore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val="en-US" w:eastAsia="zh-CN"/>
        </w:rPr>
        <w:t>质保期：本项目分分项约定保修期限，自工程竣工验收合格之日起计算：防水防渗工程保修期5年，其余装修工程保修期2年</w:t>
      </w:r>
      <w:r>
        <w:rPr>
          <w:rFonts w:hint="eastAsia" w:ascii="仿宋" w:hAnsi="仿宋" w:eastAsia="仿宋" w:cs="仿宋"/>
          <w:color w:val="auto"/>
          <w:sz w:val="24"/>
          <w:szCs w:val="24"/>
          <w:highlight w:val="none"/>
          <w:u w:val="none"/>
          <w:lang w:eastAsia="zh-CN"/>
        </w:rPr>
        <w:t>。</w:t>
      </w:r>
    </w:p>
    <w:p w14:paraId="39898060">
      <w:pPr>
        <w:keepNext w:val="0"/>
        <w:keepLines w:val="0"/>
        <w:pageBreakBefore w:val="0"/>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二、施工内容与技术要求</w:t>
      </w:r>
    </w:p>
    <w:p w14:paraId="0C605BA4">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1、强弱电改造工程须严格按照施工图纸及国家《建筑电气工程施工质量验收规范》（GB 50303）等相关标准施工，线路敷设、开关插座安装、配电箱/柜安装等须符合安全用电规范，线路标识清晰、绝缘达标，确保用电安全稳定。</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xml:space="preserve">    施工过程中须做好成品保护，避免对原有建筑结构、管线造成破坏，隐蔽工程须提前通知采购人及监理单位验收，验收合格后方可进行下一道工序施工。</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xml:space="preserve">    2、室内装饰工程</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xml:space="preserve">    装饰材料须符合国家环保、质量标准，提供产品合格证明及环保检测报告，严禁使用不合格、有毒有害材料。</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xml:space="preserve">     施工工艺须满足《建筑装饰装修工程质量验收标准》（GB 50210）要求，墙面、地面、顶面等施工须平整牢固，无开裂、空鼓、脱落等质量缺陷，装饰效果须与采购人确认的设计方案一致。</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xml:space="preserve">    3、电气设备安装工程</w:t>
      </w:r>
    </w:p>
    <w:p w14:paraId="4AD06B9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电气设备（含灯具、开关、配电箱等）须为符合国家强制认证标准的合格产品，安装位置、高度、方式须符合设计及安全规范，接地、接零保护须可靠有效。</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xml:space="preserve">    设备安装完成后须进行通电测试、绝缘测试等调试工作，确保设备运行正常，无安全隐患，并向采购人提供完整的设备使用说明及维护手册。</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xml:space="preserve">    4、施工管理与工期要求</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xml:space="preserve">    供应商须制定详细的施工组织方案，明确施工进度计划、人员配置、安全保障措施，严格按采购人确认的工期完成全部施工内容，不得擅自延误工期。</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xml:space="preserve">    施工期间须遵守采购人的现场管理规定，做好安全文明施工，设置安全警示标识，落实防火、防盗、防触电等安全措施，承担施工过程中发生的一切安全责任及费用。</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xml:space="preserve">    施工过程中须接受采购人及监理单位的监督管理，对提出的整改要求须及时响应并完成整改，确保工程质量与进度符合要求。</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xml:space="preserve">    5、验收要求</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xml:space="preserve">    工程完工后，供应商须提交完整的竣工资料（含竣工图纸、验收记录、产品合格证等），配合采购人完成竣工验收，验收不合格的须按要求整改至合格为止。</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xml:space="preserve">    6、其他要求</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xml:space="preserve">    供应商须承诺项目负责人及主要施工人员具备相应的执业资格或岗位证书，不得擅自更换项目关键人员，如需更换须提前书面报采购人同意。施工过程中产生的垃圾、废料须按采购人要求及时清理，做到工完场清，不得影响采购人的正常办公或经营秩序。供应商须对施工过程中接触到的采购人涉密信息、场地信息承担保密义务，不得向第三方泄露。</w:t>
      </w:r>
    </w:p>
    <w:p w14:paraId="4EB56C2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5、验收标准：</w:t>
      </w:r>
    </w:p>
    <w:p w14:paraId="0950E414">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（1）所有装修工程必须符合国家相关法律法规、行业标准及合同约定。</w:t>
      </w:r>
    </w:p>
    <w:p w14:paraId="357B3FD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（2）装修工程必须确保建筑物的结构安全，消防设施完备，电气线路安全可靠。</w:t>
      </w:r>
    </w:p>
    <w:p w14:paraId="0572129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（3）装修后的营业用房应满足其预定的使用功能，布局合理，使用方便。</w:t>
      </w:r>
    </w:p>
    <w:p w14:paraId="08EC985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（4）装修效果应符合设计要求，色彩搭配和谐，整体美观大方。</w:t>
      </w:r>
    </w:p>
    <w:p w14:paraId="055419D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（5）墙面与地面：墙面应平整、无裂缝、无空鼓，涂料或壁纸粘贴牢固，无脱落、起翘现象；地面应平整、无空鼓，地砖或地板铺设整齐，缝隙均匀，颜色一致。</w:t>
      </w:r>
    </w:p>
    <w:p w14:paraId="182CBB8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（6）门窗与玻璃：门窗安装应牢固，开关灵活，密封性能良好，无漏风、漏水现象；玻璃应干净透明，无破损、无划痕，五金配件齐全、完好。</w:t>
      </w:r>
    </w:p>
    <w:p w14:paraId="6B55056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（7）水电工程：水电管道布局合理，无渗漏现象，开关、插座等电器设备安装位置正确，使用正常；照明设施安装到位，灯具工作正常，亮度满足使用要求。</w:t>
      </w:r>
    </w:p>
    <w:p w14:paraId="3CF695D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（8）吊顶与墙面装饰：吊顶应平整、无变形，接缝处严密，龙骨安装牢固。墙面装饰物安装牢固，无脱落、无损坏现象。</w:t>
      </w:r>
    </w:p>
    <w:p w14:paraId="39EAA1B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（9）防火与防潮：装修材料应符合防火要求，消防设施完备、有效；对于易受潮区域（如卫生间、厨房等），应采取有效的防潮措施。</w:t>
      </w:r>
    </w:p>
    <w:p w14:paraId="681FC3FB">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（10）环保与卫生：装修材料应符合环保要求，室内空气质量达标；营业用房内应保持整洁，无垃圾、无异味。</w:t>
      </w:r>
    </w:p>
    <w:p w14:paraId="4DAB889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（11）施工质量与细节：施工质量应精细，无明显瑕疵，如裂缝、色差等；细节处理应到位，如边角处理、收口处理等。</w:t>
      </w:r>
    </w:p>
    <w:p w14:paraId="2C941AA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（12）文档与资料：施工单位应提供完整的施工记录、质量检查报告等相关文档；验收时应核对施工图纸、材料清单等资料，确保与实际施工相符。</w:t>
      </w:r>
    </w:p>
    <w:p w14:paraId="47DF6E3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（13）预验收：施工单位完成装修工程后，进行自检，并邀请监理单位进行预验收。</w:t>
      </w:r>
    </w:p>
    <w:p w14:paraId="35A3BB6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（14）正式验收：建设单位组织设计单位、施工单位、监理单位等相关单位进行正式验收。</w:t>
      </w:r>
    </w:p>
    <w:p w14:paraId="095A13A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（15）整改与复验：对于验收中发现的问题，施工单位应及时整改，并申请复验。</w:t>
      </w:r>
    </w:p>
    <w:p w14:paraId="1D9B5DC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（16）验收合格：经整改后，若所有问题均得到妥善解决，且符合验收标准，则视为验收合格。</w:t>
      </w:r>
    </w:p>
    <w:p w14:paraId="6FE4E44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6、保修期：本项目分分项约定保修期限，自工程竣工验收合格之日起计算：防水防渗工程保修期5年，其余装修工程保修期2年。</w:t>
      </w:r>
    </w:p>
    <w:p w14:paraId="4234C81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7、缺陷责任期为2年，缺陷责任期仅为质保金扣留期限。保修期内供应商需按国家法规及合同约定履行免费维修义务，缺陷责任期届满后，甲方应按期全额返还质保金，工程剩余保修期内的维修责任不因此免除。</w:t>
      </w:r>
    </w:p>
    <w:p w14:paraId="4BD2D141">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8、技术要求：</w:t>
      </w:r>
    </w:p>
    <w:p w14:paraId="3F775CE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本工程为室内装修改造工程，施工须严格按照国家、地方现行建筑装饰装修工程施工质量验收规范、消防安全规范、电气安装规范及相关行业标准执行。</w:t>
      </w:r>
    </w:p>
    <w:p w14:paraId="6E0646C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所有施工工艺、材料规格、施工流程须满足安全、耐用、美观、环保、易维护的使用要求，整体工程质量达到合格及以上标准。</w:t>
      </w:r>
    </w:p>
    <w:p w14:paraId="4AA5989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施工前须对现场原有结构、水电、墙体、管线进行全面复核，严禁擅自改动承重结构、消防管线、主给排水管道、强弱电主干线路。</w:t>
      </w:r>
    </w:p>
    <w:p w14:paraId="76E5315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施工全过程做到文明施工、安全施工，做好成品保护、现场保洁、降噪防尘措施，完工做到工完场清。</w:t>
      </w:r>
    </w:p>
    <w:p w14:paraId="481DF2C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拆除前做好现场防护、围挡、成品保护，对保留墙面、地面、门窗、设备、管线采取遮盖、包裹、固定保护措施。</w:t>
      </w:r>
    </w:p>
    <w:p w14:paraId="53D7D1B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墙面基层处理干净，铲除浮皮、空鼓、油污、灰尘，孔洞、裂缝采用专用修补材料修补平整。</w:t>
      </w:r>
    </w:p>
    <w:p w14:paraId="248E29B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吊顶龙骨采用合格国标材料，吊杆、主龙骨、副龙骨排布规范、间距合规，安装牢固、平整、无松动变形。</w:t>
      </w:r>
    </w:p>
    <w:p w14:paraId="2DE69D9B">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门窗套、踢脚线、收口线条安装牢固、平整顺直，接缝严密、高低一致。</w:t>
      </w:r>
    </w:p>
    <w:p w14:paraId="0D6AEB7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电路布线规范，强弱电分离、横平竖直，管线固定牢固，严禁私拉乱接。</w:t>
      </w:r>
    </w:p>
    <w:p w14:paraId="702D80D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电线、线管、底盒、空开均采用国标合格产品，线径满足负载要求，杜绝非标、杂牌材料。</w:t>
      </w:r>
    </w:p>
    <w:p w14:paraId="6C9FAE6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所有进场材料必须为全新合格正品，符合国家环保、质量标准，提供合格证、检测报告，严禁三无产品、翻新材料、劣质材料。</w:t>
      </w:r>
    </w:p>
    <w:p w14:paraId="639BFEB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施工期间严格遵守安全生产规定，配备安全防护措施，杜绝高空坠落、触电、火灾等安全事故。</w:t>
      </w:r>
    </w:p>
    <w:p w14:paraId="0E11FDD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依据设计文件的要求，本工程项目的材料、设备、施工须达到下列现行中华人民共和国以及宁夏回族自治区或行业的相关工程建设标准、规范的要求(标准、规范有更新的，以最新版本为准)：</w:t>
      </w:r>
    </w:p>
    <w:p w14:paraId="1FCF950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《工程测量规范》（GB50026---</w:t>
      </w:r>
      <w:r>
        <w:rPr>
          <w:rFonts w:hint="eastAsia" w:ascii="仿宋" w:hAnsi="仿宋" w:eastAsia="仿宋" w:cs="仿宋"/>
          <w:color w:val="auto"/>
          <w:sz w:val="24"/>
          <w:szCs w:val="24"/>
          <w:highlight w:val="none"/>
          <w:lang w:val="en-US" w:eastAsia="zh-CN"/>
        </w:rPr>
        <w:t>2020</w:t>
      </w:r>
      <w:r>
        <w:rPr>
          <w:rFonts w:hint="default" w:ascii="仿宋" w:hAnsi="仿宋" w:eastAsia="仿宋" w:cs="仿宋"/>
          <w:color w:val="auto"/>
          <w:sz w:val="24"/>
          <w:szCs w:val="24"/>
          <w:highlight w:val="none"/>
          <w:lang w:val="en-US" w:eastAsia="zh-CN"/>
        </w:rPr>
        <w:t>）</w:t>
      </w:r>
    </w:p>
    <w:p w14:paraId="30D2425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《建筑地基处理技术规范》（JGJ79---2012）</w:t>
      </w:r>
    </w:p>
    <w:p w14:paraId="15E4DE9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《建筑桩基技术规范》（JGJ94---2008）</w:t>
      </w:r>
    </w:p>
    <w:p w14:paraId="347E3F4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《建筑地基基础工程施工质量验收规范》（GB50202---</w:t>
      </w:r>
      <w:r>
        <w:rPr>
          <w:rFonts w:hint="eastAsia" w:ascii="仿宋" w:hAnsi="仿宋" w:eastAsia="仿宋" w:cs="仿宋"/>
          <w:color w:val="auto"/>
          <w:sz w:val="24"/>
          <w:szCs w:val="24"/>
          <w:highlight w:val="none"/>
          <w:lang w:val="en-US" w:eastAsia="zh-CN"/>
        </w:rPr>
        <w:t>2018</w:t>
      </w:r>
      <w:r>
        <w:rPr>
          <w:rFonts w:hint="default" w:ascii="仿宋" w:hAnsi="仿宋" w:eastAsia="仿宋" w:cs="仿宋"/>
          <w:color w:val="auto"/>
          <w:sz w:val="24"/>
          <w:szCs w:val="24"/>
          <w:highlight w:val="none"/>
          <w:lang w:val="en-US" w:eastAsia="zh-CN"/>
        </w:rPr>
        <w:t>）</w:t>
      </w:r>
    </w:p>
    <w:p w14:paraId="7372764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《地下防水工程质量验收规范》（GB50208---2011）</w:t>
      </w:r>
    </w:p>
    <w:p w14:paraId="6F7FC27B">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《多</w:t>
      </w:r>
      <w:r>
        <w:rPr>
          <w:rFonts w:hint="eastAsia" w:ascii="仿宋" w:hAnsi="仿宋" w:eastAsia="仿宋" w:cs="仿宋"/>
          <w:color w:val="auto"/>
          <w:sz w:val="24"/>
          <w:szCs w:val="24"/>
          <w:highlight w:val="none"/>
          <w:lang w:val="en-US" w:eastAsia="zh-CN"/>
        </w:rPr>
        <w:t>孔</w:t>
      </w:r>
      <w:r>
        <w:rPr>
          <w:rFonts w:hint="default" w:ascii="仿宋" w:hAnsi="仿宋" w:eastAsia="仿宋" w:cs="仿宋"/>
          <w:color w:val="auto"/>
          <w:sz w:val="24"/>
          <w:szCs w:val="24"/>
          <w:highlight w:val="none"/>
          <w:lang w:val="en-US" w:eastAsia="zh-CN"/>
        </w:rPr>
        <w:t>砖砌体结构技术规范》（JGJ137---2001）</w:t>
      </w:r>
    </w:p>
    <w:p w14:paraId="0134BCCE">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《多</w:t>
      </w:r>
      <w:r>
        <w:rPr>
          <w:rFonts w:hint="eastAsia" w:ascii="仿宋" w:hAnsi="仿宋" w:eastAsia="仿宋" w:cs="仿宋"/>
          <w:color w:val="auto"/>
          <w:sz w:val="24"/>
          <w:szCs w:val="24"/>
          <w:highlight w:val="none"/>
          <w:lang w:val="en-US" w:eastAsia="zh-CN"/>
        </w:rPr>
        <w:t>孔</w:t>
      </w:r>
      <w:r>
        <w:rPr>
          <w:rFonts w:hint="default" w:ascii="仿宋" w:hAnsi="仿宋" w:eastAsia="仿宋" w:cs="仿宋"/>
          <w:color w:val="auto"/>
          <w:sz w:val="24"/>
          <w:szCs w:val="24"/>
          <w:highlight w:val="none"/>
          <w:lang w:val="en-US" w:eastAsia="zh-CN"/>
        </w:rPr>
        <w:t>砖（PK1 型）建筑抗震设计与施工规程》（JGJ68---90）</w:t>
      </w:r>
    </w:p>
    <w:p w14:paraId="1D182D1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《木结构工程施工质量验收规范》（GB50206---</w:t>
      </w:r>
      <w:r>
        <w:rPr>
          <w:rFonts w:hint="eastAsia" w:ascii="仿宋" w:hAnsi="仿宋" w:eastAsia="仿宋" w:cs="仿宋"/>
          <w:color w:val="auto"/>
          <w:sz w:val="24"/>
          <w:szCs w:val="24"/>
          <w:highlight w:val="none"/>
          <w:lang w:val="en-US" w:eastAsia="zh-CN"/>
        </w:rPr>
        <w:t>2012</w:t>
      </w:r>
      <w:r>
        <w:rPr>
          <w:rFonts w:hint="default" w:ascii="仿宋" w:hAnsi="仿宋" w:eastAsia="仿宋" w:cs="仿宋"/>
          <w:color w:val="auto"/>
          <w:sz w:val="24"/>
          <w:szCs w:val="24"/>
          <w:highlight w:val="none"/>
          <w:lang w:val="en-US" w:eastAsia="zh-CN"/>
        </w:rPr>
        <w:t>）</w:t>
      </w:r>
    </w:p>
    <w:p w14:paraId="79AB188B">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《混凝土结构工程施工质量验收规范》（GB50204---</w:t>
      </w:r>
      <w:r>
        <w:rPr>
          <w:rFonts w:hint="eastAsia" w:ascii="仿宋" w:hAnsi="仿宋" w:eastAsia="仿宋" w:cs="仿宋"/>
          <w:color w:val="auto"/>
          <w:sz w:val="24"/>
          <w:szCs w:val="24"/>
          <w:highlight w:val="none"/>
          <w:lang w:val="en-US" w:eastAsia="zh-CN"/>
        </w:rPr>
        <w:t>2015</w:t>
      </w:r>
      <w:r>
        <w:rPr>
          <w:rFonts w:hint="default" w:ascii="仿宋" w:hAnsi="仿宋" w:eastAsia="仿宋" w:cs="仿宋"/>
          <w:color w:val="auto"/>
          <w:sz w:val="24"/>
          <w:szCs w:val="24"/>
          <w:highlight w:val="none"/>
          <w:lang w:val="en-US" w:eastAsia="zh-CN"/>
        </w:rPr>
        <w:t>）</w:t>
      </w:r>
    </w:p>
    <w:p w14:paraId="130D429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《砌体工程施工质量验收规范》（GB50203---2002）</w:t>
      </w:r>
    </w:p>
    <w:p w14:paraId="29A9C7F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《屋面工程质量验收规范》（GB50207---</w:t>
      </w:r>
      <w:r>
        <w:rPr>
          <w:rFonts w:hint="eastAsia" w:ascii="仿宋" w:hAnsi="仿宋" w:eastAsia="仿宋" w:cs="仿宋"/>
          <w:color w:val="auto"/>
          <w:sz w:val="24"/>
          <w:szCs w:val="24"/>
          <w:highlight w:val="none"/>
          <w:lang w:val="en-US" w:eastAsia="zh-CN"/>
        </w:rPr>
        <w:t>2012</w:t>
      </w:r>
      <w:r>
        <w:rPr>
          <w:rFonts w:hint="default" w:ascii="仿宋" w:hAnsi="仿宋" w:eastAsia="仿宋" w:cs="仿宋"/>
          <w:color w:val="auto"/>
          <w:sz w:val="24"/>
          <w:szCs w:val="24"/>
          <w:highlight w:val="none"/>
          <w:lang w:val="en-US" w:eastAsia="zh-CN"/>
        </w:rPr>
        <w:t>）</w:t>
      </w:r>
    </w:p>
    <w:p w14:paraId="1D5D63DE">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《建筑地面工程施工质量验收规范》（GB50209---</w:t>
      </w:r>
      <w:r>
        <w:rPr>
          <w:rFonts w:hint="eastAsia" w:ascii="仿宋" w:hAnsi="仿宋" w:eastAsia="仿宋" w:cs="仿宋"/>
          <w:color w:val="auto"/>
          <w:sz w:val="24"/>
          <w:szCs w:val="24"/>
          <w:highlight w:val="none"/>
          <w:lang w:val="en-US" w:eastAsia="zh-CN"/>
        </w:rPr>
        <w:t>2010</w:t>
      </w:r>
      <w:r>
        <w:rPr>
          <w:rFonts w:hint="default" w:ascii="仿宋" w:hAnsi="仿宋" w:eastAsia="仿宋" w:cs="仿宋"/>
          <w:color w:val="auto"/>
          <w:sz w:val="24"/>
          <w:szCs w:val="24"/>
          <w:highlight w:val="none"/>
          <w:lang w:val="en-US" w:eastAsia="zh-CN"/>
        </w:rPr>
        <w:t>）</w:t>
      </w:r>
    </w:p>
    <w:p w14:paraId="5BA2529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《建筑装饰装修工程质量验收规范》（GB50210---</w:t>
      </w:r>
      <w:r>
        <w:rPr>
          <w:rFonts w:hint="eastAsia" w:ascii="仿宋" w:hAnsi="仿宋" w:eastAsia="仿宋" w:cs="仿宋"/>
          <w:color w:val="auto"/>
          <w:sz w:val="24"/>
          <w:szCs w:val="24"/>
          <w:highlight w:val="none"/>
          <w:lang w:val="en-US" w:eastAsia="zh-CN"/>
        </w:rPr>
        <w:t>2018</w:t>
      </w:r>
      <w:r>
        <w:rPr>
          <w:rFonts w:hint="default" w:ascii="仿宋" w:hAnsi="仿宋" w:eastAsia="仿宋" w:cs="仿宋"/>
          <w:color w:val="auto"/>
          <w:sz w:val="24"/>
          <w:szCs w:val="24"/>
          <w:highlight w:val="none"/>
          <w:lang w:val="en-US" w:eastAsia="zh-CN"/>
        </w:rPr>
        <w:t>）</w:t>
      </w:r>
    </w:p>
    <w:p w14:paraId="4249202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《建筑给水排水及采暖工程施工质量验收规范》（GB50242---2002）</w:t>
      </w:r>
    </w:p>
    <w:p w14:paraId="245ACF0B">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《通风与空调工程施工质量验收规范》（GB50243---</w:t>
      </w:r>
      <w:r>
        <w:rPr>
          <w:rFonts w:hint="eastAsia" w:ascii="仿宋" w:hAnsi="仿宋" w:eastAsia="仿宋" w:cs="仿宋"/>
          <w:color w:val="auto"/>
          <w:sz w:val="24"/>
          <w:szCs w:val="24"/>
          <w:highlight w:val="none"/>
          <w:lang w:val="en-US" w:eastAsia="zh-CN"/>
        </w:rPr>
        <w:t>2016</w:t>
      </w:r>
      <w:r>
        <w:rPr>
          <w:rFonts w:hint="default" w:ascii="仿宋" w:hAnsi="仿宋" w:eastAsia="仿宋" w:cs="仿宋"/>
          <w:color w:val="auto"/>
          <w:sz w:val="24"/>
          <w:szCs w:val="24"/>
          <w:highlight w:val="none"/>
          <w:lang w:val="en-US" w:eastAsia="zh-CN"/>
        </w:rPr>
        <w:t>）</w:t>
      </w:r>
    </w:p>
    <w:p w14:paraId="727E7EA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《建筑工程施工质量验收统一标准》（GB50300---</w:t>
      </w:r>
      <w:r>
        <w:rPr>
          <w:rFonts w:hint="eastAsia" w:ascii="仿宋" w:hAnsi="仿宋" w:eastAsia="仿宋" w:cs="仿宋"/>
          <w:color w:val="auto"/>
          <w:sz w:val="24"/>
          <w:szCs w:val="24"/>
          <w:highlight w:val="none"/>
          <w:lang w:val="en-US" w:eastAsia="zh-CN"/>
        </w:rPr>
        <w:t>2013</w:t>
      </w:r>
      <w:r>
        <w:rPr>
          <w:rFonts w:hint="default" w:ascii="仿宋" w:hAnsi="仿宋" w:eastAsia="仿宋" w:cs="仿宋"/>
          <w:color w:val="auto"/>
          <w:sz w:val="24"/>
          <w:szCs w:val="24"/>
          <w:highlight w:val="none"/>
          <w:lang w:val="en-US" w:eastAsia="zh-CN"/>
        </w:rPr>
        <w:t>）</w:t>
      </w:r>
    </w:p>
    <w:p w14:paraId="7401C69B">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根据工程设计要求，该项工程特殊项目的材料，施工除必须达到以上标准外，还应满足特殊项目的施工工艺标准和要求。</w:t>
      </w:r>
    </w:p>
    <w:p w14:paraId="43EF12E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根据国家规定，该工程项目的材料，施工除达到以上的标准和要求外，尚应满足中华人民共和国建设部发布的《工程建设标准强制性条文》的规定</w:t>
      </w:r>
      <w:r>
        <w:rPr>
          <w:rFonts w:hint="eastAsia" w:ascii="仿宋" w:hAnsi="仿宋" w:eastAsia="仿宋" w:cs="仿宋"/>
          <w:color w:val="auto"/>
          <w:sz w:val="24"/>
          <w:szCs w:val="24"/>
          <w:highlight w:val="none"/>
          <w:lang w:val="en-US" w:eastAsia="zh-CN"/>
        </w:rPr>
        <w:t>。</w:t>
      </w:r>
    </w:p>
    <w:p w14:paraId="6C1CE0E0">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三、验收/考核标准及付款安排</w:t>
      </w:r>
    </w:p>
    <w:p w14:paraId="568E7E73">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（一）验收标准</w:t>
      </w:r>
    </w:p>
    <w:p w14:paraId="5A47EB0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工程完工后，供应商须提交完整的竣工资料（含竣工图纸、验收记录、产品合格证等），配合采购人完成竣工验收，验收不合格的须按要求整改至合格为止。</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xml:space="preserve">    1.所有装修工程必须符合国家相关法律法规、行业标准及合同约定。</w:t>
      </w:r>
    </w:p>
    <w:p w14:paraId="0CAE40F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2.装修工程必须确保建筑物的结构安全，消防设施完备，电气线路安全可靠。</w:t>
      </w:r>
    </w:p>
    <w:p w14:paraId="052BCB6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3.装修后的营业用房应满足其预定的使用功能，布局合理，使用方便。</w:t>
      </w:r>
    </w:p>
    <w:p w14:paraId="0BF3E9D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4.装修效果应符合设计要求，色彩搭配和谐，整体美观大方。</w:t>
      </w:r>
    </w:p>
    <w:p w14:paraId="469E75D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5.墙面与地面：墙面应平整、无裂缝、无空鼓，涂料或壁纸粘贴牢固，无脱落、起翘现象；地面应平整、无空鼓，地砖或地板铺设整齐，缝隙均匀，颜色一致。</w:t>
      </w:r>
    </w:p>
    <w:p w14:paraId="0A897E9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6.门窗与玻璃：门窗安装应牢固，开关灵活，密封性能良好，无漏风、漏水现象；玻璃应干净透明，无破损、无划痕，五金配件齐全、完好。</w:t>
      </w:r>
    </w:p>
    <w:p w14:paraId="45D41D1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7.水电工程：水电管道布局合理，无渗漏现象，开关、插座等电器设备安装位置正确，使用正常；照明设施安装到位，灯具工作正常，亮度满足使用要求。</w:t>
      </w:r>
    </w:p>
    <w:p w14:paraId="0458452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8.吊顶与墙面装饰：吊顶应平整、无变形，接缝处严密，龙骨安装牢固。墙面装饰物安装牢固，无脱落、无损坏现象。</w:t>
      </w:r>
    </w:p>
    <w:p w14:paraId="20F9DD5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9.防火与防潮：装修材料应符合防火要求，消防设施完备、有效；对于易受潮区域（如卫生间、厨房等），应采取有效的防潮措施。</w:t>
      </w:r>
    </w:p>
    <w:p w14:paraId="15CC1CF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10.环保与卫生：装修材料应符合环保要求，室内空气质量达标；营业用房内应保持整洁，无垃圾、无异味。</w:t>
      </w:r>
    </w:p>
    <w:p w14:paraId="29495BB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11.施工质量与细节：施工质量应精细，无明显瑕疵，如裂缝、色差等；细节处理应到位，如边角处理、收口处理等。</w:t>
      </w:r>
    </w:p>
    <w:p w14:paraId="3328091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12.文档与资料：施工单位应提供完整的施工记录、质量检查报告等相关文档；验收时应核对施工图纸、材料清单等资料，确保与实际施工相符。</w:t>
      </w:r>
    </w:p>
    <w:p w14:paraId="47F7954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13.预验收：施工单位完成装修工程后，进行自检，并邀请监理单位进行预验收。</w:t>
      </w:r>
    </w:p>
    <w:p w14:paraId="26A6CD5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14.正式验收：建设单位组织设计单位、施工单位、监理单位等相关单位进行正式验收。</w:t>
      </w:r>
    </w:p>
    <w:p w14:paraId="4A0390C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15.整改与复验：对于验收中发现的问题，施工单位应及时整改，并申请复验。</w:t>
      </w:r>
    </w:p>
    <w:p w14:paraId="510F219E">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16.验收合格：经整改后，若所有问题均得到妥善解决，且符合验收标准，则视为验收合格。</w:t>
      </w:r>
    </w:p>
    <w:p w14:paraId="43D560A9">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（二）付款安排</w:t>
      </w:r>
    </w:p>
    <w:p w14:paraId="23E16D2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自合同签订之日起预付项目总金额30%，项目施工完成验收合格后支付到最终工程结算总价款的80%，审计结算完成后支付至最终工程结算总价款的97%。本项目缺陷责任期为2年（自工程竣工验收合格之日起计算）。预留质量保证金为最终结算总价的3%。缺陷责任期满后14日内，将剩余质保金无息返还供应商。</w:t>
      </w:r>
    </w:p>
    <w:p w14:paraId="2F7AB31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缺陷责任期为2年，缺陷责任期仅为质保金扣留期限。保修期内供应商需按国家法规及合同约定履行免费维修义务，缺陷责任期届满后，甲方应按期全额返还质保金，工程剩余保修期内的维修责任不因此免除。</w:t>
      </w:r>
    </w:p>
    <w:p w14:paraId="4A507E51">
      <w:pPr>
        <w:pStyle w:val="17"/>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default"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（三）合同终止条件</w:t>
      </w:r>
    </w:p>
    <w:p w14:paraId="46F805E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1.承包人进场施工后，如因不可抗力因素或任何导致停工、缓建的，发包人有权进行工期顺延，停工、缓建期在6个月以内的不增加任何费用，超过6个月的由双方另行协商。</w:t>
      </w:r>
    </w:p>
    <w:p w14:paraId="06A92D4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lang w:val="en-US" w:eastAsia="zh-CN"/>
        </w:rPr>
        <w:t>2.若因政策性影响因素：因政策性调整及非发包人原因，导致工作内容取消的，如在签订合同后承包人未进场前接到发包人通知暂停本合同的，本合同自动终止；如承包人已进场施工的，承包人应在接到通知后即刻按发包人要求暂停工作，双方开展计量工作，按双方确认的工作量按合同计价原则进行计量。承包人自愿放弃由此产生的索赔权利，发包人亦不承担因非发包人原因导致的违约责任。</w:t>
      </w:r>
      <w:r>
        <w:rPr>
          <w:rFonts w:hint="eastAsia" w:ascii="仿宋" w:hAnsi="仿宋" w:eastAsia="仿宋" w:cs="仿宋"/>
          <w:color w:val="auto"/>
          <w:sz w:val="28"/>
          <w:szCs w:val="28"/>
          <w:highlight w:val="none"/>
        </w:rPr>
        <w:br w:type="page"/>
      </w:r>
      <w:bookmarkStart w:id="152" w:name="_Toc558"/>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b/>
          <w:bCs/>
          <w:color w:val="auto"/>
          <w:sz w:val="28"/>
          <w:szCs w:val="28"/>
          <w:highlight w:val="none"/>
        </w:rPr>
        <w:t>第六章 响应文件格式</w:t>
      </w:r>
      <w:bookmarkEnd w:id="145"/>
      <w:bookmarkEnd w:id="146"/>
      <w:bookmarkEnd w:id="147"/>
      <w:bookmarkEnd w:id="148"/>
      <w:bookmarkEnd w:id="149"/>
      <w:bookmarkEnd w:id="150"/>
      <w:bookmarkEnd w:id="151"/>
      <w:bookmarkEnd w:id="152"/>
    </w:p>
    <w:p w14:paraId="1EC6ADB2">
      <w:pPr>
        <w:spacing w:line="360" w:lineRule="auto"/>
        <w:rPr>
          <w:rFonts w:hint="eastAsia" w:ascii="仿宋" w:hAnsi="仿宋" w:eastAsia="仿宋" w:cs="仿宋"/>
          <w:b/>
          <w:color w:val="auto"/>
          <w:highlight w:val="none"/>
        </w:rPr>
      </w:pPr>
      <w:r>
        <w:rPr>
          <w:rFonts w:hint="eastAsia" w:ascii="仿宋" w:hAnsi="仿宋" w:eastAsia="仿宋" w:cs="宋体"/>
          <w:b/>
          <w:color w:val="auto"/>
          <w:sz w:val="24"/>
          <w:highlight w:val="none"/>
        </w:rPr>
        <w:t>封面格式</w:t>
      </w:r>
    </w:p>
    <w:tbl>
      <w:tblPr>
        <w:tblStyle w:val="41"/>
        <w:tblW w:w="5000" w:type="pct"/>
        <w:jc w:val="center"/>
        <w:tblLayout w:type="autofit"/>
        <w:tblCellMar>
          <w:top w:w="0" w:type="dxa"/>
          <w:left w:w="108" w:type="dxa"/>
          <w:bottom w:w="0" w:type="dxa"/>
          <w:right w:w="108" w:type="dxa"/>
        </w:tblCellMar>
      </w:tblPr>
      <w:tblGrid>
        <w:gridCol w:w="9854"/>
      </w:tblGrid>
      <w:tr w14:paraId="144DE490">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noWrap w:val="0"/>
            <w:vAlign w:val="top"/>
          </w:tcPr>
          <w:p w14:paraId="57C91A3F">
            <w:pPr>
              <w:pStyle w:val="157"/>
              <w:spacing w:before="156" w:after="312"/>
              <w:ind w:right="508"/>
              <w:jc w:val="right"/>
              <w:rPr>
                <w:rFonts w:hint="eastAsia" w:ascii="仿宋" w:hAnsi="仿宋" w:eastAsia="仿宋" w:cs="仿宋"/>
                <w:color w:val="auto"/>
                <w:sz w:val="32"/>
                <w:highlight w:val="none"/>
              </w:rPr>
            </w:pPr>
            <w:r>
              <w:rPr>
                <w:rFonts w:hint="eastAsia" w:ascii="仿宋" w:hAnsi="仿宋" w:eastAsia="仿宋" w:cs="仿宋"/>
                <w:color w:val="auto"/>
                <w:sz w:val="32"/>
                <w:highlight w:val="none"/>
              </w:rPr>
              <w:t>正本/副本</w:t>
            </w:r>
          </w:p>
          <w:p w14:paraId="11441FFA">
            <w:pPr>
              <w:pStyle w:val="157"/>
              <w:spacing w:before="156" w:after="312"/>
              <w:ind w:right="-284"/>
              <w:jc w:val="center"/>
              <w:rPr>
                <w:rFonts w:hint="eastAsia" w:ascii="仿宋" w:hAnsi="仿宋" w:eastAsia="仿宋" w:cs="仿宋"/>
                <w:color w:val="auto"/>
                <w:sz w:val="32"/>
                <w:highlight w:val="none"/>
              </w:rPr>
            </w:pPr>
            <w:r>
              <w:rPr>
                <w:rFonts w:hint="eastAsia" w:ascii="仿宋" w:hAnsi="仿宋" w:eastAsia="仿宋" w:cs="仿宋"/>
                <w:color w:val="auto"/>
                <w:sz w:val="32"/>
                <w:highlight w:val="none"/>
              </w:rPr>
              <w:t>（项目名称）项目</w:t>
            </w:r>
          </w:p>
          <w:p w14:paraId="60F0CCBF">
            <w:pPr>
              <w:pStyle w:val="157"/>
              <w:ind w:right="-284" w:firstLine="2240"/>
              <w:rPr>
                <w:rFonts w:hint="eastAsia" w:ascii="仿宋" w:hAnsi="仿宋" w:eastAsia="仿宋" w:cs="仿宋"/>
                <w:color w:val="auto"/>
                <w:sz w:val="28"/>
                <w:highlight w:val="none"/>
                <w:u w:val="single"/>
              </w:rPr>
            </w:pPr>
          </w:p>
          <w:p w14:paraId="2A38D9A4">
            <w:pPr>
              <w:pStyle w:val="157"/>
              <w:spacing w:before="624" w:after="156" w:line="160" w:lineRule="atLeast"/>
              <w:ind w:right="-284"/>
              <w:jc w:val="center"/>
              <w:rPr>
                <w:rFonts w:hint="eastAsia" w:ascii="仿宋" w:hAnsi="仿宋" w:eastAsia="仿宋" w:cs="仿宋"/>
                <w:color w:val="auto"/>
                <w:sz w:val="52"/>
                <w:highlight w:val="none"/>
              </w:rPr>
            </w:pPr>
            <w:r>
              <w:rPr>
                <w:rFonts w:hint="eastAsia" w:ascii="仿宋" w:hAnsi="仿宋" w:eastAsia="仿宋" w:cs="仿宋"/>
                <w:color w:val="auto"/>
                <w:sz w:val="52"/>
                <w:highlight w:val="none"/>
              </w:rPr>
              <w:t>磋商响应文件</w:t>
            </w:r>
          </w:p>
          <w:p w14:paraId="51D9967C">
            <w:pPr>
              <w:pStyle w:val="157"/>
              <w:spacing w:before="624" w:after="156" w:line="160" w:lineRule="atLeast"/>
              <w:ind w:right="-284"/>
              <w:jc w:val="center"/>
              <w:rPr>
                <w:rFonts w:hint="eastAsia" w:ascii="仿宋" w:hAnsi="仿宋" w:eastAsia="仿宋" w:cs="仿宋"/>
                <w:color w:val="auto"/>
                <w:sz w:val="52"/>
                <w:highlight w:val="none"/>
              </w:rPr>
            </w:pPr>
          </w:p>
          <w:p w14:paraId="7C907722">
            <w:pPr>
              <w:pStyle w:val="157"/>
              <w:spacing w:before="624" w:after="156" w:line="240" w:lineRule="atLeast"/>
              <w:jc w:val="center"/>
              <w:rPr>
                <w:rFonts w:hint="eastAsia" w:ascii="仿宋" w:hAnsi="仿宋" w:eastAsia="仿宋" w:cs="仿宋"/>
                <w:color w:val="auto"/>
                <w:sz w:val="40"/>
                <w:highlight w:val="none"/>
              </w:rPr>
            </w:pPr>
            <w:r>
              <w:rPr>
                <w:rFonts w:hint="eastAsia" w:ascii="仿宋" w:hAnsi="仿宋" w:eastAsia="仿宋" w:cs="仿宋"/>
                <w:color w:val="auto"/>
                <w:sz w:val="40"/>
                <w:highlight w:val="none"/>
              </w:rPr>
              <w:t>（商务文件/技术文件/报价文件）</w:t>
            </w:r>
          </w:p>
          <w:p w14:paraId="449E1832">
            <w:pPr>
              <w:pStyle w:val="157"/>
              <w:spacing w:before="1560" w:line="400" w:lineRule="atLeast"/>
              <w:ind w:right="-284" w:firstLine="2520" w:firstLineChars="1050"/>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w:t>
            </w:r>
            <w:r>
              <w:rPr>
                <w:rFonts w:hint="eastAsia" w:ascii="仿宋" w:hAnsi="仿宋" w:eastAsia="仿宋" w:cs="仿宋"/>
                <w:color w:val="auto"/>
                <w:sz w:val="24"/>
                <w:highlight w:val="none"/>
                <w:u w:val="single"/>
              </w:rPr>
              <w:t>（盖章）</w:t>
            </w:r>
          </w:p>
          <w:p w14:paraId="2F776E24">
            <w:pPr>
              <w:pStyle w:val="157"/>
              <w:spacing w:after="156" w:line="400" w:lineRule="atLeast"/>
              <w:ind w:right="-284"/>
              <w:jc w:val="center"/>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法定代表人或其委托的代理人：（签字或盖章）</w:t>
            </w:r>
          </w:p>
          <w:p w14:paraId="3E4D0518">
            <w:pPr>
              <w:pStyle w:val="157"/>
              <w:spacing w:after="624"/>
              <w:ind w:right="-284"/>
              <w:jc w:val="center"/>
              <w:rPr>
                <w:rFonts w:hint="eastAsia" w:ascii="仿宋" w:hAnsi="仿宋" w:eastAsia="仿宋" w:cs="仿宋"/>
                <w:color w:val="auto"/>
                <w:sz w:val="24"/>
                <w:highlight w:val="none"/>
              </w:rPr>
            </w:pPr>
          </w:p>
          <w:p w14:paraId="3EFF2CFC">
            <w:pPr>
              <w:pStyle w:val="157"/>
              <w:spacing w:after="624"/>
              <w:ind w:right="-284"/>
              <w:jc w:val="center"/>
              <w:rPr>
                <w:rFonts w:hint="eastAsia" w:ascii="仿宋" w:hAnsi="仿宋" w:eastAsia="仿宋" w:cs="仿宋"/>
                <w:color w:val="auto"/>
                <w:highlight w:val="none"/>
              </w:rPr>
            </w:pPr>
            <w:r>
              <w:rPr>
                <w:rFonts w:hint="eastAsia" w:ascii="仿宋" w:hAnsi="仿宋" w:eastAsia="仿宋" w:cs="仿宋"/>
                <w:color w:val="auto"/>
                <w:sz w:val="24"/>
                <w:highlight w:val="none"/>
              </w:rPr>
              <w:t>年     月      日</w:t>
            </w:r>
          </w:p>
        </w:tc>
      </w:tr>
    </w:tbl>
    <w:p w14:paraId="3690B622">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格式：封口</w:t>
      </w:r>
    </w:p>
    <w:tbl>
      <w:tblPr>
        <w:tblStyle w:val="41"/>
        <w:tblW w:w="5000" w:type="pct"/>
        <w:tblInd w:w="0" w:type="dxa"/>
        <w:tblLayout w:type="autofit"/>
        <w:tblCellMar>
          <w:top w:w="0" w:type="dxa"/>
          <w:left w:w="108" w:type="dxa"/>
          <w:bottom w:w="0" w:type="dxa"/>
          <w:right w:w="108" w:type="dxa"/>
        </w:tblCellMar>
      </w:tblPr>
      <w:tblGrid>
        <w:gridCol w:w="9854"/>
      </w:tblGrid>
      <w:tr w14:paraId="443AF1A2">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noWrap w:val="0"/>
            <w:vAlign w:val="center"/>
          </w:tcPr>
          <w:p w14:paraId="3FAE01C0">
            <w:pPr>
              <w:pStyle w:val="157"/>
              <w:ind w:right="-284"/>
              <w:jc w:val="center"/>
              <w:rPr>
                <w:rFonts w:hint="eastAsia" w:ascii="仿宋" w:hAnsi="仿宋" w:eastAsia="仿宋" w:cs="仿宋"/>
                <w:b/>
                <w:color w:val="auto"/>
                <w:highlight w:val="none"/>
              </w:rPr>
            </w:pPr>
            <w:r>
              <w:rPr>
                <w:rFonts w:hint="eastAsia" w:ascii="仿宋" w:hAnsi="仿宋" w:eastAsia="仿宋" w:cs="仿宋"/>
                <w:b/>
                <w:color w:val="auto"/>
                <w:highlight w:val="none"/>
              </w:rPr>
              <w:t>-------------于年月日时分之前不准启封（公章）------------</w:t>
            </w:r>
          </w:p>
        </w:tc>
      </w:tr>
    </w:tbl>
    <w:p w14:paraId="59AEAE70">
      <w:pPr>
        <w:rPr>
          <w:rFonts w:hint="eastAsia" w:ascii="仿宋" w:hAnsi="仿宋" w:eastAsia="仿宋" w:cs="仿宋"/>
          <w:color w:val="auto"/>
          <w:kern w:val="0"/>
          <w:szCs w:val="21"/>
          <w:highlight w:val="none"/>
        </w:rPr>
      </w:pPr>
    </w:p>
    <w:p w14:paraId="1A536FAA">
      <w:pPr>
        <w:pStyle w:val="3"/>
        <w:numPr>
          <w:ilvl w:val="0"/>
          <w:numId w:val="0"/>
        </w:numPr>
        <w:ind w:leftChars="0"/>
        <w:jc w:val="both"/>
        <w:rPr>
          <w:rFonts w:ascii="仿宋" w:hAnsi="仿宋" w:eastAsia="仿宋" w:cs="仿宋"/>
          <w:color w:val="auto"/>
          <w:sz w:val="24"/>
          <w:szCs w:val="24"/>
          <w:highlight w:val="none"/>
        </w:rPr>
      </w:pPr>
      <w:bookmarkStart w:id="153" w:name="_Toc3936"/>
      <w:bookmarkStart w:id="154" w:name="_Toc21280"/>
      <w:bookmarkStart w:id="155" w:name="_Toc25957"/>
      <w:bookmarkStart w:id="156" w:name="_Toc11783"/>
      <w:bookmarkStart w:id="157" w:name="_Toc444891353"/>
      <w:bookmarkStart w:id="158" w:name="_Toc517281836"/>
      <w:bookmarkStart w:id="159" w:name="_Toc287600131"/>
      <w:bookmarkStart w:id="160" w:name="_Toc19783362"/>
      <w:bookmarkStart w:id="161" w:name="_Toc19910"/>
      <w:bookmarkStart w:id="162" w:name="_Toc19783360"/>
      <w:bookmarkStart w:id="163" w:name="_Toc287600129"/>
      <w:r>
        <w:rPr>
          <w:rFonts w:ascii="仿宋" w:hAnsi="仿宋" w:eastAsia="仿宋" w:cs="仿宋"/>
          <w:color w:val="auto"/>
          <w:sz w:val="24"/>
          <w:szCs w:val="24"/>
          <w:highlight w:val="none"/>
        </w:rPr>
        <w:br w:type="page"/>
      </w:r>
      <w:bookmarkStart w:id="164" w:name="_Toc7659"/>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rPr>
        <w:t>商务文件</w:t>
      </w:r>
      <w:bookmarkEnd w:id="153"/>
      <w:bookmarkEnd w:id="164"/>
    </w:p>
    <w:p w14:paraId="03E7F55D">
      <w:pPr>
        <w:bidi w:val="0"/>
        <w:jc w:val="center"/>
        <w:rPr>
          <w:rFonts w:hint="eastAsia"/>
          <w:color w:val="auto"/>
          <w:highlight w:val="none"/>
        </w:rPr>
      </w:pPr>
      <w:bookmarkStart w:id="165" w:name="_Toc26744"/>
      <w:r>
        <w:rPr>
          <w:rFonts w:hint="eastAsia" w:ascii="仿宋" w:hAnsi="仿宋" w:eastAsia="仿宋" w:cs="仿宋"/>
          <w:b/>
          <w:bCs/>
          <w:color w:val="auto"/>
          <w:sz w:val="24"/>
          <w:szCs w:val="24"/>
          <w:highlight w:val="none"/>
        </w:rPr>
        <w:t>初步评审索引表</w:t>
      </w:r>
      <w:bookmarkEnd w:id="165"/>
    </w:p>
    <w:tbl>
      <w:tblPr>
        <w:tblStyle w:val="41"/>
        <w:tblW w:w="5085"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4"/>
        <w:gridCol w:w="1701"/>
        <w:gridCol w:w="3295"/>
        <w:gridCol w:w="4212"/>
      </w:tblGrid>
      <w:tr w14:paraId="7102B1F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4" w:type="dxa"/>
            <w:noWrap w:val="0"/>
            <w:vAlign w:val="center"/>
          </w:tcPr>
          <w:p w14:paraId="55F29625">
            <w:pPr>
              <w:widowControl/>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b/>
                <w:color w:val="auto"/>
                <w:kern w:val="0"/>
                <w:szCs w:val="21"/>
                <w:highlight w:val="none"/>
              </w:rPr>
              <w:t>序号</w:t>
            </w:r>
          </w:p>
        </w:tc>
        <w:tc>
          <w:tcPr>
            <w:tcW w:w="1701" w:type="dxa"/>
            <w:noWrap w:val="0"/>
            <w:vAlign w:val="top"/>
          </w:tcPr>
          <w:p w14:paraId="39E27CAF">
            <w:pPr>
              <w:widowControl/>
              <w:spacing w:before="24" w:after="24" w:line="360" w:lineRule="auto"/>
              <w:jc w:val="center"/>
              <w:rPr>
                <w:rFonts w:hint="eastAsia" w:ascii="仿宋" w:hAnsi="仿宋" w:eastAsia="仿宋" w:cs="仿宋"/>
                <w:color w:val="auto"/>
                <w:szCs w:val="21"/>
                <w:highlight w:val="none"/>
              </w:rPr>
            </w:pPr>
            <w:r>
              <w:rPr>
                <w:rFonts w:hint="eastAsia" w:ascii="仿宋" w:hAnsi="仿宋" w:eastAsia="仿宋" w:cs="仿宋"/>
                <w:b/>
                <w:color w:val="auto"/>
                <w:kern w:val="0"/>
                <w:szCs w:val="21"/>
                <w:highlight w:val="none"/>
              </w:rPr>
              <w:t>评审环节</w:t>
            </w:r>
          </w:p>
        </w:tc>
        <w:tc>
          <w:tcPr>
            <w:tcW w:w="3295" w:type="dxa"/>
            <w:noWrap w:val="0"/>
            <w:vAlign w:val="center"/>
          </w:tcPr>
          <w:p w14:paraId="7C938C57">
            <w:pPr>
              <w:widowControl/>
              <w:spacing w:before="24" w:after="24" w:line="360" w:lineRule="auto"/>
              <w:jc w:val="center"/>
              <w:rPr>
                <w:rFonts w:hint="eastAsia" w:ascii="仿宋" w:hAnsi="仿宋" w:eastAsia="仿宋" w:cs="仿宋"/>
                <w:color w:val="auto"/>
                <w:kern w:val="0"/>
                <w:szCs w:val="21"/>
                <w:highlight w:val="none"/>
              </w:rPr>
            </w:pPr>
            <w:r>
              <w:rPr>
                <w:rFonts w:hint="eastAsia" w:ascii="仿宋" w:hAnsi="仿宋" w:eastAsia="仿宋" w:cs="仿宋"/>
                <w:b/>
                <w:color w:val="auto"/>
                <w:kern w:val="0"/>
                <w:szCs w:val="21"/>
                <w:highlight w:val="none"/>
              </w:rPr>
              <w:t>评审因素</w:t>
            </w:r>
          </w:p>
        </w:tc>
        <w:tc>
          <w:tcPr>
            <w:tcW w:w="4212" w:type="dxa"/>
            <w:noWrap w:val="0"/>
            <w:vAlign w:val="center"/>
          </w:tcPr>
          <w:p w14:paraId="4C50A551">
            <w:pPr>
              <w:widowControl/>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b/>
                <w:color w:val="auto"/>
                <w:kern w:val="0"/>
                <w:szCs w:val="21"/>
                <w:highlight w:val="none"/>
              </w:rPr>
              <w:t>页码范围及说明</w:t>
            </w:r>
          </w:p>
        </w:tc>
      </w:tr>
      <w:tr w14:paraId="0200E12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4" w:type="dxa"/>
            <w:vMerge w:val="restart"/>
            <w:noWrap w:val="0"/>
            <w:vAlign w:val="center"/>
          </w:tcPr>
          <w:p w14:paraId="432ABB8C">
            <w:pPr>
              <w:widowControl/>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w:t>
            </w:r>
          </w:p>
        </w:tc>
        <w:tc>
          <w:tcPr>
            <w:tcW w:w="1701" w:type="dxa"/>
            <w:vMerge w:val="restart"/>
            <w:noWrap w:val="0"/>
            <w:vAlign w:val="center"/>
          </w:tcPr>
          <w:p w14:paraId="6B79F868">
            <w:pPr>
              <w:spacing w:before="24" w:after="24"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形式评审标准</w:t>
            </w:r>
          </w:p>
        </w:tc>
        <w:tc>
          <w:tcPr>
            <w:tcW w:w="3295" w:type="dxa"/>
            <w:noWrap w:val="0"/>
            <w:vAlign w:val="center"/>
          </w:tcPr>
          <w:p w14:paraId="317EAE79">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供应商名称</w:t>
            </w:r>
          </w:p>
        </w:tc>
        <w:tc>
          <w:tcPr>
            <w:tcW w:w="4212" w:type="dxa"/>
            <w:noWrap w:val="0"/>
            <w:vAlign w:val="center"/>
          </w:tcPr>
          <w:p w14:paraId="1D50CCA7">
            <w:pPr>
              <w:spacing w:before="24" w:after="24" w:line="276" w:lineRule="auto"/>
              <w:jc w:val="left"/>
              <w:rPr>
                <w:rFonts w:ascii="仿宋" w:hAnsi="仿宋" w:eastAsia="仿宋" w:cs="仿宋"/>
                <w:color w:val="auto"/>
                <w:szCs w:val="21"/>
                <w:highlight w:val="none"/>
              </w:rPr>
            </w:pPr>
            <w:r>
              <w:rPr>
                <w:rFonts w:hint="eastAsia" w:ascii="仿宋" w:hAnsi="仿宋" w:eastAsia="仿宋" w:cs="仿宋"/>
                <w:color w:val="auto"/>
                <w:szCs w:val="21"/>
                <w:highlight w:val="none"/>
              </w:rPr>
              <w:t>详见N-M页，补充说明（如有）</w:t>
            </w:r>
          </w:p>
        </w:tc>
      </w:tr>
      <w:tr w14:paraId="5624913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4" w:type="dxa"/>
            <w:vMerge w:val="continue"/>
            <w:noWrap w:val="0"/>
            <w:vAlign w:val="center"/>
          </w:tcPr>
          <w:p w14:paraId="1E38017C">
            <w:pPr>
              <w:widowControl/>
              <w:spacing w:line="360" w:lineRule="auto"/>
              <w:jc w:val="center"/>
              <w:rPr>
                <w:rFonts w:hint="eastAsia" w:ascii="仿宋" w:hAnsi="仿宋" w:eastAsia="仿宋" w:cs="仿宋"/>
                <w:color w:val="auto"/>
                <w:kern w:val="0"/>
                <w:szCs w:val="21"/>
                <w:highlight w:val="none"/>
              </w:rPr>
            </w:pPr>
          </w:p>
        </w:tc>
        <w:tc>
          <w:tcPr>
            <w:tcW w:w="1701" w:type="dxa"/>
            <w:vMerge w:val="continue"/>
            <w:noWrap w:val="0"/>
            <w:vAlign w:val="top"/>
          </w:tcPr>
          <w:p w14:paraId="7D6FA92F">
            <w:pPr>
              <w:spacing w:before="24" w:after="24" w:line="360" w:lineRule="auto"/>
              <w:jc w:val="center"/>
              <w:rPr>
                <w:rFonts w:hint="eastAsia" w:ascii="仿宋" w:hAnsi="仿宋" w:eastAsia="仿宋" w:cs="仿宋"/>
                <w:color w:val="auto"/>
                <w:szCs w:val="21"/>
                <w:highlight w:val="none"/>
              </w:rPr>
            </w:pPr>
          </w:p>
        </w:tc>
        <w:tc>
          <w:tcPr>
            <w:tcW w:w="3295" w:type="dxa"/>
            <w:noWrap w:val="0"/>
            <w:vAlign w:val="center"/>
          </w:tcPr>
          <w:p w14:paraId="4251A4ED">
            <w:pPr>
              <w:spacing w:before="24" w:after="24" w:line="276" w:lineRule="auto"/>
              <w:jc w:val="center"/>
              <w:rPr>
                <w:rFonts w:hint="eastAsia" w:ascii="仿宋" w:hAnsi="仿宋" w:eastAsia="仿宋" w:cs="宋体"/>
                <w:color w:val="auto"/>
                <w:kern w:val="0"/>
                <w:szCs w:val="21"/>
                <w:highlight w:val="none"/>
              </w:rPr>
            </w:pPr>
            <w:r>
              <w:rPr>
                <w:rFonts w:hint="eastAsia" w:ascii="仿宋" w:hAnsi="仿宋" w:eastAsia="仿宋" w:cs="仿宋"/>
                <w:color w:val="auto"/>
                <w:szCs w:val="21"/>
                <w:highlight w:val="none"/>
              </w:rPr>
              <w:t>法定代表人（负责人）身份证明</w:t>
            </w:r>
          </w:p>
        </w:tc>
        <w:tc>
          <w:tcPr>
            <w:tcW w:w="4212" w:type="dxa"/>
            <w:noWrap w:val="0"/>
            <w:vAlign w:val="center"/>
          </w:tcPr>
          <w:p w14:paraId="5D535557">
            <w:pPr>
              <w:pStyle w:val="138"/>
              <w:tabs>
                <w:tab w:val="left" w:pos="630"/>
              </w:tabs>
              <w:topLinePunct/>
              <w:spacing w:before="48" w:beforeLines="20" w:after="48" w:afterLines="20" w:line="276" w:lineRule="auto"/>
              <w:rPr>
                <w:rFonts w:hint="eastAsia" w:ascii="仿宋" w:hAnsi="仿宋" w:eastAsia="仿宋" w:cs="仿宋"/>
                <w:color w:val="auto"/>
                <w:szCs w:val="21"/>
                <w:highlight w:val="none"/>
              </w:rPr>
            </w:pPr>
          </w:p>
        </w:tc>
      </w:tr>
      <w:tr w14:paraId="406FC3B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4" w:type="dxa"/>
            <w:vMerge w:val="continue"/>
            <w:noWrap w:val="0"/>
            <w:vAlign w:val="center"/>
          </w:tcPr>
          <w:p w14:paraId="72D0EAE9">
            <w:pPr>
              <w:widowControl/>
              <w:spacing w:line="360" w:lineRule="auto"/>
              <w:jc w:val="center"/>
              <w:rPr>
                <w:rFonts w:hint="eastAsia" w:ascii="仿宋" w:hAnsi="仿宋" w:eastAsia="仿宋" w:cs="仿宋"/>
                <w:color w:val="auto"/>
                <w:kern w:val="0"/>
                <w:szCs w:val="21"/>
                <w:highlight w:val="none"/>
              </w:rPr>
            </w:pPr>
          </w:p>
        </w:tc>
        <w:tc>
          <w:tcPr>
            <w:tcW w:w="1701" w:type="dxa"/>
            <w:vMerge w:val="continue"/>
            <w:noWrap w:val="0"/>
            <w:vAlign w:val="top"/>
          </w:tcPr>
          <w:p w14:paraId="2A4F3F08">
            <w:pPr>
              <w:spacing w:before="24" w:after="24" w:line="360" w:lineRule="auto"/>
              <w:jc w:val="center"/>
              <w:rPr>
                <w:rFonts w:hint="eastAsia" w:ascii="仿宋" w:hAnsi="仿宋" w:eastAsia="仿宋" w:cs="仿宋"/>
                <w:color w:val="auto"/>
                <w:szCs w:val="21"/>
                <w:highlight w:val="none"/>
              </w:rPr>
            </w:pPr>
          </w:p>
        </w:tc>
        <w:tc>
          <w:tcPr>
            <w:tcW w:w="3295" w:type="dxa"/>
            <w:noWrap w:val="0"/>
            <w:vAlign w:val="center"/>
          </w:tcPr>
          <w:p w14:paraId="72517893">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法定代表人（负责人）授权委托书</w:t>
            </w:r>
          </w:p>
        </w:tc>
        <w:tc>
          <w:tcPr>
            <w:tcW w:w="4212" w:type="dxa"/>
            <w:noWrap w:val="0"/>
            <w:vAlign w:val="center"/>
          </w:tcPr>
          <w:p w14:paraId="06E3FEB5">
            <w:pPr>
              <w:pStyle w:val="138"/>
              <w:tabs>
                <w:tab w:val="left" w:pos="630"/>
              </w:tabs>
              <w:topLinePunct/>
              <w:spacing w:before="48" w:beforeLines="20" w:after="48" w:afterLines="20" w:line="276" w:lineRule="auto"/>
              <w:rPr>
                <w:rFonts w:hint="eastAsia" w:ascii="仿宋" w:hAnsi="仿宋" w:eastAsia="仿宋" w:cs="仿宋"/>
                <w:color w:val="auto"/>
                <w:szCs w:val="21"/>
                <w:highlight w:val="none"/>
              </w:rPr>
            </w:pPr>
          </w:p>
        </w:tc>
      </w:tr>
      <w:tr w14:paraId="3B66AD4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4" w:type="dxa"/>
            <w:vMerge w:val="continue"/>
            <w:noWrap w:val="0"/>
            <w:vAlign w:val="center"/>
          </w:tcPr>
          <w:p w14:paraId="417A897A">
            <w:pPr>
              <w:widowControl/>
              <w:spacing w:line="360" w:lineRule="auto"/>
              <w:jc w:val="center"/>
              <w:rPr>
                <w:rFonts w:hint="eastAsia" w:ascii="仿宋" w:hAnsi="仿宋" w:eastAsia="仿宋" w:cs="仿宋"/>
                <w:color w:val="auto"/>
                <w:kern w:val="0"/>
                <w:szCs w:val="21"/>
                <w:highlight w:val="none"/>
              </w:rPr>
            </w:pPr>
          </w:p>
        </w:tc>
        <w:tc>
          <w:tcPr>
            <w:tcW w:w="1701" w:type="dxa"/>
            <w:vMerge w:val="continue"/>
            <w:noWrap w:val="0"/>
            <w:vAlign w:val="top"/>
          </w:tcPr>
          <w:p w14:paraId="0E3BD285">
            <w:pPr>
              <w:spacing w:before="24" w:after="24" w:line="360" w:lineRule="auto"/>
              <w:jc w:val="center"/>
              <w:rPr>
                <w:rFonts w:hint="eastAsia" w:ascii="仿宋" w:hAnsi="仿宋" w:eastAsia="仿宋" w:cs="仿宋"/>
                <w:color w:val="auto"/>
                <w:szCs w:val="21"/>
                <w:highlight w:val="none"/>
              </w:rPr>
            </w:pPr>
          </w:p>
        </w:tc>
        <w:tc>
          <w:tcPr>
            <w:tcW w:w="3295" w:type="dxa"/>
            <w:noWrap w:val="0"/>
            <w:vAlign w:val="center"/>
          </w:tcPr>
          <w:p w14:paraId="3955DF0C">
            <w:pPr>
              <w:spacing w:before="24" w:after="24" w:line="276" w:lineRule="auto"/>
              <w:jc w:val="center"/>
              <w:rPr>
                <w:rFonts w:hint="eastAsia" w:ascii="仿宋" w:hAnsi="仿宋" w:eastAsia="仿宋" w:cs="宋体"/>
                <w:color w:val="auto"/>
                <w:spacing w:val="-4"/>
                <w:kern w:val="0"/>
                <w:szCs w:val="21"/>
                <w:highlight w:val="none"/>
              </w:rPr>
            </w:pPr>
            <w:r>
              <w:rPr>
                <w:rFonts w:hint="eastAsia" w:ascii="仿宋" w:hAnsi="仿宋" w:eastAsia="仿宋" w:cs="仿宋"/>
                <w:color w:val="auto"/>
                <w:szCs w:val="21"/>
                <w:highlight w:val="none"/>
              </w:rPr>
              <w:t>响应文件签字或盖章</w:t>
            </w:r>
          </w:p>
        </w:tc>
        <w:tc>
          <w:tcPr>
            <w:tcW w:w="4212" w:type="dxa"/>
            <w:noWrap w:val="0"/>
            <w:vAlign w:val="center"/>
          </w:tcPr>
          <w:p w14:paraId="171FA97B">
            <w:pPr>
              <w:pStyle w:val="157"/>
              <w:spacing w:before="48" w:beforeLines="20" w:after="48" w:afterLines="20" w:line="276" w:lineRule="auto"/>
              <w:rPr>
                <w:rFonts w:hint="eastAsia" w:ascii="仿宋" w:hAnsi="仿宋" w:eastAsia="仿宋" w:cs="仿宋"/>
                <w:color w:val="auto"/>
                <w:highlight w:val="none"/>
              </w:rPr>
            </w:pPr>
          </w:p>
        </w:tc>
      </w:tr>
      <w:tr w14:paraId="0DACF29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4" w:type="dxa"/>
            <w:vMerge w:val="restart"/>
            <w:noWrap w:val="0"/>
            <w:vAlign w:val="center"/>
          </w:tcPr>
          <w:p w14:paraId="19124282">
            <w:pPr>
              <w:widowControl/>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p>
        </w:tc>
        <w:tc>
          <w:tcPr>
            <w:tcW w:w="1701" w:type="dxa"/>
            <w:vMerge w:val="restart"/>
            <w:noWrap w:val="0"/>
            <w:vAlign w:val="center"/>
          </w:tcPr>
          <w:p w14:paraId="5CE7765A">
            <w:pPr>
              <w:spacing w:before="24" w:after="24"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资格评审标准</w:t>
            </w:r>
          </w:p>
        </w:tc>
        <w:tc>
          <w:tcPr>
            <w:tcW w:w="3295" w:type="dxa"/>
            <w:noWrap w:val="0"/>
            <w:vAlign w:val="center"/>
          </w:tcPr>
          <w:p w14:paraId="2D23FBD4">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营业执照</w:t>
            </w:r>
          </w:p>
        </w:tc>
        <w:tc>
          <w:tcPr>
            <w:tcW w:w="4212" w:type="dxa"/>
            <w:noWrap w:val="0"/>
            <w:vAlign w:val="center"/>
          </w:tcPr>
          <w:p w14:paraId="2B4527CC">
            <w:pPr>
              <w:spacing w:before="24" w:after="24" w:line="276" w:lineRule="auto"/>
              <w:jc w:val="left"/>
              <w:rPr>
                <w:rFonts w:hint="eastAsia" w:ascii="仿宋" w:hAnsi="仿宋" w:eastAsia="仿宋" w:cs="仿宋"/>
                <w:color w:val="auto"/>
                <w:szCs w:val="21"/>
                <w:highlight w:val="none"/>
              </w:rPr>
            </w:pPr>
          </w:p>
        </w:tc>
      </w:tr>
      <w:tr w14:paraId="70799D3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814" w:type="dxa"/>
            <w:vMerge w:val="continue"/>
            <w:noWrap w:val="0"/>
            <w:vAlign w:val="center"/>
          </w:tcPr>
          <w:p w14:paraId="168A8780">
            <w:pPr>
              <w:widowControl/>
              <w:spacing w:line="360" w:lineRule="auto"/>
              <w:jc w:val="center"/>
              <w:rPr>
                <w:rFonts w:hint="eastAsia" w:ascii="仿宋" w:hAnsi="仿宋" w:eastAsia="仿宋" w:cs="仿宋"/>
                <w:color w:val="auto"/>
                <w:kern w:val="0"/>
                <w:szCs w:val="21"/>
                <w:highlight w:val="none"/>
              </w:rPr>
            </w:pPr>
          </w:p>
        </w:tc>
        <w:tc>
          <w:tcPr>
            <w:tcW w:w="1701" w:type="dxa"/>
            <w:vMerge w:val="continue"/>
            <w:noWrap w:val="0"/>
            <w:vAlign w:val="center"/>
          </w:tcPr>
          <w:p w14:paraId="1AB7E33C">
            <w:pPr>
              <w:spacing w:before="24" w:after="24" w:line="360" w:lineRule="auto"/>
              <w:jc w:val="center"/>
              <w:rPr>
                <w:rFonts w:hint="eastAsia" w:ascii="仿宋" w:hAnsi="仿宋" w:eastAsia="仿宋" w:cs="仿宋"/>
                <w:color w:val="auto"/>
                <w:szCs w:val="21"/>
                <w:highlight w:val="none"/>
              </w:rPr>
            </w:pPr>
          </w:p>
        </w:tc>
        <w:tc>
          <w:tcPr>
            <w:tcW w:w="3295" w:type="dxa"/>
            <w:noWrap w:val="0"/>
            <w:vAlign w:val="center"/>
          </w:tcPr>
          <w:p w14:paraId="0916B2ED">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商业信誉和财务会计制度</w:t>
            </w:r>
          </w:p>
        </w:tc>
        <w:tc>
          <w:tcPr>
            <w:tcW w:w="4212" w:type="dxa"/>
            <w:noWrap w:val="0"/>
            <w:vAlign w:val="center"/>
          </w:tcPr>
          <w:p w14:paraId="5C2BBC1F">
            <w:pPr>
              <w:spacing w:before="24" w:after="24" w:line="276" w:lineRule="auto"/>
              <w:jc w:val="left"/>
              <w:rPr>
                <w:rFonts w:hint="eastAsia" w:ascii="仿宋" w:hAnsi="仿宋" w:eastAsia="仿宋" w:cs="仿宋"/>
                <w:color w:val="auto"/>
                <w:szCs w:val="21"/>
                <w:highlight w:val="none"/>
              </w:rPr>
            </w:pPr>
          </w:p>
        </w:tc>
      </w:tr>
      <w:tr w14:paraId="221FA8F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4" w:type="dxa"/>
            <w:vMerge w:val="continue"/>
            <w:noWrap w:val="0"/>
            <w:vAlign w:val="center"/>
          </w:tcPr>
          <w:p w14:paraId="71E9863F">
            <w:pPr>
              <w:widowControl/>
              <w:spacing w:line="360" w:lineRule="auto"/>
              <w:jc w:val="center"/>
              <w:rPr>
                <w:rFonts w:hint="eastAsia" w:ascii="仿宋" w:hAnsi="仿宋" w:eastAsia="仿宋" w:cs="仿宋"/>
                <w:color w:val="auto"/>
                <w:kern w:val="0"/>
                <w:szCs w:val="21"/>
                <w:highlight w:val="none"/>
              </w:rPr>
            </w:pPr>
          </w:p>
        </w:tc>
        <w:tc>
          <w:tcPr>
            <w:tcW w:w="1701" w:type="dxa"/>
            <w:vMerge w:val="continue"/>
            <w:noWrap w:val="0"/>
            <w:vAlign w:val="top"/>
          </w:tcPr>
          <w:p w14:paraId="27F5845F">
            <w:pPr>
              <w:spacing w:before="24" w:after="24" w:line="360" w:lineRule="auto"/>
              <w:jc w:val="center"/>
              <w:rPr>
                <w:rFonts w:hint="eastAsia" w:ascii="仿宋" w:hAnsi="仿宋" w:eastAsia="仿宋" w:cs="仿宋"/>
                <w:color w:val="auto"/>
                <w:kern w:val="0"/>
                <w:szCs w:val="21"/>
                <w:highlight w:val="none"/>
              </w:rPr>
            </w:pPr>
          </w:p>
        </w:tc>
        <w:tc>
          <w:tcPr>
            <w:tcW w:w="3295" w:type="dxa"/>
            <w:noWrap w:val="0"/>
            <w:vAlign w:val="center"/>
          </w:tcPr>
          <w:p w14:paraId="5D026626">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lang w:val="en-US" w:eastAsia="zh-CN"/>
              </w:rPr>
              <w:t>缴纳税收和社会保障资金</w:t>
            </w:r>
          </w:p>
        </w:tc>
        <w:tc>
          <w:tcPr>
            <w:tcW w:w="4212" w:type="dxa"/>
            <w:noWrap w:val="0"/>
            <w:vAlign w:val="center"/>
          </w:tcPr>
          <w:p w14:paraId="3A70079C">
            <w:pPr>
              <w:spacing w:before="24" w:after="24" w:line="276" w:lineRule="auto"/>
              <w:jc w:val="left"/>
              <w:rPr>
                <w:rFonts w:hint="eastAsia" w:ascii="仿宋" w:hAnsi="仿宋" w:eastAsia="仿宋" w:cs="仿宋"/>
                <w:color w:val="auto"/>
                <w:szCs w:val="21"/>
                <w:highlight w:val="none"/>
              </w:rPr>
            </w:pPr>
          </w:p>
        </w:tc>
      </w:tr>
      <w:tr w14:paraId="0CCB352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4" w:type="dxa"/>
            <w:vMerge w:val="continue"/>
            <w:noWrap w:val="0"/>
            <w:vAlign w:val="center"/>
          </w:tcPr>
          <w:p w14:paraId="369580C1">
            <w:pPr>
              <w:widowControl/>
              <w:spacing w:line="360" w:lineRule="auto"/>
              <w:jc w:val="center"/>
              <w:rPr>
                <w:rFonts w:hint="eastAsia" w:ascii="仿宋" w:hAnsi="仿宋" w:eastAsia="仿宋" w:cs="仿宋"/>
                <w:color w:val="auto"/>
                <w:kern w:val="0"/>
                <w:szCs w:val="21"/>
                <w:highlight w:val="none"/>
              </w:rPr>
            </w:pPr>
          </w:p>
        </w:tc>
        <w:tc>
          <w:tcPr>
            <w:tcW w:w="1701" w:type="dxa"/>
            <w:vMerge w:val="continue"/>
            <w:noWrap w:val="0"/>
            <w:vAlign w:val="top"/>
          </w:tcPr>
          <w:p w14:paraId="0463BCD1">
            <w:pPr>
              <w:spacing w:before="24" w:after="24" w:line="360" w:lineRule="auto"/>
              <w:jc w:val="center"/>
              <w:rPr>
                <w:rFonts w:hint="eastAsia" w:ascii="仿宋" w:hAnsi="仿宋" w:eastAsia="仿宋" w:cs="仿宋"/>
                <w:color w:val="auto"/>
                <w:kern w:val="0"/>
                <w:szCs w:val="21"/>
                <w:highlight w:val="none"/>
              </w:rPr>
            </w:pPr>
          </w:p>
        </w:tc>
        <w:tc>
          <w:tcPr>
            <w:tcW w:w="3295" w:type="dxa"/>
            <w:noWrap w:val="0"/>
            <w:vAlign w:val="center"/>
          </w:tcPr>
          <w:p w14:paraId="050B4ABD">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无违法违规记录</w:t>
            </w:r>
          </w:p>
        </w:tc>
        <w:tc>
          <w:tcPr>
            <w:tcW w:w="4212" w:type="dxa"/>
            <w:noWrap w:val="0"/>
            <w:vAlign w:val="center"/>
          </w:tcPr>
          <w:p w14:paraId="4EFBE598">
            <w:pPr>
              <w:spacing w:before="24" w:after="24" w:line="276" w:lineRule="auto"/>
              <w:jc w:val="left"/>
              <w:rPr>
                <w:rFonts w:hint="eastAsia" w:ascii="仿宋" w:hAnsi="仿宋" w:eastAsia="仿宋" w:cs="仿宋"/>
                <w:color w:val="auto"/>
                <w:szCs w:val="21"/>
                <w:highlight w:val="none"/>
              </w:rPr>
            </w:pPr>
          </w:p>
        </w:tc>
      </w:tr>
      <w:tr w14:paraId="2BBC0F6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4" w:type="dxa"/>
            <w:vMerge w:val="continue"/>
            <w:noWrap w:val="0"/>
            <w:vAlign w:val="center"/>
          </w:tcPr>
          <w:p w14:paraId="3A2A5FDF">
            <w:pPr>
              <w:widowControl/>
              <w:spacing w:line="360" w:lineRule="auto"/>
              <w:jc w:val="center"/>
              <w:rPr>
                <w:rFonts w:hint="eastAsia" w:ascii="仿宋" w:hAnsi="仿宋" w:eastAsia="仿宋" w:cs="仿宋"/>
                <w:color w:val="auto"/>
                <w:kern w:val="0"/>
                <w:szCs w:val="21"/>
                <w:highlight w:val="none"/>
              </w:rPr>
            </w:pPr>
          </w:p>
        </w:tc>
        <w:tc>
          <w:tcPr>
            <w:tcW w:w="1701" w:type="dxa"/>
            <w:vMerge w:val="continue"/>
            <w:noWrap w:val="0"/>
            <w:vAlign w:val="top"/>
          </w:tcPr>
          <w:p w14:paraId="0C66FB8B">
            <w:pPr>
              <w:spacing w:before="24" w:after="24" w:line="360" w:lineRule="auto"/>
              <w:jc w:val="center"/>
              <w:rPr>
                <w:rFonts w:hint="eastAsia" w:ascii="仿宋" w:hAnsi="仿宋" w:eastAsia="仿宋" w:cs="仿宋"/>
                <w:color w:val="auto"/>
                <w:kern w:val="0"/>
                <w:szCs w:val="21"/>
                <w:highlight w:val="none"/>
              </w:rPr>
            </w:pPr>
          </w:p>
        </w:tc>
        <w:tc>
          <w:tcPr>
            <w:tcW w:w="3295" w:type="dxa"/>
            <w:noWrap w:val="0"/>
            <w:vAlign w:val="center"/>
          </w:tcPr>
          <w:p w14:paraId="29CFFB90">
            <w:pPr>
              <w:keepNext w:val="0"/>
              <w:keepLines w:val="0"/>
              <w:suppressLineNumbers w:val="0"/>
              <w:spacing w:before="24" w:beforeAutospacing="0" w:after="24" w:afterAutospacing="0"/>
              <w:ind w:left="0" w:leftChars="0" w:right="0" w:rightChars="0"/>
              <w:jc w:val="center"/>
              <w:rPr>
                <w:rFonts w:ascii="仿宋" w:hAnsi="仿宋" w:eastAsia="仿宋" w:cs="仿宋"/>
                <w:color w:val="auto"/>
                <w:kern w:val="0"/>
                <w:szCs w:val="21"/>
                <w:highlight w:val="none"/>
              </w:rPr>
            </w:pPr>
            <w:r>
              <w:rPr>
                <w:rFonts w:hint="eastAsia" w:ascii="仿宋" w:hAnsi="仿宋" w:eastAsia="仿宋" w:cs="Monaco"/>
                <w:color w:val="auto"/>
                <w:szCs w:val="21"/>
                <w:highlight w:val="none"/>
              </w:rPr>
              <w:t>未被列入黑名单</w:t>
            </w:r>
          </w:p>
        </w:tc>
        <w:tc>
          <w:tcPr>
            <w:tcW w:w="4212" w:type="dxa"/>
            <w:noWrap w:val="0"/>
            <w:vAlign w:val="center"/>
          </w:tcPr>
          <w:p w14:paraId="4859BB6F">
            <w:pPr>
              <w:spacing w:before="24" w:after="24" w:line="276" w:lineRule="auto"/>
              <w:jc w:val="left"/>
              <w:rPr>
                <w:rFonts w:hint="eastAsia" w:ascii="仿宋" w:hAnsi="仿宋" w:eastAsia="仿宋" w:cs="仿宋"/>
                <w:color w:val="auto"/>
                <w:szCs w:val="21"/>
                <w:highlight w:val="none"/>
              </w:rPr>
            </w:pPr>
          </w:p>
        </w:tc>
      </w:tr>
      <w:tr w14:paraId="7BACA6C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4" w:type="dxa"/>
            <w:vMerge w:val="continue"/>
            <w:noWrap w:val="0"/>
            <w:vAlign w:val="center"/>
          </w:tcPr>
          <w:p w14:paraId="01E67CE9">
            <w:pPr>
              <w:widowControl/>
              <w:spacing w:line="360" w:lineRule="auto"/>
              <w:jc w:val="center"/>
              <w:rPr>
                <w:rFonts w:hint="eastAsia" w:ascii="仿宋" w:hAnsi="仿宋" w:eastAsia="仿宋" w:cs="仿宋"/>
                <w:color w:val="auto"/>
                <w:kern w:val="0"/>
                <w:szCs w:val="21"/>
                <w:highlight w:val="none"/>
              </w:rPr>
            </w:pPr>
          </w:p>
        </w:tc>
        <w:tc>
          <w:tcPr>
            <w:tcW w:w="1701" w:type="dxa"/>
            <w:vMerge w:val="continue"/>
            <w:noWrap w:val="0"/>
            <w:vAlign w:val="top"/>
          </w:tcPr>
          <w:p w14:paraId="61306C14">
            <w:pPr>
              <w:spacing w:before="24" w:after="24" w:line="360" w:lineRule="auto"/>
              <w:jc w:val="center"/>
              <w:rPr>
                <w:rFonts w:hint="eastAsia" w:ascii="仿宋" w:hAnsi="仿宋" w:eastAsia="仿宋" w:cs="仿宋"/>
                <w:color w:val="auto"/>
                <w:kern w:val="0"/>
                <w:szCs w:val="21"/>
                <w:highlight w:val="none"/>
              </w:rPr>
            </w:pPr>
          </w:p>
        </w:tc>
        <w:tc>
          <w:tcPr>
            <w:tcW w:w="3295" w:type="dxa"/>
            <w:noWrap w:val="0"/>
            <w:vAlign w:val="center"/>
          </w:tcPr>
          <w:p w14:paraId="514D47DD">
            <w:pPr>
              <w:keepNext w:val="0"/>
              <w:keepLines w:val="0"/>
              <w:suppressLineNumbers w:val="0"/>
              <w:spacing w:before="24" w:beforeAutospacing="0" w:after="24" w:afterAutospacing="0"/>
              <w:ind w:left="0" w:leftChars="0" w:right="0" w:rightChars="0"/>
              <w:jc w:val="center"/>
              <w:rPr>
                <w:rFonts w:ascii="仿宋" w:hAnsi="仿宋" w:eastAsia="仿宋" w:cs="仿宋"/>
                <w:color w:val="auto"/>
                <w:szCs w:val="21"/>
                <w:highlight w:val="none"/>
              </w:rPr>
            </w:pPr>
            <w:r>
              <w:rPr>
                <w:rFonts w:hint="eastAsia" w:ascii="仿宋" w:hAnsi="仿宋" w:eastAsia="仿宋" w:cs="Cambria Math"/>
                <w:color w:val="auto"/>
                <w:szCs w:val="21"/>
                <w:highlight w:val="none"/>
              </w:rPr>
              <w:t>控股及管理关系</w:t>
            </w:r>
          </w:p>
        </w:tc>
        <w:tc>
          <w:tcPr>
            <w:tcW w:w="4212" w:type="dxa"/>
            <w:noWrap w:val="0"/>
            <w:vAlign w:val="center"/>
          </w:tcPr>
          <w:p w14:paraId="77146255">
            <w:pPr>
              <w:spacing w:before="24" w:after="24" w:line="276" w:lineRule="auto"/>
              <w:rPr>
                <w:rFonts w:hint="eastAsia" w:ascii="仿宋" w:hAnsi="仿宋" w:eastAsia="仿宋" w:cs="仿宋"/>
                <w:color w:val="auto"/>
                <w:szCs w:val="21"/>
                <w:highlight w:val="none"/>
              </w:rPr>
            </w:pPr>
          </w:p>
        </w:tc>
      </w:tr>
      <w:tr w14:paraId="6C7F20D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4" w:type="dxa"/>
            <w:vMerge w:val="continue"/>
            <w:noWrap w:val="0"/>
            <w:vAlign w:val="center"/>
          </w:tcPr>
          <w:p w14:paraId="129619EF">
            <w:pPr>
              <w:widowControl/>
              <w:spacing w:line="360" w:lineRule="auto"/>
              <w:jc w:val="center"/>
              <w:rPr>
                <w:rFonts w:ascii="仿宋" w:hAnsi="仿宋" w:eastAsia="仿宋" w:cs="仿宋"/>
                <w:color w:val="auto"/>
                <w:kern w:val="0"/>
                <w:szCs w:val="21"/>
                <w:highlight w:val="none"/>
              </w:rPr>
            </w:pPr>
          </w:p>
        </w:tc>
        <w:tc>
          <w:tcPr>
            <w:tcW w:w="1701" w:type="dxa"/>
            <w:vMerge w:val="continue"/>
            <w:noWrap w:val="0"/>
            <w:vAlign w:val="top"/>
          </w:tcPr>
          <w:p w14:paraId="46509AA9">
            <w:pPr>
              <w:spacing w:before="24" w:after="24" w:line="360" w:lineRule="auto"/>
              <w:jc w:val="center"/>
              <w:rPr>
                <w:rFonts w:hint="eastAsia" w:ascii="仿宋" w:hAnsi="仿宋" w:eastAsia="仿宋" w:cs="仿宋"/>
                <w:color w:val="auto"/>
                <w:kern w:val="0"/>
                <w:szCs w:val="21"/>
                <w:highlight w:val="none"/>
              </w:rPr>
            </w:pPr>
          </w:p>
        </w:tc>
        <w:tc>
          <w:tcPr>
            <w:tcW w:w="3295" w:type="dxa"/>
            <w:noWrap w:val="0"/>
            <w:vAlign w:val="center"/>
          </w:tcPr>
          <w:p w14:paraId="730C5F6F">
            <w:pPr>
              <w:keepNext w:val="0"/>
              <w:keepLines w:val="0"/>
              <w:suppressLineNumbers w:val="0"/>
              <w:spacing w:before="24" w:beforeAutospacing="0" w:after="24" w:afterAutospacing="0"/>
              <w:ind w:left="0" w:leftChars="0" w:right="0" w:rightChars="0"/>
              <w:jc w:val="center"/>
              <w:rPr>
                <w:rFonts w:ascii="仿宋" w:hAnsi="仿宋" w:eastAsia="仿宋" w:cs="仿宋"/>
                <w:color w:val="auto"/>
                <w:kern w:val="0"/>
                <w:szCs w:val="21"/>
                <w:highlight w:val="none"/>
              </w:rPr>
            </w:pPr>
            <w:r>
              <w:rPr>
                <w:rFonts w:hint="default" w:ascii="仿宋" w:hAnsi="仿宋" w:eastAsia="仿宋" w:cs="仿宋"/>
                <w:color w:val="auto"/>
                <w:kern w:val="2"/>
                <w:sz w:val="21"/>
                <w:szCs w:val="21"/>
                <w:highlight w:val="none"/>
                <w:lang w:val="en-US" w:eastAsia="zh-CN" w:bidi="ar-SA"/>
              </w:rPr>
              <w:t>联合体响应</w:t>
            </w:r>
          </w:p>
        </w:tc>
        <w:tc>
          <w:tcPr>
            <w:tcW w:w="4212" w:type="dxa"/>
            <w:noWrap w:val="0"/>
            <w:vAlign w:val="center"/>
          </w:tcPr>
          <w:p w14:paraId="5661D267">
            <w:pPr>
              <w:spacing w:before="24" w:after="24" w:line="276" w:lineRule="auto"/>
              <w:jc w:val="left"/>
              <w:rPr>
                <w:rFonts w:hint="eastAsia" w:ascii="仿宋" w:hAnsi="仿宋" w:eastAsia="仿宋" w:cs="仿宋"/>
                <w:color w:val="auto"/>
                <w:szCs w:val="21"/>
                <w:highlight w:val="none"/>
              </w:rPr>
            </w:pPr>
          </w:p>
        </w:tc>
      </w:tr>
      <w:tr w14:paraId="4D5ECF5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34" w:hRule="atLeast"/>
          <w:jc w:val="center"/>
        </w:trPr>
        <w:tc>
          <w:tcPr>
            <w:tcW w:w="814" w:type="dxa"/>
            <w:vMerge w:val="continue"/>
            <w:noWrap w:val="0"/>
            <w:vAlign w:val="center"/>
          </w:tcPr>
          <w:p w14:paraId="044F3117">
            <w:pPr>
              <w:widowControl/>
              <w:spacing w:line="360" w:lineRule="auto"/>
              <w:jc w:val="center"/>
              <w:rPr>
                <w:rFonts w:ascii="仿宋" w:hAnsi="仿宋" w:eastAsia="仿宋" w:cs="仿宋"/>
                <w:color w:val="auto"/>
                <w:kern w:val="0"/>
                <w:szCs w:val="21"/>
                <w:highlight w:val="none"/>
              </w:rPr>
            </w:pPr>
          </w:p>
        </w:tc>
        <w:tc>
          <w:tcPr>
            <w:tcW w:w="1701" w:type="dxa"/>
            <w:vMerge w:val="continue"/>
            <w:noWrap w:val="0"/>
            <w:vAlign w:val="top"/>
          </w:tcPr>
          <w:p w14:paraId="78345CF4">
            <w:pPr>
              <w:spacing w:before="24" w:after="24" w:line="360" w:lineRule="auto"/>
              <w:jc w:val="center"/>
              <w:rPr>
                <w:rFonts w:hint="eastAsia" w:ascii="仿宋" w:hAnsi="仿宋" w:eastAsia="仿宋" w:cs="仿宋"/>
                <w:color w:val="auto"/>
                <w:kern w:val="0"/>
                <w:szCs w:val="21"/>
                <w:highlight w:val="none"/>
              </w:rPr>
            </w:pPr>
          </w:p>
        </w:tc>
        <w:tc>
          <w:tcPr>
            <w:tcW w:w="3295" w:type="dxa"/>
            <w:noWrap w:val="0"/>
            <w:vAlign w:val="center"/>
          </w:tcPr>
          <w:p w14:paraId="4411A7E4">
            <w:pPr>
              <w:spacing w:before="24" w:after="24" w:line="276" w:lineRule="auto"/>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资质要求</w:t>
            </w:r>
          </w:p>
        </w:tc>
        <w:tc>
          <w:tcPr>
            <w:tcW w:w="4212" w:type="dxa"/>
            <w:noWrap w:val="0"/>
            <w:vAlign w:val="center"/>
          </w:tcPr>
          <w:p w14:paraId="5ADEDEDC">
            <w:pPr>
              <w:spacing w:before="24" w:after="24" w:line="276" w:lineRule="auto"/>
              <w:jc w:val="left"/>
              <w:rPr>
                <w:rFonts w:hint="eastAsia" w:ascii="仿宋" w:hAnsi="仿宋" w:eastAsia="仿宋" w:cs="仿宋"/>
                <w:color w:val="auto"/>
                <w:szCs w:val="21"/>
                <w:highlight w:val="none"/>
              </w:rPr>
            </w:pPr>
          </w:p>
        </w:tc>
      </w:tr>
      <w:tr w14:paraId="69FB176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01" w:hRule="atLeast"/>
          <w:jc w:val="center"/>
        </w:trPr>
        <w:tc>
          <w:tcPr>
            <w:tcW w:w="814" w:type="dxa"/>
            <w:vMerge w:val="continue"/>
            <w:noWrap w:val="0"/>
            <w:vAlign w:val="center"/>
          </w:tcPr>
          <w:p w14:paraId="1897C4D6">
            <w:pPr>
              <w:spacing w:before="24" w:after="24" w:line="276" w:lineRule="auto"/>
              <w:jc w:val="center"/>
            </w:pPr>
          </w:p>
        </w:tc>
        <w:tc>
          <w:tcPr>
            <w:tcW w:w="1701" w:type="dxa"/>
            <w:vMerge w:val="continue"/>
            <w:noWrap w:val="0"/>
            <w:vAlign w:val="top"/>
          </w:tcPr>
          <w:p w14:paraId="6ACBA3F6">
            <w:pPr>
              <w:spacing w:before="24" w:after="24" w:line="276" w:lineRule="auto"/>
              <w:jc w:val="center"/>
            </w:pPr>
          </w:p>
        </w:tc>
        <w:tc>
          <w:tcPr>
            <w:tcW w:w="3295" w:type="dxa"/>
            <w:noWrap w:val="0"/>
            <w:vAlign w:val="center"/>
          </w:tcPr>
          <w:p w14:paraId="410DDABF">
            <w:pPr>
              <w:spacing w:before="24" w:after="24" w:line="276" w:lineRule="auto"/>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项目经理要求</w:t>
            </w:r>
          </w:p>
        </w:tc>
        <w:tc>
          <w:tcPr>
            <w:tcW w:w="4212" w:type="dxa"/>
            <w:noWrap w:val="0"/>
            <w:vAlign w:val="center"/>
          </w:tcPr>
          <w:p w14:paraId="77807717">
            <w:pPr>
              <w:spacing w:before="24" w:after="24" w:line="276" w:lineRule="auto"/>
              <w:jc w:val="center"/>
              <w:rPr>
                <w:rFonts w:hint="eastAsia" w:ascii="仿宋" w:hAnsi="仿宋" w:eastAsia="仿宋" w:cs="仿宋"/>
                <w:color w:val="auto"/>
                <w:szCs w:val="21"/>
                <w:highlight w:val="none"/>
                <w:lang w:val="en-US" w:eastAsia="zh-CN"/>
              </w:rPr>
            </w:pPr>
          </w:p>
        </w:tc>
      </w:tr>
      <w:tr w14:paraId="2E41709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4" w:type="dxa"/>
            <w:vMerge w:val="restart"/>
            <w:noWrap w:val="0"/>
            <w:vAlign w:val="center"/>
          </w:tcPr>
          <w:p w14:paraId="0ABBD03C">
            <w:pPr>
              <w:widowControl/>
              <w:spacing w:line="360" w:lineRule="auto"/>
              <w:jc w:val="center"/>
              <w:rPr>
                <w:rFonts w:hint="eastAsia" w:ascii="仿宋" w:hAnsi="仿宋" w:eastAsia="仿宋" w:cs="仿宋"/>
                <w:color w:val="auto"/>
                <w:kern w:val="0"/>
                <w:szCs w:val="21"/>
                <w:highlight w:val="none"/>
              </w:rPr>
            </w:pPr>
            <w:r>
              <w:rPr>
                <w:rFonts w:ascii="仿宋" w:hAnsi="仿宋" w:eastAsia="仿宋" w:cs="仿宋"/>
                <w:color w:val="auto"/>
                <w:kern w:val="0"/>
                <w:szCs w:val="21"/>
                <w:highlight w:val="none"/>
              </w:rPr>
              <w:t>3</w:t>
            </w:r>
          </w:p>
        </w:tc>
        <w:tc>
          <w:tcPr>
            <w:tcW w:w="1701" w:type="dxa"/>
            <w:vMerge w:val="restart"/>
            <w:noWrap w:val="0"/>
            <w:vAlign w:val="center"/>
          </w:tcPr>
          <w:p w14:paraId="2780687A">
            <w:pPr>
              <w:spacing w:before="24" w:after="24"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响应性评审标准</w:t>
            </w:r>
          </w:p>
        </w:tc>
        <w:tc>
          <w:tcPr>
            <w:tcW w:w="3295" w:type="dxa"/>
            <w:noWrap w:val="0"/>
            <w:vAlign w:val="center"/>
          </w:tcPr>
          <w:p w14:paraId="21DE8807">
            <w:pPr>
              <w:spacing w:before="24" w:after="24" w:line="276" w:lineRule="auto"/>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响应函</w:t>
            </w:r>
          </w:p>
        </w:tc>
        <w:tc>
          <w:tcPr>
            <w:tcW w:w="4212" w:type="dxa"/>
            <w:noWrap w:val="0"/>
            <w:vAlign w:val="center"/>
          </w:tcPr>
          <w:p w14:paraId="55153D69">
            <w:pPr>
              <w:spacing w:before="24" w:after="24" w:line="276" w:lineRule="auto"/>
              <w:jc w:val="left"/>
              <w:rPr>
                <w:rFonts w:hint="eastAsia" w:ascii="仿宋" w:hAnsi="仿宋" w:eastAsia="仿宋" w:cs="仿宋"/>
                <w:color w:val="auto"/>
                <w:szCs w:val="21"/>
                <w:highlight w:val="none"/>
              </w:rPr>
            </w:pPr>
          </w:p>
        </w:tc>
      </w:tr>
      <w:tr w14:paraId="2949055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4" w:type="dxa"/>
            <w:vMerge w:val="continue"/>
            <w:noWrap w:val="0"/>
            <w:vAlign w:val="center"/>
          </w:tcPr>
          <w:p w14:paraId="4F054D31">
            <w:pPr>
              <w:widowControl/>
              <w:spacing w:line="360" w:lineRule="auto"/>
              <w:jc w:val="center"/>
              <w:rPr>
                <w:rFonts w:hint="eastAsia" w:ascii="仿宋" w:hAnsi="仿宋" w:eastAsia="仿宋" w:cs="仿宋"/>
                <w:color w:val="auto"/>
                <w:kern w:val="0"/>
                <w:szCs w:val="21"/>
                <w:highlight w:val="none"/>
              </w:rPr>
            </w:pPr>
          </w:p>
        </w:tc>
        <w:tc>
          <w:tcPr>
            <w:tcW w:w="1701" w:type="dxa"/>
            <w:vMerge w:val="continue"/>
            <w:noWrap w:val="0"/>
            <w:vAlign w:val="center"/>
          </w:tcPr>
          <w:p w14:paraId="40103FA7">
            <w:pPr>
              <w:spacing w:before="24" w:after="24" w:line="360" w:lineRule="auto"/>
              <w:jc w:val="center"/>
              <w:rPr>
                <w:rFonts w:hint="eastAsia" w:ascii="仿宋" w:hAnsi="仿宋" w:eastAsia="仿宋" w:cs="仿宋"/>
                <w:color w:val="auto"/>
                <w:kern w:val="0"/>
                <w:szCs w:val="21"/>
                <w:highlight w:val="none"/>
              </w:rPr>
            </w:pPr>
          </w:p>
        </w:tc>
        <w:tc>
          <w:tcPr>
            <w:tcW w:w="3295" w:type="dxa"/>
            <w:noWrap w:val="0"/>
            <w:vAlign w:val="center"/>
          </w:tcPr>
          <w:p w14:paraId="1320556D">
            <w:pPr>
              <w:spacing w:before="24" w:after="24" w:line="276" w:lineRule="auto"/>
              <w:jc w:val="center"/>
              <w:rPr>
                <w:rFonts w:hint="eastAsia" w:ascii="仿宋" w:hAnsi="仿宋" w:eastAsia="仿宋" w:cs="仿宋"/>
                <w:color w:val="auto"/>
                <w:kern w:val="0"/>
                <w:szCs w:val="21"/>
                <w:highlight w:val="none"/>
                <w:lang w:eastAsia="zh-CN"/>
              </w:rPr>
            </w:pPr>
            <w:r>
              <w:rPr>
                <w:rFonts w:hint="eastAsia" w:ascii="仿宋" w:hAnsi="仿宋" w:eastAsia="仿宋" w:cs="Cambria Math"/>
                <w:color w:val="auto"/>
                <w:szCs w:val="21"/>
                <w:highlight w:val="none"/>
              </w:rPr>
              <w:t>磋商保证</w:t>
            </w:r>
            <w:r>
              <w:rPr>
                <w:rFonts w:hint="eastAsia" w:ascii="仿宋" w:hAnsi="仿宋" w:eastAsia="仿宋" w:cs="Cambria Math"/>
                <w:color w:val="auto"/>
                <w:szCs w:val="21"/>
                <w:highlight w:val="none"/>
                <w:lang w:val="en-US" w:eastAsia="zh-CN"/>
              </w:rPr>
              <w:t>金</w:t>
            </w:r>
          </w:p>
        </w:tc>
        <w:tc>
          <w:tcPr>
            <w:tcW w:w="4212" w:type="dxa"/>
            <w:noWrap w:val="0"/>
            <w:vAlign w:val="center"/>
          </w:tcPr>
          <w:p w14:paraId="409BBAB6">
            <w:pPr>
              <w:spacing w:before="24" w:after="24" w:line="276" w:lineRule="auto"/>
              <w:jc w:val="left"/>
              <w:rPr>
                <w:rFonts w:hint="eastAsia" w:ascii="仿宋" w:hAnsi="仿宋" w:eastAsia="仿宋" w:cs="仿宋"/>
                <w:color w:val="auto"/>
                <w:szCs w:val="21"/>
                <w:highlight w:val="none"/>
              </w:rPr>
            </w:pPr>
          </w:p>
        </w:tc>
      </w:tr>
      <w:tr w14:paraId="5DC97C3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4" w:type="dxa"/>
            <w:vMerge w:val="continue"/>
            <w:noWrap w:val="0"/>
            <w:vAlign w:val="center"/>
          </w:tcPr>
          <w:p w14:paraId="2005AA25">
            <w:pPr>
              <w:widowControl/>
              <w:spacing w:line="360" w:lineRule="auto"/>
              <w:jc w:val="center"/>
              <w:rPr>
                <w:rFonts w:hint="eastAsia" w:ascii="仿宋" w:hAnsi="仿宋" w:eastAsia="仿宋" w:cs="仿宋"/>
                <w:color w:val="auto"/>
                <w:kern w:val="0"/>
                <w:szCs w:val="21"/>
                <w:highlight w:val="none"/>
              </w:rPr>
            </w:pPr>
          </w:p>
        </w:tc>
        <w:tc>
          <w:tcPr>
            <w:tcW w:w="1701" w:type="dxa"/>
            <w:vMerge w:val="continue"/>
            <w:noWrap w:val="0"/>
            <w:vAlign w:val="center"/>
          </w:tcPr>
          <w:p w14:paraId="27EB59A1">
            <w:pPr>
              <w:spacing w:before="24" w:after="24" w:line="360" w:lineRule="auto"/>
              <w:jc w:val="center"/>
              <w:rPr>
                <w:rFonts w:hint="eastAsia" w:ascii="仿宋" w:hAnsi="仿宋" w:eastAsia="仿宋" w:cs="仿宋"/>
                <w:color w:val="auto"/>
                <w:kern w:val="0"/>
                <w:szCs w:val="21"/>
                <w:highlight w:val="none"/>
              </w:rPr>
            </w:pPr>
          </w:p>
        </w:tc>
        <w:tc>
          <w:tcPr>
            <w:tcW w:w="3295" w:type="dxa"/>
            <w:noWrap w:val="0"/>
            <w:vAlign w:val="center"/>
          </w:tcPr>
          <w:p w14:paraId="4CDE1334">
            <w:pPr>
              <w:spacing w:before="24" w:after="24" w:line="276" w:lineRule="auto"/>
              <w:jc w:val="center"/>
              <w:rPr>
                <w:rFonts w:hint="eastAsia" w:ascii="仿宋" w:hAnsi="仿宋" w:eastAsia="仿宋" w:cs="Cambria Math"/>
                <w:color w:val="auto"/>
                <w:szCs w:val="21"/>
                <w:highlight w:val="none"/>
              </w:rPr>
            </w:pPr>
            <w:r>
              <w:rPr>
                <w:rFonts w:hint="eastAsia" w:ascii="仿宋" w:hAnsi="仿宋" w:eastAsia="仿宋" w:cs="宋体"/>
                <w:color w:val="auto"/>
                <w:szCs w:val="21"/>
                <w:highlight w:val="none"/>
              </w:rPr>
              <w:t>供应商行为准则承诺书</w:t>
            </w:r>
          </w:p>
        </w:tc>
        <w:tc>
          <w:tcPr>
            <w:tcW w:w="4212" w:type="dxa"/>
            <w:noWrap w:val="0"/>
            <w:vAlign w:val="center"/>
          </w:tcPr>
          <w:p w14:paraId="0640D3DD">
            <w:pPr>
              <w:spacing w:before="24" w:after="24" w:line="276" w:lineRule="auto"/>
              <w:jc w:val="left"/>
              <w:rPr>
                <w:rFonts w:hint="eastAsia" w:ascii="仿宋" w:hAnsi="仿宋" w:eastAsia="仿宋" w:cs="仿宋"/>
                <w:color w:val="auto"/>
                <w:szCs w:val="21"/>
                <w:highlight w:val="none"/>
              </w:rPr>
            </w:pPr>
          </w:p>
        </w:tc>
      </w:tr>
      <w:tr w14:paraId="2D45B81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4" w:type="dxa"/>
            <w:vMerge w:val="continue"/>
            <w:noWrap w:val="0"/>
            <w:vAlign w:val="center"/>
          </w:tcPr>
          <w:p w14:paraId="58079097">
            <w:pPr>
              <w:widowControl/>
              <w:spacing w:line="360" w:lineRule="auto"/>
              <w:jc w:val="center"/>
              <w:rPr>
                <w:rFonts w:hint="eastAsia" w:ascii="仿宋" w:hAnsi="仿宋" w:eastAsia="仿宋" w:cs="仿宋"/>
                <w:color w:val="auto"/>
                <w:kern w:val="0"/>
                <w:szCs w:val="21"/>
                <w:highlight w:val="none"/>
              </w:rPr>
            </w:pPr>
          </w:p>
        </w:tc>
        <w:tc>
          <w:tcPr>
            <w:tcW w:w="1701" w:type="dxa"/>
            <w:vMerge w:val="continue"/>
            <w:noWrap w:val="0"/>
            <w:vAlign w:val="center"/>
          </w:tcPr>
          <w:p w14:paraId="52AE9A42">
            <w:pPr>
              <w:spacing w:before="24" w:after="24" w:line="360" w:lineRule="auto"/>
              <w:jc w:val="center"/>
              <w:rPr>
                <w:rFonts w:hint="eastAsia" w:ascii="仿宋" w:hAnsi="仿宋" w:eastAsia="仿宋" w:cs="仿宋"/>
                <w:color w:val="auto"/>
                <w:kern w:val="0"/>
                <w:szCs w:val="21"/>
                <w:highlight w:val="none"/>
              </w:rPr>
            </w:pPr>
          </w:p>
        </w:tc>
        <w:tc>
          <w:tcPr>
            <w:tcW w:w="3295" w:type="dxa"/>
            <w:noWrap w:val="0"/>
            <w:vAlign w:val="center"/>
          </w:tcPr>
          <w:p w14:paraId="40EE8114">
            <w:pPr>
              <w:spacing w:before="24" w:after="24" w:line="276" w:lineRule="auto"/>
              <w:jc w:val="center"/>
              <w:rPr>
                <w:rFonts w:hint="eastAsia" w:ascii="仿宋" w:hAnsi="仿宋" w:eastAsia="仿宋" w:cs="Cambria Math"/>
                <w:color w:val="auto"/>
                <w:szCs w:val="21"/>
                <w:highlight w:val="none"/>
              </w:rPr>
            </w:pPr>
            <w:r>
              <w:rPr>
                <w:rFonts w:hint="eastAsia" w:ascii="仿宋" w:hAnsi="仿宋" w:eastAsia="仿宋" w:cs="宋体"/>
                <w:color w:val="auto"/>
                <w:szCs w:val="21"/>
                <w:highlight w:val="none"/>
              </w:rPr>
              <w:t>供应商廉洁诚信承诺书</w:t>
            </w:r>
          </w:p>
        </w:tc>
        <w:tc>
          <w:tcPr>
            <w:tcW w:w="4212" w:type="dxa"/>
            <w:noWrap w:val="0"/>
            <w:vAlign w:val="center"/>
          </w:tcPr>
          <w:p w14:paraId="4577C76F">
            <w:pPr>
              <w:spacing w:before="24" w:after="24" w:line="276" w:lineRule="auto"/>
              <w:jc w:val="left"/>
              <w:rPr>
                <w:rFonts w:hint="eastAsia" w:ascii="仿宋" w:hAnsi="仿宋" w:eastAsia="仿宋" w:cs="仿宋"/>
                <w:color w:val="auto"/>
                <w:szCs w:val="21"/>
                <w:highlight w:val="none"/>
              </w:rPr>
            </w:pPr>
          </w:p>
        </w:tc>
      </w:tr>
      <w:tr w14:paraId="386FE14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4" w:type="dxa"/>
            <w:vMerge w:val="continue"/>
            <w:noWrap w:val="0"/>
            <w:vAlign w:val="center"/>
          </w:tcPr>
          <w:p w14:paraId="0F0DE0FA">
            <w:pPr>
              <w:widowControl/>
              <w:spacing w:line="360" w:lineRule="auto"/>
              <w:jc w:val="center"/>
              <w:rPr>
                <w:rFonts w:hint="eastAsia" w:ascii="仿宋" w:hAnsi="仿宋" w:eastAsia="仿宋" w:cs="仿宋"/>
                <w:color w:val="auto"/>
                <w:kern w:val="0"/>
                <w:szCs w:val="21"/>
                <w:highlight w:val="none"/>
              </w:rPr>
            </w:pPr>
          </w:p>
        </w:tc>
        <w:tc>
          <w:tcPr>
            <w:tcW w:w="1701" w:type="dxa"/>
            <w:vMerge w:val="continue"/>
            <w:noWrap w:val="0"/>
            <w:vAlign w:val="center"/>
          </w:tcPr>
          <w:p w14:paraId="6B8623CE">
            <w:pPr>
              <w:spacing w:before="24" w:after="24" w:line="360" w:lineRule="auto"/>
              <w:jc w:val="center"/>
              <w:rPr>
                <w:rFonts w:hint="eastAsia" w:ascii="仿宋" w:hAnsi="仿宋" w:eastAsia="仿宋" w:cs="仿宋"/>
                <w:color w:val="auto"/>
                <w:kern w:val="0"/>
                <w:szCs w:val="21"/>
                <w:highlight w:val="none"/>
              </w:rPr>
            </w:pPr>
          </w:p>
        </w:tc>
        <w:tc>
          <w:tcPr>
            <w:tcW w:w="3295" w:type="dxa"/>
            <w:noWrap w:val="0"/>
            <w:vAlign w:val="center"/>
          </w:tcPr>
          <w:p w14:paraId="575E5DF9">
            <w:pPr>
              <w:spacing w:before="24" w:after="24" w:line="276" w:lineRule="auto"/>
              <w:jc w:val="center"/>
              <w:rPr>
                <w:rFonts w:hint="eastAsia" w:ascii="仿宋" w:hAnsi="仿宋" w:eastAsia="仿宋" w:cs="仿宋"/>
                <w:color w:val="auto"/>
                <w:kern w:val="0"/>
                <w:szCs w:val="21"/>
                <w:highlight w:val="none"/>
              </w:rPr>
            </w:pPr>
            <w:r>
              <w:rPr>
                <w:rFonts w:hint="eastAsia" w:ascii="仿宋" w:hAnsi="仿宋" w:eastAsia="仿宋" w:cs="Cambria Math"/>
                <w:color w:val="auto"/>
                <w:szCs w:val="21"/>
                <w:highlight w:val="none"/>
              </w:rPr>
              <w:t>供应商偏离应答</w:t>
            </w:r>
          </w:p>
        </w:tc>
        <w:tc>
          <w:tcPr>
            <w:tcW w:w="4212" w:type="dxa"/>
            <w:noWrap w:val="0"/>
            <w:vAlign w:val="center"/>
          </w:tcPr>
          <w:p w14:paraId="07AC337B">
            <w:pPr>
              <w:spacing w:before="24" w:after="24" w:line="276" w:lineRule="auto"/>
              <w:jc w:val="left"/>
              <w:rPr>
                <w:rFonts w:hint="eastAsia" w:ascii="仿宋" w:hAnsi="仿宋" w:eastAsia="仿宋" w:cs="仿宋"/>
                <w:color w:val="auto"/>
                <w:szCs w:val="21"/>
                <w:highlight w:val="none"/>
              </w:rPr>
            </w:pPr>
          </w:p>
        </w:tc>
      </w:tr>
    </w:tbl>
    <w:p w14:paraId="6AB30AFA">
      <w:pPr>
        <w:rPr>
          <w:rFonts w:hint="eastAsia" w:ascii="宋体" w:hAnsi="宋体"/>
          <w:color w:val="auto"/>
          <w:kern w:val="0"/>
          <w:szCs w:val="21"/>
          <w:highlight w:val="none"/>
        </w:rPr>
        <w:sectPr>
          <w:footerReference r:id="rId11" w:type="default"/>
          <w:pgSz w:w="11906" w:h="16838"/>
          <w:pgMar w:top="1417" w:right="1134" w:bottom="1134" w:left="1134" w:header="964" w:footer="964" w:gutter="0"/>
          <w:cols w:space="720" w:num="1"/>
          <w:docGrid w:linePitch="312" w:charSpace="0"/>
        </w:sectPr>
      </w:pPr>
    </w:p>
    <w:bookmarkEnd w:id="154"/>
    <w:bookmarkEnd w:id="155"/>
    <w:bookmarkEnd w:id="156"/>
    <w:bookmarkEnd w:id="157"/>
    <w:bookmarkEnd w:id="158"/>
    <w:bookmarkEnd w:id="159"/>
    <w:bookmarkEnd w:id="160"/>
    <w:bookmarkEnd w:id="161"/>
    <w:p w14:paraId="6A61DD91">
      <w:pPr>
        <w:bidi w:val="0"/>
        <w:jc w:val="center"/>
        <w:rPr>
          <w:rFonts w:hint="eastAsia" w:ascii="仿宋" w:hAnsi="仿宋" w:eastAsia="仿宋" w:cs="仿宋"/>
          <w:b/>
          <w:bCs/>
          <w:color w:val="auto"/>
          <w:sz w:val="24"/>
          <w:szCs w:val="24"/>
          <w:highlight w:val="none"/>
        </w:rPr>
      </w:pPr>
      <w:bookmarkStart w:id="166" w:name="_Toc7202"/>
      <w:bookmarkStart w:id="167" w:name="_Toc27799"/>
      <w:bookmarkStart w:id="168" w:name="_Toc444891354"/>
      <w:bookmarkStart w:id="169" w:name="_Toc517281837"/>
      <w:bookmarkStart w:id="170" w:name="_Toc25121"/>
      <w:bookmarkStart w:id="171" w:name="_Toc12140"/>
      <w:r>
        <w:rPr>
          <w:rFonts w:hint="eastAsia" w:ascii="仿宋" w:hAnsi="仿宋" w:eastAsia="仿宋" w:cs="仿宋"/>
          <w:b/>
          <w:bCs/>
          <w:color w:val="auto"/>
          <w:sz w:val="24"/>
          <w:szCs w:val="24"/>
          <w:highlight w:val="none"/>
        </w:rPr>
        <w:t>详细评审索引表</w:t>
      </w:r>
    </w:p>
    <w:p w14:paraId="4E64F678">
      <w:pPr>
        <w:bidi w:val="0"/>
        <w:jc w:val="center"/>
        <w:rPr>
          <w:rFonts w:hint="eastAsia" w:ascii="仿宋" w:hAnsi="仿宋" w:eastAsia="仿宋" w:cs="仿宋"/>
          <w:b/>
          <w:bCs/>
          <w:color w:val="auto"/>
          <w:sz w:val="24"/>
          <w:szCs w:val="24"/>
          <w:highlight w:val="none"/>
        </w:rPr>
      </w:pPr>
    </w:p>
    <w:tbl>
      <w:tblPr>
        <w:tblStyle w:val="41"/>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14:paraId="0CE74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14:paraId="1B596934">
            <w:pPr>
              <w:widowControl/>
              <w:jc w:val="center"/>
              <w:textAlignment w:val="center"/>
              <w:rPr>
                <w:rFonts w:hint="eastAsia" w:ascii="仿宋" w:hAnsi="仿宋" w:eastAsia="仿宋" w:cs="宋体"/>
                <w:b/>
                <w:color w:val="auto"/>
                <w:szCs w:val="21"/>
                <w:highlight w:val="none"/>
              </w:rPr>
            </w:pPr>
            <w:r>
              <w:rPr>
                <w:rFonts w:hint="eastAsia" w:ascii="仿宋" w:hAnsi="仿宋" w:eastAsia="仿宋" w:cs="宋体"/>
                <w:b/>
                <w:color w:val="auto"/>
                <w:kern w:val="0"/>
                <w:szCs w:val="21"/>
                <w:highlight w:val="none"/>
                <w:lang w:bidi="ar"/>
              </w:rPr>
              <w:t>序号</w:t>
            </w:r>
          </w:p>
        </w:tc>
        <w:tc>
          <w:tcPr>
            <w:tcW w:w="1696" w:type="dxa"/>
            <w:noWrap w:val="0"/>
            <w:tcMar>
              <w:top w:w="15" w:type="dxa"/>
              <w:left w:w="15" w:type="dxa"/>
              <w:right w:w="15" w:type="dxa"/>
            </w:tcMar>
            <w:vAlign w:val="center"/>
          </w:tcPr>
          <w:p w14:paraId="3825AEB3">
            <w:pPr>
              <w:jc w:val="center"/>
              <w:rPr>
                <w:rFonts w:hint="eastAsia" w:ascii="仿宋" w:hAnsi="仿宋" w:eastAsia="仿宋" w:cs="宋体"/>
                <w:b/>
                <w:color w:val="auto"/>
                <w:kern w:val="0"/>
                <w:szCs w:val="21"/>
                <w:highlight w:val="none"/>
                <w:lang w:bidi="ar"/>
              </w:rPr>
            </w:pPr>
            <w:r>
              <w:rPr>
                <w:rFonts w:hint="eastAsia" w:ascii="仿宋" w:hAnsi="仿宋" w:eastAsia="仿宋" w:cs="宋体"/>
                <w:b/>
                <w:bCs/>
                <w:color w:val="auto"/>
                <w:szCs w:val="21"/>
                <w:highlight w:val="none"/>
              </w:rPr>
              <w:t>评审项</w:t>
            </w:r>
          </w:p>
        </w:tc>
        <w:tc>
          <w:tcPr>
            <w:tcW w:w="2268" w:type="dxa"/>
            <w:noWrap w:val="0"/>
            <w:vAlign w:val="top"/>
          </w:tcPr>
          <w:p w14:paraId="2277B3A7">
            <w:pPr>
              <w:widowControl/>
              <w:jc w:val="center"/>
              <w:rPr>
                <w:rFonts w:hint="eastAsia" w:ascii="仿宋" w:hAnsi="仿宋" w:eastAsia="仿宋" w:cs="宋体"/>
                <w:b/>
                <w:color w:val="auto"/>
                <w:kern w:val="0"/>
                <w:szCs w:val="21"/>
                <w:highlight w:val="none"/>
              </w:rPr>
            </w:pPr>
            <w:r>
              <w:rPr>
                <w:rFonts w:hint="eastAsia" w:ascii="仿宋" w:hAnsi="仿宋" w:eastAsia="仿宋" w:cs="宋体"/>
                <w:b/>
                <w:color w:val="auto"/>
                <w:kern w:val="0"/>
                <w:szCs w:val="21"/>
                <w:highlight w:val="none"/>
                <w:lang w:bidi="ar"/>
              </w:rPr>
              <w:t>评审因素</w:t>
            </w:r>
          </w:p>
        </w:tc>
        <w:tc>
          <w:tcPr>
            <w:tcW w:w="4820" w:type="dxa"/>
            <w:noWrap w:val="0"/>
            <w:tcMar>
              <w:top w:w="15" w:type="dxa"/>
              <w:left w:w="15" w:type="dxa"/>
              <w:right w:w="15" w:type="dxa"/>
            </w:tcMar>
            <w:vAlign w:val="center"/>
          </w:tcPr>
          <w:p w14:paraId="73C58DEC">
            <w:pPr>
              <w:widowControl/>
              <w:jc w:val="center"/>
              <w:rPr>
                <w:rFonts w:hint="eastAsia" w:ascii="仿宋" w:hAnsi="仿宋" w:eastAsia="仿宋" w:cs="宋体"/>
                <w:b/>
                <w:color w:val="auto"/>
                <w:kern w:val="0"/>
                <w:szCs w:val="21"/>
                <w:highlight w:val="none"/>
              </w:rPr>
            </w:pPr>
            <w:r>
              <w:rPr>
                <w:rFonts w:hint="eastAsia" w:ascii="仿宋" w:hAnsi="仿宋" w:eastAsia="仿宋" w:cs="宋体"/>
                <w:b/>
                <w:color w:val="auto"/>
                <w:kern w:val="0"/>
                <w:szCs w:val="21"/>
                <w:highlight w:val="none"/>
              </w:rPr>
              <w:t>页码范围及说明</w:t>
            </w:r>
          </w:p>
        </w:tc>
      </w:tr>
      <w:tr w14:paraId="28193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3" w:hRule="atLeast"/>
          <w:jc w:val="center"/>
        </w:trPr>
        <w:tc>
          <w:tcPr>
            <w:tcW w:w="729" w:type="dxa"/>
            <w:vMerge w:val="restart"/>
            <w:noWrap w:val="0"/>
            <w:tcMar>
              <w:top w:w="15" w:type="dxa"/>
              <w:left w:w="15" w:type="dxa"/>
              <w:right w:w="15" w:type="dxa"/>
            </w:tcMar>
            <w:vAlign w:val="center"/>
          </w:tcPr>
          <w:p w14:paraId="186376AA">
            <w:pPr>
              <w:widowControl/>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1</w:t>
            </w:r>
          </w:p>
        </w:tc>
        <w:tc>
          <w:tcPr>
            <w:tcW w:w="1696" w:type="dxa"/>
            <w:vMerge w:val="restart"/>
            <w:noWrap w:val="0"/>
            <w:tcMar>
              <w:top w:w="15" w:type="dxa"/>
              <w:left w:w="15" w:type="dxa"/>
              <w:right w:w="15" w:type="dxa"/>
            </w:tcMar>
            <w:vAlign w:val="center"/>
          </w:tcPr>
          <w:p w14:paraId="79741F1D">
            <w:pPr>
              <w:widowControl/>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商务得分</w:t>
            </w:r>
          </w:p>
          <w:p w14:paraId="5ED1DFFD">
            <w:pPr>
              <w:widowControl/>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w:t>
            </w:r>
            <w:r>
              <w:rPr>
                <w:rFonts w:hint="eastAsia" w:ascii="仿宋" w:hAnsi="仿宋" w:eastAsia="仿宋" w:cs="宋体"/>
                <w:color w:val="auto"/>
                <w:kern w:val="0"/>
                <w:szCs w:val="21"/>
                <w:highlight w:val="none"/>
                <w:lang w:val="en-US" w:eastAsia="zh-CN" w:bidi="ar"/>
              </w:rPr>
              <w:t>13</w:t>
            </w:r>
            <w:r>
              <w:rPr>
                <w:rFonts w:hint="eastAsia" w:ascii="仿宋" w:hAnsi="仿宋" w:eastAsia="仿宋" w:cs="宋体"/>
                <w:color w:val="auto"/>
                <w:kern w:val="0"/>
                <w:szCs w:val="21"/>
                <w:highlight w:val="none"/>
                <w:lang w:bidi="ar"/>
              </w:rPr>
              <w:t>分）</w:t>
            </w:r>
          </w:p>
        </w:tc>
        <w:tc>
          <w:tcPr>
            <w:tcW w:w="2268" w:type="dxa"/>
            <w:noWrap w:val="0"/>
            <w:vAlign w:val="center"/>
          </w:tcPr>
          <w:p w14:paraId="45276AC9">
            <w:pPr>
              <w:widowControl/>
              <w:jc w:val="center"/>
              <w:textAlignment w:val="center"/>
              <w:rPr>
                <w:rFonts w:hint="eastAsia" w:ascii="仿宋" w:hAnsi="仿宋" w:eastAsia="仿宋" w:cs="宋体"/>
                <w:color w:val="auto"/>
                <w:kern w:val="0"/>
                <w:szCs w:val="21"/>
                <w:highlight w:val="none"/>
                <w:lang w:val="en-US" w:eastAsia="zh-CN" w:bidi="ar"/>
              </w:rPr>
            </w:pPr>
            <w:r>
              <w:rPr>
                <w:rFonts w:hint="eastAsia" w:ascii="仿宋" w:hAnsi="仿宋" w:eastAsia="仿宋" w:cs="宋体"/>
                <w:color w:val="auto"/>
                <w:kern w:val="0"/>
                <w:szCs w:val="21"/>
                <w:highlight w:val="none"/>
                <w:lang w:val="en-US" w:eastAsia="zh-CN" w:bidi="ar"/>
              </w:rPr>
              <w:t>同类项目业绩</w:t>
            </w:r>
          </w:p>
          <w:p w14:paraId="5C8CD7A9">
            <w:pPr>
              <w:widowControl/>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w:t>
            </w:r>
            <w:r>
              <w:rPr>
                <w:rFonts w:hint="eastAsia" w:ascii="仿宋" w:hAnsi="仿宋" w:eastAsia="仿宋" w:cs="宋体"/>
                <w:color w:val="auto"/>
                <w:kern w:val="0"/>
                <w:szCs w:val="21"/>
                <w:highlight w:val="none"/>
                <w:lang w:val="en-US" w:eastAsia="zh-CN" w:bidi="ar"/>
              </w:rPr>
              <w:t>10</w:t>
            </w:r>
            <w:r>
              <w:rPr>
                <w:rFonts w:hint="eastAsia" w:ascii="仿宋" w:hAnsi="仿宋" w:eastAsia="仿宋" w:cs="宋体"/>
                <w:color w:val="auto"/>
                <w:kern w:val="0"/>
                <w:szCs w:val="21"/>
                <w:highlight w:val="none"/>
                <w:lang w:bidi="ar"/>
              </w:rPr>
              <w:t>分）</w:t>
            </w:r>
          </w:p>
        </w:tc>
        <w:tc>
          <w:tcPr>
            <w:tcW w:w="4820" w:type="dxa"/>
            <w:noWrap w:val="0"/>
            <w:tcMar>
              <w:top w:w="15" w:type="dxa"/>
              <w:left w:w="15" w:type="dxa"/>
              <w:right w:w="15" w:type="dxa"/>
            </w:tcMar>
            <w:vAlign w:val="center"/>
          </w:tcPr>
          <w:p w14:paraId="3CC0C9AD">
            <w:pPr>
              <w:widowControl/>
              <w:adjustRightInd w:val="0"/>
              <w:snapToGrid w:val="0"/>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说明：XX</w:t>
            </w:r>
          </w:p>
          <w:p w14:paraId="7D141D4B">
            <w:pPr>
              <w:rPr>
                <w:rStyle w:val="118"/>
                <w:rFonts w:hint="default" w:cs="宋体"/>
                <w:color w:val="auto"/>
                <w:highlight w:val="none"/>
                <w:lang w:bidi="ar"/>
              </w:rPr>
            </w:pPr>
            <w:r>
              <w:rPr>
                <w:rFonts w:hint="eastAsia" w:ascii="仿宋" w:hAnsi="仿宋" w:eastAsia="仿宋" w:cs="宋体"/>
                <w:color w:val="auto"/>
                <w:kern w:val="0"/>
                <w:szCs w:val="21"/>
                <w:highlight w:val="none"/>
              </w:rPr>
              <w:t>详见N-M页</w:t>
            </w:r>
          </w:p>
        </w:tc>
      </w:tr>
      <w:tr w14:paraId="52B267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3" w:hRule="atLeast"/>
          <w:jc w:val="center"/>
        </w:trPr>
        <w:tc>
          <w:tcPr>
            <w:tcW w:w="729" w:type="dxa"/>
            <w:vMerge w:val="continue"/>
            <w:noWrap w:val="0"/>
            <w:tcMar>
              <w:top w:w="15" w:type="dxa"/>
              <w:left w:w="15" w:type="dxa"/>
              <w:right w:w="15" w:type="dxa"/>
            </w:tcMar>
            <w:vAlign w:val="center"/>
          </w:tcPr>
          <w:p w14:paraId="2A40D27B">
            <w:pPr>
              <w:widowControl/>
              <w:jc w:val="center"/>
              <w:textAlignment w:val="center"/>
              <w:rPr>
                <w:rFonts w:hint="eastAsia" w:ascii="仿宋" w:hAnsi="仿宋" w:eastAsia="仿宋" w:cs="宋体"/>
                <w:color w:val="auto"/>
                <w:kern w:val="0"/>
                <w:szCs w:val="21"/>
                <w:highlight w:val="none"/>
                <w:lang w:bidi="ar"/>
              </w:rPr>
            </w:pPr>
          </w:p>
        </w:tc>
        <w:tc>
          <w:tcPr>
            <w:tcW w:w="1696" w:type="dxa"/>
            <w:vMerge w:val="continue"/>
            <w:noWrap w:val="0"/>
            <w:tcMar>
              <w:top w:w="15" w:type="dxa"/>
              <w:left w:w="15" w:type="dxa"/>
              <w:right w:w="15" w:type="dxa"/>
            </w:tcMar>
            <w:vAlign w:val="center"/>
          </w:tcPr>
          <w:p w14:paraId="4D375FAC">
            <w:pPr>
              <w:widowControl/>
              <w:jc w:val="center"/>
              <w:textAlignment w:val="center"/>
              <w:rPr>
                <w:rFonts w:hint="eastAsia" w:ascii="仿宋" w:hAnsi="仿宋" w:eastAsia="仿宋" w:cs="宋体"/>
                <w:color w:val="auto"/>
                <w:kern w:val="0"/>
                <w:szCs w:val="21"/>
                <w:highlight w:val="none"/>
                <w:lang w:bidi="ar"/>
              </w:rPr>
            </w:pPr>
          </w:p>
        </w:tc>
        <w:tc>
          <w:tcPr>
            <w:tcW w:w="2268" w:type="dxa"/>
            <w:noWrap w:val="0"/>
            <w:vAlign w:val="center"/>
          </w:tcPr>
          <w:p w14:paraId="32E5C9ED">
            <w:pPr>
              <w:widowControl/>
              <w:jc w:val="center"/>
              <w:textAlignment w:val="center"/>
              <w:rPr>
                <w:rFonts w:hint="eastAsia" w:ascii="仿宋" w:hAnsi="仿宋" w:eastAsia="仿宋" w:cs="宋体"/>
                <w:color w:val="auto"/>
                <w:kern w:val="0"/>
                <w:szCs w:val="21"/>
                <w:highlight w:val="none"/>
                <w:lang w:val="en-US" w:eastAsia="zh-CN" w:bidi="ar"/>
              </w:rPr>
            </w:pPr>
            <w:r>
              <w:rPr>
                <w:rFonts w:hint="eastAsia" w:ascii="仿宋" w:hAnsi="仿宋" w:eastAsia="仿宋" w:cs="宋体"/>
                <w:color w:val="auto"/>
                <w:kern w:val="0"/>
                <w:szCs w:val="21"/>
                <w:highlight w:val="none"/>
                <w:lang w:val="en-US" w:eastAsia="zh-CN" w:bidi="ar"/>
              </w:rPr>
              <w:t>管理体系认证证书</w:t>
            </w:r>
          </w:p>
          <w:p w14:paraId="607778F5">
            <w:pPr>
              <w:widowControl/>
              <w:jc w:val="center"/>
              <w:textAlignment w:val="center"/>
              <w:rPr>
                <w:rFonts w:hint="eastAsia" w:ascii="仿宋" w:hAnsi="仿宋" w:eastAsia="仿宋" w:cs="宋体"/>
                <w:color w:val="auto"/>
                <w:kern w:val="0"/>
                <w:szCs w:val="21"/>
                <w:highlight w:val="none"/>
                <w:lang w:val="en-US" w:eastAsia="zh-CN" w:bidi="ar"/>
              </w:rPr>
            </w:pPr>
            <w:r>
              <w:rPr>
                <w:rFonts w:hint="eastAsia" w:ascii="仿宋" w:hAnsi="仿宋" w:eastAsia="仿宋" w:cs="宋体"/>
                <w:color w:val="auto"/>
                <w:kern w:val="0"/>
                <w:szCs w:val="21"/>
                <w:highlight w:val="none"/>
                <w:lang w:val="en-US" w:eastAsia="zh-CN" w:bidi="ar"/>
              </w:rPr>
              <w:t>（3分）</w:t>
            </w:r>
          </w:p>
        </w:tc>
        <w:tc>
          <w:tcPr>
            <w:tcW w:w="4820" w:type="dxa"/>
            <w:noWrap w:val="0"/>
            <w:tcMar>
              <w:top w:w="15" w:type="dxa"/>
              <w:left w:w="15" w:type="dxa"/>
              <w:right w:w="15" w:type="dxa"/>
            </w:tcMar>
            <w:vAlign w:val="center"/>
          </w:tcPr>
          <w:p w14:paraId="0D064DC9">
            <w:pPr>
              <w:rPr>
                <w:rFonts w:hint="eastAsia" w:ascii="仿宋" w:hAnsi="仿宋" w:eastAsia="仿宋" w:cs="宋体"/>
                <w:color w:val="auto"/>
                <w:kern w:val="0"/>
                <w:szCs w:val="21"/>
                <w:highlight w:val="none"/>
              </w:rPr>
            </w:pPr>
          </w:p>
        </w:tc>
      </w:tr>
    </w:tbl>
    <w:p w14:paraId="6F7AB398">
      <w:pPr>
        <w:bidi w:val="0"/>
        <w:jc w:val="center"/>
        <w:rPr>
          <w:rFonts w:hint="eastAsia" w:ascii="仿宋" w:hAnsi="仿宋" w:eastAsia="仿宋" w:cs="仿宋"/>
          <w:b/>
          <w:bCs/>
          <w:color w:val="auto"/>
          <w:sz w:val="24"/>
          <w:szCs w:val="24"/>
          <w:highlight w:val="none"/>
        </w:rPr>
      </w:pPr>
    </w:p>
    <w:p w14:paraId="794B4B64">
      <w:pPr>
        <w:bidi w:val="0"/>
        <w:jc w:val="center"/>
        <w:rPr>
          <w:rFonts w:hint="eastAsia" w:ascii="仿宋" w:hAnsi="仿宋" w:eastAsia="仿宋" w:cs="仿宋"/>
          <w:b/>
          <w:bCs/>
          <w:color w:val="auto"/>
          <w:sz w:val="24"/>
          <w:szCs w:val="24"/>
          <w:highlight w:val="none"/>
        </w:rPr>
      </w:pPr>
    </w:p>
    <w:p w14:paraId="76952C72">
      <w:pPr>
        <w:bidi w:val="0"/>
        <w:jc w:val="center"/>
        <w:rPr>
          <w:rFonts w:hint="eastAsia" w:ascii="仿宋" w:hAnsi="仿宋" w:eastAsia="仿宋" w:cs="仿宋"/>
          <w:b/>
          <w:bCs/>
          <w:color w:val="auto"/>
          <w:sz w:val="24"/>
          <w:szCs w:val="24"/>
          <w:highlight w:val="none"/>
        </w:rPr>
      </w:pPr>
    </w:p>
    <w:p w14:paraId="13E3027C">
      <w:pPr>
        <w:bidi w:val="0"/>
        <w:jc w:val="center"/>
        <w:rPr>
          <w:rFonts w:hint="eastAsia" w:ascii="仿宋" w:hAnsi="仿宋" w:eastAsia="仿宋" w:cs="仿宋"/>
          <w:b/>
          <w:bCs/>
          <w:color w:val="auto"/>
          <w:sz w:val="24"/>
          <w:szCs w:val="24"/>
          <w:highlight w:val="none"/>
        </w:rPr>
      </w:pPr>
    </w:p>
    <w:p w14:paraId="18CAC835">
      <w:pPr>
        <w:bidi w:val="0"/>
        <w:jc w:val="center"/>
        <w:rPr>
          <w:rFonts w:hint="eastAsia" w:ascii="仿宋" w:hAnsi="仿宋" w:eastAsia="仿宋" w:cs="仿宋"/>
          <w:b/>
          <w:bCs/>
          <w:color w:val="auto"/>
          <w:sz w:val="24"/>
          <w:szCs w:val="24"/>
          <w:highlight w:val="none"/>
        </w:rPr>
      </w:pPr>
    </w:p>
    <w:p w14:paraId="61D52DA3">
      <w:pPr>
        <w:bidi w:val="0"/>
        <w:jc w:val="center"/>
        <w:rPr>
          <w:rFonts w:hint="eastAsia" w:ascii="仿宋" w:hAnsi="仿宋" w:eastAsia="仿宋" w:cs="仿宋"/>
          <w:b/>
          <w:bCs/>
          <w:color w:val="auto"/>
          <w:sz w:val="24"/>
          <w:szCs w:val="24"/>
          <w:highlight w:val="none"/>
        </w:rPr>
      </w:pPr>
    </w:p>
    <w:p w14:paraId="411B7066">
      <w:pPr>
        <w:bidi w:val="0"/>
        <w:jc w:val="center"/>
        <w:rPr>
          <w:rFonts w:hint="eastAsia" w:ascii="仿宋" w:hAnsi="仿宋" w:eastAsia="仿宋" w:cs="仿宋"/>
          <w:b/>
          <w:bCs/>
          <w:color w:val="auto"/>
          <w:sz w:val="24"/>
          <w:szCs w:val="24"/>
          <w:highlight w:val="none"/>
        </w:rPr>
      </w:pPr>
    </w:p>
    <w:p w14:paraId="5C8AA982">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1B09E574">
      <w:pPr>
        <w:pStyle w:val="4"/>
        <w:numPr>
          <w:ilvl w:val="0"/>
          <w:numId w:val="0"/>
        </w:numPr>
        <w:spacing w:before="0" w:line="440" w:lineRule="exact"/>
        <w:rPr>
          <w:rFonts w:hint="eastAsia" w:ascii="仿宋" w:hAnsi="仿宋" w:eastAsia="仿宋" w:cs="仿宋"/>
          <w:color w:val="auto"/>
          <w:sz w:val="24"/>
          <w:szCs w:val="24"/>
          <w:highlight w:val="none"/>
        </w:rPr>
      </w:pPr>
      <w:bookmarkStart w:id="172" w:name="_Toc8121"/>
      <w:r>
        <w:rPr>
          <w:rFonts w:hint="eastAsia" w:ascii="仿宋" w:hAnsi="仿宋" w:eastAsia="仿宋" w:cs="仿宋"/>
          <w:color w:val="auto"/>
          <w:sz w:val="24"/>
          <w:szCs w:val="24"/>
          <w:highlight w:val="none"/>
        </w:rPr>
        <w:t>（一）响应函</w:t>
      </w:r>
      <w:bookmarkEnd w:id="172"/>
    </w:p>
    <w:p w14:paraId="6203AF4E">
      <w:pPr>
        <w:pStyle w:val="157"/>
        <w:spacing w:line="440" w:lineRule="exact"/>
        <w:rPr>
          <w:rFonts w:hint="eastAsia" w:ascii="仿宋" w:hAnsi="仿宋" w:eastAsia="仿宋" w:cs="Cambria Math"/>
          <w:color w:val="auto"/>
          <w:sz w:val="24"/>
          <w:szCs w:val="24"/>
          <w:highlight w:val="none"/>
          <w:u w:val="single"/>
        </w:rPr>
      </w:pPr>
      <w:r>
        <w:rPr>
          <w:rFonts w:hint="eastAsia" w:ascii="仿宋" w:hAnsi="仿宋" w:eastAsia="仿宋" w:cs="Cambria Math"/>
          <w:color w:val="auto"/>
          <w:sz w:val="24"/>
          <w:szCs w:val="24"/>
          <w:highlight w:val="none"/>
          <w:u w:val="single"/>
        </w:rPr>
        <w:t>致：</w:t>
      </w:r>
      <w:r>
        <w:rPr>
          <w:rFonts w:hint="eastAsia" w:ascii="仿宋" w:hAnsi="仿宋" w:eastAsia="仿宋" w:cs="Cambria Math"/>
          <w:color w:val="auto"/>
          <w:sz w:val="24"/>
          <w:szCs w:val="24"/>
          <w:highlight w:val="none"/>
          <w:u w:val="single"/>
          <w:lang w:eastAsia="zh-CN"/>
        </w:rPr>
        <w:t>（</w:t>
      </w:r>
      <w:r>
        <w:rPr>
          <w:rFonts w:hint="eastAsia" w:ascii="仿宋" w:hAnsi="仿宋" w:eastAsia="仿宋" w:cs="Cambria Math"/>
          <w:color w:val="auto"/>
          <w:sz w:val="24"/>
          <w:szCs w:val="24"/>
          <w:highlight w:val="none"/>
          <w:u w:val="single"/>
          <w:lang w:val="en-US" w:eastAsia="zh-CN"/>
        </w:rPr>
        <w:t>采购人名称</w:t>
      </w:r>
      <w:r>
        <w:rPr>
          <w:rFonts w:hint="eastAsia" w:ascii="仿宋" w:hAnsi="仿宋" w:eastAsia="仿宋" w:cs="Cambria Math"/>
          <w:color w:val="auto"/>
          <w:sz w:val="24"/>
          <w:szCs w:val="24"/>
          <w:highlight w:val="none"/>
          <w:u w:val="single"/>
          <w:lang w:eastAsia="zh-CN"/>
        </w:rPr>
        <w:t>）</w:t>
      </w:r>
      <w:r>
        <w:rPr>
          <w:rFonts w:hint="eastAsia" w:ascii="仿宋" w:hAnsi="仿宋" w:eastAsia="仿宋" w:cs="Cambria Math"/>
          <w:color w:val="auto"/>
          <w:sz w:val="24"/>
          <w:szCs w:val="24"/>
          <w:highlight w:val="none"/>
          <w:u w:val="single"/>
        </w:rPr>
        <w:t xml:space="preserve">     </w:t>
      </w:r>
    </w:p>
    <w:p w14:paraId="02FE3FA3">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u w:val="single"/>
        </w:rPr>
        <w:t xml:space="preserve">   （供应商名称）   </w:t>
      </w:r>
      <w:r>
        <w:rPr>
          <w:rFonts w:hint="eastAsia" w:ascii="仿宋" w:hAnsi="仿宋" w:eastAsia="仿宋" w:cs="Cambria Math"/>
          <w:color w:val="auto"/>
          <w:kern w:val="0"/>
          <w:sz w:val="24"/>
          <w:highlight w:val="none"/>
        </w:rPr>
        <w:t>（以下称“我方”）已仔细研究了</w:t>
      </w:r>
      <w:r>
        <w:rPr>
          <w:rFonts w:hint="eastAsia" w:ascii="仿宋" w:hAnsi="仿宋" w:eastAsia="仿宋" w:cs="Cambria Math"/>
          <w:color w:val="auto"/>
          <w:kern w:val="0"/>
          <w:sz w:val="24"/>
          <w:highlight w:val="none"/>
          <w:u w:val="single"/>
        </w:rPr>
        <w:t xml:space="preserve"> </w:t>
      </w:r>
      <w:r>
        <w:rPr>
          <w:rFonts w:ascii="仿宋" w:hAnsi="仿宋" w:eastAsia="仿宋" w:cs="Cambria Math"/>
          <w:color w:val="auto"/>
          <w:kern w:val="0"/>
          <w:sz w:val="24"/>
          <w:highlight w:val="none"/>
          <w:u w:val="single"/>
        </w:rPr>
        <w:t xml:space="preserve"> </w:t>
      </w:r>
      <w:r>
        <w:rPr>
          <w:rFonts w:hint="eastAsia" w:ascii="仿宋" w:hAnsi="仿宋" w:eastAsia="仿宋" w:cs="Cambria Math"/>
          <w:color w:val="auto"/>
          <w:kern w:val="0"/>
          <w:sz w:val="24"/>
          <w:highlight w:val="none"/>
          <w:u w:val="single"/>
        </w:rPr>
        <w:t xml:space="preserve">（项目名称）    </w:t>
      </w:r>
      <w:r>
        <w:rPr>
          <w:rFonts w:hint="eastAsia" w:ascii="仿宋" w:hAnsi="仿宋" w:eastAsia="仿宋" w:cs="Cambria Math"/>
          <w:color w:val="auto"/>
          <w:kern w:val="0"/>
          <w:sz w:val="24"/>
          <w:highlight w:val="none"/>
        </w:rPr>
        <w:t>竞争性</w:t>
      </w:r>
      <w:r>
        <w:rPr>
          <w:rFonts w:hint="eastAsia" w:ascii="仿宋" w:hAnsi="仿宋" w:eastAsia="仿宋" w:cs="Cambria Math"/>
          <w:color w:val="auto"/>
          <w:kern w:val="0"/>
          <w:sz w:val="24"/>
          <w:highlight w:val="none"/>
          <w:lang w:eastAsia="zh-CN"/>
        </w:rPr>
        <w:t>磋商文件</w:t>
      </w:r>
      <w:r>
        <w:rPr>
          <w:rFonts w:hint="eastAsia" w:ascii="仿宋" w:hAnsi="仿宋" w:eastAsia="仿宋" w:cs="Cambria Math"/>
          <w:color w:val="auto"/>
          <w:kern w:val="0"/>
          <w:sz w:val="24"/>
          <w:highlight w:val="none"/>
        </w:rPr>
        <w:t>的全部内容，包括澄清或者修改文件以及有关附件，我方将严格按照竞争性磋商文件要求递交符合要求的全部磋商响应文件。</w:t>
      </w:r>
    </w:p>
    <w:p w14:paraId="52EA5C7F">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现我方承诺如下内容：</w:t>
      </w:r>
    </w:p>
    <w:p w14:paraId="582F3D22">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1. 本响应函及磋商响应文件自磋商响应文件提交截止日起有效期为</w:t>
      </w:r>
      <w:r>
        <w:rPr>
          <w:rFonts w:hint="eastAsia" w:ascii="仿宋" w:hAnsi="仿宋" w:eastAsia="仿宋" w:cs="Cambria Math"/>
          <w:color w:val="auto"/>
          <w:kern w:val="0"/>
          <w:sz w:val="24"/>
          <w:highlight w:val="none"/>
          <w:u w:val="single"/>
          <w:lang w:val="en-US" w:eastAsia="zh-CN"/>
        </w:rPr>
        <w:t>XX</w:t>
      </w:r>
      <w:r>
        <w:rPr>
          <w:rFonts w:hint="eastAsia" w:ascii="仿宋" w:hAnsi="仿宋" w:eastAsia="仿宋" w:cs="Cambria Math"/>
          <w:color w:val="auto"/>
          <w:kern w:val="0"/>
          <w:sz w:val="24"/>
          <w:highlight w:val="none"/>
          <w:u w:val="single"/>
        </w:rPr>
        <w:t>天</w:t>
      </w:r>
      <w:r>
        <w:rPr>
          <w:rFonts w:hint="eastAsia" w:ascii="仿宋" w:hAnsi="仿宋" w:eastAsia="仿宋" w:cs="Cambria Math"/>
          <w:color w:val="auto"/>
          <w:kern w:val="0"/>
          <w:sz w:val="24"/>
          <w:highlight w:val="none"/>
        </w:rPr>
        <w:t>，我方承诺在响应有效期内不修改、撤销磋商响应文件。</w:t>
      </w:r>
    </w:p>
    <w:p w14:paraId="2D1877C4">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2. 随同本响应函提交磋商保证</w:t>
      </w:r>
      <w:r>
        <w:rPr>
          <w:rFonts w:hint="eastAsia" w:ascii="仿宋" w:hAnsi="仿宋" w:eastAsia="仿宋" w:cs="Cambria Math"/>
          <w:color w:val="auto"/>
          <w:kern w:val="0"/>
          <w:sz w:val="24"/>
          <w:highlight w:val="none"/>
          <w:lang w:val="en-US" w:eastAsia="zh-CN"/>
        </w:rPr>
        <w:t>金</w:t>
      </w:r>
      <w:r>
        <w:rPr>
          <w:rFonts w:hint="eastAsia" w:ascii="仿宋" w:hAnsi="仿宋" w:eastAsia="仿宋" w:cs="Cambria Math"/>
          <w:color w:val="auto"/>
          <w:kern w:val="0"/>
          <w:sz w:val="24"/>
          <w:highlight w:val="none"/>
        </w:rPr>
        <w:t>一份。</w:t>
      </w:r>
    </w:p>
    <w:p w14:paraId="244540BC">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3. 我方承诺提供磋商过程中可能要求的澄清、说明、补正或者算术性错误修正确认，并同意我方提供的以上材料构成我方响应文件的组成部分。</w:t>
      </w:r>
    </w:p>
    <w:p w14:paraId="1F49CEAF">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4. 我方同意提供贵方可能要求的与我方响应文件有关的一切数据、资料、证明原件、证件原件，并完全理解贵方不一定接受最低价的响应。</w:t>
      </w:r>
    </w:p>
    <w:p w14:paraId="0134ECE7">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5．我方承诺对在本次采购活动过程中所获知贵方一切商业秘密保密，不会向任何第三方泄露，不会用于本次采购活动之外的任何其他目的。</w:t>
      </w:r>
    </w:p>
    <w:p w14:paraId="68E072B5">
      <w:pPr>
        <w:widowControl/>
        <w:spacing w:line="440" w:lineRule="exact"/>
        <w:ind w:firstLine="420"/>
        <w:rPr>
          <w:rFonts w:hint="eastAsia" w:ascii="仿宋" w:hAnsi="仿宋" w:eastAsia="仿宋" w:cs="Cambria Math"/>
          <w:color w:val="auto"/>
          <w:kern w:val="0"/>
          <w:sz w:val="24"/>
          <w:highlight w:val="none"/>
        </w:rPr>
      </w:pPr>
      <w:r>
        <w:rPr>
          <w:rFonts w:ascii="仿宋" w:hAnsi="仿宋" w:eastAsia="仿宋" w:cs="宋体"/>
          <w:color w:val="auto"/>
          <w:kern w:val="0"/>
          <w:sz w:val="24"/>
          <w:highlight w:val="none"/>
        </w:rPr>
        <w:t>6</w:t>
      </w:r>
      <w:r>
        <w:rPr>
          <w:rFonts w:hint="eastAsia" w:ascii="仿宋" w:hAnsi="仿宋" w:eastAsia="仿宋" w:cs="宋体"/>
          <w:color w:val="auto"/>
          <w:kern w:val="0"/>
          <w:sz w:val="24"/>
          <w:highlight w:val="none"/>
        </w:rPr>
        <w:t>．我方承诺对所递交的响应文件及有关材料的真实性、合法性、完整性、准确性承担法律责任。如有弄虚作假、串通投标、行贿等违法违规行为，将承担相应的法律责任，并赔偿由此给贵方造成的一切损失。</w:t>
      </w:r>
    </w:p>
    <w:p w14:paraId="24E573AC">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7. 如我方成交：</w:t>
      </w:r>
    </w:p>
    <w:p w14:paraId="1D166E6A">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（1）我方承诺在收到成交通知书后，在成交通知书规定的期限内与贵方签订合同。</w:t>
      </w:r>
    </w:p>
    <w:p w14:paraId="2EBDCA30">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（2）我方承诺按照竞争性磋商文件规定递交履约保证金、支付采购代理服务费。</w:t>
      </w:r>
    </w:p>
    <w:p w14:paraId="6EAFE485">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（3）我方承诺按照竞争性磋商文件的规定及合同约定履行相关责任和义务。</w:t>
      </w:r>
    </w:p>
    <w:p w14:paraId="12545C85">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（4）我方在此承诺，双方合作后可开具增值税专用发票。</w:t>
      </w:r>
    </w:p>
    <w:p w14:paraId="7ADCF7BF">
      <w:pPr>
        <w:spacing w:line="440" w:lineRule="exact"/>
        <w:ind w:firstLine="4080" w:firstLineChars="1700"/>
        <w:jc w:val="right"/>
        <w:rPr>
          <w:rFonts w:ascii="仿宋" w:hAnsi="仿宋" w:eastAsia="仿宋" w:cs="仿宋"/>
          <w:color w:val="auto"/>
          <w:sz w:val="24"/>
          <w:highlight w:val="none"/>
        </w:rPr>
      </w:pPr>
    </w:p>
    <w:p w14:paraId="33D88AD0">
      <w:pPr>
        <w:spacing w:line="440" w:lineRule="exact"/>
        <w:ind w:firstLine="4080" w:firstLineChars="17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14:paraId="09634A18">
      <w:pPr>
        <w:spacing w:line="44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2865C23F">
      <w:pPr>
        <w:pStyle w:val="4"/>
        <w:numPr>
          <w:ilvl w:val="0"/>
          <w:numId w:val="0"/>
        </w:numPr>
        <w:spacing w:before="0" w:after="0" w:line="360" w:lineRule="auto"/>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br w:type="page"/>
      </w:r>
      <w:bookmarkEnd w:id="162"/>
      <w:bookmarkEnd w:id="163"/>
      <w:bookmarkEnd w:id="166"/>
      <w:bookmarkEnd w:id="167"/>
      <w:bookmarkEnd w:id="168"/>
      <w:bookmarkEnd w:id="169"/>
      <w:bookmarkEnd w:id="170"/>
      <w:bookmarkEnd w:id="171"/>
      <w:bookmarkStart w:id="173" w:name="_Toc9772"/>
      <w:r>
        <w:rPr>
          <w:rFonts w:hint="eastAsia" w:ascii="仿宋" w:hAnsi="仿宋" w:eastAsia="仿宋" w:cs="仿宋"/>
          <w:color w:val="auto"/>
          <w:sz w:val="24"/>
          <w:szCs w:val="24"/>
          <w:highlight w:val="none"/>
        </w:rPr>
        <w:t>（二）法定代表人（负责人）身份证明书</w:t>
      </w:r>
      <w:bookmarkEnd w:id="173"/>
      <w:r>
        <w:rPr>
          <w:rFonts w:hint="eastAsia" w:ascii="仿宋" w:hAnsi="仿宋" w:eastAsia="仿宋" w:cs="仿宋"/>
          <w:color w:val="auto"/>
          <w:sz w:val="24"/>
          <w:szCs w:val="24"/>
          <w:highlight w:val="none"/>
        </w:rPr>
        <w:tab/>
      </w:r>
    </w:p>
    <w:p w14:paraId="2CDEB33B">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法定代表人（负责人）身份证明书</w:t>
      </w:r>
      <w:r>
        <w:rPr>
          <w:rFonts w:hint="eastAsia" w:ascii="仿宋" w:hAnsi="仿宋" w:eastAsia="仿宋" w:cs="仿宋"/>
          <w:b/>
          <w:color w:val="auto"/>
          <w:sz w:val="24"/>
          <w:highlight w:val="none"/>
        </w:rPr>
        <w:tab/>
      </w:r>
    </w:p>
    <w:p w14:paraId="00E87CBB">
      <w:pPr>
        <w:spacing w:line="360" w:lineRule="auto"/>
        <w:rPr>
          <w:rFonts w:hint="eastAsia" w:ascii="仿宋" w:hAnsi="仿宋" w:eastAsia="仿宋" w:cs="仿宋"/>
          <w:b/>
          <w:color w:val="auto"/>
          <w:sz w:val="24"/>
          <w:highlight w:val="none"/>
        </w:rPr>
      </w:pPr>
    </w:p>
    <w:p w14:paraId="40DA9D9B">
      <w:pPr>
        <w:widowControl/>
        <w:topLinePunct/>
        <w:spacing w:line="360" w:lineRule="auto"/>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供应商名称：</w:t>
      </w:r>
      <w:r>
        <w:rPr>
          <w:rFonts w:hint="eastAsia" w:ascii="仿宋" w:hAnsi="仿宋" w:eastAsia="仿宋" w:cs="仿宋"/>
          <w:color w:val="auto"/>
          <w:kern w:val="0"/>
          <w:sz w:val="24"/>
          <w:highlight w:val="none"/>
          <w:u w:val="single"/>
        </w:rPr>
        <w:t xml:space="preserve">                         </w:t>
      </w:r>
    </w:p>
    <w:p w14:paraId="10112A34">
      <w:pPr>
        <w:widowControl/>
        <w:topLinePunct/>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成立时间：</w:t>
      </w:r>
      <w:r>
        <w:rPr>
          <w:rFonts w:hint="eastAsia" w:ascii="仿宋" w:hAnsi="仿宋" w:eastAsia="仿宋" w:cs="仿宋"/>
          <w:color w:val="auto"/>
          <w:kern w:val="0"/>
          <w:sz w:val="24"/>
          <w:highlight w:val="none"/>
          <w:u w:val="single"/>
        </w:rPr>
        <w:t xml:space="preserve"> </w:t>
      </w:r>
      <w:r>
        <w:rPr>
          <w:rFonts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日</w:t>
      </w:r>
    </w:p>
    <w:p w14:paraId="225A71A6">
      <w:pPr>
        <w:widowControl/>
        <w:topLinePunct/>
        <w:spacing w:line="360" w:lineRule="auto"/>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姓名：</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性别：</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年龄：</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职务：</w:t>
      </w:r>
      <w:r>
        <w:rPr>
          <w:rFonts w:hint="eastAsia" w:ascii="仿宋" w:hAnsi="仿宋" w:eastAsia="仿宋" w:cs="仿宋"/>
          <w:color w:val="auto"/>
          <w:kern w:val="0"/>
          <w:sz w:val="24"/>
          <w:highlight w:val="none"/>
          <w:u w:val="single"/>
        </w:rPr>
        <w:t xml:space="preserve">         </w:t>
      </w:r>
    </w:p>
    <w:p w14:paraId="01FC6F1B">
      <w:pPr>
        <w:widowControl/>
        <w:topLinePunct/>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系</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（供应商名称）的法定代表人</w:t>
      </w:r>
      <w:r>
        <w:rPr>
          <w:rFonts w:hint="eastAsia" w:ascii="仿宋" w:hAnsi="仿宋" w:eastAsia="仿宋" w:cs="仿宋"/>
          <w:color w:val="auto"/>
          <w:sz w:val="24"/>
          <w:highlight w:val="none"/>
        </w:rPr>
        <w:t>（负责人）</w:t>
      </w:r>
      <w:r>
        <w:rPr>
          <w:rFonts w:hint="eastAsia" w:ascii="仿宋" w:hAnsi="仿宋" w:eastAsia="仿宋" w:cs="仿宋"/>
          <w:color w:val="auto"/>
          <w:kern w:val="0"/>
          <w:sz w:val="24"/>
          <w:highlight w:val="none"/>
        </w:rPr>
        <w:t>。</w:t>
      </w:r>
    </w:p>
    <w:p w14:paraId="323F534F">
      <w:pPr>
        <w:widowControl/>
        <w:topLinePunct/>
        <w:spacing w:line="360" w:lineRule="auto"/>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特此证明。</w:t>
      </w:r>
    </w:p>
    <w:p w14:paraId="68E7FD5E">
      <w:pPr>
        <w:widowControl/>
        <w:topLinePunct/>
        <w:spacing w:line="360" w:lineRule="auto"/>
        <w:rPr>
          <w:rFonts w:ascii="仿宋" w:hAnsi="仿宋" w:eastAsia="仿宋" w:cs="仿宋"/>
          <w:color w:val="auto"/>
          <w:kern w:val="0"/>
          <w:sz w:val="24"/>
          <w:highlight w:val="none"/>
        </w:rPr>
      </w:pPr>
    </w:p>
    <w:p w14:paraId="42482EA0">
      <w:pPr>
        <w:widowControl/>
        <w:spacing w:line="360" w:lineRule="auto"/>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附：法定代表人（负责人）身份证复印件（需同时提供正面及背面）。</w:t>
      </w:r>
    </w:p>
    <w:p w14:paraId="29D3D019">
      <w:pPr>
        <w:widowControl/>
        <w:spacing w:line="360" w:lineRule="auto"/>
        <w:rPr>
          <w:rFonts w:hint="eastAsia" w:ascii="仿宋" w:hAnsi="仿宋" w:eastAsia="仿宋" w:cs="仿宋"/>
          <w:color w:val="auto"/>
          <w:kern w:val="0"/>
          <w:highlight w:val="none"/>
        </w:rPr>
      </w:pPr>
      <w:r>
        <w:rPr>
          <w:rFonts w:hint="eastAsia" w:ascii="仿宋" w:hAnsi="仿宋" w:eastAsia="仿宋" w:cs="仿宋"/>
          <w:color w:val="auto"/>
          <w:kern w:val="0"/>
          <w:highlight w:val="none"/>
        </w:rPr>
        <mc:AlternateContent>
          <mc:Choice Requires="wps">
            <w:drawing>
              <wp:anchor distT="0" distB="0" distL="114300" distR="114300" simplePos="0" relativeHeight="251661312"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1312;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2336;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14:paraId="45235174">
      <w:pPr>
        <w:pStyle w:val="157"/>
        <w:spacing w:line="440" w:lineRule="atLeast"/>
        <w:ind w:firstLine="480"/>
        <w:jc w:val="left"/>
        <w:rPr>
          <w:rFonts w:hint="eastAsia" w:ascii="仿宋" w:hAnsi="仿宋" w:eastAsia="仿宋" w:cs="仿宋"/>
          <w:color w:val="auto"/>
          <w:highlight w:val="none"/>
        </w:rPr>
      </w:pPr>
    </w:p>
    <w:p w14:paraId="341A5656">
      <w:pPr>
        <w:pStyle w:val="157"/>
        <w:spacing w:line="440" w:lineRule="atLeast"/>
        <w:ind w:firstLine="480"/>
        <w:jc w:val="left"/>
        <w:rPr>
          <w:rFonts w:hint="eastAsia" w:ascii="仿宋" w:hAnsi="仿宋" w:eastAsia="仿宋" w:cs="仿宋"/>
          <w:color w:val="auto"/>
          <w:highlight w:val="none"/>
        </w:rPr>
      </w:pPr>
    </w:p>
    <w:p w14:paraId="466CC92D">
      <w:pPr>
        <w:pStyle w:val="157"/>
        <w:spacing w:line="440" w:lineRule="atLeast"/>
        <w:ind w:firstLine="480"/>
        <w:jc w:val="left"/>
        <w:rPr>
          <w:rFonts w:hint="eastAsia" w:ascii="仿宋" w:hAnsi="仿宋" w:eastAsia="仿宋" w:cs="仿宋"/>
          <w:color w:val="auto"/>
          <w:highlight w:val="none"/>
        </w:rPr>
      </w:pPr>
    </w:p>
    <w:p w14:paraId="7565D3C4">
      <w:pPr>
        <w:spacing w:line="360" w:lineRule="auto"/>
        <w:ind w:firstLine="610"/>
        <w:rPr>
          <w:rFonts w:hint="eastAsia" w:ascii="仿宋" w:hAnsi="仿宋" w:eastAsia="仿宋" w:cs="仿宋"/>
          <w:color w:val="auto"/>
          <w:sz w:val="24"/>
          <w:highlight w:val="none"/>
        </w:rPr>
      </w:pPr>
    </w:p>
    <w:p w14:paraId="78060509">
      <w:pPr>
        <w:tabs>
          <w:tab w:val="left" w:pos="720"/>
          <w:tab w:val="left" w:pos="900"/>
        </w:tabs>
        <w:spacing w:line="360" w:lineRule="auto"/>
        <w:rPr>
          <w:rFonts w:hint="eastAsia" w:ascii="仿宋" w:hAnsi="仿宋" w:eastAsia="仿宋" w:cs="仿宋"/>
          <w:color w:val="auto"/>
          <w:sz w:val="24"/>
          <w:highlight w:val="none"/>
        </w:rPr>
      </w:pPr>
    </w:p>
    <w:p w14:paraId="1CD2E60A">
      <w:pPr>
        <w:spacing w:line="440" w:lineRule="exact"/>
        <w:ind w:firstLine="4080" w:firstLineChars="1700"/>
        <w:jc w:val="right"/>
        <w:rPr>
          <w:rFonts w:hint="eastAsia" w:ascii="仿宋" w:hAnsi="仿宋" w:eastAsia="仿宋" w:cs="仿宋"/>
          <w:color w:val="auto"/>
          <w:sz w:val="24"/>
          <w:highlight w:val="none"/>
        </w:rPr>
      </w:pPr>
    </w:p>
    <w:p w14:paraId="623CB1D6">
      <w:pPr>
        <w:wordWrap w:val="0"/>
        <w:spacing w:line="440" w:lineRule="exact"/>
        <w:ind w:firstLine="4080" w:firstLineChars="17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ascii="仿宋" w:hAnsi="仿宋" w:eastAsia="仿宋" w:cs="仿宋"/>
          <w:color w:val="auto"/>
          <w:sz w:val="24"/>
          <w:highlight w:val="none"/>
        </w:rPr>
        <w:t xml:space="preserve">  </w:t>
      </w:r>
    </w:p>
    <w:p w14:paraId="0EFC9086">
      <w:pPr>
        <w:spacing w:line="440" w:lineRule="exact"/>
        <w:ind w:firstLine="4080" w:firstLineChars="1700"/>
        <w:jc w:val="right"/>
        <w:rPr>
          <w:rFonts w:ascii="仿宋" w:hAnsi="仿宋" w:eastAsia="仿宋" w:cs="仿宋"/>
          <w:color w:val="auto"/>
          <w:sz w:val="24"/>
          <w:highlight w:val="none"/>
        </w:rPr>
      </w:pPr>
      <w:r>
        <w:rPr>
          <w:rFonts w:ascii="仿宋" w:hAnsi="仿宋" w:eastAsia="仿宋" w:cs="仿宋"/>
          <w:color w:val="auto"/>
          <w:sz w:val="24"/>
          <w:highlight w:val="none"/>
        </w:rPr>
        <w:t xml:space="preserve">    </w:t>
      </w:r>
    </w:p>
    <w:p w14:paraId="1D7E8A21">
      <w:pPr>
        <w:spacing w:line="440" w:lineRule="exact"/>
        <w:ind w:firstLine="4080" w:firstLineChars="1700"/>
        <w:jc w:val="right"/>
        <w:rPr>
          <w:rFonts w:ascii="仿宋" w:hAnsi="仿宋" w:eastAsia="仿宋" w:cs="仿宋"/>
          <w:color w:val="auto"/>
          <w:sz w:val="24"/>
          <w:highlight w:val="none"/>
        </w:rPr>
      </w:pPr>
      <w:r>
        <w:rPr>
          <w:rFonts w:ascii="仿宋" w:hAnsi="仿宋" w:eastAsia="仿宋" w:cs="仿宋"/>
          <w:color w:val="auto"/>
          <w:sz w:val="24"/>
          <w:highlight w:val="none"/>
        </w:rPr>
        <w:t xml:space="preserve"> </w:t>
      </w:r>
      <w:r>
        <w:rPr>
          <w:rFonts w:hint="eastAsia" w:ascii="仿宋" w:hAnsi="仿宋" w:eastAsia="仿宋" w:cs="仿宋"/>
          <w:color w:val="auto"/>
          <w:sz w:val="24"/>
          <w:highlight w:val="none"/>
        </w:rPr>
        <w:t xml:space="preserve"> </w:t>
      </w:r>
      <w:r>
        <w:rPr>
          <w:rFonts w:ascii="仿宋" w:hAnsi="仿宋" w:eastAsia="仿宋" w:cs="仿宋"/>
          <w:color w:val="auto"/>
          <w:sz w:val="24"/>
          <w:highlight w:val="none"/>
        </w:rPr>
        <w:t xml:space="preserve">   </w:t>
      </w:r>
    </w:p>
    <w:p w14:paraId="365932B7">
      <w:pPr>
        <w:spacing w:line="440" w:lineRule="exact"/>
        <w:ind w:firstLine="4080" w:firstLineChars="17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14:paraId="2D6A3D83">
      <w:pPr>
        <w:spacing w:line="440" w:lineRule="exact"/>
        <w:jc w:val="right"/>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636FE003">
      <w:pPr>
        <w:tabs>
          <w:tab w:val="left" w:pos="720"/>
          <w:tab w:val="left" w:pos="900"/>
        </w:tabs>
        <w:spacing w:line="360" w:lineRule="auto"/>
        <w:ind w:left="1078"/>
        <w:rPr>
          <w:rFonts w:hint="eastAsia" w:ascii="仿宋" w:hAnsi="仿宋" w:eastAsia="仿宋" w:cs="仿宋"/>
          <w:color w:val="auto"/>
          <w:sz w:val="24"/>
          <w:highlight w:val="none"/>
        </w:rPr>
      </w:pPr>
    </w:p>
    <w:p w14:paraId="3350F728">
      <w:pPr>
        <w:tabs>
          <w:tab w:val="left" w:pos="720"/>
          <w:tab w:val="left" w:pos="900"/>
        </w:tabs>
        <w:spacing w:line="360" w:lineRule="auto"/>
        <w:ind w:left="1078"/>
        <w:rPr>
          <w:rFonts w:hint="eastAsia" w:ascii="仿宋" w:hAnsi="仿宋" w:eastAsia="仿宋" w:cs="仿宋"/>
          <w:color w:val="auto"/>
          <w:sz w:val="24"/>
          <w:highlight w:val="none"/>
        </w:rPr>
      </w:pPr>
    </w:p>
    <w:p w14:paraId="4F7D6791">
      <w:pPr>
        <w:pStyle w:val="4"/>
        <w:numPr>
          <w:ilvl w:val="0"/>
          <w:numId w:val="0"/>
        </w:numPr>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br w:type="page"/>
      </w:r>
      <w:bookmarkStart w:id="174" w:name="_Toc5582"/>
      <w:bookmarkStart w:id="175" w:name="_Toc287600130"/>
      <w:bookmarkStart w:id="176" w:name="_Toc19783361"/>
      <w:bookmarkStart w:id="177" w:name="_Toc444891355"/>
      <w:bookmarkStart w:id="178" w:name="_Toc26267"/>
      <w:bookmarkStart w:id="179" w:name="_Toc4426"/>
      <w:bookmarkStart w:id="180" w:name="_Toc3690"/>
      <w:bookmarkStart w:id="181" w:name="_Toc20707"/>
      <w:bookmarkStart w:id="182" w:name="_Toc517281838"/>
      <w:r>
        <w:rPr>
          <w:rFonts w:hint="eastAsia" w:ascii="仿宋" w:hAnsi="仿宋" w:eastAsia="仿宋" w:cs="仿宋"/>
          <w:color w:val="auto"/>
          <w:sz w:val="24"/>
          <w:szCs w:val="24"/>
          <w:highlight w:val="none"/>
        </w:rPr>
        <w:t>（三）法定代表人（负责人）授权委托书</w:t>
      </w:r>
      <w:bookmarkEnd w:id="174"/>
      <w:bookmarkEnd w:id="175"/>
      <w:bookmarkEnd w:id="176"/>
      <w:bookmarkEnd w:id="177"/>
      <w:bookmarkEnd w:id="178"/>
      <w:bookmarkEnd w:id="179"/>
      <w:bookmarkEnd w:id="180"/>
      <w:bookmarkEnd w:id="181"/>
      <w:bookmarkEnd w:id="182"/>
    </w:p>
    <w:p w14:paraId="75777495">
      <w:pPr>
        <w:pStyle w:val="157"/>
        <w:spacing w:before="240" w:after="240" w:line="360" w:lineRule="auto"/>
        <w:jc w:val="center"/>
        <w:rPr>
          <w:rFonts w:hint="eastAsia" w:ascii="仿宋" w:hAnsi="仿宋" w:eastAsia="仿宋" w:cs="Cambria Math"/>
          <w:b/>
          <w:color w:val="auto"/>
          <w:sz w:val="24"/>
          <w:szCs w:val="24"/>
          <w:highlight w:val="none"/>
        </w:rPr>
      </w:pPr>
      <w:r>
        <w:rPr>
          <w:rFonts w:hint="eastAsia" w:ascii="仿宋" w:hAnsi="仿宋" w:eastAsia="仿宋" w:cs="Cambria Math"/>
          <w:b/>
          <w:color w:val="auto"/>
          <w:sz w:val="24"/>
          <w:szCs w:val="24"/>
          <w:highlight w:val="none"/>
        </w:rPr>
        <w:t>法定代表人（负责人）授权委托书</w:t>
      </w:r>
    </w:p>
    <w:p w14:paraId="226EF1FF">
      <w:pPr>
        <w:pStyle w:val="157"/>
        <w:topLinePunct/>
        <w:spacing w:line="360" w:lineRule="auto"/>
        <w:ind w:firstLine="480" w:firstLineChars="200"/>
        <w:rPr>
          <w:rFonts w:hint="eastAsia" w:ascii="仿宋" w:hAnsi="仿宋" w:eastAsia="仿宋" w:cs="Cambria Math"/>
          <w:color w:val="auto"/>
          <w:sz w:val="24"/>
          <w:szCs w:val="24"/>
          <w:highlight w:val="none"/>
        </w:rPr>
      </w:pPr>
      <w:r>
        <w:rPr>
          <w:rFonts w:hint="eastAsia" w:ascii="仿宋" w:hAnsi="仿宋" w:eastAsia="仿宋" w:cs="仿宋"/>
          <w:color w:val="auto"/>
          <w:sz w:val="24"/>
          <w:highlight w:val="none"/>
        </w:rPr>
        <w:t>本人</w:t>
      </w:r>
      <w:r>
        <w:rPr>
          <w:rFonts w:hint="eastAsia" w:ascii="仿宋" w:hAnsi="仿宋" w:eastAsia="仿宋" w:cs="仿宋"/>
          <w:color w:val="auto"/>
          <w:sz w:val="24"/>
          <w:highlight w:val="none"/>
          <w:u w:val="single"/>
        </w:rPr>
        <w:t xml:space="preserve"> （姓名）</w:t>
      </w: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（供应商名称）</w:t>
      </w:r>
      <w:r>
        <w:rPr>
          <w:rFonts w:hint="eastAsia" w:ascii="仿宋" w:hAnsi="仿宋" w:eastAsia="仿宋" w:cs="仿宋"/>
          <w:color w:val="auto"/>
          <w:sz w:val="24"/>
          <w:highlight w:val="none"/>
        </w:rPr>
        <w:t>的法定代表人</w:t>
      </w:r>
      <w:r>
        <w:rPr>
          <w:rFonts w:hint="eastAsia" w:ascii="仿宋" w:hAnsi="仿宋" w:eastAsia="仿宋" w:cs="仿宋"/>
          <w:color w:val="auto"/>
          <w:sz w:val="24"/>
          <w:szCs w:val="24"/>
          <w:highlight w:val="none"/>
        </w:rPr>
        <w:t>（负责人）</w:t>
      </w:r>
      <w:r>
        <w:rPr>
          <w:rFonts w:hint="eastAsia" w:ascii="仿宋" w:hAnsi="仿宋" w:eastAsia="仿宋" w:cs="仿宋"/>
          <w:color w:val="auto"/>
          <w:sz w:val="24"/>
          <w:highlight w:val="none"/>
        </w:rPr>
        <w:t>，现授权委托</w:t>
      </w:r>
      <w:r>
        <w:rPr>
          <w:rFonts w:hint="eastAsia" w:ascii="仿宋" w:hAnsi="仿宋" w:eastAsia="仿宋" w:cs="仿宋"/>
          <w:color w:val="auto"/>
          <w:sz w:val="24"/>
          <w:highlight w:val="none"/>
          <w:u w:val="single"/>
        </w:rPr>
        <w:t xml:space="preserve"> （姓名）</w:t>
      </w:r>
      <w:r>
        <w:rPr>
          <w:rFonts w:hint="eastAsia" w:ascii="仿宋" w:hAnsi="仿宋" w:eastAsia="仿宋" w:cs="仿宋"/>
          <w:color w:val="auto"/>
          <w:sz w:val="24"/>
          <w:highlight w:val="none"/>
        </w:rPr>
        <w:t>为我方代理人。</w:t>
      </w:r>
      <w:r>
        <w:rPr>
          <w:rFonts w:hint="eastAsia" w:ascii="仿宋" w:hAnsi="仿宋" w:eastAsia="仿宋" w:cs="Cambria Math"/>
          <w:color w:val="auto"/>
          <w:sz w:val="24"/>
          <w:szCs w:val="24"/>
          <w:highlight w:val="none"/>
        </w:rPr>
        <w:t>代理人根据授权，以我方名义签署、澄清、说明、补正、递交、撤回、修改</w:t>
      </w:r>
      <w:r>
        <w:rPr>
          <w:rFonts w:hint="eastAsia" w:ascii="仿宋" w:hAnsi="仿宋" w:eastAsia="仿宋" w:cs="Cambria Math"/>
          <w:color w:val="auto"/>
          <w:sz w:val="24"/>
          <w:szCs w:val="24"/>
          <w:highlight w:val="none"/>
          <w:u w:val="single"/>
        </w:rPr>
        <w:t>（项目名称）</w:t>
      </w:r>
      <w:r>
        <w:rPr>
          <w:rFonts w:hint="eastAsia" w:ascii="仿宋" w:hAnsi="仿宋" w:eastAsia="仿宋" w:cs="Cambria Math"/>
          <w:color w:val="auto"/>
          <w:sz w:val="24"/>
          <w:szCs w:val="24"/>
          <w:highlight w:val="none"/>
        </w:rPr>
        <w:t>磋商响应文件、签订合同和处理有关事宜，其法律后果由我方承担。</w:t>
      </w:r>
    </w:p>
    <w:p w14:paraId="4450530F">
      <w:pPr>
        <w:widowControl/>
        <w:spacing w:line="360" w:lineRule="auto"/>
        <w:ind w:firstLine="480" w:firstLineChars="200"/>
        <w:jc w:val="left"/>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委托期限：</w:t>
      </w:r>
      <w:r>
        <w:rPr>
          <w:rFonts w:hint="eastAsia" w:ascii="仿宋" w:hAnsi="仿宋" w:eastAsia="仿宋" w:cs="Cambria Math"/>
          <w:color w:val="auto"/>
          <w:kern w:val="0"/>
          <w:sz w:val="24"/>
          <w:highlight w:val="none"/>
          <w:u w:val="single"/>
        </w:rPr>
        <w:t xml:space="preserve"> 自</w:t>
      </w:r>
      <w:r>
        <w:rPr>
          <w:rFonts w:hint="eastAsia" w:ascii="仿宋" w:hAnsi="仿宋" w:eastAsia="仿宋" w:cs="微软雅黑"/>
          <w:color w:val="auto"/>
          <w:kern w:val="0"/>
          <w:sz w:val="24"/>
          <w:highlight w:val="none"/>
          <w:u w:val="single"/>
        </w:rPr>
        <w:t>本委托书签字盖章生效</w:t>
      </w:r>
      <w:r>
        <w:rPr>
          <w:rFonts w:hint="eastAsia" w:ascii="仿宋" w:hAnsi="仿宋" w:eastAsia="仿宋" w:cs="Cambria Math"/>
          <w:color w:val="auto"/>
          <w:kern w:val="0"/>
          <w:sz w:val="24"/>
          <w:highlight w:val="none"/>
          <w:u w:val="single"/>
        </w:rPr>
        <w:t xml:space="preserve">之日起至磋商响应有效期到期之日为止 </w:t>
      </w:r>
      <w:r>
        <w:rPr>
          <w:rFonts w:hint="eastAsia" w:ascii="仿宋" w:hAnsi="仿宋" w:eastAsia="仿宋" w:cs="Cambria Math"/>
          <w:color w:val="auto"/>
          <w:kern w:val="0"/>
          <w:sz w:val="24"/>
          <w:highlight w:val="none"/>
        </w:rPr>
        <w:t>。</w:t>
      </w:r>
    </w:p>
    <w:p w14:paraId="579424B1">
      <w:pPr>
        <w:pStyle w:val="157"/>
        <w:spacing w:line="360" w:lineRule="auto"/>
        <w:ind w:firstLine="480" w:firstLineChars="200"/>
        <w:rPr>
          <w:rFonts w:hint="eastAsia" w:ascii="仿宋" w:hAnsi="仿宋" w:eastAsia="仿宋" w:cs="Cambria Math"/>
          <w:color w:val="auto"/>
          <w:sz w:val="24"/>
          <w:szCs w:val="24"/>
          <w:highlight w:val="none"/>
        </w:rPr>
      </w:pPr>
      <w:r>
        <w:rPr>
          <w:rFonts w:hint="eastAsia" w:ascii="仿宋" w:hAnsi="仿宋" w:eastAsia="仿宋" w:cs="Cambria Math"/>
          <w:color w:val="auto"/>
          <w:sz w:val="24"/>
          <w:szCs w:val="24"/>
          <w:highlight w:val="none"/>
        </w:rPr>
        <w:t>代理人无转委托权。</w:t>
      </w:r>
    </w:p>
    <w:p w14:paraId="776A6286">
      <w:pPr>
        <w:pStyle w:val="157"/>
        <w:spacing w:line="360" w:lineRule="auto"/>
        <w:ind w:firstLine="482" w:firstLineChars="200"/>
        <w:rPr>
          <w:rFonts w:ascii="仿宋" w:hAnsi="仿宋" w:eastAsia="仿宋" w:cs="Cambria Math"/>
          <w:b/>
          <w:bCs/>
          <w:color w:val="auto"/>
          <w:sz w:val="24"/>
          <w:szCs w:val="24"/>
          <w:highlight w:val="none"/>
        </w:rPr>
      </w:pPr>
    </w:p>
    <w:p w14:paraId="5B1CB2F2">
      <w:pPr>
        <w:pStyle w:val="157"/>
        <w:spacing w:line="360" w:lineRule="auto"/>
        <w:ind w:firstLine="482" w:firstLineChars="200"/>
        <w:rPr>
          <w:rFonts w:ascii="仿宋" w:hAnsi="仿宋" w:eastAsia="仿宋" w:cs="Cambria Math"/>
          <w:color w:val="auto"/>
          <w:sz w:val="24"/>
          <w:szCs w:val="24"/>
          <w:highlight w:val="none"/>
        </w:rPr>
      </w:pPr>
      <w:r>
        <w:rPr>
          <w:rFonts w:hint="eastAsia" w:ascii="仿宋" w:hAnsi="仿宋" w:eastAsia="仿宋" w:cs="Cambria Math"/>
          <w:b/>
          <w:bCs/>
          <w:color w:val="auto"/>
          <w:sz w:val="24"/>
          <w:szCs w:val="24"/>
          <w:highlight w:val="none"/>
        </w:rPr>
        <w:t>附：委托代理人身份证复印件（需同时提供正面及背面）</w:t>
      </w:r>
      <w:r>
        <w:rPr>
          <w:rFonts w:hint="eastAsia" w:ascii="仿宋" w:hAnsi="仿宋" w:eastAsia="仿宋" w:cs="Cambria Math"/>
          <w:color w:val="auto"/>
          <w:sz w:val="24"/>
          <w:szCs w:val="24"/>
          <w:highlight w:val="none"/>
        </w:rPr>
        <w:t>。</w:t>
      </w:r>
    </w:p>
    <w:p w14:paraId="2E177D77">
      <w:pPr>
        <w:pStyle w:val="157"/>
        <w:spacing w:line="440" w:lineRule="atLeast"/>
        <w:ind w:firstLine="480"/>
        <w:jc w:val="left"/>
        <w:rPr>
          <w:rFonts w:hint="eastAsia" w:ascii="仿宋" w:hAnsi="仿宋" w:eastAsia="仿宋" w:cs="仿宋"/>
          <w:color w:val="auto"/>
          <w:highlight w:val="none"/>
        </w:rPr>
      </w:pPr>
      <w:r>
        <w:rPr>
          <w:rFonts w:hint="eastAsia" w:ascii="仿宋" w:hAnsi="仿宋" w:eastAsia="仿宋" w:cs="仿宋"/>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3360;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auto"/>
          <w:highlight w:val="none"/>
        </w:rPr>
        <mc:AlternateContent>
          <mc:Choice Requires="wps">
            <w:drawing>
              <wp:anchor distT="0" distB="0" distL="114300" distR="114300" simplePos="0" relativeHeight="251664384"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4384;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14:paraId="63E09245">
      <w:pPr>
        <w:pStyle w:val="157"/>
        <w:spacing w:line="440" w:lineRule="atLeast"/>
        <w:ind w:firstLine="480"/>
        <w:jc w:val="left"/>
        <w:rPr>
          <w:rFonts w:hint="eastAsia" w:ascii="仿宋" w:hAnsi="仿宋" w:eastAsia="仿宋" w:cs="仿宋"/>
          <w:color w:val="auto"/>
          <w:highlight w:val="none"/>
        </w:rPr>
      </w:pPr>
    </w:p>
    <w:p w14:paraId="503CFA16">
      <w:pPr>
        <w:spacing w:line="360" w:lineRule="auto"/>
        <w:ind w:left="720"/>
        <w:rPr>
          <w:rFonts w:hint="eastAsia" w:ascii="仿宋" w:hAnsi="仿宋" w:eastAsia="仿宋" w:cs="仿宋"/>
          <w:b/>
          <w:color w:val="auto"/>
          <w:sz w:val="24"/>
          <w:highlight w:val="none"/>
        </w:rPr>
      </w:pPr>
    </w:p>
    <w:p w14:paraId="43F86B14">
      <w:pPr>
        <w:tabs>
          <w:tab w:val="left" w:pos="540"/>
        </w:tabs>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ab/>
      </w:r>
    </w:p>
    <w:p w14:paraId="2B46E93B">
      <w:pPr>
        <w:pStyle w:val="17"/>
        <w:rPr>
          <w:rFonts w:ascii="宋体" w:hAnsi="宋体"/>
          <w:color w:val="auto"/>
          <w:kern w:val="0"/>
          <w:szCs w:val="21"/>
          <w:highlight w:val="none"/>
        </w:rPr>
      </w:pPr>
    </w:p>
    <w:p w14:paraId="1877A4C0">
      <w:pPr>
        <w:pStyle w:val="17"/>
        <w:rPr>
          <w:rFonts w:ascii="宋体" w:hAnsi="宋体"/>
          <w:color w:val="auto"/>
          <w:kern w:val="0"/>
          <w:szCs w:val="21"/>
          <w:highlight w:val="none"/>
        </w:rPr>
      </w:pPr>
    </w:p>
    <w:p w14:paraId="0FA840C1">
      <w:pPr>
        <w:pStyle w:val="17"/>
        <w:rPr>
          <w:rFonts w:ascii="宋体" w:hAnsi="宋体"/>
          <w:color w:val="auto"/>
          <w:kern w:val="0"/>
          <w:szCs w:val="21"/>
          <w:highlight w:val="none"/>
        </w:rPr>
      </w:pPr>
    </w:p>
    <w:p w14:paraId="2AD82403">
      <w:pPr>
        <w:spacing w:line="360" w:lineRule="auto"/>
        <w:ind w:right="420" w:firstLine="4200" w:firstLineChars="1750"/>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供应商名称：</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（盖章）</w:t>
      </w:r>
    </w:p>
    <w:p w14:paraId="0D9E8281">
      <w:pPr>
        <w:spacing w:line="360" w:lineRule="auto"/>
        <w:ind w:right="420" w:firstLine="3120" w:firstLineChars="1300"/>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法定代表人（负责人）：</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（签字或盖章）</w:t>
      </w:r>
    </w:p>
    <w:p w14:paraId="6A53A3F9">
      <w:pPr>
        <w:pStyle w:val="157"/>
        <w:wordWrap w:val="0"/>
        <w:spacing w:line="360" w:lineRule="auto"/>
        <w:ind w:right="105" w:firstLine="4200" w:firstLineChars="1750"/>
        <w:rPr>
          <w:rFonts w:hint="eastAsia" w:ascii="仿宋" w:hAnsi="仿宋" w:eastAsia="仿宋" w:cs="Cambria Math"/>
          <w:color w:val="auto"/>
          <w:sz w:val="24"/>
          <w:szCs w:val="24"/>
          <w:highlight w:val="none"/>
        </w:rPr>
      </w:pPr>
      <w:r>
        <w:rPr>
          <w:rFonts w:hint="eastAsia" w:ascii="仿宋" w:hAnsi="仿宋" w:eastAsia="仿宋" w:cs="Cambria Math"/>
          <w:color w:val="auto"/>
          <w:sz w:val="24"/>
          <w:szCs w:val="24"/>
          <w:highlight w:val="none"/>
        </w:rPr>
        <w:t>委托代理人：</w:t>
      </w:r>
      <w:r>
        <w:rPr>
          <w:rFonts w:hint="eastAsia" w:ascii="仿宋" w:hAnsi="仿宋" w:eastAsia="仿宋" w:cs="Cambria Math"/>
          <w:color w:val="auto"/>
          <w:sz w:val="24"/>
          <w:szCs w:val="24"/>
          <w:highlight w:val="none"/>
          <w:u w:val="single"/>
        </w:rPr>
        <w:t xml:space="preserve">               </w:t>
      </w:r>
      <w:r>
        <w:rPr>
          <w:rFonts w:hint="eastAsia" w:ascii="仿宋" w:hAnsi="仿宋" w:eastAsia="仿宋" w:cs="Cambria Math"/>
          <w:color w:val="auto"/>
          <w:sz w:val="24"/>
          <w:szCs w:val="24"/>
          <w:highlight w:val="none"/>
        </w:rPr>
        <w:t>（签字</w:t>
      </w:r>
      <w:r>
        <w:rPr>
          <w:rFonts w:hint="eastAsia" w:ascii="仿宋" w:hAnsi="仿宋" w:eastAsia="仿宋" w:cs="Cambria Math"/>
          <w:color w:val="auto"/>
          <w:sz w:val="24"/>
          <w:highlight w:val="none"/>
        </w:rPr>
        <w:t>或盖章</w:t>
      </w:r>
      <w:r>
        <w:rPr>
          <w:rFonts w:hint="eastAsia" w:ascii="仿宋" w:hAnsi="仿宋" w:eastAsia="仿宋" w:cs="Cambria Math"/>
          <w:color w:val="auto"/>
          <w:sz w:val="24"/>
          <w:szCs w:val="24"/>
          <w:highlight w:val="none"/>
        </w:rPr>
        <w:t xml:space="preserve">） </w:t>
      </w:r>
    </w:p>
    <w:p w14:paraId="72248D0C">
      <w:pPr>
        <w:wordWrap w:val="0"/>
        <w:spacing w:line="360" w:lineRule="auto"/>
        <w:ind w:firstLine="4200" w:firstLineChars="1750"/>
        <w:rPr>
          <w:rFonts w:hint="eastAsia" w:ascii="仿宋" w:hAnsi="仿宋" w:eastAsia="仿宋" w:cs="Cambria Math"/>
          <w:b/>
          <w:bCs/>
          <w:color w:val="auto"/>
          <w:sz w:val="24"/>
          <w:highlight w:val="none"/>
        </w:rPr>
      </w:pPr>
      <w:r>
        <w:rPr>
          <w:rFonts w:hint="eastAsia" w:ascii="仿宋" w:hAnsi="仿宋" w:eastAsia="仿宋" w:cs="Cambria Math"/>
          <w:color w:val="auto"/>
          <w:sz w:val="24"/>
          <w:highlight w:val="none"/>
        </w:rPr>
        <w:t>日期：</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年</w:t>
      </w:r>
      <w:r>
        <w:rPr>
          <w:rFonts w:hint="eastAsia" w:ascii="仿宋" w:hAnsi="仿宋" w:eastAsia="仿宋" w:cs="Cambria Math"/>
          <w:color w:val="auto"/>
          <w:sz w:val="24"/>
          <w:highlight w:val="none"/>
          <w:u w:val="single"/>
        </w:rPr>
        <w:t xml:space="preserve">  </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月</w:t>
      </w:r>
      <w:r>
        <w:rPr>
          <w:rFonts w:hint="eastAsia" w:ascii="仿宋" w:hAnsi="仿宋" w:eastAsia="仿宋" w:cs="Cambria Math"/>
          <w:color w:val="auto"/>
          <w:sz w:val="24"/>
          <w:highlight w:val="none"/>
          <w:u w:val="single"/>
        </w:rPr>
        <w:t xml:space="preserve">  </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日</w:t>
      </w:r>
    </w:p>
    <w:p w14:paraId="7C59946A">
      <w:pPr>
        <w:tabs>
          <w:tab w:val="left" w:pos="540"/>
        </w:tabs>
        <w:rPr>
          <w:rFonts w:hint="eastAsia" w:ascii="仿宋" w:hAnsi="仿宋" w:eastAsia="仿宋" w:cs="仿宋"/>
          <w:color w:val="auto"/>
          <w:kern w:val="0"/>
          <w:szCs w:val="21"/>
          <w:highlight w:val="none"/>
        </w:rPr>
        <w:sectPr>
          <w:pgSz w:w="11906" w:h="16838"/>
          <w:pgMar w:top="1417" w:right="1134" w:bottom="1134" w:left="1134" w:header="851" w:footer="992" w:gutter="0"/>
          <w:cols w:space="720" w:num="1"/>
          <w:titlePg/>
          <w:docGrid w:type="lines" w:linePitch="312" w:charSpace="0"/>
        </w:sectPr>
      </w:pPr>
    </w:p>
    <w:p w14:paraId="2196BB91">
      <w:pPr>
        <w:pStyle w:val="4"/>
        <w:numPr>
          <w:ilvl w:val="0"/>
          <w:numId w:val="0"/>
        </w:numPr>
        <w:spacing w:before="0" w:after="0" w:line="360" w:lineRule="auto"/>
        <w:rPr>
          <w:rFonts w:hint="eastAsia" w:ascii="仿宋" w:hAnsi="仿宋" w:eastAsia="仿宋" w:cs="仿宋"/>
          <w:color w:val="auto"/>
          <w:sz w:val="24"/>
          <w:szCs w:val="24"/>
          <w:highlight w:val="none"/>
        </w:rPr>
      </w:pPr>
      <w:bookmarkStart w:id="183" w:name="_Toc17760"/>
      <w:bookmarkStart w:id="184" w:name="_Toc517281841"/>
      <w:bookmarkStart w:id="185" w:name="_Toc27026"/>
      <w:bookmarkStart w:id="186" w:name="_Toc287600132"/>
      <w:bookmarkStart w:id="187" w:name="_Toc11396"/>
      <w:bookmarkStart w:id="188" w:name="_Toc444891357"/>
      <w:bookmarkStart w:id="189" w:name="_Toc16561"/>
      <w:bookmarkStart w:id="190" w:name="_Toc5406"/>
      <w:bookmarkStart w:id="191" w:name="_Toc34822258"/>
      <w:bookmarkStart w:id="192" w:name="_Toc34779170"/>
      <w:bookmarkStart w:id="193" w:name="_Toc34779120"/>
      <w:bookmarkStart w:id="194" w:name="_Toc34779216"/>
      <w:bookmarkStart w:id="195" w:name="_Toc287600135"/>
      <w:bookmarkStart w:id="196" w:name="_Toc35957216"/>
      <w:r>
        <w:rPr>
          <w:rFonts w:hint="eastAsia" w:ascii="仿宋" w:hAnsi="仿宋" w:eastAsia="仿宋" w:cs="仿宋"/>
          <w:color w:val="auto"/>
          <w:sz w:val="24"/>
          <w:szCs w:val="24"/>
          <w:highlight w:val="none"/>
        </w:rPr>
        <w:t>（四）资格证明文件</w:t>
      </w:r>
      <w:bookmarkEnd w:id="183"/>
    </w:p>
    <w:p w14:paraId="38D33CBE">
      <w:pPr>
        <w:pStyle w:val="5"/>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1、供应商基本情况信息表</w:t>
      </w:r>
    </w:p>
    <w:p w14:paraId="06711AE9">
      <w:pPr>
        <w:pStyle w:val="157"/>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供应商基本情况信息表</w:t>
      </w:r>
    </w:p>
    <w:tbl>
      <w:tblPr>
        <w:tblStyle w:val="41"/>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14:paraId="4C203993">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noWrap w:val="0"/>
            <w:vAlign w:val="center"/>
          </w:tcPr>
          <w:p w14:paraId="324F5725">
            <w:pPr>
              <w:pStyle w:val="157"/>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供应商名称</w:t>
            </w:r>
          </w:p>
        </w:tc>
        <w:tc>
          <w:tcPr>
            <w:tcW w:w="7609" w:type="dxa"/>
            <w:gridSpan w:val="9"/>
            <w:tcBorders>
              <w:top w:val="single" w:color="000000" w:sz="4" w:space="0"/>
              <w:left w:val="nil"/>
              <w:bottom w:val="single" w:color="000000" w:sz="4" w:space="0"/>
              <w:right w:val="single" w:color="000000" w:sz="4" w:space="0"/>
            </w:tcBorders>
            <w:noWrap w:val="0"/>
            <w:vAlign w:val="center"/>
          </w:tcPr>
          <w:p w14:paraId="584C087D">
            <w:pPr>
              <w:pStyle w:val="157"/>
              <w:topLinePunct/>
              <w:jc w:val="center"/>
              <w:rPr>
                <w:rFonts w:hint="eastAsia" w:ascii="仿宋" w:hAnsi="仿宋" w:eastAsia="仿宋" w:cs="仿宋"/>
                <w:color w:val="auto"/>
                <w:highlight w:val="none"/>
              </w:rPr>
            </w:pPr>
          </w:p>
        </w:tc>
      </w:tr>
      <w:tr w14:paraId="37CB8AAE">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287265B0">
            <w:pPr>
              <w:pStyle w:val="157"/>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注册地址</w:t>
            </w:r>
          </w:p>
        </w:tc>
        <w:tc>
          <w:tcPr>
            <w:tcW w:w="3588" w:type="dxa"/>
            <w:gridSpan w:val="5"/>
            <w:tcBorders>
              <w:top w:val="nil"/>
              <w:left w:val="nil"/>
              <w:bottom w:val="single" w:color="000000" w:sz="4" w:space="0"/>
              <w:right w:val="single" w:color="000000" w:sz="4" w:space="0"/>
            </w:tcBorders>
            <w:noWrap w:val="0"/>
            <w:vAlign w:val="center"/>
          </w:tcPr>
          <w:p w14:paraId="6C186FDB">
            <w:pPr>
              <w:pStyle w:val="157"/>
              <w:topLinePunct/>
              <w:jc w:val="center"/>
              <w:rPr>
                <w:rFonts w:hint="eastAsia" w:ascii="仿宋" w:hAnsi="仿宋" w:eastAsia="仿宋" w:cs="仿宋"/>
                <w:color w:val="auto"/>
                <w:highlight w:val="none"/>
              </w:rPr>
            </w:pPr>
          </w:p>
        </w:tc>
        <w:tc>
          <w:tcPr>
            <w:tcW w:w="1789" w:type="dxa"/>
            <w:tcBorders>
              <w:top w:val="single" w:color="000000" w:sz="4" w:space="0"/>
              <w:left w:val="nil"/>
              <w:bottom w:val="single" w:color="000000" w:sz="4" w:space="0"/>
              <w:right w:val="single" w:color="000000" w:sz="4" w:space="0"/>
            </w:tcBorders>
            <w:noWrap w:val="0"/>
            <w:vAlign w:val="center"/>
          </w:tcPr>
          <w:p w14:paraId="260D3130">
            <w:pPr>
              <w:pStyle w:val="157"/>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邮政编码</w:t>
            </w:r>
          </w:p>
        </w:tc>
        <w:tc>
          <w:tcPr>
            <w:tcW w:w="2232" w:type="dxa"/>
            <w:gridSpan w:val="3"/>
            <w:tcBorders>
              <w:top w:val="single" w:color="000000" w:sz="4" w:space="0"/>
              <w:left w:val="nil"/>
              <w:bottom w:val="single" w:color="000000" w:sz="4" w:space="0"/>
              <w:right w:val="single" w:color="000000" w:sz="4" w:space="0"/>
            </w:tcBorders>
            <w:noWrap w:val="0"/>
            <w:vAlign w:val="center"/>
          </w:tcPr>
          <w:p w14:paraId="38AF778F">
            <w:pPr>
              <w:pStyle w:val="157"/>
              <w:topLinePunct/>
              <w:jc w:val="center"/>
              <w:rPr>
                <w:rFonts w:hint="eastAsia" w:ascii="仿宋" w:hAnsi="仿宋" w:eastAsia="仿宋" w:cs="仿宋"/>
                <w:color w:val="auto"/>
                <w:highlight w:val="none"/>
              </w:rPr>
            </w:pPr>
          </w:p>
        </w:tc>
      </w:tr>
      <w:tr w14:paraId="76F1B418">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16B7FACA">
            <w:pPr>
              <w:pStyle w:val="157"/>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公司办公场所面职</w:t>
            </w:r>
          </w:p>
        </w:tc>
        <w:tc>
          <w:tcPr>
            <w:tcW w:w="3588" w:type="dxa"/>
            <w:gridSpan w:val="5"/>
            <w:tcBorders>
              <w:top w:val="nil"/>
              <w:left w:val="nil"/>
              <w:bottom w:val="single" w:color="000000" w:sz="4" w:space="0"/>
              <w:right w:val="single" w:color="000000" w:sz="4" w:space="0"/>
            </w:tcBorders>
            <w:noWrap w:val="0"/>
            <w:vAlign w:val="center"/>
          </w:tcPr>
          <w:p w14:paraId="79470DD6">
            <w:pPr>
              <w:pStyle w:val="157"/>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平米</w:t>
            </w:r>
          </w:p>
        </w:tc>
        <w:tc>
          <w:tcPr>
            <w:tcW w:w="1789" w:type="dxa"/>
            <w:tcBorders>
              <w:top w:val="nil"/>
              <w:left w:val="nil"/>
              <w:bottom w:val="single" w:color="000000" w:sz="4" w:space="0"/>
              <w:right w:val="single" w:color="000000" w:sz="4" w:space="0"/>
            </w:tcBorders>
            <w:noWrap w:val="0"/>
            <w:vAlign w:val="center"/>
          </w:tcPr>
          <w:p w14:paraId="2F448D54">
            <w:pPr>
              <w:pStyle w:val="157"/>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办事处地址</w:t>
            </w:r>
          </w:p>
        </w:tc>
        <w:tc>
          <w:tcPr>
            <w:tcW w:w="2232" w:type="dxa"/>
            <w:gridSpan w:val="3"/>
            <w:tcBorders>
              <w:top w:val="nil"/>
              <w:left w:val="nil"/>
              <w:bottom w:val="single" w:color="000000" w:sz="4" w:space="0"/>
              <w:right w:val="single" w:color="000000" w:sz="4" w:space="0"/>
            </w:tcBorders>
            <w:noWrap w:val="0"/>
            <w:vAlign w:val="center"/>
          </w:tcPr>
          <w:p w14:paraId="01D5931E">
            <w:pPr>
              <w:pStyle w:val="157"/>
              <w:topLinePunct/>
              <w:jc w:val="center"/>
              <w:rPr>
                <w:rFonts w:hint="eastAsia" w:ascii="仿宋" w:hAnsi="仿宋" w:eastAsia="仿宋" w:cs="仿宋"/>
                <w:color w:val="auto"/>
                <w:highlight w:val="none"/>
              </w:rPr>
            </w:pPr>
          </w:p>
        </w:tc>
      </w:tr>
      <w:tr w14:paraId="32A7E714">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noWrap w:val="0"/>
            <w:vAlign w:val="center"/>
          </w:tcPr>
          <w:p w14:paraId="31FDAB86">
            <w:pPr>
              <w:pStyle w:val="157"/>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联系方式</w:t>
            </w:r>
          </w:p>
        </w:tc>
        <w:tc>
          <w:tcPr>
            <w:tcW w:w="1141" w:type="dxa"/>
            <w:gridSpan w:val="2"/>
            <w:tcBorders>
              <w:top w:val="nil"/>
              <w:left w:val="nil"/>
              <w:bottom w:val="single" w:color="000000" w:sz="4" w:space="0"/>
              <w:right w:val="single" w:color="000000" w:sz="4" w:space="0"/>
            </w:tcBorders>
            <w:noWrap w:val="0"/>
            <w:vAlign w:val="center"/>
          </w:tcPr>
          <w:p w14:paraId="3817E5B9">
            <w:pPr>
              <w:pStyle w:val="157"/>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联系人</w:t>
            </w:r>
          </w:p>
        </w:tc>
        <w:tc>
          <w:tcPr>
            <w:tcW w:w="2447" w:type="dxa"/>
            <w:gridSpan w:val="3"/>
            <w:tcBorders>
              <w:top w:val="nil"/>
              <w:left w:val="nil"/>
              <w:bottom w:val="single" w:color="000000" w:sz="4" w:space="0"/>
              <w:right w:val="single" w:color="000000" w:sz="4" w:space="0"/>
            </w:tcBorders>
            <w:noWrap w:val="0"/>
            <w:vAlign w:val="center"/>
          </w:tcPr>
          <w:p w14:paraId="3036B907">
            <w:pPr>
              <w:pStyle w:val="157"/>
              <w:topLinePunct/>
              <w:jc w:val="center"/>
              <w:rPr>
                <w:rFonts w:hint="eastAsia" w:ascii="仿宋" w:hAnsi="仿宋" w:eastAsia="仿宋" w:cs="仿宋"/>
                <w:color w:val="auto"/>
                <w:highlight w:val="none"/>
              </w:rPr>
            </w:pPr>
          </w:p>
        </w:tc>
        <w:tc>
          <w:tcPr>
            <w:tcW w:w="1789" w:type="dxa"/>
            <w:tcBorders>
              <w:top w:val="nil"/>
              <w:left w:val="nil"/>
              <w:bottom w:val="single" w:color="000000" w:sz="4" w:space="0"/>
              <w:right w:val="single" w:color="000000" w:sz="4" w:space="0"/>
            </w:tcBorders>
            <w:noWrap w:val="0"/>
            <w:vAlign w:val="center"/>
          </w:tcPr>
          <w:p w14:paraId="459D3DCC">
            <w:pPr>
              <w:pStyle w:val="157"/>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电话</w:t>
            </w:r>
          </w:p>
        </w:tc>
        <w:tc>
          <w:tcPr>
            <w:tcW w:w="2232" w:type="dxa"/>
            <w:gridSpan w:val="3"/>
            <w:tcBorders>
              <w:top w:val="single" w:color="000000" w:sz="4" w:space="0"/>
              <w:left w:val="nil"/>
              <w:bottom w:val="single" w:color="000000" w:sz="4" w:space="0"/>
              <w:right w:val="single" w:color="000000" w:sz="4" w:space="0"/>
            </w:tcBorders>
            <w:noWrap w:val="0"/>
            <w:vAlign w:val="center"/>
          </w:tcPr>
          <w:p w14:paraId="2688CE75">
            <w:pPr>
              <w:pStyle w:val="157"/>
              <w:topLinePunct/>
              <w:jc w:val="center"/>
              <w:rPr>
                <w:rFonts w:hint="eastAsia" w:ascii="仿宋" w:hAnsi="仿宋" w:eastAsia="仿宋" w:cs="仿宋"/>
                <w:color w:val="auto"/>
                <w:highlight w:val="none"/>
              </w:rPr>
            </w:pPr>
          </w:p>
        </w:tc>
      </w:tr>
      <w:tr w14:paraId="3277C294">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noWrap w:val="0"/>
            <w:vAlign w:val="center"/>
          </w:tcPr>
          <w:p w14:paraId="0AFF6B77">
            <w:pPr>
              <w:rPr>
                <w:rFonts w:hint="eastAsia" w:ascii="仿宋" w:hAnsi="仿宋" w:eastAsia="仿宋" w:cs="仿宋"/>
                <w:color w:val="auto"/>
                <w:szCs w:val="21"/>
                <w:highlight w:val="none"/>
              </w:rPr>
            </w:pPr>
          </w:p>
        </w:tc>
        <w:tc>
          <w:tcPr>
            <w:tcW w:w="1141" w:type="dxa"/>
            <w:gridSpan w:val="2"/>
            <w:tcBorders>
              <w:top w:val="nil"/>
              <w:left w:val="nil"/>
              <w:bottom w:val="single" w:color="000000" w:sz="4" w:space="0"/>
              <w:right w:val="single" w:color="000000" w:sz="4" w:space="0"/>
            </w:tcBorders>
            <w:noWrap w:val="0"/>
            <w:vAlign w:val="center"/>
          </w:tcPr>
          <w:p w14:paraId="63A7A6A6">
            <w:pPr>
              <w:pStyle w:val="157"/>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传真</w:t>
            </w:r>
          </w:p>
        </w:tc>
        <w:tc>
          <w:tcPr>
            <w:tcW w:w="2447" w:type="dxa"/>
            <w:gridSpan w:val="3"/>
            <w:tcBorders>
              <w:top w:val="nil"/>
              <w:left w:val="nil"/>
              <w:bottom w:val="single" w:color="000000" w:sz="4" w:space="0"/>
              <w:right w:val="single" w:color="000000" w:sz="4" w:space="0"/>
            </w:tcBorders>
            <w:noWrap w:val="0"/>
            <w:vAlign w:val="center"/>
          </w:tcPr>
          <w:p w14:paraId="7B098111">
            <w:pPr>
              <w:pStyle w:val="157"/>
              <w:topLinePunct/>
              <w:jc w:val="center"/>
              <w:rPr>
                <w:rFonts w:hint="eastAsia" w:ascii="仿宋" w:hAnsi="仿宋" w:eastAsia="仿宋" w:cs="仿宋"/>
                <w:color w:val="auto"/>
                <w:highlight w:val="none"/>
              </w:rPr>
            </w:pPr>
          </w:p>
        </w:tc>
        <w:tc>
          <w:tcPr>
            <w:tcW w:w="1789" w:type="dxa"/>
            <w:tcBorders>
              <w:top w:val="nil"/>
              <w:left w:val="nil"/>
              <w:bottom w:val="single" w:color="000000" w:sz="4" w:space="0"/>
              <w:right w:val="single" w:color="000000" w:sz="4" w:space="0"/>
            </w:tcBorders>
            <w:noWrap w:val="0"/>
            <w:vAlign w:val="center"/>
          </w:tcPr>
          <w:p w14:paraId="3CCE8CE9">
            <w:pPr>
              <w:pStyle w:val="157"/>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网址</w:t>
            </w:r>
          </w:p>
        </w:tc>
        <w:tc>
          <w:tcPr>
            <w:tcW w:w="2232" w:type="dxa"/>
            <w:gridSpan w:val="3"/>
            <w:tcBorders>
              <w:top w:val="nil"/>
              <w:left w:val="nil"/>
              <w:bottom w:val="single" w:color="000000" w:sz="4" w:space="0"/>
              <w:right w:val="single" w:color="000000" w:sz="4" w:space="0"/>
            </w:tcBorders>
            <w:noWrap w:val="0"/>
            <w:vAlign w:val="center"/>
          </w:tcPr>
          <w:p w14:paraId="513D1A8C">
            <w:pPr>
              <w:pStyle w:val="157"/>
              <w:topLinePunct/>
              <w:jc w:val="center"/>
              <w:rPr>
                <w:rFonts w:hint="eastAsia" w:ascii="仿宋" w:hAnsi="仿宋" w:eastAsia="仿宋" w:cs="仿宋"/>
                <w:color w:val="auto"/>
                <w:highlight w:val="none"/>
              </w:rPr>
            </w:pPr>
          </w:p>
        </w:tc>
      </w:tr>
      <w:tr w14:paraId="3FEE923E">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15773937">
            <w:pPr>
              <w:pStyle w:val="157"/>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组织结构</w:t>
            </w:r>
          </w:p>
        </w:tc>
        <w:tc>
          <w:tcPr>
            <w:tcW w:w="7609" w:type="dxa"/>
            <w:gridSpan w:val="9"/>
            <w:tcBorders>
              <w:top w:val="nil"/>
              <w:left w:val="nil"/>
              <w:bottom w:val="single" w:color="000000" w:sz="4" w:space="0"/>
              <w:right w:val="single" w:color="000000" w:sz="4" w:space="0"/>
            </w:tcBorders>
            <w:noWrap w:val="0"/>
            <w:vAlign w:val="center"/>
          </w:tcPr>
          <w:p w14:paraId="6C76A8E8">
            <w:pPr>
              <w:pStyle w:val="157"/>
              <w:topLinePunct/>
              <w:jc w:val="center"/>
              <w:rPr>
                <w:rFonts w:hint="eastAsia" w:ascii="仿宋" w:hAnsi="仿宋" w:eastAsia="仿宋" w:cs="仿宋"/>
                <w:color w:val="auto"/>
                <w:highlight w:val="none"/>
              </w:rPr>
            </w:pPr>
          </w:p>
        </w:tc>
      </w:tr>
      <w:tr w14:paraId="3FE0E4BC">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45314EB2">
            <w:pPr>
              <w:pStyle w:val="157"/>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法定代表人</w:t>
            </w:r>
          </w:p>
        </w:tc>
        <w:tc>
          <w:tcPr>
            <w:tcW w:w="775" w:type="dxa"/>
            <w:tcBorders>
              <w:top w:val="nil"/>
              <w:left w:val="nil"/>
              <w:bottom w:val="single" w:color="000000" w:sz="4" w:space="0"/>
              <w:right w:val="single" w:color="000000" w:sz="4" w:space="0"/>
            </w:tcBorders>
            <w:noWrap w:val="0"/>
            <w:vAlign w:val="center"/>
          </w:tcPr>
          <w:p w14:paraId="1EA9BD44">
            <w:pPr>
              <w:pStyle w:val="157"/>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姓名</w:t>
            </w:r>
          </w:p>
        </w:tc>
        <w:tc>
          <w:tcPr>
            <w:tcW w:w="1345" w:type="dxa"/>
            <w:gridSpan w:val="2"/>
            <w:tcBorders>
              <w:top w:val="single" w:color="000000" w:sz="4" w:space="0"/>
              <w:left w:val="nil"/>
              <w:bottom w:val="single" w:color="000000" w:sz="4" w:space="0"/>
              <w:right w:val="single" w:color="000000" w:sz="4" w:space="0"/>
            </w:tcBorders>
            <w:noWrap w:val="0"/>
            <w:vAlign w:val="center"/>
          </w:tcPr>
          <w:p w14:paraId="7CA0033E">
            <w:pPr>
              <w:pStyle w:val="157"/>
              <w:topLinePunct/>
              <w:jc w:val="center"/>
              <w:rPr>
                <w:rFonts w:hint="eastAsia" w:ascii="仿宋" w:hAnsi="仿宋" w:eastAsia="仿宋" w:cs="仿宋"/>
                <w:color w:val="auto"/>
                <w:highlight w:val="none"/>
              </w:rPr>
            </w:pPr>
          </w:p>
        </w:tc>
        <w:tc>
          <w:tcPr>
            <w:tcW w:w="1468" w:type="dxa"/>
            <w:gridSpan w:val="2"/>
            <w:tcBorders>
              <w:top w:val="single" w:color="000000" w:sz="4" w:space="0"/>
              <w:left w:val="nil"/>
              <w:bottom w:val="single" w:color="000000" w:sz="4" w:space="0"/>
              <w:right w:val="single" w:color="000000" w:sz="4" w:space="0"/>
            </w:tcBorders>
            <w:noWrap w:val="0"/>
            <w:vAlign w:val="center"/>
          </w:tcPr>
          <w:p w14:paraId="55BC6B2F">
            <w:pPr>
              <w:pStyle w:val="157"/>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职称</w:t>
            </w:r>
          </w:p>
        </w:tc>
        <w:tc>
          <w:tcPr>
            <w:tcW w:w="1891" w:type="dxa"/>
            <w:gridSpan w:val="2"/>
            <w:tcBorders>
              <w:top w:val="single" w:color="000000" w:sz="4" w:space="0"/>
              <w:left w:val="nil"/>
              <w:bottom w:val="single" w:color="000000" w:sz="4" w:space="0"/>
              <w:right w:val="single" w:color="000000" w:sz="4" w:space="0"/>
            </w:tcBorders>
            <w:noWrap w:val="0"/>
            <w:vAlign w:val="center"/>
          </w:tcPr>
          <w:p w14:paraId="300B2FDD">
            <w:pPr>
              <w:pStyle w:val="157"/>
              <w:topLinePunct/>
              <w:jc w:val="center"/>
              <w:rPr>
                <w:rFonts w:hint="eastAsia" w:ascii="仿宋" w:hAnsi="仿宋" w:eastAsia="仿宋" w:cs="仿宋"/>
                <w:color w:val="auto"/>
                <w:highlight w:val="none"/>
              </w:rPr>
            </w:pPr>
          </w:p>
        </w:tc>
        <w:tc>
          <w:tcPr>
            <w:tcW w:w="985" w:type="dxa"/>
            <w:tcBorders>
              <w:top w:val="single" w:color="000000" w:sz="4" w:space="0"/>
              <w:left w:val="nil"/>
              <w:bottom w:val="single" w:color="000000" w:sz="4" w:space="0"/>
              <w:right w:val="single" w:color="000000" w:sz="4" w:space="0"/>
            </w:tcBorders>
            <w:noWrap w:val="0"/>
            <w:vAlign w:val="center"/>
          </w:tcPr>
          <w:p w14:paraId="4825C54C">
            <w:pPr>
              <w:pStyle w:val="157"/>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电话</w:t>
            </w:r>
          </w:p>
        </w:tc>
        <w:tc>
          <w:tcPr>
            <w:tcW w:w="1145" w:type="dxa"/>
            <w:tcBorders>
              <w:top w:val="single" w:color="000000" w:sz="4" w:space="0"/>
              <w:left w:val="nil"/>
              <w:bottom w:val="single" w:color="000000" w:sz="4" w:space="0"/>
              <w:right w:val="single" w:color="000000" w:sz="4" w:space="0"/>
            </w:tcBorders>
            <w:noWrap w:val="0"/>
            <w:vAlign w:val="center"/>
          </w:tcPr>
          <w:p w14:paraId="4C41249A">
            <w:pPr>
              <w:pStyle w:val="157"/>
              <w:topLinePunct/>
              <w:jc w:val="center"/>
              <w:rPr>
                <w:rFonts w:hint="eastAsia" w:ascii="仿宋" w:hAnsi="仿宋" w:eastAsia="仿宋" w:cs="仿宋"/>
                <w:color w:val="auto"/>
                <w:highlight w:val="none"/>
              </w:rPr>
            </w:pPr>
          </w:p>
        </w:tc>
      </w:tr>
      <w:tr w14:paraId="22E6A48A">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0A5CAD4C">
            <w:pPr>
              <w:pStyle w:val="157"/>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技术负责人</w:t>
            </w:r>
          </w:p>
        </w:tc>
        <w:tc>
          <w:tcPr>
            <w:tcW w:w="775" w:type="dxa"/>
            <w:tcBorders>
              <w:top w:val="nil"/>
              <w:left w:val="nil"/>
              <w:bottom w:val="single" w:color="000000" w:sz="4" w:space="0"/>
              <w:right w:val="single" w:color="000000" w:sz="4" w:space="0"/>
            </w:tcBorders>
            <w:noWrap w:val="0"/>
            <w:vAlign w:val="center"/>
          </w:tcPr>
          <w:p w14:paraId="01BAD514">
            <w:pPr>
              <w:pStyle w:val="157"/>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姓名</w:t>
            </w:r>
          </w:p>
        </w:tc>
        <w:tc>
          <w:tcPr>
            <w:tcW w:w="1345" w:type="dxa"/>
            <w:gridSpan w:val="2"/>
            <w:tcBorders>
              <w:top w:val="nil"/>
              <w:left w:val="nil"/>
              <w:bottom w:val="single" w:color="000000" w:sz="4" w:space="0"/>
              <w:right w:val="single" w:color="000000" w:sz="4" w:space="0"/>
            </w:tcBorders>
            <w:noWrap w:val="0"/>
            <w:vAlign w:val="center"/>
          </w:tcPr>
          <w:p w14:paraId="6419FF9A">
            <w:pPr>
              <w:pStyle w:val="157"/>
              <w:topLinePunct/>
              <w:jc w:val="center"/>
              <w:rPr>
                <w:rFonts w:hint="eastAsia" w:ascii="仿宋" w:hAnsi="仿宋" w:eastAsia="仿宋" w:cs="仿宋"/>
                <w:color w:val="auto"/>
                <w:highlight w:val="none"/>
              </w:rPr>
            </w:pPr>
          </w:p>
        </w:tc>
        <w:tc>
          <w:tcPr>
            <w:tcW w:w="1468" w:type="dxa"/>
            <w:gridSpan w:val="2"/>
            <w:tcBorders>
              <w:top w:val="nil"/>
              <w:left w:val="nil"/>
              <w:bottom w:val="single" w:color="000000" w:sz="4" w:space="0"/>
              <w:right w:val="single" w:color="000000" w:sz="4" w:space="0"/>
            </w:tcBorders>
            <w:noWrap w:val="0"/>
            <w:vAlign w:val="center"/>
          </w:tcPr>
          <w:p w14:paraId="30CB0992">
            <w:pPr>
              <w:pStyle w:val="157"/>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职称</w:t>
            </w:r>
          </w:p>
        </w:tc>
        <w:tc>
          <w:tcPr>
            <w:tcW w:w="1891" w:type="dxa"/>
            <w:gridSpan w:val="2"/>
            <w:tcBorders>
              <w:top w:val="nil"/>
              <w:left w:val="nil"/>
              <w:bottom w:val="single" w:color="000000" w:sz="4" w:space="0"/>
              <w:right w:val="single" w:color="000000" w:sz="4" w:space="0"/>
            </w:tcBorders>
            <w:noWrap w:val="0"/>
            <w:vAlign w:val="center"/>
          </w:tcPr>
          <w:p w14:paraId="06710BDE">
            <w:pPr>
              <w:pStyle w:val="157"/>
              <w:topLinePunct/>
              <w:jc w:val="center"/>
              <w:rPr>
                <w:rFonts w:hint="eastAsia" w:ascii="仿宋" w:hAnsi="仿宋" w:eastAsia="仿宋" w:cs="仿宋"/>
                <w:color w:val="auto"/>
                <w:highlight w:val="none"/>
              </w:rPr>
            </w:pPr>
          </w:p>
        </w:tc>
        <w:tc>
          <w:tcPr>
            <w:tcW w:w="985" w:type="dxa"/>
            <w:tcBorders>
              <w:top w:val="nil"/>
              <w:left w:val="nil"/>
              <w:bottom w:val="single" w:color="000000" w:sz="4" w:space="0"/>
              <w:right w:val="single" w:color="000000" w:sz="4" w:space="0"/>
            </w:tcBorders>
            <w:noWrap w:val="0"/>
            <w:vAlign w:val="center"/>
          </w:tcPr>
          <w:p w14:paraId="1EEA0ADD">
            <w:pPr>
              <w:pStyle w:val="157"/>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电话</w:t>
            </w:r>
          </w:p>
        </w:tc>
        <w:tc>
          <w:tcPr>
            <w:tcW w:w="1145" w:type="dxa"/>
            <w:tcBorders>
              <w:top w:val="nil"/>
              <w:left w:val="nil"/>
              <w:bottom w:val="single" w:color="000000" w:sz="4" w:space="0"/>
              <w:right w:val="single" w:color="000000" w:sz="4" w:space="0"/>
            </w:tcBorders>
            <w:noWrap w:val="0"/>
            <w:vAlign w:val="center"/>
          </w:tcPr>
          <w:p w14:paraId="46E77AC8">
            <w:pPr>
              <w:pStyle w:val="157"/>
              <w:topLinePunct/>
              <w:jc w:val="center"/>
              <w:rPr>
                <w:rFonts w:hint="eastAsia" w:ascii="仿宋" w:hAnsi="仿宋" w:eastAsia="仿宋" w:cs="仿宋"/>
                <w:color w:val="auto"/>
                <w:highlight w:val="none"/>
              </w:rPr>
            </w:pPr>
          </w:p>
        </w:tc>
      </w:tr>
      <w:tr w14:paraId="4ED046F9">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0EDB6CA7">
            <w:pPr>
              <w:pStyle w:val="157"/>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成立时间</w:t>
            </w:r>
          </w:p>
        </w:tc>
        <w:tc>
          <w:tcPr>
            <w:tcW w:w="2120" w:type="dxa"/>
            <w:gridSpan w:val="3"/>
            <w:tcBorders>
              <w:top w:val="nil"/>
              <w:left w:val="nil"/>
              <w:bottom w:val="single" w:color="000000" w:sz="4" w:space="0"/>
              <w:right w:val="single" w:color="000000" w:sz="4" w:space="0"/>
            </w:tcBorders>
            <w:noWrap w:val="0"/>
            <w:vAlign w:val="center"/>
          </w:tcPr>
          <w:p w14:paraId="2ACD0CCD">
            <w:pPr>
              <w:pStyle w:val="157"/>
              <w:topLinePunct/>
              <w:jc w:val="center"/>
              <w:rPr>
                <w:rFonts w:hint="eastAsia" w:ascii="仿宋" w:hAnsi="仿宋" w:eastAsia="仿宋" w:cs="仿宋"/>
                <w:color w:val="auto"/>
                <w:highlight w:val="none"/>
              </w:rPr>
            </w:pPr>
          </w:p>
        </w:tc>
        <w:tc>
          <w:tcPr>
            <w:tcW w:w="5489" w:type="dxa"/>
            <w:gridSpan w:val="6"/>
            <w:tcBorders>
              <w:top w:val="nil"/>
              <w:left w:val="nil"/>
              <w:bottom w:val="single" w:color="000000" w:sz="4" w:space="0"/>
              <w:right w:val="single" w:color="000000" w:sz="4" w:space="0"/>
            </w:tcBorders>
            <w:noWrap w:val="0"/>
            <w:vAlign w:val="center"/>
          </w:tcPr>
          <w:p w14:paraId="38CA2453">
            <w:pPr>
              <w:pStyle w:val="157"/>
              <w:topLinePunct/>
              <w:ind w:firstLine="105"/>
              <w:jc w:val="center"/>
              <w:rPr>
                <w:rFonts w:hint="eastAsia" w:ascii="仿宋" w:hAnsi="仿宋" w:eastAsia="仿宋" w:cs="仿宋"/>
                <w:color w:val="auto"/>
                <w:highlight w:val="none"/>
              </w:rPr>
            </w:pPr>
            <w:r>
              <w:rPr>
                <w:rFonts w:hint="eastAsia" w:ascii="仿宋" w:hAnsi="仿宋" w:eastAsia="仿宋" w:cs="仿宋"/>
                <w:color w:val="auto"/>
                <w:highlight w:val="none"/>
              </w:rPr>
              <w:t>员工总人数：</w:t>
            </w:r>
          </w:p>
        </w:tc>
      </w:tr>
      <w:tr w14:paraId="60E35C13">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23B24D26">
            <w:pPr>
              <w:pStyle w:val="157"/>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企业资质等级</w:t>
            </w:r>
          </w:p>
        </w:tc>
        <w:tc>
          <w:tcPr>
            <w:tcW w:w="2120" w:type="dxa"/>
            <w:gridSpan w:val="3"/>
            <w:tcBorders>
              <w:top w:val="nil"/>
              <w:left w:val="nil"/>
              <w:bottom w:val="single" w:color="000000" w:sz="4" w:space="0"/>
              <w:right w:val="single" w:color="000000" w:sz="4" w:space="0"/>
            </w:tcBorders>
            <w:noWrap w:val="0"/>
            <w:vAlign w:val="center"/>
          </w:tcPr>
          <w:p w14:paraId="1B1ACF38">
            <w:pPr>
              <w:pStyle w:val="157"/>
              <w:topLinePunct/>
              <w:jc w:val="center"/>
              <w:rPr>
                <w:rFonts w:hint="eastAsia" w:ascii="仿宋" w:hAnsi="仿宋" w:eastAsia="仿宋" w:cs="仿宋"/>
                <w:color w:val="auto"/>
                <w:highlight w:val="none"/>
              </w:rPr>
            </w:pPr>
          </w:p>
        </w:tc>
        <w:tc>
          <w:tcPr>
            <w:tcW w:w="713" w:type="dxa"/>
            <w:vMerge w:val="restart"/>
            <w:tcBorders>
              <w:top w:val="nil"/>
              <w:left w:val="nil"/>
              <w:bottom w:val="single" w:color="000000" w:sz="4" w:space="0"/>
              <w:right w:val="single" w:color="000000" w:sz="4" w:space="0"/>
            </w:tcBorders>
            <w:noWrap w:val="0"/>
            <w:vAlign w:val="center"/>
          </w:tcPr>
          <w:p w14:paraId="3D2F926A">
            <w:pPr>
              <w:pStyle w:val="157"/>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其中</w:t>
            </w:r>
          </w:p>
        </w:tc>
        <w:tc>
          <w:tcPr>
            <w:tcW w:w="2646" w:type="dxa"/>
            <w:gridSpan w:val="3"/>
            <w:tcBorders>
              <w:top w:val="single" w:color="000000" w:sz="4" w:space="0"/>
              <w:left w:val="nil"/>
              <w:bottom w:val="single" w:color="000000" w:sz="4" w:space="0"/>
              <w:right w:val="single" w:color="000000" w:sz="4" w:space="0"/>
            </w:tcBorders>
            <w:noWrap w:val="0"/>
            <w:vAlign w:val="center"/>
          </w:tcPr>
          <w:p w14:paraId="733B8783">
            <w:pPr>
              <w:pStyle w:val="157"/>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项目负责人</w:t>
            </w:r>
          </w:p>
        </w:tc>
        <w:tc>
          <w:tcPr>
            <w:tcW w:w="2130" w:type="dxa"/>
            <w:gridSpan w:val="2"/>
            <w:tcBorders>
              <w:top w:val="single" w:color="000000" w:sz="4" w:space="0"/>
              <w:left w:val="nil"/>
              <w:bottom w:val="single" w:color="000000" w:sz="4" w:space="0"/>
              <w:right w:val="single" w:color="000000" w:sz="4" w:space="0"/>
            </w:tcBorders>
            <w:noWrap w:val="0"/>
            <w:vAlign w:val="center"/>
          </w:tcPr>
          <w:p w14:paraId="56BD0730">
            <w:pPr>
              <w:pStyle w:val="157"/>
              <w:topLinePunct/>
              <w:jc w:val="center"/>
              <w:rPr>
                <w:rFonts w:hint="eastAsia" w:ascii="仿宋" w:hAnsi="仿宋" w:eastAsia="仿宋" w:cs="仿宋"/>
                <w:color w:val="auto"/>
                <w:highlight w:val="none"/>
              </w:rPr>
            </w:pPr>
          </w:p>
        </w:tc>
      </w:tr>
      <w:tr w14:paraId="73F96906">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72640702">
            <w:pPr>
              <w:pStyle w:val="157"/>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营业执照号</w:t>
            </w:r>
          </w:p>
        </w:tc>
        <w:tc>
          <w:tcPr>
            <w:tcW w:w="2120" w:type="dxa"/>
            <w:gridSpan w:val="3"/>
            <w:tcBorders>
              <w:top w:val="nil"/>
              <w:left w:val="nil"/>
              <w:bottom w:val="single" w:color="000000" w:sz="4" w:space="0"/>
              <w:right w:val="single" w:color="000000" w:sz="4" w:space="0"/>
            </w:tcBorders>
            <w:noWrap w:val="0"/>
            <w:vAlign w:val="center"/>
          </w:tcPr>
          <w:p w14:paraId="6956B10A">
            <w:pPr>
              <w:pStyle w:val="157"/>
              <w:topLinePunct/>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noWrap w:val="0"/>
            <w:vAlign w:val="center"/>
          </w:tcPr>
          <w:p w14:paraId="0D2D4319">
            <w:pPr>
              <w:rPr>
                <w:rFonts w:hint="eastAsia" w:ascii="仿宋" w:hAnsi="仿宋" w:eastAsia="仿宋" w:cs="仿宋"/>
                <w:color w:val="auto"/>
                <w:szCs w:val="21"/>
                <w:highlight w:val="none"/>
              </w:rPr>
            </w:pPr>
          </w:p>
        </w:tc>
        <w:tc>
          <w:tcPr>
            <w:tcW w:w="2646" w:type="dxa"/>
            <w:gridSpan w:val="3"/>
            <w:tcBorders>
              <w:top w:val="nil"/>
              <w:left w:val="nil"/>
              <w:bottom w:val="single" w:color="000000" w:sz="4" w:space="0"/>
              <w:right w:val="single" w:color="000000" w:sz="4" w:space="0"/>
            </w:tcBorders>
            <w:noWrap w:val="0"/>
            <w:vAlign w:val="center"/>
          </w:tcPr>
          <w:p w14:paraId="2592D26B">
            <w:pPr>
              <w:pStyle w:val="157"/>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高级职称人员</w:t>
            </w:r>
          </w:p>
        </w:tc>
        <w:tc>
          <w:tcPr>
            <w:tcW w:w="2130" w:type="dxa"/>
            <w:gridSpan w:val="2"/>
            <w:tcBorders>
              <w:top w:val="nil"/>
              <w:left w:val="nil"/>
              <w:bottom w:val="single" w:color="000000" w:sz="4" w:space="0"/>
              <w:right w:val="single" w:color="000000" w:sz="4" w:space="0"/>
            </w:tcBorders>
            <w:noWrap w:val="0"/>
            <w:vAlign w:val="center"/>
          </w:tcPr>
          <w:p w14:paraId="247DC7D0">
            <w:pPr>
              <w:pStyle w:val="157"/>
              <w:topLinePunct/>
              <w:jc w:val="center"/>
              <w:rPr>
                <w:rFonts w:hint="eastAsia" w:ascii="仿宋" w:hAnsi="仿宋" w:eastAsia="仿宋" w:cs="仿宋"/>
                <w:color w:val="auto"/>
                <w:highlight w:val="none"/>
              </w:rPr>
            </w:pPr>
          </w:p>
        </w:tc>
      </w:tr>
      <w:tr w14:paraId="02CF190B">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5650C1EB">
            <w:pPr>
              <w:pStyle w:val="157"/>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注册资金</w:t>
            </w:r>
          </w:p>
        </w:tc>
        <w:tc>
          <w:tcPr>
            <w:tcW w:w="2120" w:type="dxa"/>
            <w:gridSpan w:val="3"/>
            <w:tcBorders>
              <w:top w:val="nil"/>
              <w:left w:val="nil"/>
              <w:bottom w:val="single" w:color="000000" w:sz="4" w:space="0"/>
              <w:right w:val="single" w:color="000000" w:sz="4" w:space="0"/>
            </w:tcBorders>
            <w:noWrap w:val="0"/>
            <w:vAlign w:val="center"/>
          </w:tcPr>
          <w:p w14:paraId="7E80994F">
            <w:pPr>
              <w:pStyle w:val="157"/>
              <w:topLinePunct/>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noWrap w:val="0"/>
            <w:vAlign w:val="center"/>
          </w:tcPr>
          <w:p w14:paraId="4C55A150">
            <w:pPr>
              <w:rPr>
                <w:rFonts w:hint="eastAsia" w:ascii="仿宋" w:hAnsi="仿宋" w:eastAsia="仿宋" w:cs="仿宋"/>
                <w:color w:val="auto"/>
                <w:szCs w:val="21"/>
                <w:highlight w:val="none"/>
              </w:rPr>
            </w:pPr>
          </w:p>
        </w:tc>
        <w:tc>
          <w:tcPr>
            <w:tcW w:w="2646" w:type="dxa"/>
            <w:gridSpan w:val="3"/>
            <w:tcBorders>
              <w:top w:val="nil"/>
              <w:left w:val="nil"/>
              <w:bottom w:val="single" w:color="000000" w:sz="4" w:space="0"/>
              <w:right w:val="single" w:color="000000" w:sz="4" w:space="0"/>
            </w:tcBorders>
            <w:noWrap w:val="0"/>
            <w:vAlign w:val="center"/>
          </w:tcPr>
          <w:p w14:paraId="4529E2BF">
            <w:pPr>
              <w:pStyle w:val="157"/>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中级职称人员</w:t>
            </w:r>
          </w:p>
        </w:tc>
        <w:tc>
          <w:tcPr>
            <w:tcW w:w="2130" w:type="dxa"/>
            <w:gridSpan w:val="2"/>
            <w:tcBorders>
              <w:top w:val="nil"/>
              <w:left w:val="nil"/>
              <w:bottom w:val="single" w:color="000000" w:sz="4" w:space="0"/>
              <w:right w:val="single" w:color="000000" w:sz="4" w:space="0"/>
            </w:tcBorders>
            <w:noWrap w:val="0"/>
            <w:vAlign w:val="center"/>
          </w:tcPr>
          <w:p w14:paraId="1353875A">
            <w:pPr>
              <w:pStyle w:val="157"/>
              <w:topLinePunct/>
              <w:jc w:val="center"/>
              <w:rPr>
                <w:rFonts w:hint="eastAsia" w:ascii="仿宋" w:hAnsi="仿宋" w:eastAsia="仿宋" w:cs="仿宋"/>
                <w:color w:val="auto"/>
                <w:highlight w:val="none"/>
              </w:rPr>
            </w:pPr>
          </w:p>
        </w:tc>
      </w:tr>
      <w:tr w14:paraId="555D0258">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11E03874">
            <w:pPr>
              <w:pStyle w:val="157"/>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开户银行</w:t>
            </w:r>
          </w:p>
        </w:tc>
        <w:tc>
          <w:tcPr>
            <w:tcW w:w="2120" w:type="dxa"/>
            <w:gridSpan w:val="3"/>
            <w:tcBorders>
              <w:top w:val="nil"/>
              <w:left w:val="nil"/>
              <w:bottom w:val="single" w:color="000000" w:sz="4" w:space="0"/>
              <w:right w:val="single" w:color="000000" w:sz="4" w:space="0"/>
            </w:tcBorders>
            <w:noWrap w:val="0"/>
            <w:vAlign w:val="center"/>
          </w:tcPr>
          <w:p w14:paraId="2C201ED3">
            <w:pPr>
              <w:pStyle w:val="157"/>
              <w:topLinePunct/>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noWrap w:val="0"/>
            <w:vAlign w:val="center"/>
          </w:tcPr>
          <w:p w14:paraId="0D518A62">
            <w:pPr>
              <w:rPr>
                <w:rFonts w:hint="eastAsia" w:ascii="仿宋" w:hAnsi="仿宋" w:eastAsia="仿宋" w:cs="仿宋"/>
                <w:color w:val="auto"/>
                <w:szCs w:val="21"/>
                <w:highlight w:val="none"/>
              </w:rPr>
            </w:pPr>
          </w:p>
        </w:tc>
        <w:tc>
          <w:tcPr>
            <w:tcW w:w="2646" w:type="dxa"/>
            <w:gridSpan w:val="3"/>
            <w:vMerge w:val="restart"/>
            <w:tcBorders>
              <w:top w:val="nil"/>
              <w:left w:val="nil"/>
              <w:right w:val="single" w:color="000000" w:sz="4" w:space="0"/>
            </w:tcBorders>
            <w:noWrap w:val="0"/>
            <w:vAlign w:val="center"/>
          </w:tcPr>
          <w:p w14:paraId="2B2F118C">
            <w:pPr>
              <w:pStyle w:val="157"/>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初级职称人员</w:t>
            </w:r>
          </w:p>
        </w:tc>
        <w:tc>
          <w:tcPr>
            <w:tcW w:w="2130" w:type="dxa"/>
            <w:gridSpan w:val="2"/>
            <w:vMerge w:val="restart"/>
            <w:tcBorders>
              <w:top w:val="nil"/>
              <w:left w:val="nil"/>
              <w:right w:val="single" w:color="000000" w:sz="4" w:space="0"/>
            </w:tcBorders>
            <w:noWrap w:val="0"/>
            <w:vAlign w:val="center"/>
          </w:tcPr>
          <w:p w14:paraId="1111D6B8">
            <w:pPr>
              <w:pStyle w:val="157"/>
              <w:topLinePunct/>
              <w:jc w:val="center"/>
              <w:rPr>
                <w:rFonts w:hint="eastAsia" w:ascii="仿宋" w:hAnsi="仿宋" w:eastAsia="仿宋" w:cs="仿宋"/>
                <w:color w:val="auto"/>
                <w:highlight w:val="none"/>
              </w:rPr>
            </w:pPr>
          </w:p>
        </w:tc>
      </w:tr>
      <w:tr w14:paraId="7F8CA9D0">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786F39B7">
            <w:pPr>
              <w:pStyle w:val="157"/>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账号</w:t>
            </w:r>
          </w:p>
        </w:tc>
        <w:tc>
          <w:tcPr>
            <w:tcW w:w="2120" w:type="dxa"/>
            <w:gridSpan w:val="3"/>
            <w:tcBorders>
              <w:top w:val="nil"/>
              <w:left w:val="nil"/>
              <w:bottom w:val="single" w:color="000000" w:sz="4" w:space="0"/>
              <w:right w:val="single" w:color="000000" w:sz="4" w:space="0"/>
            </w:tcBorders>
            <w:noWrap w:val="0"/>
            <w:vAlign w:val="center"/>
          </w:tcPr>
          <w:p w14:paraId="74A31301">
            <w:pPr>
              <w:pStyle w:val="157"/>
              <w:topLinePunct/>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noWrap w:val="0"/>
            <w:vAlign w:val="center"/>
          </w:tcPr>
          <w:p w14:paraId="39E02962">
            <w:pPr>
              <w:rPr>
                <w:rFonts w:hint="eastAsia" w:ascii="仿宋" w:hAnsi="仿宋" w:eastAsia="仿宋" w:cs="仿宋"/>
                <w:color w:val="auto"/>
                <w:szCs w:val="21"/>
                <w:highlight w:val="none"/>
              </w:rPr>
            </w:pPr>
          </w:p>
        </w:tc>
        <w:tc>
          <w:tcPr>
            <w:tcW w:w="2646" w:type="dxa"/>
            <w:gridSpan w:val="3"/>
            <w:vMerge w:val="continue"/>
            <w:tcBorders>
              <w:left w:val="nil"/>
              <w:bottom w:val="single" w:color="000000" w:sz="4" w:space="0"/>
              <w:right w:val="single" w:color="000000" w:sz="4" w:space="0"/>
            </w:tcBorders>
            <w:noWrap w:val="0"/>
            <w:vAlign w:val="center"/>
          </w:tcPr>
          <w:p w14:paraId="7F7588BF">
            <w:pPr>
              <w:pStyle w:val="157"/>
              <w:topLinePunct/>
              <w:jc w:val="center"/>
              <w:rPr>
                <w:rFonts w:hint="eastAsia" w:ascii="仿宋" w:hAnsi="仿宋" w:eastAsia="仿宋" w:cs="仿宋"/>
                <w:color w:val="auto"/>
                <w:highlight w:val="none"/>
              </w:rPr>
            </w:pPr>
          </w:p>
        </w:tc>
        <w:tc>
          <w:tcPr>
            <w:tcW w:w="2130" w:type="dxa"/>
            <w:gridSpan w:val="2"/>
            <w:vMerge w:val="continue"/>
            <w:tcBorders>
              <w:left w:val="nil"/>
              <w:bottom w:val="single" w:color="000000" w:sz="4" w:space="0"/>
              <w:right w:val="single" w:color="000000" w:sz="4" w:space="0"/>
            </w:tcBorders>
            <w:noWrap w:val="0"/>
            <w:vAlign w:val="center"/>
          </w:tcPr>
          <w:p w14:paraId="51E48C91">
            <w:pPr>
              <w:pStyle w:val="157"/>
              <w:topLinePunct/>
              <w:jc w:val="center"/>
              <w:rPr>
                <w:rFonts w:hint="eastAsia" w:ascii="仿宋" w:hAnsi="仿宋" w:eastAsia="仿宋" w:cs="仿宋"/>
                <w:color w:val="auto"/>
                <w:highlight w:val="none"/>
              </w:rPr>
            </w:pPr>
          </w:p>
        </w:tc>
      </w:tr>
      <w:tr w14:paraId="4C6FF0E2">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2A485259">
            <w:pPr>
              <w:pStyle w:val="157"/>
              <w:topLinePunct/>
              <w:ind w:firstLine="210"/>
              <w:jc w:val="center"/>
              <w:rPr>
                <w:rFonts w:hint="eastAsia" w:ascii="仿宋" w:hAnsi="仿宋" w:eastAsia="仿宋" w:cs="仿宋"/>
                <w:color w:val="auto"/>
                <w:highlight w:val="none"/>
              </w:rPr>
            </w:pPr>
            <w:r>
              <w:rPr>
                <w:rFonts w:hint="eastAsia" w:ascii="仿宋" w:hAnsi="仿宋" w:eastAsia="仿宋" w:cs="仿宋"/>
                <w:color w:val="auto"/>
                <w:highlight w:val="none"/>
              </w:rPr>
              <w:t>经营范围</w:t>
            </w:r>
          </w:p>
        </w:tc>
        <w:tc>
          <w:tcPr>
            <w:tcW w:w="7609" w:type="dxa"/>
            <w:gridSpan w:val="9"/>
            <w:tcBorders>
              <w:top w:val="nil"/>
              <w:left w:val="nil"/>
              <w:bottom w:val="single" w:color="000000" w:sz="4" w:space="0"/>
              <w:right w:val="single" w:color="000000" w:sz="4" w:space="0"/>
            </w:tcBorders>
            <w:noWrap w:val="0"/>
            <w:vAlign w:val="center"/>
          </w:tcPr>
          <w:p w14:paraId="44AC9E87">
            <w:pPr>
              <w:pStyle w:val="157"/>
              <w:topLinePunct/>
              <w:rPr>
                <w:rFonts w:hint="eastAsia" w:ascii="仿宋" w:hAnsi="仿宋" w:eastAsia="仿宋" w:cs="仿宋"/>
                <w:color w:val="auto"/>
                <w:highlight w:val="none"/>
              </w:rPr>
            </w:pPr>
          </w:p>
        </w:tc>
      </w:tr>
      <w:tr w14:paraId="45FADEEB">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7273DAC9">
            <w:pPr>
              <w:pStyle w:val="157"/>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备注</w:t>
            </w:r>
          </w:p>
        </w:tc>
        <w:tc>
          <w:tcPr>
            <w:tcW w:w="7609" w:type="dxa"/>
            <w:gridSpan w:val="9"/>
            <w:tcBorders>
              <w:top w:val="nil"/>
              <w:left w:val="nil"/>
              <w:bottom w:val="single" w:color="000000" w:sz="4" w:space="0"/>
              <w:right w:val="single" w:color="000000" w:sz="4" w:space="0"/>
            </w:tcBorders>
            <w:noWrap w:val="0"/>
            <w:vAlign w:val="center"/>
          </w:tcPr>
          <w:p w14:paraId="0068E39E">
            <w:pPr>
              <w:pStyle w:val="157"/>
              <w:topLinePunct/>
              <w:jc w:val="center"/>
              <w:rPr>
                <w:rFonts w:hint="eastAsia" w:ascii="仿宋" w:hAnsi="仿宋" w:eastAsia="仿宋" w:cs="仿宋"/>
                <w:color w:val="auto"/>
                <w:highlight w:val="none"/>
              </w:rPr>
            </w:pPr>
          </w:p>
        </w:tc>
      </w:tr>
    </w:tbl>
    <w:p w14:paraId="002053E5">
      <w:pPr>
        <w:pStyle w:val="157"/>
        <w:jc w:val="left"/>
        <w:rPr>
          <w:rFonts w:hint="eastAsia" w:ascii="仿宋" w:hAnsi="仿宋" w:eastAsia="仿宋" w:cs="仿宋"/>
          <w:b/>
          <w:color w:val="auto"/>
          <w:sz w:val="24"/>
          <w:szCs w:val="24"/>
          <w:highlight w:val="none"/>
        </w:rPr>
      </w:pPr>
      <w:r>
        <w:rPr>
          <w:rFonts w:hint="eastAsia" w:ascii="仿宋" w:hAnsi="仿宋" w:eastAsia="仿宋" w:cs="宋体"/>
          <w:b/>
          <w:color w:val="auto"/>
          <w:sz w:val="24"/>
          <w:szCs w:val="24"/>
          <w:highlight w:val="none"/>
        </w:rPr>
        <w:t>注：提供由工商部门核发的最新营业执照（正副本皆可）。</w:t>
      </w:r>
    </w:p>
    <w:p w14:paraId="60343F2A">
      <w:pPr>
        <w:pStyle w:val="157"/>
        <w:jc w:val="left"/>
        <w:rPr>
          <w:rFonts w:hint="eastAsia" w:ascii="仿宋" w:hAnsi="仿宋" w:eastAsia="仿宋" w:cs="仿宋"/>
          <w:b/>
          <w:color w:val="auto"/>
          <w:highlight w:val="none"/>
        </w:rPr>
      </w:pPr>
    </w:p>
    <w:p w14:paraId="31CAACC4">
      <w:pPr>
        <w:pStyle w:val="157"/>
        <w:jc w:val="left"/>
        <w:rPr>
          <w:rFonts w:hint="eastAsia" w:ascii="仿宋" w:hAnsi="仿宋" w:eastAsia="仿宋" w:cs="仿宋"/>
          <w:b/>
          <w:color w:val="auto"/>
          <w:highlight w:val="none"/>
          <w:lang w:eastAsia="zh-CN"/>
        </w:rPr>
      </w:pPr>
    </w:p>
    <w:p w14:paraId="1EB0BBF9">
      <w:pPr>
        <w:pStyle w:val="157"/>
        <w:jc w:val="left"/>
        <w:rPr>
          <w:rFonts w:hint="eastAsia" w:ascii="仿宋" w:hAnsi="仿宋" w:eastAsia="仿宋" w:cs="仿宋"/>
          <w:b/>
          <w:color w:val="auto"/>
          <w:highlight w:val="none"/>
          <w:lang w:eastAsia="zh-CN"/>
        </w:rPr>
      </w:pPr>
    </w:p>
    <w:p w14:paraId="03B7FB33">
      <w:pPr>
        <w:spacing w:line="360" w:lineRule="auto"/>
        <w:ind w:firstLine="4080" w:firstLineChars="1700"/>
        <w:jc w:val="right"/>
        <w:rPr>
          <w:rFonts w:hint="eastAsia" w:ascii="仿宋" w:hAnsi="仿宋" w:eastAsia="仿宋" w:cs="Cambria Math"/>
          <w:color w:val="auto"/>
          <w:sz w:val="24"/>
          <w:highlight w:val="none"/>
        </w:rPr>
      </w:pPr>
      <w:r>
        <w:rPr>
          <w:rFonts w:hint="eastAsia" w:ascii="仿宋" w:hAnsi="仿宋" w:eastAsia="仿宋" w:cs="Cambria Math"/>
          <w:color w:val="auto"/>
          <w:sz w:val="24"/>
          <w:highlight w:val="none"/>
          <w:lang w:val="en-US" w:eastAsia="zh-CN"/>
        </w:rPr>
        <w:t>供应商</w:t>
      </w:r>
      <w:r>
        <w:rPr>
          <w:rFonts w:hint="eastAsia" w:ascii="仿宋" w:hAnsi="仿宋" w:eastAsia="仿宋" w:cs="Cambria Math"/>
          <w:color w:val="auto"/>
          <w:sz w:val="24"/>
          <w:highlight w:val="none"/>
        </w:rPr>
        <w:t>名称：</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（盖章）</w:t>
      </w:r>
    </w:p>
    <w:p w14:paraId="121A9E9A">
      <w:pPr>
        <w:spacing w:line="360" w:lineRule="auto"/>
        <w:jc w:val="right"/>
        <w:rPr>
          <w:rFonts w:hint="eastAsia" w:ascii="仿宋" w:hAnsi="仿宋" w:eastAsia="仿宋" w:cs="Cambria Math"/>
          <w:b/>
          <w:bCs/>
          <w:color w:val="auto"/>
          <w:sz w:val="24"/>
          <w:highlight w:val="none"/>
        </w:rPr>
      </w:pPr>
      <w:r>
        <w:rPr>
          <w:rFonts w:hint="eastAsia" w:ascii="仿宋" w:hAnsi="仿宋" w:eastAsia="仿宋" w:cs="Cambria Math"/>
          <w:color w:val="auto"/>
          <w:sz w:val="24"/>
          <w:highlight w:val="none"/>
        </w:rPr>
        <w:t>日期：</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年</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月</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日</w:t>
      </w:r>
    </w:p>
    <w:p w14:paraId="2FB4D9F5">
      <w:pPr>
        <w:spacing w:line="360" w:lineRule="auto"/>
        <w:ind w:firstLine="420" w:firstLineChars="200"/>
        <w:textAlignment w:val="baseline"/>
        <w:rPr>
          <w:rFonts w:ascii="仿宋" w:hAnsi="仿宋" w:eastAsia="仿宋" w:cs="仿宋"/>
          <w:color w:val="auto"/>
          <w:sz w:val="24"/>
          <w:highlight w:val="none"/>
        </w:rPr>
      </w:pPr>
      <w:r>
        <w:rPr>
          <w:rFonts w:hint="eastAsia" w:ascii="仿宋" w:hAnsi="仿宋" w:cs="仿宋"/>
          <w:color w:val="auto"/>
          <w:highlight w:val="none"/>
        </w:rPr>
        <w:br w:type="page"/>
      </w:r>
    </w:p>
    <w:p w14:paraId="3C78666C">
      <w:pPr>
        <w:pStyle w:val="5"/>
        <w:numPr>
          <w:ilvl w:val="0"/>
          <w:numId w:val="0"/>
        </w:numPr>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财务审计报告或银行资信证明</w:t>
      </w:r>
    </w:p>
    <w:p w14:paraId="366CDCBB">
      <w:pPr>
        <w:numPr>
          <w:ilvl w:val="0"/>
          <w:numId w:val="0"/>
        </w:numPr>
        <w:spacing w:before="0" w:after="0" w:line="360" w:lineRule="auto"/>
        <w:ind w:firstLine="480" w:firstLineChars="200"/>
        <w:outlineLvl w:val="9"/>
        <w:rPr>
          <w:rFonts w:hint="eastAsia" w:ascii="仿宋" w:hAnsi="仿宋" w:eastAsia="仿宋" w:cs="宋体"/>
          <w:b w:val="0"/>
          <w:bCs w:val="0"/>
          <w:color w:val="auto"/>
          <w:kern w:val="2"/>
          <w:sz w:val="24"/>
          <w:szCs w:val="24"/>
          <w:highlight w:val="none"/>
          <w:lang w:val="en-US" w:eastAsia="zh-CN" w:bidi="ar-SA"/>
        </w:rPr>
      </w:pPr>
      <w:r>
        <w:rPr>
          <w:rFonts w:hint="eastAsia" w:ascii="仿宋" w:hAnsi="仿宋" w:eastAsia="仿宋" w:cs="宋体"/>
          <w:b w:val="0"/>
          <w:bCs w:val="0"/>
          <w:color w:val="auto"/>
          <w:kern w:val="2"/>
          <w:sz w:val="24"/>
          <w:szCs w:val="24"/>
          <w:highlight w:val="none"/>
          <w:lang w:val="en-US" w:eastAsia="zh-CN" w:bidi="ar-SA"/>
        </w:rPr>
        <w:t>具有良好的商业信誉和健全的财务会计制度，需提供2025年度经会计师事务所或审计机构审计的财务审计报告及财务报表（至少包含会计师事务所或审计机构签章页、资产负债表、现金流量表、损益表/利润表）或提供投标截止日前6个月内开具的银行资信证明。</w:t>
      </w:r>
    </w:p>
    <w:p w14:paraId="5A2370FC">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4BE5570E">
      <w:pPr>
        <w:pStyle w:val="5"/>
        <w:numPr>
          <w:ilvl w:val="0"/>
          <w:numId w:val="0"/>
        </w:numPr>
        <w:spacing w:before="0"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同类项目实施经验</w:t>
      </w:r>
      <w:r>
        <w:rPr>
          <w:rFonts w:hint="eastAsia" w:ascii="仿宋" w:hAnsi="仿宋" w:eastAsia="仿宋" w:cs="仿宋"/>
          <w:b w:val="0"/>
          <w:bCs w:val="0"/>
          <w:color w:val="auto"/>
          <w:sz w:val="24"/>
          <w:szCs w:val="24"/>
          <w:highlight w:val="none"/>
        </w:rPr>
        <w:t xml:space="preserve"> </w:t>
      </w:r>
    </w:p>
    <w:tbl>
      <w:tblPr>
        <w:tblStyle w:val="4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14:paraId="0AE9F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noWrap w:val="0"/>
            <w:vAlign w:val="center"/>
          </w:tcPr>
          <w:p w14:paraId="4BBCFE37">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471" w:type="pct"/>
            <w:noWrap w:val="0"/>
            <w:vAlign w:val="center"/>
          </w:tcPr>
          <w:p w14:paraId="291783E2">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合同名称</w:t>
            </w:r>
          </w:p>
        </w:tc>
        <w:tc>
          <w:tcPr>
            <w:tcW w:w="678" w:type="pct"/>
            <w:noWrap w:val="0"/>
            <w:vAlign w:val="center"/>
          </w:tcPr>
          <w:p w14:paraId="4BD61A8A">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合同签订时间</w:t>
            </w:r>
          </w:p>
        </w:tc>
        <w:tc>
          <w:tcPr>
            <w:tcW w:w="645" w:type="pct"/>
            <w:noWrap w:val="0"/>
            <w:vAlign w:val="center"/>
          </w:tcPr>
          <w:p w14:paraId="17FEAB57">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采购内容</w:t>
            </w:r>
          </w:p>
        </w:tc>
        <w:tc>
          <w:tcPr>
            <w:tcW w:w="641" w:type="pct"/>
            <w:noWrap w:val="0"/>
            <w:vAlign w:val="center"/>
          </w:tcPr>
          <w:p w14:paraId="79AD0660">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合同金额（万元）</w:t>
            </w:r>
          </w:p>
        </w:tc>
        <w:tc>
          <w:tcPr>
            <w:tcW w:w="565" w:type="pct"/>
            <w:noWrap w:val="0"/>
            <w:vAlign w:val="center"/>
          </w:tcPr>
          <w:p w14:paraId="24070553">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合同甲方</w:t>
            </w:r>
          </w:p>
        </w:tc>
        <w:tc>
          <w:tcPr>
            <w:tcW w:w="821" w:type="pct"/>
            <w:noWrap w:val="0"/>
            <w:vAlign w:val="center"/>
          </w:tcPr>
          <w:p w14:paraId="6FF69075">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合同甲方联系人及电话</w:t>
            </w:r>
          </w:p>
        </w:tc>
        <w:tc>
          <w:tcPr>
            <w:tcW w:w="709" w:type="pct"/>
            <w:noWrap w:val="0"/>
            <w:vAlign w:val="center"/>
          </w:tcPr>
          <w:p w14:paraId="4C6FF10D">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备注</w:t>
            </w:r>
          </w:p>
        </w:tc>
      </w:tr>
      <w:tr w14:paraId="353CA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noWrap w:val="0"/>
            <w:vAlign w:val="center"/>
          </w:tcPr>
          <w:p w14:paraId="421D750F">
            <w:pPr>
              <w:jc w:val="center"/>
              <w:rPr>
                <w:rFonts w:hint="eastAsia" w:ascii="仿宋" w:hAnsi="仿宋" w:eastAsia="仿宋" w:cs="仿宋"/>
                <w:color w:val="auto"/>
                <w:szCs w:val="21"/>
                <w:highlight w:val="none"/>
              </w:rPr>
            </w:pPr>
          </w:p>
        </w:tc>
        <w:tc>
          <w:tcPr>
            <w:tcW w:w="471" w:type="pct"/>
            <w:noWrap w:val="0"/>
            <w:vAlign w:val="center"/>
          </w:tcPr>
          <w:p w14:paraId="05C77E50">
            <w:pPr>
              <w:jc w:val="center"/>
              <w:rPr>
                <w:rFonts w:hint="eastAsia" w:ascii="仿宋" w:hAnsi="仿宋" w:eastAsia="仿宋" w:cs="仿宋"/>
                <w:color w:val="auto"/>
                <w:szCs w:val="21"/>
                <w:highlight w:val="none"/>
              </w:rPr>
            </w:pPr>
          </w:p>
        </w:tc>
        <w:tc>
          <w:tcPr>
            <w:tcW w:w="678" w:type="pct"/>
            <w:noWrap w:val="0"/>
            <w:vAlign w:val="center"/>
          </w:tcPr>
          <w:p w14:paraId="618178DD">
            <w:pPr>
              <w:jc w:val="center"/>
              <w:rPr>
                <w:rFonts w:hint="eastAsia" w:ascii="仿宋" w:hAnsi="仿宋" w:eastAsia="仿宋" w:cs="仿宋"/>
                <w:color w:val="auto"/>
                <w:szCs w:val="21"/>
                <w:highlight w:val="none"/>
              </w:rPr>
            </w:pPr>
          </w:p>
        </w:tc>
        <w:tc>
          <w:tcPr>
            <w:tcW w:w="645" w:type="pct"/>
            <w:noWrap w:val="0"/>
            <w:vAlign w:val="center"/>
          </w:tcPr>
          <w:p w14:paraId="3275CA04">
            <w:pPr>
              <w:jc w:val="center"/>
              <w:rPr>
                <w:rFonts w:hint="eastAsia" w:ascii="仿宋" w:hAnsi="仿宋" w:eastAsia="仿宋" w:cs="仿宋"/>
                <w:color w:val="auto"/>
                <w:szCs w:val="21"/>
                <w:highlight w:val="none"/>
              </w:rPr>
            </w:pPr>
          </w:p>
        </w:tc>
        <w:tc>
          <w:tcPr>
            <w:tcW w:w="641" w:type="pct"/>
            <w:noWrap w:val="0"/>
            <w:vAlign w:val="center"/>
          </w:tcPr>
          <w:p w14:paraId="2BCC3BF5">
            <w:pPr>
              <w:jc w:val="center"/>
              <w:rPr>
                <w:rFonts w:hint="eastAsia" w:ascii="仿宋" w:hAnsi="仿宋" w:eastAsia="仿宋" w:cs="仿宋"/>
                <w:color w:val="auto"/>
                <w:szCs w:val="21"/>
                <w:highlight w:val="none"/>
              </w:rPr>
            </w:pPr>
          </w:p>
        </w:tc>
        <w:tc>
          <w:tcPr>
            <w:tcW w:w="565" w:type="pct"/>
            <w:noWrap w:val="0"/>
            <w:vAlign w:val="center"/>
          </w:tcPr>
          <w:p w14:paraId="56C447C4">
            <w:pPr>
              <w:jc w:val="center"/>
              <w:rPr>
                <w:rFonts w:hint="eastAsia" w:ascii="仿宋" w:hAnsi="仿宋" w:eastAsia="仿宋" w:cs="仿宋"/>
                <w:color w:val="auto"/>
                <w:szCs w:val="21"/>
                <w:highlight w:val="none"/>
              </w:rPr>
            </w:pPr>
          </w:p>
        </w:tc>
        <w:tc>
          <w:tcPr>
            <w:tcW w:w="821" w:type="pct"/>
            <w:noWrap w:val="0"/>
            <w:vAlign w:val="center"/>
          </w:tcPr>
          <w:p w14:paraId="7920896C">
            <w:pPr>
              <w:jc w:val="center"/>
              <w:rPr>
                <w:rFonts w:hint="eastAsia" w:ascii="仿宋" w:hAnsi="仿宋" w:eastAsia="仿宋" w:cs="仿宋"/>
                <w:color w:val="auto"/>
                <w:szCs w:val="21"/>
                <w:highlight w:val="none"/>
              </w:rPr>
            </w:pPr>
          </w:p>
        </w:tc>
        <w:tc>
          <w:tcPr>
            <w:tcW w:w="709" w:type="pct"/>
            <w:noWrap w:val="0"/>
            <w:vAlign w:val="center"/>
          </w:tcPr>
          <w:p w14:paraId="175F6EC7">
            <w:pPr>
              <w:jc w:val="center"/>
              <w:rPr>
                <w:rFonts w:hint="eastAsia" w:ascii="仿宋" w:hAnsi="仿宋" w:eastAsia="仿宋" w:cs="仿宋"/>
                <w:color w:val="auto"/>
                <w:szCs w:val="21"/>
                <w:highlight w:val="none"/>
              </w:rPr>
            </w:pPr>
          </w:p>
        </w:tc>
      </w:tr>
      <w:tr w14:paraId="45709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5961B9B3">
            <w:pPr>
              <w:jc w:val="center"/>
              <w:rPr>
                <w:rFonts w:hint="eastAsia" w:ascii="仿宋" w:hAnsi="仿宋" w:eastAsia="仿宋" w:cs="仿宋"/>
                <w:color w:val="auto"/>
                <w:szCs w:val="21"/>
                <w:highlight w:val="none"/>
              </w:rPr>
            </w:pPr>
          </w:p>
          <w:p w14:paraId="68FF15D1">
            <w:pPr>
              <w:jc w:val="center"/>
              <w:rPr>
                <w:rFonts w:hint="eastAsia" w:ascii="仿宋" w:hAnsi="仿宋" w:eastAsia="仿宋" w:cs="仿宋"/>
                <w:color w:val="auto"/>
                <w:szCs w:val="21"/>
                <w:highlight w:val="none"/>
              </w:rPr>
            </w:pPr>
          </w:p>
        </w:tc>
        <w:tc>
          <w:tcPr>
            <w:tcW w:w="471" w:type="pct"/>
            <w:noWrap w:val="0"/>
            <w:vAlign w:val="center"/>
          </w:tcPr>
          <w:p w14:paraId="47603F31">
            <w:pPr>
              <w:jc w:val="center"/>
              <w:rPr>
                <w:rFonts w:hint="eastAsia" w:ascii="仿宋" w:hAnsi="仿宋" w:eastAsia="仿宋" w:cs="仿宋"/>
                <w:color w:val="auto"/>
                <w:szCs w:val="21"/>
                <w:highlight w:val="none"/>
              </w:rPr>
            </w:pPr>
          </w:p>
        </w:tc>
        <w:tc>
          <w:tcPr>
            <w:tcW w:w="678" w:type="pct"/>
            <w:noWrap w:val="0"/>
            <w:vAlign w:val="center"/>
          </w:tcPr>
          <w:p w14:paraId="02A41017">
            <w:pPr>
              <w:jc w:val="center"/>
              <w:rPr>
                <w:rFonts w:hint="eastAsia" w:ascii="仿宋" w:hAnsi="仿宋" w:eastAsia="仿宋" w:cs="仿宋"/>
                <w:color w:val="auto"/>
                <w:szCs w:val="21"/>
                <w:highlight w:val="none"/>
              </w:rPr>
            </w:pPr>
          </w:p>
        </w:tc>
        <w:tc>
          <w:tcPr>
            <w:tcW w:w="645" w:type="pct"/>
            <w:noWrap w:val="0"/>
            <w:vAlign w:val="center"/>
          </w:tcPr>
          <w:p w14:paraId="2BE14BCB">
            <w:pPr>
              <w:jc w:val="center"/>
              <w:rPr>
                <w:rFonts w:hint="eastAsia" w:ascii="仿宋" w:hAnsi="仿宋" w:eastAsia="仿宋" w:cs="仿宋"/>
                <w:color w:val="auto"/>
                <w:szCs w:val="21"/>
                <w:highlight w:val="none"/>
              </w:rPr>
            </w:pPr>
          </w:p>
        </w:tc>
        <w:tc>
          <w:tcPr>
            <w:tcW w:w="641" w:type="pct"/>
            <w:noWrap w:val="0"/>
            <w:vAlign w:val="center"/>
          </w:tcPr>
          <w:p w14:paraId="3A969F25">
            <w:pPr>
              <w:jc w:val="center"/>
              <w:rPr>
                <w:rFonts w:hint="eastAsia" w:ascii="仿宋" w:hAnsi="仿宋" w:eastAsia="仿宋" w:cs="仿宋"/>
                <w:color w:val="auto"/>
                <w:szCs w:val="21"/>
                <w:highlight w:val="none"/>
              </w:rPr>
            </w:pPr>
          </w:p>
        </w:tc>
        <w:tc>
          <w:tcPr>
            <w:tcW w:w="565" w:type="pct"/>
            <w:noWrap w:val="0"/>
            <w:vAlign w:val="center"/>
          </w:tcPr>
          <w:p w14:paraId="05B31354">
            <w:pPr>
              <w:jc w:val="center"/>
              <w:rPr>
                <w:rFonts w:hint="eastAsia" w:ascii="仿宋" w:hAnsi="仿宋" w:eastAsia="仿宋" w:cs="仿宋"/>
                <w:color w:val="auto"/>
                <w:szCs w:val="21"/>
                <w:highlight w:val="none"/>
              </w:rPr>
            </w:pPr>
          </w:p>
        </w:tc>
        <w:tc>
          <w:tcPr>
            <w:tcW w:w="821" w:type="pct"/>
            <w:noWrap w:val="0"/>
            <w:vAlign w:val="center"/>
          </w:tcPr>
          <w:p w14:paraId="066EBE0A">
            <w:pPr>
              <w:jc w:val="center"/>
              <w:rPr>
                <w:rFonts w:hint="eastAsia" w:ascii="仿宋" w:hAnsi="仿宋" w:eastAsia="仿宋" w:cs="仿宋"/>
                <w:color w:val="auto"/>
                <w:szCs w:val="21"/>
                <w:highlight w:val="none"/>
              </w:rPr>
            </w:pPr>
          </w:p>
        </w:tc>
        <w:tc>
          <w:tcPr>
            <w:tcW w:w="709" w:type="pct"/>
            <w:noWrap w:val="0"/>
            <w:vAlign w:val="center"/>
          </w:tcPr>
          <w:p w14:paraId="377C73AB">
            <w:pPr>
              <w:jc w:val="center"/>
              <w:rPr>
                <w:rFonts w:hint="eastAsia" w:ascii="仿宋" w:hAnsi="仿宋" w:eastAsia="仿宋" w:cs="仿宋"/>
                <w:color w:val="auto"/>
                <w:szCs w:val="21"/>
                <w:highlight w:val="none"/>
              </w:rPr>
            </w:pPr>
          </w:p>
        </w:tc>
      </w:tr>
      <w:tr w14:paraId="7E4B1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6540E8FD">
            <w:pPr>
              <w:jc w:val="center"/>
              <w:rPr>
                <w:rFonts w:hint="eastAsia" w:ascii="仿宋" w:hAnsi="仿宋" w:eastAsia="仿宋" w:cs="仿宋"/>
                <w:color w:val="auto"/>
                <w:szCs w:val="21"/>
                <w:highlight w:val="none"/>
              </w:rPr>
            </w:pPr>
          </w:p>
        </w:tc>
        <w:tc>
          <w:tcPr>
            <w:tcW w:w="471" w:type="pct"/>
            <w:noWrap w:val="0"/>
            <w:vAlign w:val="center"/>
          </w:tcPr>
          <w:p w14:paraId="1DB2BCBD">
            <w:pPr>
              <w:jc w:val="center"/>
              <w:rPr>
                <w:rFonts w:hint="eastAsia" w:ascii="仿宋" w:hAnsi="仿宋" w:eastAsia="仿宋" w:cs="仿宋"/>
                <w:color w:val="auto"/>
                <w:szCs w:val="21"/>
                <w:highlight w:val="none"/>
              </w:rPr>
            </w:pPr>
          </w:p>
        </w:tc>
        <w:tc>
          <w:tcPr>
            <w:tcW w:w="678" w:type="pct"/>
            <w:noWrap w:val="0"/>
            <w:vAlign w:val="center"/>
          </w:tcPr>
          <w:p w14:paraId="5D3128D8">
            <w:pPr>
              <w:jc w:val="center"/>
              <w:rPr>
                <w:rFonts w:hint="eastAsia" w:ascii="仿宋" w:hAnsi="仿宋" w:eastAsia="仿宋" w:cs="仿宋"/>
                <w:color w:val="auto"/>
                <w:szCs w:val="21"/>
                <w:highlight w:val="none"/>
              </w:rPr>
            </w:pPr>
          </w:p>
        </w:tc>
        <w:tc>
          <w:tcPr>
            <w:tcW w:w="645" w:type="pct"/>
            <w:noWrap w:val="0"/>
            <w:vAlign w:val="center"/>
          </w:tcPr>
          <w:p w14:paraId="30B35B72">
            <w:pPr>
              <w:jc w:val="center"/>
              <w:rPr>
                <w:rFonts w:hint="eastAsia" w:ascii="仿宋" w:hAnsi="仿宋" w:eastAsia="仿宋" w:cs="仿宋"/>
                <w:color w:val="auto"/>
                <w:szCs w:val="21"/>
                <w:highlight w:val="none"/>
              </w:rPr>
            </w:pPr>
          </w:p>
        </w:tc>
        <w:tc>
          <w:tcPr>
            <w:tcW w:w="641" w:type="pct"/>
            <w:noWrap w:val="0"/>
            <w:vAlign w:val="center"/>
          </w:tcPr>
          <w:p w14:paraId="3B333433">
            <w:pPr>
              <w:jc w:val="center"/>
              <w:rPr>
                <w:rFonts w:hint="eastAsia" w:ascii="仿宋" w:hAnsi="仿宋" w:eastAsia="仿宋" w:cs="仿宋"/>
                <w:color w:val="auto"/>
                <w:szCs w:val="21"/>
                <w:highlight w:val="none"/>
              </w:rPr>
            </w:pPr>
          </w:p>
        </w:tc>
        <w:tc>
          <w:tcPr>
            <w:tcW w:w="565" w:type="pct"/>
            <w:noWrap w:val="0"/>
            <w:vAlign w:val="center"/>
          </w:tcPr>
          <w:p w14:paraId="5A8CDB65">
            <w:pPr>
              <w:jc w:val="center"/>
              <w:rPr>
                <w:rFonts w:hint="eastAsia" w:ascii="仿宋" w:hAnsi="仿宋" w:eastAsia="仿宋" w:cs="仿宋"/>
                <w:color w:val="auto"/>
                <w:szCs w:val="21"/>
                <w:highlight w:val="none"/>
              </w:rPr>
            </w:pPr>
          </w:p>
        </w:tc>
        <w:tc>
          <w:tcPr>
            <w:tcW w:w="821" w:type="pct"/>
            <w:noWrap w:val="0"/>
            <w:vAlign w:val="center"/>
          </w:tcPr>
          <w:p w14:paraId="0DF0ACB1">
            <w:pPr>
              <w:jc w:val="center"/>
              <w:rPr>
                <w:rFonts w:hint="eastAsia" w:ascii="仿宋" w:hAnsi="仿宋" w:eastAsia="仿宋" w:cs="仿宋"/>
                <w:color w:val="auto"/>
                <w:szCs w:val="21"/>
                <w:highlight w:val="none"/>
              </w:rPr>
            </w:pPr>
          </w:p>
        </w:tc>
        <w:tc>
          <w:tcPr>
            <w:tcW w:w="709" w:type="pct"/>
            <w:noWrap w:val="0"/>
            <w:vAlign w:val="center"/>
          </w:tcPr>
          <w:p w14:paraId="6188FDC2">
            <w:pPr>
              <w:jc w:val="center"/>
              <w:rPr>
                <w:rFonts w:hint="eastAsia" w:ascii="仿宋" w:hAnsi="仿宋" w:eastAsia="仿宋" w:cs="仿宋"/>
                <w:color w:val="auto"/>
                <w:szCs w:val="21"/>
                <w:highlight w:val="none"/>
              </w:rPr>
            </w:pPr>
          </w:p>
        </w:tc>
      </w:tr>
      <w:tr w14:paraId="6B1AF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68C62D14">
            <w:pPr>
              <w:jc w:val="center"/>
              <w:rPr>
                <w:rFonts w:hint="eastAsia" w:ascii="仿宋" w:hAnsi="仿宋" w:eastAsia="仿宋" w:cs="仿宋"/>
                <w:color w:val="auto"/>
                <w:szCs w:val="21"/>
                <w:highlight w:val="none"/>
              </w:rPr>
            </w:pPr>
          </w:p>
        </w:tc>
        <w:tc>
          <w:tcPr>
            <w:tcW w:w="471" w:type="pct"/>
            <w:noWrap w:val="0"/>
            <w:vAlign w:val="center"/>
          </w:tcPr>
          <w:p w14:paraId="1DA8893B">
            <w:pPr>
              <w:jc w:val="center"/>
              <w:rPr>
                <w:rFonts w:hint="eastAsia" w:ascii="仿宋" w:hAnsi="仿宋" w:eastAsia="仿宋" w:cs="仿宋"/>
                <w:color w:val="auto"/>
                <w:szCs w:val="21"/>
                <w:highlight w:val="none"/>
              </w:rPr>
            </w:pPr>
          </w:p>
        </w:tc>
        <w:tc>
          <w:tcPr>
            <w:tcW w:w="678" w:type="pct"/>
            <w:noWrap w:val="0"/>
            <w:vAlign w:val="center"/>
          </w:tcPr>
          <w:p w14:paraId="0764A76A">
            <w:pPr>
              <w:jc w:val="center"/>
              <w:rPr>
                <w:rFonts w:hint="eastAsia" w:ascii="仿宋" w:hAnsi="仿宋" w:eastAsia="仿宋" w:cs="仿宋"/>
                <w:color w:val="auto"/>
                <w:szCs w:val="21"/>
                <w:highlight w:val="none"/>
              </w:rPr>
            </w:pPr>
          </w:p>
        </w:tc>
        <w:tc>
          <w:tcPr>
            <w:tcW w:w="645" w:type="pct"/>
            <w:noWrap w:val="0"/>
            <w:vAlign w:val="center"/>
          </w:tcPr>
          <w:p w14:paraId="1CF5CBBC">
            <w:pPr>
              <w:jc w:val="center"/>
              <w:rPr>
                <w:rFonts w:hint="eastAsia" w:ascii="仿宋" w:hAnsi="仿宋" w:eastAsia="仿宋" w:cs="仿宋"/>
                <w:color w:val="auto"/>
                <w:szCs w:val="21"/>
                <w:highlight w:val="none"/>
              </w:rPr>
            </w:pPr>
          </w:p>
        </w:tc>
        <w:tc>
          <w:tcPr>
            <w:tcW w:w="641" w:type="pct"/>
            <w:noWrap w:val="0"/>
            <w:vAlign w:val="center"/>
          </w:tcPr>
          <w:p w14:paraId="4DBAC966">
            <w:pPr>
              <w:jc w:val="center"/>
              <w:rPr>
                <w:rFonts w:hint="eastAsia" w:ascii="仿宋" w:hAnsi="仿宋" w:eastAsia="仿宋" w:cs="仿宋"/>
                <w:color w:val="auto"/>
                <w:szCs w:val="21"/>
                <w:highlight w:val="none"/>
              </w:rPr>
            </w:pPr>
          </w:p>
        </w:tc>
        <w:tc>
          <w:tcPr>
            <w:tcW w:w="565" w:type="pct"/>
            <w:noWrap w:val="0"/>
            <w:vAlign w:val="center"/>
          </w:tcPr>
          <w:p w14:paraId="3A4A9E3F">
            <w:pPr>
              <w:jc w:val="center"/>
              <w:rPr>
                <w:rFonts w:hint="eastAsia" w:ascii="仿宋" w:hAnsi="仿宋" w:eastAsia="仿宋" w:cs="仿宋"/>
                <w:color w:val="auto"/>
                <w:szCs w:val="21"/>
                <w:highlight w:val="none"/>
              </w:rPr>
            </w:pPr>
          </w:p>
        </w:tc>
        <w:tc>
          <w:tcPr>
            <w:tcW w:w="821" w:type="pct"/>
            <w:noWrap w:val="0"/>
            <w:vAlign w:val="center"/>
          </w:tcPr>
          <w:p w14:paraId="3553703E">
            <w:pPr>
              <w:jc w:val="center"/>
              <w:rPr>
                <w:rFonts w:hint="eastAsia" w:ascii="仿宋" w:hAnsi="仿宋" w:eastAsia="仿宋" w:cs="仿宋"/>
                <w:color w:val="auto"/>
                <w:szCs w:val="21"/>
                <w:highlight w:val="none"/>
              </w:rPr>
            </w:pPr>
          </w:p>
        </w:tc>
        <w:tc>
          <w:tcPr>
            <w:tcW w:w="709" w:type="pct"/>
            <w:noWrap w:val="0"/>
            <w:vAlign w:val="center"/>
          </w:tcPr>
          <w:p w14:paraId="2F2AFE74">
            <w:pPr>
              <w:jc w:val="center"/>
              <w:rPr>
                <w:rFonts w:hint="eastAsia" w:ascii="仿宋" w:hAnsi="仿宋" w:eastAsia="仿宋" w:cs="仿宋"/>
                <w:color w:val="auto"/>
                <w:szCs w:val="21"/>
                <w:highlight w:val="none"/>
              </w:rPr>
            </w:pPr>
          </w:p>
        </w:tc>
      </w:tr>
      <w:tr w14:paraId="57F1F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6D36E613">
            <w:pPr>
              <w:jc w:val="center"/>
              <w:rPr>
                <w:rFonts w:hint="eastAsia" w:ascii="仿宋" w:hAnsi="仿宋" w:eastAsia="仿宋" w:cs="仿宋"/>
                <w:color w:val="auto"/>
                <w:szCs w:val="21"/>
                <w:highlight w:val="none"/>
              </w:rPr>
            </w:pPr>
          </w:p>
        </w:tc>
        <w:tc>
          <w:tcPr>
            <w:tcW w:w="471" w:type="pct"/>
            <w:noWrap w:val="0"/>
            <w:vAlign w:val="center"/>
          </w:tcPr>
          <w:p w14:paraId="0FA9B4BE">
            <w:pPr>
              <w:jc w:val="center"/>
              <w:rPr>
                <w:rFonts w:hint="eastAsia" w:ascii="仿宋" w:hAnsi="仿宋" w:eastAsia="仿宋" w:cs="仿宋"/>
                <w:color w:val="auto"/>
                <w:szCs w:val="21"/>
                <w:highlight w:val="none"/>
              </w:rPr>
            </w:pPr>
          </w:p>
        </w:tc>
        <w:tc>
          <w:tcPr>
            <w:tcW w:w="678" w:type="pct"/>
            <w:noWrap w:val="0"/>
            <w:vAlign w:val="center"/>
          </w:tcPr>
          <w:p w14:paraId="49218DA3">
            <w:pPr>
              <w:jc w:val="center"/>
              <w:rPr>
                <w:rFonts w:hint="eastAsia" w:ascii="仿宋" w:hAnsi="仿宋" w:eastAsia="仿宋" w:cs="仿宋"/>
                <w:color w:val="auto"/>
                <w:szCs w:val="21"/>
                <w:highlight w:val="none"/>
              </w:rPr>
            </w:pPr>
          </w:p>
        </w:tc>
        <w:tc>
          <w:tcPr>
            <w:tcW w:w="645" w:type="pct"/>
            <w:noWrap w:val="0"/>
            <w:vAlign w:val="center"/>
          </w:tcPr>
          <w:p w14:paraId="5E967AF8">
            <w:pPr>
              <w:jc w:val="center"/>
              <w:rPr>
                <w:rFonts w:hint="eastAsia" w:ascii="仿宋" w:hAnsi="仿宋" w:eastAsia="仿宋" w:cs="仿宋"/>
                <w:color w:val="auto"/>
                <w:szCs w:val="21"/>
                <w:highlight w:val="none"/>
              </w:rPr>
            </w:pPr>
          </w:p>
        </w:tc>
        <w:tc>
          <w:tcPr>
            <w:tcW w:w="641" w:type="pct"/>
            <w:noWrap w:val="0"/>
            <w:vAlign w:val="center"/>
          </w:tcPr>
          <w:p w14:paraId="2F7AE038">
            <w:pPr>
              <w:jc w:val="center"/>
              <w:rPr>
                <w:rFonts w:hint="eastAsia" w:ascii="仿宋" w:hAnsi="仿宋" w:eastAsia="仿宋" w:cs="仿宋"/>
                <w:color w:val="auto"/>
                <w:szCs w:val="21"/>
                <w:highlight w:val="none"/>
              </w:rPr>
            </w:pPr>
          </w:p>
        </w:tc>
        <w:tc>
          <w:tcPr>
            <w:tcW w:w="565" w:type="pct"/>
            <w:noWrap w:val="0"/>
            <w:vAlign w:val="center"/>
          </w:tcPr>
          <w:p w14:paraId="4CF03965">
            <w:pPr>
              <w:jc w:val="center"/>
              <w:rPr>
                <w:rFonts w:hint="eastAsia" w:ascii="仿宋" w:hAnsi="仿宋" w:eastAsia="仿宋" w:cs="仿宋"/>
                <w:color w:val="auto"/>
                <w:szCs w:val="21"/>
                <w:highlight w:val="none"/>
              </w:rPr>
            </w:pPr>
          </w:p>
        </w:tc>
        <w:tc>
          <w:tcPr>
            <w:tcW w:w="821" w:type="pct"/>
            <w:noWrap w:val="0"/>
            <w:vAlign w:val="center"/>
          </w:tcPr>
          <w:p w14:paraId="4B85F92B">
            <w:pPr>
              <w:jc w:val="center"/>
              <w:rPr>
                <w:rFonts w:hint="eastAsia" w:ascii="仿宋" w:hAnsi="仿宋" w:eastAsia="仿宋" w:cs="仿宋"/>
                <w:color w:val="auto"/>
                <w:szCs w:val="21"/>
                <w:highlight w:val="none"/>
              </w:rPr>
            </w:pPr>
          </w:p>
        </w:tc>
        <w:tc>
          <w:tcPr>
            <w:tcW w:w="709" w:type="pct"/>
            <w:noWrap w:val="0"/>
            <w:vAlign w:val="center"/>
          </w:tcPr>
          <w:p w14:paraId="6EAA3ED5">
            <w:pPr>
              <w:jc w:val="center"/>
              <w:rPr>
                <w:rFonts w:hint="eastAsia" w:ascii="仿宋" w:hAnsi="仿宋" w:eastAsia="仿宋" w:cs="仿宋"/>
                <w:color w:val="auto"/>
                <w:szCs w:val="21"/>
                <w:highlight w:val="none"/>
              </w:rPr>
            </w:pPr>
          </w:p>
        </w:tc>
      </w:tr>
      <w:tr w14:paraId="605A4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11456D12">
            <w:pPr>
              <w:jc w:val="center"/>
              <w:rPr>
                <w:rFonts w:hint="eastAsia" w:ascii="仿宋" w:hAnsi="仿宋" w:eastAsia="仿宋" w:cs="仿宋"/>
                <w:color w:val="auto"/>
                <w:szCs w:val="21"/>
                <w:highlight w:val="none"/>
              </w:rPr>
            </w:pPr>
          </w:p>
        </w:tc>
        <w:tc>
          <w:tcPr>
            <w:tcW w:w="471" w:type="pct"/>
            <w:noWrap w:val="0"/>
            <w:vAlign w:val="center"/>
          </w:tcPr>
          <w:p w14:paraId="5D439EAA">
            <w:pPr>
              <w:jc w:val="center"/>
              <w:rPr>
                <w:rFonts w:hint="eastAsia" w:ascii="仿宋" w:hAnsi="仿宋" w:eastAsia="仿宋" w:cs="仿宋"/>
                <w:color w:val="auto"/>
                <w:szCs w:val="21"/>
                <w:highlight w:val="none"/>
              </w:rPr>
            </w:pPr>
          </w:p>
        </w:tc>
        <w:tc>
          <w:tcPr>
            <w:tcW w:w="678" w:type="pct"/>
            <w:noWrap w:val="0"/>
            <w:vAlign w:val="center"/>
          </w:tcPr>
          <w:p w14:paraId="45FFEB7B">
            <w:pPr>
              <w:jc w:val="center"/>
              <w:rPr>
                <w:rFonts w:hint="eastAsia" w:ascii="仿宋" w:hAnsi="仿宋" w:eastAsia="仿宋" w:cs="仿宋"/>
                <w:color w:val="auto"/>
                <w:szCs w:val="21"/>
                <w:highlight w:val="none"/>
              </w:rPr>
            </w:pPr>
          </w:p>
        </w:tc>
        <w:tc>
          <w:tcPr>
            <w:tcW w:w="645" w:type="pct"/>
            <w:noWrap w:val="0"/>
            <w:vAlign w:val="center"/>
          </w:tcPr>
          <w:p w14:paraId="79EA7CDC">
            <w:pPr>
              <w:jc w:val="center"/>
              <w:rPr>
                <w:rFonts w:hint="eastAsia" w:ascii="仿宋" w:hAnsi="仿宋" w:eastAsia="仿宋" w:cs="仿宋"/>
                <w:color w:val="auto"/>
                <w:szCs w:val="21"/>
                <w:highlight w:val="none"/>
              </w:rPr>
            </w:pPr>
          </w:p>
        </w:tc>
        <w:tc>
          <w:tcPr>
            <w:tcW w:w="641" w:type="pct"/>
            <w:noWrap w:val="0"/>
            <w:vAlign w:val="center"/>
          </w:tcPr>
          <w:p w14:paraId="51BCB982">
            <w:pPr>
              <w:jc w:val="center"/>
              <w:rPr>
                <w:rFonts w:hint="eastAsia" w:ascii="仿宋" w:hAnsi="仿宋" w:eastAsia="仿宋" w:cs="仿宋"/>
                <w:color w:val="auto"/>
                <w:szCs w:val="21"/>
                <w:highlight w:val="none"/>
              </w:rPr>
            </w:pPr>
          </w:p>
        </w:tc>
        <w:tc>
          <w:tcPr>
            <w:tcW w:w="565" w:type="pct"/>
            <w:noWrap w:val="0"/>
            <w:vAlign w:val="center"/>
          </w:tcPr>
          <w:p w14:paraId="02EFD2D6">
            <w:pPr>
              <w:jc w:val="center"/>
              <w:rPr>
                <w:rFonts w:hint="eastAsia" w:ascii="仿宋" w:hAnsi="仿宋" w:eastAsia="仿宋" w:cs="仿宋"/>
                <w:color w:val="auto"/>
                <w:szCs w:val="21"/>
                <w:highlight w:val="none"/>
              </w:rPr>
            </w:pPr>
          </w:p>
        </w:tc>
        <w:tc>
          <w:tcPr>
            <w:tcW w:w="821" w:type="pct"/>
            <w:noWrap w:val="0"/>
            <w:vAlign w:val="center"/>
          </w:tcPr>
          <w:p w14:paraId="3C305D7B">
            <w:pPr>
              <w:jc w:val="center"/>
              <w:rPr>
                <w:rFonts w:hint="eastAsia" w:ascii="仿宋" w:hAnsi="仿宋" w:eastAsia="仿宋" w:cs="仿宋"/>
                <w:color w:val="auto"/>
                <w:szCs w:val="21"/>
                <w:highlight w:val="none"/>
              </w:rPr>
            </w:pPr>
          </w:p>
        </w:tc>
        <w:tc>
          <w:tcPr>
            <w:tcW w:w="709" w:type="pct"/>
            <w:noWrap w:val="0"/>
            <w:vAlign w:val="center"/>
          </w:tcPr>
          <w:p w14:paraId="79BB2719">
            <w:pPr>
              <w:jc w:val="center"/>
              <w:rPr>
                <w:rFonts w:hint="eastAsia" w:ascii="仿宋" w:hAnsi="仿宋" w:eastAsia="仿宋" w:cs="仿宋"/>
                <w:color w:val="auto"/>
                <w:szCs w:val="21"/>
                <w:highlight w:val="none"/>
              </w:rPr>
            </w:pPr>
          </w:p>
        </w:tc>
      </w:tr>
      <w:tr w14:paraId="2847D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1A1C6D75">
            <w:pPr>
              <w:jc w:val="center"/>
              <w:rPr>
                <w:rFonts w:hint="eastAsia" w:ascii="仿宋" w:hAnsi="仿宋" w:eastAsia="仿宋" w:cs="仿宋"/>
                <w:color w:val="auto"/>
                <w:szCs w:val="21"/>
                <w:highlight w:val="none"/>
              </w:rPr>
            </w:pPr>
          </w:p>
        </w:tc>
        <w:tc>
          <w:tcPr>
            <w:tcW w:w="471" w:type="pct"/>
            <w:noWrap w:val="0"/>
            <w:vAlign w:val="center"/>
          </w:tcPr>
          <w:p w14:paraId="3B52490E">
            <w:pPr>
              <w:jc w:val="center"/>
              <w:rPr>
                <w:rFonts w:hint="eastAsia" w:ascii="仿宋" w:hAnsi="仿宋" w:eastAsia="仿宋" w:cs="仿宋"/>
                <w:color w:val="auto"/>
                <w:szCs w:val="21"/>
                <w:highlight w:val="none"/>
              </w:rPr>
            </w:pPr>
          </w:p>
        </w:tc>
        <w:tc>
          <w:tcPr>
            <w:tcW w:w="678" w:type="pct"/>
            <w:noWrap w:val="0"/>
            <w:vAlign w:val="center"/>
          </w:tcPr>
          <w:p w14:paraId="0175DB4E">
            <w:pPr>
              <w:jc w:val="center"/>
              <w:rPr>
                <w:rFonts w:hint="eastAsia" w:ascii="仿宋" w:hAnsi="仿宋" w:eastAsia="仿宋" w:cs="仿宋"/>
                <w:color w:val="auto"/>
                <w:szCs w:val="21"/>
                <w:highlight w:val="none"/>
              </w:rPr>
            </w:pPr>
          </w:p>
        </w:tc>
        <w:tc>
          <w:tcPr>
            <w:tcW w:w="645" w:type="pct"/>
            <w:noWrap w:val="0"/>
            <w:vAlign w:val="center"/>
          </w:tcPr>
          <w:p w14:paraId="705BB45D">
            <w:pPr>
              <w:jc w:val="center"/>
              <w:rPr>
                <w:rFonts w:hint="eastAsia" w:ascii="仿宋" w:hAnsi="仿宋" w:eastAsia="仿宋" w:cs="仿宋"/>
                <w:color w:val="auto"/>
                <w:szCs w:val="21"/>
                <w:highlight w:val="none"/>
              </w:rPr>
            </w:pPr>
          </w:p>
        </w:tc>
        <w:tc>
          <w:tcPr>
            <w:tcW w:w="641" w:type="pct"/>
            <w:noWrap w:val="0"/>
            <w:vAlign w:val="center"/>
          </w:tcPr>
          <w:p w14:paraId="7F0E28BC">
            <w:pPr>
              <w:jc w:val="center"/>
              <w:rPr>
                <w:rFonts w:hint="eastAsia" w:ascii="仿宋" w:hAnsi="仿宋" w:eastAsia="仿宋" w:cs="仿宋"/>
                <w:color w:val="auto"/>
                <w:szCs w:val="21"/>
                <w:highlight w:val="none"/>
              </w:rPr>
            </w:pPr>
          </w:p>
        </w:tc>
        <w:tc>
          <w:tcPr>
            <w:tcW w:w="565" w:type="pct"/>
            <w:noWrap w:val="0"/>
            <w:vAlign w:val="center"/>
          </w:tcPr>
          <w:p w14:paraId="532F46BC">
            <w:pPr>
              <w:jc w:val="center"/>
              <w:rPr>
                <w:rFonts w:hint="eastAsia" w:ascii="仿宋" w:hAnsi="仿宋" w:eastAsia="仿宋" w:cs="仿宋"/>
                <w:color w:val="auto"/>
                <w:szCs w:val="21"/>
                <w:highlight w:val="none"/>
              </w:rPr>
            </w:pPr>
          </w:p>
        </w:tc>
        <w:tc>
          <w:tcPr>
            <w:tcW w:w="821" w:type="pct"/>
            <w:noWrap w:val="0"/>
            <w:vAlign w:val="center"/>
          </w:tcPr>
          <w:p w14:paraId="616CA1AE">
            <w:pPr>
              <w:jc w:val="center"/>
              <w:rPr>
                <w:rFonts w:hint="eastAsia" w:ascii="仿宋" w:hAnsi="仿宋" w:eastAsia="仿宋" w:cs="仿宋"/>
                <w:color w:val="auto"/>
                <w:szCs w:val="21"/>
                <w:highlight w:val="none"/>
              </w:rPr>
            </w:pPr>
          </w:p>
        </w:tc>
        <w:tc>
          <w:tcPr>
            <w:tcW w:w="709" w:type="pct"/>
            <w:noWrap w:val="0"/>
            <w:vAlign w:val="center"/>
          </w:tcPr>
          <w:p w14:paraId="41810199">
            <w:pPr>
              <w:jc w:val="center"/>
              <w:rPr>
                <w:rFonts w:hint="eastAsia" w:ascii="仿宋" w:hAnsi="仿宋" w:eastAsia="仿宋" w:cs="仿宋"/>
                <w:color w:val="auto"/>
                <w:szCs w:val="21"/>
                <w:highlight w:val="none"/>
              </w:rPr>
            </w:pPr>
          </w:p>
        </w:tc>
      </w:tr>
      <w:tr w14:paraId="4C5E7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34F527FC">
            <w:pPr>
              <w:jc w:val="center"/>
              <w:rPr>
                <w:rFonts w:hint="eastAsia" w:ascii="仿宋" w:hAnsi="仿宋" w:eastAsia="仿宋" w:cs="仿宋"/>
                <w:color w:val="auto"/>
                <w:szCs w:val="21"/>
                <w:highlight w:val="none"/>
              </w:rPr>
            </w:pPr>
          </w:p>
        </w:tc>
        <w:tc>
          <w:tcPr>
            <w:tcW w:w="471" w:type="pct"/>
            <w:noWrap w:val="0"/>
            <w:vAlign w:val="center"/>
          </w:tcPr>
          <w:p w14:paraId="30070340">
            <w:pPr>
              <w:jc w:val="center"/>
              <w:rPr>
                <w:rFonts w:hint="eastAsia" w:ascii="仿宋" w:hAnsi="仿宋" w:eastAsia="仿宋" w:cs="仿宋"/>
                <w:color w:val="auto"/>
                <w:szCs w:val="21"/>
                <w:highlight w:val="none"/>
              </w:rPr>
            </w:pPr>
          </w:p>
        </w:tc>
        <w:tc>
          <w:tcPr>
            <w:tcW w:w="678" w:type="pct"/>
            <w:noWrap w:val="0"/>
            <w:vAlign w:val="center"/>
          </w:tcPr>
          <w:p w14:paraId="2A489B7A">
            <w:pPr>
              <w:jc w:val="center"/>
              <w:rPr>
                <w:rFonts w:hint="eastAsia" w:ascii="仿宋" w:hAnsi="仿宋" w:eastAsia="仿宋" w:cs="仿宋"/>
                <w:color w:val="auto"/>
                <w:szCs w:val="21"/>
                <w:highlight w:val="none"/>
              </w:rPr>
            </w:pPr>
          </w:p>
        </w:tc>
        <w:tc>
          <w:tcPr>
            <w:tcW w:w="645" w:type="pct"/>
            <w:noWrap w:val="0"/>
            <w:vAlign w:val="center"/>
          </w:tcPr>
          <w:p w14:paraId="5BFF8CE9">
            <w:pPr>
              <w:jc w:val="center"/>
              <w:rPr>
                <w:rFonts w:hint="eastAsia" w:ascii="仿宋" w:hAnsi="仿宋" w:eastAsia="仿宋" w:cs="仿宋"/>
                <w:color w:val="auto"/>
                <w:szCs w:val="21"/>
                <w:highlight w:val="none"/>
              </w:rPr>
            </w:pPr>
          </w:p>
        </w:tc>
        <w:tc>
          <w:tcPr>
            <w:tcW w:w="641" w:type="pct"/>
            <w:noWrap w:val="0"/>
            <w:vAlign w:val="center"/>
          </w:tcPr>
          <w:p w14:paraId="0AB64575">
            <w:pPr>
              <w:jc w:val="center"/>
              <w:rPr>
                <w:rFonts w:hint="eastAsia" w:ascii="仿宋" w:hAnsi="仿宋" w:eastAsia="仿宋" w:cs="仿宋"/>
                <w:color w:val="auto"/>
                <w:szCs w:val="21"/>
                <w:highlight w:val="none"/>
              </w:rPr>
            </w:pPr>
          </w:p>
        </w:tc>
        <w:tc>
          <w:tcPr>
            <w:tcW w:w="565" w:type="pct"/>
            <w:noWrap w:val="0"/>
            <w:vAlign w:val="center"/>
          </w:tcPr>
          <w:p w14:paraId="09993019">
            <w:pPr>
              <w:jc w:val="center"/>
              <w:rPr>
                <w:rFonts w:hint="eastAsia" w:ascii="仿宋" w:hAnsi="仿宋" w:eastAsia="仿宋" w:cs="仿宋"/>
                <w:color w:val="auto"/>
                <w:szCs w:val="21"/>
                <w:highlight w:val="none"/>
              </w:rPr>
            </w:pPr>
          </w:p>
        </w:tc>
        <w:tc>
          <w:tcPr>
            <w:tcW w:w="821" w:type="pct"/>
            <w:noWrap w:val="0"/>
            <w:vAlign w:val="center"/>
          </w:tcPr>
          <w:p w14:paraId="0F024D90">
            <w:pPr>
              <w:jc w:val="center"/>
              <w:rPr>
                <w:rFonts w:hint="eastAsia" w:ascii="仿宋" w:hAnsi="仿宋" w:eastAsia="仿宋" w:cs="仿宋"/>
                <w:color w:val="auto"/>
                <w:szCs w:val="21"/>
                <w:highlight w:val="none"/>
              </w:rPr>
            </w:pPr>
          </w:p>
        </w:tc>
        <w:tc>
          <w:tcPr>
            <w:tcW w:w="709" w:type="pct"/>
            <w:noWrap w:val="0"/>
            <w:vAlign w:val="center"/>
          </w:tcPr>
          <w:p w14:paraId="0B0D3BE2">
            <w:pPr>
              <w:jc w:val="center"/>
              <w:rPr>
                <w:rFonts w:hint="eastAsia" w:ascii="仿宋" w:hAnsi="仿宋" w:eastAsia="仿宋" w:cs="仿宋"/>
                <w:color w:val="auto"/>
                <w:szCs w:val="21"/>
                <w:highlight w:val="none"/>
              </w:rPr>
            </w:pPr>
          </w:p>
        </w:tc>
      </w:tr>
    </w:tbl>
    <w:p w14:paraId="5CDE33A4">
      <w:pPr>
        <w:spacing w:line="360" w:lineRule="auto"/>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备注：</w:t>
      </w:r>
    </w:p>
    <w:p w14:paraId="4A8B10C2">
      <w:pPr>
        <w:spacing w:line="360" w:lineRule="auto"/>
        <w:textAlignment w:val="baseline"/>
        <w:rPr>
          <w:rFonts w:hint="eastAsia" w:ascii="仿宋" w:hAnsi="仿宋" w:eastAsia="仿宋"/>
          <w:b/>
          <w:color w:val="auto"/>
          <w:sz w:val="24"/>
          <w:highlight w:val="none"/>
        </w:rPr>
      </w:pPr>
      <w:r>
        <w:rPr>
          <w:rFonts w:hint="eastAsia" w:ascii="仿宋" w:hAnsi="仿宋" w:eastAsia="仿宋"/>
          <w:b/>
          <w:color w:val="auto"/>
          <w:sz w:val="24"/>
          <w:highlight w:val="none"/>
        </w:rPr>
        <w:t>1）有效的业绩证明材料包含但不限于合同关键页复印件（合同首页、合同标的页、签署日期页及盖章页等），按照业绩表的项目名称，顺序排放每个项目的证明材料。</w:t>
      </w:r>
    </w:p>
    <w:p w14:paraId="207388B6">
      <w:pPr>
        <w:spacing w:line="360" w:lineRule="auto"/>
        <w:textAlignment w:val="baseline"/>
        <w:rPr>
          <w:rFonts w:hint="eastAsia" w:ascii="仿宋" w:hAnsi="仿宋" w:eastAsia="仿宋"/>
          <w:b/>
          <w:color w:val="auto"/>
          <w:sz w:val="24"/>
          <w:highlight w:val="none"/>
        </w:rPr>
      </w:pPr>
      <w:r>
        <w:rPr>
          <w:rFonts w:hint="eastAsia" w:ascii="仿宋" w:hAnsi="仿宋" w:eastAsia="仿宋"/>
          <w:b/>
          <w:color w:val="auto"/>
          <w:sz w:val="24"/>
          <w:highlight w:val="none"/>
        </w:rPr>
        <w:t>2）按照磋商公告的资格要求提供有效的实施经验证明材料，作为资格后审的评审依据。</w:t>
      </w:r>
    </w:p>
    <w:p w14:paraId="10722CB9">
      <w:pPr>
        <w:spacing w:line="360" w:lineRule="auto"/>
        <w:textAlignment w:val="baseline"/>
        <w:rPr>
          <w:rFonts w:hint="eastAsia" w:ascii="仿宋" w:hAnsi="仿宋" w:eastAsia="仿宋"/>
          <w:b/>
          <w:color w:val="auto"/>
          <w:sz w:val="24"/>
          <w:highlight w:val="none"/>
        </w:rPr>
      </w:pPr>
      <w:r>
        <w:rPr>
          <w:rFonts w:hint="eastAsia" w:ascii="仿宋" w:hAnsi="仿宋" w:eastAsia="仿宋"/>
          <w:b/>
          <w:color w:val="auto"/>
          <w:sz w:val="24"/>
          <w:highlight w:val="none"/>
        </w:rPr>
        <w:t>3）本业绩表及证明材料也作为详细评审中对供应商同类项目实施经验的评审及打分依据，供应商需根据详细评审标准的要求，提供符合要求的业绩证明材料。</w:t>
      </w:r>
    </w:p>
    <w:p w14:paraId="0B379563">
      <w:pPr>
        <w:spacing w:line="360" w:lineRule="auto"/>
        <w:jc w:val="left"/>
        <w:rPr>
          <w:rFonts w:hint="eastAsia" w:ascii="仿宋" w:hAnsi="仿宋" w:eastAsia="仿宋" w:cs="仿宋"/>
          <w:color w:val="auto"/>
          <w:sz w:val="24"/>
          <w:highlight w:val="none"/>
        </w:rPr>
      </w:pPr>
    </w:p>
    <w:p w14:paraId="25761B03">
      <w:pPr>
        <w:spacing w:line="360" w:lineRule="auto"/>
        <w:ind w:firstLine="480" w:firstLineChars="200"/>
        <w:jc w:val="left"/>
        <w:rPr>
          <w:rFonts w:hint="eastAsia" w:ascii="仿宋" w:hAnsi="仿宋" w:eastAsia="仿宋" w:cs="仿宋"/>
          <w:bCs/>
          <w:color w:val="auto"/>
          <w:sz w:val="24"/>
          <w:highlight w:val="none"/>
        </w:rPr>
      </w:pPr>
    </w:p>
    <w:p w14:paraId="5F2C34F6">
      <w:pPr>
        <w:pStyle w:val="108"/>
        <w:topLinePunct/>
        <w:adjustRightInd w:val="0"/>
        <w:snapToGrid w:val="0"/>
        <w:spacing w:line="360" w:lineRule="auto"/>
        <w:ind w:left="1575" w:firstLine="0" w:firstLineChars="0"/>
        <w:rPr>
          <w:rFonts w:hint="eastAsia" w:ascii="仿宋" w:hAnsi="仿宋" w:eastAsia="仿宋" w:cs="仿宋"/>
          <w:bCs/>
          <w:color w:val="auto"/>
          <w:sz w:val="24"/>
          <w:highlight w:val="none"/>
        </w:rPr>
      </w:pPr>
    </w:p>
    <w:p w14:paraId="491149A1">
      <w:pPr>
        <w:pStyle w:val="108"/>
        <w:topLinePunct/>
        <w:adjustRightInd w:val="0"/>
        <w:snapToGrid w:val="0"/>
        <w:spacing w:line="360" w:lineRule="auto"/>
        <w:ind w:left="1575" w:firstLine="0" w:firstLineChars="0"/>
        <w:rPr>
          <w:rFonts w:hint="eastAsia" w:ascii="仿宋" w:hAnsi="仿宋" w:eastAsia="仿宋" w:cs="仿宋"/>
          <w:bCs/>
          <w:color w:val="auto"/>
          <w:sz w:val="24"/>
          <w:highlight w:val="none"/>
        </w:rPr>
      </w:pPr>
    </w:p>
    <w:p w14:paraId="60CCAE22">
      <w:pPr>
        <w:spacing w:line="360" w:lineRule="auto"/>
        <w:ind w:firstLine="4080" w:firstLineChars="1700"/>
        <w:jc w:val="right"/>
        <w:rPr>
          <w:rFonts w:hint="eastAsia" w:ascii="仿宋" w:hAnsi="仿宋" w:eastAsia="仿宋" w:cs="Cambria Math"/>
          <w:color w:val="auto"/>
          <w:sz w:val="24"/>
          <w:highlight w:val="none"/>
        </w:rPr>
      </w:pPr>
      <w:r>
        <w:rPr>
          <w:rFonts w:hint="eastAsia" w:ascii="仿宋" w:hAnsi="仿宋" w:eastAsia="仿宋" w:cs="Cambria Math"/>
          <w:color w:val="auto"/>
          <w:sz w:val="24"/>
          <w:highlight w:val="none"/>
          <w:lang w:val="en-US" w:eastAsia="zh-CN"/>
        </w:rPr>
        <w:t>供应商</w:t>
      </w:r>
      <w:r>
        <w:rPr>
          <w:rFonts w:hint="eastAsia" w:ascii="仿宋" w:hAnsi="仿宋" w:eastAsia="仿宋" w:cs="Cambria Math"/>
          <w:color w:val="auto"/>
          <w:sz w:val="24"/>
          <w:highlight w:val="none"/>
        </w:rPr>
        <w:t>名称：</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（盖章）</w:t>
      </w:r>
    </w:p>
    <w:p w14:paraId="12CFD22F">
      <w:pPr>
        <w:spacing w:line="360" w:lineRule="auto"/>
        <w:jc w:val="right"/>
        <w:rPr>
          <w:rFonts w:hint="eastAsia" w:ascii="仿宋" w:hAnsi="仿宋" w:eastAsia="仿宋" w:cs="Cambria Math"/>
          <w:b/>
          <w:bCs/>
          <w:color w:val="auto"/>
          <w:sz w:val="24"/>
          <w:highlight w:val="none"/>
        </w:rPr>
      </w:pPr>
      <w:r>
        <w:rPr>
          <w:rFonts w:hint="eastAsia" w:ascii="仿宋" w:hAnsi="仿宋" w:eastAsia="仿宋" w:cs="Cambria Math"/>
          <w:color w:val="auto"/>
          <w:sz w:val="24"/>
          <w:highlight w:val="none"/>
        </w:rPr>
        <w:t>日期：</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年</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月</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日</w:t>
      </w:r>
    </w:p>
    <w:p w14:paraId="35A05713">
      <w:pPr>
        <w:pStyle w:val="5"/>
        <w:numPr>
          <w:ilvl w:val="0"/>
          <w:numId w:val="0"/>
        </w:numPr>
        <w:spacing w:before="0" w:after="0" w:line="360" w:lineRule="auto"/>
        <w:rPr>
          <w:rFonts w:hint="eastAsia" w:ascii="仿宋" w:hAnsi="仿宋" w:eastAsia="仿宋" w:cs="仿宋"/>
          <w:color w:val="auto"/>
          <w:sz w:val="24"/>
          <w:szCs w:val="24"/>
          <w:highlight w:val="none"/>
        </w:rPr>
      </w:pPr>
      <w:r>
        <w:rPr>
          <w:color w:val="auto"/>
          <w:highlight w:val="none"/>
        </w:rPr>
        <w:br w:type="page"/>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税收和社保证明材料</w:t>
      </w:r>
    </w:p>
    <w:p w14:paraId="2F025AC8">
      <w:pPr>
        <w:spacing w:line="360" w:lineRule="auto"/>
        <w:ind w:firstLine="480" w:firstLineChars="200"/>
        <w:textAlignment w:val="baseline"/>
        <w:rPr>
          <w:rFonts w:hint="eastAsia" w:ascii="仿宋" w:hAnsi="仿宋" w:eastAsia="仿宋" w:cs="Cambria Math"/>
          <w:color w:val="auto"/>
          <w:kern w:val="0"/>
          <w:sz w:val="24"/>
          <w:highlight w:val="none"/>
          <w:lang w:val="en-US" w:eastAsia="zh-CN"/>
        </w:rPr>
      </w:pPr>
      <w:r>
        <w:rPr>
          <w:rFonts w:hint="eastAsia" w:ascii="仿宋" w:hAnsi="仿宋" w:eastAsia="仿宋" w:cs="宋体"/>
          <w:color w:val="auto"/>
          <w:sz w:val="24"/>
          <w:highlight w:val="none"/>
          <w:lang w:val="en-US" w:eastAsia="zh-CN"/>
        </w:rPr>
        <w:t>具有依法缴纳税收和社会保障资金的良好记录，提供近6个月任意一个月的税收和社会保障资金缴纳凭证</w:t>
      </w:r>
      <w:r>
        <w:rPr>
          <w:rFonts w:hint="eastAsia" w:ascii="仿宋" w:hAnsi="仿宋" w:eastAsia="仿宋" w:cs="宋体"/>
          <w:color w:val="auto"/>
          <w:sz w:val="24"/>
          <w:highlight w:val="none"/>
          <w:lang w:eastAsia="zh-CN"/>
        </w:rPr>
        <w:t>。</w:t>
      </w:r>
    </w:p>
    <w:p w14:paraId="51DE3B77">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4B8FEA83">
      <w:pPr>
        <w:pStyle w:val="5"/>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5、无违法违规记录查询截图</w:t>
      </w:r>
    </w:p>
    <w:p w14:paraId="1BB3F025">
      <w:pPr>
        <w:spacing w:line="360" w:lineRule="auto"/>
        <w:ind w:firstLine="480" w:firstLineChars="200"/>
        <w:textAlignment w:val="baseline"/>
        <w:rPr>
          <w:rStyle w:val="50"/>
          <w:color w:val="auto"/>
          <w:highlight w:val="none"/>
        </w:rPr>
      </w:pPr>
      <w:r>
        <w:rPr>
          <w:rFonts w:hint="eastAsia" w:ascii="仿宋" w:hAnsi="仿宋" w:eastAsia="仿宋" w:cs="Cambria Math"/>
          <w:color w:val="auto"/>
          <w:sz w:val="24"/>
          <w:highlight w:val="none"/>
          <w:lang w:val="en-US" w:eastAsia="zh-CN"/>
        </w:rPr>
        <w:t>信用中国</w:t>
      </w:r>
      <w:r>
        <w:rPr>
          <w:rFonts w:hint="eastAsia" w:ascii="仿宋" w:hAnsi="仿宋" w:eastAsia="仿宋" w:cs="Cambria Math"/>
          <w:color w:val="auto"/>
          <w:sz w:val="24"/>
          <w:highlight w:val="none"/>
        </w:rPr>
        <w:t>查询网址：</w:t>
      </w:r>
      <w:r>
        <w:rPr>
          <w:color w:val="auto"/>
          <w:highlight w:val="none"/>
        </w:rPr>
        <w:fldChar w:fldCharType="begin"/>
      </w:r>
      <w:r>
        <w:rPr>
          <w:rStyle w:val="50"/>
          <w:color w:val="auto"/>
          <w:highlight w:val="none"/>
        </w:rPr>
        <w:instrText xml:space="preserve"> </w:instrText>
      </w:r>
      <w:r>
        <w:rPr>
          <w:rStyle w:val="50"/>
          <w:rFonts w:hint="eastAsia"/>
          <w:color w:val="auto"/>
          <w:highlight w:val="none"/>
        </w:rPr>
        <w:instrText xml:space="preserve">HYPERLINK "https://www.creditchina.gov.cn/xinyongfuwu/?navPage=5"</w:instrText>
      </w:r>
      <w:r>
        <w:rPr>
          <w:rStyle w:val="50"/>
          <w:color w:val="auto"/>
          <w:highlight w:val="none"/>
        </w:rPr>
        <w:instrText xml:space="preserve"> </w:instrText>
      </w:r>
      <w:r>
        <w:rPr>
          <w:color w:val="auto"/>
          <w:highlight w:val="none"/>
        </w:rPr>
        <w:fldChar w:fldCharType="separate"/>
      </w:r>
      <w:r>
        <w:rPr>
          <w:rStyle w:val="50"/>
          <w:rFonts w:hint="eastAsia"/>
          <w:color w:val="auto"/>
          <w:highlight w:val="none"/>
        </w:rPr>
        <w:t>https://www.creditchina.gov.cn/xinyongfuwu/?navPage=5</w:t>
      </w:r>
      <w:r>
        <w:rPr>
          <w:color w:val="auto"/>
          <w:highlight w:val="none"/>
        </w:rPr>
        <w:fldChar w:fldCharType="end"/>
      </w:r>
    </w:p>
    <w:p w14:paraId="17F29965">
      <w:pPr>
        <w:spacing w:line="360" w:lineRule="auto"/>
        <w:textAlignment w:val="baseline"/>
        <w:rPr>
          <w:color w:val="auto"/>
          <w:highlight w:val="none"/>
        </w:rPr>
      </w:pPr>
      <w:r>
        <w:rPr>
          <w:rFonts w:hint="eastAsia" w:ascii="仿宋" w:hAnsi="仿宋" w:eastAsia="仿宋" w:cs="Cambria Math"/>
          <w:color w:val="auto"/>
          <w:sz w:val="24"/>
          <w:highlight w:val="none"/>
        </w:rPr>
        <w:t>（1）失信被执行人查询截图范例：</w:t>
      </w:r>
    </w:p>
    <w:p w14:paraId="735E0746">
      <w:pPr>
        <w:ind w:firstLine="210" w:firstLineChars="100"/>
        <w:rPr>
          <w:color w:val="auto"/>
          <w:highlight w:val="none"/>
        </w:rPr>
      </w:pPr>
      <w:r>
        <w:rPr>
          <w:color w:val="auto"/>
          <w:highlight w:val="none"/>
        </w:rPr>
        <w:drawing>
          <wp:inline distT="0" distB="0" distL="114300" distR="114300">
            <wp:extent cx="5909310" cy="3769360"/>
            <wp:effectExtent l="0" t="0" r="8890" b="2540"/>
            <wp:docPr id="6" name="图片 7" descr="cca28b419ce15d5afdeea5a744e8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cca28b419ce15d5afdeea5a744e8556"/>
                    <pic:cNvPicPr>
                      <a:picLocks noChangeAspect="1"/>
                    </pic:cNvPicPr>
                  </pic:nvPicPr>
                  <pic:blipFill>
                    <a:blip r:embed="rId13"/>
                    <a:srcRect b="11951"/>
                    <a:stretch>
                      <a:fillRect/>
                    </a:stretch>
                  </pic:blipFill>
                  <pic:spPr>
                    <a:xfrm>
                      <a:off x="0" y="0"/>
                      <a:ext cx="5909310" cy="3769360"/>
                    </a:xfrm>
                    <a:prstGeom prst="rect">
                      <a:avLst/>
                    </a:prstGeom>
                    <a:noFill/>
                    <a:ln>
                      <a:noFill/>
                    </a:ln>
                  </pic:spPr>
                </pic:pic>
              </a:graphicData>
            </a:graphic>
          </wp:inline>
        </w:drawing>
      </w:r>
    </w:p>
    <w:p w14:paraId="40754ACA">
      <w:pPr>
        <w:rPr>
          <w:rFonts w:hint="eastAsia" w:ascii="仿宋" w:hAnsi="仿宋" w:eastAsia="仿宋"/>
          <w:color w:val="auto"/>
          <w:szCs w:val="21"/>
          <w:highlight w:val="none"/>
        </w:rPr>
      </w:pPr>
      <w:r>
        <w:rPr>
          <w:rFonts w:hint="eastAsia" w:ascii="仿宋" w:hAnsi="仿宋" w:eastAsia="仿宋" w:cs="Cambria Math"/>
          <w:color w:val="auto"/>
          <w:sz w:val="24"/>
          <w:highlight w:val="none"/>
        </w:rPr>
        <w:t>（2）</w:t>
      </w:r>
      <w:r>
        <w:rPr>
          <w:rFonts w:hint="eastAsia" w:ascii="仿宋" w:hAnsi="仿宋" w:eastAsia="仿宋" w:cs="微软雅黑"/>
          <w:color w:val="auto"/>
          <w:sz w:val="24"/>
          <w:highlight w:val="none"/>
        </w:rPr>
        <w:t>重大</w:t>
      </w:r>
      <w:r>
        <w:rPr>
          <w:rFonts w:hint="eastAsia" w:ascii="仿宋" w:hAnsi="仿宋" w:eastAsia="仿宋" w:cs="仿宋"/>
          <w:color w:val="auto"/>
          <w:sz w:val="24"/>
          <w:highlight w:val="none"/>
        </w:rPr>
        <w:t>税收违法失信主体</w:t>
      </w:r>
      <w:r>
        <w:rPr>
          <w:rFonts w:hint="eastAsia" w:ascii="仿宋" w:hAnsi="仿宋" w:eastAsia="仿宋" w:cs="微软雅黑"/>
          <w:color w:val="auto"/>
          <w:sz w:val="24"/>
          <w:highlight w:val="none"/>
        </w:rPr>
        <w:t>查询截图范例：</w:t>
      </w:r>
    </w:p>
    <w:p w14:paraId="081CA7D2">
      <w:pPr>
        <w:rPr>
          <w:rFonts w:hint="eastAsia" w:ascii="仿宋" w:hAnsi="仿宋" w:eastAsia="仿宋" w:cs="Cambria Math"/>
          <w:color w:val="auto"/>
          <w:sz w:val="24"/>
          <w:highlight w:val="none"/>
        </w:rPr>
      </w:pPr>
      <w:r>
        <w:rPr>
          <w:rFonts w:ascii="仿宋" w:hAnsi="仿宋" w:eastAsia="仿宋"/>
          <w:color w:val="auto"/>
          <w:szCs w:val="21"/>
          <w:highlight w:val="none"/>
        </w:rPr>
        <w:drawing>
          <wp:inline distT="0" distB="0" distL="114300" distR="114300">
            <wp:extent cx="6119495" cy="3312795"/>
            <wp:effectExtent l="0" t="0" r="1905" b="1905"/>
            <wp:docPr id="7" name="图片 2" descr="微信图片_2022071315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微信图片_20220713154746"/>
                    <pic:cNvPicPr>
                      <a:picLocks noChangeAspect="1"/>
                    </pic:cNvPicPr>
                  </pic:nvPicPr>
                  <pic:blipFill>
                    <a:blip r:embed="rId14"/>
                    <a:stretch>
                      <a:fillRect/>
                    </a:stretch>
                  </pic:blipFill>
                  <pic:spPr>
                    <a:xfrm>
                      <a:off x="0" y="0"/>
                      <a:ext cx="6119495" cy="3312795"/>
                    </a:xfrm>
                    <a:prstGeom prst="rect">
                      <a:avLst/>
                    </a:prstGeom>
                    <a:noFill/>
                    <a:ln>
                      <a:noFill/>
                    </a:ln>
                  </pic:spPr>
                </pic:pic>
              </a:graphicData>
            </a:graphic>
          </wp:inline>
        </w:drawing>
      </w:r>
    </w:p>
    <w:p w14:paraId="7337BEC0">
      <w:pPr>
        <w:ind w:firstLine="240" w:firstLineChars="100"/>
        <w:rPr>
          <w:rFonts w:ascii="仿宋" w:hAnsi="仿宋" w:eastAsia="仿宋" w:cs="Cambria Math"/>
          <w:color w:val="auto"/>
          <w:sz w:val="24"/>
          <w:highlight w:val="none"/>
        </w:rPr>
      </w:pPr>
      <w:r>
        <w:rPr>
          <w:rFonts w:hint="eastAsia" w:ascii="仿宋" w:hAnsi="仿宋" w:eastAsia="仿宋" w:cs="Cambria Math"/>
          <w:color w:val="auto"/>
          <w:sz w:val="24"/>
          <w:highlight w:val="none"/>
        </w:rPr>
        <w:t>（3）政府采购严重违法失信行为记录名单查询截图范例：</w:t>
      </w:r>
    </w:p>
    <w:p w14:paraId="791D26B1">
      <w:pPr>
        <w:ind w:firstLine="210" w:firstLineChars="100"/>
        <w:rPr>
          <w:color w:val="auto"/>
          <w:highlight w:val="none"/>
        </w:rPr>
      </w:pPr>
      <w:r>
        <w:rPr>
          <w:color w:val="auto"/>
          <w:highlight w:val="none"/>
        </w:rPr>
        <w:drawing>
          <wp:inline distT="0" distB="0" distL="114300" distR="114300">
            <wp:extent cx="5976620" cy="3242310"/>
            <wp:effectExtent l="0" t="0" r="5080" b="8890"/>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pic:cNvPicPr>
                      <a:picLocks noChangeAspect="1"/>
                    </pic:cNvPicPr>
                  </pic:nvPicPr>
                  <pic:blipFill>
                    <a:blip r:embed="rId15"/>
                    <a:stretch>
                      <a:fillRect/>
                    </a:stretch>
                  </pic:blipFill>
                  <pic:spPr>
                    <a:xfrm>
                      <a:off x="0" y="0"/>
                      <a:ext cx="5976620" cy="3242310"/>
                    </a:xfrm>
                    <a:prstGeom prst="rect">
                      <a:avLst/>
                    </a:prstGeom>
                    <a:noFill/>
                    <a:ln>
                      <a:noFill/>
                    </a:ln>
                  </pic:spPr>
                </pic:pic>
              </a:graphicData>
            </a:graphic>
          </wp:inline>
        </w:drawing>
      </w:r>
    </w:p>
    <w:p w14:paraId="51D2CA6E">
      <w:pPr>
        <w:pStyle w:val="5"/>
        <w:spacing w:before="0" w:after="0" w:line="360" w:lineRule="auto"/>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br w:type="page"/>
      </w:r>
      <w:r>
        <w:rPr>
          <w:rFonts w:ascii="仿宋" w:hAnsi="仿宋" w:eastAsia="仿宋" w:cs="仿宋"/>
          <w:color w:val="auto"/>
          <w:sz w:val="24"/>
          <w:szCs w:val="24"/>
          <w:highlight w:val="none"/>
        </w:rPr>
        <w:t>6</w:t>
      </w:r>
      <w:r>
        <w:rPr>
          <w:rFonts w:hint="eastAsia" w:ascii="仿宋" w:hAnsi="仿宋" w:eastAsia="仿宋" w:cs="仿宋"/>
          <w:color w:val="auto"/>
          <w:sz w:val="24"/>
          <w:szCs w:val="24"/>
          <w:highlight w:val="none"/>
        </w:rPr>
        <w:t>、未列入供应商黑名单且未在禁入期承诺函</w:t>
      </w:r>
    </w:p>
    <w:p w14:paraId="18F8CF19">
      <w:pPr>
        <w:pStyle w:val="17"/>
        <w:spacing w:before="240"/>
        <w:jc w:val="both"/>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致：</w:t>
      </w:r>
      <w:r>
        <w:rPr>
          <w:rFonts w:hint="eastAsia" w:ascii="仿宋" w:hAnsi="仿宋" w:eastAsia="仿宋" w:cs="Cambria Math"/>
          <w:color w:val="auto"/>
          <w:sz w:val="24"/>
          <w:highlight w:val="none"/>
          <w:u w:val="single"/>
          <w:lang w:eastAsia="zh-CN"/>
        </w:rPr>
        <w:t>（</w:t>
      </w:r>
      <w:r>
        <w:rPr>
          <w:rFonts w:hint="eastAsia" w:ascii="仿宋" w:hAnsi="仿宋" w:eastAsia="仿宋" w:cs="Cambria Math"/>
          <w:color w:val="auto"/>
          <w:sz w:val="24"/>
          <w:highlight w:val="none"/>
          <w:u w:val="single"/>
          <w:lang w:val="en-US" w:eastAsia="zh-CN"/>
        </w:rPr>
        <w:t>采购人名称</w:t>
      </w:r>
      <w:r>
        <w:rPr>
          <w:rFonts w:hint="eastAsia" w:ascii="仿宋" w:hAnsi="仿宋" w:eastAsia="仿宋" w:cs="Cambria Math"/>
          <w:color w:val="auto"/>
          <w:sz w:val="24"/>
          <w:highlight w:val="none"/>
          <w:u w:val="single"/>
          <w:lang w:eastAsia="zh-CN"/>
        </w:rPr>
        <w:t>）</w:t>
      </w:r>
      <w:r>
        <w:rPr>
          <w:rFonts w:hint="eastAsia" w:ascii="仿宋" w:hAnsi="仿宋" w:eastAsia="仿宋" w:cs="Cambria Math"/>
          <w:color w:val="auto"/>
          <w:sz w:val="24"/>
          <w:highlight w:val="none"/>
        </w:rPr>
        <w:t>：</w:t>
      </w:r>
    </w:p>
    <w:p w14:paraId="328A0ECE">
      <w:pPr>
        <w:adjustRightInd w:val="0"/>
        <w:snapToGrid w:val="0"/>
        <w:spacing w:before="240" w:line="360" w:lineRule="auto"/>
        <w:ind w:firstLine="480" w:firstLineChars="200"/>
        <w:rPr>
          <w:rFonts w:ascii="仿宋" w:hAnsi="仿宋" w:eastAsia="仿宋" w:cs="Cambria Math"/>
          <w:color w:val="auto"/>
          <w:sz w:val="24"/>
          <w:highlight w:val="none"/>
        </w:rPr>
      </w:pPr>
      <w:r>
        <w:rPr>
          <w:rFonts w:hint="eastAsia" w:ascii="仿宋" w:hAnsi="仿宋" w:eastAsia="仿宋" w:cs="Cambria Math"/>
          <w:color w:val="auto"/>
          <w:sz w:val="24"/>
          <w:highlight w:val="none"/>
        </w:rPr>
        <w:t>我方</w:t>
      </w:r>
      <w:r>
        <w:rPr>
          <w:rFonts w:hint="eastAsia" w:ascii="仿宋" w:hAnsi="仿宋" w:eastAsia="仿宋" w:cs="Cambria Math"/>
          <w:color w:val="auto"/>
          <w:sz w:val="24"/>
          <w:highlight w:val="none"/>
          <w:u w:val="single"/>
        </w:rPr>
        <w:t xml:space="preserve">     </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u w:val="single"/>
        </w:rPr>
        <w:t>（供应商名称）</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承诺截至本项目响应文件递交截止时间，我方未被列入</w:t>
      </w:r>
      <w:r>
        <w:rPr>
          <w:rFonts w:hint="eastAsia" w:ascii="仿宋" w:hAnsi="仿宋" w:eastAsia="仿宋" w:cs="Cambria Math"/>
          <w:color w:val="auto"/>
          <w:sz w:val="24"/>
          <w:highlight w:val="none"/>
          <w:lang w:val="en-US" w:eastAsia="zh-CN"/>
        </w:rPr>
        <w:t>采购</w:t>
      </w:r>
      <w:r>
        <w:rPr>
          <w:rFonts w:hint="eastAsia" w:ascii="仿宋" w:hAnsi="仿宋" w:eastAsia="仿宋" w:cs="Cambria Math"/>
          <w:color w:val="auto"/>
          <w:sz w:val="24"/>
          <w:highlight w:val="none"/>
        </w:rPr>
        <w:t>人及其所隶属的中国人民保险各级机构的供应商黑名单且未在禁入期内。</w:t>
      </w:r>
    </w:p>
    <w:p w14:paraId="7F9AFE80">
      <w:pPr>
        <w:pStyle w:val="17"/>
        <w:ind w:firstLine="480" w:firstLineChars="200"/>
        <w:jc w:val="both"/>
        <w:rPr>
          <w:rFonts w:ascii="仿宋" w:hAnsi="仿宋" w:eastAsia="仿宋" w:cs="Cambria Math"/>
          <w:color w:val="auto"/>
          <w:sz w:val="24"/>
          <w:highlight w:val="none"/>
        </w:rPr>
      </w:pPr>
    </w:p>
    <w:p w14:paraId="3CCA255B">
      <w:pPr>
        <w:pStyle w:val="17"/>
        <w:ind w:firstLine="480" w:firstLineChars="200"/>
        <w:jc w:val="both"/>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特此承诺。</w:t>
      </w:r>
    </w:p>
    <w:p w14:paraId="751071DB">
      <w:pPr>
        <w:pStyle w:val="127"/>
        <w:ind w:firstLine="640"/>
        <w:rPr>
          <w:rFonts w:ascii="仿宋" w:hAnsi="仿宋" w:eastAsia="仿宋"/>
          <w:color w:val="auto"/>
          <w:highlight w:val="none"/>
        </w:rPr>
      </w:pPr>
    </w:p>
    <w:p w14:paraId="280B7B34">
      <w:pPr>
        <w:pStyle w:val="127"/>
        <w:ind w:firstLine="640"/>
        <w:rPr>
          <w:rFonts w:ascii="仿宋" w:hAnsi="仿宋" w:eastAsia="仿宋"/>
          <w:color w:val="auto"/>
          <w:highlight w:val="none"/>
        </w:rPr>
      </w:pPr>
    </w:p>
    <w:p w14:paraId="27624CFA">
      <w:pPr>
        <w:spacing w:line="360" w:lineRule="auto"/>
        <w:ind w:firstLine="4080" w:firstLineChars="1700"/>
        <w:jc w:val="right"/>
        <w:rPr>
          <w:rFonts w:ascii="仿宋" w:hAnsi="仿宋" w:eastAsia="仿宋" w:cs="Cambria Math"/>
          <w:color w:val="auto"/>
          <w:sz w:val="24"/>
          <w:highlight w:val="none"/>
        </w:rPr>
      </w:pPr>
    </w:p>
    <w:p w14:paraId="705A9126">
      <w:pPr>
        <w:spacing w:line="360" w:lineRule="auto"/>
        <w:ind w:firstLine="4080" w:firstLineChars="1700"/>
        <w:jc w:val="right"/>
        <w:rPr>
          <w:rFonts w:ascii="仿宋" w:hAnsi="仿宋" w:eastAsia="仿宋" w:cs="Cambria Math"/>
          <w:color w:val="auto"/>
          <w:sz w:val="24"/>
          <w:highlight w:val="none"/>
        </w:rPr>
      </w:pPr>
    </w:p>
    <w:p w14:paraId="09AB5C53">
      <w:pPr>
        <w:spacing w:line="360" w:lineRule="auto"/>
        <w:ind w:firstLine="4080" w:firstLineChars="1700"/>
        <w:jc w:val="right"/>
        <w:rPr>
          <w:rFonts w:ascii="仿宋" w:hAnsi="仿宋" w:eastAsia="仿宋" w:cs="Cambria Math"/>
          <w:color w:val="auto"/>
          <w:sz w:val="24"/>
          <w:highlight w:val="none"/>
        </w:rPr>
      </w:pPr>
    </w:p>
    <w:p w14:paraId="4C25447E">
      <w:pPr>
        <w:spacing w:line="360" w:lineRule="auto"/>
        <w:ind w:firstLine="4080" w:firstLineChars="1700"/>
        <w:jc w:val="right"/>
        <w:rPr>
          <w:rFonts w:ascii="仿宋" w:hAnsi="仿宋" w:eastAsia="仿宋" w:cs="Cambria Math"/>
          <w:color w:val="auto"/>
          <w:sz w:val="24"/>
          <w:highlight w:val="none"/>
        </w:rPr>
      </w:pPr>
    </w:p>
    <w:p w14:paraId="11AC8330">
      <w:pPr>
        <w:spacing w:line="360" w:lineRule="auto"/>
        <w:ind w:firstLine="4080" w:firstLineChars="1700"/>
        <w:jc w:val="right"/>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供应商名称：</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（盖章）</w:t>
      </w:r>
    </w:p>
    <w:p w14:paraId="79EF9257">
      <w:pPr>
        <w:spacing w:line="360" w:lineRule="auto"/>
        <w:jc w:val="right"/>
        <w:rPr>
          <w:rFonts w:hint="eastAsia" w:ascii="仿宋" w:hAnsi="仿宋" w:eastAsia="仿宋" w:cs="Cambria Math"/>
          <w:b/>
          <w:bCs/>
          <w:color w:val="auto"/>
          <w:sz w:val="24"/>
          <w:highlight w:val="none"/>
        </w:rPr>
      </w:pPr>
      <w:r>
        <w:rPr>
          <w:rFonts w:hint="eastAsia" w:ascii="仿宋" w:hAnsi="仿宋" w:eastAsia="仿宋" w:cs="Cambria Math"/>
          <w:color w:val="auto"/>
          <w:sz w:val="24"/>
          <w:highlight w:val="none"/>
        </w:rPr>
        <w:t>日期：</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年</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月</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日</w:t>
      </w:r>
    </w:p>
    <w:p w14:paraId="5B91AFD3">
      <w:pPr>
        <w:pStyle w:val="150"/>
        <w:spacing w:line="360" w:lineRule="auto"/>
        <w:rPr>
          <w:rFonts w:hint="eastAsia" w:ascii="仿宋" w:hAnsi="仿宋" w:eastAsia="仿宋" w:cs="仿宋"/>
          <w:color w:val="auto"/>
          <w:highlight w:val="none"/>
        </w:rPr>
      </w:pPr>
      <w:r>
        <w:rPr>
          <w:rFonts w:hint="eastAsia" w:ascii="仿宋" w:hAnsi="仿宋" w:eastAsia="仿宋" w:cs="仿宋"/>
          <w:color w:val="auto"/>
          <w:szCs w:val="24"/>
          <w:highlight w:val="none"/>
        </w:rPr>
        <w:br w:type="page"/>
      </w:r>
    </w:p>
    <w:p w14:paraId="68FDBF31">
      <w:pPr>
        <w:pStyle w:val="5"/>
        <w:spacing w:before="0" w:after="0" w:line="360" w:lineRule="auto"/>
        <w:rPr>
          <w:rFonts w:hint="eastAsia" w:ascii="仿宋" w:hAnsi="仿宋" w:eastAsia="仿宋" w:cs="仿宋"/>
          <w:color w:val="auto"/>
          <w:sz w:val="24"/>
          <w:szCs w:val="24"/>
          <w:highlight w:val="none"/>
        </w:rPr>
      </w:pPr>
      <w:bookmarkStart w:id="197" w:name="_Hlk69983040"/>
      <w:r>
        <w:rPr>
          <w:rFonts w:ascii="仿宋" w:hAnsi="仿宋" w:eastAsia="仿宋" w:cs="仿宋"/>
          <w:color w:val="auto"/>
          <w:sz w:val="24"/>
          <w:szCs w:val="24"/>
          <w:highlight w:val="none"/>
        </w:rPr>
        <w:t>7</w:t>
      </w:r>
      <w:r>
        <w:rPr>
          <w:rFonts w:hint="eastAsia" w:ascii="仿宋" w:hAnsi="仿宋" w:eastAsia="仿宋" w:cs="仿宋"/>
          <w:color w:val="auto"/>
          <w:sz w:val="24"/>
          <w:szCs w:val="24"/>
          <w:highlight w:val="none"/>
        </w:rPr>
        <w:t>、供应商控股及管理关系情况申报表</w:t>
      </w:r>
    </w:p>
    <w:p w14:paraId="2A1133BD">
      <w:pPr>
        <w:pStyle w:val="108"/>
        <w:spacing w:before="240" w:after="240" w:line="360" w:lineRule="auto"/>
        <w:ind w:firstLine="0" w:firstLineChars="0"/>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供应商控股及管理关系情况申报表</w:t>
      </w:r>
    </w:p>
    <w:p w14:paraId="4419E93D">
      <w:pPr>
        <w:adjustRightInd w:val="0"/>
        <w:snapToGrid w:val="0"/>
        <w:spacing w:line="360" w:lineRule="auto"/>
        <w:ind w:left="0" w:leftChars="-295" w:hanging="619" w:hangingChars="258"/>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致：</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u w:val="single"/>
          <w:lang w:val="en-US" w:eastAsia="zh-CN"/>
        </w:rPr>
        <w:t>采购</w:t>
      </w:r>
      <w:r>
        <w:rPr>
          <w:rFonts w:hint="eastAsia" w:ascii="仿宋" w:hAnsi="仿宋" w:eastAsia="仿宋" w:cs="宋体"/>
          <w:color w:val="auto"/>
          <w:sz w:val="24"/>
          <w:szCs w:val="24"/>
          <w:highlight w:val="none"/>
          <w:u w:val="single"/>
        </w:rPr>
        <w:t xml:space="preserve">人名称）  </w:t>
      </w:r>
      <w:r>
        <w:rPr>
          <w:rFonts w:hint="eastAsia" w:ascii="仿宋" w:hAnsi="仿宋" w:eastAsia="仿宋" w:cs="宋体"/>
          <w:color w:val="auto"/>
          <w:sz w:val="24"/>
          <w:szCs w:val="24"/>
          <w:highlight w:val="none"/>
        </w:rPr>
        <w:t>：</w:t>
      </w:r>
    </w:p>
    <w:p w14:paraId="02C83575">
      <w:pPr>
        <w:adjustRightInd w:val="0"/>
        <w:snapToGrid w:val="0"/>
        <w:spacing w:line="360" w:lineRule="auto"/>
        <w:ind w:left="-617" w:leftChars="-294" w:right="-512" w:rightChars="-244" w:firstLine="616" w:firstLineChars="257"/>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我方参加</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（项目名称）的</w:t>
      </w:r>
      <w:r>
        <w:rPr>
          <w:rFonts w:hint="eastAsia" w:ascii="仿宋" w:hAnsi="仿宋" w:eastAsia="仿宋" w:cs="宋体"/>
          <w:color w:val="auto"/>
          <w:sz w:val="24"/>
          <w:szCs w:val="24"/>
          <w:highlight w:val="none"/>
          <w:lang w:val="en-US" w:eastAsia="zh-CN"/>
        </w:rPr>
        <w:t>磋商</w:t>
      </w:r>
      <w:r>
        <w:rPr>
          <w:rFonts w:hint="eastAsia" w:ascii="仿宋" w:hAnsi="仿宋" w:eastAsia="仿宋" w:cs="宋体"/>
          <w:color w:val="auto"/>
          <w:sz w:val="24"/>
          <w:szCs w:val="24"/>
          <w:highlight w:val="none"/>
        </w:rPr>
        <w:t>，根据法律法规维护投标公正性的相关规定，</w:t>
      </w:r>
      <w:r>
        <w:rPr>
          <w:rFonts w:hint="eastAsia" w:ascii="仿宋" w:hAnsi="仿宋" w:eastAsia="仿宋" w:cs="宋体"/>
          <w:color w:val="auto"/>
          <w:sz w:val="24"/>
          <w:szCs w:val="24"/>
          <w:highlight w:val="none"/>
          <w:lang w:val="en-US" w:eastAsia="zh-CN"/>
        </w:rPr>
        <w:t>我方与采购人之间不存在利害关系可能影响采购公正性的法人、其他组织或者个人，</w:t>
      </w:r>
      <w:r>
        <w:rPr>
          <w:rFonts w:hint="eastAsia" w:ascii="仿宋" w:hAnsi="仿宋" w:eastAsia="仿宋" w:cs="宋体"/>
          <w:color w:val="auto"/>
          <w:sz w:val="24"/>
          <w:szCs w:val="24"/>
          <w:highlight w:val="none"/>
        </w:rPr>
        <w:t>特就本单位控股及管理关系情况申报如下</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rPr>
        <w:t>并承担申报不实的责任</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lang w:val="en-US" w:eastAsia="zh-CN"/>
        </w:rPr>
        <w:t>如我方中选该项目并签署合同后，一旦发现我方申报不实，采购人可无条件终止合同</w:t>
      </w:r>
      <w:r>
        <w:rPr>
          <w:rFonts w:hint="eastAsia" w:ascii="仿宋" w:hAnsi="仿宋" w:eastAsia="仿宋" w:cs="宋体"/>
          <w:color w:val="auto"/>
          <w:sz w:val="24"/>
          <w:szCs w:val="24"/>
          <w:highlight w:val="none"/>
        </w:rPr>
        <w:t>。</w:t>
      </w:r>
    </w:p>
    <w:tbl>
      <w:tblPr>
        <w:tblStyle w:val="41"/>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14:paraId="4CE98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noWrap w:val="0"/>
            <w:vAlign w:val="center"/>
          </w:tcPr>
          <w:p w14:paraId="61B8152A">
            <w:pPr>
              <w:adjustRightInd w:val="0"/>
              <w:snapToGrid w:val="0"/>
              <w:spacing w:line="440" w:lineRule="exact"/>
              <w:rPr>
                <w:rFonts w:hint="eastAsia" w:ascii="仿宋" w:hAnsi="仿宋" w:eastAsia="仿宋" w:cs="宋体"/>
                <w:color w:val="auto"/>
                <w:highlight w:val="none"/>
              </w:rPr>
            </w:pPr>
            <w:r>
              <w:rPr>
                <w:rFonts w:hint="eastAsia" w:ascii="仿宋" w:hAnsi="仿宋" w:eastAsia="仿宋" w:cs="宋体"/>
                <w:color w:val="auto"/>
                <w:highlight w:val="none"/>
              </w:rPr>
              <w:t>申报人名称</w:t>
            </w:r>
          </w:p>
        </w:tc>
        <w:tc>
          <w:tcPr>
            <w:tcW w:w="7926" w:type="dxa"/>
            <w:gridSpan w:val="2"/>
            <w:noWrap w:val="0"/>
            <w:vAlign w:val="center"/>
          </w:tcPr>
          <w:p w14:paraId="2CE515D9">
            <w:pPr>
              <w:adjustRightInd w:val="0"/>
              <w:snapToGrid w:val="0"/>
              <w:spacing w:line="440" w:lineRule="exact"/>
              <w:rPr>
                <w:rFonts w:hint="eastAsia" w:ascii="仿宋" w:hAnsi="仿宋" w:eastAsia="仿宋" w:cs="宋体"/>
                <w:color w:val="auto"/>
                <w:highlight w:val="none"/>
              </w:rPr>
            </w:pPr>
          </w:p>
        </w:tc>
      </w:tr>
      <w:tr w14:paraId="1A346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noWrap w:val="0"/>
            <w:vAlign w:val="center"/>
          </w:tcPr>
          <w:p w14:paraId="1909ABA4">
            <w:pPr>
              <w:adjustRightInd w:val="0"/>
              <w:snapToGrid w:val="0"/>
              <w:spacing w:line="440" w:lineRule="exact"/>
              <w:rPr>
                <w:rFonts w:hint="eastAsia" w:ascii="仿宋" w:hAnsi="仿宋" w:eastAsia="仿宋" w:cs="宋体"/>
                <w:color w:val="auto"/>
                <w:highlight w:val="none"/>
              </w:rPr>
            </w:pPr>
            <w:r>
              <w:rPr>
                <w:rFonts w:hint="eastAsia" w:ascii="仿宋" w:hAnsi="仿宋" w:eastAsia="仿宋" w:cs="宋体"/>
                <w:color w:val="auto"/>
                <w:highlight w:val="none"/>
              </w:rPr>
              <w:t>法定代表人/单位负责人</w:t>
            </w:r>
          </w:p>
        </w:tc>
        <w:tc>
          <w:tcPr>
            <w:tcW w:w="2356" w:type="dxa"/>
            <w:noWrap w:val="0"/>
            <w:vAlign w:val="center"/>
          </w:tcPr>
          <w:p w14:paraId="07914A2E">
            <w:pPr>
              <w:adjustRightInd w:val="0"/>
              <w:snapToGrid w:val="0"/>
              <w:spacing w:line="440" w:lineRule="exact"/>
              <w:rPr>
                <w:rFonts w:hint="eastAsia" w:ascii="仿宋" w:hAnsi="仿宋" w:eastAsia="仿宋" w:cs="宋体"/>
                <w:color w:val="auto"/>
                <w:highlight w:val="none"/>
              </w:rPr>
            </w:pPr>
            <w:r>
              <w:rPr>
                <w:rFonts w:hint="eastAsia" w:ascii="仿宋" w:hAnsi="仿宋" w:eastAsia="仿宋" w:cs="宋体"/>
                <w:color w:val="auto"/>
                <w:highlight w:val="none"/>
              </w:rPr>
              <w:t>姓    名</w:t>
            </w:r>
          </w:p>
        </w:tc>
        <w:tc>
          <w:tcPr>
            <w:tcW w:w="5570" w:type="dxa"/>
            <w:noWrap w:val="0"/>
            <w:vAlign w:val="center"/>
          </w:tcPr>
          <w:p w14:paraId="17F9D47C">
            <w:pPr>
              <w:adjustRightInd w:val="0"/>
              <w:snapToGrid w:val="0"/>
              <w:spacing w:line="440" w:lineRule="exact"/>
              <w:rPr>
                <w:rFonts w:hint="eastAsia" w:ascii="仿宋" w:hAnsi="仿宋" w:eastAsia="仿宋" w:cs="宋体"/>
                <w:color w:val="auto"/>
                <w:highlight w:val="none"/>
              </w:rPr>
            </w:pPr>
          </w:p>
        </w:tc>
      </w:tr>
      <w:tr w14:paraId="15E4F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noWrap w:val="0"/>
            <w:vAlign w:val="center"/>
          </w:tcPr>
          <w:p w14:paraId="69E5EE54">
            <w:pPr>
              <w:adjustRightInd w:val="0"/>
              <w:snapToGrid w:val="0"/>
              <w:spacing w:line="440" w:lineRule="exact"/>
              <w:rPr>
                <w:rFonts w:hint="eastAsia" w:ascii="仿宋" w:hAnsi="仿宋" w:eastAsia="仿宋" w:cs="宋体"/>
                <w:color w:val="auto"/>
                <w:highlight w:val="none"/>
              </w:rPr>
            </w:pPr>
          </w:p>
        </w:tc>
        <w:tc>
          <w:tcPr>
            <w:tcW w:w="2356" w:type="dxa"/>
            <w:noWrap w:val="0"/>
            <w:vAlign w:val="center"/>
          </w:tcPr>
          <w:p w14:paraId="534508EF">
            <w:pPr>
              <w:adjustRightInd w:val="0"/>
              <w:snapToGrid w:val="0"/>
              <w:spacing w:line="440" w:lineRule="exact"/>
              <w:rPr>
                <w:rFonts w:hint="eastAsia" w:ascii="仿宋" w:hAnsi="仿宋" w:eastAsia="仿宋" w:cs="宋体"/>
                <w:color w:val="auto"/>
                <w:highlight w:val="none"/>
              </w:rPr>
            </w:pPr>
            <w:r>
              <w:rPr>
                <w:rFonts w:hint="eastAsia" w:ascii="仿宋" w:hAnsi="仿宋" w:eastAsia="仿宋" w:cs="宋体"/>
                <w:color w:val="auto"/>
                <w:highlight w:val="none"/>
              </w:rPr>
              <w:t>身份证号</w:t>
            </w:r>
          </w:p>
        </w:tc>
        <w:tc>
          <w:tcPr>
            <w:tcW w:w="5570" w:type="dxa"/>
            <w:noWrap w:val="0"/>
            <w:vAlign w:val="center"/>
          </w:tcPr>
          <w:p w14:paraId="0A0A8EBE">
            <w:pPr>
              <w:adjustRightInd w:val="0"/>
              <w:snapToGrid w:val="0"/>
              <w:spacing w:line="440" w:lineRule="exact"/>
              <w:rPr>
                <w:rFonts w:hint="eastAsia" w:ascii="仿宋" w:hAnsi="仿宋" w:eastAsia="仿宋" w:cs="宋体"/>
                <w:color w:val="auto"/>
                <w:highlight w:val="none"/>
              </w:rPr>
            </w:pPr>
          </w:p>
        </w:tc>
      </w:tr>
      <w:tr w14:paraId="010B6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noWrap w:val="0"/>
            <w:vAlign w:val="center"/>
          </w:tcPr>
          <w:p w14:paraId="1B447731">
            <w:pPr>
              <w:adjustRightInd w:val="0"/>
              <w:snapToGrid w:val="0"/>
              <w:spacing w:line="440" w:lineRule="exact"/>
              <w:rPr>
                <w:rFonts w:hint="default" w:ascii="仿宋" w:hAnsi="仿宋" w:eastAsia="仿宋" w:cs="宋体"/>
                <w:color w:val="auto"/>
                <w:highlight w:val="none"/>
                <w:lang w:val="en-US" w:eastAsia="zh-CN"/>
              </w:rPr>
            </w:pPr>
            <w:r>
              <w:rPr>
                <w:rFonts w:hint="eastAsia" w:ascii="仿宋" w:hAnsi="仿宋" w:eastAsia="仿宋" w:cs="宋体"/>
                <w:color w:val="auto"/>
                <w:highlight w:val="none"/>
                <w:lang w:val="en-US" w:eastAsia="zh-CN"/>
              </w:rPr>
              <w:t>单位负责人为同一人单位名称</w:t>
            </w:r>
          </w:p>
        </w:tc>
        <w:tc>
          <w:tcPr>
            <w:tcW w:w="7926" w:type="dxa"/>
            <w:gridSpan w:val="2"/>
            <w:noWrap w:val="0"/>
            <w:vAlign w:val="center"/>
          </w:tcPr>
          <w:p w14:paraId="24886198">
            <w:pPr>
              <w:adjustRightInd w:val="0"/>
              <w:snapToGrid w:val="0"/>
              <w:spacing w:line="440" w:lineRule="exact"/>
              <w:rPr>
                <w:rFonts w:hint="eastAsia" w:ascii="仿宋" w:hAnsi="仿宋" w:eastAsia="仿宋" w:cs="宋体"/>
                <w:color w:val="auto"/>
                <w:highlight w:val="none"/>
              </w:rPr>
            </w:pPr>
          </w:p>
        </w:tc>
      </w:tr>
      <w:tr w14:paraId="5CEA8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noWrap w:val="0"/>
            <w:vAlign w:val="center"/>
          </w:tcPr>
          <w:p w14:paraId="4B558BEA">
            <w:pPr>
              <w:adjustRightInd w:val="0"/>
              <w:snapToGrid w:val="0"/>
              <w:spacing w:line="440" w:lineRule="exact"/>
              <w:rPr>
                <w:rFonts w:hint="eastAsia" w:ascii="仿宋" w:hAnsi="仿宋" w:eastAsia="仿宋" w:cs="宋体"/>
                <w:color w:val="auto"/>
                <w:highlight w:val="none"/>
                <w:lang w:eastAsia="zh-CN"/>
              </w:rPr>
            </w:pPr>
            <w:r>
              <w:rPr>
                <w:rFonts w:hint="eastAsia" w:ascii="仿宋" w:hAnsi="仿宋" w:eastAsia="仿宋" w:cs="宋体"/>
                <w:color w:val="auto"/>
                <w:highlight w:val="none"/>
              </w:rPr>
              <w:t>控股</w:t>
            </w:r>
            <w:r>
              <w:rPr>
                <w:rFonts w:hint="eastAsia" w:ascii="仿宋" w:hAnsi="仿宋" w:eastAsia="仿宋" w:cs="宋体"/>
                <w:color w:val="auto"/>
                <w:highlight w:val="none"/>
                <w:lang w:val="en-US" w:eastAsia="zh-CN"/>
              </w:rPr>
              <w:t>关系</w:t>
            </w:r>
          </w:p>
        </w:tc>
        <w:tc>
          <w:tcPr>
            <w:tcW w:w="2356" w:type="dxa"/>
            <w:noWrap w:val="0"/>
            <w:vAlign w:val="center"/>
          </w:tcPr>
          <w:p w14:paraId="3077FFE3">
            <w:pPr>
              <w:adjustRightInd w:val="0"/>
              <w:snapToGrid w:val="0"/>
              <w:spacing w:line="440" w:lineRule="exact"/>
              <w:rPr>
                <w:rFonts w:hint="eastAsia" w:ascii="仿宋" w:hAnsi="仿宋" w:eastAsia="仿宋" w:cs="宋体"/>
                <w:color w:val="auto"/>
                <w:highlight w:val="none"/>
              </w:rPr>
            </w:pPr>
            <w:r>
              <w:rPr>
                <w:rFonts w:hint="eastAsia" w:ascii="仿宋" w:hAnsi="仿宋" w:eastAsia="仿宋" w:cs="宋体"/>
                <w:color w:val="auto"/>
                <w:highlight w:val="none"/>
              </w:rPr>
              <w:t>控股股东/投资人名称及出资比例</w:t>
            </w:r>
          </w:p>
        </w:tc>
        <w:tc>
          <w:tcPr>
            <w:tcW w:w="5570" w:type="dxa"/>
            <w:noWrap w:val="0"/>
            <w:vAlign w:val="center"/>
          </w:tcPr>
          <w:p w14:paraId="0E98B343">
            <w:pPr>
              <w:adjustRightInd w:val="0"/>
              <w:snapToGrid w:val="0"/>
              <w:spacing w:line="440" w:lineRule="exact"/>
              <w:rPr>
                <w:rFonts w:hint="eastAsia" w:ascii="仿宋" w:hAnsi="仿宋" w:eastAsia="仿宋" w:cs="宋体"/>
                <w:color w:val="auto"/>
                <w:highlight w:val="none"/>
              </w:rPr>
            </w:pPr>
          </w:p>
        </w:tc>
      </w:tr>
      <w:tr w14:paraId="14B2A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noWrap w:val="0"/>
            <w:vAlign w:val="center"/>
          </w:tcPr>
          <w:p w14:paraId="0E93A546">
            <w:pPr>
              <w:adjustRightInd w:val="0"/>
              <w:snapToGrid w:val="0"/>
              <w:spacing w:line="440" w:lineRule="exact"/>
              <w:rPr>
                <w:rFonts w:hint="eastAsia" w:ascii="仿宋" w:hAnsi="仿宋" w:eastAsia="仿宋" w:cs="宋体"/>
                <w:color w:val="auto"/>
                <w:highlight w:val="none"/>
              </w:rPr>
            </w:pPr>
          </w:p>
        </w:tc>
        <w:tc>
          <w:tcPr>
            <w:tcW w:w="2356" w:type="dxa"/>
            <w:noWrap w:val="0"/>
            <w:vAlign w:val="center"/>
          </w:tcPr>
          <w:p w14:paraId="36F73973">
            <w:pPr>
              <w:adjustRightInd w:val="0"/>
              <w:snapToGrid w:val="0"/>
              <w:spacing w:line="440" w:lineRule="exact"/>
              <w:rPr>
                <w:rFonts w:hint="eastAsia" w:ascii="仿宋" w:hAnsi="仿宋" w:eastAsia="仿宋" w:cs="宋体"/>
                <w:color w:val="auto"/>
                <w:highlight w:val="none"/>
              </w:rPr>
            </w:pPr>
            <w:r>
              <w:rPr>
                <w:rFonts w:hint="eastAsia" w:ascii="仿宋" w:hAnsi="仿宋" w:eastAsia="仿宋" w:cs="宋体"/>
                <w:color w:val="auto"/>
                <w:highlight w:val="none"/>
                <w:lang w:val="en-US" w:eastAsia="zh-CN"/>
              </w:rPr>
              <w:t>被</w:t>
            </w:r>
            <w:r>
              <w:rPr>
                <w:rFonts w:hint="eastAsia" w:ascii="仿宋" w:hAnsi="仿宋" w:eastAsia="仿宋" w:cs="宋体"/>
                <w:color w:val="auto"/>
                <w:highlight w:val="none"/>
              </w:rPr>
              <w:t>控股/</w:t>
            </w:r>
            <w:r>
              <w:rPr>
                <w:rFonts w:hint="eastAsia" w:ascii="仿宋" w:hAnsi="仿宋" w:eastAsia="仿宋" w:cs="宋体"/>
                <w:color w:val="auto"/>
                <w:highlight w:val="none"/>
                <w:lang w:val="en-US" w:eastAsia="zh-CN"/>
              </w:rPr>
              <w:t>被</w:t>
            </w:r>
            <w:r>
              <w:rPr>
                <w:rFonts w:hint="eastAsia" w:ascii="仿宋" w:hAnsi="仿宋" w:eastAsia="仿宋" w:cs="宋体"/>
                <w:color w:val="auto"/>
                <w:highlight w:val="none"/>
              </w:rPr>
              <w:t>投资</w:t>
            </w:r>
            <w:r>
              <w:rPr>
                <w:rFonts w:hint="eastAsia" w:ascii="仿宋" w:hAnsi="仿宋" w:eastAsia="仿宋" w:cs="宋体"/>
                <w:color w:val="auto"/>
                <w:highlight w:val="none"/>
                <w:lang w:val="en-US" w:eastAsia="zh-CN"/>
              </w:rPr>
              <w:t>单位</w:t>
            </w:r>
            <w:r>
              <w:rPr>
                <w:rFonts w:hint="eastAsia" w:ascii="仿宋" w:hAnsi="仿宋" w:eastAsia="仿宋" w:cs="宋体"/>
                <w:color w:val="auto"/>
                <w:highlight w:val="none"/>
              </w:rPr>
              <w:t>名称及出资比例</w:t>
            </w:r>
          </w:p>
        </w:tc>
        <w:tc>
          <w:tcPr>
            <w:tcW w:w="5570" w:type="dxa"/>
            <w:noWrap w:val="0"/>
            <w:vAlign w:val="center"/>
          </w:tcPr>
          <w:p w14:paraId="276EB891">
            <w:pPr>
              <w:adjustRightInd w:val="0"/>
              <w:snapToGrid w:val="0"/>
              <w:spacing w:line="440" w:lineRule="exact"/>
              <w:rPr>
                <w:rFonts w:hint="eastAsia" w:ascii="仿宋" w:hAnsi="仿宋" w:eastAsia="仿宋" w:cs="宋体"/>
                <w:color w:val="auto"/>
                <w:highlight w:val="none"/>
              </w:rPr>
            </w:pPr>
          </w:p>
        </w:tc>
      </w:tr>
      <w:tr w14:paraId="0B75A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noWrap w:val="0"/>
            <w:vAlign w:val="center"/>
          </w:tcPr>
          <w:p w14:paraId="3C211876">
            <w:pPr>
              <w:adjustRightInd w:val="0"/>
              <w:snapToGrid w:val="0"/>
              <w:spacing w:line="440" w:lineRule="exact"/>
              <w:rPr>
                <w:rFonts w:hint="eastAsia" w:ascii="仿宋" w:hAnsi="仿宋" w:eastAsia="仿宋" w:cs="宋体"/>
                <w:color w:val="auto"/>
                <w:highlight w:val="none"/>
              </w:rPr>
            </w:pPr>
            <w:r>
              <w:rPr>
                <w:rFonts w:hint="eastAsia" w:ascii="仿宋" w:hAnsi="仿宋" w:eastAsia="仿宋" w:cs="宋体"/>
                <w:color w:val="auto"/>
                <w:highlight w:val="none"/>
              </w:rPr>
              <w:t>管理关系</w:t>
            </w:r>
          </w:p>
        </w:tc>
        <w:tc>
          <w:tcPr>
            <w:tcW w:w="2356" w:type="dxa"/>
            <w:noWrap w:val="0"/>
            <w:vAlign w:val="center"/>
          </w:tcPr>
          <w:p w14:paraId="43118BC9">
            <w:pPr>
              <w:adjustRightInd w:val="0"/>
              <w:snapToGrid w:val="0"/>
              <w:spacing w:line="440" w:lineRule="exact"/>
              <w:rPr>
                <w:rFonts w:hint="eastAsia" w:ascii="仿宋" w:hAnsi="仿宋" w:eastAsia="仿宋" w:cs="宋体"/>
                <w:color w:val="auto"/>
                <w:highlight w:val="none"/>
              </w:rPr>
            </w:pPr>
            <w:r>
              <w:rPr>
                <w:rFonts w:hint="eastAsia" w:ascii="仿宋" w:hAnsi="仿宋" w:eastAsia="仿宋" w:cs="宋体"/>
                <w:color w:val="auto"/>
                <w:highlight w:val="none"/>
              </w:rPr>
              <w:t>管理关系单位名称</w:t>
            </w:r>
          </w:p>
        </w:tc>
        <w:tc>
          <w:tcPr>
            <w:tcW w:w="5570" w:type="dxa"/>
            <w:noWrap w:val="0"/>
            <w:vAlign w:val="center"/>
          </w:tcPr>
          <w:p w14:paraId="03B4AFE9">
            <w:pPr>
              <w:adjustRightInd w:val="0"/>
              <w:snapToGrid w:val="0"/>
              <w:spacing w:line="440" w:lineRule="exact"/>
              <w:rPr>
                <w:rFonts w:hint="eastAsia" w:ascii="仿宋" w:hAnsi="仿宋" w:eastAsia="仿宋" w:cs="宋体"/>
                <w:color w:val="auto"/>
                <w:highlight w:val="none"/>
              </w:rPr>
            </w:pPr>
          </w:p>
        </w:tc>
      </w:tr>
      <w:tr w14:paraId="3F64F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noWrap w:val="0"/>
            <w:vAlign w:val="center"/>
          </w:tcPr>
          <w:p w14:paraId="6A631D36">
            <w:pPr>
              <w:adjustRightInd w:val="0"/>
              <w:snapToGrid w:val="0"/>
              <w:spacing w:line="440" w:lineRule="exact"/>
              <w:rPr>
                <w:rFonts w:hint="eastAsia" w:ascii="仿宋" w:hAnsi="仿宋" w:eastAsia="仿宋" w:cs="宋体"/>
                <w:color w:val="auto"/>
                <w:highlight w:val="none"/>
              </w:rPr>
            </w:pPr>
          </w:p>
        </w:tc>
        <w:tc>
          <w:tcPr>
            <w:tcW w:w="2356" w:type="dxa"/>
            <w:noWrap w:val="0"/>
            <w:vAlign w:val="center"/>
          </w:tcPr>
          <w:p w14:paraId="76970CCB">
            <w:pPr>
              <w:adjustRightInd w:val="0"/>
              <w:snapToGrid w:val="0"/>
              <w:spacing w:line="440" w:lineRule="exact"/>
              <w:rPr>
                <w:rFonts w:hint="eastAsia" w:ascii="仿宋" w:hAnsi="仿宋" w:eastAsia="仿宋" w:cs="宋体"/>
                <w:color w:val="auto"/>
                <w:highlight w:val="none"/>
              </w:rPr>
            </w:pPr>
            <w:r>
              <w:rPr>
                <w:rFonts w:hint="eastAsia" w:ascii="仿宋" w:hAnsi="仿宋" w:eastAsia="仿宋" w:cs="宋体"/>
                <w:color w:val="auto"/>
                <w:highlight w:val="none"/>
              </w:rPr>
              <w:t>被管理关系单位名称</w:t>
            </w:r>
          </w:p>
        </w:tc>
        <w:tc>
          <w:tcPr>
            <w:tcW w:w="5570" w:type="dxa"/>
            <w:noWrap w:val="0"/>
            <w:vAlign w:val="center"/>
          </w:tcPr>
          <w:p w14:paraId="5A85AF33">
            <w:pPr>
              <w:adjustRightInd w:val="0"/>
              <w:snapToGrid w:val="0"/>
              <w:spacing w:line="440" w:lineRule="exact"/>
              <w:rPr>
                <w:rFonts w:hint="eastAsia" w:ascii="仿宋" w:hAnsi="仿宋" w:eastAsia="仿宋" w:cs="宋体"/>
                <w:color w:val="auto"/>
                <w:highlight w:val="none"/>
              </w:rPr>
            </w:pPr>
          </w:p>
        </w:tc>
      </w:tr>
      <w:tr w14:paraId="5BBC3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noWrap w:val="0"/>
            <w:vAlign w:val="center"/>
          </w:tcPr>
          <w:p w14:paraId="33BD031F">
            <w:pPr>
              <w:adjustRightInd w:val="0"/>
              <w:snapToGrid w:val="0"/>
              <w:spacing w:line="440" w:lineRule="exact"/>
              <w:rPr>
                <w:rFonts w:hint="eastAsia" w:ascii="仿宋" w:hAnsi="仿宋" w:eastAsia="仿宋" w:cs="宋体"/>
                <w:color w:val="auto"/>
                <w:highlight w:val="none"/>
              </w:rPr>
            </w:pPr>
            <w:r>
              <w:rPr>
                <w:rFonts w:hint="eastAsia" w:ascii="仿宋" w:hAnsi="仿宋" w:eastAsia="仿宋" w:cs="宋体"/>
                <w:color w:val="auto"/>
                <w:highlight w:val="none"/>
              </w:rPr>
              <w:t>备注：</w:t>
            </w:r>
          </w:p>
        </w:tc>
      </w:tr>
    </w:tbl>
    <w:p w14:paraId="4FBA3CCE">
      <w:pPr>
        <w:adjustRightInd w:val="0"/>
        <w:snapToGrid w:val="0"/>
        <w:spacing w:line="360" w:lineRule="auto"/>
        <w:ind w:left="0" w:leftChars="0" w:firstLine="0" w:firstLineChars="0"/>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注：</w:t>
      </w:r>
    </w:p>
    <w:p w14:paraId="3E6B5A9A">
      <w:pPr>
        <w:adjustRightInd w:val="0"/>
        <w:snapToGrid w:val="0"/>
        <w:spacing w:line="360" w:lineRule="auto"/>
        <w:ind w:left="0" w:leftChars="0" w:firstLine="0" w:firstLineChars="0"/>
        <w:rPr>
          <w:rFonts w:hint="eastAsia" w:ascii="仿宋" w:hAnsi="仿宋" w:eastAsia="仿宋" w:cs="宋体"/>
          <w:color w:val="auto"/>
          <w:sz w:val="24"/>
          <w:highlight w:val="none"/>
        </w:rPr>
      </w:pPr>
      <w:r>
        <w:rPr>
          <w:rFonts w:hint="eastAsia" w:ascii="仿宋" w:hAnsi="仿宋" w:eastAsia="仿宋" w:cs="宋体"/>
          <w:color w:val="auto"/>
          <w:sz w:val="24"/>
          <w:szCs w:val="24"/>
          <w:highlight w:val="none"/>
          <w:lang w:val="en-US" w:eastAsia="zh-CN"/>
        </w:rPr>
        <w:t>1.</w:t>
      </w:r>
      <w:r>
        <w:rPr>
          <w:rFonts w:hint="eastAsia" w:ascii="仿宋" w:hAnsi="仿宋" w:eastAsia="仿宋" w:cs="宋体"/>
          <w:color w:val="auto"/>
          <w:sz w:val="24"/>
          <w:highlight w:val="none"/>
        </w:rPr>
        <w:t>控股股东/投资人是指出资比例在50%以上，或者出资比例不足50%，但享有公司股东会/董事会控制权的投资方（含单位或者个人）</w:t>
      </w:r>
    </w:p>
    <w:p w14:paraId="0D1CD08E">
      <w:pPr>
        <w:numPr>
          <w:ilvl w:val="0"/>
          <w:numId w:val="0"/>
        </w:numPr>
        <w:adjustRightInd w:val="0"/>
        <w:snapToGrid w:val="0"/>
        <w:spacing w:line="360" w:lineRule="auto"/>
        <w:ind w:leftChars="5"/>
        <w:rPr>
          <w:rFonts w:hint="eastAsia" w:ascii="仿宋" w:hAnsi="仿宋" w:eastAsia="仿宋" w:cs="宋体"/>
          <w:color w:val="auto"/>
          <w:sz w:val="24"/>
          <w:highlight w:val="none"/>
        </w:rPr>
      </w:pPr>
      <w:r>
        <w:rPr>
          <w:rFonts w:hint="eastAsia" w:ascii="仿宋" w:hAnsi="仿宋" w:eastAsia="仿宋" w:cs="宋体"/>
          <w:color w:val="auto"/>
          <w:sz w:val="24"/>
          <w:highlight w:val="none"/>
          <w:lang w:val="en-US" w:eastAsia="zh-CN"/>
        </w:rPr>
        <w:t>2.</w:t>
      </w:r>
      <w:r>
        <w:rPr>
          <w:rFonts w:hint="eastAsia" w:ascii="仿宋" w:hAnsi="仿宋" w:eastAsia="仿宋" w:cs="宋体"/>
          <w:color w:val="auto"/>
          <w:sz w:val="24"/>
          <w:highlight w:val="none"/>
        </w:rPr>
        <w:t xml:space="preserve">管理关系单位是指与不具有出资持股关系的其他单位之间存在管理与被管理关系的单位； </w:t>
      </w:r>
    </w:p>
    <w:p w14:paraId="6E0A524A">
      <w:pPr>
        <w:numPr>
          <w:ilvl w:val="0"/>
          <w:numId w:val="0"/>
        </w:numPr>
        <w:adjustRightInd w:val="0"/>
        <w:snapToGrid w:val="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3.如未有相关情况，请在相应栏填写“无”。</w:t>
      </w:r>
    </w:p>
    <w:p w14:paraId="724BD1CD">
      <w:pPr>
        <w:pStyle w:val="162"/>
        <w:numPr>
          <w:ilvl w:val="0"/>
          <w:numId w:val="0"/>
        </w:numPr>
        <w:adjustRightInd w:val="0"/>
        <w:snapToGrid w:val="0"/>
        <w:spacing w:line="360" w:lineRule="auto"/>
        <w:ind w:leftChars="0"/>
        <w:rPr>
          <w:rFonts w:hint="eastAsia" w:ascii="仿宋" w:hAnsi="仿宋" w:eastAsia="仿宋" w:cs="宋体"/>
          <w:color w:val="auto"/>
          <w:sz w:val="24"/>
          <w:highlight w:val="none"/>
        </w:rPr>
      </w:pPr>
      <w:r>
        <w:rPr>
          <w:rFonts w:hint="eastAsia" w:ascii="仿宋" w:hAnsi="仿宋" w:eastAsia="仿宋" w:cs="宋体"/>
          <w:color w:val="auto"/>
          <w:sz w:val="24"/>
          <w:highlight w:val="none"/>
          <w:lang w:val="en-US" w:eastAsia="zh-CN"/>
        </w:rPr>
        <w:t>2.</w:t>
      </w:r>
      <w:r>
        <w:rPr>
          <w:rFonts w:hint="eastAsia" w:ascii="仿宋" w:hAnsi="仿宋" w:eastAsia="仿宋" w:cs="宋体"/>
          <w:color w:val="auto"/>
          <w:sz w:val="24"/>
          <w:highlight w:val="none"/>
        </w:rPr>
        <w:t xml:space="preserve">管理关系单位是指与不具有出资持股关系的其他单位之间存在管理与被管理关系的单位； </w:t>
      </w:r>
    </w:p>
    <w:p w14:paraId="0B09B909">
      <w:pPr>
        <w:pStyle w:val="162"/>
        <w:numPr>
          <w:ilvl w:val="0"/>
          <w:numId w:val="0"/>
        </w:numPr>
        <w:adjustRightInd w:val="0"/>
        <w:snapToGrid w:val="0"/>
        <w:spacing w:line="360" w:lineRule="auto"/>
        <w:ind w:leftChars="0"/>
        <w:rPr>
          <w:rFonts w:hint="eastAsia" w:ascii="仿宋" w:hAnsi="仿宋" w:eastAsia="仿宋" w:cs="宋体"/>
          <w:color w:val="auto"/>
          <w:sz w:val="24"/>
          <w:highlight w:val="none"/>
        </w:rPr>
      </w:pPr>
      <w:r>
        <w:rPr>
          <w:rFonts w:hint="eastAsia" w:ascii="仿宋" w:hAnsi="仿宋" w:eastAsia="仿宋" w:cs="宋体"/>
          <w:color w:val="auto"/>
          <w:sz w:val="24"/>
          <w:highlight w:val="none"/>
          <w:lang w:val="en-US" w:eastAsia="zh-CN"/>
        </w:rPr>
        <w:t>3.</w:t>
      </w:r>
      <w:r>
        <w:rPr>
          <w:rFonts w:hint="eastAsia" w:ascii="仿宋" w:hAnsi="仿宋" w:eastAsia="仿宋" w:cs="宋体"/>
          <w:color w:val="auto"/>
          <w:sz w:val="24"/>
          <w:highlight w:val="none"/>
        </w:rPr>
        <w:t>如未有相关情况，请在相应栏填写“无”。</w:t>
      </w:r>
    </w:p>
    <w:p w14:paraId="763E1D33">
      <w:pPr>
        <w:spacing w:line="360" w:lineRule="auto"/>
        <w:ind w:left="480" w:hanging="480" w:hangingChars="200"/>
        <w:rPr>
          <w:rFonts w:hint="eastAsia" w:ascii="仿宋" w:hAnsi="仿宋" w:eastAsia="仿宋" w:cs="宋体"/>
          <w:color w:val="auto"/>
          <w:sz w:val="24"/>
          <w:szCs w:val="24"/>
          <w:highlight w:val="none"/>
        </w:rPr>
      </w:pPr>
    </w:p>
    <w:p w14:paraId="54FD10BF">
      <w:pPr>
        <w:spacing w:line="360" w:lineRule="auto"/>
        <w:ind w:firstLine="4080" w:firstLineChars="1700"/>
        <w:jc w:val="righ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供应商</w:t>
      </w:r>
      <w:r>
        <w:rPr>
          <w:rFonts w:hint="eastAsia" w:ascii="仿宋" w:hAnsi="仿宋" w:eastAsia="仿宋" w:cs="宋体"/>
          <w:color w:val="auto"/>
          <w:sz w:val="24"/>
          <w:szCs w:val="24"/>
          <w:highlight w:val="none"/>
        </w:rPr>
        <w:t>名称：</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（盖章）</w:t>
      </w:r>
    </w:p>
    <w:p w14:paraId="792D804C">
      <w:pPr>
        <w:spacing w:line="360" w:lineRule="auto"/>
        <w:jc w:val="right"/>
        <w:rPr>
          <w:rFonts w:hint="eastAsia" w:ascii="仿宋" w:hAnsi="仿宋" w:eastAsia="仿宋" w:cs="Cambria Math"/>
          <w:b/>
          <w:bCs/>
          <w:color w:val="auto"/>
          <w:sz w:val="24"/>
          <w:highlight w:val="none"/>
        </w:rPr>
      </w:pPr>
      <w:r>
        <w:rPr>
          <w:rFonts w:hint="eastAsia" w:ascii="仿宋" w:hAnsi="仿宋" w:eastAsia="仿宋" w:cs="宋体"/>
          <w:color w:val="auto"/>
          <w:sz w:val="24"/>
          <w:szCs w:val="24"/>
          <w:highlight w:val="none"/>
        </w:rPr>
        <w:t>日期：</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日</w:t>
      </w:r>
    </w:p>
    <w:p w14:paraId="3496FB30">
      <w:pPr>
        <w:pStyle w:val="5"/>
        <w:keepNext/>
        <w:keepLines/>
        <w:pageBreakBefore w:val="0"/>
        <w:widowControl w:val="0"/>
        <w:numPr>
          <w:ilvl w:val="0"/>
          <w:numId w:val="0"/>
        </w:numPr>
        <w:kinsoku/>
        <w:wordWrap/>
        <w:overflowPunct/>
        <w:topLinePunct w:val="0"/>
        <w:autoSpaceDE/>
        <w:autoSpaceDN/>
        <w:bidi w:val="0"/>
        <w:adjustRightInd/>
        <w:snapToGrid/>
        <w:spacing w:before="0" w:after="0"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非联合体磋商响应声明</w:t>
      </w:r>
    </w:p>
    <w:bookmarkEnd w:id="184"/>
    <w:bookmarkEnd w:id="197"/>
    <w:p w14:paraId="419855C2">
      <w:pPr>
        <w:pStyle w:val="17"/>
        <w:spacing w:before="240"/>
        <w:rPr>
          <w:rFonts w:hint="eastAsia" w:ascii="仿宋" w:hAnsi="仿宋" w:eastAsia="仿宋" w:cs="Cambria Math"/>
          <w:b/>
          <w:bCs/>
          <w:color w:val="auto"/>
          <w:sz w:val="24"/>
          <w:highlight w:val="none"/>
        </w:rPr>
      </w:pPr>
      <w:bookmarkStart w:id="198" w:name="_Toc71192048"/>
      <w:bookmarkStart w:id="199" w:name="_Toc20195"/>
      <w:bookmarkStart w:id="200" w:name="_Toc432420841"/>
      <w:bookmarkStart w:id="201" w:name="_Toc517281859"/>
      <w:r>
        <w:rPr>
          <w:rFonts w:hint="eastAsia" w:ascii="仿宋" w:hAnsi="仿宋" w:eastAsia="仿宋" w:cs="Cambria Math"/>
          <w:b/>
          <w:bCs/>
          <w:color w:val="auto"/>
          <w:sz w:val="24"/>
          <w:highlight w:val="none"/>
        </w:rPr>
        <w:t>非联合体磋商响应声明</w:t>
      </w:r>
    </w:p>
    <w:p w14:paraId="6042F8C8">
      <w:pPr>
        <w:adjustRightInd w:val="0"/>
        <w:snapToGrid w:val="0"/>
        <w:spacing w:before="240" w:line="360" w:lineRule="auto"/>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致：</w:t>
      </w:r>
      <w:r>
        <w:rPr>
          <w:rFonts w:hint="eastAsia" w:ascii="仿宋" w:hAnsi="仿宋" w:eastAsia="仿宋" w:cs="Cambria Math"/>
          <w:color w:val="auto"/>
          <w:sz w:val="24"/>
          <w:highlight w:val="none"/>
          <w:lang w:eastAsia="zh-CN"/>
        </w:rPr>
        <w:t>（</w:t>
      </w:r>
      <w:r>
        <w:rPr>
          <w:rFonts w:hint="eastAsia" w:ascii="仿宋" w:hAnsi="仿宋" w:eastAsia="仿宋" w:cs="Cambria Math"/>
          <w:color w:val="auto"/>
          <w:sz w:val="24"/>
          <w:highlight w:val="none"/>
          <w:lang w:val="en-US" w:eastAsia="zh-CN"/>
        </w:rPr>
        <w:t>采购人</w:t>
      </w:r>
      <w:r>
        <w:rPr>
          <w:rFonts w:hint="eastAsia" w:ascii="仿宋" w:hAnsi="仿宋" w:eastAsia="仿宋" w:cs="Cambria Math"/>
          <w:color w:val="auto"/>
          <w:sz w:val="24"/>
          <w:highlight w:val="none"/>
          <w:lang w:eastAsia="zh-CN"/>
        </w:rPr>
        <w:t>）</w:t>
      </w:r>
      <w:r>
        <w:rPr>
          <w:rFonts w:hint="eastAsia" w:ascii="仿宋" w:hAnsi="仿宋" w:eastAsia="仿宋" w:cs="Cambria Math"/>
          <w:color w:val="auto"/>
          <w:sz w:val="24"/>
          <w:highlight w:val="none"/>
        </w:rPr>
        <w:t>：</w:t>
      </w:r>
    </w:p>
    <w:p w14:paraId="423045E8">
      <w:pPr>
        <w:adjustRightInd w:val="0"/>
        <w:snapToGrid w:val="0"/>
        <w:spacing w:before="240" w:line="360" w:lineRule="auto"/>
        <w:ind w:firstLine="480" w:firstLineChars="200"/>
        <w:rPr>
          <w:rFonts w:ascii="仿宋" w:hAnsi="仿宋" w:eastAsia="仿宋" w:cs="Cambria Math"/>
          <w:color w:val="auto"/>
          <w:sz w:val="24"/>
          <w:highlight w:val="none"/>
        </w:rPr>
      </w:pPr>
      <w:r>
        <w:rPr>
          <w:rFonts w:hint="eastAsia" w:ascii="仿宋" w:hAnsi="仿宋" w:eastAsia="仿宋" w:cs="Cambria Math"/>
          <w:color w:val="auto"/>
          <w:sz w:val="24"/>
          <w:highlight w:val="none"/>
        </w:rPr>
        <w:t>我方</w:t>
      </w:r>
      <w:r>
        <w:rPr>
          <w:rFonts w:hint="eastAsia" w:ascii="仿宋" w:hAnsi="仿宋" w:eastAsia="仿宋" w:cs="Cambria Math"/>
          <w:color w:val="auto"/>
          <w:sz w:val="24"/>
          <w:highlight w:val="none"/>
          <w:u w:val="single"/>
        </w:rPr>
        <w:t xml:space="preserve">     </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u w:val="single"/>
        </w:rPr>
        <w:t>（供应商名称）</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独立参与</w:t>
      </w:r>
      <w:r>
        <w:rPr>
          <w:rFonts w:hint="eastAsia" w:ascii="仿宋" w:hAnsi="仿宋" w:eastAsia="仿宋" w:cs="Cambria Math"/>
          <w:color w:val="auto"/>
          <w:sz w:val="24"/>
          <w:highlight w:val="none"/>
          <w:u w:val="single"/>
        </w:rPr>
        <w:t xml:space="preserve">    （项目名称）</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磋商响应，非联合体参与磋商响应。</w:t>
      </w:r>
      <w:r>
        <w:rPr>
          <w:rFonts w:ascii="仿宋" w:hAnsi="仿宋" w:eastAsia="仿宋" w:cs="Cambria Math"/>
          <w:color w:val="auto"/>
          <w:sz w:val="24"/>
          <w:highlight w:val="none"/>
        </w:rPr>
        <w:t xml:space="preserve"> </w:t>
      </w:r>
    </w:p>
    <w:p w14:paraId="2498CBF7">
      <w:pPr>
        <w:pStyle w:val="17"/>
        <w:ind w:firstLine="480" w:firstLineChars="200"/>
        <w:jc w:val="both"/>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特此声明。</w:t>
      </w:r>
    </w:p>
    <w:p w14:paraId="157C649B">
      <w:pPr>
        <w:pStyle w:val="127"/>
        <w:ind w:firstLine="640"/>
        <w:rPr>
          <w:rFonts w:ascii="仿宋" w:hAnsi="仿宋" w:eastAsia="仿宋"/>
          <w:color w:val="auto"/>
          <w:highlight w:val="none"/>
        </w:rPr>
      </w:pPr>
    </w:p>
    <w:p w14:paraId="52A33956">
      <w:pPr>
        <w:pStyle w:val="127"/>
        <w:ind w:firstLine="640"/>
        <w:rPr>
          <w:rFonts w:ascii="仿宋" w:hAnsi="仿宋" w:eastAsia="仿宋"/>
          <w:color w:val="auto"/>
          <w:highlight w:val="none"/>
        </w:rPr>
      </w:pPr>
    </w:p>
    <w:p w14:paraId="5ACDB2C8">
      <w:pPr>
        <w:pStyle w:val="127"/>
        <w:ind w:firstLine="640"/>
        <w:rPr>
          <w:rFonts w:ascii="仿宋" w:hAnsi="仿宋" w:eastAsia="仿宋"/>
          <w:color w:val="auto"/>
          <w:highlight w:val="none"/>
        </w:rPr>
      </w:pPr>
    </w:p>
    <w:p w14:paraId="23CAE745">
      <w:pPr>
        <w:pStyle w:val="127"/>
        <w:ind w:firstLine="640"/>
        <w:rPr>
          <w:rFonts w:ascii="仿宋" w:hAnsi="仿宋" w:eastAsia="仿宋"/>
          <w:color w:val="auto"/>
          <w:highlight w:val="none"/>
        </w:rPr>
      </w:pPr>
    </w:p>
    <w:p w14:paraId="4A4BAD69">
      <w:pPr>
        <w:pStyle w:val="127"/>
        <w:ind w:firstLine="640"/>
        <w:rPr>
          <w:rFonts w:ascii="仿宋" w:hAnsi="仿宋" w:eastAsia="仿宋"/>
          <w:color w:val="auto"/>
          <w:highlight w:val="none"/>
        </w:rPr>
      </w:pPr>
    </w:p>
    <w:p w14:paraId="5DD34F3B">
      <w:pPr>
        <w:pStyle w:val="127"/>
        <w:ind w:firstLine="640"/>
        <w:rPr>
          <w:rFonts w:ascii="仿宋" w:hAnsi="仿宋" w:eastAsia="仿宋"/>
          <w:color w:val="auto"/>
          <w:highlight w:val="none"/>
        </w:rPr>
      </w:pPr>
    </w:p>
    <w:p w14:paraId="593547E3">
      <w:pPr>
        <w:pStyle w:val="127"/>
        <w:ind w:firstLine="640"/>
        <w:rPr>
          <w:rFonts w:hint="eastAsia" w:ascii="仿宋" w:hAnsi="仿宋" w:eastAsia="仿宋"/>
          <w:color w:val="auto"/>
          <w:highlight w:val="none"/>
        </w:rPr>
      </w:pPr>
    </w:p>
    <w:p w14:paraId="14E65557">
      <w:pPr>
        <w:spacing w:line="360" w:lineRule="auto"/>
        <w:ind w:firstLine="4080" w:firstLineChars="1700"/>
        <w:jc w:val="right"/>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供应商名称：</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（盖章）</w:t>
      </w:r>
    </w:p>
    <w:p w14:paraId="114DB580">
      <w:pPr>
        <w:spacing w:line="360" w:lineRule="auto"/>
        <w:jc w:val="right"/>
        <w:rPr>
          <w:rFonts w:hint="eastAsia" w:ascii="仿宋" w:hAnsi="仿宋" w:eastAsia="仿宋" w:cs="Cambria Math"/>
          <w:b/>
          <w:bCs/>
          <w:color w:val="auto"/>
          <w:sz w:val="24"/>
          <w:highlight w:val="none"/>
        </w:rPr>
      </w:pPr>
      <w:r>
        <w:rPr>
          <w:rFonts w:hint="eastAsia" w:ascii="仿宋" w:hAnsi="仿宋" w:eastAsia="仿宋" w:cs="Cambria Math"/>
          <w:color w:val="auto"/>
          <w:sz w:val="24"/>
          <w:highlight w:val="none"/>
        </w:rPr>
        <w:t>日期：</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年</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月</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日</w:t>
      </w:r>
    </w:p>
    <w:p w14:paraId="0DAC111A">
      <w:pPr>
        <w:rPr>
          <w:rFonts w:ascii="仿宋" w:hAnsi="仿宋" w:eastAsia="仿宋" w:cs="仿宋"/>
          <w:color w:val="auto"/>
          <w:sz w:val="24"/>
          <w:szCs w:val="24"/>
          <w:highlight w:val="none"/>
        </w:rPr>
      </w:pPr>
      <w:r>
        <w:rPr>
          <w:rFonts w:ascii="仿宋" w:hAnsi="仿宋" w:eastAsia="仿宋" w:cs="仿宋"/>
          <w:color w:val="auto"/>
          <w:sz w:val="24"/>
          <w:szCs w:val="24"/>
          <w:highlight w:val="none"/>
        </w:rPr>
        <w:br w:type="page"/>
      </w:r>
    </w:p>
    <w:p w14:paraId="7B4FF94E">
      <w:pPr>
        <w:pStyle w:val="5"/>
        <w:keepNext w:val="0"/>
        <w:keepLines w:val="0"/>
        <w:pageBreakBefore w:val="0"/>
        <w:widowControl w:val="0"/>
        <w:numPr>
          <w:ilvl w:val="0"/>
          <w:numId w:val="6"/>
        </w:numPr>
        <w:kinsoku/>
        <w:wordWrap/>
        <w:overflowPunct/>
        <w:topLinePunct w:val="0"/>
        <w:autoSpaceDE/>
        <w:autoSpaceDN/>
        <w:bidi w:val="0"/>
        <w:spacing w:before="0" w:after="0" w:line="360" w:lineRule="auto"/>
        <w:textAlignment w:val="auto"/>
        <w:outlineLvl w:val="3"/>
        <w:rPr>
          <w:rFonts w:hint="eastAsia" w:ascii="仿宋" w:hAnsi="仿宋" w:eastAsia="仿宋" w:cs="仿宋"/>
          <w:b/>
          <w:bCs/>
          <w:color w:val="auto"/>
          <w:kern w:val="2"/>
          <w:sz w:val="24"/>
          <w:szCs w:val="24"/>
          <w:highlight w:val="none"/>
          <w:lang w:val="en-US" w:eastAsia="zh-CN" w:bidi="ar-SA"/>
        </w:rPr>
      </w:pPr>
      <w:bookmarkStart w:id="202" w:name="_Toc112068411"/>
      <w:bookmarkStart w:id="203" w:name="_Toc144139212"/>
      <w:bookmarkStart w:id="204" w:name="_Toc65683009"/>
      <w:bookmarkStart w:id="205" w:name="_Toc27170"/>
      <w:bookmarkStart w:id="206" w:name="_Toc18208"/>
      <w:r>
        <w:rPr>
          <w:rFonts w:hint="eastAsia" w:ascii="仿宋" w:hAnsi="仿宋" w:eastAsia="仿宋" w:cs="仿宋"/>
          <w:b/>
          <w:bCs/>
          <w:color w:val="auto"/>
          <w:kern w:val="2"/>
          <w:sz w:val="24"/>
          <w:szCs w:val="24"/>
          <w:highlight w:val="none"/>
          <w:lang w:val="en-US" w:eastAsia="zh-CN" w:bidi="ar-SA"/>
        </w:rPr>
        <w:t>资质要求：</w:t>
      </w:r>
    </w:p>
    <w:p w14:paraId="23021983">
      <w:pPr>
        <w:keepNext w:val="0"/>
        <w:keepLines w:val="0"/>
        <w:pageBreakBefore w:val="0"/>
        <w:widowControl w:val="0"/>
        <w:kinsoku/>
        <w:wordWrap/>
        <w:overflowPunct/>
        <w:topLinePunct w:val="0"/>
        <w:autoSpaceDE/>
        <w:autoSpaceDN/>
        <w:bidi w:val="0"/>
        <w:adjustRightInd w:val="0"/>
        <w:snapToGrid w:val="0"/>
        <w:spacing w:before="240" w:line="360" w:lineRule="auto"/>
        <w:ind w:firstLine="480" w:firstLineChars="200"/>
        <w:textAlignment w:val="auto"/>
        <w:rPr>
          <w:rFonts w:hint="eastAsia" w:ascii="仿宋" w:hAnsi="仿宋" w:eastAsia="仿宋" w:cs="Cambria Math"/>
          <w:color w:val="auto"/>
          <w:sz w:val="24"/>
          <w:highlight w:val="none"/>
          <w:lang w:val="en-US" w:eastAsia="zh-CN"/>
        </w:rPr>
      </w:pPr>
      <w:r>
        <w:rPr>
          <w:rFonts w:hint="eastAsia" w:ascii="仿宋" w:hAnsi="仿宋" w:eastAsia="仿宋" w:cs="Cambria Math"/>
          <w:color w:val="auto"/>
          <w:sz w:val="24"/>
          <w:highlight w:val="none"/>
        </w:rPr>
        <w:t>供应商须具备建设行政主管部门核发的有效的建筑装修装饰工程专业承包二级及以上资质</w:t>
      </w:r>
      <w:r>
        <w:rPr>
          <w:rFonts w:hint="eastAsia" w:ascii="仿宋" w:hAnsi="仿宋" w:eastAsia="仿宋" w:cs="Cambria Math"/>
          <w:color w:val="auto"/>
          <w:sz w:val="24"/>
          <w:highlight w:val="none"/>
          <w:lang w:eastAsia="zh-CN"/>
        </w:rPr>
        <w:t>，</w:t>
      </w:r>
      <w:r>
        <w:rPr>
          <w:rFonts w:hint="eastAsia" w:ascii="仿宋" w:hAnsi="仿宋" w:eastAsia="仿宋" w:cs="Cambria Math"/>
          <w:color w:val="auto"/>
          <w:sz w:val="24"/>
          <w:highlight w:val="none"/>
          <w:lang w:val="en-US" w:eastAsia="zh-CN"/>
        </w:rPr>
        <w:t>同时具备</w:t>
      </w:r>
      <w:r>
        <w:rPr>
          <w:rFonts w:hint="eastAsia" w:ascii="仿宋" w:hAnsi="仿宋" w:eastAsia="仿宋" w:cs="Cambria Math"/>
          <w:color w:val="auto"/>
          <w:sz w:val="24"/>
          <w:highlight w:val="none"/>
        </w:rPr>
        <w:t>建设行政主管部门核发的有效的安全生产许可证书</w:t>
      </w:r>
      <w:r>
        <w:rPr>
          <w:rFonts w:hint="eastAsia" w:ascii="仿宋" w:hAnsi="仿宋" w:eastAsia="仿宋" w:cs="Cambria Math"/>
          <w:color w:val="auto"/>
          <w:sz w:val="24"/>
          <w:highlight w:val="none"/>
          <w:lang w:eastAsia="zh-CN"/>
        </w:rPr>
        <w:t>。</w:t>
      </w:r>
    </w:p>
    <w:p w14:paraId="1D22389C">
      <w:pPr>
        <w:rPr>
          <w:rFonts w:hint="default"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br w:type="page"/>
      </w:r>
    </w:p>
    <w:p w14:paraId="0A16B37C">
      <w:pPr>
        <w:keepNext w:val="0"/>
        <w:keepLines w:val="0"/>
        <w:pageBreakBefore w:val="0"/>
        <w:widowControl w:val="0"/>
        <w:numPr>
          <w:ilvl w:val="0"/>
          <w:numId w:val="6"/>
        </w:numPr>
        <w:kinsoku/>
        <w:wordWrap/>
        <w:overflowPunct/>
        <w:topLinePunct w:val="0"/>
        <w:autoSpaceDE/>
        <w:autoSpaceDN/>
        <w:bidi w:val="0"/>
        <w:adjustRightInd/>
        <w:snapToGrid/>
        <w:spacing w:line="360" w:lineRule="auto"/>
        <w:textAlignment w:val="auto"/>
        <w:outlineLvl w:val="3"/>
        <w:rPr>
          <w:rFonts w:hint="default"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项目经理要求：</w:t>
      </w:r>
    </w:p>
    <w:p w14:paraId="3CA354C2">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仿宋" w:hAnsi="仿宋" w:eastAsia="仿宋" w:cs="Cambria Math"/>
          <w:color w:val="auto"/>
          <w:kern w:val="2"/>
          <w:sz w:val="24"/>
          <w:szCs w:val="24"/>
          <w:highlight w:val="none"/>
          <w:lang w:val="en-US" w:eastAsia="zh-CN" w:bidi="ar-SA"/>
        </w:rPr>
      </w:pPr>
      <w:r>
        <w:rPr>
          <w:rFonts w:hint="default" w:ascii="仿宋" w:hAnsi="仿宋" w:eastAsia="仿宋" w:cs="Cambria Math"/>
          <w:color w:val="auto"/>
          <w:kern w:val="2"/>
          <w:sz w:val="24"/>
          <w:szCs w:val="24"/>
          <w:highlight w:val="none"/>
          <w:lang w:val="en-US" w:eastAsia="zh-CN" w:bidi="ar-SA"/>
        </w:rPr>
        <w:t>拟派项目经理须具备建筑工程专业二级及以上注册建造师执业资格，具备有效的安全生产考核合格证书（B类）（提供证件复印件）；且未担任其他在施建设工程项目的项目经理（提供承诺书）</w:t>
      </w:r>
      <w:r>
        <w:rPr>
          <w:rFonts w:hint="eastAsia" w:ascii="仿宋" w:hAnsi="仿宋" w:eastAsia="仿宋" w:cs="Cambria Math"/>
          <w:color w:val="auto"/>
          <w:kern w:val="2"/>
          <w:sz w:val="24"/>
          <w:szCs w:val="24"/>
          <w:highlight w:val="none"/>
          <w:lang w:val="en-US" w:eastAsia="zh-CN" w:bidi="ar-SA"/>
        </w:rPr>
        <w:t>。</w:t>
      </w:r>
    </w:p>
    <w:p w14:paraId="49C23A2A">
      <w:pPr>
        <w:rPr>
          <w:rFonts w:ascii="仿宋" w:hAnsi="仿宋" w:eastAsia="仿宋" w:cs="仿宋"/>
          <w:color w:val="auto"/>
          <w:sz w:val="24"/>
          <w:szCs w:val="24"/>
          <w:highlight w:val="none"/>
        </w:rPr>
      </w:pPr>
      <w:r>
        <w:rPr>
          <w:rFonts w:ascii="仿宋" w:hAnsi="仿宋" w:eastAsia="仿宋" w:cs="仿宋"/>
          <w:color w:val="auto"/>
          <w:sz w:val="24"/>
          <w:szCs w:val="24"/>
          <w:highlight w:val="none"/>
        </w:rPr>
        <w:br w:type="page"/>
      </w:r>
    </w:p>
    <w:p w14:paraId="20E094E3">
      <w:pPr>
        <w:pStyle w:val="4"/>
        <w:numPr>
          <w:ilvl w:val="0"/>
          <w:numId w:val="0"/>
        </w:numPr>
        <w:tabs>
          <w:tab w:val="clear" w:pos="1440"/>
        </w:tabs>
        <w:spacing w:before="0" w:after="0" w:line="360" w:lineRule="auto"/>
        <w:rPr>
          <w:rFonts w:ascii="仿宋" w:hAnsi="仿宋" w:cs="宋体"/>
          <w:color w:val="auto"/>
          <w:szCs w:val="24"/>
          <w:highlight w:val="none"/>
        </w:rPr>
      </w:pPr>
      <w:r>
        <w:rPr>
          <w:rFonts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五</w:t>
      </w:r>
      <w:r>
        <w:rPr>
          <w:rFonts w:ascii="仿宋" w:hAnsi="仿宋" w:eastAsia="仿宋" w:cs="仿宋"/>
          <w:color w:val="auto"/>
          <w:sz w:val="24"/>
          <w:szCs w:val="24"/>
          <w:highlight w:val="none"/>
        </w:rPr>
        <w:t>）</w:t>
      </w:r>
      <w:r>
        <w:rPr>
          <w:rFonts w:hint="eastAsia" w:ascii="仿宋" w:hAnsi="仿宋" w:eastAsia="仿宋" w:cs="仿宋"/>
          <w:color w:val="auto"/>
          <w:sz w:val="24"/>
          <w:szCs w:val="24"/>
          <w:highlight w:val="none"/>
        </w:rPr>
        <w:t>供应商</w:t>
      </w:r>
      <w:r>
        <w:rPr>
          <w:rFonts w:ascii="仿宋" w:hAnsi="仿宋" w:eastAsia="仿宋" w:cs="仿宋"/>
          <w:color w:val="auto"/>
          <w:sz w:val="24"/>
          <w:szCs w:val="24"/>
          <w:highlight w:val="none"/>
        </w:rPr>
        <w:t>须知应答偏离表</w:t>
      </w:r>
      <w:bookmarkEnd w:id="202"/>
      <w:bookmarkEnd w:id="203"/>
      <w:bookmarkEnd w:id="204"/>
      <w:bookmarkEnd w:id="205"/>
      <w:bookmarkEnd w:id="206"/>
    </w:p>
    <w:p w14:paraId="551950B8">
      <w:pPr>
        <w:spacing w:line="360" w:lineRule="auto"/>
        <w:jc w:val="center"/>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供应商须知应答偏离表</w:t>
      </w:r>
    </w:p>
    <w:p w14:paraId="5F59542C">
      <w:pPr>
        <w:spacing w:line="360" w:lineRule="auto"/>
        <w:rPr>
          <w:rFonts w:hint="eastAsia" w:ascii="仿宋" w:hAnsi="仿宋" w:eastAsia="仿宋" w:cs="宋体"/>
          <w:color w:val="auto"/>
          <w:sz w:val="24"/>
          <w:highlight w:val="none"/>
          <w:u w:val="singl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rPr>
          <w:rFonts w:ascii="仿宋" w:hAnsi="仿宋" w:eastAsia="仿宋" w:cs="宋体"/>
          <w:color w:val="auto"/>
          <w:sz w:val="24"/>
          <w:highlight w:val="none"/>
        </w:rPr>
        <w:t xml:space="preserve">        </w:t>
      </w:r>
      <w:r>
        <w:rPr>
          <w:rFonts w:hint="eastAsia" w:ascii="仿宋" w:hAnsi="仿宋" w:eastAsia="仿宋" w:cs="宋体"/>
          <w:color w:val="auto"/>
          <w:sz w:val="24"/>
          <w:highlight w:val="none"/>
        </w:rPr>
        <w:t xml:space="preserve"> </w:t>
      </w:r>
    </w:p>
    <w:tbl>
      <w:tblPr>
        <w:tblStyle w:val="41"/>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4892DC0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14:paraId="5E710E25">
            <w:pPr>
              <w:spacing w:line="360" w:lineRule="auto"/>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序号</w:t>
            </w:r>
          </w:p>
        </w:tc>
        <w:tc>
          <w:tcPr>
            <w:tcW w:w="2285" w:type="dxa"/>
            <w:noWrap w:val="0"/>
            <w:vAlign w:val="center"/>
          </w:tcPr>
          <w:p w14:paraId="688B97E2">
            <w:pPr>
              <w:spacing w:line="360" w:lineRule="auto"/>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条目号</w:t>
            </w:r>
          </w:p>
        </w:tc>
        <w:tc>
          <w:tcPr>
            <w:tcW w:w="2495" w:type="dxa"/>
            <w:noWrap w:val="0"/>
            <w:vAlign w:val="center"/>
          </w:tcPr>
          <w:p w14:paraId="050FEF5C">
            <w:pPr>
              <w:spacing w:line="360" w:lineRule="auto"/>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原文内容</w:t>
            </w:r>
          </w:p>
        </w:tc>
        <w:tc>
          <w:tcPr>
            <w:tcW w:w="2704" w:type="dxa"/>
            <w:noWrap w:val="0"/>
            <w:vAlign w:val="center"/>
          </w:tcPr>
          <w:p w14:paraId="029041FF">
            <w:pPr>
              <w:spacing w:line="360" w:lineRule="auto"/>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应答</w:t>
            </w:r>
          </w:p>
        </w:tc>
        <w:tc>
          <w:tcPr>
            <w:tcW w:w="1408" w:type="dxa"/>
            <w:noWrap w:val="0"/>
            <w:vAlign w:val="center"/>
          </w:tcPr>
          <w:p w14:paraId="52E12FEF">
            <w:pPr>
              <w:spacing w:line="360" w:lineRule="auto"/>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说明</w:t>
            </w:r>
          </w:p>
        </w:tc>
      </w:tr>
      <w:tr w14:paraId="01DC4E1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6EF6621D">
            <w:pPr>
              <w:spacing w:line="360" w:lineRule="auto"/>
              <w:rPr>
                <w:rFonts w:hint="eastAsia" w:ascii="仿宋" w:hAnsi="仿宋" w:eastAsia="仿宋" w:cs="宋体"/>
                <w:color w:val="auto"/>
                <w:szCs w:val="21"/>
                <w:highlight w:val="none"/>
              </w:rPr>
            </w:pPr>
          </w:p>
        </w:tc>
        <w:tc>
          <w:tcPr>
            <w:tcW w:w="2285" w:type="dxa"/>
            <w:noWrap w:val="0"/>
            <w:vAlign w:val="top"/>
          </w:tcPr>
          <w:p w14:paraId="76AF5E23">
            <w:pPr>
              <w:spacing w:line="360" w:lineRule="auto"/>
              <w:rPr>
                <w:rFonts w:hint="eastAsia" w:ascii="仿宋" w:hAnsi="仿宋" w:eastAsia="仿宋" w:cs="宋体"/>
                <w:color w:val="auto"/>
                <w:szCs w:val="21"/>
                <w:highlight w:val="none"/>
              </w:rPr>
            </w:pPr>
          </w:p>
        </w:tc>
        <w:tc>
          <w:tcPr>
            <w:tcW w:w="2495" w:type="dxa"/>
            <w:noWrap w:val="0"/>
            <w:vAlign w:val="top"/>
          </w:tcPr>
          <w:p w14:paraId="0F50090A">
            <w:pPr>
              <w:spacing w:line="360" w:lineRule="auto"/>
              <w:rPr>
                <w:rFonts w:hint="eastAsia" w:ascii="仿宋" w:hAnsi="仿宋" w:eastAsia="仿宋" w:cs="宋体"/>
                <w:color w:val="auto"/>
                <w:szCs w:val="21"/>
                <w:highlight w:val="none"/>
              </w:rPr>
            </w:pPr>
          </w:p>
        </w:tc>
        <w:tc>
          <w:tcPr>
            <w:tcW w:w="2704" w:type="dxa"/>
            <w:noWrap w:val="0"/>
            <w:vAlign w:val="top"/>
          </w:tcPr>
          <w:p w14:paraId="62A009A8">
            <w:pPr>
              <w:spacing w:line="360" w:lineRule="auto"/>
              <w:rPr>
                <w:rFonts w:hint="eastAsia" w:ascii="仿宋" w:hAnsi="仿宋" w:eastAsia="仿宋" w:cs="宋体"/>
                <w:color w:val="auto"/>
                <w:szCs w:val="21"/>
                <w:highlight w:val="none"/>
              </w:rPr>
            </w:pPr>
          </w:p>
        </w:tc>
        <w:tc>
          <w:tcPr>
            <w:tcW w:w="1408" w:type="dxa"/>
            <w:noWrap w:val="0"/>
            <w:vAlign w:val="top"/>
          </w:tcPr>
          <w:p w14:paraId="7F0AA3A8">
            <w:pPr>
              <w:spacing w:line="360" w:lineRule="auto"/>
              <w:rPr>
                <w:rFonts w:hint="eastAsia" w:ascii="仿宋" w:hAnsi="仿宋" w:eastAsia="仿宋" w:cs="宋体"/>
                <w:color w:val="auto"/>
                <w:szCs w:val="21"/>
                <w:highlight w:val="none"/>
              </w:rPr>
            </w:pPr>
          </w:p>
        </w:tc>
      </w:tr>
      <w:tr w14:paraId="66906D6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13019C28">
            <w:pPr>
              <w:spacing w:line="360" w:lineRule="auto"/>
              <w:rPr>
                <w:rFonts w:hint="eastAsia" w:ascii="仿宋" w:hAnsi="仿宋" w:eastAsia="仿宋" w:cs="宋体"/>
                <w:color w:val="auto"/>
                <w:szCs w:val="21"/>
                <w:highlight w:val="none"/>
              </w:rPr>
            </w:pPr>
          </w:p>
        </w:tc>
        <w:tc>
          <w:tcPr>
            <w:tcW w:w="2285" w:type="dxa"/>
            <w:noWrap w:val="0"/>
            <w:vAlign w:val="top"/>
          </w:tcPr>
          <w:p w14:paraId="794EAC19">
            <w:pPr>
              <w:spacing w:line="360" w:lineRule="auto"/>
              <w:rPr>
                <w:rFonts w:hint="eastAsia" w:ascii="仿宋" w:hAnsi="仿宋" w:eastAsia="仿宋" w:cs="宋体"/>
                <w:color w:val="auto"/>
                <w:szCs w:val="21"/>
                <w:highlight w:val="none"/>
              </w:rPr>
            </w:pPr>
          </w:p>
        </w:tc>
        <w:tc>
          <w:tcPr>
            <w:tcW w:w="2495" w:type="dxa"/>
            <w:noWrap w:val="0"/>
            <w:vAlign w:val="top"/>
          </w:tcPr>
          <w:p w14:paraId="1B37BE4D">
            <w:pPr>
              <w:spacing w:line="360" w:lineRule="auto"/>
              <w:rPr>
                <w:rFonts w:hint="eastAsia" w:ascii="仿宋" w:hAnsi="仿宋" w:eastAsia="仿宋" w:cs="宋体"/>
                <w:color w:val="auto"/>
                <w:szCs w:val="21"/>
                <w:highlight w:val="none"/>
              </w:rPr>
            </w:pPr>
          </w:p>
        </w:tc>
        <w:tc>
          <w:tcPr>
            <w:tcW w:w="2704" w:type="dxa"/>
            <w:noWrap w:val="0"/>
            <w:vAlign w:val="top"/>
          </w:tcPr>
          <w:p w14:paraId="3102F080">
            <w:pPr>
              <w:spacing w:line="360" w:lineRule="auto"/>
              <w:rPr>
                <w:rFonts w:hint="eastAsia" w:ascii="仿宋" w:hAnsi="仿宋" w:eastAsia="仿宋" w:cs="宋体"/>
                <w:color w:val="auto"/>
                <w:szCs w:val="21"/>
                <w:highlight w:val="none"/>
              </w:rPr>
            </w:pPr>
          </w:p>
        </w:tc>
        <w:tc>
          <w:tcPr>
            <w:tcW w:w="1408" w:type="dxa"/>
            <w:noWrap w:val="0"/>
            <w:vAlign w:val="top"/>
          </w:tcPr>
          <w:p w14:paraId="4F3BA70B">
            <w:pPr>
              <w:spacing w:line="360" w:lineRule="auto"/>
              <w:rPr>
                <w:rFonts w:hint="eastAsia" w:ascii="仿宋" w:hAnsi="仿宋" w:eastAsia="仿宋" w:cs="宋体"/>
                <w:color w:val="auto"/>
                <w:szCs w:val="21"/>
                <w:highlight w:val="none"/>
              </w:rPr>
            </w:pPr>
          </w:p>
        </w:tc>
      </w:tr>
      <w:tr w14:paraId="27FCA24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601C3DA1">
            <w:pPr>
              <w:spacing w:line="360" w:lineRule="auto"/>
              <w:rPr>
                <w:rFonts w:hint="eastAsia" w:ascii="仿宋" w:hAnsi="仿宋" w:eastAsia="仿宋" w:cs="宋体"/>
                <w:color w:val="auto"/>
                <w:szCs w:val="21"/>
                <w:highlight w:val="none"/>
              </w:rPr>
            </w:pPr>
          </w:p>
        </w:tc>
        <w:tc>
          <w:tcPr>
            <w:tcW w:w="2285" w:type="dxa"/>
            <w:noWrap w:val="0"/>
            <w:vAlign w:val="top"/>
          </w:tcPr>
          <w:p w14:paraId="600B4B01">
            <w:pPr>
              <w:spacing w:line="360" w:lineRule="auto"/>
              <w:rPr>
                <w:rFonts w:hint="eastAsia" w:ascii="仿宋" w:hAnsi="仿宋" w:eastAsia="仿宋" w:cs="宋体"/>
                <w:color w:val="auto"/>
                <w:szCs w:val="21"/>
                <w:highlight w:val="none"/>
              </w:rPr>
            </w:pPr>
          </w:p>
        </w:tc>
        <w:tc>
          <w:tcPr>
            <w:tcW w:w="2495" w:type="dxa"/>
            <w:noWrap w:val="0"/>
            <w:vAlign w:val="top"/>
          </w:tcPr>
          <w:p w14:paraId="14EFFE14">
            <w:pPr>
              <w:spacing w:line="360" w:lineRule="auto"/>
              <w:rPr>
                <w:rFonts w:hint="eastAsia" w:ascii="仿宋" w:hAnsi="仿宋" w:eastAsia="仿宋" w:cs="宋体"/>
                <w:color w:val="auto"/>
                <w:szCs w:val="21"/>
                <w:highlight w:val="none"/>
              </w:rPr>
            </w:pPr>
          </w:p>
        </w:tc>
        <w:tc>
          <w:tcPr>
            <w:tcW w:w="2704" w:type="dxa"/>
            <w:noWrap w:val="0"/>
            <w:vAlign w:val="top"/>
          </w:tcPr>
          <w:p w14:paraId="4753BA6E">
            <w:pPr>
              <w:spacing w:line="360" w:lineRule="auto"/>
              <w:rPr>
                <w:rFonts w:hint="eastAsia" w:ascii="仿宋" w:hAnsi="仿宋" w:eastAsia="仿宋" w:cs="宋体"/>
                <w:color w:val="auto"/>
                <w:szCs w:val="21"/>
                <w:highlight w:val="none"/>
              </w:rPr>
            </w:pPr>
          </w:p>
        </w:tc>
        <w:tc>
          <w:tcPr>
            <w:tcW w:w="1408" w:type="dxa"/>
            <w:noWrap w:val="0"/>
            <w:vAlign w:val="top"/>
          </w:tcPr>
          <w:p w14:paraId="25E5397F">
            <w:pPr>
              <w:spacing w:line="360" w:lineRule="auto"/>
              <w:rPr>
                <w:rFonts w:hint="eastAsia" w:ascii="仿宋" w:hAnsi="仿宋" w:eastAsia="仿宋" w:cs="宋体"/>
                <w:color w:val="auto"/>
                <w:szCs w:val="21"/>
                <w:highlight w:val="none"/>
              </w:rPr>
            </w:pPr>
          </w:p>
        </w:tc>
      </w:tr>
      <w:tr w14:paraId="217136F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46E0BE77">
            <w:pPr>
              <w:spacing w:line="360" w:lineRule="auto"/>
              <w:rPr>
                <w:rFonts w:hint="eastAsia" w:ascii="仿宋" w:hAnsi="仿宋" w:eastAsia="仿宋" w:cs="宋体"/>
                <w:color w:val="auto"/>
                <w:szCs w:val="21"/>
                <w:highlight w:val="none"/>
              </w:rPr>
            </w:pPr>
          </w:p>
        </w:tc>
        <w:tc>
          <w:tcPr>
            <w:tcW w:w="2285" w:type="dxa"/>
            <w:noWrap w:val="0"/>
            <w:vAlign w:val="top"/>
          </w:tcPr>
          <w:p w14:paraId="6475E59E">
            <w:pPr>
              <w:spacing w:line="360" w:lineRule="auto"/>
              <w:rPr>
                <w:rFonts w:hint="eastAsia" w:ascii="仿宋" w:hAnsi="仿宋" w:eastAsia="仿宋" w:cs="宋体"/>
                <w:color w:val="auto"/>
                <w:szCs w:val="21"/>
                <w:highlight w:val="none"/>
              </w:rPr>
            </w:pPr>
          </w:p>
        </w:tc>
        <w:tc>
          <w:tcPr>
            <w:tcW w:w="2495" w:type="dxa"/>
            <w:noWrap w:val="0"/>
            <w:vAlign w:val="top"/>
          </w:tcPr>
          <w:p w14:paraId="5646BEFE">
            <w:pPr>
              <w:spacing w:line="360" w:lineRule="auto"/>
              <w:rPr>
                <w:rFonts w:hint="eastAsia" w:ascii="仿宋" w:hAnsi="仿宋" w:eastAsia="仿宋" w:cs="宋体"/>
                <w:color w:val="auto"/>
                <w:szCs w:val="21"/>
                <w:highlight w:val="none"/>
              </w:rPr>
            </w:pPr>
          </w:p>
        </w:tc>
        <w:tc>
          <w:tcPr>
            <w:tcW w:w="2704" w:type="dxa"/>
            <w:noWrap w:val="0"/>
            <w:vAlign w:val="top"/>
          </w:tcPr>
          <w:p w14:paraId="03A243F1">
            <w:pPr>
              <w:spacing w:line="360" w:lineRule="auto"/>
              <w:rPr>
                <w:rFonts w:hint="eastAsia" w:ascii="仿宋" w:hAnsi="仿宋" w:eastAsia="仿宋" w:cs="宋体"/>
                <w:color w:val="auto"/>
                <w:szCs w:val="21"/>
                <w:highlight w:val="none"/>
              </w:rPr>
            </w:pPr>
          </w:p>
        </w:tc>
        <w:tc>
          <w:tcPr>
            <w:tcW w:w="1408" w:type="dxa"/>
            <w:noWrap w:val="0"/>
            <w:vAlign w:val="top"/>
          </w:tcPr>
          <w:p w14:paraId="199DF034">
            <w:pPr>
              <w:spacing w:line="360" w:lineRule="auto"/>
              <w:rPr>
                <w:rFonts w:hint="eastAsia" w:ascii="仿宋" w:hAnsi="仿宋" w:eastAsia="仿宋" w:cs="宋体"/>
                <w:color w:val="auto"/>
                <w:szCs w:val="21"/>
                <w:highlight w:val="none"/>
              </w:rPr>
            </w:pPr>
          </w:p>
        </w:tc>
      </w:tr>
      <w:tr w14:paraId="330CCDD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196DD4B2">
            <w:pPr>
              <w:spacing w:line="360" w:lineRule="auto"/>
              <w:rPr>
                <w:rFonts w:hint="eastAsia" w:ascii="仿宋" w:hAnsi="仿宋" w:eastAsia="仿宋" w:cs="宋体"/>
                <w:color w:val="auto"/>
                <w:szCs w:val="21"/>
                <w:highlight w:val="none"/>
              </w:rPr>
            </w:pPr>
          </w:p>
        </w:tc>
        <w:tc>
          <w:tcPr>
            <w:tcW w:w="2285" w:type="dxa"/>
            <w:noWrap w:val="0"/>
            <w:vAlign w:val="top"/>
          </w:tcPr>
          <w:p w14:paraId="6554D928">
            <w:pPr>
              <w:spacing w:line="360" w:lineRule="auto"/>
              <w:rPr>
                <w:rFonts w:hint="eastAsia" w:ascii="仿宋" w:hAnsi="仿宋" w:eastAsia="仿宋" w:cs="宋体"/>
                <w:color w:val="auto"/>
                <w:szCs w:val="21"/>
                <w:highlight w:val="none"/>
              </w:rPr>
            </w:pPr>
          </w:p>
        </w:tc>
        <w:tc>
          <w:tcPr>
            <w:tcW w:w="2495" w:type="dxa"/>
            <w:noWrap w:val="0"/>
            <w:vAlign w:val="top"/>
          </w:tcPr>
          <w:p w14:paraId="296CAEEA">
            <w:pPr>
              <w:spacing w:line="360" w:lineRule="auto"/>
              <w:rPr>
                <w:rFonts w:hint="eastAsia" w:ascii="仿宋" w:hAnsi="仿宋" w:eastAsia="仿宋" w:cs="宋体"/>
                <w:color w:val="auto"/>
                <w:szCs w:val="21"/>
                <w:highlight w:val="none"/>
              </w:rPr>
            </w:pPr>
          </w:p>
        </w:tc>
        <w:tc>
          <w:tcPr>
            <w:tcW w:w="2704" w:type="dxa"/>
            <w:noWrap w:val="0"/>
            <w:vAlign w:val="top"/>
          </w:tcPr>
          <w:p w14:paraId="798AF018">
            <w:pPr>
              <w:spacing w:line="360" w:lineRule="auto"/>
              <w:rPr>
                <w:rFonts w:hint="eastAsia" w:ascii="仿宋" w:hAnsi="仿宋" w:eastAsia="仿宋" w:cs="宋体"/>
                <w:color w:val="auto"/>
                <w:szCs w:val="21"/>
                <w:highlight w:val="none"/>
              </w:rPr>
            </w:pPr>
          </w:p>
        </w:tc>
        <w:tc>
          <w:tcPr>
            <w:tcW w:w="1408" w:type="dxa"/>
            <w:noWrap w:val="0"/>
            <w:vAlign w:val="top"/>
          </w:tcPr>
          <w:p w14:paraId="510EC0F4">
            <w:pPr>
              <w:spacing w:line="360" w:lineRule="auto"/>
              <w:rPr>
                <w:rFonts w:hint="eastAsia" w:ascii="仿宋" w:hAnsi="仿宋" w:eastAsia="仿宋" w:cs="宋体"/>
                <w:color w:val="auto"/>
                <w:szCs w:val="21"/>
                <w:highlight w:val="none"/>
              </w:rPr>
            </w:pPr>
          </w:p>
        </w:tc>
      </w:tr>
    </w:tbl>
    <w:p w14:paraId="5B6BEC5F">
      <w:pPr>
        <w:spacing w:line="360" w:lineRule="auto"/>
        <w:ind w:left="480" w:hanging="480" w:hangingChars="200"/>
        <w:rPr>
          <w:rFonts w:hint="eastAsia" w:ascii="仿宋" w:hAnsi="仿宋" w:eastAsia="仿宋" w:cs="宋体"/>
          <w:b/>
          <w:bCs/>
          <w:color w:val="auto"/>
          <w:sz w:val="24"/>
          <w:highlight w:val="none"/>
        </w:rPr>
      </w:pPr>
      <w:r>
        <w:rPr>
          <w:rFonts w:hint="eastAsia" w:ascii="仿宋" w:hAnsi="仿宋" w:eastAsia="仿宋" w:cs="宋体"/>
          <w:color w:val="auto"/>
          <w:sz w:val="24"/>
          <w:highlight w:val="none"/>
        </w:rPr>
        <w:t>注：所有偏离须在本表中列出，未在本偏离表中列出偏离，将视为供应商已完全接受磋商文件要求</w:t>
      </w:r>
      <w:r>
        <w:rPr>
          <w:rFonts w:hint="eastAsia" w:ascii="仿宋" w:hAnsi="仿宋" w:eastAsia="仿宋" w:cs="宋体"/>
          <w:b/>
          <w:bCs/>
          <w:color w:val="auto"/>
          <w:sz w:val="24"/>
          <w:highlight w:val="none"/>
        </w:rPr>
        <w:t>。如全部满足，在偏离表中应答“全部满足”即可。</w:t>
      </w:r>
    </w:p>
    <w:p w14:paraId="58818B8D">
      <w:pPr>
        <w:spacing w:line="360" w:lineRule="auto"/>
        <w:ind w:firstLine="4080" w:firstLineChars="1700"/>
        <w:jc w:val="right"/>
        <w:rPr>
          <w:rFonts w:ascii="仿宋" w:hAnsi="仿宋" w:eastAsia="仿宋" w:cs="宋体"/>
          <w:color w:val="auto"/>
          <w:sz w:val="24"/>
          <w:highlight w:val="none"/>
        </w:rPr>
      </w:pPr>
    </w:p>
    <w:p w14:paraId="205D8630">
      <w:pPr>
        <w:spacing w:line="360" w:lineRule="auto"/>
        <w:ind w:firstLine="4080" w:firstLineChars="1700"/>
        <w:jc w:val="right"/>
        <w:rPr>
          <w:rFonts w:ascii="仿宋" w:hAnsi="仿宋" w:eastAsia="仿宋" w:cs="宋体"/>
          <w:color w:val="auto"/>
          <w:sz w:val="24"/>
          <w:highlight w:val="none"/>
        </w:rPr>
      </w:pPr>
    </w:p>
    <w:p w14:paraId="141F754C">
      <w:pPr>
        <w:spacing w:line="360" w:lineRule="auto"/>
        <w:ind w:firstLine="4080" w:firstLineChars="1700"/>
        <w:jc w:val="right"/>
        <w:rPr>
          <w:rFonts w:ascii="仿宋" w:hAnsi="仿宋" w:eastAsia="仿宋" w:cs="宋体"/>
          <w:color w:val="auto"/>
          <w:sz w:val="24"/>
          <w:highlight w:val="none"/>
        </w:rPr>
      </w:pPr>
    </w:p>
    <w:p w14:paraId="0D6A3299">
      <w:pPr>
        <w:spacing w:line="360" w:lineRule="auto"/>
        <w:ind w:firstLine="4080" w:firstLineChars="1700"/>
        <w:jc w:val="right"/>
        <w:rPr>
          <w:rFonts w:hint="eastAsia" w:ascii="仿宋" w:hAnsi="仿宋" w:eastAsia="仿宋" w:cs="宋体"/>
          <w:color w:val="auto"/>
          <w:sz w:val="24"/>
          <w:highlight w:val="none"/>
        </w:rPr>
      </w:pPr>
      <w:r>
        <w:rPr>
          <w:rFonts w:hint="eastAsia" w:ascii="仿宋" w:hAnsi="仿宋" w:eastAsia="仿宋" w:cs="宋体"/>
          <w:color w:val="auto"/>
          <w:sz w:val="24"/>
          <w:highlight w:val="none"/>
        </w:rPr>
        <w:t>供应商名称：</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（盖章）</w:t>
      </w:r>
    </w:p>
    <w:p w14:paraId="6521A810">
      <w:pPr>
        <w:spacing w:line="360" w:lineRule="auto"/>
        <w:jc w:val="right"/>
        <w:rPr>
          <w:rFonts w:hint="eastAsia" w:ascii="仿宋" w:hAnsi="仿宋" w:eastAsia="仿宋" w:cs="宋体"/>
          <w:color w:val="auto"/>
          <w:sz w:val="24"/>
          <w:highlight w:val="none"/>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auto"/>
          <w:sz w:val="24"/>
          <w:highlight w:val="none"/>
        </w:rPr>
        <w:t>日期：</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年</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月</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日</w:t>
      </w:r>
    </w:p>
    <w:p w14:paraId="5E559D85">
      <w:pPr>
        <w:numPr>
          <w:ilvl w:val="0"/>
          <w:numId w:val="0"/>
        </w:numPr>
        <w:spacing w:line="360" w:lineRule="auto"/>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六</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合同条款应答偏</w:t>
      </w:r>
      <w:r>
        <w:rPr>
          <w:rFonts w:ascii="仿宋" w:hAnsi="仿宋" w:eastAsia="仿宋" w:cs="仿宋"/>
          <w:b/>
          <w:bCs/>
          <w:color w:val="auto"/>
          <w:sz w:val="24"/>
          <w:szCs w:val="24"/>
          <w:highlight w:val="none"/>
        </w:rPr>
        <w:t>离表</w:t>
      </w:r>
    </w:p>
    <w:p w14:paraId="6FA4A1CB">
      <w:pPr>
        <w:numPr>
          <w:ilvl w:val="0"/>
          <w:numId w:val="0"/>
        </w:num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合同条款应答偏离表</w:t>
      </w:r>
    </w:p>
    <w:p w14:paraId="3E09FBDC">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p>
    <w:tbl>
      <w:tblPr>
        <w:tblStyle w:val="41"/>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268D8B8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14:paraId="419E802D">
            <w:pPr>
              <w:spacing w:line="360" w:lineRule="auto"/>
              <w:jc w:val="center"/>
              <w:rPr>
                <w:rFonts w:hint="eastAsia" w:ascii="仿宋" w:hAnsi="仿宋" w:eastAsia="仿宋" w:cs="Cambria Math"/>
                <w:color w:val="auto"/>
                <w:szCs w:val="21"/>
                <w:highlight w:val="none"/>
              </w:rPr>
            </w:pPr>
            <w:r>
              <w:rPr>
                <w:rFonts w:hint="eastAsia" w:ascii="仿宋" w:hAnsi="仿宋" w:eastAsia="仿宋" w:cs="Cambria Math"/>
                <w:color w:val="auto"/>
                <w:szCs w:val="21"/>
                <w:highlight w:val="none"/>
              </w:rPr>
              <w:t>序号</w:t>
            </w:r>
          </w:p>
        </w:tc>
        <w:tc>
          <w:tcPr>
            <w:tcW w:w="2285" w:type="dxa"/>
            <w:noWrap w:val="0"/>
            <w:vAlign w:val="center"/>
          </w:tcPr>
          <w:p w14:paraId="1D46B92E">
            <w:pPr>
              <w:spacing w:line="360" w:lineRule="auto"/>
              <w:jc w:val="center"/>
              <w:rPr>
                <w:rFonts w:hint="eastAsia" w:ascii="仿宋" w:hAnsi="仿宋" w:eastAsia="仿宋" w:cs="Cambria Math"/>
                <w:color w:val="auto"/>
                <w:szCs w:val="21"/>
                <w:highlight w:val="none"/>
              </w:rPr>
            </w:pPr>
            <w:r>
              <w:rPr>
                <w:rFonts w:hint="eastAsia" w:ascii="仿宋" w:hAnsi="仿宋" w:eastAsia="仿宋" w:cs="Cambria Math"/>
                <w:color w:val="auto"/>
                <w:szCs w:val="21"/>
                <w:highlight w:val="none"/>
              </w:rPr>
              <w:t>条目号</w:t>
            </w:r>
          </w:p>
        </w:tc>
        <w:tc>
          <w:tcPr>
            <w:tcW w:w="2495" w:type="dxa"/>
            <w:noWrap w:val="0"/>
            <w:vAlign w:val="center"/>
          </w:tcPr>
          <w:p w14:paraId="11415561">
            <w:pPr>
              <w:spacing w:line="360" w:lineRule="auto"/>
              <w:jc w:val="center"/>
              <w:rPr>
                <w:rFonts w:hint="eastAsia" w:ascii="仿宋" w:hAnsi="仿宋" w:eastAsia="仿宋" w:cs="Cambria Math"/>
                <w:color w:val="auto"/>
                <w:szCs w:val="21"/>
                <w:highlight w:val="none"/>
              </w:rPr>
            </w:pPr>
            <w:r>
              <w:rPr>
                <w:rFonts w:hint="eastAsia" w:ascii="仿宋" w:hAnsi="仿宋" w:eastAsia="仿宋" w:cs="Cambria Math"/>
                <w:color w:val="auto"/>
                <w:szCs w:val="21"/>
                <w:highlight w:val="none"/>
              </w:rPr>
              <w:t>原文内容</w:t>
            </w:r>
          </w:p>
        </w:tc>
        <w:tc>
          <w:tcPr>
            <w:tcW w:w="2704" w:type="dxa"/>
            <w:noWrap w:val="0"/>
            <w:vAlign w:val="center"/>
          </w:tcPr>
          <w:p w14:paraId="544C9B3C">
            <w:pPr>
              <w:spacing w:line="360" w:lineRule="auto"/>
              <w:jc w:val="center"/>
              <w:rPr>
                <w:rFonts w:hint="eastAsia" w:ascii="仿宋" w:hAnsi="仿宋" w:eastAsia="仿宋" w:cs="Cambria Math"/>
                <w:color w:val="auto"/>
                <w:szCs w:val="21"/>
                <w:highlight w:val="none"/>
              </w:rPr>
            </w:pPr>
            <w:r>
              <w:rPr>
                <w:rFonts w:hint="eastAsia" w:ascii="仿宋" w:hAnsi="仿宋" w:eastAsia="仿宋" w:cs="Cambria Math"/>
                <w:color w:val="auto"/>
                <w:szCs w:val="21"/>
                <w:highlight w:val="none"/>
              </w:rPr>
              <w:t>应答</w:t>
            </w:r>
          </w:p>
        </w:tc>
        <w:tc>
          <w:tcPr>
            <w:tcW w:w="1408" w:type="dxa"/>
            <w:noWrap w:val="0"/>
            <w:vAlign w:val="center"/>
          </w:tcPr>
          <w:p w14:paraId="10C89281">
            <w:pPr>
              <w:spacing w:line="360" w:lineRule="auto"/>
              <w:jc w:val="center"/>
              <w:rPr>
                <w:rFonts w:hint="eastAsia" w:ascii="仿宋" w:hAnsi="仿宋" w:eastAsia="仿宋" w:cs="Cambria Math"/>
                <w:color w:val="auto"/>
                <w:szCs w:val="21"/>
                <w:highlight w:val="none"/>
              </w:rPr>
            </w:pPr>
            <w:r>
              <w:rPr>
                <w:rFonts w:hint="eastAsia" w:ascii="仿宋" w:hAnsi="仿宋" w:eastAsia="仿宋" w:cs="Cambria Math"/>
                <w:color w:val="auto"/>
                <w:szCs w:val="21"/>
                <w:highlight w:val="none"/>
              </w:rPr>
              <w:t>说明</w:t>
            </w:r>
          </w:p>
        </w:tc>
      </w:tr>
      <w:tr w14:paraId="660DEBE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37FF730B">
            <w:pPr>
              <w:spacing w:line="360" w:lineRule="auto"/>
              <w:rPr>
                <w:rFonts w:hint="eastAsia" w:ascii="仿宋" w:hAnsi="仿宋" w:eastAsia="仿宋" w:cs="Cambria Math"/>
                <w:color w:val="auto"/>
                <w:szCs w:val="21"/>
                <w:highlight w:val="none"/>
              </w:rPr>
            </w:pPr>
          </w:p>
        </w:tc>
        <w:tc>
          <w:tcPr>
            <w:tcW w:w="2285" w:type="dxa"/>
            <w:noWrap w:val="0"/>
            <w:vAlign w:val="top"/>
          </w:tcPr>
          <w:p w14:paraId="5B1310E2">
            <w:pPr>
              <w:spacing w:line="360" w:lineRule="auto"/>
              <w:rPr>
                <w:rFonts w:hint="eastAsia" w:ascii="仿宋" w:hAnsi="仿宋" w:eastAsia="仿宋" w:cs="Cambria Math"/>
                <w:color w:val="auto"/>
                <w:szCs w:val="21"/>
                <w:highlight w:val="none"/>
              </w:rPr>
            </w:pPr>
          </w:p>
        </w:tc>
        <w:tc>
          <w:tcPr>
            <w:tcW w:w="2495" w:type="dxa"/>
            <w:noWrap w:val="0"/>
            <w:vAlign w:val="top"/>
          </w:tcPr>
          <w:p w14:paraId="7FACCBC0">
            <w:pPr>
              <w:spacing w:line="360" w:lineRule="auto"/>
              <w:rPr>
                <w:rFonts w:hint="eastAsia" w:ascii="仿宋" w:hAnsi="仿宋" w:eastAsia="仿宋" w:cs="Cambria Math"/>
                <w:color w:val="auto"/>
                <w:szCs w:val="21"/>
                <w:highlight w:val="none"/>
              </w:rPr>
            </w:pPr>
          </w:p>
        </w:tc>
        <w:tc>
          <w:tcPr>
            <w:tcW w:w="2704" w:type="dxa"/>
            <w:noWrap w:val="0"/>
            <w:vAlign w:val="top"/>
          </w:tcPr>
          <w:p w14:paraId="53AD8A16">
            <w:pPr>
              <w:spacing w:line="360" w:lineRule="auto"/>
              <w:rPr>
                <w:rFonts w:hint="eastAsia" w:ascii="仿宋" w:hAnsi="仿宋" w:eastAsia="仿宋" w:cs="Cambria Math"/>
                <w:color w:val="auto"/>
                <w:szCs w:val="21"/>
                <w:highlight w:val="none"/>
              </w:rPr>
            </w:pPr>
          </w:p>
        </w:tc>
        <w:tc>
          <w:tcPr>
            <w:tcW w:w="1408" w:type="dxa"/>
            <w:noWrap w:val="0"/>
            <w:vAlign w:val="top"/>
          </w:tcPr>
          <w:p w14:paraId="67C48533">
            <w:pPr>
              <w:spacing w:line="360" w:lineRule="auto"/>
              <w:rPr>
                <w:rFonts w:hint="eastAsia" w:ascii="仿宋" w:hAnsi="仿宋" w:eastAsia="仿宋" w:cs="Cambria Math"/>
                <w:color w:val="auto"/>
                <w:szCs w:val="21"/>
                <w:highlight w:val="none"/>
              </w:rPr>
            </w:pPr>
          </w:p>
        </w:tc>
      </w:tr>
      <w:tr w14:paraId="19E3F97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3B479339">
            <w:pPr>
              <w:spacing w:line="360" w:lineRule="auto"/>
              <w:rPr>
                <w:rFonts w:hint="eastAsia" w:ascii="仿宋" w:hAnsi="仿宋" w:eastAsia="仿宋" w:cs="Cambria Math"/>
                <w:color w:val="auto"/>
                <w:szCs w:val="21"/>
                <w:highlight w:val="none"/>
              </w:rPr>
            </w:pPr>
          </w:p>
        </w:tc>
        <w:tc>
          <w:tcPr>
            <w:tcW w:w="2285" w:type="dxa"/>
            <w:noWrap w:val="0"/>
            <w:vAlign w:val="top"/>
          </w:tcPr>
          <w:p w14:paraId="6A53529E">
            <w:pPr>
              <w:spacing w:line="360" w:lineRule="auto"/>
              <w:rPr>
                <w:rFonts w:hint="eastAsia" w:ascii="仿宋" w:hAnsi="仿宋" w:eastAsia="仿宋" w:cs="Cambria Math"/>
                <w:color w:val="auto"/>
                <w:szCs w:val="21"/>
                <w:highlight w:val="none"/>
              </w:rPr>
            </w:pPr>
          </w:p>
        </w:tc>
        <w:tc>
          <w:tcPr>
            <w:tcW w:w="2495" w:type="dxa"/>
            <w:noWrap w:val="0"/>
            <w:vAlign w:val="top"/>
          </w:tcPr>
          <w:p w14:paraId="7065CBE2">
            <w:pPr>
              <w:spacing w:line="360" w:lineRule="auto"/>
              <w:rPr>
                <w:rFonts w:hint="eastAsia" w:ascii="仿宋" w:hAnsi="仿宋" w:eastAsia="仿宋" w:cs="Cambria Math"/>
                <w:color w:val="auto"/>
                <w:szCs w:val="21"/>
                <w:highlight w:val="none"/>
              </w:rPr>
            </w:pPr>
          </w:p>
        </w:tc>
        <w:tc>
          <w:tcPr>
            <w:tcW w:w="2704" w:type="dxa"/>
            <w:noWrap w:val="0"/>
            <w:vAlign w:val="top"/>
          </w:tcPr>
          <w:p w14:paraId="617C799E">
            <w:pPr>
              <w:spacing w:line="360" w:lineRule="auto"/>
              <w:rPr>
                <w:rFonts w:hint="eastAsia" w:ascii="仿宋" w:hAnsi="仿宋" w:eastAsia="仿宋" w:cs="Cambria Math"/>
                <w:color w:val="auto"/>
                <w:szCs w:val="21"/>
                <w:highlight w:val="none"/>
              </w:rPr>
            </w:pPr>
          </w:p>
        </w:tc>
        <w:tc>
          <w:tcPr>
            <w:tcW w:w="1408" w:type="dxa"/>
            <w:noWrap w:val="0"/>
            <w:vAlign w:val="top"/>
          </w:tcPr>
          <w:p w14:paraId="13499507">
            <w:pPr>
              <w:spacing w:line="360" w:lineRule="auto"/>
              <w:rPr>
                <w:rFonts w:hint="eastAsia" w:ascii="仿宋" w:hAnsi="仿宋" w:eastAsia="仿宋" w:cs="Cambria Math"/>
                <w:color w:val="auto"/>
                <w:szCs w:val="21"/>
                <w:highlight w:val="none"/>
              </w:rPr>
            </w:pPr>
          </w:p>
        </w:tc>
      </w:tr>
      <w:tr w14:paraId="2E25C37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5BF5F283">
            <w:pPr>
              <w:spacing w:line="360" w:lineRule="auto"/>
              <w:rPr>
                <w:rFonts w:hint="eastAsia" w:ascii="仿宋" w:hAnsi="仿宋" w:eastAsia="仿宋" w:cs="Cambria Math"/>
                <w:color w:val="auto"/>
                <w:szCs w:val="21"/>
                <w:highlight w:val="none"/>
              </w:rPr>
            </w:pPr>
          </w:p>
        </w:tc>
        <w:tc>
          <w:tcPr>
            <w:tcW w:w="2285" w:type="dxa"/>
            <w:noWrap w:val="0"/>
            <w:vAlign w:val="top"/>
          </w:tcPr>
          <w:p w14:paraId="075E1B81">
            <w:pPr>
              <w:spacing w:line="360" w:lineRule="auto"/>
              <w:rPr>
                <w:rFonts w:hint="eastAsia" w:ascii="仿宋" w:hAnsi="仿宋" w:eastAsia="仿宋" w:cs="Cambria Math"/>
                <w:color w:val="auto"/>
                <w:szCs w:val="21"/>
                <w:highlight w:val="none"/>
              </w:rPr>
            </w:pPr>
          </w:p>
        </w:tc>
        <w:tc>
          <w:tcPr>
            <w:tcW w:w="2495" w:type="dxa"/>
            <w:noWrap w:val="0"/>
            <w:vAlign w:val="top"/>
          </w:tcPr>
          <w:p w14:paraId="567F08F9">
            <w:pPr>
              <w:spacing w:line="360" w:lineRule="auto"/>
              <w:rPr>
                <w:rFonts w:hint="eastAsia" w:ascii="仿宋" w:hAnsi="仿宋" w:eastAsia="仿宋" w:cs="Cambria Math"/>
                <w:color w:val="auto"/>
                <w:szCs w:val="21"/>
                <w:highlight w:val="none"/>
              </w:rPr>
            </w:pPr>
          </w:p>
        </w:tc>
        <w:tc>
          <w:tcPr>
            <w:tcW w:w="2704" w:type="dxa"/>
            <w:noWrap w:val="0"/>
            <w:vAlign w:val="top"/>
          </w:tcPr>
          <w:p w14:paraId="47F0B37F">
            <w:pPr>
              <w:spacing w:line="360" w:lineRule="auto"/>
              <w:rPr>
                <w:rFonts w:hint="eastAsia" w:ascii="仿宋" w:hAnsi="仿宋" w:eastAsia="仿宋" w:cs="Cambria Math"/>
                <w:color w:val="auto"/>
                <w:szCs w:val="21"/>
                <w:highlight w:val="none"/>
              </w:rPr>
            </w:pPr>
          </w:p>
        </w:tc>
        <w:tc>
          <w:tcPr>
            <w:tcW w:w="1408" w:type="dxa"/>
            <w:noWrap w:val="0"/>
            <w:vAlign w:val="top"/>
          </w:tcPr>
          <w:p w14:paraId="0E47351C">
            <w:pPr>
              <w:spacing w:line="360" w:lineRule="auto"/>
              <w:rPr>
                <w:rFonts w:hint="eastAsia" w:ascii="仿宋" w:hAnsi="仿宋" w:eastAsia="仿宋" w:cs="Cambria Math"/>
                <w:color w:val="auto"/>
                <w:szCs w:val="21"/>
                <w:highlight w:val="none"/>
              </w:rPr>
            </w:pPr>
          </w:p>
        </w:tc>
      </w:tr>
      <w:tr w14:paraId="588F9CA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35EC771D">
            <w:pPr>
              <w:spacing w:line="360" w:lineRule="auto"/>
              <w:rPr>
                <w:rFonts w:hint="eastAsia" w:ascii="仿宋" w:hAnsi="仿宋" w:eastAsia="仿宋" w:cs="Cambria Math"/>
                <w:color w:val="auto"/>
                <w:szCs w:val="21"/>
                <w:highlight w:val="none"/>
              </w:rPr>
            </w:pPr>
          </w:p>
        </w:tc>
        <w:tc>
          <w:tcPr>
            <w:tcW w:w="2285" w:type="dxa"/>
            <w:noWrap w:val="0"/>
            <w:vAlign w:val="top"/>
          </w:tcPr>
          <w:p w14:paraId="1697E418">
            <w:pPr>
              <w:spacing w:line="360" w:lineRule="auto"/>
              <w:rPr>
                <w:rFonts w:hint="eastAsia" w:ascii="仿宋" w:hAnsi="仿宋" w:eastAsia="仿宋" w:cs="Cambria Math"/>
                <w:color w:val="auto"/>
                <w:szCs w:val="21"/>
                <w:highlight w:val="none"/>
              </w:rPr>
            </w:pPr>
          </w:p>
        </w:tc>
        <w:tc>
          <w:tcPr>
            <w:tcW w:w="2495" w:type="dxa"/>
            <w:noWrap w:val="0"/>
            <w:vAlign w:val="top"/>
          </w:tcPr>
          <w:p w14:paraId="60AB6C64">
            <w:pPr>
              <w:spacing w:line="360" w:lineRule="auto"/>
              <w:rPr>
                <w:rFonts w:hint="eastAsia" w:ascii="仿宋" w:hAnsi="仿宋" w:eastAsia="仿宋" w:cs="Cambria Math"/>
                <w:color w:val="auto"/>
                <w:szCs w:val="21"/>
                <w:highlight w:val="none"/>
              </w:rPr>
            </w:pPr>
          </w:p>
        </w:tc>
        <w:tc>
          <w:tcPr>
            <w:tcW w:w="2704" w:type="dxa"/>
            <w:noWrap w:val="0"/>
            <w:vAlign w:val="top"/>
          </w:tcPr>
          <w:p w14:paraId="705B2536">
            <w:pPr>
              <w:spacing w:line="360" w:lineRule="auto"/>
              <w:rPr>
                <w:rFonts w:hint="eastAsia" w:ascii="仿宋" w:hAnsi="仿宋" w:eastAsia="仿宋" w:cs="Cambria Math"/>
                <w:color w:val="auto"/>
                <w:szCs w:val="21"/>
                <w:highlight w:val="none"/>
              </w:rPr>
            </w:pPr>
          </w:p>
        </w:tc>
        <w:tc>
          <w:tcPr>
            <w:tcW w:w="1408" w:type="dxa"/>
            <w:noWrap w:val="0"/>
            <w:vAlign w:val="top"/>
          </w:tcPr>
          <w:p w14:paraId="36B5A05E">
            <w:pPr>
              <w:spacing w:line="360" w:lineRule="auto"/>
              <w:rPr>
                <w:rFonts w:hint="eastAsia" w:ascii="仿宋" w:hAnsi="仿宋" w:eastAsia="仿宋" w:cs="Cambria Math"/>
                <w:color w:val="auto"/>
                <w:szCs w:val="21"/>
                <w:highlight w:val="none"/>
              </w:rPr>
            </w:pPr>
          </w:p>
        </w:tc>
      </w:tr>
      <w:tr w14:paraId="14B9A9A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79E2F568">
            <w:pPr>
              <w:spacing w:line="360" w:lineRule="auto"/>
              <w:rPr>
                <w:rFonts w:hint="eastAsia" w:ascii="仿宋" w:hAnsi="仿宋" w:eastAsia="仿宋" w:cs="Cambria Math"/>
                <w:color w:val="auto"/>
                <w:szCs w:val="21"/>
                <w:highlight w:val="none"/>
              </w:rPr>
            </w:pPr>
          </w:p>
        </w:tc>
        <w:tc>
          <w:tcPr>
            <w:tcW w:w="2285" w:type="dxa"/>
            <w:noWrap w:val="0"/>
            <w:vAlign w:val="top"/>
          </w:tcPr>
          <w:p w14:paraId="4DFC9DB2">
            <w:pPr>
              <w:spacing w:line="360" w:lineRule="auto"/>
              <w:rPr>
                <w:rFonts w:hint="eastAsia" w:ascii="仿宋" w:hAnsi="仿宋" w:eastAsia="仿宋" w:cs="Cambria Math"/>
                <w:color w:val="auto"/>
                <w:szCs w:val="21"/>
                <w:highlight w:val="none"/>
              </w:rPr>
            </w:pPr>
          </w:p>
        </w:tc>
        <w:tc>
          <w:tcPr>
            <w:tcW w:w="2495" w:type="dxa"/>
            <w:noWrap w:val="0"/>
            <w:vAlign w:val="top"/>
          </w:tcPr>
          <w:p w14:paraId="7C44BC33">
            <w:pPr>
              <w:spacing w:line="360" w:lineRule="auto"/>
              <w:rPr>
                <w:rFonts w:hint="eastAsia" w:ascii="仿宋" w:hAnsi="仿宋" w:eastAsia="仿宋" w:cs="Cambria Math"/>
                <w:color w:val="auto"/>
                <w:szCs w:val="21"/>
                <w:highlight w:val="none"/>
              </w:rPr>
            </w:pPr>
          </w:p>
        </w:tc>
        <w:tc>
          <w:tcPr>
            <w:tcW w:w="2704" w:type="dxa"/>
            <w:noWrap w:val="0"/>
            <w:vAlign w:val="top"/>
          </w:tcPr>
          <w:p w14:paraId="7D2CF958">
            <w:pPr>
              <w:spacing w:line="360" w:lineRule="auto"/>
              <w:rPr>
                <w:rFonts w:hint="eastAsia" w:ascii="仿宋" w:hAnsi="仿宋" w:eastAsia="仿宋" w:cs="Cambria Math"/>
                <w:color w:val="auto"/>
                <w:szCs w:val="21"/>
                <w:highlight w:val="none"/>
              </w:rPr>
            </w:pPr>
          </w:p>
        </w:tc>
        <w:tc>
          <w:tcPr>
            <w:tcW w:w="1408" w:type="dxa"/>
            <w:noWrap w:val="0"/>
            <w:vAlign w:val="top"/>
          </w:tcPr>
          <w:p w14:paraId="3BED23F1">
            <w:pPr>
              <w:spacing w:line="360" w:lineRule="auto"/>
              <w:rPr>
                <w:rFonts w:hint="eastAsia" w:ascii="仿宋" w:hAnsi="仿宋" w:eastAsia="仿宋" w:cs="Cambria Math"/>
                <w:color w:val="auto"/>
                <w:szCs w:val="21"/>
                <w:highlight w:val="none"/>
              </w:rPr>
            </w:pPr>
          </w:p>
        </w:tc>
      </w:tr>
      <w:tr w14:paraId="0F7B25F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03C83BEC">
            <w:pPr>
              <w:spacing w:line="360" w:lineRule="auto"/>
              <w:rPr>
                <w:rFonts w:hint="eastAsia" w:ascii="仿宋" w:hAnsi="仿宋" w:eastAsia="仿宋" w:cs="Cambria Math"/>
                <w:color w:val="auto"/>
                <w:szCs w:val="21"/>
                <w:highlight w:val="none"/>
              </w:rPr>
            </w:pPr>
          </w:p>
        </w:tc>
        <w:tc>
          <w:tcPr>
            <w:tcW w:w="2285" w:type="dxa"/>
            <w:noWrap w:val="0"/>
            <w:vAlign w:val="top"/>
          </w:tcPr>
          <w:p w14:paraId="0B523E57">
            <w:pPr>
              <w:spacing w:line="360" w:lineRule="auto"/>
              <w:rPr>
                <w:rFonts w:hint="eastAsia" w:ascii="仿宋" w:hAnsi="仿宋" w:eastAsia="仿宋" w:cs="Cambria Math"/>
                <w:color w:val="auto"/>
                <w:szCs w:val="21"/>
                <w:highlight w:val="none"/>
              </w:rPr>
            </w:pPr>
          </w:p>
        </w:tc>
        <w:tc>
          <w:tcPr>
            <w:tcW w:w="2495" w:type="dxa"/>
            <w:noWrap w:val="0"/>
            <w:vAlign w:val="top"/>
          </w:tcPr>
          <w:p w14:paraId="0184E149">
            <w:pPr>
              <w:spacing w:line="360" w:lineRule="auto"/>
              <w:rPr>
                <w:rFonts w:hint="eastAsia" w:ascii="仿宋" w:hAnsi="仿宋" w:eastAsia="仿宋" w:cs="Cambria Math"/>
                <w:color w:val="auto"/>
                <w:szCs w:val="21"/>
                <w:highlight w:val="none"/>
              </w:rPr>
            </w:pPr>
          </w:p>
        </w:tc>
        <w:tc>
          <w:tcPr>
            <w:tcW w:w="2704" w:type="dxa"/>
            <w:noWrap w:val="0"/>
            <w:vAlign w:val="top"/>
          </w:tcPr>
          <w:p w14:paraId="35982053">
            <w:pPr>
              <w:spacing w:line="360" w:lineRule="auto"/>
              <w:rPr>
                <w:rFonts w:hint="eastAsia" w:ascii="仿宋" w:hAnsi="仿宋" w:eastAsia="仿宋" w:cs="Cambria Math"/>
                <w:color w:val="auto"/>
                <w:szCs w:val="21"/>
                <w:highlight w:val="none"/>
              </w:rPr>
            </w:pPr>
          </w:p>
        </w:tc>
        <w:tc>
          <w:tcPr>
            <w:tcW w:w="1408" w:type="dxa"/>
            <w:noWrap w:val="0"/>
            <w:vAlign w:val="top"/>
          </w:tcPr>
          <w:p w14:paraId="1779125D">
            <w:pPr>
              <w:spacing w:line="360" w:lineRule="auto"/>
              <w:rPr>
                <w:rFonts w:hint="eastAsia" w:ascii="仿宋" w:hAnsi="仿宋" w:eastAsia="仿宋" w:cs="Cambria Math"/>
                <w:color w:val="auto"/>
                <w:szCs w:val="21"/>
                <w:highlight w:val="none"/>
              </w:rPr>
            </w:pPr>
          </w:p>
        </w:tc>
      </w:tr>
      <w:tr w14:paraId="38A2032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580B950D">
            <w:pPr>
              <w:spacing w:line="360" w:lineRule="auto"/>
              <w:rPr>
                <w:rFonts w:hint="eastAsia" w:ascii="仿宋" w:hAnsi="仿宋" w:eastAsia="仿宋" w:cs="Cambria Math"/>
                <w:color w:val="auto"/>
                <w:szCs w:val="21"/>
                <w:highlight w:val="none"/>
              </w:rPr>
            </w:pPr>
          </w:p>
        </w:tc>
        <w:tc>
          <w:tcPr>
            <w:tcW w:w="2285" w:type="dxa"/>
            <w:noWrap w:val="0"/>
            <w:vAlign w:val="top"/>
          </w:tcPr>
          <w:p w14:paraId="5C91FAB3">
            <w:pPr>
              <w:spacing w:line="360" w:lineRule="auto"/>
              <w:rPr>
                <w:rFonts w:hint="eastAsia" w:ascii="仿宋" w:hAnsi="仿宋" w:eastAsia="仿宋" w:cs="Cambria Math"/>
                <w:color w:val="auto"/>
                <w:szCs w:val="21"/>
                <w:highlight w:val="none"/>
              </w:rPr>
            </w:pPr>
          </w:p>
        </w:tc>
        <w:tc>
          <w:tcPr>
            <w:tcW w:w="2495" w:type="dxa"/>
            <w:noWrap w:val="0"/>
            <w:vAlign w:val="top"/>
          </w:tcPr>
          <w:p w14:paraId="2F110626">
            <w:pPr>
              <w:spacing w:line="360" w:lineRule="auto"/>
              <w:rPr>
                <w:rFonts w:hint="eastAsia" w:ascii="仿宋" w:hAnsi="仿宋" w:eastAsia="仿宋" w:cs="Cambria Math"/>
                <w:color w:val="auto"/>
                <w:szCs w:val="21"/>
                <w:highlight w:val="none"/>
              </w:rPr>
            </w:pPr>
          </w:p>
        </w:tc>
        <w:tc>
          <w:tcPr>
            <w:tcW w:w="2704" w:type="dxa"/>
            <w:noWrap w:val="0"/>
            <w:vAlign w:val="top"/>
          </w:tcPr>
          <w:p w14:paraId="1FD382C8">
            <w:pPr>
              <w:spacing w:line="360" w:lineRule="auto"/>
              <w:rPr>
                <w:rFonts w:hint="eastAsia" w:ascii="仿宋" w:hAnsi="仿宋" w:eastAsia="仿宋" w:cs="Cambria Math"/>
                <w:color w:val="auto"/>
                <w:szCs w:val="21"/>
                <w:highlight w:val="none"/>
              </w:rPr>
            </w:pPr>
          </w:p>
        </w:tc>
        <w:tc>
          <w:tcPr>
            <w:tcW w:w="1408" w:type="dxa"/>
            <w:noWrap w:val="0"/>
            <w:vAlign w:val="top"/>
          </w:tcPr>
          <w:p w14:paraId="09E83BC9">
            <w:pPr>
              <w:spacing w:line="360" w:lineRule="auto"/>
              <w:rPr>
                <w:rFonts w:hint="eastAsia" w:ascii="仿宋" w:hAnsi="仿宋" w:eastAsia="仿宋" w:cs="Cambria Math"/>
                <w:color w:val="auto"/>
                <w:szCs w:val="21"/>
                <w:highlight w:val="none"/>
              </w:rPr>
            </w:pPr>
          </w:p>
        </w:tc>
      </w:tr>
      <w:tr w14:paraId="18EB811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0C3B615C">
            <w:pPr>
              <w:spacing w:line="360" w:lineRule="auto"/>
              <w:rPr>
                <w:rFonts w:hint="eastAsia" w:ascii="仿宋" w:hAnsi="仿宋" w:eastAsia="仿宋" w:cs="Cambria Math"/>
                <w:color w:val="auto"/>
                <w:szCs w:val="21"/>
                <w:highlight w:val="none"/>
              </w:rPr>
            </w:pPr>
          </w:p>
        </w:tc>
        <w:tc>
          <w:tcPr>
            <w:tcW w:w="2285" w:type="dxa"/>
            <w:noWrap w:val="0"/>
            <w:vAlign w:val="top"/>
          </w:tcPr>
          <w:p w14:paraId="506569C9">
            <w:pPr>
              <w:spacing w:line="360" w:lineRule="auto"/>
              <w:rPr>
                <w:rFonts w:hint="eastAsia" w:ascii="仿宋" w:hAnsi="仿宋" w:eastAsia="仿宋" w:cs="Cambria Math"/>
                <w:color w:val="auto"/>
                <w:szCs w:val="21"/>
                <w:highlight w:val="none"/>
              </w:rPr>
            </w:pPr>
          </w:p>
        </w:tc>
        <w:tc>
          <w:tcPr>
            <w:tcW w:w="2495" w:type="dxa"/>
            <w:noWrap w:val="0"/>
            <w:vAlign w:val="top"/>
          </w:tcPr>
          <w:p w14:paraId="652DD1EF">
            <w:pPr>
              <w:spacing w:line="360" w:lineRule="auto"/>
              <w:rPr>
                <w:rFonts w:hint="eastAsia" w:ascii="仿宋" w:hAnsi="仿宋" w:eastAsia="仿宋" w:cs="Cambria Math"/>
                <w:color w:val="auto"/>
                <w:szCs w:val="21"/>
                <w:highlight w:val="none"/>
              </w:rPr>
            </w:pPr>
          </w:p>
        </w:tc>
        <w:tc>
          <w:tcPr>
            <w:tcW w:w="2704" w:type="dxa"/>
            <w:noWrap w:val="0"/>
            <w:vAlign w:val="top"/>
          </w:tcPr>
          <w:p w14:paraId="6B640511">
            <w:pPr>
              <w:spacing w:line="360" w:lineRule="auto"/>
              <w:rPr>
                <w:rFonts w:hint="eastAsia" w:ascii="仿宋" w:hAnsi="仿宋" w:eastAsia="仿宋" w:cs="Cambria Math"/>
                <w:color w:val="auto"/>
                <w:szCs w:val="21"/>
                <w:highlight w:val="none"/>
              </w:rPr>
            </w:pPr>
          </w:p>
        </w:tc>
        <w:tc>
          <w:tcPr>
            <w:tcW w:w="1408" w:type="dxa"/>
            <w:noWrap w:val="0"/>
            <w:vAlign w:val="top"/>
          </w:tcPr>
          <w:p w14:paraId="1B464F34">
            <w:pPr>
              <w:spacing w:line="360" w:lineRule="auto"/>
              <w:rPr>
                <w:rFonts w:hint="eastAsia" w:ascii="仿宋" w:hAnsi="仿宋" w:eastAsia="仿宋" w:cs="Cambria Math"/>
                <w:color w:val="auto"/>
                <w:szCs w:val="21"/>
                <w:highlight w:val="none"/>
              </w:rPr>
            </w:pPr>
          </w:p>
        </w:tc>
      </w:tr>
      <w:tr w14:paraId="2E759B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004EA469">
            <w:pPr>
              <w:spacing w:line="360" w:lineRule="auto"/>
              <w:rPr>
                <w:rFonts w:hint="eastAsia" w:ascii="仿宋" w:hAnsi="仿宋" w:eastAsia="仿宋" w:cs="Cambria Math"/>
                <w:color w:val="auto"/>
                <w:szCs w:val="21"/>
                <w:highlight w:val="none"/>
              </w:rPr>
            </w:pPr>
          </w:p>
        </w:tc>
        <w:tc>
          <w:tcPr>
            <w:tcW w:w="2285" w:type="dxa"/>
            <w:noWrap w:val="0"/>
            <w:vAlign w:val="top"/>
          </w:tcPr>
          <w:p w14:paraId="046A2827">
            <w:pPr>
              <w:spacing w:line="360" w:lineRule="auto"/>
              <w:rPr>
                <w:rFonts w:hint="eastAsia" w:ascii="仿宋" w:hAnsi="仿宋" w:eastAsia="仿宋" w:cs="Cambria Math"/>
                <w:color w:val="auto"/>
                <w:szCs w:val="21"/>
                <w:highlight w:val="none"/>
              </w:rPr>
            </w:pPr>
          </w:p>
        </w:tc>
        <w:tc>
          <w:tcPr>
            <w:tcW w:w="2495" w:type="dxa"/>
            <w:noWrap w:val="0"/>
            <w:vAlign w:val="top"/>
          </w:tcPr>
          <w:p w14:paraId="63AF0B39">
            <w:pPr>
              <w:spacing w:line="360" w:lineRule="auto"/>
              <w:rPr>
                <w:rFonts w:hint="eastAsia" w:ascii="仿宋" w:hAnsi="仿宋" w:eastAsia="仿宋" w:cs="Cambria Math"/>
                <w:color w:val="auto"/>
                <w:szCs w:val="21"/>
                <w:highlight w:val="none"/>
              </w:rPr>
            </w:pPr>
          </w:p>
        </w:tc>
        <w:tc>
          <w:tcPr>
            <w:tcW w:w="2704" w:type="dxa"/>
            <w:noWrap w:val="0"/>
            <w:vAlign w:val="top"/>
          </w:tcPr>
          <w:p w14:paraId="69C6B3A1">
            <w:pPr>
              <w:spacing w:line="360" w:lineRule="auto"/>
              <w:rPr>
                <w:rFonts w:hint="eastAsia" w:ascii="仿宋" w:hAnsi="仿宋" w:eastAsia="仿宋" w:cs="Cambria Math"/>
                <w:color w:val="auto"/>
                <w:szCs w:val="21"/>
                <w:highlight w:val="none"/>
              </w:rPr>
            </w:pPr>
          </w:p>
        </w:tc>
        <w:tc>
          <w:tcPr>
            <w:tcW w:w="1408" w:type="dxa"/>
            <w:noWrap w:val="0"/>
            <w:vAlign w:val="top"/>
          </w:tcPr>
          <w:p w14:paraId="3E0F5339">
            <w:pPr>
              <w:spacing w:line="360" w:lineRule="auto"/>
              <w:rPr>
                <w:rFonts w:hint="eastAsia" w:ascii="仿宋" w:hAnsi="仿宋" w:eastAsia="仿宋" w:cs="Cambria Math"/>
                <w:color w:val="auto"/>
                <w:szCs w:val="21"/>
                <w:highlight w:val="none"/>
              </w:rPr>
            </w:pPr>
          </w:p>
        </w:tc>
      </w:tr>
      <w:tr w14:paraId="4305440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4CC61915">
            <w:pPr>
              <w:spacing w:line="360" w:lineRule="auto"/>
              <w:rPr>
                <w:rFonts w:hint="eastAsia" w:ascii="仿宋" w:hAnsi="仿宋" w:eastAsia="仿宋" w:cs="Cambria Math"/>
                <w:color w:val="auto"/>
                <w:szCs w:val="21"/>
                <w:highlight w:val="none"/>
              </w:rPr>
            </w:pPr>
          </w:p>
        </w:tc>
        <w:tc>
          <w:tcPr>
            <w:tcW w:w="2285" w:type="dxa"/>
            <w:noWrap w:val="0"/>
            <w:vAlign w:val="top"/>
          </w:tcPr>
          <w:p w14:paraId="41F04420">
            <w:pPr>
              <w:spacing w:line="360" w:lineRule="auto"/>
              <w:rPr>
                <w:rFonts w:hint="eastAsia" w:ascii="仿宋" w:hAnsi="仿宋" w:eastAsia="仿宋" w:cs="Cambria Math"/>
                <w:color w:val="auto"/>
                <w:szCs w:val="21"/>
                <w:highlight w:val="none"/>
              </w:rPr>
            </w:pPr>
          </w:p>
        </w:tc>
        <w:tc>
          <w:tcPr>
            <w:tcW w:w="2495" w:type="dxa"/>
            <w:noWrap w:val="0"/>
            <w:vAlign w:val="top"/>
          </w:tcPr>
          <w:p w14:paraId="05035D10">
            <w:pPr>
              <w:spacing w:line="360" w:lineRule="auto"/>
              <w:rPr>
                <w:rFonts w:hint="eastAsia" w:ascii="仿宋" w:hAnsi="仿宋" w:eastAsia="仿宋" w:cs="Cambria Math"/>
                <w:color w:val="auto"/>
                <w:szCs w:val="21"/>
                <w:highlight w:val="none"/>
              </w:rPr>
            </w:pPr>
          </w:p>
        </w:tc>
        <w:tc>
          <w:tcPr>
            <w:tcW w:w="2704" w:type="dxa"/>
            <w:noWrap w:val="0"/>
            <w:vAlign w:val="top"/>
          </w:tcPr>
          <w:p w14:paraId="168BDF62">
            <w:pPr>
              <w:spacing w:line="360" w:lineRule="auto"/>
              <w:rPr>
                <w:rFonts w:hint="eastAsia" w:ascii="仿宋" w:hAnsi="仿宋" w:eastAsia="仿宋" w:cs="Cambria Math"/>
                <w:color w:val="auto"/>
                <w:szCs w:val="21"/>
                <w:highlight w:val="none"/>
              </w:rPr>
            </w:pPr>
          </w:p>
        </w:tc>
        <w:tc>
          <w:tcPr>
            <w:tcW w:w="1408" w:type="dxa"/>
            <w:noWrap w:val="0"/>
            <w:vAlign w:val="top"/>
          </w:tcPr>
          <w:p w14:paraId="5DD487A7">
            <w:pPr>
              <w:spacing w:line="360" w:lineRule="auto"/>
              <w:rPr>
                <w:rFonts w:hint="eastAsia" w:ascii="仿宋" w:hAnsi="仿宋" w:eastAsia="仿宋" w:cs="Cambria Math"/>
                <w:color w:val="auto"/>
                <w:szCs w:val="21"/>
                <w:highlight w:val="none"/>
              </w:rPr>
            </w:pPr>
          </w:p>
        </w:tc>
      </w:tr>
    </w:tbl>
    <w:p w14:paraId="3F0BD2C8">
      <w:pPr>
        <w:spacing w:before="240" w:line="360" w:lineRule="auto"/>
        <w:ind w:left="480" w:hanging="480" w:hangingChars="200"/>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注：所有偏离必须在本表中列出，未在本偏离表中列出偏离，将视为供应商已完全接受竞争性磋商文件要求；</w:t>
      </w:r>
      <w:r>
        <w:rPr>
          <w:rFonts w:hint="eastAsia" w:ascii="仿宋" w:hAnsi="仿宋" w:eastAsia="仿宋" w:cs="Cambria Math"/>
          <w:b/>
          <w:bCs/>
          <w:color w:val="auto"/>
          <w:sz w:val="24"/>
          <w:highlight w:val="none"/>
        </w:rPr>
        <w:t>如全部满足，在偏离表中应答“全部满足”即可</w:t>
      </w:r>
      <w:r>
        <w:rPr>
          <w:rFonts w:hint="eastAsia" w:ascii="仿宋" w:hAnsi="仿宋" w:eastAsia="仿宋" w:cs="Cambria Math"/>
          <w:color w:val="auto"/>
          <w:sz w:val="24"/>
          <w:highlight w:val="none"/>
        </w:rPr>
        <w:t>。</w:t>
      </w:r>
    </w:p>
    <w:p w14:paraId="7041D099">
      <w:pPr>
        <w:spacing w:line="600" w:lineRule="exact"/>
        <w:rPr>
          <w:rFonts w:hint="eastAsia" w:ascii="仿宋" w:hAnsi="仿宋" w:eastAsia="仿宋" w:cs="仿宋"/>
          <w:color w:val="auto"/>
          <w:szCs w:val="21"/>
          <w:highlight w:val="none"/>
        </w:rPr>
      </w:pPr>
    </w:p>
    <w:p w14:paraId="659A0CFB">
      <w:pPr>
        <w:spacing w:line="360" w:lineRule="auto"/>
        <w:ind w:firstLine="420"/>
        <w:jc w:val="right"/>
        <w:rPr>
          <w:rFonts w:ascii="仿宋" w:hAnsi="仿宋" w:eastAsia="仿宋" w:cs="仿宋"/>
          <w:color w:val="auto"/>
          <w:sz w:val="24"/>
          <w:highlight w:val="none"/>
        </w:rPr>
      </w:pPr>
    </w:p>
    <w:p w14:paraId="4FC01AB3">
      <w:pPr>
        <w:spacing w:line="440" w:lineRule="exact"/>
        <w:ind w:firstLine="4080" w:firstLineChars="17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14:paraId="3198E7EE">
      <w:pPr>
        <w:spacing w:line="44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6E43FAE8">
      <w:pPr>
        <w:spacing w:line="360" w:lineRule="auto"/>
        <w:rPr>
          <w:rFonts w:hint="eastAsia" w:ascii="仿宋" w:hAnsi="仿宋" w:eastAsia="仿宋" w:cs="仿宋"/>
          <w:color w:val="auto"/>
          <w:highlight w:val="none"/>
          <w:u w:val="single"/>
        </w:rPr>
      </w:pPr>
    </w:p>
    <w:p w14:paraId="48906B5B">
      <w:pPr>
        <w:pStyle w:val="4"/>
        <w:numPr>
          <w:ilvl w:val="0"/>
          <w:numId w:val="0"/>
        </w:numPr>
        <w:spacing w:before="0" w:after="0" w:line="360" w:lineRule="auto"/>
        <w:rPr>
          <w:rFonts w:hint="eastAsia" w:ascii="仿宋" w:hAnsi="仿宋" w:eastAsia="仿宋" w:cs="宋体"/>
          <w:color w:val="auto"/>
          <w:sz w:val="24"/>
          <w:highlight w:val="none"/>
        </w:rPr>
        <w:sectPr>
          <w:pgSz w:w="11906" w:h="16838"/>
          <w:pgMar w:top="1417" w:right="1134" w:bottom="1134" w:left="1134" w:header="851" w:footer="992" w:gutter="0"/>
          <w:cols w:space="720" w:num="1"/>
          <w:titlePg/>
          <w:docGrid w:type="lines" w:linePitch="312" w:charSpace="0"/>
        </w:sectPr>
      </w:pPr>
      <w:r>
        <w:rPr>
          <w:rFonts w:ascii="仿宋" w:hAnsi="仿宋" w:eastAsia="仿宋" w:cs="仿宋"/>
          <w:color w:val="auto"/>
          <w:sz w:val="24"/>
          <w:szCs w:val="24"/>
          <w:highlight w:val="none"/>
        </w:rPr>
        <w:br w:type="page"/>
      </w:r>
    </w:p>
    <w:p w14:paraId="15E4FC43">
      <w:pPr>
        <w:pStyle w:val="4"/>
        <w:numPr>
          <w:ilvl w:val="0"/>
          <w:numId w:val="0"/>
        </w:numPr>
        <w:spacing w:before="0" w:after="0" w:line="360" w:lineRule="auto"/>
        <w:rPr>
          <w:rFonts w:hint="eastAsia" w:ascii="仿宋" w:hAnsi="仿宋" w:eastAsia="仿宋" w:cs="仿宋"/>
          <w:color w:val="auto"/>
          <w:sz w:val="24"/>
          <w:szCs w:val="24"/>
          <w:highlight w:val="none"/>
        </w:rPr>
      </w:pPr>
      <w:bookmarkStart w:id="207" w:name="_Toc5342"/>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rPr>
        <w:t>）供应商行为准则承诺书</w:t>
      </w:r>
      <w:bookmarkEnd w:id="207"/>
    </w:p>
    <w:p w14:paraId="2FF267BC">
      <w:pPr>
        <w:spacing w:line="240" w:lineRule="auto"/>
        <w:jc w:val="center"/>
        <w:rPr>
          <w:rFonts w:ascii="仿宋" w:hAnsi="仿宋" w:eastAsia="仿宋" w:cs="宋体"/>
          <w:b/>
          <w:bCs/>
          <w:color w:val="auto"/>
          <w:sz w:val="28"/>
          <w:szCs w:val="28"/>
          <w:highlight w:val="none"/>
        </w:rPr>
      </w:pPr>
      <w:bookmarkStart w:id="208" w:name="_Toc15599"/>
      <w:r>
        <w:rPr>
          <w:rFonts w:hint="eastAsia" w:ascii="仿宋" w:hAnsi="仿宋" w:eastAsia="仿宋" w:cs="宋体"/>
          <w:b/>
          <w:bCs/>
          <w:color w:val="auto"/>
          <w:sz w:val="28"/>
          <w:szCs w:val="28"/>
          <w:highlight w:val="none"/>
        </w:rPr>
        <w:t>供应商行为准则承诺书</w:t>
      </w:r>
    </w:p>
    <w:p w14:paraId="6FAFB5C8">
      <w:pPr>
        <w:spacing w:line="360" w:lineRule="auto"/>
        <w:ind w:firstLine="480" w:firstLineChars="200"/>
        <w:rPr>
          <w:rFonts w:hint="eastAsia" w:ascii="仿宋" w:hAnsi="仿宋" w:eastAsia="仿宋" w:cs="仿宋"/>
          <w:color w:val="auto"/>
          <w:sz w:val="24"/>
          <w:highlight w:val="none"/>
        </w:rPr>
      </w:pPr>
    </w:p>
    <w:p w14:paraId="30954FD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27579E5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供应商经营业务时必须遵守所有适用的法律法规及相关政策等规定。如因违反任何适用的法律、法规而可能影响其按照本准则向中国人民保险提供产品及服务的能力时，应立即通知中国人民保险。</w:t>
      </w:r>
    </w:p>
    <w:p w14:paraId="4FE073DB">
      <w:pPr>
        <w:spacing w:line="360" w:lineRule="auto"/>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二、供应商应有道德地从事商业活动，坚持公平竞争原则，遵守其经营所在地及国家所有适用的反腐败法律、法规，不得有贿赂、腐败、恶意串通、恶意欺诈或其他损害中国人民保险利益的不良行为。</w:t>
      </w:r>
    </w:p>
    <w:p w14:paraId="3E7E60E1">
      <w:pPr>
        <w:spacing w:line="360" w:lineRule="auto"/>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0563C5E8">
      <w:pPr>
        <w:spacing w:line="360" w:lineRule="auto"/>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4E6AA229">
      <w:pPr>
        <w:spacing w:line="360" w:lineRule="auto"/>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4314B065">
      <w:pPr>
        <w:spacing w:line="360" w:lineRule="auto"/>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056E7FAF">
      <w:pPr>
        <w:spacing w:line="360" w:lineRule="auto"/>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6C14F19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八、供应商承诺遵守中国人民保险有关采购管理和供应商管理的相关规定、履行相应义务。</w:t>
      </w:r>
    </w:p>
    <w:p w14:paraId="6623B02B">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九、供应商参与中国人民保险采购过程中，将认真阅读并理解邀请文件的内容，并保证严格保密文件内容，不泄露中国人民保险任何信息。</w:t>
      </w:r>
    </w:p>
    <w:p w14:paraId="09DA934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十、供应商保证所递交的</w:t>
      </w:r>
      <w:r>
        <w:rPr>
          <w:rFonts w:hint="eastAsia" w:ascii="仿宋" w:hAnsi="仿宋" w:eastAsia="仿宋" w:cs="仿宋"/>
          <w:color w:val="auto"/>
          <w:sz w:val="24"/>
          <w:highlight w:val="none"/>
          <w:lang w:eastAsia="zh-CN"/>
        </w:rPr>
        <w:t>响应文件</w:t>
      </w:r>
      <w:r>
        <w:rPr>
          <w:rFonts w:hint="eastAsia" w:ascii="仿宋" w:hAnsi="仿宋" w:eastAsia="仿宋" w:cs="仿宋"/>
          <w:color w:val="auto"/>
          <w:sz w:val="24"/>
          <w:highlight w:val="none"/>
        </w:rPr>
        <w:t>、资格证明、产品资料、合同等文件内容的真实性、有效性；愿意承担虚构信息及伪造资格证明、合同等违背诚实信用原则导致的一切不利后果。</w:t>
      </w:r>
    </w:p>
    <w:p w14:paraId="031A55E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十一、供应商承诺根据中国人民保险的要求提供供应产品的市场参考价格，并保证该数据的真实性与时效性；如提供不实或虚假数据的，自愿接受录入中国人民保险供应商诚信档案记录的不利后果。</w:t>
      </w:r>
    </w:p>
    <w:p w14:paraId="76839CE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十二、如果供应商（包括咨询顾问、董事、雇员、代理人和代表）违反或未履行本承诺下的任何规定、保证及陈述，将自愿对因违反或未履行承诺书的规定而对中国人民保险造成的直接损失进行赔偿。</w:t>
      </w:r>
    </w:p>
    <w:p w14:paraId="61F25F7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十三、采购过程中涉及函件往来的，使用供应商以下地址及联系方式：</w:t>
      </w:r>
    </w:p>
    <w:p w14:paraId="6792678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公司名称（全称、盖章）：________________</w:t>
      </w:r>
    </w:p>
    <w:p w14:paraId="44288ED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法定代表人（负责人）姓名、职务：__________________</w:t>
      </w:r>
    </w:p>
    <w:p w14:paraId="159CD5E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邮编：__________地址：__________________</w:t>
      </w:r>
    </w:p>
    <w:p w14:paraId="6937A28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电话：__________传真：__________________</w:t>
      </w:r>
      <w:bookmarkStart w:id="224" w:name="_GoBack"/>
      <w:bookmarkEnd w:id="224"/>
    </w:p>
    <w:p w14:paraId="60659EA3">
      <w:pPr>
        <w:pStyle w:val="142"/>
        <w:spacing w:line="360" w:lineRule="auto"/>
        <w:ind w:firstLine="480"/>
        <w:jc w:val="both"/>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法定代表人（负责人）或授权代表签字：______________</w:t>
      </w:r>
    </w:p>
    <w:p w14:paraId="0DF2666A">
      <w:pPr>
        <w:pStyle w:val="4"/>
        <w:numPr>
          <w:ilvl w:val="0"/>
          <w:numId w:val="0"/>
        </w:numPr>
        <w:spacing w:before="0" w:after="0" w:line="360" w:lineRule="auto"/>
        <w:rPr>
          <w:rFonts w:ascii="仿宋" w:hAnsi="仿宋" w:cs="宋体"/>
          <w:color w:val="auto"/>
          <w:szCs w:val="24"/>
          <w:highlight w:val="none"/>
        </w:rPr>
      </w:pPr>
      <w:r>
        <w:rPr>
          <w:rFonts w:hint="eastAsia" w:ascii="仿宋" w:hAnsi="仿宋" w:eastAsia="仿宋" w:cs="仿宋"/>
          <w:color w:val="auto"/>
          <w:highlight w:val="none"/>
        </w:rPr>
        <w:br w:type="page"/>
      </w:r>
      <w:bookmarkStart w:id="209" w:name="_Toc10196"/>
      <w:r>
        <w:rPr>
          <w:rFonts w:hint="eastAsia" w:ascii="仿宋" w:hAnsi="仿宋" w:eastAsia="仿宋" w:cs="宋体"/>
          <w:bCs w:val="0"/>
          <w:color w:val="auto"/>
          <w:sz w:val="24"/>
          <w:szCs w:val="24"/>
          <w:highlight w:val="none"/>
        </w:rPr>
        <w:t>（</w:t>
      </w:r>
      <w:r>
        <w:rPr>
          <w:rFonts w:hint="eastAsia" w:ascii="仿宋" w:hAnsi="仿宋" w:eastAsia="仿宋" w:cs="宋体"/>
          <w:bCs w:val="0"/>
          <w:color w:val="auto"/>
          <w:sz w:val="24"/>
          <w:szCs w:val="24"/>
          <w:highlight w:val="none"/>
          <w:lang w:val="en-US" w:eastAsia="zh-CN"/>
        </w:rPr>
        <w:t>八</w:t>
      </w:r>
      <w:r>
        <w:rPr>
          <w:rFonts w:hint="eastAsia" w:ascii="仿宋" w:hAnsi="仿宋" w:eastAsia="仿宋" w:cs="宋体"/>
          <w:bCs w:val="0"/>
          <w:color w:val="auto"/>
          <w:sz w:val="24"/>
          <w:szCs w:val="24"/>
          <w:highlight w:val="none"/>
        </w:rPr>
        <w:t>）供应商廉洁诚信承诺书</w:t>
      </w:r>
      <w:bookmarkEnd w:id="208"/>
      <w:bookmarkEnd w:id="209"/>
    </w:p>
    <w:p w14:paraId="01652F33">
      <w:pPr>
        <w:spacing w:line="600" w:lineRule="exact"/>
        <w:jc w:val="center"/>
        <w:rPr>
          <w:rFonts w:hint="eastAsia"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rPr>
        <w:t>供应商廉洁诚信承诺书</w:t>
      </w:r>
    </w:p>
    <w:p w14:paraId="0B0C71F3">
      <w:pPr>
        <w:spacing w:line="360" w:lineRule="auto"/>
        <w:ind w:firstLine="480" w:firstLineChars="200"/>
        <w:rPr>
          <w:rFonts w:hint="eastAsia" w:ascii="仿宋" w:hAnsi="仿宋" w:eastAsia="仿宋" w:cs="宋体"/>
          <w:color w:val="auto"/>
          <w:sz w:val="24"/>
          <w:highlight w:val="none"/>
        </w:rPr>
      </w:pPr>
    </w:p>
    <w:p w14:paraId="38F8F326">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为维护公平竞争的市场秩序和公正透明的商业环境，保证与</w:t>
      </w:r>
      <w:r>
        <w:rPr>
          <w:rFonts w:hint="eastAsia" w:ascii="仿宋" w:hAnsi="仿宋" w:eastAsia="仿宋" w:cs="仿宋"/>
          <w:color w:val="auto"/>
          <w:sz w:val="24"/>
          <w:highlight w:val="none"/>
        </w:rPr>
        <w:t>中国人民保险集团公司、各子公司以及各级分支机构（以下简称“中国人民保险”）</w:t>
      </w:r>
      <w:r>
        <w:rPr>
          <w:rFonts w:hint="eastAsia" w:ascii="仿宋" w:hAnsi="仿宋" w:eastAsia="仿宋" w:cs="宋体"/>
          <w:color w:val="auto"/>
          <w:sz w:val="24"/>
          <w:highlight w:val="none"/>
        </w:rPr>
        <w:t>合作项目的顺利进行，我方作为参与</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的合作过程中郑重承诺如下：</w:t>
      </w:r>
    </w:p>
    <w:p w14:paraId="6996B639">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一、遵守法律法规承诺。我们将严格遵守《中华人民共和国反不正当竞争法》《关于禁止商业贿赂行为的暂行规定》等国家法律法规和</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采购管理、供应商管理相关制度要求，坚决不从事任何违法违规违纪行为。</w:t>
      </w:r>
    </w:p>
    <w:p w14:paraId="45AF2450">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二、避免利害关系承诺。我们将在采购过程中主动申报与</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及相关主体的关联及利害关系，包括我们的相关主体与</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及相关主体的关联及利害关系，避免任何可能影响公平竞争的关系或利益冲突，主动披露任何可能影响采购决策的利益关系，并采取必要的措施确保采购过程的公正性。</w:t>
      </w:r>
    </w:p>
    <w:p w14:paraId="5895C5A4">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14:paraId="50B7F14C">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三、廉洁自律承诺。我们坚决不以任何形式为获取或意图获取交易机会、竞争优势或谋取不正当利益而向</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或相关主体实施商业贿赂或营私舞弊行为，包括但不限于：</w:t>
      </w:r>
    </w:p>
    <w:p w14:paraId="14CFFD4A">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（1）以任何方式实施商业贿赂或违规提供金钱、实物、回扣、折扣、宴请与游玩活动或其他不正当利益；</w:t>
      </w:r>
    </w:p>
    <w:p w14:paraId="68B7045B">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（2）为其安排有可能影响公平、公正交易的宴请、健身、娱乐等活动；</w:t>
      </w:r>
    </w:p>
    <w:p w14:paraId="37FC9613">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（3）为其投资入股、个人借款或买卖股票、债券等提供方便；</w:t>
      </w:r>
    </w:p>
    <w:p w14:paraId="64BB8995">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（4）为其购买或装修住房、婚丧嫁娶、配偶子女上学或工作安排以及出国出境、旅游等提供方便；</w:t>
      </w:r>
    </w:p>
    <w:p w14:paraId="12C6197D">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（5）违反规定为其在我方相关企业工作、挂名兼职、合伙经营、介绍承揽业务等提供方便；</w:t>
      </w:r>
    </w:p>
    <w:p w14:paraId="6EE9EAA7">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（6）向其提供借款、融资、担保等；</w:t>
      </w:r>
    </w:p>
    <w:p w14:paraId="00403FE2">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（7）给予或承诺给予其不正当利益的其他行为；</w:t>
      </w:r>
    </w:p>
    <w:p w14:paraId="497380C6">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（8）其他违反国家法律法规或商业道德准则的影响公正交易的行为。</w:t>
      </w:r>
    </w:p>
    <w:p w14:paraId="4F4D1469">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我们也不会以任何方式向</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或相关主体索要金钱、实物等不正当利益，或收受中国人保或相关主体给予的金钱、实物等不正当利益。</w:t>
      </w:r>
    </w:p>
    <w:p w14:paraId="69AA9E45">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四、诚实信用承诺。我们坚决不进行任何违背诚实信用原则的行为，包括但不限于：</w:t>
      </w:r>
    </w:p>
    <w:p w14:paraId="2068407C">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出借、转让资质证书；</w:t>
      </w:r>
    </w:p>
    <w:p w14:paraId="03A8DE6E">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伙同他人串标、围标或非法排挤竞争对手；</w:t>
      </w:r>
    </w:p>
    <w:p w14:paraId="52B86ADF">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在采购活动中提供虚假资料，以他人名义参与或者以其他方式弄虚作假，夸大自身技术和提供服务的能力，损害贵方合法权益；</w:t>
      </w:r>
    </w:p>
    <w:p w14:paraId="408F16E6">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（4）隐瞒任何可能对贵方利益造成影响的信息，不配合贵方的审计。</w:t>
      </w:r>
    </w:p>
    <w:p w14:paraId="3983FBA2">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14:paraId="2AB5045A">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六、加强内部管理承诺。为了实现以上承诺要求，我们将积极配合采取以下措施，不断加强自身内部管理：</w:t>
      </w:r>
    </w:p>
    <w:p w14:paraId="6C5DB14B">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（1）廉洁教育培训：加强对员工的廉洁教育和培训，提高员工的道德素质和法律意识，建立健全内部管理制度，确保员工行为的合规性和廉洁性；</w:t>
      </w:r>
    </w:p>
    <w:p w14:paraId="6F1A77B1">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（2）设立监督机制：通过专门的监督机构或人员，对我方的业务活动进行实时监督，确保员工行为的合规性；</w:t>
      </w:r>
    </w:p>
    <w:p w14:paraId="77E12C65">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（3）建立举报制度：鼓励员工积极举报违规行为，对举报人予以保护并给予奖励。</w:t>
      </w:r>
    </w:p>
    <w:p w14:paraId="38DDC259">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七、配合监督承诺。我们将积极配合</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14:paraId="30B271E1">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八、如违反上述承诺，我方自愿承担以下法律责任：</w:t>
      </w:r>
    </w:p>
    <w:p w14:paraId="41B89667">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（1）如我方及我方工作人员违反本承诺书承诺，</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有权依据其采购管理、供应商管理和</w:t>
      </w:r>
      <w:r>
        <w:rPr>
          <w:rFonts w:hint="eastAsia" w:ascii="仿宋" w:hAnsi="仿宋" w:eastAsia="仿宋" w:cs="宋体"/>
          <w:color w:val="auto"/>
          <w:sz w:val="24"/>
          <w:highlight w:val="none"/>
          <w:lang w:eastAsia="zh-CN"/>
        </w:rPr>
        <w:t>磋商文件</w:t>
      </w:r>
      <w:r>
        <w:rPr>
          <w:rFonts w:hint="eastAsia" w:ascii="仿宋" w:hAnsi="仿宋" w:eastAsia="仿宋" w:cs="宋体"/>
          <w:color w:val="auto"/>
          <w:sz w:val="24"/>
          <w:highlight w:val="none"/>
        </w:rPr>
        <w:t>相关要求，对我方进行严肃处理，相关处罚结果记入供应商诚信档案；</w:t>
      </w:r>
    </w:p>
    <w:p w14:paraId="08CC969A">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（2）如我方及我方工作人员违反本承诺书承诺，</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及其子公司等所有关联主体有权限制或取消我方在</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参与</w:t>
      </w:r>
      <w:r>
        <w:rPr>
          <w:rFonts w:hint="eastAsia" w:ascii="仿宋" w:hAnsi="仿宋" w:eastAsia="仿宋" w:cs="宋体"/>
          <w:color w:val="auto"/>
          <w:sz w:val="24"/>
          <w:highlight w:val="none"/>
          <w:lang w:val="en-US" w:eastAsia="zh-CN"/>
        </w:rPr>
        <w:t>采购</w:t>
      </w:r>
      <w:r>
        <w:rPr>
          <w:rFonts w:hint="eastAsia" w:ascii="仿宋" w:hAnsi="仿宋" w:eastAsia="仿宋" w:cs="宋体"/>
          <w:color w:val="auto"/>
          <w:sz w:val="24"/>
          <w:highlight w:val="none"/>
        </w:rPr>
        <w:t>项目的资格；</w:t>
      </w:r>
    </w:p>
    <w:p w14:paraId="35739206">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（3）如我方及我方工作人员违反本承诺书承诺，</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及其子公司等所有关联主体有权选择单方全面终止与我方的合同及合作而无需承担任何责任；</w:t>
      </w:r>
    </w:p>
    <w:p w14:paraId="09B11EF5">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（4）如我方及我方工作人员违反本承诺书承诺，除承担前述（1）（2）（3）项责任外，</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及其子公司等所有关联主体有权扣除我方缴纳的投标保证金，投标保证金不足以弥补损失的，还有权要求我方承担相应的赔偿责任。</w:t>
      </w:r>
    </w:p>
    <w:p w14:paraId="6FB86865">
      <w:pPr>
        <w:spacing w:line="360" w:lineRule="auto"/>
        <w:ind w:firstLine="480" w:firstLineChars="200"/>
        <w:rPr>
          <w:rFonts w:hint="eastAsia" w:ascii="仿宋" w:hAnsi="仿宋" w:eastAsia="仿宋" w:cs="宋体"/>
          <w:color w:val="auto"/>
          <w:sz w:val="24"/>
          <w:highlight w:val="none"/>
        </w:rPr>
      </w:pPr>
    </w:p>
    <w:p w14:paraId="41FABEAE">
      <w:pPr>
        <w:spacing w:line="360" w:lineRule="auto"/>
        <w:ind w:firstLine="480" w:firstLineChars="200"/>
        <w:rPr>
          <w:rFonts w:hint="eastAsia" w:ascii="仿宋" w:hAnsi="仿宋" w:eastAsia="仿宋" w:cs="宋体"/>
          <w:color w:val="auto"/>
          <w:sz w:val="24"/>
          <w:highlight w:val="none"/>
        </w:rPr>
      </w:pPr>
      <w:r>
        <w:rPr>
          <w:rFonts w:hint="eastAsia" w:ascii="仿宋" w:hAnsi="仿宋" w:eastAsia="仿宋" w:cs="宋体"/>
          <w:color w:val="auto"/>
          <w:sz w:val="24"/>
          <w:highlight w:val="none"/>
        </w:rPr>
        <w:t>本承诺书自承诺方签字和盖章之日起生效。如我方成功中选</w:t>
      </w:r>
      <w:r>
        <w:rPr>
          <w:rFonts w:hint="eastAsia" w:ascii="仿宋" w:hAnsi="仿宋" w:eastAsia="仿宋" w:cs="仿宋"/>
          <w:color w:val="auto"/>
          <w:sz w:val="24"/>
          <w:highlight w:val="none"/>
        </w:rPr>
        <w:t>中国人民保险</w:t>
      </w:r>
      <w:r>
        <w:rPr>
          <w:rFonts w:hint="eastAsia" w:ascii="仿宋" w:hAnsi="仿宋" w:eastAsia="仿宋" w:cs="宋体"/>
          <w:color w:val="auto"/>
          <w:sz w:val="24"/>
          <w:highlight w:val="none"/>
        </w:rPr>
        <w:t>采购项目，将按中国人民保险管理要求签署廉洁诚信协议作为采购合同附件，并严格遵守协议相关条款。</w:t>
      </w:r>
    </w:p>
    <w:p w14:paraId="2F27A93E">
      <w:pPr>
        <w:spacing w:line="360" w:lineRule="auto"/>
        <w:ind w:firstLine="480" w:firstLineChars="200"/>
        <w:rPr>
          <w:rFonts w:hint="eastAsia" w:ascii="仿宋" w:hAnsi="仿宋" w:eastAsia="仿宋" w:cs="宋体"/>
          <w:color w:val="auto"/>
          <w:sz w:val="24"/>
          <w:highlight w:val="none"/>
        </w:rPr>
      </w:pPr>
    </w:p>
    <w:p w14:paraId="49DFFF3A">
      <w:pPr>
        <w:tabs>
          <w:tab w:val="left" w:pos="458"/>
        </w:tabs>
        <w:spacing w:line="360" w:lineRule="auto"/>
        <w:ind w:firstLine="3578" w:firstLineChars="1491"/>
        <w:rPr>
          <w:rFonts w:hint="eastAsia" w:ascii="仿宋" w:hAnsi="仿宋" w:eastAsia="仿宋" w:cs="仿宋"/>
          <w:color w:val="auto"/>
          <w:sz w:val="24"/>
          <w:highlight w:val="none"/>
        </w:rPr>
      </w:pPr>
      <w:r>
        <w:rPr>
          <w:rFonts w:hint="eastAsia" w:ascii="仿宋" w:hAnsi="仿宋" w:eastAsia="仿宋" w:cs="仿宋"/>
          <w:color w:val="auto"/>
          <w:sz w:val="24"/>
          <w:highlight w:val="none"/>
        </w:rPr>
        <w:t>公司名称（全称、盖章）：________________</w:t>
      </w:r>
    </w:p>
    <w:p w14:paraId="05AA79DD">
      <w:pPr>
        <w:spacing w:line="360" w:lineRule="auto"/>
        <w:ind w:firstLine="3578" w:firstLineChars="1491"/>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法定代表人姓名、职务：__________________</w:t>
      </w:r>
    </w:p>
    <w:p w14:paraId="2FD1DB0C">
      <w:pPr>
        <w:spacing w:line="360" w:lineRule="auto"/>
        <w:ind w:firstLine="3578" w:firstLineChars="1491"/>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法定代表人或授权代表签字：______________</w:t>
      </w:r>
    </w:p>
    <w:p w14:paraId="693B2646">
      <w:pPr>
        <w:spacing w:line="360" w:lineRule="auto"/>
        <w:ind w:firstLine="3578" w:firstLineChars="1491"/>
        <w:rPr>
          <w:rFonts w:ascii="仿宋" w:hAnsi="仿宋" w:eastAsia="仿宋" w:cs="仿宋"/>
          <w:color w:val="auto"/>
          <w:sz w:val="24"/>
          <w:szCs w:val="24"/>
          <w:highlight w:val="none"/>
        </w:rPr>
      </w:pPr>
      <w:r>
        <w:rPr>
          <w:rFonts w:hint="eastAsia" w:ascii="仿宋" w:hAnsi="仿宋" w:eastAsia="仿宋" w:cs="仿宋"/>
          <w:b w:val="0"/>
          <w:bCs w:val="0"/>
          <w:color w:val="auto"/>
          <w:kern w:val="2"/>
          <w:sz w:val="24"/>
          <w:szCs w:val="24"/>
          <w:highlight w:val="none"/>
          <w:lang w:val="en-US" w:eastAsia="zh-CN" w:bidi="ar-SA"/>
        </w:rPr>
        <w:t>日期：__________________________________</w:t>
      </w:r>
      <w:r>
        <w:rPr>
          <w:rFonts w:hint="eastAsia" w:ascii="仿宋" w:hAnsi="仿宋" w:eastAsia="仿宋" w:cs="仿宋"/>
          <w:color w:val="auto"/>
          <w:highlight w:val="none"/>
        </w:rPr>
        <w:br w:type="page"/>
      </w:r>
      <w:r>
        <w:rPr>
          <w:rStyle w:val="59"/>
          <w:rFonts w:hint="eastAsia" w:ascii="仿宋" w:hAnsi="仿宋" w:eastAsia="仿宋" w:cs="仿宋"/>
          <w:color w:val="auto"/>
          <w:sz w:val="24"/>
          <w:szCs w:val="24"/>
          <w:highlight w:val="none"/>
        </w:rPr>
        <w:t>（</w:t>
      </w:r>
      <w:r>
        <w:rPr>
          <w:rStyle w:val="59"/>
          <w:rFonts w:hint="eastAsia" w:ascii="仿宋" w:hAnsi="仿宋" w:eastAsia="仿宋" w:cs="仿宋"/>
          <w:color w:val="auto"/>
          <w:sz w:val="24"/>
          <w:szCs w:val="24"/>
          <w:highlight w:val="none"/>
          <w:lang w:val="en-US" w:eastAsia="zh-CN"/>
        </w:rPr>
        <w:t>九</w:t>
      </w:r>
      <w:r>
        <w:rPr>
          <w:rStyle w:val="59"/>
          <w:rFonts w:hint="eastAsia" w:ascii="仿宋" w:hAnsi="仿宋" w:eastAsia="仿宋" w:cs="仿宋"/>
          <w:color w:val="auto"/>
          <w:sz w:val="24"/>
          <w:szCs w:val="24"/>
          <w:highlight w:val="none"/>
        </w:rPr>
        <w:t>）其他材料</w:t>
      </w:r>
    </w:p>
    <w:p w14:paraId="6FE91B89">
      <w:pPr>
        <w:spacing w:line="360" w:lineRule="auto"/>
        <w:rPr>
          <w:rFonts w:hint="eastAsia" w:ascii="宋体" w:hAnsi="宋体"/>
          <w:color w:val="auto"/>
          <w:kern w:val="0"/>
          <w:szCs w:val="21"/>
          <w:highlight w:val="none"/>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auto"/>
          <w:sz w:val="24"/>
          <w:highlight w:val="none"/>
        </w:rPr>
        <w:t>供应商</w:t>
      </w:r>
      <w:r>
        <w:rPr>
          <w:rFonts w:ascii="仿宋" w:hAnsi="仿宋" w:eastAsia="仿宋" w:cs="Cambria Math"/>
          <w:color w:val="auto"/>
          <w:sz w:val="24"/>
          <w:highlight w:val="none"/>
        </w:rPr>
        <w:t>认为需提供的其他材料</w:t>
      </w:r>
      <w:r>
        <w:rPr>
          <w:rFonts w:hint="eastAsia" w:ascii="仿宋" w:hAnsi="仿宋" w:eastAsia="仿宋" w:cs="Cambria Math"/>
          <w:color w:val="auto"/>
          <w:sz w:val="24"/>
          <w:highlight w:val="none"/>
        </w:rPr>
        <w:t>。</w:t>
      </w:r>
    </w:p>
    <w:bookmarkEnd w:id="198"/>
    <w:p w14:paraId="6FC49596">
      <w:pPr>
        <w:pStyle w:val="3"/>
        <w:ind w:firstLine="0" w:firstLineChars="0"/>
        <w:jc w:val="both"/>
        <w:rPr>
          <w:rFonts w:hint="eastAsia" w:ascii="仿宋" w:hAnsi="仿宋" w:eastAsia="仿宋" w:cs="仿宋"/>
          <w:color w:val="auto"/>
          <w:sz w:val="24"/>
          <w:szCs w:val="24"/>
          <w:highlight w:val="none"/>
        </w:rPr>
      </w:pPr>
      <w:bookmarkStart w:id="210" w:name="_Toc23266"/>
      <w:r>
        <w:rPr>
          <w:rFonts w:hint="eastAsia" w:ascii="仿宋" w:hAnsi="仿宋" w:eastAsia="仿宋" w:cs="仿宋"/>
          <w:color w:val="auto"/>
          <w:sz w:val="24"/>
          <w:szCs w:val="24"/>
          <w:highlight w:val="none"/>
        </w:rPr>
        <w:t>二、技术文件</w:t>
      </w:r>
      <w:bookmarkEnd w:id="199"/>
      <w:bookmarkEnd w:id="210"/>
    </w:p>
    <w:bookmarkEnd w:id="200"/>
    <w:bookmarkEnd w:id="201"/>
    <w:p w14:paraId="7A086B8A">
      <w:pPr>
        <w:bidi w:val="0"/>
        <w:jc w:val="center"/>
        <w:rPr>
          <w:rFonts w:hint="eastAsia" w:ascii="仿宋" w:hAnsi="仿宋" w:eastAsia="仿宋" w:cs="仿宋"/>
          <w:b/>
          <w:bCs/>
          <w:color w:val="auto"/>
          <w:sz w:val="24"/>
          <w:szCs w:val="24"/>
          <w:highlight w:val="none"/>
        </w:rPr>
      </w:pPr>
      <w:bookmarkStart w:id="211" w:name="_Toc30870"/>
      <w:bookmarkStart w:id="212" w:name="_Toc23108"/>
      <w:r>
        <w:rPr>
          <w:rFonts w:hint="eastAsia" w:ascii="仿宋" w:hAnsi="仿宋" w:eastAsia="仿宋" w:cs="仿宋"/>
          <w:b/>
          <w:bCs/>
          <w:color w:val="auto"/>
          <w:sz w:val="24"/>
          <w:szCs w:val="24"/>
          <w:highlight w:val="none"/>
        </w:rPr>
        <w:t>详细评审索引表</w:t>
      </w:r>
      <w:bookmarkEnd w:id="211"/>
    </w:p>
    <w:tbl>
      <w:tblPr>
        <w:tblStyle w:val="41"/>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14:paraId="0A2C8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14:paraId="4FC445E5">
            <w:pPr>
              <w:widowControl/>
              <w:jc w:val="center"/>
              <w:textAlignment w:val="center"/>
              <w:rPr>
                <w:rFonts w:hint="eastAsia" w:ascii="仿宋" w:hAnsi="仿宋" w:eastAsia="仿宋" w:cs="宋体"/>
                <w:b/>
                <w:color w:val="auto"/>
                <w:szCs w:val="21"/>
                <w:highlight w:val="none"/>
              </w:rPr>
            </w:pPr>
            <w:r>
              <w:rPr>
                <w:rFonts w:hint="eastAsia" w:ascii="仿宋" w:hAnsi="仿宋" w:eastAsia="仿宋" w:cs="宋体"/>
                <w:b/>
                <w:color w:val="auto"/>
                <w:kern w:val="0"/>
                <w:szCs w:val="21"/>
                <w:highlight w:val="none"/>
                <w:lang w:bidi="ar"/>
              </w:rPr>
              <w:t>序号</w:t>
            </w:r>
          </w:p>
        </w:tc>
        <w:tc>
          <w:tcPr>
            <w:tcW w:w="1696" w:type="dxa"/>
            <w:noWrap w:val="0"/>
            <w:tcMar>
              <w:top w:w="15" w:type="dxa"/>
              <w:left w:w="15" w:type="dxa"/>
              <w:right w:w="15" w:type="dxa"/>
            </w:tcMar>
            <w:vAlign w:val="center"/>
          </w:tcPr>
          <w:p w14:paraId="685314B6">
            <w:pPr>
              <w:jc w:val="center"/>
              <w:rPr>
                <w:rFonts w:hint="eastAsia" w:ascii="仿宋" w:hAnsi="仿宋" w:eastAsia="仿宋" w:cs="宋体"/>
                <w:b/>
                <w:color w:val="auto"/>
                <w:kern w:val="0"/>
                <w:szCs w:val="21"/>
                <w:highlight w:val="none"/>
                <w:lang w:bidi="ar"/>
              </w:rPr>
            </w:pPr>
            <w:r>
              <w:rPr>
                <w:rFonts w:hint="eastAsia" w:ascii="仿宋" w:hAnsi="仿宋" w:eastAsia="仿宋" w:cs="宋体"/>
                <w:b/>
                <w:bCs/>
                <w:color w:val="auto"/>
                <w:szCs w:val="21"/>
                <w:highlight w:val="none"/>
              </w:rPr>
              <w:t>评审项</w:t>
            </w:r>
          </w:p>
        </w:tc>
        <w:tc>
          <w:tcPr>
            <w:tcW w:w="2268" w:type="dxa"/>
            <w:noWrap w:val="0"/>
            <w:vAlign w:val="top"/>
          </w:tcPr>
          <w:p w14:paraId="03AF7F82">
            <w:pPr>
              <w:widowControl/>
              <w:jc w:val="center"/>
              <w:rPr>
                <w:rFonts w:hint="eastAsia" w:ascii="仿宋" w:hAnsi="仿宋" w:eastAsia="仿宋" w:cs="宋体"/>
                <w:b/>
                <w:color w:val="auto"/>
                <w:kern w:val="0"/>
                <w:szCs w:val="21"/>
                <w:highlight w:val="none"/>
              </w:rPr>
            </w:pPr>
            <w:r>
              <w:rPr>
                <w:rFonts w:hint="eastAsia" w:ascii="仿宋" w:hAnsi="仿宋" w:eastAsia="仿宋" w:cs="宋体"/>
                <w:b/>
                <w:color w:val="auto"/>
                <w:kern w:val="0"/>
                <w:szCs w:val="21"/>
                <w:highlight w:val="none"/>
                <w:lang w:bidi="ar"/>
              </w:rPr>
              <w:t>评审因素</w:t>
            </w:r>
          </w:p>
        </w:tc>
        <w:tc>
          <w:tcPr>
            <w:tcW w:w="4820" w:type="dxa"/>
            <w:noWrap w:val="0"/>
            <w:tcMar>
              <w:top w:w="15" w:type="dxa"/>
              <w:left w:w="15" w:type="dxa"/>
              <w:right w:w="15" w:type="dxa"/>
            </w:tcMar>
            <w:vAlign w:val="center"/>
          </w:tcPr>
          <w:p w14:paraId="7DE5AD14">
            <w:pPr>
              <w:widowControl/>
              <w:jc w:val="center"/>
              <w:rPr>
                <w:rFonts w:hint="eastAsia" w:ascii="仿宋" w:hAnsi="仿宋" w:eastAsia="仿宋" w:cs="宋体"/>
                <w:b/>
                <w:color w:val="auto"/>
                <w:kern w:val="0"/>
                <w:szCs w:val="21"/>
                <w:highlight w:val="none"/>
              </w:rPr>
            </w:pPr>
            <w:r>
              <w:rPr>
                <w:rFonts w:hint="eastAsia" w:ascii="仿宋" w:hAnsi="仿宋" w:eastAsia="仿宋" w:cs="宋体"/>
                <w:b/>
                <w:color w:val="auto"/>
                <w:kern w:val="0"/>
                <w:szCs w:val="21"/>
                <w:highlight w:val="none"/>
              </w:rPr>
              <w:t>页码范围及说明</w:t>
            </w:r>
          </w:p>
        </w:tc>
      </w:tr>
      <w:tr w14:paraId="08EAB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14:paraId="38BBC48A">
            <w:pPr>
              <w:widowControl/>
              <w:jc w:val="center"/>
              <w:textAlignment w:val="center"/>
              <w:rPr>
                <w:rFonts w:hint="eastAsia" w:ascii="仿宋" w:hAnsi="仿宋" w:eastAsia="仿宋" w:cs="宋体"/>
                <w:color w:val="auto"/>
                <w:kern w:val="0"/>
                <w:szCs w:val="21"/>
                <w:highlight w:val="none"/>
                <w:lang w:eastAsia="zh-CN" w:bidi="ar"/>
              </w:rPr>
            </w:pPr>
            <w:r>
              <w:rPr>
                <w:rFonts w:hint="eastAsia" w:ascii="仿宋" w:hAnsi="仿宋" w:eastAsia="仿宋" w:cs="宋体"/>
                <w:color w:val="auto"/>
                <w:kern w:val="0"/>
                <w:szCs w:val="21"/>
                <w:highlight w:val="none"/>
                <w:lang w:val="en-US" w:eastAsia="zh-CN" w:bidi="ar"/>
              </w:rPr>
              <w:t>1</w:t>
            </w:r>
          </w:p>
        </w:tc>
        <w:tc>
          <w:tcPr>
            <w:tcW w:w="1696" w:type="dxa"/>
            <w:vMerge w:val="restart"/>
            <w:noWrap w:val="0"/>
            <w:tcMar>
              <w:top w:w="15" w:type="dxa"/>
              <w:left w:w="15" w:type="dxa"/>
              <w:right w:w="15" w:type="dxa"/>
            </w:tcMar>
            <w:vAlign w:val="center"/>
          </w:tcPr>
          <w:p w14:paraId="2D90D751">
            <w:pPr>
              <w:widowControl/>
              <w:jc w:val="center"/>
              <w:textAlignment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技术得分</w:t>
            </w:r>
          </w:p>
          <w:p w14:paraId="5052E510">
            <w:pPr>
              <w:widowControl/>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szCs w:val="21"/>
                <w:highlight w:val="none"/>
              </w:rPr>
              <w:t>（</w:t>
            </w:r>
            <w:r>
              <w:rPr>
                <w:rFonts w:hint="eastAsia" w:ascii="仿宋" w:hAnsi="仿宋" w:eastAsia="仿宋" w:cs="宋体"/>
                <w:color w:val="auto"/>
                <w:szCs w:val="21"/>
                <w:highlight w:val="none"/>
                <w:lang w:val="en-US" w:eastAsia="zh-CN"/>
              </w:rPr>
              <w:t>37</w:t>
            </w:r>
            <w:r>
              <w:rPr>
                <w:rFonts w:hint="eastAsia" w:ascii="仿宋" w:hAnsi="仿宋" w:eastAsia="仿宋" w:cs="宋体"/>
                <w:color w:val="auto"/>
                <w:szCs w:val="21"/>
                <w:highlight w:val="none"/>
              </w:rPr>
              <w:t>分）</w:t>
            </w:r>
          </w:p>
        </w:tc>
        <w:tc>
          <w:tcPr>
            <w:tcW w:w="2268" w:type="dxa"/>
            <w:noWrap w:val="0"/>
            <w:vAlign w:val="center"/>
          </w:tcPr>
          <w:p w14:paraId="49BEBAAB">
            <w:pPr>
              <w:widowControl/>
              <w:jc w:val="center"/>
              <w:textAlignment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lang w:val="en-US" w:eastAsia="zh-CN"/>
              </w:rPr>
              <w:t>项目经理（3分）</w:t>
            </w:r>
          </w:p>
        </w:tc>
        <w:tc>
          <w:tcPr>
            <w:tcW w:w="4820" w:type="dxa"/>
            <w:noWrap w:val="0"/>
            <w:tcMar>
              <w:top w:w="15" w:type="dxa"/>
              <w:left w:w="15" w:type="dxa"/>
              <w:right w:w="15" w:type="dxa"/>
            </w:tcMar>
            <w:vAlign w:val="center"/>
          </w:tcPr>
          <w:p w14:paraId="69CF13D7">
            <w:pPr>
              <w:widowControl/>
              <w:adjustRightInd w:val="0"/>
              <w:snapToGrid w:val="0"/>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说明：XX</w:t>
            </w:r>
          </w:p>
          <w:p w14:paraId="010EEFF0">
            <w:pPr>
              <w:rPr>
                <w:rStyle w:val="118"/>
                <w:rFonts w:hint="default" w:cs="宋体"/>
                <w:color w:val="auto"/>
                <w:highlight w:val="none"/>
                <w:lang w:bidi="ar"/>
              </w:rPr>
            </w:pPr>
            <w:r>
              <w:rPr>
                <w:rFonts w:hint="eastAsia" w:ascii="仿宋" w:hAnsi="仿宋" w:eastAsia="仿宋" w:cs="宋体"/>
                <w:color w:val="auto"/>
                <w:kern w:val="0"/>
                <w:szCs w:val="21"/>
                <w:highlight w:val="none"/>
              </w:rPr>
              <w:t>详见N-M页</w:t>
            </w:r>
          </w:p>
        </w:tc>
      </w:tr>
      <w:tr w14:paraId="6C0B7C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14:paraId="1C9096E5">
            <w:pPr>
              <w:widowControl/>
              <w:jc w:val="center"/>
              <w:textAlignment w:val="center"/>
              <w:rPr>
                <w:rFonts w:hint="eastAsia" w:ascii="仿宋" w:hAnsi="仿宋" w:eastAsia="仿宋" w:cs="宋体"/>
                <w:color w:val="auto"/>
                <w:kern w:val="0"/>
                <w:szCs w:val="21"/>
                <w:highlight w:val="none"/>
                <w:lang w:eastAsia="zh-CN" w:bidi="ar"/>
              </w:rPr>
            </w:pPr>
            <w:r>
              <w:rPr>
                <w:rFonts w:hint="eastAsia" w:ascii="仿宋" w:hAnsi="仿宋" w:eastAsia="仿宋" w:cs="宋体"/>
                <w:color w:val="auto"/>
                <w:kern w:val="0"/>
                <w:szCs w:val="21"/>
                <w:highlight w:val="none"/>
                <w:lang w:val="en-US" w:eastAsia="zh-CN" w:bidi="ar"/>
              </w:rPr>
              <w:t>2</w:t>
            </w:r>
          </w:p>
        </w:tc>
        <w:tc>
          <w:tcPr>
            <w:tcW w:w="1696" w:type="dxa"/>
            <w:vMerge w:val="continue"/>
            <w:noWrap w:val="0"/>
            <w:tcMar>
              <w:top w:w="15" w:type="dxa"/>
              <w:left w:w="15" w:type="dxa"/>
              <w:right w:w="15" w:type="dxa"/>
            </w:tcMar>
            <w:vAlign w:val="center"/>
          </w:tcPr>
          <w:p w14:paraId="282DA4C5">
            <w:pPr>
              <w:widowControl/>
              <w:jc w:val="center"/>
              <w:textAlignment w:val="center"/>
              <w:rPr>
                <w:rFonts w:hint="eastAsia" w:ascii="仿宋" w:hAnsi="仿宋" w:eastAsia="仿宋" w:cs="宋体"/>
                <w:color w:val="auto"/>
                <w:szCs w:val="21"/>
                <w:highlight w:val="none"/>
              </w:rPr>
            </w:pPr>
          </w:p>
        </w:tc>
        <w:tc>
          <w:tcPr>
            <w:tcW w:w="2268" w:type="dxa"/>
            <w:noWrap w:val="0"/>
            <w:vAlign w:val="center"/>
          </w:tcPr>
          <w:p w14:paraId="41705FA3">
            <w:pPr>
              <w:widowControl/>
              <w:jc w:val="center"/>
              <w:textAlignment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lang w:val="en-US" w:eastAsia="zh-CN"/>
              </w:rPr>
              <w:t>项目人员配置（4分）</w:t>
            </w:r>
          </w:p>
        </w:tc>
        <w:tc>
          <w:tcPr>
            <w:tcW w:w="4820" w:type="dxa"/>
            <w:noWrap w:val="0"/>
            <w:tcMar>
              <w:top w:w="15" w:type="dxa"/>
              <w:left w:w="15" w:type="dxa"/>
              <w:right w:w="15" w:type="dxa"/>
            </w:tcMar>
            <w:vAlign w:val="center"/>
          </w:tcPr>
          <w:p w14:paraId="20AA1596">
            <w:pPr>
              <w:widowControl/>
              <w:adjustRightInd w:val="0"/>
              <w:snapToGrid w:val="0"/>
              <w:rPr>
                <w:rStyle w:val="118"/>
                <w:rFonts w:hint="default" w:cs="宋体"/>
                <w:color w:val="auto"/>
                <w:highlight w:val="none"/>
                <w:lang w:bidi="ar"/>
              </w:rPr>
            </w:pPr>
          </w:p>
        </w:tc>
      </w:tr>
      <w:tr w14:paraId="2169C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14:paraId="45D2F886">
            <w:pPr>
              <w:widowControl/>
              <w:jc w:val="center"/>
              <w:textAlignment w:val="center"/>
              <w:rPr>
                <w:rFonts w:hint="eastAsia" w:ascii="仿宋" w:hAnsi="仿宋" w:eastAsia="仿宋" w:cs="宋体"/>
                <w:color w:val="auto"/>
                <w:kern w:val="0"/>
                <w:szCs w:val="21"/>
                <w:highlight w:val="none"/>
                <w:lang w:eastAsia="zh-CN" w:bidi="ar"/>
              </w:rPr>
            </w:pPr>
            <w:r>
              <w:rPr>
                <w:rFonts w:hint="eastAsia" w:ascii="仿宋" w:hAnsi="仿宋" w:eastAsia="仿宋" w:cs="宋体"/>
                <w:color w:val="auto"/>
                <w:kern w:val="0"/>
                <w:szCs w:val="21"/>
                <w:highlight w:val="none"/>
                <w:lang w:val="en-US" w:eastAsia="zh-CN" w:bidi="ar"/>
              </w:rPr>
              <w:t>3</w:t>
            </w:r>
          </w:p>
        </w:tc>
        <w:tc>
          <w:tcPr>
            <w:tcW w:w="1696" w:type="dxa"/>
            <w:vMerge w:val="continue"/>
            <w:noWrap w:val="0"/>
            <w:tcMar>
              <w:top w:w="15" w:type="dxa"/>
              <w:left w:w="15" w:type="dxa"/>
              <w:right w:w="15" w:type="dxa"/>
            </w:tcMar>
            <w:vAlign w:val="center"/>
          </w:tcPr>
          <w:p w14:paraId="0F58BA57">
            <w:pPr>
              <w:widowControl/>
              <w:jc w:val="center"/>
              <w:textAlignment w:val="center"/>
              <w:rPr>
                <w:rFonts w:hint="eastAsia" w:ascii="仿宋" w:hAnsi="仿宋" w:eastAsia="仿宋" w:cs="宋体"/>
                <w:color w:val="auto"/>
                <w:szCs w:val="21"/>
                <w:highlight w:val="none"/>
              </w:rPr>
            </w:pPr>
          </w:p>
        </w:tc>
        <w:tc>
          <w:tcPr>
            <w:tcW w:w="2268" w:type="dxa"/>
            <w:noWrap w:val="0"/>
            <w:vAlign w:val="center"/>
          </w:tcPr>
          <w:p w14:paraId="514B3C25">
            <w:pPr>
              <w:widowControl/>
              <w:jc w:val="center"/>
              <w:textAlignment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lang w:val="en-US" w:eastAsia="zh-CN"/>
              </w:rPr>
              <w:t>施工组织设计总体概述（5分）</w:t>
            </w:r>
          </w:p>
        </w:tc>
        <w:tc>
          <w:tcPr>
            <w:tcW w:w="4820" w:type="dxa"/>
            <w:noWrap w:val="0"/>
            <w:tcMar>
              <w:top w:w="15" w:type="dxa"/>
              <w:left w:w="15" w:type="dxa"/>
              <w:right w:w="15" w:type="dxa"/>
            </w:tcMar>
            <w:vAlign w:val="center"/>
          </w:tcPr>
          <w:p w14:paraId="5C071B89">
            <w:pPr>
              <w:rPr>
                <w:rStyle w:val="118"/>
                <w:rFonts w:hint="default" w:cs="宋体"/>
                <w:color w:val="auto"/>
                <w:highlight w:val="none"/>
                <w:lang w:bidi="ar"/>
              </w:rPr>
            </w:pPr>
          </w:p>
        </w:tc>
      </w:tr>
      <w:tr w14:paraId="2B800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14:paraId="041E9126">
            <w:pPr>
              <w:widowControl/>
              <w:jc w:val="center"/>
              <w:textAlignment w:val="center"/>
              <w:rPr>
                <w:rFonts w:hint="eastAsia" w:ascii="仿宋" w:hAnsi="仿宋" w:eastAsia="仿宋" w:cs="宋体"/>
                <w:color w:val="auto"/>
                <w:kern w:val="0"/>
                <w:szCs w:val="21"/>
                <w:highlight w:val="none"/>
                <w:lang w:eastAsia="zh-CN" w:bidi="ar"/>
              </w:rPr>
            </w:pPr>
            <w:r>
              <w:rPr>
                <w:rFonts w:hint="eastAsia" w:ascii="仿宋" w:hAnsi="仿宋" w:eastAsia="仿宋" w:cs="宋体"/>
                <w:color w:val="auto"/>
                <w:kern w:val="0"/>
                <w:szCs w:val="21"/>
                <w:highlight w:val="none"/>
                <w:lang w:val="en-US" w:eastAsia="zh-CN" w:bidi="ar"/>
              </w:rPr>
              <w:t>4</w:t>
            </w:r>
          </w:p>
        </w:tc>
        <w:tc>
          <w:tcPr>
            <w:tcW w:w="1696" w:type="dxa"/>
            <w:vMerge w:val="continue"/>
            <w:noWrap w:val="0"/>
            <w:tcMar>
              <w:top w:w="15" w:type="dxa"/>
              <w:left w:w="15" w:type="dxa"/>
              <w:right w:w="15" w:type="dxa"/>
            </w:tcMar>
            <w:vAlign w:val="center"/>
          </w:tcPr>
          <w:p w14:paraId="1611E24A">
            <w:pPr>
              <w:widowControl/>
              <w:jc w:val="center"/>
              <w:textAlignment w:val="center"/>
              <w:rPr>
                <w:rFonts w:hint="eastAsia" w:ascii="仿宋" w:hAnsi="仿宋" w:eastAsia="仿宋" w:cs="宋体"/>
                <w:color w:val="auto"/>
                <w:szCs w:val="21"/>
                <w:highlight w:val="none"/>
              </w:rPr>
            </w:pPr>
          </w:p>
        </w:tc>
        <w:tc>
          <w:tcPr>
            <w:tcW w:w="2268" w:type="dxa"/>
            <w:noWrap w:val="0"/>
            <w:vAlign w:val="center"/>
          </w:tcPr>
          <w:p w14:paraId="2BF4BA47">
            <w:pPr>
              <w:widowControl/>
              <w:jc w:val="center"/>
              <w:textAlignment w:val="center"/>
              <w:rPr>
                <w:rFonts w:hint="eastAsia"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施工进度计划和各阶段进度的保证措施</w:t>
            </w:r>
          </w:p>
          <w:p w14:paraId="6713EB26">
            <w:pPr>
              <w:widowControl/>
              <w:jc w:val="center"/>
              <w:textAlignment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lang w:val="en-US" w:eastAsia="zh-CN"/>
              </w:rPr>
              <w:t>（5分）</w:t>
            </w:r>
          </w:p>
        </w:tc>
        <w:tc>
          <w:tcPr>
            <w:tcW w:w="4820" w:type="dxa"/>
            <w:noWrap w:val="0"/>
            <w:tcMar>
              <w:top w:w="15" w:type="dxa"/>
              <w:left w:w="15" w:type="dxa"/>
              <w:right w:w="15" w:type="dxa"/>
            </w:tcMar>
            <w:vAlign w:val="center"/>
          </w:tcPr>
          <w:p w14:paraId="2D93B46A">
            <w:pPr>
              <w:widowControl/>
              <w:adjustRightInd w:val="0"/>
              <w:snapToGrid w:val="0"/>
              <w:rPr>
                <w:rStyle w:val="118"/>
                <w:rFonts w:hint="default" w:cs="宋体"/>
                <w:color w:val="auto"/>
                <w:highlight w:val="none"/>
                <w:lang w:bidi="ar"/>
              </w:rPr>
            </w:pPr>
          </w:p>
        </w:tc>
      </w:tr>
      <w:tr w14:paraId="2E87E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14:paraId="42B361F2">
            <w:pPr>
              <w:widowControl/>
              <w:jc w:val="center"/>
              <w:textAlignment w:val="center"/>
              <w:rPr>
                <w:rFonts w:hint="eastAsia" w:ascii="仿宋" w:hAnsi="仿宋" w:eastAsia="仿宋" w:cs="宋体"/>
                <w:color w:val="auto"/>
                <w:kern w:val="0"/>
                <w:szCs w:val="21"/>
                <w:highlight w:val="none"/>
                <w:lang w:val="en-US" w:eastAsia="zh-CN" w:bidi="ar"/>
              </w:rPr>
            </w:pPr>
            <w:r>
              <w:rPr>
                <w:rFonts w:hint="eastAsia" w:ascii="仿宋" w:hAnsi="仿宋" w:eastAsia="仿宋" w:cs="宋体"/>
                <w:color w:val="auto"/>
                <w:kern w:val="0"/>
                <w:szCs w:val="21"/>
                <w:highlight w:val="none"/>
                <w:lang w:val="en-US" w:eastAsia="zh-CN" w:bidi="ar"/>
              </w:rPr>
              <w:t>5</w:t>
            </w:r>
          </w:p>
        </w:tc>
        <w:tc>
          <w:tcPr>
            <w:tcW w:w="1696" w:type="dxa"/>
            <w:vMerge w:val="continue"/>
            <w:noWrap w:val="0"/>
            <w:tcMar>
              <w:top w:w="15" w:type="dxa"/>
              <w:left w:w="15" w:type="dxa"/>
              <w:right w:w="15" w:type="dxa"/>
            </w:tcMar>
            <w:vAlign w:val="center"/>
          </w:tcPr>
          <w:p w14:paraId="53EAD9F2">
            <w:pPr>
              <w:widowControl/>
              <w:jc w:val="center"/>
              <w:textAlignment w:val="center"/>
              <w:rPr>
                <w:rFonts w:hint="eastAsia" w:ascii="仿宋" w:hAnsi="仿宋" w:eastAsia="仿宋" w:cs="宋体"/>
                <w:color w:val="auto"/>
                <w:szCs w:val="21"/>
                <w:highlight w:val="none"/>
              </w:rPr>
            </w:pPr>
          </w:p>
        </w:tc>
        <w:tc>
          <w:tcPr>
            <w:tcW w:w="2268" w:type="dxa"/>
            <w:noWrap w:val="0"/>
            <w:vAlign w:val="center"/>
          </w:tcPr>
          <w:p w14:paraId="44F763D4">
            <w:pPr>
              <w:widowControl/>
              <w:jc w:val="center"/>
              <w:textAlignment w:val="center"/>
              <w:rPr>
                <w:rFonts w:hint="eastAsia"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关键施工技术及重难点分析</w:t>
            </w:r>
          </w:p>
          <w:p w14:paraId="77D8DF1E">
            <w:pPr>
              <w:widowControl/>
              <w:jc w:val="center"/>
              <w:textAlignment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（5分）</w:t>
            </w:r>
          </w:p>
        </w:tc>
        <w:tc>
          <w:tcPr>
            <w:tcW w:w="4820" w:type="dxa"/>
            <w:noWrap w:val="0"/>
            <w:tcMar>
              <w:top w:w="15" w:type="dxa"/>
              <w:left w:w="15" w:type="dxa"/>
              <w:right w:w="15" w:type="dxa"/>
            </w:tcMar>
            <w:vAlign w:val="center"/>
          </w:tcPr>
          <w:p w14:paraId="56151A36">
            <w:pPr>
              <w:rPr>
                <w:rStyle w:val="118"/>
                <w:rFonts w:hint="default" w:cs="宋体"/>
                <w:color w:val="auto"/>
                <w:highlight w:val="none"/>
                <w:lang w:bidi="ar"/>
              </w:rPr>
            </w:pPr>
          </w:p>
        </w:tc>
      </w:tr>
      <w:tr w14:paraId="3984C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14:paraId="7B2CBF43">
            <w:pPr>
              <w:widowControl/>
              <w:jc w:val="center"/>
              <w:textAlignment w:val="center"/>
              <w:rPr>
                <w:rFonts w:hint="eastAsia" w:ascii="仿宋" w:hAnsi="仿宋" w:eastAsia="仿宋" w:cs="宋体"/>
                <w:color w:val="auto"/>
                <w:kern w:val="0"/>
                <w:szCs w:val="21"/>
                <w:highlight w:val="none"/>
                <w:lang w:val="en-US" w:eastAsia="zh-CN" w:bidi="ar"/>
              </w:rPr>
            </w:pPr>
            <w:r>
              <w:rPr>
                <w:rFonts w:hint="eastAsia" w:ascii="仿宋" w:hAnsi="仿宋" w:eastAsia="仿宋" w:cs="宋体"/>
                <w:color w:val="auto"/>
                <w:kern w:val="0"/>
                <w:szCs w:val="21"/>
                <w:highlight w:val="none"/>
                <w:lang w:val="en-US" w:eastAsia="zh-CN" w:bidi="ar"/>
              </w:rPr>
              <w:t>6</w:t>
            </w:r>
          </w:p>
        </w:tc>
        <w:tc>
          <w:tcPr>
            <w:tcW w:w="1696" w:type="dxa"/>
            <w:vMerge w:val="continue"/>
            <w:noWrap w:val="0"/>
            <w:tcMar>
              <w:top w:w="15" w:type="dxa"/>
              <w:left w:w="15" w:type="dxa"/>
              <w:right w:w="15" w:type="dxa"/>
            </w:tcMar>
            <w:vAlign w:val="center"/>
          </w:tcPr>
          <w:p w14:paraId="13B94E10">
            <w:pPr>
              <w:widowControl/>
              <w:jc w:val="center"/>
              <w:textAlignment w:val="center"/>
              <w:rPr>
                <w:rFonts w:hint="eastAsia" w:ascii="仿宋" w:hAnsi="仿宋" w:eastAsia="仿宋" w:cs="宋体"/>
                <w:color w:val="auto"/>
                <w:szCs w:val="21"/>
                <w:highlight w:val="none"/>
              </w:rPr>
            </w:pPr>
          </w:p>
        </w:tc>
        <w:tc>
          <w:tcPr>
            <w:tcW w:w="2268" w:type="dxa"/>
            <w:noWrap w:val="0"/>
            <w:vAlign w:val="center"/>
          </w:tcPr>
          <w:p w14:paraId="030D00C4">
            <w:pPr>
              <w:widowControl/>
              <w:jc w:val="center"/>
              <w:textAlignment w:val="center"/>
              <w:rPr>
                <w:rFonts w:hint="eastAsia"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安全管理体系与措施</w:t>
            </w:r>
          </w:p>
          <w:p w14:paraId="4E8BB205">
            <w:pPr>
              <w:widowControl/>
              <w:jc w:val="center"/>
              <w:textAlignment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（5分）</w:t>
            </w:r>
          </w:p>
        </w:tc>
        <w:tc>
          <w:tcPr>
            <w:tcW w:w="4820" w:type="dxa"/>
            <w:noWrap w:val="0"/>
            <w:tcMar>
              <w:top w:w="15" w:type="dxa"/>
              <w:left w:w="15" w:type="dxa"/>
              <w:right w:w="15" w:type="dxa"/>
            </w:tcMar>
            <w:vAlign w:val="center"/>
          </w:tcPr>
          <w:p w14:paraId="6C797DF6">
            <w:pPr>
              <w:widowControl/>
              <w:adjustRightInd w:val="0"/>
              <w:snapToGrid w:val="0"/>
              <w:rPr>
                <w:rStyle w:val="118"/>
                <w:rFonts w:hint="default" w:cs="宋体"/>
                <w:color w:val="auto"/>
                <w:highlight w:val="none"/>
                <w:lang w:bidi="ar"/>
              </w:rPr>
            </w:pPr>
          </w:p>
        </w:tc>
      </w:tr>
      <w:tr w14:paraId="1A0BE6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14:paraId="1E9A928A">
            <w:pPr>
              <w:widowControl/>
              <w:jc w:val="center"/>
              <w:textAlignment w:val="center"/>
              <w:rPr>
                <w:rFonts w:hint="eastAsia" w:ascii="仿宋" w:hAnsi="仿宋" w:eastAsia="仿宋" w:cs="宋体"/>
                <w:color w:val="auto"/>
                <w:kern w:val="0"/>
                <w:szCs w:val="21"/>
                <w:highlight w:val="none"/>
                <w:lang w:val="en-US" w:eastAsia="zh-CN" w:bidi="ar"/>
              </w:rPr>
            </w:pPr>
            <w:r>
              <w:rPr>
                <w:rFonts w:hint="eastAsia" w:ascii="仿宋" w:hAnsi="仿宋" w:eastAsia="仿宋" w:cs="宋体"/>
                <w:color w:val="auto"/>
                <w:kern w:val="0"/>
                <w:szCs w:val="21"/>
                <w:highlight w:val="none"/>
                <w:lang w:val="en-US" w:eastAsia="zh-CN" w:bidi="ar"/>
              </w:rPr>
              <w:t>7</w:t>
            </w:r>
          </w:p>
        </w:tc>
        <w:tc>
          <w:tcPr>
            <w:tcW w:w="1696" w:type="dxa"/>
            <w:vMerge w:val="continue"/>
            <w:noWrap w:val="0"/>
            <w:tcMar>
              <w:top w:w="15" w:type="dxa"/>
              <w:left w:w="15" w:type="dxa"/>
              <w:right w:w="15" w:type="dxa"/>
            </w:tcMar>
            <w:vAlign w:val="center"/>
          </w:tcPr>
          <w:p w14:paraId="52A52FD9">
            <w:pPr>
              <w:widowControl/>
              <w:jc w:val="center"/>
              <w:textAlignment w:val="center"/>
              <w:rPr>
                <w:rFonts w:hint="eastAsia" w:ascii="仿宋" w:hAnsi="仿宋" w:eastAsia="仿宋" w:cs="宋体"/>
                <w:color w:val="auto"/>
                <w:szCs w:val="21"/>
                <w:highlight w:val="none"/>
              </w:rPr>
            </w:pPr>
          </w:p>
        </w:tc>
        <w:tc>
          <w:tcPr>
            <w:tcW w:w="2268" w:type="dxa"/>
            <w:noWrap w:val="0"/>
            <w:vAlign w:val="center"/>
          </w:tcPr>
          <w:p w14:paraId="4BAF6C17">
            <w:pPr>
              <w:widowControl/>
              <w:jc w:val="center"/>
              <w:textAlignment w:val="center"/>
              <w:rPr>
                <w:rFonts w:hint="eastAsia"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质量保证</w:t>
            </w:r>
          </w:p>
          <w:p w14:paraId="1A6B8840">
            <w:pPr>
              <w:widowControl/>
              <w:jc w:val="center"/>
              <w:textAlignment w:val="center"/>
              <w:rPr>
                <w:rFonts w:hint="eastAsia"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（5分）</w:t>
            </w:r>
          </w:p>
        </w:tc>
        <w:tc>
          <w:tcPr>
            <w:tcW w:w="4820" w:type="dxa"/>
            <w:noWrap w:val="0"/>
            <w:tcMar>
              <w:top w:w="15" w:type="dxa"/>
              <w:left w:w="15" w:type="dxa"/>
              <w:right w:w="15" w:type="dxa"/>
            </w:tcMar>
            <w:vAlign w:val="center"/>
          </w:tcPr>
          <w:p w14:paraId="5E18CF44">
            <w:pPr>
              <w:rPr>
                <w:rStyle w:val="118"/>
                <w:rFonts w:hint="default" w:cs="宋体"/>
                <w:color w:val="auto"/>
                <w:highlight w:val="none"/>
                <w:lang w:bidi="ar"/>
              </w:rPr>
            </w:pPr>
          </w:p>
        </w:tc>
      </w:tr>
      <w:tr w14:paraId="4603DC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14:paraId="1AF05F32">
            <w:pPr>
              <w:widowControl/>
              <w:jc w:val="center"/>
              <w:textAlignment w:val="center"/>
              <w:rPr>
                <w:rFonts w:hint="eastAsia" w:ascii="仿宋" w:hAnsi="仿宋" w:eastAsia="仿宋" w:cs="宋体"/>
                <w:color w:val="auto"/>
                <w:kern w:val="0"/>
                <w:szCs w:val="21"/>
                <w:highlight w:val="none"/>
                <w:lang w:val="en-US" w:eastAsia="zh-CN" w:bidi="ar"/>
              </w:rPr>
            </w:pPr>
            <w:r>
              <w:rPr>
                <w:rFonts w:hint="eastAsia" w:ascii="仿宋" w:hAnsi="仿宋" w:eastAsia="仿宋" w:cs="宋体"/>
                <w:color w:val="auto"/>
                <w:kern w:val="0"/>
                <w:szCs w:val="21"/>
                <w:highlight w:val="none"/>
                <w:lang w:val="en-US" w:eastAsia="zh-CN" w:bidi="ar"/>
              </w:rPr>
              <w:t>8</w:t>
            </w:r>
          </w:p>
        </w:tc>
        <w:tc>
          <w:tcPr>
            <w:tcW w:w="1696" w:type="dxa"/>
            <w:vMerge w:val="continue"/>
            <w:noWrap w:val="0"/>
            <w:tcMar>
              <w:top w:w="15" w:type="dxa"/>
              <w:left w:w="15" w:type="dxa"/>
              <w:right w:w="15" w:type="dxa"/>
            </w:tcMar>
            <w:vAlign w:val="center"/>
          </w:tcPr>
          <w:p w14:paraId="004F6FFB">
            <w:pPr>
              <w:widowControl/>
              <w:jc w:val="center"/>
              <w:textAlignment w:val="center"/>
              <w:rPr>
                <w:rFonts w:hint="eastAsia" w:ascii="仿宋" w:hAnsi="仿宋" w:eastAsia="仿宋" w:cs="宋体"/>
                <w:color w:val="auto"/>
                <w:szCs w:val="21"/>
                <w:highlight w:val="none"/>
              </w:rPr>
            </w:pPr>
          </w:p>
        </w:tc>
        <w:tc>
          <w:tcPr>
            <w:tcW w:w="2268" w:type="dxa"/>
            <w:noWrap w:val="0"/>
            <w:vAlign w:val="center"/>
          </w:tcPr>
          <w:p w14:paraId="607B1E4C">
            <w:pPr>
              <w:widowControl/>
              <w:jc w:val="center"/>
              <w:textAlignment w:val="center"/>
              <w:rPr>
                <w:rFonts w:hint="eastAsia"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服务承诺</w:t>
            </w:r>
          </w:p>
          <w:p w14:paraId="639AC8BA">
            <w:pPr>
              <w:widowControl/>
              <w:jc w:val="center"/>
              <w:textAlignment w:val="center"/>
              <w:rPr>
                <w:rFonts w:hint="eastAsia"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（5分）</w:t>
            </w:r>
          </w:p>
        </w:tc>
        <w:tc>
          <w:tcPr>
            <w:tcW w:w="4820" w:type="dxa"/>
            <w:noWrap w:val="0"/>
            <w:tcMar>
              <w:top w:w="15" w:type="dxa"/>
              <w:left w:w="15" w:type="dxa"/>
              <w:right w:w="15" w:type="dxa"/>
            </w:tcMar>
            <w:vAlign w:val="center"/>
          </w:tcPr>
          <w:p w14:paraId="0417779F">
            <w:pPr>
              <w:widowControl/>
              <w:adjustRightInd w:val="0"/>
              <w:snapToGrid w:val="0"/>
              <w:rPr>
                <w:rStyle w:val="118"/>
                <w:rFonts w:hint="default" w:cs="宋体"/>
                <w:color w:val="auto"/>
                <w:highlight w:val="none"/>
                <w:lang w:bidi="ar"/>
              </w:rPr>
            </w:pPr>
          </w:p>
        </w:tc>
      </w:tr>
    </w:tbl>
    <w:p w14:paraId="5CE636BD">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1BCAC499">
      <w:pPr>
        <w:pStyle w:val="4"/>
        <w:numPr>
          <w:ilvl w:val="0"/>
          <w:numId w:val="0"/>
        </w:numPr>
        <w:spacing w:before="0" w:after="0" w:line="360" w:lineRule="auto"/>
        <w:rPr>
          <w:rFonts w:hint="eastAsia" w:ascii="仿宋" w:hAnsi="仿宋" w:eastAsia="仿宋" w:cs="仿宋"/>
          <w:color w:val="auto"/>
          <w:sz w:val="24"/>
          <w:szCs w:val="24"/>
          <w:highlight w:val="none"/>
        </w:rPr>
      </w:pPr>
      <w:bookmarkStart w:id="213" w:name="_Toc19863"/>
      <w:r>
        <w:rPr>
          <w:rFonts w:hint="eastAsia" w:ascii="仿宋" w:hAnsi="仿宋" w:eastAsia="仿宋" w:cs="仿宋"/>
          <w:color w:val="auto"/>
          <w:sz w:val="24"/>
          <w:szCs w:val="24"/>
          <w:highlight w:val="none"/>
        </w:rPr>
        <w:t>（一）采购需求应答偏离表</w:t>
      </w:r>
      <w:bookmarkEnd w:id="212"/>
      <w:bookmarkEnd w:id="213"/>
    </w:p>
    <w:p w14:paraId="79294D63">
      <w:pPr>
        <w:spacing w:line="360" w:lineRule="auto"/>
        <w:jc w:val="center"/>
        <w:rPr>
          <w:rFonts w:hint="eastAsia" w:ascii="仿宋" w:hAnsi="仿宋" w:eastAsia="仿宋" w:cs="仿宋"/>
          <w:b/>
          <w:bCs/>
          <w:color w:val="auto"/>
          <w:sz w:val="24"/>
          <w:highlight w:val="none"/>
        </w:rPr>
      </w:pPr>
      <w:bookmarkStart w:id="214" w:name="_Toc293297544"/>
      <w:bookmarkStart w:id="215" w:name="_Toc125771198"/>
      <w:bookmarkStart w:id="216" w:name="_Toc125561188"/>
      <w:r>
        <w:rPr>
          <w:rFonts w:hint="eastAsia" w:ascii="仿宋" w:hAnsi="仿宋" w:eastAsia="仿宋" w:cs="仿宋"/>
          <w:b/>
          <w:bCs/>
          <w:color w:val="auto"/>
          <w:sz w:val="24"/>
          <w:highlight w:val="none"/>
        </w:rPr>
        <w:t>采购需求应答偏离表</w:t>
      </w:r>
      <w:bookmarkEnd w:id="214"/>
      <w:bookmarkEnd w:id="215"/>
      <w:bookmarkEnd w:id="216"/>
    </w:p>
    <w:p w14:paraId="2BE9F465">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p>
    <w:tbl>
      <w:tblPr>
        <w:tblStyle w:val="41"/>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14:paraId="3CD26E6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noWrap w:val="0"/>
            <w:vAlign w:val="center"/>
          </w:tcPr>
          <w:p w14:paraId="40870BAF">
            <w:pPr>
              <w:spacing w:line="360" w:lineRule="auto"/>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1154" w:type="pct"/>
            <w:tcBorders>
              <w:top w:val="double" w:color="auto" w:sz="4" w:space="0"/>
              <w:left w:val="single" w:color="auto" w:sz="4" w:space="0"/>
              <w:bottom w:val="single" w:color="auto" w:sz="4" w:space="0"/>
              <w:right w:val="single" w:color="auto" w:sz="4" w:space="0"/>
            </w:tcBorders>
            <w:noWrap w:val="0"/>
            <w:vAlign w:val="center"/>
          </w:tcPr>
          <w:p w14:paraId="18B053BF">
            <w:pPr>
              <w:spacing w:line="312"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highlight w:val="none"/>
              </w:rPr>
              <w:t>技术偏离类型(正负偏离)</w:t>
            </w:r>
          </w:p>
        </w:tc>
        <w:tc>
          <w:tcPr>
            <w:tcW w:w="1254" w:type="pct"/>
            <w:tcBorders>
              <w:top w:val="double" w:color="auto" w:sz="4" w:space="0"/>
              <w:left w:val="single" w:color="auto" w:sz="4" w:space="0"/>
              <w:bottom w:val="single" w:color="auto" w:sz="4" w:space="0"/>
              <w:right w:val="single" w:color="auto" w:sz="4" w:space="0"/>
            </w:tcBorders>
            <w:noWrap w:val="0"/>
            <w:vAlign w:val="center"/>
          </w:tcPr>
          <w:p w14:paraId="6F15919B">
            <w:pPr>
              <w:spacing w:line="312"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highlight w:val="none"/>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noWrap w:val="0"/>
            <w:vAlign w:val="center"/>
          </w:tcPr>
          <w:p w14:paraId="399E6D6F">
            <w:pPr>
              <w:spacing w:line="312"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highlight w:val="none"/>
              </w:rPr>
              <w:t>技术偏离的主要内容说明</w:t>
            </w:r>
          </w:p>
        </w:tc>
        <w:tc>
          <w:tcPr>
            <w:tcW w:w="728" w:type="pct"/>
            <w:tcBorders>
              <w:top w:val="double" w:color="auto" w:sz="4" w:space="0"/>
              <w:left w:val="single" w:color="auto" w:sz="4" w:space="0"/>
              <w:bottom w:val="single" w:color="auto" w:sz="4" w:space="0"/>
              <w:right w:val="double" w:color="auto" w:sz="4" w:space="0"/>
            </w:tcBorders>
            <w:noWrap w:val="0"/>
            <w:vAlign w:val="center"/>
          </w:tcPr>
          <w:p w14:paraId="69395028">
            <w:pPr>
              <w:spacing w:line="360" w:lineRule="auto"/>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备注</w:t>
            </w:r>
          </w:p>
        </w:tc>
      </w:tr>
      <w:tr w14:paraId="65ADAE8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6778500B">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6959690B">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负偏离(不满足)</w:t>
            </w:r>
          </w:p>
        </w:tc>
        <w:tc>
          <w:tcPr>
            <w:tcW w:w="1254" w:type="pct"/>
            <w:tcBorders>
              <w:top w:val="single" w:color="auto" w:sz="4" w:space="0"/>
              <w:left w:val="single" w:color="auto" w:sz="4" w:space="0"/>
              <w:bottom w:val="single" w:color="auto" w:sz="4" w:space="0"/>
              <w:right w:val="single" w:color="auto" w:sz="4" w:space="0"/>
            </w:tcBorders>
            <w:noWrap w:val="0"/>
            <w:vAlign w:val="top"/>
          </w:tcPr>
          <w:p w14:paraId="594DF39B">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71FE66FD">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59593483">
            <w:pPr>
              <w:spacing w:line="360" w:lineRule="auto"/>
              <w:rPr>
                <w:rFonts w:hint="eastAsia" w:ascii="仿宋" w:hAnsi="仿宋" w:eastAsia="仿宋" w:cs="仿宋"/>
                <w:color w:val="auto"/>
                <w:szCs w:val="21"/>
                <w:highlight w:val="none"/>
              </w:rPr>
            </w:pPr>
          </w:p>
        </w:tc>
      </w:tr>
      <w:tr w14:paraId="79DA3E7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063E7EC9">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2F6CA19D">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1DB9565F">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1000DEE0">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2E3A99F8">
            <w:pPr>
              <w:spacing w:line="360" w:lineRule="auto"/>
              <w:rPr>
                <w:rFonts w:hint="eastAsia" w:ascii="仿宋" w:hAnsi="仿宋" w:eastAsia="仿宋" w:cs="仿宋"/>
                <w:color w:val="auto"/>
                <w:szCs w:val="21"/>
                <w:highlight w:val="none"/>
              </w:rPr>
            </w:pPr>
          </w:p>
        </w:tc>
      </w:tr>
      <w:tr w14:paraId="134B496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2F1157EC">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6AF4B645">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50159F8E">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5A6F0A03">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2B8C70F0">
            <w:pPr>
              <w:spacing w:line="360" w:lineRule="auto"/>
              <w:rPr>
                <w:rFonts w:hint="eastAsia" w:ascii="仿宋" w:hAnsi="仿宋" w:eastAsia="仿宋" w:cs="仿宋"/>
                <w:color w:val="auto"/>
                <w:szCs w:val="21"/>
                <w:highlight w:val="none"/>
              </w:rPr>
            </w:pPr>
          </w:p>
        </w:tc>
      </w:tr>
      <w:tr w14:paraId="2F36FF1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3D49C172">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79C3D7CD">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70E8EC8B">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541D0AC4">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0542F547">
            <w:pPr>
              <w:spacing w:line="360" w:lineRule="auto"/>
              <w:rPr>
                <w:rFonts w:hint="eastAsia" w:ascii="仿宋" w:hAnsi="仿宋" w:eastAsia="仿宋" w:cs="仿宋"/>
                <w:color w:val="auto"/>
                <w:szCs w:val="21"/>
                <w:highlight w:val="none"/>
              </w:rPr>
            </w:pPr>
          </w:p>
        </w:tc>
      </w:tr>
      <w:tr w14:paraId="1454C1A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160B51FE">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2FA2BC09">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779EBA01">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42BE09B6">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44BF76B8">
            <w:pPr>
              <w:spacing w:line="360" w:lineRule="auto"/>
              <w:rPr>
                <w:rFonts w:hint="eastAsia" w:ascii="仿宋" w:hAnsi="仿宋" w:eastAsia="仿宋" w:cs="仿宋"/>
                <w:color w:val="auto"/>
                <w:szCs w:val="21"/>
                <w:highlight w:val="none"/>
              </w:rPr>
            </w:pPr>
          </w:p>
        </w:tc>
      </w:tr>
      <w:tr w14:paraId="2F9A0E3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556E8BC4">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154" w:type="pct"/>
            <w:tcBorders>
              <w:top w:val="single" w:color="auto" w:sz="4" w:space="0"/>
              <w:left w:val="single" w:color="auto" w:sz="4" w:space="0"/>
              <w:bottom w:val="single" w:color="auto" w:sz="4" w:space="0"/>
              <w:right w:val="single" w:color="auto" w:sz="4" w:space="0"/>
            </w:tcBorders>
            <w:noWrap w:val="0"/>
            <w:vAlign w:val="top"/>
          </w:tcPr>
          <w:p w14:paraId="092F0574">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54" w:type="pct"/>
            <w:tcBorders>
              <w:top w:val="single" w:color="auto" w:sz="4" w:space="0"/>
              <w:left w:val="single" w:color="auto" w:sz="4" w:space="0"/>
              <w:bottom w:val="single" w:color="auto" w:sz="4" w:space="0"/>
              <w:right w:val="single" w:color="auto" w:sz="4" w:space="0"/>
            </w:tcBorders>
            <w:noWrap w:val="0"/>
            <w:vAlign w:val="top"/>
          </w:tcPr>
          <w:p w14:paraId="4699B9CD">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4D337A19">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7C3ED6A6">
            <w:pPr>
              <w:spacing w:line="360" w:lineRule="auto"/>
              <w:rPr>
                <w:rFonts w:hint="eastAsia" w:ascii="仿宋" w:hAnsi="仿宋" w:eastAsia="仿宋" w:cs="仿宋"/>
                <w:color w:val="auto"/>
                <w:szCs w:val="21"/>
                <w:highlight w:val="none"/>
              </w:rPr>
            </w:pPr>
          </w:p>
        </w:tc>
      </w:tr>
      <w:tr w14:paraId="7F05084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175C5974">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04AB181B">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正偏离(优于)</w:t>
            </w:r>
          </w:p>
        </w:tc>
        <w:tc>
          <w:tcPr>
            <w:tcW w:w="1254" w:type="pct"/>
            <w:tcBorders>
              <w:top w:val="single" w:color="auto" w:sz="4" w:space="0"/>
              <w:left w:val="single" w:color="auto" w:sz="4" w:space="0"/>
              <w:bottom w:val="single" w:color="auto" w:sz="4" w:space="0"/>
              <w:right w:val="single" w:color="auto" w:sz="4" w:space="0"/>
            </w:tcBorders>
            <w:noWrap w:val="0"/>
            <w:vAlign w:val="top"/>
          </w:tcPr>
          <w:p w14:paraId="79E80729">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5F3219E4">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7E7F77E2">
            <w:pPr>
              <w:spacing w:line="360" w:lineRule="auto"/>
              <w:rPr>
                <w:rFonts w:hint="eastAsia" w:ascii="仿宋" w:hAnsi="仿宋" w:eastAsia="仿宋" w:cs="仿宋"/>
                <w:color w:val="auto"/>
                <w:szCs w:val="21"/>
                <w:highlight w:val="none"/>
              </w:rPr>
            </w:pPr>
          </w:p>
        </w:tc>
      </w:tr>
      <w:tr w14:paraId="73AFCB6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1922706B">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31682A2B">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4C54691E">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4F19023A">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361138AC">
            <w:pPr>
              <w:spacing w:line="360" w:lineRule="auto"/>
              <w:rPr>
                <w:rFonts w:hint="eastAsia" w:ascii="仿宋" w:hAnsi="仿宋" w:eastAsia="仿宋" w:cs="仿宋"/>
                <w:color w:val="auto"/>
                <w:szCs w:val="21"/>
                <w:highlight w:val="none"/>
              </w:rPr>
            </w:pPr>
          </w:p>
        </w:tc>
      </w:tr>
      <w:tr w14:paraId="76B3D7D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5C507AA1">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6BA0135A">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6195CF12">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370DB6A8">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4463B4F5">
            <w:pPr>
              <w:spacing w:line="360" w:lineRule="auto"/>
              <w:rPr>
                <w:rFonts w:hint="eastAsia" w:ascii="仿宋" w:hAnsi="仿宋" w:eastAsia="仿宋" w:cs="仿宋"/>
                <w:color w:val="auto"/>
                <w:szCs w:val="21"/>
                <w:highlight w:val="none"/>
              </w:rPr>
            </w:pPr>
          </w:p>
        </w:tc>
      </w:tr>
      <w:tr w14:paraId="2262641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5E16219A">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61631F52">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4B2F5A09">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4CF83E41">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4F0510AB">
            <w:pPr>
              <w:spacing w:line="360" w:lineRule="auto"/>
              <w:rPr>
                <w:rFonts w:hint="eastAsia" w:ascii="仿宋" w:hAnsi="仿宋" w:eastAsia="仿宋" w:cs="仿宋"/>
                <w:color w:val="auto"/>
                <w:szCs w:val="21"/>
                <w:highlight w:val="none"/>
              </w:rPr>
            </w:pPr>
          </w:p>
        </w:tc>
      </w:tr>
      <w:tr w14:paraId="3C126A4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52C33678">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154" w:type="pct"/>
            <w:tcBorders>
              <w:top w:val="single" w:color="auto" w:sz="4" w:space="0"/>
              <w:left w:val="single" w:color="auto" w:sz="4" w:space="0"/>
              <w:bottom w:val="single" w:color="auto" w:sz="4" w:space="0"/>
              <w:right w:val="single" w:color="auto" w:sz="4" w:space="0"/>
            </w:tcBorders>
            <w:noWrap w:val="0"/>
            <w:vAlign w:val="top"/>
          </w:tcPr>
          <w:p w14:paraId="43504813">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54" w:type="pct"/>
            <w:tcBorders>
              <w:top w:val="single" w:color="auto" w:sz="4" w:space="0"/>
              <w:left w:val="single" w:color="auto" w:sz="4" w:space="0"/>
              <w:bottom w:val="single" w:color="auto" w:sz="4" w:space="0"/>
              <w:right w:val="single" w:color="auto" w:sz="4" w:space="0"/>
            </w:tcBorders>
            <w:noWrap w:val="0"/>
            <w:vAlign w:val="top"/>
          </w:tcPr>
          <w:p w14:paraId="56D77434">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597F0FC3">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591C37C8">
            <w:pPr>
              <w:spacing w:line="360" w:lineRule="auto"/>
              <w:rPr>
                <w:rFonts w:hint="eastAsia" w:ascii="仿宋" w:hAnsi="仿宋" w:eastAsia="仿宋" w:cs="仿宋"/>
                <w:color w:val="auto"/>
                <w:szCs w:val="21"/>
                <w:highlight w:val="none"/>
              </w:rPr>
            </w:pPr>
          </w:p>
        </w:tc>
      </w:tr>
      <w:tr w14:paraId="453D2FC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34D3495D">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415DF2D6">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5A1B012D">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5ADA1CFE">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6AB93879">
            <w:pPr>
              <w:spacing w:line="360" w:lineRule="auto"/>
              <w:rPr>
                <w:rFonts w:hint="eastAsia" w:ascii="仿宋" w:hAnsi="仿宋" w:eastAsia="仿宋" w:cs="仿宋"/>
                <w:color w:val="auto"/>
                <w:szCs w:val="21"/>
                <w:highlight w:val="none"/>
              </w:rPr>
            </w:pPr>
          </w:p>
        </w:tc>
      </w:tr>
      <w:tr w14:paraId="09C498B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4AC34824">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5A4CF4D9">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459F6503">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0B234C0C">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215213C5">
            <w:pPr>
              <w:spacing w:line="360" w:lineRule="auto"/>
              <w:rPr>
                <w:rFonts w:hint="eastAsia" w:ascii="仿宋" w:hAnsi="仿宋" w:eastAsia="仿宋" w:cs="仿宋"/>
                <w:color w:val="auto"/>
                <w:szCs w:val="21"/>
                <w:highlight w:val="none"/>
              </w:rPr>
            </w:pPr>
          </w:p>
        </w:tc>
      </w:tr>
      <w:tr w14:paraId="0ECC96B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noWrap w:val="0"/>
            <w:vAlign w:val="top"/>
          </w:tcPr>
          <w:p w14:paraId="74C5F471">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double" w:color="auto" w:sz="4" w:space="0"/>
              <w:right w:val="single" w:color="auto" w:sz="4" w:space="0"/>
            </w:tcBorders>
            <w:noWrap w:val="0"/>
            <w:vAlign w:val="top"/>
          </w:tcPr>
          <w:p w14:paraId="5E6CA71E">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double" w:color="auto" w:sz="4" w:space="0"/>
              <w:right w:val="single" w:color="auto" w:sz="4" w:space="0"/>
            </w:tcBorders>
            <w:noWrap w:val="0"/>
            <w:vAlign w:val="top"/>
          </w:tcPr>
          <w:p w14:paraId="6BCC2C69">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double" w:color="auto" w:sz="4" w:space="0"/>
              <w:right w:val="single" w:color="auto" w:sz="4" w:space="0"/>
            </w:tcBorders>
            <w:noWrap w:val="0"/>
            <w:vAlign w:val="top"/>
          </w:tcPr>
          <w:p w14:paraId="45E56A84">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double" w:color="auto" w:sz="4" w:space="0"/>
              <w:right w:val="double" w:color="auto" w:sz="4" w:space="0"/>
            </w:tcBorders>
            <w:noWrap w:val="0"/>
            <w:vAlign w:val="top"/>
          </w:tcPr>
          <w:p w14:paraId="6EC13186">
            <w:pPr>
              <w:spacing w:line="360" w:lineRule="auto"/>
              <w:rPr>
                <w:rFonts w:hint="eastAsia" w:ascii="仿宋" w:hAnsi="仿宋" w:eastAsia="仿宋" w:cs="仿宋"/>
                <w:color w:val="auto"/>
                <w:szCs w:val="21"/>
                <w:highlight w:val="none"/>
              </w:rPr>
            </w:pPr>
          </w:p>
        </w:tc>
      </w:tr>
    </w:tbl>
    <w:p w14:paraId="5896D97C">
      <w:pPr>
        <w:spacing w:before="240" w:line="360" w:lineRule="auto"/>
        <w:rPr>
          <w:rFonts w:hint="eastAsia" w:ascii="仿宋" w:hAnsi="仿宋" w:eastAsia="仿宋" w:cs="Cambria Math"/>
          <w:color w:val="auto"/>
          <w:sz w:val="24"/>
          <w:highlight w:val="none"/>
        </w:rPr>
      </w:pPr>
      <w:r>
        <w:rPr>
          <w:rFonts w:hint="eastAsia" w:ascii="仿宋" w:hAnsi="仿宋" w:eastAsia="仿宋" w:cs="仿宋"/>
          <w:color w:val="auto"/>
          <w:sz w:val="24"/>
          <w:highlight w:val="none"/>
        </w:rPr>
        <w:t>注：</w:t>
      </w:r>
      <w:r>
        <w:rPr>
          <w:rFonts w:hint="eastAsia" w:ascii="仿宋" w:hAnsi="仿宋" w:eastAsia="仿宋" w:cs="Cambria Math"/>
          <w:color w:val="auto"/>
          <w:sz w:val="24"/>
          <w:highlight w:val="none"/>
        </w:rPr>
        <w:t>对于未列出的偏离内容视同供应商已完全接受竞争性磋商文件的要求，</w:t>
      </w:r>
      <w:r>
        <w:rPr>
          <w:rFonts w:hint="eastAsia" w:ascii="仿宋" w:hAnsi="仿宋" w:eastAsia="仿宋" w:cs="Cambria Math"/>
          <w:b/>
          <w:bCs/>
          <w:color w:val="auto"/>
          <w:sz w:val="24"/>
          <w:highlight w:val="none"/>
        </w:rPr>
        <w:t>如全部满足，在偏离表中应答“全部满足”即可</w:t>
      </w:r>
      <w:r>
        <w:rPr>
          <w:rFonts w:hint="eastAsia" w:ascii="仿宋" w:hAnsi="仿宋" w:eastAsia="仿宋" w:cs="Cambria Math"/>
          <w:color w:val="auto"/>
          <w:sz w:val="24"/>
          <w:highlight w:val="none"/>
        </w:rPr>
        <w:t>。</w:t>
      </w:r>
    </w:p>
    <w:p w14:paraId="0CA44982">
      <w:pPr>
        <w:spacing w:line="360" w:lineRule="auto"/>
        <w:ind w:left="480" w:hanging="480" w:hangingChars="200"/>
        <w:rPr>
          <w:rFonts w:hint="eastAsia" w:ascii="仿宋" w:hAnsi="仿宋" w:eastAsia="仿宋" w:cs="仿宋"/>
          <w:color w:val="auto"/>
          <w:sz w:val="24"/>
          <w:highlight w:val="none"/>
        </w:rPr>
      </w:pPr>
    </w:p>
    <w:p w14:paraId="06717FF9">
      <w:pPr>
        <w:spacing w:line="440" w:lineRule="exact"/>
        <w:ind w:firstLine="4080" w:firstLineChars="1700"/>
        <w:jc w:val="right"/>
        <w:rPr>
          <w:rFonts w:hint="eastAsia" w:ascii="仿宋" w:hAnsi="仿宋" w:eastAsia="仿宋" w:cs="仿宋"/>
          <w:color w:val="auto"/>
          <w:sz w:val="24"/>
          <w:highlight w:val="none"/>
        </w:rPr>
      </w:pPr>
    </w:p>
    <w:p w14:paraId="31FF5B95">
      <w:pPr>
        <w:spacing w:line="440" w:lineRule="exact"/>
        <w:ind w:firstLine="4080" w:firstLineChars="17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14:paraId="29E5CC6C">
      <w:pPr>
        <w:spacing w:line="440" w:lineRule="exact"/>
        <w:jc w:val="right"/>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7B2730A4">
      <w:pPr>
        <w:spacing w:line="360" w:lineRule="auto"/>
        <w:rPr>
          <w:rFonts w:hint="eastAsia" w:ascii="仿宋" w:hAnsi="仿宋" w:eastAsia="仿宋" w:cs="仿宋"/>
          <w:color w:val="auto"/>
          <w:sz w:val="24"/>
          <w:highlight w:val="none"/>
        </w:rPr>
      </w:pPr>
    </w:p>
    <w:p w14:paraId="4ABBCC89">
      <w:pPr>
        <w:pStyle w:val="4"/>
        <w:numPr>
          <w:ilvl w:val="0"/>
          <w:numId w:val="0"/>
        </w:numPr>
        <w:spacing w:before="0" w:after="0" w:line="360" w:lineRule="auto"/>
        <w:ind w:left="1152" w:hanging="1152"/>
        <w:rPr>
          <w:rFonts w:hint="eastAsia" w:ascii="仿宋" w:hAnsi="仿宋" w:eastAsia="仿宋" w:cs="仿宋"/>
          <w:color w:val="auto"/>
          <w:sz w:val="24"/>
          <w:szCs w:val="24"/>
          <w:highlight w:val="none"/>
        </w:rPr>
      </w:pPr>
      <w:r>
        <w:rPr>
          <w:rFonts w:hint="eastAsia" w:ascii="仿宋" w:hAnsi="仿宋" w:eastAsia="仿宋" w:cs="仿宋"/>
          <w:color w:val="auto"/>
          <w:highlight w:val="none"/>
        </w:rPr>
        <w:br w:type="page"/>
      </w:r>
      <w:bookmarkStart w:id="217" w:name="_Toc8905"/>
      <w:r>
        <w:rPr>
          <w:rFonts w:hint="eastAsia" w:ascii="仿宋" w:hAnsi="仿宋" w:eastAsia="仿宋" w:cs="仿宋"/>
          <w:color w:val="auto"/>
          <w:sz w:val="24"/>
          <w:szCs w:val="24"/>
          <w:highlight w:val="none"/>
        </w:rPr>
        <w:t>（二）技术方案</w:t>
      </w:r>
      <w:bookmarkEnd w:id="217"/>
    </w:p>
    <w:p w14:paraId="5E493146">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供应商应根据采购需求的要求，提供相应的文件内容以及证明材料。 </w:t>
      </w:r>
      <w:bookmarkEnd w:id="185"/>
      <w:bookmarkEnd w:id="186"/>
      <w:bookmarkEnd w:id="187"/>
      <w:bookmarkEnd w:id="188"/>
      <w:bookmarkEnd w:id="189"/>
      <w:bookmarkEnd w:id="190"/>
      <w:bookmarkStart w:id="218" w:name="_Toc517281860"/>
      <w:bookmarkStart w:id="219" w:name="_Toc444891358"/>
      <w:r>
        <w:rPr>
          <w:rFonts w:hint="eastAsia" w:ascii="仿宋" w:hAnsi="仿宋" w:eastAsia="仿宋" w:cs="仿宋"/>
          <w:color w:val="auto"/>
          <w:sz w:val="24"/>
          <w:highlight w:val="none"/>
        </w:rPr>
        <w:br w:type="page"/>
      </w:r>
    </w:p>
    <w:p w14:paraId="3EFD3386">
      <w:pPr>
        <w:pStyle w:val="5"/>
        <w:numPr>
          <w:ilvl w:val="0"/>
          <w:numId w:val="0"/>
        </w:numPr>
        <w:rPr>
          <w:rFonts w:hint="eastAsia" w:ascii="仿宋" w:hAnsi="仿宋" w:eastAsia="仿宋" w:cs="Cambria Math"/>
          <w:color w:val="auto"/>
          <w:sz w:val="24"/>
          <w:szCs w:val="24"/>
          <w:highlight w:val="none"/>
        </w:rPr>
      </w:pPr>
      <w:r>
        <w:rPr>
          <w:rFonts w:hint="eastAsia" w:ascii="仿宋" w:hAnsi="仿宋" w:eastAsia="仿宋" w:cs="Cambria Math"/>
          <w:color w:val="auto"/>
          <w:sz w:val="24"/>
          <w:szCs w:val="24"/>
          <w:highlight w:val="none"/>
          <w:lang w:val="en-US" w:eastAsia="zh-CN"/>
        </w:rPr>
        <w:t>1、</w:t>
      </w:r>
      <w:r>
        <w:rPr>
          <w:rFonts w:hint="eastAsia" w:ascii="仿宋" w:hAnsi="仿宋" w:eastAsia="仿宋" w:cs="Cambria Math"/>
          <w:color w:val="auto"/>
          <w:sz w:val="24"/>
          <w:szCs w:val="24"/>
          <w:highlight w:val="none"/>
        </w:rPr>
        <w:t>拟派服务团队成员汇总表</w:t>
      </w:r>
    </w:p>
    <w:tbl>
      <w:tblPr>
        <w:tblStyle w:val="41"/>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14:paraId="6DA7D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noWrap w:val="0"/>
            <w:vAlign w:val="center"/>
          </w:tcPr>
          <w:p w14:paraId="4C8C80B8">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1260" w:type="dxa"/>
            <w:noWrap w:val="0"/>
            <w:vAlign w:val="center"/>
          </w:tcPr>
          <w:p w14:paraId="05B4FCAF">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姓名</w:t>
            </w:r>
          </w:p>
        </w:tc>
        <w:tc>
          <w:tcPr>
            <w:tcW w:w="851" w:type="dxa"/>
            <w:noWrap w:val="0"/>
            <w:vAlign w:val="center"/>
          </w:tcPr>
          <w:p w14:paraId="77DC9D4F">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学历</w:t>
            </w:r>
          </w:p>
        </w:tc>
        <w:tc>
          <w:tcPr>
            <w:tcW w:w="980" w:type="dxa"/>
            <w:noWrap w:val="0"/>
            <w:vAlign w:val="center"/>
          </w:tcPr>
          <w:p w14:paraId="35EC02EE">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专业资质</w:t>
            </w:r>
          </w:p>
        </w:tc>
        <w:tc>
          <w:tcPr>
            <w:tcW w:w="992" w:type="dxa"/>
            <w:noWrap w:val="0"/>
            <w:vAlign w:val="center"/>
          </w:tcPr>
          <w:p w14:paraId="17370509">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工作年限</w:t>
            </w:r>
          </w:p>
        </w:tc>
        <w:tc>
          <w:tcPr>
            <w:tcW w:w="1276" w:type="dxa"/>
            <w:noWrap w:val="0"/>
            <w:vAlign w:val="center"/>
          </w:tcPr>
          <w:p w14:paraId="0D26EF01">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本项目职务</w:t>
            </w:r>
          </w:p>
        </w:tc>
        <w:tc>
          <w:tcPr>
            <w:tcW w:w="1134" w:type="dxa"/>
            <w:noWrap w:val="0"/>
            <w:vAlign w:val="center"/>
          </w:tcPr>
          <w:p w14:paraId="2FB56CB2">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服务内容</w:t>
            </w:r>
          </w:p>
        </w:tc>
        <w:tc>
          <w:tcPr>
            <w:tcW w:w="1695" w:type="dxa"/>
            <w:noWrap w:val="0"/>
            <w:vAlign w:val="center"/>
          </w:tcPr>
          <w:p w14:paraId="2396C52B">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同类项目实施案例</w:t>
            </w:r>
          </w:p>
        </w:tc>
      </w:tr>
      <w:tr w14:paraId="3F1C9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noWrap w:val="0"/>
            <w:vAlign w:val="center"/>
          </w:tcPr>
          <w:p w14:paraId="2F88FE38">
            <w:pPr>
              <w:snapToGrid w:val="0"/>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1260" w:type="dxa"/>
            <w:noWrap w:val="0"/>
            <w:vAlign w:val="center"/>
          </w:tcPr>
          <w:p w14:paraId="17A64D9D">
            <w:pPr>
              <w:snapToGrid w:val="0"/>
              <w:spacing w:line="360" w:lineRule="auto"/>
              <w:jc w:val="center"/>
              <w:rPr>
                <w:rFonts w:hint="eastAsia" w:ascii="仿宋" w:hAnsi="仿宋" w:eastAsia="仿宋" w:cs="仿宋"/>
                <w:color w:val="auto"/>
                <w:szCs w:val="21"/>
                <w:highlight w:val="none"/>
              </w:rPr>
            </w:pPr>
          </w:p>
        </w:tc>
        <w:tc>
          <w:tcPr>
            <w:tcW w:w="851" w:type="dxa"/>
            <w:noWrap w:val="0"/>
            <w:vAlign w:val="top"/>
          </w:tcPr>
          <w:p w14:paraId="42D7569E">
            <w:pPr>
              <w:snapToGrid w:val="0"/>
              <w:spacing w:line="360" w:lineRule="auto"/>
              <w:jc w:val="center"/>
              <w:rPr>
                <w:rFonts w:hint="eastAsia" w:ascii="仿宋" w:hAnsi="仿宋" w:eastAsia="仿宋" w:cs="仿宋"/>
                <w:color w:val="auto"/>
                <w:szCs w:val="21"/>
                <w:highlight w:val="none"/>
              </w:rPr>
            </w:pPr>
          </w:p>
        </w:tc>
        <w:tc>
          <w:tcPr>
            <w:tcW w:w="980" w:type="dxa"/>
            <w:noWrap w:val="0"/>
            <w:vAlign w:val="center"/>
          </w:tcPr>
          <w:p w14:paraId="12FEC932">
            <w:pPr>
              <w:snapToGrid w:val="0"/>
              <w:spacing w:line="360" w:lineRule="auto"/>
              <w:jc w:val="center"/>
              <w:rPr>
                <w:rFonts w:hint="eastAsia" w:ascii="仿宋" w:hAnsi="仿宋" w:eastAsia="仿宋" w:cs="仿宋"/>
                <w:color w:val="auto"/>
                <w:szCs w:val="21"/>
                <w:highlight w:val="none"/>
              </w:rPr>
            </w:pPr>
          </w:p>
        </w:tc>
        <w:tc>
          <w:tcPr>
            <w:tcW w:w="992" w:type="dxa"/>
            <w:noWrap w:val="0"/>
            <w:vAlign w:val="center"/>
          </w:tcPr>
          <w:p w14:paraId="6A2C1D29">
            <w:pPr>
              <w:snapToGrid w:val="0"/>
              <w:spacing w:line="360" w:lineRule="auto"/>
              <w:jc w:val="center"/>
              <w:rPr>
                <w:rFonts w:hint="eastAsia" w:ascii="仿宋" w:hAnsi="仿宋" w:eastAsia="仿宋" w:cs="仿宋"/>
                <w:color w:val="auto"/>
                <w:szCs w:val="21"/>
                <w:highlight w:val="none"/>
              </w:rPr>
            </w:pPr>
          </w:p>
        </w:tc>
        <w:tc>
          <w:tcPr>
            <w:tcW w:w="1276" w:type="dxa"/>
            <w:noWrap w:val="0"/>
            <w:vAlign w:val="center"/>
          </w:tcPr>
          <w:p w14:paraId="4B56C0D0">
            <w:pPr>
              <w:snapToGrid w:val="0"/>
              <w:spacing w:line="360" w:lineRule="auto"/>
              <w:jc w:val="center"/>
              <w:rPr>
                <w:rFonts w:hint="eastAsia" w:ascii="仿宋" w:hAnsi="仿宋" w:eastAsia="仿宋" w:cs="仿宋"/>
                <w:color w:val="auto"/>
                <w:szCs w:val="21"/>
                <w:highlight w:val="none"/>
              </w:rPr>
            </w:pPr>
          </w:p>
        </w:tc>
        <w:tc>
          <w:tcPr>
            <w:tcW w:w="1134" w:type="dxa"/>
            <w:noWrap w:val="0"/>
            <w:vAlign w:val="center"/>
          </w:tcPr>
          <w:p w14:paraId="1BAC8547">
            <w:pPr>
              <w:snapToGrid w:val="0"/>
              <w:spacing w:line="360" w:lineRule="auto"/>
              <w:jc w:val="center"/>
              <w:rPr>
                <w:rFonts w:hint="eastAsia" w:ascii="仿宋" w:hAnsi="仿宋" w:eastAsia="仿宋" w:cs="仿宋"/>
                <w:color w:val="auto"/>
                <w:szCs w:val="21"/>
                <w:highlight w:val="none"/>
              </w:rPr>
            </w:pPr>
          </w:p>
        </w:tc>
        <w:tc>
          <w:tcPr>
            <w:tcW w:w="1695" w:type="dxa"/>
            <w:noWrap w:val="0"/>
            <w:vAlign w:val="center"/>
          </w:tcPr>
          <w:p w14:paraId="49D5A830">
            <w:pPr>
              <w:snapToGrid w:val="0"/>
              <w:spacing w:line="360" w:lineRule="auto"/>
              <w:jc w:val="center"/>
              <w:rPr>
                <w:rFonts w:hint="eastAsia" w:ascii="仿宋" w:hAnsi="仿宋" w:eastAsia="仿宋" w:cs="仿宋"/>
                <w:color w:val="auto"/>
                <w:szCs w:val="21"/>
                <w:highlight w:val="none"/>
              </w:rPr>
            </w:pPr>
          </w:p>
        </w:tc>
      </w:tr>
      <w:tr w14:paraId="585C4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0A22B22F">
            <w:pPr>
              <w:snapToGrid w:val="0"/>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1260" w:type="dxa"/>
            <w:noWrap w:val="0"/>
            <w:vAlign w:val="center"/>
          </w:tcPr>
          <w:p w14:paraId="3D9EBB89">
            <w:pPr>
              <w:snapToGrid w:val="0"/>
              <w:spacing w:line="360" w:lineRule="auto"/>
              <w:jc w:val="center"/>
              <w:rPr>
                <w:rFonts w:hint="eastAsia" w:ascii="仿宋" w:hAnsi="仿宋" w:eastAsia="仿宋" w:cs="仿宋"/>
                <w:color w:val="auto"/>
                <w:szCs w:val="21"/>
                <w:highlight w:val="none"/>
              </w:rPr>
            </w:pPr>
          </w:p>
        </w:tc>
        <w:tc>
          <w:tcPr>
            <w:tcW w:w="851" w:type="dxa"/>
            <w:noWrap w:val="0"/>
            <w:vAlign w:val="top"/>
          </w:tcPr>
          <w:p w14:paraId="5DE6479E">
            <w:pPr>
              <w:snapToGrid w:val="0"/>
              <w:spacing w:line="360" w:lineRule="auto"/>
              <w:jc w:val="center"/>
              <w:rPr>
                <w:rFonts w:hint="eastAsia" w:ascii="仿宋" w:hAnsi="仿宋" w:eastAsia="仿宋" w:cs="仿宋"/>
                <w:color w:val="auto"/>
                <w:szCs w:val="21"/>
                <w:highlight w:val="none"/>
              </w:rPr>
            </w:pPr>
          </w:p>
        </w:tc>
        <w:tc>
          <w:tcPr>
            <w:tcW w:w="980" w:type="dxa"/>
            <w:noWrap w:val="0"/>
            <w:vAlign w:val="center"/>
          </w:tcPr>
          <w:p w14:paraId="0F7E9646">
            <w:pPr>
              <w:snapToGrid w:val="0"/>
              <w:spacing w:line="360" w:lineRule="auto"/>
              <w:jc w:val="center"/>
              <w:rPr>
                <w:rFonts w:hint="eastAsia" w:ascii="仿宋" w:hAnsi="仿宋" w:eastAsia="仿宋" w:cs="仿宋"/>
                <w:color w:val="auto"/>
                <w:szCs w:val="21"/>
                <w:highlight w:val="none"/>
              </w:rPr>
            </w:pPr>
          </w:p>
        </w:tc>
        <w:tc>
          <w:tcPr>
            <w:tcW w:w="992" w:type="dxa"/>
            <w:noWrap w:val="0"/>
            <w:vAlign w:val="center"/>
          </w:tcPr>
          <w:p w14:paraId="20EC2D88">
            <w:pPr>
              <w:snapToGrid w:val="0"/>
              <w:spacing w:line="360" w:lineRule="auto"/>
              <w:jc w:val="center"/>
              <w:rPr>
                <w:rFonts w:hint="eastAsia" w:ascii="仿宋" w:hAnsi="仿宋" w:eastAsia="仿宋" w:cs="仿宋"/>
                <w:color w:val="auto"/>
                <w:szCs w:val="21"/>
                <w:highlight w:val="none"/>
              </w:rPr>
            </w:pPr>
          </w:p>
        </w:tc>
        <w:tc>
          <w:tcPr>
            <w:tcW w:w="1276" w:type="dxa"/>
            <w:noWrap w:val="0"/>
            <w:vAlign w:val="center"/>
          </w:tcPr>
          <w:p w14:paraId="63FBE038">
            <w:pPr>
              <w:snapToGrid w:val="0"/>
              <w:spacing w:line="360" w:lineRule="auto"/>
              <w:jc w:val="center"/>
              <w:rPr>
                <w:rFonts w:hint="eastAsia" w:ascii="仿宋" w:hAnsi="仿宋" w:eastAsia="仿宋" w:cs="仿宋"/>
                <w:color w:val="auto"/>
                <w:szCs w:val="21"/>
                <w:highlight w:val="none"/>
              </w:rPr>
            </w:pPr>
          </w:p>
        </w:tc>
        <w:tc>
          <w:tcPr>
            <w:tcW w:w="1134" w:type="dxa"/>
            <w:noWrap w:val="0"/>
            <w:vAlign w:val="center"/>
          </w:tcPr>
          <w:p w14:paraId="04DDEA82">
            <w:pPr>
              <w:snapToGrid w:val="0"/>
              <w:spacing w:line="360" w:lineRule="auto"/>
              <w:jc w:val="center"/>
              <w:rPr>
                <w:rFonts w:hint="eastAsia" w:ascii="仿宋" w:hAnsi="仿宋" w:eastAsia="仿宋" w:cs="仿宋"/>
                <w:color w:val="auto"/>
                <w:szCs w:val="21"/>
                <w:highlight w:val="none"/>
              </w:rPr>
            </w:pPr>
          </w:p>
        </w:tc>
        <w:tc>
          <w:tcPr>
            <w:tcW w:w="1695" w:type="dxa"/>
            <w:noWrap w:val="0"/>
            <w:vAlign w:val="center"/>
          </w:tcPr>
          <w:p w14:paraId="65230021">
            <w:pPr>
              <w:snapToGrid w:val="0"/>
              <w:spacing w:line="360" w:lineRule="auto"/>
              <w:jc w:val="center"/>
              <w:rPr>
                <w:rFonts w:hint="eastAsia" w:ascii="仿宋" w:hAnsi="仿宋" w:eastAsia="仿宋" w:cs="仿宋"/>
                <w:color w:val="auto"/>
                <w:szCs w:val="21"/>
                <w:highlight w:val="none"/>
              </w:rPr>
            </w:pPr>
          </w:p>
        </w:tc>
      </w:tr>
      <w:tr w14:paraId="45B26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1F695060">
            <w:pPr>
              <w:snapToGrid w:val="0"/>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1260" w:type="dxa"/>
            <w:noWrap w:val="0"/>
            <w:vAlign w:val="center"/>
          </w:tcPr>
          <w:p w14:paraId="3C494D1D">
            <w:pPr>
              <w:snapToGrid w:val="0"/>
              <w:spacing w:line="360" w:lineRule="auto"/>
              <w:jc w:val="center"/>
              <w:rPr>
                <w:rFonts w:hint="eastAsia" w:ascii="仿宋" w:hAnsi="仿宋" w:eastAsia="仿宋" w:cs="仿宋"/>
                <w:color w:val="auto"/>
                <w:szCs w:val="21"/>
                <w:highlight w:val="none"/>
              </w:rPr>
            </w:pPr>
          </w:p>
        </w:tc>
        <w:tc>
          <w:tcPr>
            <w:tcW w:w="851" w:type="dxa"/>
            <w:noWrap w:val="0"/>
            <w:vAlign w:val="top"/>
          </w:tcPr>
          <w:p w14:paraId="4812946C">
            <w:pPr>
              <w:snapToGrid w:val="0"/>
              <w:spacing w:line="360" w:lineRule="auto"/>
              <w:jc w:val="center"/>
              <w:rPr>
                <w:rFonts w:hint="eastAsia" w:ascii="仿宋" w:hAnsi="仿宋" w:eastAsia="仿宋" w:cs="仿宋"/>
                <w:color w:val="auto"/>
                <w:szCs w:val="21"/>
                <w:highlight w:val="none"/>
              </w:rPr>
            </w:pPr>
          </w:p>
        </w:tc>
        <w:tc>
          <w:tcPr>
            <w:tcW w:w="980" w:type="dxa"/>
            <w:noWrap w:val="0"/>
            <w:vAlign w:val="center"/>
          </w:tcPr>
          <w:p w14:paraId="0C9AE938">
            <w:pPr>
              <w:snapToGrid w:val="0"/>
              <w:spacing w:line="360" w:lineRule="auto"/>
              <w:jc w:val="center"/>
              <w:rPr>
                <w:rFonts w:hint="eastAsia" w:ascii="仿宋" w:hAnsi="仿宋" w:eastAsia="仿宋" w:cs="仿宋"/>
                <w:color w:val="auto"/>
                <w:szCs w:val="21"/>
                <w:highlight w:val="none"/>
              </w:rPr>
            </w:pPr>
          </w:p>
        </w:tc>
        <w:tc>
          <w:tcPr>
            <w:tcW w:w="992" w:type="dxa"/>
            <w:noWrap w:val="0"/>
            <w:vAlign w:val="center"/>
          </w:tcPr>
          <w:p w14:paraId="2ECE63F8">
            <w:pPr>
              <w:snapToGrid w:val="0"/>
              <w:spacing w:line="360" w:lineRule="auto"/>
              <w:jc w:val="center"/>
              <w:rPr>
                <w:rFonts w:hint="eastAsia" w:ascii="仿宋" w:hAnsi="仿宋" w:eastAsia="仿宋" w:cs="仿宋"/>
                <w:color w:val="auto"/>
                <w:szCs w:val="21"/>
                <w:highlight w:val="none"/>
              </w:rPr>
            </w:pPr>
          </w:p>
        </w:tc>
        <w:tc>
          <w:tcPr>
            <w:tcW w:w="1276" w:type="dxa"/>
            <w:noWrap w:val="0"/>
            <w:vAlign w:val="center"/>
          </w:tcPr>
          <w:p w14:paraId="17B274B3">
            <w:pPr>
              <w:snapToGrid w:val="0"/>
              <w:spacing w:line="360" w:lineRule="auto"/>
              <w:jc w:val="center"/>
              <w:rPr>
                <w:rFonts w:hint="eastAsia" w:ascii="仿宋" w:hAnsi="仿宋" w:eastAsia="仿宋" w:cs="仿宋"/>
                <w:color w:val="auto"/>
                <w:szCs w:val="21"/>
                <w:highlight w:val="none"/>
              </w:rPr>
            </w:pPr>
          </w:p>
        </w:tc>
        <w:tc>
          <w:tcPr>
            <w:tcW w:w="1134" w:type="dxa"/>
            <w:noWrap w:val="0"/>
            <w:vAlign w:val="center"/>
          </w:tcPr>
          <w:p w14:paraId="7E897F14">
            <w:pPr>
              <w:snapToGrid w:val="0"/>
              <w:spacing w:line="360" w:lineRule="auto"/>
              <w:jc w:val="center"/>
              <w:rPr>
                <w:rFonts w:hint="eastAsia" w:ascii="仿宋" w:hAnsi="仿宋" w:eastAsia="仿宋" w:cs="仿宋"/>
                <w:color w:val="auto"/>
                <w:szCs w:val="21"/>
                <w:highlight w:val="none"/>
              </w:rPr>
            </w:pPr>
          </w:p>
        </w:tc>
        <w:tc>
          <w:tcPr>
            <w:tcW w:w="1695" w:type="dxa"/>
            <w:noWrap w:val="0"/>
            <w:vAlign w:val="center"/>
          </w:tcPr>
          <w:p w14:paraId="421B0E8E">
            <w:pPr>
              <w:snapToGrid w:val="0"/>
              <w:spacing w:line="360" w:lineRule="auto"/>
              <w:jc w:val="center"/>
              <w:rPr>
                <w:rFonts w:hint="eastAsia" w:ascii="仿宋" w:hAnsi="仿宋" w:eastAsia="仿宋" w:cs="仿宋"/>
                <w:color w:val="auto"/>
                <w:szCs w:val="21"/>
                <w:highlight w:val="none"/>
              </w:rPr>
            </w:pPr>
          </w:p>
        </w:tc>
      </w:tr>
      <w:tr w14:paraId="1B19E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21F29505">
            <w:pPr>
              <w:snapToGrid w:val="0"/>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4</w:t>
            </w:r>
          </w:p>
        </w:tc>
        <w:tc>
          <w:tcPr>
            <w:tcW w:w="1260" w:type="dxa"/>
            <w:noWrap w:val="0"/>
            <w:vAlign w:val="center"/>
          </w:tcPr>
          <w:p w14:paraId="336773E7">
            <w:pPr>
              <w:snapToGrid w:val="0"/>
              <w:spacing w:line="360" w:lineRule="auto"/>
              <w:jc w:val="center"/>
              <w:rPr>
                <w:rFonts w:hint="eastAsia" w:ascii="仿宋" w:hAnsi="仿宋" w:eastAsia="仿宋" w:cs="仿宋"/>
                <w:color w:val="auto"/>
                <w:szCs w:val="21"/>
                <w:highlight w:val="none"/>
              </w:rPr>
            </w:pPr>
          </w:p>
        </w:tc>
        <w:tc>
          <w:tcPr>
            <w:tcW w:w="851" w:type="dxa"/>
            <w:noWrap w:val="0"/>
            <w:vAlign w:val="top"/>
          </w:tcPr>
          <w:p w14:paraId="49F97F20">
            <w:pPr>
              <w:snapToGrid w:val="0"/>
              <w:spacing w:line="360" w:lineRule="auto"/>
              <w:jc w:val="center"/>
              <w:rPr>
                <w:rFonts w:hint="eastAsia" w:ascii="仿宋" w:hAnsi="仿宋" w:eastAsia="仿宋" w:cs="仿宋"/>
                <w:color w:val="auto"/>
                <w:szCs w:val="21"/>
                <w:highlight w:val="none"/>
              </w:rPr>
            </w:pPr>
          </w:p>
        </w:tc>
        <w:tc>
          <w:tcPr>
            <w:tcW w:w="980" w:type="dxa"/>
            <w:noWrap w:val="0"/>
            <w:vAlign w:val="center"/>
          </w:tcPr>
          <w:p w14:paraId="79B7E0A8">
            <w:pPr>
              <w:snapToGrid w:val="0"/>
              <w:spacing w:line="360" w:lineRule="auto"/>
              <w:jc w:val="center"/>
              <w:rPr>
                <w:rFonts w:hint="eastAsia" w:ascii="仿宋" w:hAnsi="仿宋" w:eastAsia="仿宋" w:cs="仿宋"/>
                <w:color w:val="auto"/>
                <w:szCs w:val="21"/>
                <w:highlight w:val="none"/>
              </w:rPr>
            </w:pPr>
          </w:p>
        </w:tc>
        <w:tc>
          <w:tcPr>
            <w:tcW w:w="992" w:type="dxa"/>
            <w:noWrap w:val="0"/>
            <w:vAlign w:val="center"/>
          </w:tcPr>
          <w:p w14:paraId="65B99666">
            <w:pPr>
              <w:snapToGrid w:val="0"/>
              <w:spacing w:line="360" w:lineRule="auto"/>
              <w:jc w:val="center"/>
              <w:rPr>
                <w:rFonts w:hint="eastAsia" w:ascii="仿宋" w:hAnsi="仿宋" w:eastAsia="仿宋" w:cs="仿宋"/>
                <w:color w:val="auto"/>
                <w:szCs w:val="21"/>
                <w:highlight w:val="none"/>
              </w:rPr>
            </w:pPr>
          </w:p>
        </w:tc>
        <w:tc>
          <w:tcPr>
            <w:tcW w:w="1276" w:type="dxa"/>
            <w:noWrap w:val="0"/>
            <w:vAlign w:val="center"/>
          </w:tcPr>
          <w:p w14:paraId="22B909C1">
            <w:pPr>
              <w:snapToGrid w:val="0"/>
              <w:spacing w:line="360" w:lineRule="auto"/>
              <w:jc w:val="center"/>
              <w:rPr>
                <w:rFonts w:hint="eastAsia" w:ascii="仿宋" w:hAnsi="仿宋" w:eastAsia="仿宋" w:cs="仿宋"/>
                <w:color w:val="auto"/>
                <w:szCs w:val="21"/>
                <w:highlight w:val="none"/>
              </w:rPr>
            </w:pPr>
          </w:p>
        </w:tc>
        <w:tc>
          <w:tcPr>
            <w:tcW w:w="1134" w:type="dxa"/>
            <w:noWrap w:val="0"/>
            <w:vAlign w:val="center"/>
          </w:tcPr>
          <w:p w14:paraId="3411DD0A">
            <w:pPr>
              <w:snapToGrid w:val="0"/>
              <w:spacing w:line="360" w:lineRule="auto"/>
              <w:jc w:val="center"/>
              <w:rPr>
                <w:rFonts w:hint="eastAsia" w:ascii="仿宋" w:hAnsi="仿宋" w:eastAsia="仿宋" w:cs="仿宋"/>
                <w:color w:val="auto"/>
                <w:szCs w:val="21"/>
                <w:highlight w:val="none"/>
              </w:rPr>
            </w:pPr>
          </w:p>
        </w:tc>
        <w:tc>
          <w:tcPr>
            <w:tcW w:w="1695" w:type="dxa"/>
            <w:noWrap w:val="0"/>
            <w:vAlign w:val="center"/>
          </w:tcPr>
          <w:p w14:paraId="5165851B">
            <w:pPr>
              <w:snapToGrid w:val="0"/>
              <w:spacing w:line="360" w:lineRule="auto"/>
              <w:jc w:val="center"/>
              <w:rPr>
                <w:rFonts w:hint="eastAsia" w:ascii="仿宋" w:hAnsi="仿宋" w:eastAsia="仿宋" w:cs="仿宋"/>
                <w:color w:val="auto"/>
                <w:szCs w:val="21"/>
                <w:highlight w:val="none"/>
              </w:rPr>
            </w:pPr>
          </w:p>
        </w:tc>
      </w:tr>
      <w:tr w14:paraId="6B3E6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2131A652">
            <w:pPr>
              <w:snapToGrid w:val="0"/>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60" w:type="dxa"/>
            <w:noWrap w:val="0"/>
            <w:vAlign w:val="center"/>
          </w:tcPr>
          <w:p w14:paraId="3A97D54A">
            <w:pPr>
              <w:snapToGrid w:val="0"/>
              <w:spacing w:line="360" w:lineRule="auto"/>
              <w:jc w:val="center"/>
              <w:rPr>
                <w:rFonts w:hint="eastAsia" w:ascii="仿宋" w:hAnsi="仿宋" w:eastAsia="仿宋" w:cs="仿宋"/>
                <w:color w:val="auto"/>
                <w:szCs w:val="21"/>
                <w:highlight w:val="none"/>
              </w:rPr>
            </w:pPr>
          </w:p>
        </w:tc>
        <w:tc>
          <w:tcPr>
            <w:tcW w:w="851" w:type="dxa"/>
            <w:noWrap w:val="0"/>
            <w:vAlign w:val="top"/>
          </w:tcPr>
          <w:p w14:paraId="04EA829A">
            <w:pPr>
              <w:snapToGrid w:val="0"/>
              <w:spacing w:line="360" w:lineRule="auto"/>
              <w:jc w:val="center"/>
              <w:rPr>
                <w:rFonts w:hint="eastAsia" w:ascii="仿宋" w:hAnsi="仿宋" w:eastAsia="仿宋" w:cs="仿宋"/>
                <w:color w:val="auto"/>
                <w:szCs w:val="21"/>
                <w:highlight w:val="none"/>
              </w:rPr>
            </w:pPr>
          </w:p>
        </w:tc>
        <w:tc>
          <w:tcPr>
            <w:tcW w:w="980" w:type="dxa"/>
            <w:noWrap w:val="0"/>
            <w:vAlign w:val="center"/>
          </w:tcPr>
          <w:p w14:paraId="222AAF0B">
            <w:pPr>
              <w:snapToGrid w:val="0"/>
              <w:spacing w:line="360" w:lineRule="auto"/>
              <w:jc w:val="center"/>
              <w:rPr>
                <w:rFonts w:hint="eastAsia" w:ascii="仿宋" w:hAnsi="仿宋" w:eastAsia="仿宋" w:cs="仿宋"/>
                <w:color w:val="auto"/>
                <w:szCs w:val="21"/>
                <w:highlight w:val="none"/>
              </w:rPr>
            </w:pPr>
          </w:p>
        </w:tc>
        <w:tc>
          <w:tcPr>
            <w:tcW w:w="992" w:type="dxa"/>
            <w:noWrap w:val="0"/>
            <w:vAlign w:val="center"/>
          </w:tcPr>
          <w:p w14:paraId="6EF37B5F">
            <w:pPr>
              <w:snapToGrid w:val="0"/>
              <w:spacing w:line="360" w:lineRule="auto"/>
              <w:jc w:val="center"/>
              <w:rPr>
                <w:rFonts w:hint="eastAsia" w:ascii="仿宋" w:hAnsi="仿宋" w:eastAsia="仿宋" w:cs="仿宋"/>
                <w:color w:val="auto"/>
                <w:szCs w:val="21"/>
                <w:highlight w:val="none"/>
              </w:rPr>
            </w:pPr>
          </w:p>
        </w:tc>
        <w:tc>
          <w:tcPr>
            <w:tcW w:w="1276" w:type="dxa"/>
            <w:noWrap w:val="0"/>
            <w:vAlign w:val="center"/>
          </w:tcPr>
          <w:p w14:paraId="3EB0CD2A">
            <w:pPr>
              <w:snapToGrid w:val="0"/>
              <w:spacing w:line="360" w:lineRule="auto"/>
              <w:jc w:val="center"/>
              <w:rPr>
                <w:rFonts w:hint="eastAsia" w:ascii="仿宋" w:hAnsi="仿宋" w:eastAsia="仿宋" w:cs="仿宋"/>
                <w:color w:val="auto"/>
                <w:szCs w:val="21"/>
                <w:highlight w:val="none"/>
              </w:rPr>
            </w:pPr>
          </w:p>
        </w:tc>
        <w:tc>
          <w:tcPr>
            <w:tcW w:w="1134" w:type="dxa"/>
            <w:noWrap w:val="0"/>
            <w:vAlign w:val="center"/>
          </w:tcPr>
          <w:p w14:paraId="7C725BED">
            <w:pPr>
              <w:snapToGrid w:val="0"/>
              <w:spacing w:line="360" w:lineRule="auto"/>
              <w:jc w:val="center"/>
              <w:rPr>
                <w:rFonts w:hint="eastAsia" w:ascii="仿宋" w:hAnsi="仿宋" w:eastAsia="仿宋" w:cs="仿宋"/>
                <w:color w:val="auto"/>
                <w:szCs w:val="21"/>
                <w:highlight w:val="none"/>
              </w:rPr>
            </w:pPr>
          </w:p>
        </w:tc>
        <w:tc>
          <w:tcPr>
            <w:tcW w:w="1695" w:type="dxa"/>
            <w:noWrap w:val="0"/>
            <w:vAlign w:val="center"/>
          </w:tcPr>
          <w:p w14:paraId="24DAD124">
            <w:pPr>
              <w:snapToGrid w:val="0"/>
              <w:spacing w:line="360" w:lineRule="auto"/>
              <w:jc w:val="center"/>
              <w:rPr>
                <w:rFonts w:hint="eastAsia" w:ascii="仿宋" w:hAnsi="仿宋" w:eastAsia="仿宋" w:cs="仿宋"/>
                <w:color w:val="auto"/>
                <w:szCs w:val="21"/>
                <w:highlight w:val="none"/>
              </w:rPr>
            </w:pPr>
          </w:p>
        </w:tc>
      </w:tr>
      <w:tr w14:paraId="5CC42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7D8EF53C">
            <w:pPr>
              <w:snapToGrid w:val="0"/>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60" w:type="dxa"/>
            <w:noWrap w:val="0"/>
            <w:vAlign w:val="center"/>
          </w:tcPr>
          <w:p w14:paraId="685CBE31">
            <w:pPr>
              <w:snapToGrid w:val="0"/>
              <w:spacing w:line="360" w:lineRule="auto"/>
              <w:jc w:val="center"/>
              <w:rPr>
                <w:rFonts w:hint="eastAsia" w:ascii="仿宋" w:hAnsi="仿宋" w:eastAsia="仿宋" w:cs="仿宋"/>
                <w:color w:val="auto"/>
                <w:szCs w:val="21"/>
                <w:highlight w:val="none"/>
              </w:rPr>
            </w:pPr>
          </w:p>
        </w:tc>
        <w:tc>
          <w:tcPr>
            <w:tcW w:w="851" w:type="dxa"/>
            <w:noWrap w:val="0"/>
            <w:vAlign w:val="top"/>
          </w:tcPr>
          <w:p w14:paraId="68BD93BC">
            <w:pPr>
              <w:snapToGrid w:val="0"/>
              <w:spacing w:line="360" w:lineRule="auto"/>
              <w:jc w:val="center"/>
              <w:rPr>
                <w:rFonts w:hint="eastAsia" w:ascii="仿宋" w:hAnsi="仿宋" w:eastAsia="仿宋" w:cs="仿宋"/>
                <w:color w:val="auto"/>
                <w:szCs w:val="21"/>
                <w:highlight w:val="none"/>
              </w:rPr>
            </w:pPr>
          </w:p>
        </w:tc>
        <w:tc>
          <w:tcPr>
            <w:tcW w:w="980" w:type="dxa"/>
            <w:noWrap w:val="0"/>
            <w:vAlign w:val="center"/>
          </w:tcPr>
          <w:p w14:paraId="6431925A">
            <w:pPr>
              <w:snapToGrid w:val="0"/>
              <w:spacing w:line="360" w:lineRule="auto"/>
              <w:jc w:val="center"/>
              <w:rPr>
                <w:rFonts w:hint="eastAsia" w:ascii="仿宋" w:hAnsi="仿宋" w:eastAsia="仿宋" w:cs="仿宋"/>
                <w:color w:val="auto"/>
                <w:szCs w:val="21"/>
                <w:highlight w:val="none"/>
              </w:rPr>
            </w:pPr>
          </w:p>
        </w:tc>
        <w:tc>
          <w:tcPr>
            <w:tcW w:w="992" w:type="dxa"/>
            <w:noWrap w:val="0"/>
            <w:vAlign w:val="center"/>
          </w:tcPr>
          <w:p w14:paraId="31A2ECD9">
            <w:pPr>
              <w:snapToGrid w:val="0"/>
              <w:spacing w:line="360" w:lineRule="auto"/>
              <w:jc w:val="center"/>
              <w:rPr>
                <w:rFonts w:hint="eastAsia" w:ascii="仿宋" w:hAnsi="仿宋" w:eastAsia="仿宋" w:cs="仿宋"/>
                <w:color w:val="auto"/>
                <w:szCs w:val="21"/>
                <w:highlight w:val="none"/>
              </w:rPr>
            </w:pPr>
          </w:p>
        </w:tc>
        <w:tc>
          <w:tcPr>
            <w:tcW w:w="1276" w:type="dxa"/>
            <w:noWrap w:val="0"/>
            <w:vAlign w:val="center"/>
          </w:tcPr>
          <w:p w14:paraId="5081CBEA">
            <w:pPr>
              <w:snapToGrid w:val="0"/>
              <w:spacing w:line="360" w:lineRule="auto"/>
              <w:jc w:val="center"/>
              <w:rPr>
                <w:rFonts w:hint="eastAsia" w:ascii="仿宋" w:hAnsi="仿宋" w:eastAsia="仿宋" w:cs="仿宋"/>
                <w:color w:val="auto"/>
                <w:szCs w:val="21"/>
                <w:highlight w:val="none"/>
              </w:rPr>
            </w:pPr>
          </w:p>
        </w:tc>
        <w:tc>
          <w:tcPr>
            <w:tcW w:w="1134" w:type="dxa"/>
            <w:noWrap w:val="0"/>
            <w:vAlign w:val="center"/>
          </w:tcPr>
          <w:p w14:paraId="5BB2FD95">
            <w:pPr>
              <w:snapToGrid w:val="0"/>
              <w:spacing w:line="360" w:lineRule="auto"/>
              <w:jc w:val="center"/>
              <w:rPr>
                <w:rFonts w:hint="eastAsia" w:ascii="仿宋" w:hAnsi="仿宋" w:eastAsia="仿宋" w:cs="仿宋"/>
                <w:color w:val="auto"/>
                <w:szCs w:val="21"/>
                <w:highlight w:val="none"/>
              </w:rPr>
            </w:pPr>
          </w:p>
        </w:tc>
        <w:tc>
          <w:tcPr>
            <w:tcW w:w="1695" w:type="dxa"/>
            <w:noWrap w:val="0"/>
            <w:vAlign w:val="center"/>
          </w:tcPr>
          <w:p w14:paraId="2EADDBF8">
            <w:pPr>
              <w:snapToGrid w:val="0"/>
              <w:spacing w:line="360" w:lineRule="auto"/>
              <w:jc w:val="center"/>
              <w:rPr>
                <w:rFonts w:hint="eastAsia" w:ascii="仿宋" w:hAnsi="仿宋" w:eastAsia="仿宋" w:cs="仿宋"/>
                <w:color w:val="auto"/>
                <w:szCs w:val="21"/>
                <w:highlight w:val="none"/>
              </w:rPr>
            </w:pPr>
          </w:p>
        </w:tc>
      </w:tr>
    </w:tbl>
    <w:p w14:paraId="3C99B709">
      <w:pPr>
        <w:adjustRightInd w:val="0"/>
        <w:snapToGrid w:val="0"/>
        <w:spacing w:before="240" w:line="360" w:lineRule="auto"/>
        <w:ind w:firstLine="482" w:firstLineChars="200"/>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注：需按照采购需求中的相关要求，列明本项目服务团队所有人员信息及职责分工。</w:t>
      </w:r>
    </w:p>
    <w:p w14:paraId="3AB7D91D">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1BFFEF41">
      <w:pPr>
        <w:pStyle w:val="5"/>
        <w:spacing w:before="0" w:after="0"/>
        <w:rPr>
          <w:rFonts w:hint="eastAsia" w:ascii="仿宋" w:hAnsi="仿宋" w:eastAsia="仿宋" w:cs="Cambria Math"/>
          <w:color w:val="auto"/>
          <w:sz w:val="24"/>
          <w:szCs w:val="24"/>
          <w:highlight w:val="none"/>
        </w:rPr>
      </w:pPr>
      <w:r>
        <w:rPr>
          <w:rFonts w:hint="eastAsia" w:ascii="仿宋" w:hAnsi="仿宋" w:eastAsia="仿宋" w:cs="Cambria Math"/>
          <w:color w:val="auto"/>
          <w:sz w:val="24"/>
          <w:szCs w:val="24"/>
          <w:highlight w:val="none"/>
          <w:lang w:val="en-US" w:eastAsia="zh-CN"/>
        </w:rPr>
        <w:t>2、</w:t>
      </w:r>
      <w:r>
        <w:rPr>
          <w:rFonts w:hint="eastAsia" w:ascii="仿宋" w:hAnsi="仿宋" w:eastAsia="仿宋" w:cs="Cambria Math"/>
          <w:color w:val="auto"/>
          <w:sz w:val="24"/>
          <w:szCs w:val="24"/>
          <w:highlight w:val="none"/>
        </w:rPr>
        <w:t>拟派团队成员简历表</w:t>
      </w:r>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1"/>
        <w:gridCol w:w="294"/>
        <w:gridCol w:w="1065"/>
        <w:gridCol w:w="909"/>
        <w:gridCol w:w="36"/>
        <w:gridCol w:w="945"/>
        <w:gridCol w:w="1287"/>
        <w:gridCol w:w="567"/>
        <w:gridCol w:w="2694"/>
      </w:tblGrid>
      <w:tr w14:paraId="61D3C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995" w:type="dxa"/>
            <w:gridSpan w:val="2"/>
            <w:noWrap w:val="0"/>
            <w:vAlign w:val="center"/>
          </w:tcPr>
          <w:p w14:paraId="676CA4D2">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  名</w:t>
            </w:r>
          </w:p>
        </w:tc>
        <w:tc>
          <w:tcPr>
            <w:tcW w:w="1065" w:type="dxa"/>
            <w:noWrap w:val="0"/>
            <w:vAlign w:val="center"/>
          </w:tcPr>
          <w:p w14:paraId="5DC6EDF0">
            <w:pPr>
              <w:jc w:val="center"/>
              <w:rPr>
                <w:rFonts w:hint="eastAsia" w:ascii="仿宋" w:hAnsi="仿宋" w:eastAsia="仿宋" w:cs="仿宋"/>
                <w:color w:val="auto"/>
                <w:sz w:val="24"/>
                <w:highlight w:val="none"/>
              </w:rPr>
            </w:pPr>
          </w:p>
        </w:tc>
        <w:tc>
          <w:tcPr>
            <w:tcW w:w="945" w:type="dxa"/>
            <w:gridSpan w:val="2"/>
            <w:noWrap w:val="0"/>
            <w:vAlign w:val="center"/>
          </w:tcPr>
          <w:p w14:paraId="4ECA75B4">
            <w:pPr>
              <w:rPr>
                <w:rFonts w:hint="eastAsia" w:ascii="仿宋" w:hAnsi="仿宋" w:eastAsia="仿宋" w:cs="仿宋"/>
                <w:color w:val="auto"/>
                <w:sz w:val="24"/>
                <w:highlight w:val="none"/>
              </w:rPr>
            </w:pPr>
            <w:r>
              <w:rPr>
                <w:rFonts w:hint="eastAsia" w:ascii="仿宋" w:hAnsi="仿宋" w:eastAsia="仿宋" w:cs="仿宋"/>
                <w:color w:val="auto"/>
                <w:sz w:val="24"/>
                <w:highlight w:val="none"/>
              </w:rPr>
              <w:t>性 别</w:t>
            </w:r>
          </w:p>
        </w:tc>
        <w:tc>
          <w:tcPr>
            <w:tcW w:w="945" w:type="dxa"/>
            <w:noWrap w:val="0"/>
            <w:vAlign w:val="center"/>
          </w:tcPr>
          <w:p w14:paraId="67D75B28">
            <w:pPr>
              <w:rPr>
                <w:rFonts w:hint="eastAsia" w:ascii="仿宋" w:hAnsi="仿宋" w:eastAsia="仿宋" w:cs="仿宋"/>
                <w:color w:val="auto"/>
                <w:sz w:val="24"/>
                <w:highlight w:val="none"/>
              </w:rPr>
            </w:pPr>
          </w:p>
        </w:tc>
        <w:tc>
          <w:tcPr>
            <w:tcW w:w="1854" w:type="dxa"/>
            <w:gridSpan w:val="2"/>
            <w:noWrap w:val="0"/>
            <w:vAlign w:val="center"/>
          </w:tcPr>
          <w:p w14:paraId="630480B6">
            <w:pPr>
              <w:rPr>
                <w:rFonts w:hint="eastAsia" w:ascii="仿宋" w:hAnsi="仿宋" w:eastAsia="仿宋" w:cs="仿宋"/>
                <w:color w:val="auto"/>
                <w:sz w:val="24"/>
                <w:highlight w:val="none"/>
              </w:rPr>
            </w:pPr>
            <w:r>
              <w:rPr>
                <w:rFonts w:hint="eastAsia" w:ascii="仿宋" w:hAnsi="仿宋" w:eastAsia="仿宋" w:cs="仿宋"/>
                <w:color w:val="auto"/>
                <w:sz w:val="24"/>
                <w:highlight w:val="none"/>
              </w:rPr>
              <w:t>出 生 日 期</w:t>
            </w:r>
          </w:p>
        </w:tc>
        <w:tc>
          <w:tcPr>
            <w:tcW w:w="2694" w:type="dxa"/>
            <w:noWrap w:val="0"/>
            <w:vAlign w:val="center"/>
          </w:tcPr>
          <w:p w14:paraId="764BCD56">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年    月   日</w:t>
            </w:r>
          </w:p>
        </w:tc>
      </w:tr>
      <w:tr w14:paraId="040C0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995" w:type="dxa"/>
            <w:gridSpan w:val="2"/>
            <w:noWrap w:val="0"/>
            <w:vAlign w:val="center"/>
          </w:tcPr>
          <w:p w14:paraId="5876D804">
            <w:pPr>
              <w:rPr>
                <w:rFonts w:hint="eastAsia" w:ascii="仿宋" w:hAnsi="仿宋" w:eastAsia="仿宋" w:cs="仿宋"/>
                <w:color w:val="auto"/>
                <w:sz w:val="24"/>
                <w:highlight w:val="none"/>
              </w:rPr>
            </w:pPr>
            <w:r>
              <w:rPr>
                <w:rFonts w:hint="eastAsia" w:ascii="仿宋" w:hAnsi="仿宋" w:eastAsia="仿宋" w:cs="仿宋"/>
                <w:color w:val="auto"/>
                <w:sz w:val="24"/>
                <w:highlight w:val="none"/>
              </w:rPr>
              <w:t>毕业院校及专业</w:t>
            </w:r>
          </w:p>
        </w:tc>
        <w:tc>
          <w:tcPr>
            <w:tcW w:w="2955" w:type="dxa"/>
            <w:gridSpan w:val="4"/>
            <w:noWrap w:val="0"/>
            <w:vAlign w:val="center"/>
          </w:tcPr>
          <w:p w14:paraId="6F435297">
            <w:pPr>
              <w:rPr>
                <w:rFonts w:hint="eastAsia" w:ascii="仿宋" w:hAnsi="仿宋" w:eastAsia="仿宋" w:cs="仿宋"/>
                <w:color w:val="auto"/>
                <w:sz w:val="24"/>
                <w:highlight w:val="none"/>
              </w:rPr>
            </w:pPr>
          </w:p>
        </w:tc>
        <w:tc>
          <w:tcPr>
            <w:tcW w:w="1854" w:type="dxa"/>
            <w:gridSpan w:val="2"/>
            <w:noWrap w:val="0"/>
            <w:vAlign w:val="center"/>
          </w:tcPr>
          <w:p w14:paraId="49C0F945">
            <w:pPr>
              <w:ind w:left="-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学历</w:t>
            </w:r>
          </w:p>
        </w:tc>
        <w:tc>
          <w:tcPr>
            <w:tcW w:w="2694" w:type="dxa"/>
            <w:noWrap w:val="0"/>
            <w:vAlign w:val="center"/>
          </w:tcPr>
          <w:p w14:paraId="7EC9C32E">
            <w:pPr>
              <w:ind w:left="45"/>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tc>
      </w:tr>
      <w:tr w14:paraId="1B617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2"/>
            <w:noWrap w:val="0"/>
            <w:vAlign w:val="center"/>
          </w:tcPr>
          <w:p w14:paraId="30A796C4">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工作年限</w:t>
            </w:r>
          </w:p>
        </w:tc>
        <w:tc>
          <w:tcPr>
            <w:tcW w:w="1974" w:type="dxa"/>
            <w:gridSpan w:val="2"/>
            <w:noWrap w:val="0"/>
            <w:vAlign w:val="center"/>
          </w:tcPr>
          <w:p w14:paraId="60E2524E">
            <w:pPr>
              <w:rPr>
                <w:rFonts w:hint="eastAsia" w:ascii="仿宋" w:hAnsi="仿宋" w:eastAsia="仿宋" w:cs="仿宋"/>
                <w:color w:val="auto"/>
                <w:sz w:val="24"/>
                <w:highlight w:val="none"/>
              </w:rPr>
            </w:pPr>
          </w:p>
        </w:tc>
        <w:tc>
          <w:tcPr>
            <w:tcW w:w="2835" w:type="dxa"/>
            <w:gridSpan w:val="4"/>
            <w:noWrap w:val="0"/>
            <w:vAlign w:val="center"/>
          </w:tcPr>
          <w:p w14:paraId="2FB937C4">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为供应商服务时间</w:t>
            </w:r>
          </w:p>
        </w:tc>
        <w:tc>
          <w:tcPr>
            <w:tcW w:w="2694" w:type="dxa"/>
            <w:noWrap w:val="0"/>
            <w:vAlign w:val="center"/>
          </w:tcPr>
          <w:p w14:paraId="09C6DF00">
            <w:pPr>
              <w:rPr>
                <w:rFonts w:hint="eastAsia" w:ascii="仿宋" w:hAnsi="仿宋" w:eastAsia="仿宋" w:cs="仿宋"/>
                <w:color w:val="auto"/>
                <w:sz w:val="24"/>
                <w:highlight w:val="none"/>
              </w:rPr>
            </w:pPr>
          </w:p>
        </w:tc>
      </w:tr>
      <w:tr w14:paraId="58EC9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2"/>
            <w:noWrap w:val="0"/>
            <w:vAlign w:val="center"/>
          </w:tcPr>
          <w:p w14:paraId="2854B61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专业资质</w:t>
            </w:r>
          </w:p>
        </w:tc>
        <w:tc>
          <w:tcPr>
            <w:tcW w:w="1974" w:type="dxa"/>
            <w:gridSpan w:val="2"/>
            <w:noWrap w:val="0"/>
            <w:vAlign w:val="center"/>
          </w:tcPr>
          <w:p w14:paraId="66F69EBB">
            <w:pPr>
              <w:rPr>
                <w:rFonts w:hint="eastAsia" w:ascii="仿宋" w:hAnsi="仿宋" w:eastAsia="仿宋" w:cs="仿宋"/>
                <w:color w:val="auto"/>
                <w:sz w:val="24"/>
                <w:highlight w:val="none"/>
              </w:rPr>
            </w:pPr>
          </w:p>
        </w:tc>
        <w:tc>
          <w:tcPr>
            <w:tcW w:w="2835" w:type="dxa"/>
            <w:gridSpan w:val="4"/>
            <w:noWrap w:val="0"/>
            <w:vAlign w:val="center"/>
          </w:tcPr>
          <w:p w14:paraId="695AC757">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在本项目中的职务</w:t>
            </w:r>
          </w:p>
        </w:tc>
        <w:tc>
          <w:tcPr>
            <w:tcW w:w="2694" w:type="dxa"/>
            <w:noWrap w:val="0"/>
            <w:vAlign w:val="center"/>
          </w:tcPr>
          <w:p w14:paraId="10AB0C07">
            <w:pPr>
              <w:rPr>
                <w:rFonts w:hint="eastAsia" w:ascii="仿宋" w:hAnsi="仿宋" w:eastAsia="仿宋" w:cs="仿宋"/>
                <w:color w:val="auto"/>
                <w:sz w:val="24"/>
                <w:highlight w:val="none"/>
              </w:rPr>
            </w:pPr>
          </w:p>
        </w:tc>
      </w:tr>
      <w:tr w14:paraId="2A6D8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9"/>
            <w:noWrap w:val="0"/>
            <w:vAlign w:val="center"/>
          </w:tcPr>
          <w:p w14:paraId="2B48A2C0">
            <w:pPr>
              <w:ind w:firstLine="3360" w:firstLineChars="1400"/>
              <w:rPr>
                <w:rFonts w:hint="eastAsia" w:ascii="仿宋" w:hAnsi="仿宋" w:eastAsia="仿宋" w:cs="仿宋"/>
                <w:color w:val="auto"/>
                <w:sz w:val="24"/>
                <w:highlight w:val="none"/>
              </w:rPr>
            </w:pPr>
            <w:r>
              <w:rPr>
                <w:rFonts w:hint="eastAsia" w:ascii="仿宋" w:hAnsi="仿宋" w:eastAsia="仿宋" w:cs="仿宋"/>
                <w:color w:val="auto"/>
                <w:sz w:val="24"/>
                <w:highlight w:val="none"/>
              </w:rPr>
              <w:t>服    务    内    容</w:t>
            </w:r>
          </w:p>
        </w:tc>
      </w:tr>
      <w:tr w14:paraId="69B18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9"/>
            <w:noWrap w:val="0"/>
            <w:vAlign w:val="center"/>
          </w:tcPr>
          <w:p w14:paraId="37BF6FD7">
            <w:pPr>
              <w:rPr>
                <w:rFonts w:hint="eastAsia" w:ascii="仿宋" w:hAnsi="仿宋" w:eastAsia="仿宋" w:cs="仿宋"/>
                <w:color w:val="auto"/>
                <w:sz w:val="24"/>
                <w:highlight w:val="none"/>
              </w:rPr>
            </w:pPr>
          </w:p>
        </w:tc>
      </w:tr>
      <w:tr w14:paraId="0854A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9"/>
            <w:noWrap w:val="0"/>
            <w:vAlign w:val="center"/>
          </w:tcPr>
          <w:p w14:paraId="27D77F5D">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主  要  经  历</w:t>
            </w:r>
          </w:p>
        </w:tc>
      </w:tr>
      <w:tr w14:paraId="76EFE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noWrap w:val="0"/>
            <w:vAlign w:val="center"/>
          </w:tcPr>
          <w:p w14:paraId="212656FA">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时   间</w:t>
            </w:r>
          </w:p>
        </w:tc>
        <w:tc>
          <w:tcPr>
            <w:tcW w:w="4536" w:type="dxa"/>
            <w:gridSpan w:val="6"/>
            <w:noWrap w:val="0"/>
            <w:vAlign w:val="center"/>
          </w:tcPr>
          <w:p w14:paraId="07784EFA">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同类项目名称及简要描述</w:t>
            </w:r>
          </w:p>
        </w:tc>
        <w:tc>
          <w:tcPr>
            <w:tcW w:w="3261" w:type="dxa"/>
            <w:gridSpan w:val="2"/>
            <w:noWrap w:val="0"/>
            <w:vAlign w:val="center"/>
          </w:tcPr>
          <w:p w14:paraId="35C31AC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该项目中职务及工作职责</w:t>
            </w:r>
          </w:p>
        </w:tc>
      </w:tr>
      <w:tr w14:paraId="4802E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noWrap w:val="0"/>
            <w:vAlign w:val="top"/>
          </w:tcPr>
          <w:p w14:paraId="7297AFCB">
            <w:pPr>
              <w:rPr>
                <w:rFonts w:hint="eastAsia" w:ascii="仿宋" w:hAnsi="仿宋" w:eastAsia="仿宋" w:cs="仿宋"/>
                <w:color w:val="auto"/>
                <w:sz w:val="24"/>
                <w:highlight w:val="none"/>
              </w:rPr>
            </w:pPr>
          </w:p>
        </w:tc>
        <w:tc>
          <w:tcPr>
            <w:tcW w:w="4536" w:type="dxa"/>
            <w:gridSpan w:val="6"/>
            <w:noWrap w:val="0"/>
            <w:vAlign w:val="top"/>
          </w:tcPr>
          <w:p w14:paraId="55230AE8">
            <w:pPr>
              <w:rPr>
                <w:rFonts w:hint="eastAsia" w:ascii="仿宋" w:hAnsi="仿宋" w:eastAsia="仿宋" w:cs="仿宋"/>
                <w:color w:val="auto"/>
                <w:sz w:val="24"/>
                <w:highlight w:val="none"/>
              </w:rPr>
            </w:pPr>
          </w:p>
        </w:tc>
        <w:tc>
          <w:tcPr>
            <w:tcW w:w="3261" w:type="dxa"/>
            <w:gridSpan w:val="2"/>
            <w:noWrap w:val="0"/>
            <w:vAlign w:val="top"/>
          </w:tcPr>
          <w:p w14:paraId="668BAAB0">
            <w:pPr>
              <w:rPr>
                <w:rFonts w:hint="eastAsia" w:ascii="仿宋" w:hAnsi="仿宋" w:eastAsia="仿宋" w:cs="仿宋"/>
                <w:color w:val="auto"/>
                <w:sz w:val="24"/>
                <w:highlight w:val="none"/>
              </w:rPr>
            </w:pPr>
          </w:p>
        </w:tc>
      </w:tr>
      <w:tr w14:paraId="060B8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noWrap w:val="0"/>
            <w:vAlign w:val="top"/>
          </w:tcPr>
          <w:p w14:paraId="42F22008">
            <w:pPr>
              <w:rPr>
                <w:rFonts w:hint="eastAsia" w:ascii="仿宋" w:hAnsi="仿宋" w:eastAsia="仿宋" w:cs="仿宋"/>
                <w:color w:val="auto"/>
                <w:sz w:val="24"/>
                <w:highlight w:val="none"/>
              </w:rPr>
            </w:pPr>
          </w:p>
        </w:tc>
        <w:tc>
          <w:tcPr>
            <w:tcW w:w="4536" w:type="dxa"/>
            <w:gridSpan w:val="6"/>
            <w:noWrap w:val="0"/>
            <w:vAlign w:val="top"/>
          </w:tcPr>
          <w:p w14:paraId="601E7AB1">
            <w:pPr>
              <w:rPr>
                <w:rFonts w:hint="eastAsia" w:ascii="仿宋" w:hAnsi="仿宋" w:eastAsia="仿宋" w:cs="仿宋"/>
                <w:color w:val="auto"/>
                <w:sz w:val="24"/>
                <w:highlight w:val="none"/>
              </w:rPr>
            </w:pPr>
          </w:p>
        </w:tc>
        <w:tc>
          <w:tcPr>
            <w:tcW w:w="3261" w:type="dxa"/>
            <w:gridSpan w:val="2"/>
            <w:noWrap w:val="0"/>
            <w:vAlign w:val="top"/>
          </w:tcPr>
          <w:p w14:paraId="74331277">
            <w:pPr>
              <w:rPr>
                <w:rFonts w:hint="eastAsia" w:ascii="仿宋" w:hAnsi="仿宋" w:eastAsia="仿宋" w:cs="仿宋"/>
                <w:color w:val="auto"/>
                <w:sz w:val="24"/>
                <w:highlight w:val="none"/>
              </w:rPr>
            </w:pPr>
          </w:p>
        </w:tc>
      </w:tr>
      <w:tr w14:paraId="33FE8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noWrap w:val="0"/>
            <w:vAlign w:val="top"/>
          </w:tcPr>
          <w:p w14:paraId="5899A643">
            <w:pPr>
              <w:rPr>
                <w:rFonts w:hint="eastAsia" w:ascii="仿宋" w:hAnsi="仿宋" w:eastAsia="仿宋" w:cs="仿宋"/>
                <w:color w:val="auto"/>
                <w:sz w:val="24"/>
                <w:highlight w:val="none"/>
              </w:rPr>
            </w:pPr>
          </w:p>
        </w:tc>
        <w:tc>
          <w:tcPr>
            <w:tcW w:w="4536" w:type="dxa"/>
            <w:gridSpan w:val="6"/>
            <w:noWrap w:val="0"/>
            <w:vAlign w:val="top"/>
          </w:tcPr>
          <w:p w14:paraId="0452168B">
            <w:pPr>
              <w:rPr>
                <w:rFonts w:hint="eastAsia" w:ascii="仿宋" w:hAnsi="仿宋" w:eastAsia="仿宋" w:cs="仿宋"/>
                <w:color w:val="auto"/>
                <w:sz w:val="24"/>
                <w:highlight w:val="none"/>
              </w:rPr>
            </w:pPr>
          </w:p>
        </w:tc>
        <w:tc>
          <w:tcPr>
            <w:tcW w:w="3261" w:type="dxa"/>
            <w:gridSpan w:val="2"/>
            <w:noWrap w:val="0"/>
            <w:vAlign w:val="top"/>
          </w:tcPr>
          <w:p w14:paraId="7939F002">
            <w:pPr>
              <w:rPr>
                <w:rFonts w:hint="eastAsia" w:ascii="仿宋" w:hAnsi="仿宋" w:eastAsia="仿宋" w:cs="仿宋"/>
                <w:color w:val="auto"/>
                <w:sz w:val="24"/>
                <w:highlight w:val="none"/>
              </w:rPr>
            </w:pPr>
          </w:p>
        </w:tc>
      </w:tr>
      <w:tr w14:paraId="50DAF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noWrap w:val="0"/>
            <w:vAlign w:val="top"/>
          </w:tcPr>
          <w:p w14:paraId="01030168">
            <w:pPr>
              <w:rPr>
                <w:rFonts w:hint="eastAsia" w:ascii="仿宋" w:hAnsi="仿宋" w:eastAsia="仿宋" w:cs="仿宋"/>
                <w:color w:val="auto"/>
                <w:sz w:val="24"/>
                <w:highlight w:val="none"/>
              </w:rPr>
            </w:pPr>
          </w:p>
        </w:tc>
        <w:tc>
          <w:tcPr>
            <w:tcW w:w="4536" w:type="dxa"/>
            <w:gridSpan w:val="6"/>
            <w:noWrap w:val="0"/>
            <w:vAlign w:val="top"/>
          </w:tcPr>
          <w:p w14:paraId="328E6396">
            <w:pPr>
              <w:rPr>
                <w:rFonts w:hint="eastAsia" w:ascii="仿宋" w:hAnsi="仿宋" w:eastAsia="仿宋" w:cs="仿宋"/>
                <w:color w:val="auto"/>
                <w:sz w:val="24"/>
                <w:highlight w:val="none"/>
              </w:rPr>
            </w:pPr>
          </w:p>
        </w:tc>
        <w:tc>
          <w:tcPr>
            <w:tcW w:w="3261" w:type="dxa"/>
            <w:gridSpan w:val="2"/>
            <w:noWrap w:val="0"/>
            <w:vAlign w:val="top"/>
          </w:tcPr>
          <w:p w14:paraId="31326D12">
            <w:pPr>
              <w:rPr>
                <w:rFonts w:hint="eastAsia" w:ascii="仿宋" w:hAnsi="仿宋" w:eastAsia="仿宋" w:cs="仿宋"/>
                <w:color w:val="auto"/>
                <w:sz w:val="24"/>
                <w:highlight w:val="none"/>
              </w:rPr>
            </w:pPr>
          </w:p>
        </w:tc>
      </w:tr>
    </w:tbl>
    <w:p w14:paraId="099C590C">
      <w:pPr>
        <w:spacing w:before="240"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注：</w:t>
      </w:r>
    </w:p>
    <w:p w14:paraId="2D72A293">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1、需随此表附上团队成员的身份证、毕业证、专业资质证书、同类项目实施经验证明等材料。</w:t>
      </w:r>
    </w:p>
    <w:p w14:paraId="0AA105BF">
      <w:pPr>
        <w:spacing w:line="360" w:lineRule="auto"/>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2、“先附简历、再附材料”为一个人员的完整材料，人员简历排放顺序需与人员汇总表一致。</w:t>
      </w:r>
    </w:p>
    <w:p w14:paraId="2F761C6E">
      <w:pPr>
        <w:spacing w:line="360" w:lineRule="auto"/>
        <w:rPr>
          <w:rFonts w:hint="eastAsia" w:ascii="仿宋" w:hAnsi="仿宋" w:eastAsia="仿宋" w:cs="仿宋"/>
          <w:color w:val="auto"/>
          <w:highlight w:val="none"/>
        </w:rPr>
      </w:pPr>
    </w:p>
    <w:p w14:paraId="5012187D">
      <w:pPr>
        <w:rPr>
          <w:rFonts w:hint="eastAsia" w:ascii="仿宋" w:hAnsi="仿宋" w:eastAsia="仿宋" w:cs="仿宋"/>
          <w:color w:val="auto"/>
          <w:highlight w:val="none"/>
        </w:rPr>
      </w:pPr>
    </w:p>
    <w:p w14:paraId="26418E38">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0730DDE8">
      <w:pPr>
        <w:pStyle w:val="4"/>
        <w:numPr>
          <w:ilvl w:val="0"/>
          <w:numId w:val="0"/>
        </w:numPr>
        <w:spacing w:before="0" w:after="0" w:line="360" w:lineRule="auto"/>
        <w:rPr>
          <w:rFonts w:hint="eastAsia" w:ascii="仿宋" w:hAnsi="仿宋" w:eastAsia="仿宋" w:cs="仿宋"/>
          <w:color w:val="auto"/>
          <w:sz w:val="24"/>
          <w:szCs w:val="24"/>
          <w:highlight w:val="none"/>
        </w:rPr>
      </w:pPr>
      <w:bookmarkStart w:id="220" w:name="_Toc26735"/>
      <w:r>
        <w:rPr>
          <w:rFonts w:hint="eastAsia" w:ascii="仿宋" w:hAnsi="仿宋" w:eastAsia="仿宋" w:cs="仿宋"/>
          <w:color w:val="auto"/>
          <w:sz w:val="24"/>
          <w:szCs w:val="24"/>
          <w:highlight w:val="none"/>
        </w:rPr>
        <w:t>（三）</w:t>
      </w:r>
      <w:bookmarkEnd w:id="191"/>
      <w:bookmarkEnd w:id="192"/>
      <w:bookmarkEnd w:id="193"/>
      <w:bookmarkEnd w:id="194"/>
      <w:bookmarkEnd w:id="195"/>
      <w:bookmarkEnd w:id="196"/>
      <w:bookmarkEnd w:id="218"/>
      <w:bookmarkEnd w:id="219"/>
      <w:r>
        <w:rPr>
          <w:rFonts w:hint="eastAsia" w:ascii="仿宋" w:hAnsi="仿宋" w:eastAsia="仿宋" w:cs="仿宋"/>
          <w:color w:val="auto"/>
          <w:sz w:val="24"/>
          <w:szCs w:val="24"/>
          <w:highlight w:val="none"/>
        </w:rPr>
        <w:t>其他材料</w:t>
      </w:r>
      <w:bookmarkEnd w:id="220"/>
    </w:p>
    <w:p w14:paraId="5FAF7048">
      <w:pPr>
        <w:spacing w:line="360" w:lineRule="auto"/>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供应商</w:t>
      </w:r>
      <w:r>
        <w:rPr>
          <w:rFonts w:ascii="仿宋" w:hAnsi="仿宋" w:eastAsia="仿宋" w:cs="Cambria Math"/>
          <w:color w:val="auto"/>
          <w:sz w:val="24"/>
          <w:highlight w:val="none"/>
        </w:rPr>
        <w:t>认为需提供的其他材料</w:t>
      </w:r>
      <w:r>
        <w:rPr>
          <w:rFonts w:hint="eastAsia" w:ascii="仿宋" w:hAnsi="仿宋" w:eastAsia="仿宋" w:cs="Cambria Math"/>
          <w:color w:val="auto"/>
          <w:sz w:val="24"/>
          <w:highlight w:val="none"/>
        </w:rPr>
        <w:t>。</w:t>
      </w:r>
    </w:p>
    <w:p w14:paraId="45931B49">
      <w:pPr>
        <w:spacing w:line="360" w:lineRule="auto"/>
        <w:rPr>
          <w:rFonts w:hint="eastAsia" w:ascii="仿宋" w:hAnsi="仿宋" w:eastAsia="仿宋" w:cs="仿宋"/>
          <w:color w:val="auto"/>
          <w:sz w:val="24"/>
          <w:highlight w:val="none"/>
        </w:rPr>
        <w:sectPr>
          <w:pgSz w:w="11906" w:h="16838"/>
          <w:pgMar w:top="1417" w:right="1134" w:bottom="1134" w:left="1134" w:header="964" w:footer="964" w:gutter="0"/>
          <w:cols w:space="720" w:num="1"/>
          <w:docGrid w:linePitch="312" w:charSpace="0"/>
        </w:sectPr>
      </w:pPr>
    </w:p>
    <w:p w14:paraId="4A76B885">
      <w:pP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br w:type="page"/>
      </w:r>
    </w:p>
    <w:p w14:paraId="404E8E9F">
      <w:pPr>
        <w:pStyle w:val="3"/>
        <w:ind w:firstLine="0" w:firstLineChars="0"/>
        <w:jc w:val="both"/>
        <w:rPr>
          <w:rFonts w:hint="eastAsia" w:ascii="仿宋" w:hAnsi="仿宋" w:eastAsia="仿宋" w:cs="仿宋"/>
          <w:b/>
          <w:bCs/>
          <w:color w:val="auto"/>
          <w:kern w:val="2"/>
          <w:sz w:val="24"/>
          <w:szCs w:val="24"/>
          <w:highlight w:val="none"/>
          <w:lang w:val="en-US" w:eastAsia="zh-CN" w:bidi="ar-SA"/>
        </w:rPr>
      </w:pPr>
      <w:bookmarkStart w:id="221" w:name="_Toc8252"/>
      <w:r>
        <w:rPr>
          <w:rFonts w:hint="eastAsia" w:ascii="仿宋" w:hAnsi="仿宋" w:eastAsia="仿宋" w:cs="仿宋"/>
          <w:b/>
          <w:bCs/>
          <w:color w:val="auto"/>
          <w:kern w:val="2"/>
          <w:sz w:val="24"/>
          <w:szCs w:val="24"/>
          <w:highlight w:val="none"/>
          <w:lang w:val="en-US" w:eastAsia="zh-CN" w:bidi="ar-SA"/>
        </w:rPr>
        <w:t>三、报价文件</w:t>
      </w:r>
      <w:bookmarkEnd w:id="221"/>
    </w:p>
    <w:p w14:paraId="7A6B4584">
      <w:pPr>
        <w:pStyle w:val="4"/>
        <w:keepNext w:val="0"/>
        <w:keepLines w:val="0"/>
        <w:pageBreakBefore w:val="0"/>
        <w:widowControl w:val="0"/>
        <w:numPr>
          <w:ilvl w:val="5"/>
          <w:numId w:val="0"/>
        </w:numPr>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color w:val="auto"/>
          <w:sz w:val="24"/>
          <w:szCs w:val="24"/>
          <w:highlight w:val="none"/>
        </w:rPr>
      </w:pPr>
      <w:bookmarkStart w:id="222" w:name="_Toc511726864"/>
      <w:bookmarkStart w:id="223" w:name="_Toc5449"/>
      <w:r>
        <w:rPr>
          <w:rFonts w:hint="eastAsia" w:ascii="仿宋" w:hAnsi="仿宋" w:eastAsia="仿宋" w:cs="仿宋"/>
          <w:color w:val="auto"/>
          <w:sz w:val="24"/>
          <w:szCs w:val="24"/>
          <w:highlight w:val="none"/>
        </w:rPr>
        <w:t>（一）报价</w:t>
      </w:r>
      <w:bookmarkEnd w:id="222"/>
      <w:r>
        <w:rPr>
          <w:rFonts w:hint="eastAsia" w:ascii="仿宋" w:hAnsi="仿宋" w:eastAsia="仿宋" w:cs="仿宋"/>
          <w:color w:val="auto"/>
          <w:sz w:val="24"/>
          <w:szCs w:val="24"/>
          <w:highlight w:val="none"/>
        </w:rPr>
        <w:t>一览表</w:t>
      </w:r>
      <w:bookmarkEnd w:id="223"/>
    </w:p>
    <w:p w14:paraId="0EC3E1BB">
      <w:pPr>
        <w:pStyle w:val="12"/>
        <w:spacing w:line="360" w:lineRule="auto"/>
        <w:ind w:hanging="14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46319672">
      <w:pPr>
        <w:pStyle w:val="12"/>
        <w:spacing w:line="360" w:lineRule="auto"/>
        <w:ind w:hanging="14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货币单位：</w:t>
      </w:r>
      <w:r>
        <w:rPr>
          <w:rFonts w:hint="eastAsia" w:ascii="仿宋" w:hAnsi="仿宋" w:eastAsia="仿宋" w:cs="仿宋"/>
          <w:color w:val="auto"/>
          <w:sz w:val="24"/>
          <w:szCs w:val="24"/>
          <w:highlight w:val="none"/>
          <w:u w:val="single"/>
        </w:rPr>
        <w:t xml:space="preserve"> 人民币元    </w:t>
      </w:r>
    </w:p>
    <w:tbl>
      <w:tblPr>
        <w:tblStyle w:val="4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94"/>
        <w:gridCol w:w="2785"/>
        <w:gridCol w:w="2093"/>
        <w:gridCol w:w="1682"/>
      </w:tblGrid>
      <w:tr w14:paraId="43840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1671" w:type="pct"/>
            <w:vAlign w:val="center"/>
          </w:tcPr>
          <w:p w14:paraId="74793DD1">
            <w:pPr>
              <w:widowControl/>
              <w:spacing w:line="360" w:lineRule="auto"/>
              <w:jc w:val="center"/>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不含税总价</w:t>
            </w:r>
            <w:r>
              <w:rPr>
                <w:rFonts w:hint="eastAsia" w:ascii="仿宋" w:hAnsi="仿宋" w:eastAsia="仿宋" w:cs="仿宋"/>
                <w:b/>
                <w:color w:val="000000"/>
                <w:sz w:val="24"/>
                <w:szCs w:val="24"/>
              </w:rPr>
              <w:t>（元）</w:t>
            </w:r>
          </w:p>
        </w:tc>
        <w:tc>
          <w:tcPr>
            <w:tcW w:w="1413" w:type="pct"/>
            <w:vAlign w:val="center"/>
          </w:tcPr>
          <w:p w14:paraId="51373AC6">
            <w:pPr>
              <w:widowControl/>
              <w:spacing w:line="360" w:lineRule="auto"/>
              <w:jc w:val="center"/>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税率（%）</w:t>
            </w:r>
          </w:p>
        </w:tc>
        <w:tc>
          <w:tcPr>
            <w:tcW w:w="1062" w:type="pct"/>
            <w:vAlign w:val="center"/>
          </w:tcPr>
          <w:p w14:paraId="4389904E">
            <w:pPr>
              <w:widowControl/>
              <w:spacing w:line="360" w:lineRule="auto"/>
              <w:jc w:val="center"/>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含税总价</w:t>
            </w:r>
            <w:r>
              <w:rPr>
                <w:rFonts w:hint="eastAsia" w:ascii="仿宋" w:hAnsi="仿宋" w:eastAsia="仿宋" w:cs="仿宋"/>
                <w:b/>
                <w:color w:val="000000"/>
                <w:sz w:val="24"/>
                <w:szCs w:val="24"/>
              </w:rPr>
              <w:t>（元）</w:t>
            </w:r>
          </w:p>
        </w:tc>
        <w:tc>
          <w:tcPr>
            <w:tcW w:w="853" w:type="pct"/>
            <w:vAlign w:val="center"/>
          </w:tcPr>
          <w:p w14:paraId="5600C6C9">
            <w:pPr>
              <w:widowControl/>
              <w:spacing w:line="360" w:lineRule="auto"/>
              <w:jc w:val="center"/>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备注</w:t>
            </w:r>
          </w:p>
        </w:tc>
      </w:tr>
      <w:tr w14:paraId="03F07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671" w:type="pct"/>
            <w:vAlign w:val="center"/>
          </w:tcPr>
          <w:p w14:paraId="5C2F1234">
            <w:pPr>
              <w:widowControl/>
              <w:spacing w:line="360" w:lineRule="auto"/>
              <w:jc w:val="center"/>
              <w:rPr>
                <w:rFonts w:hint="eastAsia" w:ascii="仿宋" w:hAnsi="仿宋" w:eastAsia="仿宋" w:cs="仿宋"/>
                <w:color w:val="000000"/>
                <w:kern w:val="0"/>
                <w:sz w:val="24"/>
                <w:szCs w:val="24"/>
              </w:rPr>
            </w:pPr>
          </w:p>
        </w:tc>
        <w:tc>
          <w:tcPr>
            <w:tcW w:w="1413" w:type="pct"/>
            <w:vAlign w:val="center"/>
          </w:tcPr>
          <w:p w14:paraId="10A7CC63">
            <w:pPr>
              <w:widowControl/>
              <w:spacing w:line="360" w:lineRule="auto"/>
              <w:jc w:val="center"/>
              <w:rPr>
                <w:rFonts w:hint="eastAsia" w:ascii="仿宋" w:hAnsi="仿宋" w:eastAsia="仿宋" w:cs="仿宋"/>
                <w:color w:val="000000"/>
                <w:kern w:val="0"/>
                <w:sz w:val="24"/>
                <w:szCs w:val="24"/>
              </w:rPr>
            </w:pPr>
          </w:p>
        </w:tc>
        <w:tc>
          <w:tcPr>
            <w:tcW w:w="1062" w:type="pct"/>
            <w:vAlign w:val="center"/>
          </w:tcPr>
          <w:p w14:paraId="71A57C32">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xml:space="preserve"> </w:t>
            </w:r>
          </w:p>
        </w:tc>
        <w:tc>
          <w:tcPr>
            <w:tcW w:w="853" w:type="pct"/>
            <w:vAlign w:val="center"/>
          </w:tcPr>
          <w:p w14:paraId="29CB88B3">
            <w:pPr>
              <w:widowControl/>
              <w:spacing w:line="360" w:lineRule="auto"/>
              <w:jc w:val="center"/>
              <w:rPr>
                <w:rFonts w:hint="eastAsia" w:ascii="仿宋" w:hAnsi="仿宋" w:eastAsia="仿宋" w:cs="仿宋"/>
                <w:color w:val="000000"/>
                <w:kern w:val="0"/>
                <w:sz w:val="24"/>
                <w:szCs w:val="24"/>
              </w:rPr>
            </w:pPr>
          </w:p>
        </w:tc>
      </w:tr>
    </w:tbl>
    <w:p w14:paraId="31580A77">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备注：</w:t>
      </w:r>
    </w:p>
    <w:p w14:paraId="0B0B215C">
      <w:pPr>
        <w:spacing w:line="360" w:lineRule="auto"/>
        <w:ind w:firstLine="480" w:firstLineChars="200"/>
        <w:rPr>
          <w:rFonts w:hint="eastAsia" w:ascii="仿宋" w:hAnsi="仿宋" w:eastAsia="仿宋" w:cs="仿宋"/>
          <w:bCs/>
          <w:color w:val="auto"/>
          <w:sz w:val="24"/>
          <w:szCs w:val="24"/>
          <w:highlight w:val="none"/>
          <w:lang w:val="en-US" w:eastAsia="zh-CN"/>
        </w:rPr>
      </w:pPr>
      <w:r>
        <w:rPr>
          <w:rFonts w:hint="eastAsia" w:ascii="仿宋" w:hAnsi="仿宋" w:eastAsia="仿宋"/>
          <w:bCs/>
          <w:color w:val="auto"/>
          <w:sz w:val="24"/>
          <w:highlight w:val="none"/>
          <w:lang w:val="en-US" w:eastAsia="zh-CN"/>
        </w:rPr>
        <w:t>1.</w:t>
      </w:r>
      <w:r>
        <w:rPr>
          <w:rFonts w:hint="eastAsia" w:ascii="仿宋" w:hAnsi="仿宋" w:eastAsia="仿宋" w:cs="仿宋"/>
          <w:bCs/>
          <w:color w:val="auto"/>
          <w:sz w:val="24"/>
          <w:szCs w:val="24"/>
          <w:highlight w:val="none"/>
          <w:lang w:val="en-US" w:eastAsia="zh-CN"/>
        </w:rPr>
        <w:t>本项目设置最高限价，最高限价为605789.37元（含税），其中装饰工程479584.62元，电气设备安装工程126204.75元。供应商高于最高限价的，其响应将被否决。报价包含所有费用，除以上费用外，采购方不再另行支付其他费用。</w:t>
      </w:r>
    </w:p>
    <w:p w14:paraId="6A23EB8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bCs/>
          <w:color w:val="auto"/>
          <w:sz w:val="24"/>
          <w:highlight w:val="none"/>
        </w:rPr>
      </w:pPr>
      <w:r>
        <w:rPr>
          <w:rFonts w:hint="eastAsia" w:ascii="仿宋" w:hAnsi="仿宋" w:eastAsia="仿宋" w:cs="宋体"/>
          <w:bCs/>
          <w:color w:val="auto"/>
          <w:sz w:val="24"/>
          <w:highlight w:val="none"/>
          <w:lang w:val="en-US" w:eastAsia="zh-CN"/>
        </w:rPr>
        <w:t>2.</w:t>
      </w:r>
      <w:r>
        <w:rPr>
          <w:rFonts w:hint="eastAsia" w:ascii="仿宋" w:hAnsi="仿宋" w:eastAsia="仿宋"/>
          <w:bCs/>
          <w:color w:val="auto"/>
          <w:sz w:val="24"/>
          <w:highlight w:val="none"/>
        </w:rPr>
        <w:t>本次报价精确到小数点后两位（四舍五入）。</w:t>
      </w:r>
    </w:p>
    <w:p w14:paraId="42F4DF4E">
      <w:pPr>
        <w:spacing w:line="360" w:lineRule="auto"/>
        <w:ind w:firstLine="480" w:firstLineChars="200"/>
        <w:rPr>
          <w:rFonts w:hint="eastAsia" w:ascii="仿宋" w:hAnsi="仿宋" w:eastAsia="仿宋" w:cs="宋体"/>
          <w:bCs/>
          <w:color w:val="auto"/>
          <w:sz w:val="24"/>
          <w:highlight w:val="none"/>
          <w:lang w:val="en-US" w:eastAsia="zh-CN"/>
        </w:rPr>
      </w:pPr>
      <w:r>
        <w:rPr>
          <w:rFonts w:hint="eastAsia" w:ascii="仿宋" w:hAnsi="仿宋" w:eastAsia="仿宋" w:cs="宋体"/>
          <w:bCs/>
          <w:color w:val="auto"/>
          <w:sz w:val="24"/>
          <w:highlight w:val="none"/>
          <w:lang w:val="en-US" w:eastAsia="zh-CN"/>
        </w:rPr>
        <w:t>3.</w:t>
      </w:r>
      <w:r>
        <w:rPr>
          <w:rFonts w:hint="eastAsia" w:ascii="仿宋" w:hAnsi="仿宋" w:eastAsia="仿宋" w:cs="Cambria Math"/>
          <w:color w:val="auto"/>
          <w:sz w:val="24"/>
          <w:highlight w:val="none"/>
        </w:rPr>
        <w:t>含税总价=不含税总价*(1+税率)，若报价与此公式不符，增值税专用发票以不含税价为准进行修</w:t>
      </w:r>
      <w:r>
        <w:rPr>
          <w:rFonts w:hint="eastAsia" w:ascii="仿宋" w:hAnsi="仿宋" w:eastAsia="仿宋" w:cs="Cambria Math"/>
          <w:color w:val="auto"/>
          <w:sz w:val="24"/>
          <w:highlight w:val="none"/>
          <w:lang w:eastAsia="zh-CN"/>
        </w:rPr>
        <w:t>。</w:t>
      </w:r>
      <w:r>
        <w:rPr>
          <w:rFonts w:hint="eastAsia" w:ascii="仿宋" w:hAnsi="仿宋" w:eastAsia="仿宋" w:cs="宋体"/>
          <w:bCs/>
          <w:color w:val="auto"/>
          <w:sz w:val="24"/>
          <w:highlight w:val="none"/>
          <w:lang w:val="en-US" w:eastAsia="zh-CN"/>
        </w:rPr>
        <w:t>后续如因国家税率调整，专票以不含税价不变进行调整，普票以含税价不变进行调整。</w:t>
      </w:r>
    </w:p>
    <w:p w14:paraId="37165257">
      <w:pPr>
        <w:pStyle w:val="108"/>
        <w:numPr>
          <w:ilvl w:val="0"/>
          <w:numId w:val="0"/>
        </w:numPr>
        <w:spacing w:line="360" w:lineRule="auto"/>
        <w:rPr>
          <w:rFonts w:hint="default" w:ascii="仿宋" w:hAnsi="仿宋" w:eastAsia="仿宋" w:cs="宋体"/>
          <w:bCs/>
          <w:color w:val="auto"/>
          <w:sz w:val="24"/>
          <w:highlight w:val="none"/>
          <w:lang w:val="en-US" w:eastAsia="zh-CN"/>
        </w:rPr>
      </w:pPr>
    </w:p>
    <w:p w14:paraId="1CC79E55">
      <w:pPr>
        <w:numPr>
          <w:ilvl w:val="0"/>
          <w:numId w:val="1"/>
        </w:numPr>
        <w:spacing w:line="440" w:lineRule="exact"/>
        <w:jc w:val="right"/>
        <w:rPr>
          <w:rFonts w:ascii="仿宋" w:hAnsi="仿宋" w:eastAsia="仿宋" w:cs="宋体"/>
          <w:color w:val="auto"/>
          <w:sz w:val="24"/>
          <w:highlight w:val="none"/>
        </w:rPr>
      </w:pPr>
    </w:p>
    <w:p w14:paraId="6743A8AF">
      <w:pPr>
        <w:numPr>
          <w:ilvl w:val="0"/>
          <w:numId w:val="1"/>
        </w:numPr>
        <w:spacing w:line="440" w:lineRule="exact"/>
        <w:jc w:val="right"/>
        <w:rPr>
          <w:rFonts w:hint="eastAsia" w:ascii="仿宋" w:hAnsi="仿宋" w:eastAsia="仿宋" w:cs="宋体"/>
          <w:color w:val="auto"/>
          <w:sz w:val="24"/>
          <w:highlight w:val="none"/>
        </w:rPr>
      </w:pPr>
      <w:r>
        <w:rPr>
          <w:rFonts w:hint="eastAsia" w:ascii="仿宋" w:hAnsi="仿宋" w:eastAsia="仿宋" w:cs="宋体"/>
          <w:color w:val="auto"/>
          <w:sz w:val="24"/>
          <w:highlight w:val="none"/>
        </w:rPr>
        <w:t>供应商名称：</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（盖章）</w:t>
      </w:r>
    </w:p>
    <w:p w14:paraId="61A7E441">
      <w:pPr>
        <w:numPr>
          <w:ilvl w:val="0"/>
          <w:numId w:val="1"/>
        </w:numPr>
        <w:spacing w:line="440" w:lineRule="exact"/>
        <w:jc w:val="right"/>
        <w:rPr>
          <w:rFonts w:hint="eastAsia" w:ascii="仿宋" w:hAnsi="仿宋" w:eastAsia="仿宋" w:cs="宋体"/>
          <w:color w:val="auto"/>
          <w:sz w:val="24"/>
          <w:highlight w:val="none"/>
        </w:rPr>
      </w:pPr>
      <w:r>
        <w:rPr>
          <w:rFonts w:hint="eastAsia" w:ascii="仿宋" w:hAnsi="仿宋" w:eastAsia="仿宋" w:cs="宋体"/>
          <w:color w:val="auto"/>
          <w:sz w:val="24"/>
          <w:highlight w:val="none"/>
        </w:rPr>
        <w:t>法定代表人或其授权代理人：</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u w:val="single"/>
          <w:lang w:val="en-US" w:eastAsia="zh-CN"/>
        </w:rPr>
        <w:t xml:space="preserve">         </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（签字）</w:t>
      </w:r>
    </w:p>
    <w:p w14:paraId="012ACD76">
      <w:pPr>
        <w:numPr>
          <w:ilvl w:val="0"/>
          <w:numId w:val="1"/>
        </w:numPr>
        <w:spacing w:line="440" w:lineRule="exact"/>
        <w:jc w:val="right"/>
        <w:rPr>
          <w:rFonts w:hint="eastAsia" w:ascii="仿宋" w:hAnsi="仿宋" w:eastAsia="仿宋" w:cs="宋体"/>
          <w:color w:val="auto"/>
          <w:sz w:val="24"/>
          <w:highlight w:val="none"/>
        </w:rPr>
      </w:pPr>
      <w:r>
        <w:rPr>
          <w:rFonts w:hint="eastAsia" w:ascii="仿宋" w:hAnsi="仿宋" w:eastAsia="仿宋" w:cs="宋体"/>
          <w:color w:val="auto"/>
          <w:sz w:val="24"/>
          <w:highlight w:val="none"/>
        </w:rPr>
        <w:t>日期：</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年</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月</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日</w:t>
      </w:r>
    </w:p>
    <w:p w14:paraId="4516F6C1">
      <w:pPr>
        <w:rPr>
          <w:rFonts w:hint="eastAsia" w:cs="Calibri" w:asciiTheme="minorEastAsia" w:hAnsiTheme="minorEastAsia" w:eastAsiaTheme="minorEastAsia"/>
          <w:kern w:val="2"/>
          <w:sz w:val="24"/>
          <w:szCs w:val="24"/>
          <w:highlight w:val="none"/>
          <w:lang w:val="en-US" w:eastAsia="zh-CN" w:bidi="ar-SA"/>
        </w:rPr>
      </w:pPr>
      <w:r>
        <w:rPr>
          <w:rFonts w:hint="eastAsia" w:cs="Calibri" w:asciiTheme="minorEastAsia" w:hAnsiTheme="minorEastAsia" w:eastAsiaTheme="minorEastAsia"/>
          <w:kern w:val="2"/>
          <w:sz w:val="24"/>
          <w:szCs w:val="24"/>
          <w:highlight w:val="none"/>
          <w:lang w:val="en-US" w:eastAsia="zh-CN" w:bidi="ar-SA"/>
        </w:rPr>
        <w:br w:type="page"/>
      </w:r>
    </w:p>
    <w:p w14:paraId="44EB9627">
      <w:pPr>
        <w:keepNext/>
        <w:keepLines/>
        <w:spacing w:line="360" w:lineRule="auto"/>
        <w:jc w:val="center"/>
        <w:outlineLvl w:val="3"/>
        <w:rPr>
          <w:rFonts w:hint="eastAsia" w:ascii="仿宋" w:hAnsi="仿宋" w:eastAsia="仿宋" w:cs="仿宋"/>
          <w:b/>
          <w:bCs/>
          <w:color w:val="000000"/>
          <w:sz w:val="24"/>
          <w:szCs w:val="24"/>
        </w:rPr>
      </w:pPr>
      <w:r>
        <w:rPr>
          <w:rFonts w:hint="eastAsia" w:ascii="仿宋" w:hAnsi="仿宋" w:eastAsia="仿宋" w:cs="仿宋"/>
          <w:b/>
          <w:bCs/>
          <w:color w:val="000000"/>
          <w:sz w:val="24"/>
          <w:szCs w:val="24"/>
        </w:rPr>
        <w:t>（二）已标价工程量清单</w:t>
      </w:r>
    </w:p>
    <w:p w14:paraId="4D581704">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说明：已标价工程量清单按第五章“工程量清单”中的相关清单表格式填写。构成合同文件的已标价工程量清单包括第五章“工程量清单”有关工程量清单、投标报价以及其他说明的内容。</w:t>
      </w:r>
    </w:p>
    <w:p w14:paraId="2A21C0BF">
      <w:pPr>
        <w:pStyle w:val="17"/>
        <w:rPr>
          <w:rFonts w:hint="eastAsia"/>
          <w:lang w:val="en-US" w:eastAsia="zh-CN"/>
        </w:rPr>
      </w:pPr>
    </w:p>
    <w:sectPr>
      <w:type w:val="continuous"/>
      <w:pgSz w:w="11906" w:h="16838"/>
      <w:pgMar w:top="1417" w:right="1134" w:bottom="1134" w:left="1134" w:header="964" w:footer="964" w:gutter="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onsolas">
    <w:panose1 w:val="020B0609020204030204"/>
    <w:charset w:val="00"/>
    <w:family w:val="modern"/>
    <w:pitch w:val="default"/>
    <w:sig w:usb0="E00006FF" w:usb1="0000FCFF" w:usb2="00000001" w:usb3="00000000" w:csb0="6000019F" w:csb1="DFD7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roman"/>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Monaco">
    <w:altName w:val="Courier New"/>
    <w:panose1 w:val="020B0509030404040204"/>
    <w:charset w:val="00"/>
    <w:family w:val="modern"/>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0B3B17">
    <w:pPr>
      <w:pStyle w:val="2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A07CD">
    <w:pPr>
      <w:pStyle w:val="26"/>
      <w:framePr w:wrap="around" w:vAnchor="text" w:hAnchor="margin" w:xAlign="center" w:y="1"/>
      <w:rPr>
        <w:rStyle w:val="46"/>
      </w:rPr>
    </w:pPr>
    <w:r>
      <w:fldChar w:fldCharType="begin"/>
    </w:r>
    <w:r>
      <w:rPr>
        <w:rStyle w:val="46"/>
      </w:rPr>
      <w:instrText xml:space="preserve">PAGE  </w:instrText>
    </w:r>
    <w:r>
      <w:fldChar w:fldCharType="separate"/>
    </w:r>
    <w:r>
      <w:rPr>
        <w:rStyle w:val="46"/>
      </w:rPr>
      <w:t>4</w:t>
    </w:r>
    <w:r>
      <w:fldChar w:fldCharType="end"/>
    </w:r>
  </w:p>
  <w:p w14:paraId="484861DE">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0E011">
    <w:pPr>
      <w:pStyle w:val="26"/>
      <w:framePr w:wrap="around" w:vAnchor="text" w:hAnchor="margin" w:xAlign="center" w:y="1"/>
      <w:ind w:firstLine="4500" w:firstLineChars="2500"/>
      <w:rPr>
        <w:rStyle w:val="46"/>
      </w:rPr>
    </w:pPr>
    <w:r>
      <w:fldChar w:fldCharType="begin"/>
    </w:r>
    <w:r>
      <w:rPr>
        <w:rStyle w:val="46"/>
      </w:rPr>
      <w:instrText xml:space="preserve">PAGE  </w:instrText>
    </w:r>
    <w:r>
      <w:fldChar w:fldCharType="separate"/>
    </w:r>
    <w:r>
      <w:rPr>
        <w:rStyle w:val="46"/>
      </w:rPr>
      <w:t>19</w:t>
    </w:r>
    <w:r>
      <w:fldChar w:fldCharType="end"/>
    </w:r>
  </w:p>
  <w:p w14:paraId="6C2D3C02">
    <w:pPr>
      <w:pStyle w:val="26"/>
      <w:framePr w:wrap="around" w:vAnchor="text" w:hAnchor="margin" w:xAlign="center" w:y="1"/>
      <w:rPr>
        <w:rStyle w:val="46"/>
      </w:rPr>
    </w:pPr>
  </w:p>
  <w:p w14:paraId="7772E841">
    <w:pPr>
      <w:pStyle w:val="2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4E494">
    <w:pPr>
      <w:pStyle w:val="2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8DBAD29">
                          <w:pPr>
                            <w:pStyle w:val="26"/>
                            <w:jc w:val="center"/>
                          </w:pPr>
                          <w:r>
                            <w:fldChar w:fldCharType="begin"/>
                          </w:r>
                          <w:r>
                            <w:instrText xml:space="preserve">PAGE   \* MERGEFORMAT</w:instrText>
                          </w:r>
                          <w:r>
                            <w:fldChar w:fldCharType="separate"/>
                          </w:r>
                          <w:r>
                            <w:rPr>
                              <w:lang w:val="zh-CN"/>
                            </w:rPr>
                            <w:t>2</w:t>
                          </w:r>
                          <w:r>
                            <w:fldChar w:fldCharType="end"/>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M3VLCtIBAACjAwAADgAAAAAAAAABACAAAAAi&#10;AQAAZHJzL2Uyb0RvYy54bWxQSwUGAAAAAAYABgBZAQAAZgUAAAAA&#10;">
              <v:fill on="f" focussize="0,0"/>
              <v:stroke on="f" weight="1.25pt"/>
              <v:imagedata o:title=""/>
              <o:lock v:ext="edit" aspectratio="f"/>
              <v:textbox inset="0mm,0mm,0mm,0mm" style="mso-fit-shape-to-text:t;">
                <w:txbxContent>
                  <w:p w14:paraId="38DBAD29">
                    <w:pPr>
                      <w:pStyle w:val="26"/>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p w14:paraId="255B68F4">
    <w:pPr>
      <w:pStyle w:val="2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9D7D61">
    <w:pPr>
      <w:pStyle w:val="2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B821DDB">
                          <w:pPr>
                            <w:pStyle w:val="26"/>
                            <w:rPr>
                              <w:rStyle w:val="46"/>
                            </w:rPr>
                          </w:pPr>
                          <w:r>
                            <w:fldChar w:fldCharType="begin"/>
                          </w:r>
                          <w:r>
                            <w:rPr>
                              <w:rStyle w:val="46"/>
                            </w:rPr>
                            <w:instrText xml:space="preserve">PAGE  </w:instrText>
                          </w:r>
                          <w:r>
                            <w:fldChar w:fldCharType="separate"/>
                          </w:r>
                          <w:r>
                            <w:rPr>
                              <w:rStyle w:val="46"/>
                            </w:rPr>
                            <w:t>10</w:t>
                          </w:r>
                          <w:r>
                            <w:fldChar w:fldCharType="end"/>
                          </w:r>
                        </w:p>
                      </w:txbxContent>
                    </wps:txbx>
                    <wps:bodyPr wrap="none" lIns="0" tIns="0" rIns="0" bIns="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&#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CzJJDB0QEAAKQDAAAOAAAAAAAAAAEAIAAAACIB&#10;AABkcnMvZTJvRG9jLnhtbFBLBQYAAAAABgAGAFkBAABlBQAAAAA=&#10;">
              <v:fill on="f" focussize="0,0"/>
              <v:stroke on="f" weight="1.25pt"/>
              <v:imagedata o:title=""/>
              <o:lock v:ext="edit" aspectratio="f"/>
              <v:textbox inset="0mm,0mm,0mm,0mm" style="mso-fit-shape-to-text:t;">
                <w:txbxContent>
                  <w:p w14:paraId="6B821DDB">
                    <w:pPr>
                      <w:pStyle w:val="26"/>
                      <w:rPr>
                        <w:rStyle w:val="46"/>
                      </w:rPr>
                    </w:pPr>
                    <w:r>
                      <w:fldChar w:fldCharType="begin"/>
                    </w:r>
                    <w:r>
                      <w:rPr>
                        <w:rStyle w:val="46"/>
                      </w:rPr>
                      <w:instrText xml:space="preserve">PAGE  </w:instrText>
                    </w:r>
                    <w:r>
                      <w:fldChar w:fldCharType="separate"/>
                    </w:r>
                    <w:r>
                      <w:rPr>
                        <w:rStyle w:val="46"/>
                      </w:rPr>
                      <w:t>10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CB9AC">
    <w:pPr>
      <w:pStyle w:val="26"/>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2C5F4345">
                          <w:pPr>
                            <w:pStyle w:val="26"/>
                            <w:jc w:val="center"/>
                          </w:pPr>
                          <w:r>
                            <w:fldChar w:fldCharType="begin"/>
                          </w:r>
                          <w:r>
                            <w:instrText xml:space="preserve">PAGE   \* MERGEFORMAT</w:instrText>
                          </w:r>
                          <w:r>
                            <w:fldChar w:fldCharType="separate"/>
                          </w:r>
                          <w:r>
                            <w:rPr>
                              <w:lang w:val="zh-CN"/>
                            </w:rPr>
                            <w:t>26</w:t>
                          </w:r>
                          <w:r>
                            <w:fldChar w:fldCharType="end"/>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ZhRST9IBAACkAwAADgAAAAAAAAABACAAAAAi&#10;AQAAZHJzL2Uyb0RvYy54bWxQSwUGAAAAAAYABgBZAQAAZgUAAAAA&#10;">
              <v:fill on="f" focussize="0,0"/>
              <v:stroke on="f" weight="1.25pt"/>
              <v:imagedata o:title=""/>
              <o:lock v:ext="edit" aspectratio="f"/>
              <v:textbox inset="0mm,0mm,0mm,0mm" style="mso-fit-shape-to-text:t;">
                <w:txbxContent>
                  <w:p w14:paraId="2C5F4345">
                    <w:pPr>
                      <w:pStyle w:val="26"/>
                      <w:jc w:val="center"/>
                    </w:pPr>
                    <w:r>
                      <w:fldChar w:fldCharType="begin"/>
                    </w:r>
                    <w:r>
                      <w:instrText xml:space="preserve">PAGE   \* MERGEFORMAT</w:instrText>
                    </w:r>
                    <w:r>
                      <w:fldChar w:fldCharType="separate"/>
                    </w:r>
                    <w:r>
                      <w:rPr>
                        <w:lang w:val="zh-CN"/>
                      </w:rPr>
                      <w:t>26</w:t>
                    </w:r>
                    <w:r>
                      <w:fldChar w:fldCharType="end"/>
                    </w:r>
                  </w:p>
                </w:txbxContent>
              </v:textbox>
            </v:shape>
          </w:pict>
        </mc:Fallback>
      </mc:AlternateContent>
    </w:r>
  </w:p>
  <w:p w14:paraId="70EF3122">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E6D31">
    <w:pPr>
      <w:pStyle w:val="27"/>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40306">
    <w:pPr>
      <w:pStyle w:val="27"/>
      <w:rPr>
        <w:rFonts w:hint="eastAsia" w:eastAsia="宋体"/>
        <w:lang w:eastAsia="zh-CN"/>
      </w:rPr>
    </w:pPr>
    <w:r>
      <w:rPr>
        <w:rFonts w:hint="eastAsia" w:ascii="仿宋" w:hAnsi="仿宋" w:eastAsia="仿宋" w:cs="仿宋"/>
        <w:lang w:eastAsia="zh-CN"/>
      </w:rPr>
      <w:t>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19F290">
    <w:pPr>
      <w:pStyle w:val="27"/>
      <w:rPr>
        <w:rFonts w:hint="eastAsia"/>
      </w:rPr>
    </w:pPr>
    <w:r>
      <w:rPr>
        <w:rFonts w:hint="eastAsia" w:ascii="仿宋" w:hAnsi="仿宋" w:eastAsia="仿宋" w:cs="仿宋"/>
      </w:rPr>
      <w:t>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E65EE4"/>
    <w:multiLevelType w:val="singleLevel"/>
    <w:tmpl w:val="A7E65EE4"/>
    <w:lvl w:ilvl="0" w:tentative="0">
      <w:start w:val="3"/>
      <w:numFmt w:val="chineseCounting"/>
      <w:suff w:val="nothing"/>
      <w:lvlText w:val="%1、"/>
      <w:lvlJc w:val="left"/>
      <w:rPr>
        <w:rFonts w:hint="eastAsia"/>
      </w:rPr>
    </w:lvl>
  </w:abstractNum>
  <w:abstractNum w:abstractNumId="1">
    <w:nsid w:val="00000015"/>
    <w:multiLevelType w:val="multilevel"/>
    <w:tmpl w:val="00000015"/>
    <w:lvl w:ilvl="0" w:tentative="0">
      <w:start w:val="1"/>
      <w:numFmt w:val="chineseCountingThousand"/>
      <w:lvlText w:val="第%1部分"/>
      <w:legacy w:legacy="1" w:legacySpace="0" w:legacyIndent="0"/>
      <w:lvlJc w:val="left"/>
    </w:lvl>
    <w:lvl w:ilvl="1" w:tentative="0">
      <w:start w:val="1"/>
      <w:numFmt w:val="none"/>
      <w:suff w:val="nothing"/>
      <w:lvlText w:val=""/>
      <w:lvlJc w:val="left"/>
    </w:lvl>
    <w:lvl w:ilvl="2" w:tentative="0">
      <w:start w:val="1"/>
      <w:numFmt w:val="none"/>
      <w:suff w:val="nothing"/>
      <w:lvlText w:val=""/>
      <w:lvlJc w:val="left"/>
    </w:lvl>
    <w:lvl w:ilvl="3" w:tentative="0">
      <w:start w:val="1"/>
      <w:numFmt w:val="none"/>
      <w:suff w:val="nothing"/>
      <w:lvlText w:val=""/>
      <w:lvlJc w:val="left"/>
    </w:lvl>
    <w:lvl w:ilvl="4" w:tentative="0">
      <w:start w:val="1"/>
      <w:numFmt w:val="none"/>
      <w:pStyle w:val="6"/>
      <w:suff w:val="nothing"/>
      <w:lvlText w:val=""/>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none"/>
      <w:suff w:val="nothing"/>
      <w:lvlText w:val=""/>
      <w:lvlJc w:val="left"/>
    </w:lvl>
  </w:abstractNum>
  <w:abstractNum w:abstractNumId="2">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3">
    <w:nsid w:val="00000018"/>
    <w:multiLevelType w:val="multilevel"/>
    <w:tmpl w:val="00000018"/>
    <w:lvl w:ilvl="0" w:tentative="0">
      <w:start w:val="1"/>
      <w:numFmt w:val="decimal"/>
      <w:pStyle w:val="148"/>
      <w:lvlText w:val="%1．"/>
      <w:lvlJc w:val="left"/>
      <w:pPr>
        <w:tabs>
          <w:tab w:val="left" w:pos="1560"/>
        </w:tabs>
        <w:ind w:left="1560" w:hanging="990"/>
      </w:pPr>
      <w:rPr>
        <w:rFonts w:hint="default"/>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abstractNum w:abstractNumId="4">
    <w:nsid w:val="59E5035D"/>
    <w:multiLevelType w:val="singleLevel"/>
    <w:tmpl w:val="59E5035D"/>
    <w:lvl w:ilvl="0" w:tentative="0">
      <w:start w:val="4"/>
      <w:numFmt w:val="chineseCounting"/>
      <w:suff w:val="space"/>
      <w:lvlText w:val="第%1章"/>
      <w:lvlJc w:val="left"/>
      <w:rPr>
        <w:rFonts w:hint="eastAsia"/>
      </w:rPr>
    </w:lvl>
  </w:abstractNum>
  <w:abstractNum w:abstractNumId="5">
    <w:nsid w:val="5AF38109"/>
    <w:multiLevelType w:val="singleLevel"/>
    <w:tmpl w:val="5AF38109"/>
    <w:lvl w:ilvl="0" w:tentative="0">
      <w:start w:val="9"/>
      <w:numFmt w:val="decimal"/>
      <w:suff w:val="nothing"/>
      <w:lvlText w:val="%1、"/>
      <w:lvlJc w:val="left"/>
    </w:lvl>
  </w:abstractNum>
  <w:num w:numId="1">
    <w:abstractNumId w:val="2"/>
  </w:num>
  <w:num w:numId="2">
    <w:abstractNumId w:val="1"/>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E3NDhhZTMxN2IwZjg1OGE5ZGE4Yzc5MzJkZTg3MmUifQ=="/>
  </w:docVars>
  <w:rsids>
    <w:rsidRoot w:val="00172A27"/>
    <w:rsid w:val="00000D7B"/>
    <w:rsid w:val="0000182D"/>
    <w:rsid w:val="00001AF0"/>
    <w:rsid w:val="00002CCF"/>
    <w:rsid w:val="00002D57"/>
    <w:rsid w:val="00002DDC"/>
    <w:rsid w:val="00002DF3"/>
    <w:rsid w:val="000031B7"/>
    <w:rsid w:val="00003362"/>
    <w:rsid w:val="00003E2D"/>
    <w:rsid w:val="00003E8C"/>
    <w:rsid w:val="00004EF7"/>
    <w:rsid w:val="000056E4"/>
    <w:rsid w:val="00005A63"/>
    <w:rsid w:val="00005B57"/>
    <w:rsid w:val="00005B9D"/>
    <w:rsid w:val="00005FAD"/>
    <w:rsid w:val="00010063"/>
    <w:rsid w:val="000103E0"/>
    <w:rsid w:val="00011042"/>
    <w:rsid w:val="000119BA"/>
    <w:rsid w:val="00011D27"/>
    <w:rsid w:val="00013021"/>
    <w:rsid w:val="000149D8"/>
    <w:rsid w:val="00014AA0"/>
    <w:rsid w:val="00015463"/>
    <w:rsid w:val="000155A1"/>
    <w:rsid w:val="00015F67"/>
    <w:rsid w:val="000168A6"/>
    <w:rsid w:val="00016F8F"/>
    <w:rsid w:val="00017CBF"/>
    <w:rsid w:val="000200B7"/>
    <w:rsid w:val="000209AF"/>
    <w:rsid w:val="00020E79"/>
    <w:rsid w:val="00021146"/>
    <w:rsid w:val="00021703"/>
    <w:rsid w:val="0002176E"/>
    <w:rsid w:val="00021AA5"/>
    <w:rsid w:val="000224A2"/>
    <w:rsid w:val="000231B2"/>
    <w:rsid w:val="0002344E"/>
    <w:rsid w:val="00026205"/>
    <w:rsid w:val="000264E5"/>
    <w:rsid w:val="00026569"/>
    <w:rsid w:val="00026658"/>
    <w:rsid w:val="000304CB"/>
    <w:rsid w:val="000312EA"/>
    <w:rsid w:val="000320F3"/>
    <w:rsid w:val="000329A7"/>
    <w:rsid w:val="00033190"/>
    <w:rsid w:val="00033374"/>
    <w:rsid w:val="00033627"/>
    <w:rsid w:val="00034296"/>
    <w:rsid w:val="00034E42"/>
    <w:rsid w:val="000351F8"/>
    <w:rsid w:val="0003529C"/>
    <w:rsid w:val="00035A17"/>
    <w:rsid w:val="00035CFA"/>
    <w:rsid w:val="00036255"/>
    <w:rsid w:val="000374B5"/>
    <w:rsid w:val="00037E56"/>
    <w:rsid w:val="00040D21"/>
    <w:rsid w:val="00041A8D"/>
    <w:rsid w:val="00042142"/>
    <w:rsid w:val="000426DF"/>
    <w:rsid w:val="00043183"/>
    <w:rsid w:val="00044460"/>
    <w:rsid w:val="00044E13"/>
    <w:rsid w:val="00045B86"/>
    <w:rsid w:val="00045CFE"/>
    <w:rsid w:val="0004702B"/>
    <w:rsid w:val="000478CA"/>
    <w:rsid w:val="00047D37"/>
    <w:rsid w:val="000507EF"/>
    <w:rsid w:val="00050B93"/>
    <w:rsid w:val="000512B5"/>
    <w:rsid w:val="00051337"/>
    <w:rsid w:val="00051936"/>
    <w:rsid w:val="00051A13"/>
    <w:rsid w:val="00051F92"/>
    <w:rsid w:val="000528C3"/>
    <w:rsid w:val="000528FF"/>
    <w:rsid w:val="000529A8"/>
    <w:rsid w:val="00052A82"/>
    <w:rsid w:val="00052D6A"/>
    <w:rsid w:val="0005362E"/>
    <w:rsid w:val="00053CA5"/>
    <w:rsid w:val="00054057"/>
    <w:rsid w:val="000552FF"/>
    <w:rsid w:val="00055431"/>
    <w:rsid w:val="00056154"/>
    <w:rsid w:val="00056EF2"/>
    <w:rsid w:val="00057A1F"/>
    <w:rsid w:val="00057C1A"/>
    <w:rsid w:val="00057DB4"/>
    <w:rsid w:val="000601F6"/>
    <w:rsid w:val="0006064F"/>
    <w:rsid w:val="00060910"/>
    <w:rsid w:val="00060972"/>
    <w:rsid w:val="00060F58"/>
    <w:rsid w:val="00061005"/>
    <w:rsid w:val="00061F7A"/>
    <w:rsid w:val="000621D6"/>
    <w:rsid w:val="0006227B"/>
    <w:rsid w:val="00062490"/>
    <w:rsid w:val="00062E93"/>
    <w:rsid w:val="00063595"/>
    <w:rsid w:val="00063717"/>
    <w:rsid w:val="0006416B"/>
    <w:rsid w:val="000647ED"/>
    <w:rsid w:val="00064A70"/>
    <w:rsid w:val="00064CEA"/>
    <w:rsid w:val="00064DEA"/>
    <w:rsid w:val="00064F19"/>
    <w:rsid w:val="0006501E"/>
    <w:rsid w:val="000650F5"/>
    <w:rsid w:val="0006698B"/>
    <w:rsid w:val="00070A04"/>
    <w:rsid w:val="00071882"/>
    <w:rsid w:val="00071894"/>
    <w:rsid w:val="00071CD4"/>
    <w:rsid w:val="00071DD3"/>
    <w:rsid w:val="0007208A"/>
    <w:rsid w:val="000729F4"/>
    <w:rsid w:val="00072F45"/>
    <w:rsid w:val="00072F60"/>
    <w:rsid w:val="0007328C"/>
    <w:rsid w:val="000732F7"/>
    <w:rsid w:val="000737DE"/>
    <w:rsid w:val="0007411F"/>
    <w:rsid w:val="00074851"/>
    <w:rsid w:val="00074970"/>
    <w:rsid w:val="00074BAC"/>
    <w:rsid w:val="00075544"/>
    <w:rsid w:val="000758BD"/>
    <w:rsid w:val="0007653D"/>
    <w:rsid w:val="00076CB7"/>
    <w:rsid w:val="00077474"/>
    <w:rsid w:val="00077C78"/>
    <w:rsid w:val="00077F59"/>
    <w:rsid w:val="00080654"/>
    <w:rsid w:val="00080FDF"/>
    <w:rsid w:val="00081022"/>
    <w:rsid w:val="00082A5B"/>
    <w:rsid w:val="00082E1E"/>
    <w:rsid w:val="00083204"/>
    <w:rsid w:val="00083702"/>
    <w:rsid w:val="00083888"/>
    <w:rsid w:val="00084733"/>
    <w:rsid w:val="00084926"/>
    <w:rsid w:val="00084B6F"/>
    <w:rsid w:val="00084F38"/>
    <w:rsid w:val="000850BB"/>
    <w:rsid w:val="00085105"/>
    <w:rsid w:val="00085443"/>
    <w:rsid w:val="000856DA"/>
    <w:rsid w:val="00085DD0"/>
    <w:rsid w:val="0008618E"/>
    <w:rsid w:val="0008680D"/>
    <w:rsid w:val="000876F5"/>
    <w:rsid w:val="00087A02"/>
    <w:rsid w:val="00087EBA"/>
    <w:rsid w:val="0009029E"/>
    <w:rsid w:val="00090A50"/>
    <w:rsid w:val="00091757"/>
    <w:rsid w:val="00091F16"/>
    <w:rsid w:val="0009205C"/>
    <w:rsid w:val="000930DE"/>
    <w:rsid w:val="00093112"/>
    <w:rsid w:val="00093235"/>
    <w:rsid w:val="000938A8"/>
    <w:rsid w:val="000939B6"/>
    <w:rsid w:val="00094065"/>
    <w:rsid w:val="00094817"/>
    <w:rsid w:val="00094D42"/>
    <w:rsid w:val="00095DB8"/>
    <w:rsid w:val="00096459"/>
    <w:rsid w:val="00096CF7"/>
    <w:rsid w:val="00096DBC"/>
    <w:rsid w:val="000975E4"/>
    <w:rsid w:val="00097A09"/>
    <w:rsid w:val="000A0F04"/>
    <w:rsid w:val="000A148E"/>
    <w:rsid w:val="000A14A1"/>
    <w:rsid w:val="000A16D1"/>
    <w:rsid w:val="000A186F"/>
    <w:rsid w:val="000A1879"/>
    <w:rsid w:val="000A18F1"/>
    <w:rsid w:val="000A1D17"/>
    <w:rsid w:val="000A1DC8"/>
    <w:rsid w:val="000A2689"/>
    <w:rsid w:val="000A2C15"/>
    <w:rsid w:val="000A2E60"/>
    <w:rsid w:val="000A4219"/>
    <w:rsid w:val="000A5626"/>
    <w:rsid w:val="000A5F7B"/>
    <w:rsid w:val="000A7F7D"/>
    <w:rsid w:val="000B0E5C"/>
    <w:rsid w:val="000B11F9"/>
    <w:rsid w:val="000B17CB"/>
    <w:rsid w:val="000B1C92"/>
    <w:rsid w:val="000B33A6"/>
    <w:rsid w:val="000B3869"/>
    <w:rsid w:val="000B3A6B"/>
    <w:rsid w:val="000B3F80"/>
    <w:rsid w:val="000B4426"/>
    <w:rsid w:val="000B4704"/>
    <w:rsid w:val="000B4F09"/>
    <w:rsid w:val="000B5BD5"/>
    <w:rsid w:val="000B646D"/>
    <w:rsid w:val="000B6547"/>
    <w:rsid w:val="000B6C4A"/>
    <w:rsid w:val="000B6D47"/>
    <w:rsid w:val="000B6F7F"/>
    <w:rsid w:val="000B7D60"/>
    <w:rsid w:val="000B7FD3"/>
    <w:rsid w:val="000C0664"/>
    <w:rsid w:val="000C0E03"/>
    <w:rsid w:val="000C0E20"/>
    <w:rsid w:val="000C0F7B"/>
    <w:rsid w:val="000C165E"/>
    <w:rsid w:val="000C2E0A"/>
    <w:rsid w:val="000C3898"/>
    <w:rsid w:val="000C3BB8"/>
    <w:rsid w:val="000C3DE8"/>
    <w:rsid w:val="000C405A"/>
    <w:rsid w:val="000C4078"/>
    <w:rsid w:val="000C457E"/>
    <w:rsid w:val="000C4ACE"/>
    <w:rsid w:val="000C7024"/>
    <w:rsid w:val="000C743B"/>
    <w:rsid w:val="000C7638"/>
    <w:rsid w:val="000C7C82"/>
    <w:rsid w:val="000C7CF0"/>
    <w:rsid w:val="000C7E09"/>
    <w:rsid w:val="000D011F"/>
    <w:rsid w:val="000D17EC"/>
    <w:rsid w:val="000D1AA6"/>
    <w:rsid w:val="000D2162"/>
    <w:rsid w:val="000D2B36"/>
    <w:rsid w:val="000D2D2C"/>
    <w:rsid w:val="000D39A4"/>
    <w:rsid w:val="000D46C4"/>
    <w:rsid w:val="000D4C36"/>
    <w:rsid w:val="000D4C98"/>
    <w:rsid w:val="000D4CC9"/>
    <w:rsid w:val="000D4DFA"/>
    <w:rsid w:val="000D58E2"/>
    <w:rsid w:val="000D5C4D"/>
    <w:rsid w:val="000D61D2"/>
    <w:rsid w:val="000D634E"/>
    <w:rsid w:val="000D63D0"/>
    <w:rsid w:val="000D663E"/>
    <w:rsid w:val="000D6C81"/>
    <w:rsid w:val="000D71C3"/>
    <w:rsid w:val="000D71D8"/>
    <w:rsid w:val="000D739B"/>
    <w:rsid w:val="000D7938"/>
    <w:rsid w:val="000D7DA5"/>
    <w:rsid w:val="000E017F"/>
    <w:rsid w:val="000E02E4"/>
    <w:rsid w:val="000E181D"/>
    <w:rsid w:val="000E1916"/>
    <w:rsid w:val="000E1F54"/>
    <w:rsid w:val="000E2265"/>
    <w:rsid w:val="000E2A32"/>
    <w:rsid w:val="000E2B2C"/>
    <w:rsid w:val="000E2BE6"/>
    <w:rsid w:val="000E303C"/>
    <w:rsid w:val="000E3085"/>
    <w:rsid w:val="000E3B31"/>
    <w:rsid w:val="000E3B9E"/>
    <w:rsid w:val="000E4089"/>
    <w:rsid w:val="000E48DB"/>
    <w:rsid w:val="000E4C45"/>
    <w:rsid w:val="000E6193"/>
    <w:rsid w:val="000E7654"/>
    <w:rsid w:val="000E7708"/>
    <w:rsid w:val="000E7E8F"/>
    <w:rsid w:val="000F02F9"/>
    <w:rsid w:val="000F08DC"/>
    <w:rsid w:val="000F0D64"/>
    <w:rsid w:val="000F0E50"/>
    <w:rsid w:val="000F1B22"/>
    <w:rsid w:val="000F23EB"/>
    <w:rsid w:val="000F264B"/>
    <w:rsid w:val="000F2766"/>
    <w:rsid w:val="000F2C16"/>
    <w:rsid w:val="000F304C"/>
    <w:rsid w:val="000F3380"/>
    <w:rsid w:val="000F3A25"/>
    <w:rsid w:val="000F4493"/>
    <w:rsid w:val="000F4DCD"/>
    <w:rsid w:val="000F5133"/>
    <w:rsid w:val="000F606A"/>
    <w:rsid w:val="000F61E8"/>
    <w:rsid w:val="000F6554"/>
    <w:rsid w:val="000F6EF0"/>
    <w:rsid w:val="000F7C5C"/>
    <w:rsid w:val="001005B5"/>
    <w:rsid w:val="00101113"/>
    <w:rsid w:val="00102700"/>
    <w:rsid w:val="00103B85"/>
    <w:rsid w:val="0010450A"/>
    <w:rsid w:val="001057B7"/>
    <w:rsid w:val="0010600E"/>
    <w:rsid w:val="00106D0F"/>
    <w:rsid w:val="00106DE3"/>
    <w:rsid w:val="00106F36"/>
    <w:rsid w:val="0010724D"/>
    <w:rsid w:val="00107682"/>
    <w:rsid w:val="00107857"/>
    <w:rsid w:val="001108D8"/>
    <w:rsid w:val="00110E57"/>
    <w:rsid w:val="001114E7"/>
    <w:rsid w:val="00111514"/>
    <w:rsid w:val="001118FD"/>
    <w:rsid w:val="00111EF3"/>
    <w:rsid w:val="00111F9B"/>
    <w:rsid w:val="0011292D"/>
    <w:rsid w:val="00112AD4"/>
    <w:rsid w:val="00112E38"/>
    <w:rsid w:val="0011358D"/>
    <w:rsid w:val="00113719"/>
    <w:rsid w:val="001138A5"/>
    <w:rsid w:val="00113BFE"/>
    <w:rsid w:val="001140C9"/>
    <w:rsid w:val="0011446B"/>
    <w:rsid w:val="00114E60"/>
    <w:rsid w:val="00115153"/>
    <w:rsid w:val="0011708E"/>
    <w:rsid w:val="001173B3"/>
    <w:rsid w:val="00117E40"/>
    <w:rsid w:val="00117E87"/>
    <w:rsid w:val="001200AE"/>
    <w:rsid w:val="00120386"/>
    <w:rsid w:val="00121005"/>
    <w:rsid w:val="001211BF"/>
    <w:rsid w:val="001216A0"/>
    <w:rsid w:val="001221DB"/>
    <w:rsid w:val="00123D5E"/>
    <w:rsid w:val="00124324"/>
    <w:rsid w:val="001244DD"/>
    <w:rsid w:val="001249D9"/>
    <w:rsid w:val="00124BEC"/>
    <w:rsid w:val="00124DC2"/>
    <w:rsid w:val="00124E29"/>
    <w:rsid w:val="0012681D"/>
    <w:rsid w:val="001268D2"/>
    <w:rsid w:val="00126F22"/>
    <w:rsid w:val="00127CBC"/>
    <w:rsid w:val="00127FD7"/>
    <w:rsid w:val="001300CC"/>
    <w:rsid w:val="001305FE"/>
    <w:rsid w:val="0013175D"/>
    <w:rsid w:val="001318EF"/>
    <w:rsid w:val="0013198D"/>
    <w:rsid w:val="00132473"/>
    <w:rsid w:val="00132ACE"/>
    <w:rsid w:val="00132CB7"/>
    <w:rsid w:val="00132D26"/>
    <w:rsid w:val="00134486"/>
    <w:rsid w:val="00134547"/>
    <w:rsid w:val="001349C9"/>
    <w:rsid w:val="001350DD"/>
    <w:rsid w:val="00135E87"/>
    <w:rsid w:val="00136888"/>
    <w:rsid w:val="00136A2E"/>
    <w:rsid w:val="00137029"/>
    <w:rsid w:val="00137A96"/>
    <w:rsid w:val="00137CB3"/>
    <w:rsid w:val="00137EE8"/>
    <w:rsid w:val="001408B0"/>
    <w:rsid w:val="00140B0B"/>
    <w:rsid w:val="00140B4A"/>
    <w:rsid w:val="00140BDF"/>
    <w:rsid w:val="00140F2E"/>
    <w:rsid w:val="001410EB"/>
    <w:rsid w:val="00142073"/>
    <w:rsid w:val="0014255B"/>
    <w:rsid w:val="00142A20"/>
    <w:rsid w:val="001433F3"/>
    <w:rsid w:val="0014375C"/>
    <w:rsid w:val="001437D8"/>
    <w:rsid w:val="00143FD7"/>
    <w:rsid w:val="0014471D"/>
    <w:rsid w:val="00144894"/>
    <w:rsid w:val="00145409"/>
    <w:rsid w:val="001457FE"/>
    <w:rsid w:val="00147296"/>
    <w:rsid w:val="0015104B"/>
    <w:rsid w:val="001518AF"/>
    <w:rsid w:val="0015210A"/>
    <w:rsid w:val="00152716"/>
    <w:rsid w:val="00152899"/>
    <w:rsid w:val="001530F3"/>
    <w:rsid w:val="00153395"/>
    <w:rsid w:val="00153A6E"/>
    <w:rsid w:val="00154021"/>
    <w:rsid w:val="00154177"/>
    <w:rsid w:val="00154A56"/>
    <w:rsid w:val="00154D63"/>
    <w:rsid w:val="00154DA6"/>
    <w:rsid w:val="00157566"/>
    <w:rsid w:val="0015790C"/>
    <w:rsid w:val="00157D1E"/>
    <w:rsid w:val="00160100"/>
    <w:rsid w:val="00160707"/>
    <w:rsid w:val="001609BA"/>
    <w:rsid w:val="00160A3C"/>
    <w:rsid w:val="00160D71"/>
    <w:rsid w:val="00161C1D"/>
    <w:rsid w:val="00162152"/>
    <w:rsid w:val="001629F5"/>
    <w:rsid w:val="00163C0D"/>
    <w:rsid w:val="001645A2"/>
    <w:rsid w:val="001645E5"/>
    <w:rsid w:val="0016486D"/>
    <w:rsid w:val="00164ABB"/>
    <w:rsid w:val="00164D56"/>
    <w:rsid w:val="00164F56"/>
    <w:rsid w:val="00165F01"/>
    <w:rsid w:val="00165F8F"/>
    <w:rsid w:val="00167491"/>
    <w:rsid w:val="00167577"/>
    <w:rsid w:val="00170537"/>
    <w:rsid w:val="001711D7"/>
    <w:rsid w:val="001717AC"/>
    <w:rsid w:val="0017240A"/>
    <w:rsid w:val="00172475"/>
    <w:rsid w:val="00172575"/>
    <w:rsid w:val="001728F3"/>
    <w:rsid w:val="00173053"/>
    <w:rsid w:val="001738B7"/>
    <w:rsid w:val="00174506"/>
    <w:rsid w:val="001745BB"/>
    <w:rsid w:val="00175009"/>
    <w:rsid w:val="00175A5F"/>
    <w:rsid w:val="0017627F"/>
    <w:rsid w:val="0017647F"/>
    <w:rsid w:val="0017658D"/>
    <w:rsid w:val="0017688A"/>
    <w:rsid w:val="00176A14"/>
    <w:rsid w:val="00177F89"/>
    <w:rsid w:val="001807A3"/>
    <w:rsid w:val="00180943"/>
    <w:rsid w:val="00180968"/>
    <w:rsid w:val="00180D08"/>
    <w:rsid w:val="00180D73"/>
    <w:rsid w:val="00180E9C"/>
    <w:rsid w:val="00180EBF"/>
    <w:rsid w:val="001812E4"/>
    <w:rsid w:val="00181507"/>
    <w:rsid w:val="00182191"/>
    <w:rsid w:val="00182329"/>
    <w:rsid w:val="001824F9"/>
    <w:rsid w:val="00182812"/>
    <w:rsid w:val="00182BE3"/>
    <w:rsid w:val="00182FA0"/>
    <w:rsid w:val="00183B8B"/>
    <w:rsid w:val="00183C0C"/>
    <w:rsid w:val="00185258"/>
    <w:rsid w:val="0018559F"/>
    <w:rsid w:val="00185EAF"/>
    <w:rsid w:val="00186748"/>
    <w:rsid w:val="00186C4E"/>
    <w:rsid w:val="00186D30"/>
    <w:rsid w:val="001874E4"/>
    <w:rsid w:val="001918EA"/>
    <w:rsid w:val="0019207F"/>
    <w:rsid w:val="00192207"/>
    <w:rsid w:val="001924DF"/>
    <w:rsid w:val="00192622"/>
    <w:rsid w:val="00193DF2"/>
    <w:rsid w:val="001946ED"/>
    <w:rsid w:val="0019587F"/>
    <w:rsid w:val="00195E1A"/>
    <w:rsid w:val="0019614A"/>
    <w:rsid w:val="001964CD"/>
    <w:rsid w:val="001965C4"/>
    <w:rsid w:val="00196C8E"/>
    <w:rsid w:val="001974A2"/>
    <w:rsid w:val="001977C3"/>
    <w:rsid w:val="001978C1"/>
    <w:rsid w:val="00197F55"/>
    <w:rsid w:val="001A0959"/>
    <w:rsid w:val="001A1237"/>
    <w:rsid w:val="001A1500"/>
    <w:rsid w:val="001A15A4"/>
    <w:rsid w:val="001A191F"/>
    <w:rsid w:val="001A22C0"/>
    <w:rsid w:val="001A2421"/>
    <w:rsid w:val="001A2EC5"/>
    <w:rsid w:val="001A2F8A"/>
    <w:rsid w:val="001A3B0A"/>
    <w:rsid w:val="001A3FDD"/>
    <w:rsid w:val="001A4C6B"/>
    <w:rsid w:val="001A502C"/>
    <w:rsid w:val="001A5261"/>
    <w:rsid w:val="001A56AF"/>
    <w:rsid w:val="001A570E"/>
    <w:rsid w:val="001A611C"/>
    <w:rsid w:val="001A615E"/>
    <w:rsid w:val="001A6E49"/>
    <w:rsid w:val="001A7EC2"/>
    <w:rsid w:val="001A7ED3"/>
    <w:rsid w:val="001B0171"/>
    <w:rsid w:val="001B0AC8"/>
    <w:rsid w:val="001B1530"/>
    <w:rsid w:val="001B1917"/>
    <w:rsid w:val="001B1C61"/>
    <w:rsid w:val="001B20E0"/>
    <w:rsid w:val="001B2437"/>
    <w:rsid w:val="001B2727"/>
    <w:rsid w:val="001B2B52"/>
    <w:rsid w:val="001B3DC5"/>
    <w:rsid w:val="001B4E4C"/>
    <w:rsid w:val="001B5E28"/>
    <w:rsid w:val="001B6733"/>
    <w:rsid w:val="001B6AD8"/>
    <w:rsid w:val="001B6DA1"/>
    <w:rsid w:val="001B7463"/>
    <w:rsid w:val="001C07F3"/>
    <w:rsid w:val="001C08F0"/>
    <w:rsid w:val="001C115A"/>
    <w:rsid w:val="001C1B7F"/>
    <w:rsid w:val="001C1CD0"/>
    <w:rsid w:val="001C26DE"/>
    <w:rsid w:val="001C2BBA"/>
    <w:rsid w:val="001C4169"/>
    <w:rsid w:val="001C4DA5"/>
    <w:rsid w:val="001C5CCF"/>
    <w:rsid w:val="001C731E"/>
    <w:rsid w:val="001C7616"/>
    <w:rsid w:val="001C7867"/>
    <w:rsid w:val="001C7EC2"/>
    <w:rsid w:val="001D15A2"/>
    <w:rsid w:val="001D1756"/>
    <w:rsid w:val="001D1797"/>
    <w:rsid w:val="001D1A92"/>
    <w:rsid w:val="001D1BD5"/>
    <w:rsid w:val="001D1E5A"/>
    <w:rsid w:val="001D1F37"/>
    <w:rsid w:val="001D2F29"/>
    <w:rsid w:val="001D3882"/>
    <w:rsid w:val="001D3A1A"/>
    <w:rsid w:val="001D3E29"/>
    <w:rsid w:val="001D4058"/>
    <w:rsid w:val="001D5286"/>
    <w:rsid w:val="001D572A"/>
    <w:rsid w:val="001D62CA"/>
    <w:rsid w:val="001D6E6A"/>
    <w:rsid w:val="001D7063"/>
    <w:rsid w:val="001D71DE"/>
    <w:rsid w:val="001D772B"/>
    <w:rsid w:val="001D7EE6"/>
    <w:rsid w:val="001E041A"/>
    <w:rsid w:val="001E0E77"/>
    <w:rsid w:val="001E0F7F"/>
    <w:rsid w:val="001E1073"/>
    <w:rsid w:val="001E12F2"/>
    <w:rsid w:val="001E2340"/>
    <w:rsid w:val="001E2A3F"/>
    <w:rsid w:val="001E3EA6"/>
    <w:rsid w:val="001E40A3"/>
    <w:rsid w:val="001E471B"/>
    <w:rsid w:val="001E4F27"/>
    <w:rsid w:val="001E582C"/>
    <w:rsid w:val="001E5AA3"/>
    <w:rsid w:val="001E61F6"/>
    <w:rsid w:val="001E680D"/>
    <w:rsid w:val="001E6B5D"/>
    <w:rsid w:val="001E6C90"/>
    <w:rsid w:val="001E6E41"/>
    <w:rsid w:val="001E6EB8"/>
    <w:rsid w:val="001E7510"/>
    <w:rsid w:val="001E7DCA"/>
    <w:rsid w:val="001F005B"/>
    <w:rsid w:val="001F015C"/>
    <w:rsid w:val="001F0BA2"/>
    <w:rsid w:val="001F20D1"/>
    <w:rsid w:val="001F23CB"/>
    <w:rsid w:val="001F27A4"/>
    <w:rsid w:val="001F4A3D"/>
    <w:rsid w:val="001F4A43"/>
    <w:rsid w:val="001F525E"/>
    <w:rsid w:val="001F5D9B"/>
    <w:rsid w:val="001F6903"/>
    <w:rsid w:val="001F6BFA"/>
    <w:rsid w:val="001F7081"/>
    <w:rsid w:val="001F7795"/>
    <w:rsid w:val="002009C3"/>
    <w:rsid w:val="00201DCA"/>
    <w:rsid w:val="00201FD0"/>
    <w:rsid w:val="00202592"/>
    <w:rsid w:val="00202B7E"/>
    <w:rsid w:val="00202D91"/>
    <w:rsid w:val="002034CE"/>
    <w:rsid w:val="00203EE2"/>
    <w:rsid w:val="002044A4"/>
    <w:rsid w:val="00204859"/>
    <w:rsid w:val="00204C3C"/>
    <w:rsid w:val="00205008"/>
    <w:rsid w:val="00205329"/>
    <w:rsid w:val="00205FBF"/>
    <w:rsid w:val="002066A6"/>
    <w:rsid w:val="002066ED"/>
    <w:rsid w:val="002068DA"/>
    <w:rsid w:val="00206CD5"/>
    <w:rsid w:val="00207CD0"/>
    <w:rsid w:val="00207DE7"/>
    <w:rsid w:val="0021005B"/>
    <w:rsid w:val="00210E4F"/>
    <w:rsid w:val="00211068"/>
    <w:rsid w:val="00213537"/>
    <w:rsid w:val="00213705"/>
    <w:rsid w:val="00213E79"/>
    <w:rsid w:val="00214704"/>
    <w:rsid w:val="00214C72"/>
    <w:rsid w:val="0021528D"/>
    <w:rsid w:val="00215863"/>
    <w:rsid w:val="0021660E"/>
    <w:rsid w:val="00217340"/>
    <w:rsid w:val="002173E1"/>
    <w:rsid w:val="0021764C"/>
    <w:rsid w:val="0021770E"/>
    <w:rsid w:val="00220DEE"/>
    <w:rsid w:val="00221A80"/>
    <w:rsid w:val="00221CC0"/>
    <w:rsid w:val="0022215B"/>
    <w:rsid w:val="00222729"/>
    <w:rsid w:val="002227F6"/>
    <w:rsid w:val="0022281D"/>
    <w:rsid w:val="00222E03"/>
    <w:rsid w:val="00223096"/>
    <w:rsid w:val="00224348"/>
    <w:rsid w:val="00224380"/>
    <w:rsid w:val="00224A12"/>
    <w:rsid w:val="00224A60"/>
    <w:rsid w:val="00224EB0"/>
    <w:rsid w:val="00224F41"/>
    <w:rsid w:val="0022506C"/>
    <w:rsid w:val="00225289"/>
    <w:rsid w:val="00225680"/>
    <w:rsid w:val="00225DF3"/>
    <w:rsid w:val="00226E2E"/>
    <w:rsid w:val="00227444"/>
    <w:rsid w:val="002274BE"/>
    <w:rsid w:val="00230DA2"/>
    <w:rsid w:val="00231145"/>
    <w:rsid w:val="0023161F"/>
    <w:rsid w:val="002321F5"/>
    <w:rsid w:val="00233CF7"/>
    <w:rsid w:val="00233EED"/>
    <w:rsid w:val="00233F74"/>
    <w:rsid w:val="002349B5"/>
    <w:rsid w:val="00234A04"/>
    <w:rsid w:val="00234A36"/>
    <w:rsid w:val="00235537"/>
    <w:rsid w:val="002361DD"/>
    <w:rsid w:val="002370CC"/>
    <w:rsid w:val="002411C9"/>
    <w:rsid w:val="002413A8"/>
    <w:rsid w:val="00241402"/>
    <w:rsid w:val="002416B1"/>
    <w:rsid w:val="002416F4"/>
    <w:rsid w:val="00242211"/>
    <w:rsid w:val="00242647"/>
    <w:rsid w:val="00242A60"/>
    <w:rsid w:val="00242AB2"/>
    <w:rsid w:val="00242CC5"/>
    <w:rsid w:val="00242E77"/>
    <w:rsid w:val="00243093"/>
    <w:rsid w:val="0024310B"/>
    <w:rsid w:val="00243675"/>
    <w:rsid w:val="00243DED"/>
    <w:rsid w:val="002442EE"/>
    <w:rsid w:val="0024444D"/>
    <w:rsid w:val="002447C8"/>
    <w:rsid w:val="00244AAD"/>
    <w:rsid w:val="002450B8"/>
    <w:rsid w:val="0024533B"/>
    <w:rsid w:val="00246DBC"/>
    <w:rsid w:val="00246EE0"/>
    <w:rsid w:val="00246FCF"/>
    <w:rsid w:val="00247256"/>
    <w:rsid w:val="0024735F"/>
    <w:rsid w:val="00247C35"/>
    <w:rsid w:val="00247C39"/>
    <w:rsid w:val="00247F4B"/>
    <w:rsid w:val="00250336"/>
    <w:rsid w:val="00250822"/>
    <w:rsid w:val="00250F7A"/>
    <w:rsid w:val="00252189"/>
    <w:rsid w:val="0025240B"/>
    <w:rsid w:val="00253C75"/>
    <w:rsid w:val="00254217"/>
    <w:rsid w:val="002545AF"/>
    <w:rsid w:val="00255ADB"/>
    <w:rsid w:val="00255E20"/>
    <w:rsid w:val="00255E85"/>
    <w:rsid w:val="00255ED9"/>
    <w:rsid w:val="00255FEE"/>
    <w:rsid w:val="002560D9"/>
    <w:rsid w:val="00256EA0"/>
    <w:rsid w:val="00256FDE"/>
    <w:rsid w:val="002578F4"/>
    <w:rsid w:val="00257ED5"/>
    <w:rsid w:val="0026001C"/>
    <w:rsid w:val="00260393"/>
    <w:rsid w:val="002634BF"/>
    <w:rsid w:val="002650F4"/>
    <w:rsid w:val="00265B3F"/>
    <w:rsid w:val="002669E4"/>
    <w:rsid w:val="00267685"/>
    <w:rsid w:val="00270C60"/>
    <w:rsid w:val="002712DD"/>
    <w:rsid w:val="0027159C"/>
    <w:rsid w:val="0027290B"/>
    <w:rsid w:val="00272ADD"/>
    <w:rsid w:val="00272B49"/>
    <w:rsid w:val="00272BB1"/>
    <w:rsid w:val="00272FE3"/>
    <w:rsid w:val="00273862"/>
    <w:rsid w:val="002739E3"/>
    <w:rsid w:val="00274205"/>
    <w:rsid w:val="00275615"/>
    <w:rsid w:val="00275983"/>
    <w:rsid w:val="00275D05"/>
    <w:rsid w:val="002772C2"/>
    <w:rsid w:val="00277B47"/>
    <w:rsid w:val="00277D94"/>
    <w:rsid w:val="00280158"/>
    <w:rsid w:val="00280A9D"/>
    <w:rsid w:val="002819F5"/>
    <w:rsid w:val="00282C51"/>
    <w:rsid w:val="0028439F"/>
    <w:rsid w:val="00285249"/>
    <w:rsid w:val="0028539A"/>
    <w:rsid w:val="0028577A"/>
    <w:rsid w:val="00286555"/>
    <w:rsid w:val="002866BA"/>
    <w:rsid w:val="00286DF1"/>
    <w:rsid w:val="00287ED0"/>
    <w:rsid w:val="002905F2"/>
    <w:rsid w:val="002911BB"/>
    <w:rsid w:val="002917E4"/>
    <w:rsid w:val="00291957"/>
    <w:rsid w:val="00292107"/>
    <w:rsid w:val="00292553"/>
    <w:rsid w:val="002930D1"/>
    <w:rsid w:val="0029364A"/>
    <w:rsid w:val="00293D18"/>
    <w:rsid w:val="00293DDA"/>
    <w:rsid w:val="002943A5"/>
    <w:rsid w:val="00294CA8"/>
    <w:rsid w:val="002950E3"/>
    <w:rsid w:val="00295157"/>
    <w:rsid w:val="0029554C"/>
    <w:rsid w:val="002960CF"/>
    <w:rsid w:val="002963B2"/>
    <w:rsid w:val="00296678"/>
    <w:rsid w:val="002967A8"/>
    <w:rsid w:val="00297272"/>
    <w:rsid w:val="00297B07"/>
    <w:rsid w:val="00297F23"/>
    <w:rsid w:val="002A0E24"/>
    <w:rsid w:val="002A1466"/>
    <w:rsid w:val="002A16E4"/>
    <w:rsid w:val="002A1A27"/>
    <w:rsid w:val="002A2406"/>
    <w:rsid w:val="002A26C7"/>
    <w:rsid w:val="002A3B0F"/>
    <w:rsid w:val="002A3EAD"/>
    <w:rsid w:val="002A4AB9"/>
    <w:rsid w:val="002A4EB2"/>
    <w:rsid w:val="002A5052"/>
    <w:rsid w:val="002A69A9"/>
    <w:rsid w:val="002A6B68"/>
    <w:rsid w:val="002A7720"/>
    <w:rsid w:val="002A7CBA"/>
    <w:rsid w:val="002B086F"/>
    <w:rsid w:val="002B0C81"/>
    <w:rsid w:val="002B11CF"/>
    <w:rsid w:val="002B1363"/>
    <w:rsid w:val="002B189D"/>
    <w:rsid w:val="002B28F3"/>
    <w:rsid w:val="002B32BD"/>
    <w:rsid w:val="002B395E"/>
    <w:rsid w:val="002B45F4"/>
    <w:rsid w:val="002B4EFA"/>
    <w:rsid w:val="002B5049"/>
    <w:rsid w:val="002B5F0E"/>
    <w:rsid w:val="002B683E"/>
    <w:rsid w:val="002B6F56"/>
    <w:rsid w:val="002B7152"/>
    <w:rsid w:val="002B76FD"/>
    <w:rsid w:val="002C0007"/>
    <w:rsid w:val="002C00C5"/>
    <w:rsid w:val="002C0AC4"/>
    <w:rsid w:val="002C0B15"/>
    <w:rsid w:val="002C11AE"/>
    <w:rsid w:val="002C1A73"/>
    <w:rsid w:val="002C1CA7"/>
    <w:rsid w:val="002C22C5"/>
    <w:rsid w:val="002C2CFF"/>
    <w:rsid w:val="002C328E"/>
    <w:rsid w:val="002C3396"/>
    <w:rsid w:val="002C3C96"/>
    <w:rsid w:val="002C47A5"/>
    <w:rsid w:val="002C4860"/>
    <w:rsid w:val="002C4FC6"/>
    <w:rsid w:val="002C5CC0"/>
    <w:rsid w:val="002C68D4"/>
    <w:rsid w:val="002C7406"/>
    <w:rsid w:val="002C74CF"/>
    <w:rsid w:val="002C7675"/>
    <w:rsid w:val="002C7748"/>
    <w:rsid w:val="002C7EBD"/>
    <w:rsid w:val="002D0ADB"/>
    <w:rsid w:val="002D1E2F"/>
    <w:rsid w:val="002D209F"/>
    <w:rsid w:val="002D22FD"/>
    <w:rsid w:val="002D2614"/>
    <w:rsid w:val="002D27C8"/>
    <w:rsid w:val="002D3131"/>
    <w:rsid w:val="002D4042"/>
    <w:rsid w:val="002D45CE"/>
    <w:rsid w:val="002D56E7"/>
    <w:rsid w:val="002D5D19"/>
    <w:rsid w:val="002D5D6C"/>
    <w:rsid w:val="002D5FCE"/>
    <w:rsid w:val="002D63D6"/>
    <w:rsid w:val="002D6970"/>
    <w:rsid w:val="002D6A38"/>
    <w:rsid w:val="002E0955"/>
    <w:rsid w:val="002E0B02"/>
    <w:rsid w:val="002E2807"/>
    <w:rsid w:val="002E31F8"/>
    <w:rsid w:val="002E3B05"/>
    <w:rsid w:val="002E43B6"/>
    <w:rsid w:val="002E4CB6"/>
    <w:rsid w:val="002E5A78"/>
    <w:rsid w:val="002E5C4E"/>
    <w:rsid w:val="002E63A3"/>
    <w:rsid w:val="002E67CD"/>
    <w:rsid w:val="002E6B74"/>
    <w:rsid w:val="002E6D5A"/>
    <w:rsid w:val="002E6E97"/>
    <w:rsid w:val="002F1304"/>
    <w:rsid w:val="002F1513"/>
    <w:rsid w:val="002F227B"/>
    <w:rsid w:val="002F26B9"/>
    <w:rsid w:val="002F279B"/>
    <w:rsid w:val="002F2B25"/>
    <w:rsid w:val="002F2BFC"/>
    <w:rsid w:val="002F2C4F"/>
    <w:rsid w:val="002F2CE8"/>
    <w:rsid w:val="002F30A1"/>
    <w:rsid w:val="002F4D1D"/>
    <w:rsid w:val="002F5732"/>
    <w:rsid w:val="002F5825"/>
    <w:rsid w:val="002F5924"/>
    <w:rsid w:val="002F5EFD"/>
    <w:rsid w:val="002F6128"/>
    <w:rsid w:val="002F6232"/>
    <w:rsid w:val="002F6785"/>
    <w:rsid w:val="002F6D1A"/>
    <w:rsid w:val="00300434"/>
    <w:rsid w:val="003013B0"/>
    <w:rsid w:val="00301674"/>
    <w:rsid w:val="003016A0"/>
    <w:rsid w:val="003021E2"/>
    <w:rsid w:val="0030239E"/>
    <w:rsid w:val="00303504"/>
    <w:rsid w:val="003035E0"/>
    <w:rsid w:val="003035E4"/>
    <w:rsid w:val="00303915"/>
    <w:rsid w:val="00305257"/>
    <w:rsid w:val="003058D8"/>
    <w:rsid w:val="00305ED9"/>
    <w:rsid w:val="00306527"/>
    <w:rsid w:val="00306DDE"/>
    <w:rsid w:val="00307BDF"/>
    <w:rsid w:val="0031016A"/>
    <w:rsid w:val="003105A1"/>
    <w:rsid w:val="0031093C"/>
    <w:rsid w:val="00311AC4"/>
    <w:rsid w:val="00311B37"/>
    <w:rsid w:val="0031257C"/>
    <w:rsid w:val="00312F8C"/>
    <w:rsid w:val="0031356C"/>
    <w:rsid w:val="0031357E"/>
    <w:rsid w:val="0031498D"/>
    <w:rsid w:val="003149B0"/>
    <w:rsid w:val="00314E14"/>
    <w:rsid w:val="00315219"/>
    <w:rsid w:val="00315407"/>
    <w:rsid w:val="003154C7"/>
    <w:rsid w:val="0031658B"/>
    <w:rsid w:val="00317393"/>
    <w:rsid w:val="00320110"/>
    <w:rsid w:val="00320616"/>
    <w:rsid w:val="00320FF4"/>
    <w:rsid w:val="003213D3"/>
    <w:rsid w:val="00321BA0"/>
    <w:rsid w:val="00321D8A"/>
    <w:rsid w:val="00322266"/>
    <w:rsid w:val="00322481"/>
    <w:rsid w:val="0032251B"/>
    <w:rsid w:val="00322837"/>
    <w:rsid w:val="003233E2"/>
    <w:rsid w:val="00323526"/>
    <w:rsid w:val="0032363A"/>
    <w:rsid w:val="003238EA"/>
    <w:rsid w:val="003239F0"/>
    <w:rsid w:val="00323E7D"/>
    <w:rsid w:val="003244A6"/>
    <w:rsid w:val="0032495B"/>
    <w:rsid w:val="00325DD5"/>
    <w:rsid w:val="00325E64"/>
    <w:rsid w:val="0032601D"/>
    <w:rsid w:val="0032653D"/>
    <w:rsid w:val="00326CFC"/>
    <w:rsid w:val="0032723E"/>
    <w:rsid w:val="003275E5"/>
    <w:rsid w:val="0032765C"/>
    <w:rsid w:val="00327932"/>
    <w:rsid w:val="00330242"/>
    <w:rsid w:val="00330A25"/>
    <w:rsid w:val="00330D33"/>
    <w:rsid w:val="00330F4A"/>
    <w:rsid w:val="003311B0"/>
    <w:rsid w:val="003320F5"/>
    <w:rsid w:val="0033247F"/>
    <w:rsid w:val="00333147"/>
    <w:rsid w:val="003337DE"/>
    <w:rsid w:val="00334E2F"/>
    <w:rsid w:val="0033536E"/>
    <w:rsid w:val="00335F95"/>
    <w:rsid w:val="0033671B"/>
    <w:rsid w:val="00337570"/>
    <w:rsid w:val="00337844"/>
    <w:rsid w:val="00340143"/>
    <w:rsid w:val="00340859"/>
    <w:rsid w:val="00340D68"/>
    <w:rsid w:val="00340E6A"/>
    <w:rsid w:val="00341805"/>
    <w:rsid w:val="00341E4A"/>
    <w:rsid w:val="00342180"/>
    <w:rsid w:val="003425D6"/>
    <w:rsid w:val="0034279C"/>
    <w:rsid w:val="003427E9"/>
    <w:rsid w:val="00342F47"/>
    <w:rsid w:val="00343A09"/>
    <w:rsid w:val="00343F48"/>
    <w:rsid w:val="00344515"/>
    <w:rsid w:val="00344BC9"/>
    <w:rsid w:val="0034605A"/>
    <w:rsid w:val="003463A5"/>
    <w:rsid w:val="00346AF9"/>
    <w:rsid w:val="00346EE3"/>
    <w:rsid w:val="00346F30"/>
    <w:rsid w:val="00347388"/>
    <w:rsid w:val="0034758B"/>
    <w:rsid w:val="00347727"/>
    <w:rsid w:val="00350142"/>
    <w:rsid w:val="00350860"/>
    <w:rsid w:val="00351729"/>
    <w:rsid w:val="00351A01"/>
    <w:rsid w:val="00351C8B"/>
    <w:rsid w:val="00352DA5"/>
    <w:rsid w:val="00353940"/>
    <w:rsid w:val="0035434A"/>
    <w:rsid w:val="00354E06"/>
    <w:rsid w:val="0035511E"/>
    <w:rsid w:val="0035539B"/>
    <w:rsid w:val="003569B8"/>
    <w:rsid w:val="00356CB3"/>
    <w:rsid w:val="003577E5"/>
    <w:rsid w:val="00357C4F"/>
    <w:rsid w:val="00357E8E"/>
    <w:rsid w:val="00360741"/>
    <w:rsid w:val="003625E3"/>
    <w:rsid w:val="003626C3"/>
    <w:rsid w:val="00362844"/>
    <w:rsid w:val="00362AD4"/>
    <w:rsid w:val="00363CBB"/>
    <w:rsid w:val="003650C8"/>
    <w:rsid w:val="003657E1"/>
    <w:rsid w:val="00365848"/>
    <w:rsid w:val="00365D26"/>
    <w:rsid w:val="003663B1"/>
    <w:rsid w:val="00366A5C"/>
    <w:rsid w:val="00366FD8"/>
    <w:rsid w:val="00367473"/>
    <w:rsid w:val="003675FD"/>
    <w:rsid w:val="0037029F"/>
    <w:rsid w:val="003709EB"/>
    <w:rsid w:val="003710C2"/>
    <w:rsid w:val="0037179A"/>
    <w:rsid w:val="00372015"/>
    <w:rsid w:val="00372075"/>
    <w:rsid w:val="003736C3"/>
    <w:rsid w:val="00374C68"/>
    <w:rsid w:val="00375C64"/>
    <w:rsid w:val="00375DDF"/>
    <w:rsid w:val="0037601D"/>
    <w:rsid w:val="0037683C"/>
    <w:rsid w:val="00377465"/>
    <w:rsid w:val="003801E5"/>
    <w:rsid w:val="00380812"/>
    <w:rsid w:val="00381473"/>
    <w:rsid w:val="0038199E"/>
    <w:rsid w:val="003819ED"/>
    <w:rsid w:val="003823C7"/>
    <w:rsid w:val="0038252E"/>
    <w:rsid w:val="00382690"/>
    <w:rsid w:val="00382D46"/>
    <w:rsid w:val="00384028"/>
    <w:rsid w:val="0038402B"/>
    <w:rsid w:val="0038425D"/>
    <w:rsid w:val="0038439A"/>
    <w:rsid w:val="00384E2A"/>
    <w:rsid w:val="00385878"/>
    <w:rsid w:val="00385C3F"/>
    <w:rsid w:val="003869C0"/>
    <w:rsid w:val="00387355"/>
    <w:rsid w:val="003900F1"/>
    <w:rsid w:val="00390899"/>
    <w:rsid w:val="003914BA"/>
    <w:rsid w:val="00391584"/>
    <w:rsid w:val="003918C7"/>
    <w:rsid w:val="00392F3C"/>
    <w:rsid w:val="003934D5"/>
    <w:rsid w:val="00394129"/>
    <w:rsid w:val="00394302"/>
    <w:rsid w:val="00394308"/>
    <w:rsid w:val="00394A39"/>
    <w:rsid w:val="00394A67"/>
    <w:rsid w:val="00394BBD"/>
    <w:rsid w:val="00394D5E"/>
    <w:rsid w:val="00396803"/>
    <w:rsid w:val="003973C5"/>
    <w:rsid w:val="00397D17"/>
    <w:rsid w:val="00397E62"/>
    <w:rsid w:val="00397FE8"/>
    <w:rsid w:val="003A069F"/>
    <w:rsid w:val="003A07CD"/>
    <w:rsid w:val="003A216B"/>
    <w:rsid w:val="003A256D"/>
    <w:rsid w:val="003A2D24"/>
    <w:rsid w:val="003A360E"/>
    <w:rsid w:val="003A3BB1"/>
    <w:rsid w:val="003A481E"/>
    <w:rsid w:val="003A4D87"/>
    <w:rsid w:val="003A5128"/>
    <w:rsid w:val="003A522D"/>
    <w:rsid w:val="003A59A8"/>
    <w:rsid w:val="003A5F75"/>
    <w:rsid w:val="003A61B6"/>
    <w:rsid w:val="003A6F1E"/>
    <w:rsid w:val="003A6FDE"/>
    <w:rsid w:val="003A716F"/>
    <w:rsid w:val="003A71F7"/>
    <w:rsid w:val="003A7454"/>
    <w:rsid w:val="003A770D"/>
    <w:rsid w:val="003A7AAE"/>
    <w:rsid w:val="003B0615"/>
    <w:rsid w:val="003B06ED"/>
    <w:rsid w:val="003B075E"/>
    <w:rsid w:val="003B1D88"/>
    <w:rsid w:val="003B312F"/>
    <w:rsid w:val="003B3642"/>
    <w:rsid w:val="003B3B41"/>
    <w:rsid w:val="003B3BDF"/>
    <w:rsid w:val="003B43A7"/>
    <w:rsid w:val="003B507D"/>
    <w:rsid w:val="003B5B37"/>
    <w:rsid w:val="003B5B59"/>
    <w:rsid w:val="003B5C8E"/>
    <w:rsid w:val="003B6087"/>
    <w:rsid w:val="003B643A"/>
    <w:rsid w:val="003C11B3"/>
    <w:rsid w:val="003C1A23"/>
    <w:rsid w:val="003C1C6B"/>
    <w:rsid w:val="003C249A"/>
    <w:rsid w:val="003C2AE0"/>
    <w:rsid w:val="003C2F3D"/>
    <w:rsid w:val="003C3D5A"/>
    <w:rsid w:val="003C3EFC"/>
    <w:rsid w:val="003C4E6F"/>
    <w:rsid w:val="003C53D0"/>
    <w:rsid w:val="003C5FD2"/>
    <w:rsid w:val="003C617F"/>
    <w:rsid w:val="003C6311"/>
    <w:rsid w:val="003C6671"/>
    <w:rsid w:val="003C6A88"/>
    <w:rsid w:val="003C7329"/>
    <w:rsid w:val="003C7711"/>
    <w:rsid w:val="003C79E1"/>
    <w:rsid w:val="003C7A35"/>
    <w:rsid w:val="003D0151"/>
    <w:rsid w:val="003D028D"/>
    <w:rsid w:val="003D0B27"/>
    <w:rsid w:val="003D0E17"/>
    <w:rsid w:val="003D0E46"/>
    <w:rsid w:val="003D0F94"/>
    <w:rsid w:val="003D132A"/>
    <w:rsid w:val="003D2054"/>
    <w:rsid w:val="003D2720"/>
    <w:rsid w:val="003D2F0E"/>
    <w:rsid w:val="003D3F4C"/>
    <w:rsid w:val="003D47B0"/>
    <w:rsid w:val="003D48E0"/>
    <w:rsid w:val="003D580E"/>
    <w:rsid w:val="003D5BF3"/>
    <w:rsid w:val="003D7820"/>
    <w:rsid w:val="003E0697"/>
    <w:rsid w:val="003E103D"/>
    <w:rsid w:val="003E113D"/>
    <w:rsid w:val="003E149F"/>
    <w:rsid w:val="003E1523"/>
    <w:rsid w:val="003E17B1"/>
    <w:rsid w:val="003E18A3"/>
    <w:rsid w:val="003E1E8A"/>
    <w:rsid w:val="003E1F95"/>
    <w:rsid w:val="003E255A"/>
    <w:rsid w:val="003E2D45"/>
    <w:rsid w:val="003E2DD2"/>
    <w:rsid w:val="003E45F2"/>
    <w:rsid w:val="003E4FB1"/>
    <w:rsid w:val="003E6750"/>
    <w:rsid w:val="003E6EA7"/>
    <w:rsid w:val="003E72F3"/>
    <w:rsid w:val="003E765A"/>
    <w:rsid w:val="003E79B3"/>
    <w:rsid w:val="003F015E"/>
    <w:rsid w:val="003F07FB"/>
    <w:rsid w:val="003F13F3"/>
    <w:rsid w:val="003F1C1A"/>
    <w:rsid w:val="003F1E01"/>
    <w:rsid w:val="003F223E"/>
    <w:rsid w:val="003F24B0"/>
    <w:rsid w:val="003F2690"/>
    <w:rsid w:val="003F3529"/>
    <w:rsid w:val="003F3E66"/>
    <w:rsid w:val="003F423D"/>
    <w:rsid w:val="003F461E"/>
    <w:rsid w:val="003F500F"/>
    <w:rsid w:val="003F59C0"/>
    <w:rsid w:val="003F6002"/>
    <w:rsid w:val="003F7368"/>
    <w:rsid w:val="003F745C"/>
    <w:rsid w:val="003F7658"/>
    <w:rsid w:val="003F7E5E"/>
    <w:rsid w:val="003F7F88"/>
    <w:rsid w:val="00400317"/>
    <w:rsid w:val="004003D1"/>
    <w:rsid w:val="00400BF0"/>
    <w:rsid w:val="00400FFF"/>
    <w:rsid w:val="004012A0"/>
    <w:rsid w:val="0040146A"/>
    <w:rsid w:val="004016EC"/>
    <w:rsid w:val="0040228D"/>
    <w:rsid w:val="00402388"/>
    <w:rsid w:val="00402F60"/>
    <w:rsid w:val="0040345C"/>
    <w:rsid w:val="00403DE1"/>
    <w:rsid w:val="00403EB4"/>
    <w:rsid w:val="00403FEB"/>
    <w:rsid w:val="0040528D"/>
    <w:rsid w:val="00405959"/>
    <w:rsid w:val="004059E5"/>
    <w:rsid w:val="00405B81"/>
    <w:rsid w:val="00406525"/>
    <w:rsid w:val="004070B9"/>
    <w:rsid w:val="004072E9"/>
    <w:rsid w:val="00407E65"/>
    <w:rsid w:val="00410A5E"/>
    <w:rsid w:val="00410D34"/>
    <w:rsid w:val="004111CF"/>
    <w:rsid w:val="00411421"/>
    <w:rsid w:val="00412842"/>
    <w:rsid w:val="00412D6E"/>
    <w:rsid w:val="00412F1B"/>
    <w:rsid w:val="0041301F"/>
    <w:rsid w:val="00413435"/>
    <w:rsid w:val="004136DA"/>
    <w:rsid w:val="00413708"/>
    <w:rsid w:val="00414078"/>
    <w:rsid w:val="00414461"/>
    <w:rsid w:val="00414930"/>
    <w:rsid w:val="00414C3D"/>
    <w:rsid w:val="004154C6"/>
    <w:rsid w:val="004154E3"/>
    <w:rsid w:val="00415B40"/>
    <w:rsid w:val="00416915"/>
    <w:rsid w:val="00416E0B"/>
    <w:rsid w:val="0041716A"/>
    <w:rsid w:val="004204A7"/>
    <w:rsid w:val="004210BA"/>
    <w:rsid w:val="00421AA2"/>
    <w:rsid w:val="004222E4"/>
    <w:rsid w:val="00422C74"/>
    <w:rsid w:val="004236EA"/>
    <w:rsid w:val="00423763"/>
    <w:rsid w:val="0042535E"/>
    <w:rsid w:val="00425714"/>
    <w:rsid w:val="00425BC2"/>
    <w:rsid w:val="00425EC6"/>
    <w:rsid w:val="00427022"/>
    <w:rsid w:val="004274CA"/>
    <w:rsid w:val="00427AFF"/>
    <w:rsid w:val="00427F55"/>
    <w:rsid w:val="00430260"/>
    <w:rsid w:val="004302EC"/>
    <w:rsid w:val="004304E9"/>
    <w:rsid w:val="004313E5"/>
    <w:rsid w:val="0043197C"/>
    <w:rsid w:val="0043289E"/>
    <w:rsid w:val="00433374"/>
    <w:rsid w:val="0043419E"/>
    <w:rsid w:val="0043457B"/>
    <w:rsid w:val="00434B4D"/>
    <w:rsid w:val="00434C16"/>
    <w:rsid w:val="004356FB"/>
    <w:rsid w:val="00436953"/>
    <w:rsid w:val="00437B93"/>
    <w:rsid w:val="00440221"/>
    <w:rsid w:val="00441C45"/>
    <w:rsid w:val="00444166"/>
    <w:rsid w:val="0044440D"/>
    <w:rsid w:val="00444EB2"/>
    <w:rsid w:val="00444F46"/>
    <w:rsid w:val="004454A4"/>
    <w:rsid w:val="00445D53"/>
    <w:rsid w:val="00445E59"/>
    <w:rsid w:val="004462EB"/>
    <w:rsid w:val="0044684D"/>
    <w:rsid w:val="00446ED0"/>
    <w:rsid w:val="00447647"/>
    <w:rsid w:val="0045094C"/>
    <w:rsid w:val="004512B4"/>
    <w:rsid w:val="00451454"/>
    <w:rsid w:val="004516F3"/>
    <w:rsid w:val="00451FEF"/>
    <w:rsid w:val="0045211E"/>
    <w:rsid w:val="00453685"/>
    <w:rsid w:val="00453D03"/>
    <w:rsid w:val="004546C0"/>
    <w:rsid w:val="0045502A"/>
    <w:rsid w:val="004559CF"/>
    <w:rsid w:val="00455A3F"/>
    <w:rsid w:val="00456096"/>
    <w:rsid w:val="004560EB"/>
    <w:rsid w:val="00457E02"/>
    <w:rsid w:val="0046038D"/>
    <w:rsid w:val="00460F41"/>
    <w:rsid w:val="00460FE4"/>
    <w:rsid w:val="00461582"/>
    <w:rsid w:val="004616FE"/>
    <w:rsid w:val="00461821"/>
    <w:rsid w:val="004636CE"/>
    <w:rsid w:val="00463944"/>
    <w:rsid w:val="00464462"/>
    <w:rsid w:val="0046481D"/>
    <w:rsid w:val="00464C8E"/>
    <w:rsid w:val="00465A25"/>
    <w:rsid w:val="00466327"/>
    <w:rsid w:val="00466B86"/>
    <w:rsid w:val="00466C31"/>
    <w:rsid w:val="004674A7"/>
    <w:rsid w:val="00467915"/>
    <w:rsid w:val="004700B2"/>
    <w:rsid w:val="00470C2B"/>
    <w:rsid w:val="00470D83"/>
    <w:rsid w:val="00471511"/>
    <w:rsid w:val="00472884"/>
    <w:rsid w:val="00472B1B"/>
    <w:rsid w:val="00472FF7"/>
    <w:rsid w:val="00473174"/>
    <w:rsid w:val="00474915"/>
    <w:rsid w:val="004751DB"/>
    <w:rsid w:val="0047620F"/>
    <w:rsid w:val="0047652A"/>
    <w:rsid w:val="0047687E"/>
    <w:rsid w:val="004769BC"/>
    <w:rsid w:val="00476EAB"/>
    <w:rsid w:val="0047705C"/>
    <w:rsid w:val="00477634"/>
    <w:rsid w:val="00477725"/>
    <w:rsid w:val="004778F9"/>
    <w:rsid w:val="00480CCA"/>
    <w:rsid w:val="00482425"/>
    <w:rsid w:val="004828D5"/>
    <w:rsid w:val="0048329E"/>
    <w:rsid w:val="0048356F"/>
    <w:rsid w:val="004837EE"/>
    <w:rsid w:val="004842BC"/>
    <w:rsid w:val="004843EA"/>
    <w:rsid w:val="00484AD0"/>
    <w:rsid w:val="00484C96"/>
    <w:rsid w:val="00484FBF"/>
    <w:rsid w:val="00485659"/>
    <w:rsid w:val="00485C2B"/>
    <w:rsid w:val="00487DA0"/>
    <w:rsid w:val="00487DE4"/>
    <w:rsid w:val="00490F1D"/>
    <w:rsid w:val="00491170"/>
    <w:rsid w:val="004917E7"/>
    <w:rsid w:val="00491E29"/>
    <w:rsid w:val="00491E88"/>
    <w:rsid w:val="0049229C"/>
    <w:rsid w:val="00492361"/>
    <w:rsid w:val="004924B4"/>
    <w:rsid w:val="00492E7F"/>
    <w:rsid w:val="00493220"/>
    <w:rsid w:val="00493AEB"/>
    <w:rsid w:val="00493B8C"/>
    <w:rsid w:val="00493DEA"/>
    <w:rsid w:val="00493FD4"/>
    <w:rsid w:val="00494E83"/>
    <w:rsid w:val="00495A32"/>
    <w:rsid w:val="004972C7"/>
    <w:rsid w:val="004A0068"/>
    <w:rsid w:val="004A0239"/>
    <w:rsid w:val="004A09AC"/>
    <w:rsid w:val="004A0EF6"/>
    <w:rsid w:val="004A0FE6"/>
    <w:rsid w:val="004A1069"/>
    <w:rsid w:val="004A271C"/>
    <w:rsid w:val="004A28E4"/>
    <w:rsid w:val="004A30C4"/>
    <w:rsid w:val="004A3D0D"/>
    <w:rsid w:val="004A4050"/>
    <w:rsid w:val="004A42D7"/>
    <w:rsid w:val="004A458D"/>
    <w:rsid w:val="004A4A8F"/>
    <w:rsid w:val="004A55A1"/>
    <w:rsid w:val="004A6B25"/>
    <w:rsid w:val="004A7878"/>
    <w:rsid w:val="004A7990"/>
    <w:rsid w:val="004A7DB3"/>
    <w:rsid w:val="004B008F"/>
    <w:rsid w:val="004B025B"/>
    <w:rsid w:val="004B0484"/>
    <w:rsid w:val="004B0883"/>
    <w:rsid w:val="004B0BD3"/>
    <w:rsid w:val="004B0EA7"/>
    <w:rsid w:val="004B0F2C"/>
    <w:rsid w:val="004B17A5"/>
    <w:rsid w:val="004B19E7"/>
    <w:rsid w:val="004B267D"/>
    <w:rsid w:val="004B2A36"/>
    <w:rsid w:val="004B2F6A"/>
    <w:rsid w:val="004B30D6"/>
    <w:rsid w:val="004B3B0B"/>
    <w:rsid w:val="004B58A1"/>
    <w:rsid w:val="004B61B1"/>
    <w:rsid w:val="004B6B64"/>
    <w:rsid w:val="004B73DF"/>
    <w:rsid w:val="004B7434"/>
    <w:rsid w:val="004B7549"/>
    <w:rsid w:val="004B785C"/>
    <w:rsid w:val="004C05C6"/>
    <w:rsid w:val="004C1ACD"/>
    <w:rsid w:val="004C26A5"/>
    <w:rsid w:val="004C27EA"/>
    <w:rsid w:val="004C3572"/>
    <w:rsid w:val="004C3928"/>
    <w:rsid w:val="004C3AE9"/>
    <w:rsid w:val="004C4624"/>
    <w:rsid w:val="004C474F"/>
    <w:rsid w:val="004C495C"/>
    <w:rsid w:val="004C56C0"/>
    <w:rsid w:val="004C69F7"/>
    <w:rsid w:val="004C6FEC"/>
    <w:rsid w:val="004C77F2"/>
    <w:rsid w:val="004C7AE9"/>
    <w:rsid w:val="004C7B40"/>
    <w:rsid w:val="004C7CA3"/>
    <w:rsid w:val="004C7CFD"/>
    <w:rsid w:val="004D05A7"/>
    <w:rsid w:val="004D189B"/>
    <w:rsid w:val="004D195F"/>
    <w:rsid w:val="004D1E91"/>
    <w:rsid w:val="004D22E1"/>
    <w:rsid w:val="004D283A"/>
    <w:rsid w:val="004D2C04"/>
    <w:rsid w:val="004D33F7"/>
    <w:rsid w:val="004D39F2"/>
    <w:rsid w:val="004D3FFB"/>
    <w:rsid w:val="004D42D3"/>
    <w:rsid w:val="004D4A41"/>
    <w:rsid w:val="004D526B"/>
    <w:rsid w:val="004D5A20"/>
    <w:rsid w:val="004D76C2"/>
    <w:rsid w:val="004D7F25"/>
    <w:rsid w:val="004E1197"/>
    <w:rsid w:val="004E1439"/>
    <w:rsid w:val="004E1933"/>
    <w:rsid w:val="004E199A"/>
    <w:rsid w:val="004E1A76"/>
    <w:rsid w:val="004E1EC7"/>
    <w:rsid w:val="004E2703"/>
    <w:rsid w:val="004E28DE"/>
    <w:rsid w:val="004E2CB4"/>
    <w:rsid w:val="004E3A3C"/>
    <w:rsid w:val="004E5404"/>
    <w:rsid w:val="004E598E"/>
    <w:rsid w:val="004E608E"/>
    <w:rsid w:val="004E7359"/>
    <w:rsid w:val="004E7635"/>
    <w:rsid w:val="004E7C98"/>
    <w:rsid w:val="004E7DD7"/>
    <w:rsid w:val="004F10D4"/>
    <w:rsid w:val="004F1271"/>
    <w:rsid w:val="004F1374"/>
    <w:rsid w:val="004F15A5"/>
    <w:rsid w:val="004F26F8"/>
    <w:rsid w:val="004F29FD"/>
    <w:rsid w:val="004F2D4B"/>
    <w:rsid w:val="004F32CB"/>
    <w:rsid w:val="004F3519"/>
    <w:rsid w:val="004F36F4"/>
    <w:rsid w:val="004F375A"/>
    <w:rsid w:val="004F42AE"/>
    <w:rsid w:val="004F4B44"/>
    <w:rsid w:val="004F4C15"/>
    <w:rsid w:val="004F5285"/>
    <w:rsid w:val="004F59DE"/>
    <w:rsid w:val="004F6350"/>
    <w:rsid w:val="004F6C7D"/>
    <w:rsid w:val="004F74AA"/>
    <w:rsid w:val="004F7752"/>
    <w:rsid w:val="004F7D9E"/>
    <w:rsid w:val="0050094F"/>
    <w:rsid w:val="005014F9"/>
    <w:rsid w:val="00502159"/>
    <w:rsid w:val="0050231E"/>
    <w:rsid w:val="005023C5"/>
    <w:rsid w:val="00502C50"/>
    <w:rsid w:val="005032C4"/>
    <w:rsid w:val="0050332C"/>
    <w:rsid w:val="0050338F"/>
    <w:rsid w:val="00503B0E"/>
    <w:rsid w:val="00503C2C"/>
    <w:rsid w:val="00503CEE"/>
    <w:rsid w:val="0050454D"/>
    <w:rsid w:val="005057F1"/>
    <w:rsid w:val="00505860"/>
    <w:rsid w:val="00507211"/>
    <w:rsid w:val="00507960"/>
    <w:rsid w:val="00510109"/>
    <w:rsid w:val="005102DD"/>
    <w:rsid w:val="00511DAE"/>
    <w:rsid w:val="00511EAD"/>
    <w:rsid w:val="0051265B"/>
    <w:rsid w:val="00512B7E"/>
    <w:rsid w:val="00512C96"/>
    <w:rsid w:val="00513A09"/>
    <w:rsid w:val="00513CBE"/>
    <w:rsid w:val="00513E69"/>
    <w:rsid w:val="005143A7"/>
    <w:rsid w:val="0051466B"/>
    <w:rsid w:val="00514729"/>
    <w:rsid w:val="00515BE8"/>
    <w:rsid w:val="00515EB9"/>
    <w:rsid w:val="00516F19"/>
    <w:rsid w:val="00517031"/>
    <w:rsid w:val="00517077"/>
    <w:rsid w:val="005173FD"/>
    <w:rsid w:val="00517579"/>
    <w:rsid w:val="005178EA"/>
    <w:rsid w:val="0051799C"/>
    <w:rsid w:val="005201C6"/>
    <w:rsid w:val="005202AF"/>
    <w:rsid w:val="005202FA"/>
    <w:rsid w:val="00520BEA"/>
    <w:rsid w:val="00520E79"/>
    <w:rsid w:val="005225CF"/>
    <w:rsid w:val="005228D7"/>
    <w:rsid w:val="005229B2"/>
    <w:rsid w:val="005235ED"/>
    <w:rsid w:val="005238BD"/>
    <w:rsid w:val="00524BCA"/>
    <w:rsid w:val="00524E7B"/>
    <w:rsid w:val="00525222"/>
    <w:rsid w:val="00525BFA"/>
    <w:rsid w:val="00525DD2"/>
    <w:rsid w:val="005266F1"/>
    <w:rsid w:val="00527316"/>
    <w:rsid w:val="005310C4"/>
    <w:rsid w:val="005320E4"/>
    <w:rsid w:val="00532C3F"/>
    <w:rsid w:val="00532DA1"/>
    <w:rsid w:val="005340F9"/>
    <w:rsid w:val="00534335"/>
    <w:rsid w:val="00534B2D"/>
    <w:rsid w:val="00535C7C"/>
    <w:rsid w:val="00535ED4"/>
    <w:rsid w:val="00536299"/>
    <w:rsid w:val="005367ED"/>
    <w:rsid w:val="005375FC"/>
    <w:rsid w:val="0053781B"/>
    <w:rsid w:val="00537845"/>
    <w:rsid w:val="005407F1"/>
    <w:rsid w:val="00540BFF"/>
    <w:rsid w:val="00541086"/>
    <w:rsid w:val="00541359"/>
    <w:rsid w:val="00541AE5"/>
    <w:rsid w:val="00541B8B"/>
    <w:rsid w:val="00542378"/>
    <w:rsid w:val="00542C29"/>
    <w:rsid w:val="00542CBE"/>
    <w:rsid w:val="0054303C"/>
    <w:rsid w:val="00543A85"/>
    <w:rsid w:val="00543FD8"/>
    <w:rsid w:val="005454C9"/>
    <w:rsid w:val="005457F9"/>
    <w:rsid w:val="005466EE"/>
    <w:rsid w:val="00546AA4"/>
    <w:rsid w:val="00546B67"/>
    <w:rsid w:val="00546CE4"/>
    <w:rsid w:val="005501FA"/>
    <w:rsid w:val="00550AD4"/>
    <w:rsid w:val="0055213B"/>
    <w:rsid w:val="00553005"/>
    <w:rsid w:val="00553AE2"/>
    <w:rsid w:val="00554172"/>
    <w:rsid w:val="005544BE"/>
    <w:rsid w:val="00554DA9"/>
    <w:rsid w:val="00554E34"/>
    <w:rsid w:val="00554E70"/>
    <w:rsid w:val="00556D14"/>
    <w:rsid w:val="00556E03"/>
    <w:rsid w:val="0055728F"/>
    <w:rsid w:val="0055783C"/>
    <w:rsid w:val="00561578"/>
    <w:rsid w:val="005615DD"/>
    <w:rsid w:val="00561CC4"/>
    <w:rsid w:val="00561D57"/>
    <w:rsid w:val="0056350A"/>
    <w:rsid w:val="00563645"/>
    <w:rsid w:val="005646B2"/>
    <w:rsid w:val="00564D98"/>
    <w:rsid w:val="00564EF6"/>
    <w:rsid w:val="00565605"/>
    <w:rsid w:val="005657DE"/>
    <w:rsid w:val="00566236"/>
    <w:rsid w:val="0056649A"/>
    <w:rsid w:val="00567210"/>
    <w:rsid w:val="00567345"/>
    <w:rsid w:val="005674C4"/>
    <w:rsid w:val="00567A79"/>
    <w:rsid w:val="00570B3E"/>
    <w:rsid w:val="00570C76"/>
    <w:rsid w:val="00571A6D"/>
    <w:rsid w:val="00571C99"/>
    <w:rsid w:val="00571E52"/>
    <w:rsid w:val="005725CC"/>
    <w:rsid w:val="005732B0"/>
    <w:rsid w:val="005737D0"/>
    <w:rsid w:val="00574083"/>
    <w:rsid w:val="00574146"/>
    <w:rsid w:val="00574886"/>
    <w:rsid w:val="00574BCF"/>
    <w:rsid w:val="00575958"/>
    <w:rsid w:val="00575A31"/>
    <w:rsid w:val="00575AF8"/>
    <w:rsid w:val="00576441"/>
    <w:rsid w:val="005765AA"/>
    <w:rsid w:val="00577C4F"/>
    <w:rsid w:val="00577D4F"/>
    <w:rsid w:val="005800AB"/>
    <w:rsid w:val="00581514"/>
    <w:rsid w:val="00581C64"/>
    <w:rsid w:val="00581CBB"/>
    <w:rsid w:val="005820FD"/>
    <w:rsid w:val="00582A85"/>
    <w:rsid w:val="00582D4A"/>
    <w:rsid w:val="005831E6"/>
    <w:rsid w:val="00583348"/>
    <w:rsid w:val="00583E6B"/>
    <w:rsid w:val="00584091"/>
    <w:rsid w:val="0058454F"/>
    <w:rsid w:val="00584598"/>
    <w:rsid w:val="00584769"/>
    <w:rsid w:val="00584AEA"/>
    <w:rsid w:val="00584EB9"/>
    <w:rsid w:val="00584F69"/>
    <w:rsid w:val="00585737"/>
    <w:rsid w:val="0058585A"/>
    <w:rsid w:val="0058731A"/>
    <w:rsid w:val="005875E1"/>
    <w:rsid w:val="00587B61"/>
    <w:rsid w:val="005900F3"/>
    <w:rsid w:val="00591755"/>
    <w:rsid w:val="005918D5"/>
    <w:rsid w:val="00591D82"/>
    <w:rsid w:val="005924A3"/>
    <w:rsid w:val="00592A89"/>
    <w:rsid w:val="00593460"/>
    <w:rsid w:val="00594819"/>
    <w:rsid w:val="00594972"/>
    <w:rsid w:val="00594A27"/>
    <w:rsid w:val="005961FD"/>
    <w:rsid w:val="005963E3"/>
    <w:rsid w:val="005975AD"/>
    <w:rsid w:val="00597919"/>
    <w:rsid w:val="00597AB4"/>
    <w:rsid w:val="005A0E03"/>
    <w:rsid w:val="005A287D"/>
    <w:rsid w:val="005A40E3"/>
    <w:rsid w:val="005A524E"/>
    <w:rsid w:val="005A5358"/>
    <w:rsid w:val="005A5D68"/>
    <w:rsid w:val="005A65B2"/>
    <w:rsid w:val="005A6639"/>
    <w:rsid w:val="005A73C3"/>
    <w:rsid w:val="005A78F8"/>
    <w:rsid w:val="005B003A"/>
    <w:rsid w:val="005B08A3"/>
    <w:rsid w:val="005B0CA3"/>
    <w:rsid w:val="005B0CE4"/>
    <w:rsid w:val="005B145E"/>
    <w:rsid w:val="005B1777"/>
    <w:rsid w:val="005B1C29"/>
    <w:rsid w:val="005B1DBB"/>
    <w:rsid w:val="005B3984"/>
    <w:rsid w:val="005B39FC"/>
    <w:rsid w:val="005B4569"/>
    <w:rsid w:val="005B6199"/>
    <w:rsid w:val="005B68DE"/>
    <w:rsid w:val="005B6BFD"/>
    <w:rsid w:val="005B6E31"/>
    <w:rsid w:val="005B6FAC"/>
    <w:rsid w:val="005B788B"/>
    <w:rsid w:val="005B7992"/>
    <w:rsid w:val="005C0B97"/>
    <w:rsid w:val="005C0CA8"/>
    <w:rsid w:val="005C0DFC"/>
    <w:rsid w:val="005C1417"/>
    <w:rsid w:val="005C1B72"/>
    <w:rsid w:val="005C222A"/>
    <w:rsid w:val="005C2A65"/>
    <w:rsid w:val="005C2C55"/>
    <w:rsid w:val="005C3B90"/>
    <w:rsid w:val="005C3C5D"/>
    <w:rsid w:val="005C3F3A"/>
    <w:rsid w:val="005C5DC7"/>
    <w:rsid w:val="005C6494"/>
    <w:rsid w:val="005C66C4"/>
    <w:rsid w:val="005C706F"/>
    <w:rsid w:val="005C7376"/>
    <w:rsid w:val="005C76E0"/>
    <w:rsid w:val="005C786D"/>
    <w:rsid w:val="005C7A25"/>
    <w:rsid w:val="005D0C26"/>
    <w:rsid w:val="005D0E17"/>
    <w:rsid w:val="005D14A7"/>
    <w:rsid w:val="005D18A4"/>
    <w:rsid w:val="005D1A3E"/>
    <w:rsid w:val="005D1C13"/>
    <w:rsid w:val="005D1E83"/>
    <w:rsid w:val="005D1F94"/>
    <w:rsid w:val="005D257A"/>
    <w:rsid w:val="005D259F"/>
    <w:rsid w:val="005D262C"/>
    <w:rsid w:val="005D2AC3"/>
    <w:rsid w:val="005D4301"/>
    <w:rsid w:val="005D45AF"/>
    <w:rsid w:val="005D461C"/>
    <w:rsid w:val="005D4C19"/>
    <w:rsid w:val="005D5734"/>
    <w:rsid w:val="005D5E54"/>
    <w:rsid w:val="005D5FFE"/>
    <w:rsid w:val="005D63D3"/>
    <w:rsid w:val="005D78E5"/>
    <w:rsid w:val="005E0205"/>
    <w:rsid w:val="005E05C3"/>
    <w:rsid w:val="005E06DD"/>
    <w:rsid w:val="005E081E"/>
    <w:rsid w:val="005E14A9"/>
    <w:rsid w:val="005E14F6"/>
    <w:rsid w:val="005E15B3"/>
    <w:rsid w:val="005E17BB"/>
    <w:rsid w:val="005E18C6"/>
    <w:rsid w:val="005E26CF"/>
    <w:rsid w:val="005E46D4"/>
    <w:rsid w:val="005E4CC7"/>
    <w:rsid w:val="005E60EB"/>
    <w:rsid w:val="005E6690"/>
    <w:rsid w:val="005E6B51"/>
    <w:rsid w:val="005E6BB7"/>
    <w:rsid w:val="005E746A"/>
    <w:rsid w:val="005E76CA"/>
    <w:rsid w:val="005E7749"/>
    <w:rsid w:val="005E7B13"/>
    <w:rsid w:val="005E7DB4"/>
    <w:rsid w:val="005F02C4"/>
    <w:rsid w:val="005F0AD1"/>
    <w:rsid w:val="005F0C9D"/>
    <w:rsid w:val="005F0D5C"/>
    <w:rsid w:val="005F1260"/>
    <w:rsid w:val="005F13D6"/>
    <w:rsid w:val="005F1F2D"/>
    <w:rsid w:val="005F1F4B"/>
    <w:rsid w:val="005F2869"/>
    <w:rsid w:val="005F29B7"/>
    <w:rsid w:val="005F3053"/>
    <w:rsid w:val="005F3327"/>
    <w:rsid w:val="005F36AE"/>
    <w:rsid w:val="005F381F"/>
    <w:rsid w:val="005F395F"/>
    <w:rsid w:val="005F497C"/>
    <w:rsid w:val="005F49AE"/>
    <w:rsid w:val="005F4DAB"/>
    <w:rsid w:val="005F7A78"/>
    <w:rsid w:val="005F7AF7"/>
    <w:rsid w:val="005F7DC9"/>
    <w:rsid w:val="005F7F98"/>
    <w:rsid w:val="006002F8"/>
    <w:rsid w:val="006017DE"/>
    <w:rsid w:val="006018CF"/>
    <w:rsid w:val="0060215F"/>
    <w:rsid w:val="00602429"/>
    <w:rsid w:val="0060298D"/>
    <w:rsid w:val="00603227"/>
    <w:rsid w:val="00603876"/>
    <w:rsid w:val="0060457D"/>
    <w:rsid w:val="006051DE"/>
    <w:rsid w:val="00605281"/>
    <w:rsid w:val="00605A3E"/>
    <w:rsid w:val="00605ADD"/>
    <w:rsid w:val="00605C1F"/>
    <w:rsid w:val="00606768"/>
    <w:rsid w:val="00606E49"/>
    <w:rsid w:val="00607448"/>
    <w:rsid w:val="006074CE"/>
    <w:rsid w:val="00607B6C"/>
    <w:rsid w:val="006106A3"/>
    <w:rsid w:val="0061084B"/>
    <w:rsid w:val="00610A6A"/>
    <w:rsid w:val="00610BC8"/>
    <w:rsid w:val="0061132D"/>
    <w:rsid w:val="006119D6"/>
    <w:rsid w:val="0061212A"/>
    <w:rsid w:val="00612304"/>
    <w:rsid w:val="00612345"/>
    <w:rsid w:val="0061307D"/>
    <w:rsid w:val="006137AE"/>
    <w:rsid w:val="00614258"/>
    <w:rsid w:val="00614759"/>
    <w:rsid w:val="00614CEC"/>
    <w:rsid w:val="006153EE"/>
    <w:rsid w:val="006158EE"/>
    <w:rsid w:val="00615D16"/>
    <w:rsid w:val="0061618F"/>
    <w:rsid w:val="006165B7"/>
    <w:rsid w:val="006169FE"/>
    <w:rsid w:val="00616AF4"/>
    <w:rsid w:val="00617175"/>
    <w:rsid w:val="00617189"/>
    <w:rsid w:val="00617E07"/>
    <w:rsid w:val="00620024"/>
    <w:rsid w:val="0062034F"/>
    <w:rsid w:val="00620597"/>
    <w:rsid w:val="0062108F"/>
    <w:rsid w:val="006214BA"/>
    <w:rsid w:val="00621BA7"/>
    <w:rsid w:val="00623254"/>
    <w:rsid w:val="00623468"/>
    <w:rsid w:val="00623550"/>
    <w:rsid w:val="006250CC"/>
    <w:rsid w:val="00625408"/>
    <w:rsid w:val="00625AAE"/>
    <w:rsid w:val="00625CBB"/>
    <w:rsid w:val="0062615C"/>
    <w:rsid w:val="006268C1"/>
    <w:rsid w:val="00626DE3"/>
    <w:rsid w:val="00626F9C"/>
    <w:rsid w:val="0062720C"/>
    <w:rsid w:val="00627760"/>
    <w:rsid w:val="00630220"/>
    <w:rsid w:val="006307B1"/>
    <w:rsid w:val="00631379"/>
    <w:rsid w:val="00631F96"/>
    <w:rsid w:val="00632513"/>
    <w:rsid w:val="006326A0"/>
    <w:rsid w:val="00633405"/>
    <w:rsid w:val="00633E17"/>
    <w:rsid w:val="006347F8"/>
    <w:rsid w:val="00634D04"/>
    <w:rsid w:val="00634DEF"/>
    <w:rsid w:val="0063502F"/>
    <w:rsid w:val="006352CA"/>
    <w:rsid w:val="00635788"/>
    <w:rsid w:val="00635CD3"/>
    <w:rsid w:val="00635CF8"/>
    <w:rsid w:val="00635F1D"/>
    <w:rsid w:val="00636434"/>
    <w:rsid w:val="00636ACF"/>
    <w:rsid w:val="00636D96"/>
    <w:rsid w:val="00637179"/>
    <w:rsid w:val="00637442"/>
    <w:rsid w:val="006408AC"/>
    <w:rsid w:val="00640DBC"/>
    <w:rsid w:val="00641BAA"/>
    <w:rsid w:val="0064244E"/>
    <w:rsid w:val="00643851"/>
    <w:rsid w:val="00645048"/>
    <w:rsid w:val="0064520F"/>
    <w:rsid w:val="00645E23"/>
    <w:rsid w:val="00646283"/>
    <w:rsid w:val="00646B9E"/>
    <w:rsid w:val="00646F00"/>
    <w:rsid w:val="0064757F"/>
    <w:rsid w:val="006475E9"/>
    <w:rsid w:val="00647670"/>
    <w:rsid w:val="00647755"/>
    <w:rsid w:val="006501CF"/>
    <w:rsid w:val="006506E2"/>
    <w:rsid w:val="006509E1"/>
    <w:rsid w:val="0065137D"/>
    <w:rsid w:val="00651EF4"/>
    <w:rsid w:val="00652EC5"/>
    <w:rsid w:val="006537CB"/>
    <w:rsid w:val="00653B48"/>
    <w:rsid w:val="00653F98"/>
    <w:rsid w:val="006541EC"/>
    <w:rsid w:val="00654697"/>
    <w:rsid w:val="00654AC4"/>
    <w:rsid w:val="00655E55"/>
    <w:rsid w:val="006568B6"/>
    <w:rsid w:val="0065720A"/>
    <w:rsid w:val="00657E83"/>
    <w:rsid w:val="006603F7"/>
    <w:rsid w:val="00661633"/>
    <w:rsid w:val="00661D1E"/>
    <w:rsid w:val="00662216"/>
    <w:rsid w:val="00662396"/>
    <w:rsid w:val="00663EF2"/>
    <w:rsid w:val="00663F55"/>
    <w:rsid w:val="006652F3"/>
    <w:rsid w:val="006657D4"/>
    <w:rsid w:val="00665A5F"/>
    <w:rsid w:val="00665BAD"/>
    <w:rsid w:val="00665E15"/>
    <w:rsid w:val="00665EA5"/>
    <w:rsid w:val="006661C3"/>
    <w:rsid w:val="00666296"/>
    <w:rsid w:val="00667644"/>
    <w:rsid w:val="00667B74"/>
    <w:rsid w:val="00670619"/>
    <w:rsid w:val="0067067C"/>
    <w:rsid w:val="00671118"/>
    <w:rsid w:val="0067116F"/>
    <w:rsid w:val="00671509"/>
    <w:rsid w:val="0067182C"/>
    <w:rsid w:val="00671ACB"/>
    <w:rsid w:val="006729D5"/>
    <w:rsid w:val="006729EB"/>
    <w:rsid w:val="00672AE6"/>
    <w:rsid w:val="00672CD8"/>
    <w:rsid w:val="00672DE9"/>
    <w:rsid w:val="006738FF"/>
    <w:rsid w:val="00673F7E"/>
    <w:rsid w:val="00674105"/>
    <w:rsid w:val="00675073"/>
    <w:rsid w:val="006753FF"/>
    <w:rsid w:val="00675BEA"/>
    <w:rsid w:val="00675F3B"/>
    <w:rsid w:val="00676E07"/>
    <w:rsid w:val="00677693"/>
    <w:rsid w:val="00677D78"/>
    <w:rsid w:val="00680436"/>
    <w:rsid w:val="0068093C"/>
    <w:rsid w:val="0068112E"/>
    <w:rsid w:val="00681174"/>
    <w:rsid w:val="0068196B"/>
    <w:rsid w:val="006837F6"/>
    <w:rsid w:val="00684235"/>
    <w:rsid w:val="00684422"/>
    <w:rsid w:val="006844B8"/>
    <w:rsid w:val="0068481A"/>
    <w:rsid w:val="006850AD"/>
    <w:rsid w:val="006851EC"/>
    <w:rsid w:val="0068550E"/>
    <w:rsid w:val="006858DF"/>
    <w:rsid w:val="00685AD9"/>
    <w:rsid w:val="00685DD4"/>
    <w:rsid w:val="00685E76"/>
    <w:rsid w:val="00685E77"/>
    <w:rsid w:val="006861EE"/>
    <w:rsid w:val="00686BD4"/>
    <w:rsid w:val="00686C70"/>
    <w:rsid w:val="00686CD9"/>
    <w:rsid w:val="006875A9"/>
    <w:rsid w:val="006878EC"/>
    <w:rsid w:val="00687DC0"/>
    <w:rsid w:val="00690922"/>
    <w:rsid w:val="006912AE"/>
    <w:rsid w:val="00692DB2"/>
    <w:rsid w:val="00693010"/>
    <w:rsid w:val="0069317D"/>
    <w:rsid w:val="00693BD6"/>
    <w:rsid w:val="00694202"/>
    <w:rsid w:val="00694A5D"/>
    <w:rsid w:val="00694BCF"/>
    <w:rsid w:val="00695183"/>
    <w:rsid w:val="00695233"/>
    <w:rsid w:val="006956DE"/>
    <w:rsid w:val="00697882"/>
    <w:rsid w:val="00697E8C"/>
    <w:rsid w:val="006A00CC"/>
    <w:rsid w:val="006A0406"/>
    <w:rsid w:val="006A05DD"/>
    <w:rsid w:val="006A07E1"/>
    <w:rsid w:val="006A21E5"/>
    <w:rsid w:val="006A36A1"/>
    <w:rsid w:val="006A3E71"/>
    <w:rsid w:val="006A3F5F"/>
    <w:rsid w:val="006A458A"/>
    <w:rsid w:val="006A4D59"/>
    <w:rsid w:val="006A5017"/>
    <w:rsid w:val="006A51C2"/>
    <w:rsid w:val="006A524B"/>
    <w:rsid w:val="006A56A4"/>
    <w:rsid w:val="006A6021"/>
    <w:rsid w:val="006A6215"/>
    <w:rsid w:val="006A67F6"/>
    <w:rsid w:val="006A6EED"/>
    <w:rsid w:val="006A6FB7"/>
    <w:rsid w:val="006A74F9"/>
    <w:rsid w:val="006A7BA8"/>
    <w:rsid w:val="006B07B1"/>
    <w:rsid w:val="006B1425"/>
    <w:rsid w:val="006B1954"/>
    <w:rsid w:val="006B1E36"/>
    <w:rsid w:val="006B1EA0"/>
    <w:rsid w:val="006B27B8"/>
    <w:rsid w:val="006B3B2E"/>
    <w:rsid w:val="006B3F7C"/>
    <w:rsid w:val="006B3FA8"/>
    <w:rsid w:val="006B4108"/>
    <w:rsid w:val="006B42C6"/>
    <w:rsid w:val="006B46B0"/>
    <w:rsid w:val="006B52DC"/>
    <w:rsid w:val="006B58EF"/>
    <w:rsid w:val="006B6CCB"/>
    <w:rsid w:val="006B7766"/>
    <w:rsid w:val="006C0AF5"/>
    <w:rsid w:val="006C0E1E"/>
    <w:rsid w:val="006C10B8"/>
    <w:rsid w:val="006C39DE"/>
    <w:rsid w:val="006C3EC7"/>
    <w:rsid w:val="006C400A"/>
    <w:rsid w:val="006C43B3"/>
    <w:rsid w:val="006C43C2"/>
    <w:rsid w:val="006C47DB"/>
    <w:rsid w:val="006C5339"/>
    <w:rsid w:val="006C549F"/>
    <w:rsid w:val="006C5799"/>
    <w:rsid w:val="006C5A94"/>
    <w:rsid w:val="006C6A5C"/>
    <w:rsid w:val="006C6D71"/>
    <w:rsid w:val="006C718D"/>
    <w:rsid w:val="006C7E0C"/>
    <w:rsid w:val="006D01E6"/>
    <w:rsid w:val="006D07B2"/>
    <w:rsid w:val="006D091B"/>
    <w:rsid w:val="006D1B2B"/>
    <w:rsid w:val="006D2DE2"/>
    <w:rsid w:val="006D2E6C"/>
    <w:rsid w:val="006D3024"/>
    <w:rsid w:val="006D4090"/>
    <w:rsid w:val="006D46AC"/>
    <w:rsid w:val="006D4953"/>
    <w:rsid w:val="006D6421"/>
    <w:rsid w:val="006D6D1B"/>
    <w:rsid w:val="006D6DD1"/>
    <w:rsid w:val="006D7872"/>
    <w:rsid w:val="006E0103"/>
    <w:rsid w:val="006E0202"/>
    <w:rsid w:val="006E11FB"/>
    <w:rsid w:val="006E149C"/>
    <w:rsid w:val="006E2A6F"/>
    <w:rsid w:val="006E2BD7"/>
    <w:rsid w:val="006E2F18"/>
    <w:rsid w:val="006E3C73"/>
    <w:rsid w:val="006E412B"/>
    <w:rsid w:val="006E4290"/>
    <w:rsid w:val="006E6070"/>
    <w:rsid w:val="006E76DB"/>
    <w:rsid w:val="006E7862"/>
    <w:rsid w:val="006E7C49"/>
    <w:rsid w:val="006E7DE3"/>
    <w:rsid w:val="006F043D"/>
    <w:rsid w:val="006F0650"/>
    <w:rsid w:val="006F076D"/>
    <w:rsid w:val="006F0B5A"/>
    <w:rsid w:val="006F21E0"/>
    <w:rsid w:val="006F2C7D"/>
    <w:rsid w:val="006F3197"/>
    <w:rsid w:val="006F38CC"/>
    <w:rsid w:val="006F3A42"/>
    <w:rsid w:val="006F41B1"/>
    <w:rsid w:val="006F4862"/>
    <w:rsid w:val="006F54A3"/>
    <w:rsid w:val="006F609B"/>
    <w:rsid w:val="006F64E2"/>
    <w:rsid w:val="006F6F49"/>
    <w:rsid w:val="006F6FC6"/>
    <w:rsid w:val="006F7646"/>
    <w:rsid w:val="006F7676"/>
    <w:rsid w:val="006F7A8A"/>
    <w:rsid w:val="006F7B6D"/>
    <w:rsid w:val="006F7C5B"/>
    <w:rsid w:val="006F7D83"/>
    <w:rsid w:val="007005BB"/>
    <w:rsid w:val="007005DC"/>
    <w:rsid w:val="007006F7"/>
    <w:rsid w:val="00700E58"/>
    <w:rsid w:val="0070164E"/>
    <w:rsid w:val="00702387"/>
    <w:rsid w:val="00702B05"/>
    <w:rsid w:val="007038F8"/>
    <w:rsid w:val="007053B5"/>
    <w:rsid w:val="007055FF"/>
    <w:rsid w:val="00705B38"/>
    <w:rsid w:val="0070622D"/>
    <w:rsid w:val="007065FA"/>
    <w:rsid w:val="00706991"/>
    <w:rsid w:val="0070793C"/>
    <w:rsid w:val="00710A89"/>
    <w:rsid w:val="00710C12"/>
    <w:rsid w:val="00711F04"/>
    <w:rsid w:val="00712006"/>
    <w:rsid w:val="00712031"/>
    <w:rsid w:val="00712AD6"/>
    <w:rsid w:val="00713112"/>
    <w:rsid w:val="007132A4"/>
    <w:rsid w:val="007135C3"/>
    <w:rsid w:val="007137D8"/>
    <w:rsid w:val="00714594"/>
    <w:rsid w:val="00714B8E"/>
    <w:rsid w:val="00714DC5"/>
    <w:rsid w:val="00715292"/>
    <w:rsid w:val="00715378"/>
    <w:rsid w:val="007161C3"/>
    <w:rsid w:val="00716271"/>
    <w:rsid w:val="00716848"/>
    <w:rsid w:val="007172BD"/>
    <w:rsid w:val="00720127"/>
    <w:rsid w:val="00721D61"/>
    <w:rsid w:val="007226AD"/>
    <w:rsid w:val="00722F90"/>
    <w:rsid w:val="0072303A"/>
    <w:rsid w:val="00724704"/>
    <w:rsid w:val="00724EB7"/>
    <w:rsid w:val="00725249"/>
    <w:rsid w:val="0072534B"/>
    <w:rsid w:val="00725D2F"/>
    <w:rsid w:val="00726010"/>
    <w:rsid w:val="00726249"/>
    <w:rsid w:val="00726F95"/>
    <w:rsid w:val="007271DF"/>
    <w:rsid w:val="007303C3"/>
    <w:rsid w:val="00731018"/>
    <w:rsid w:val="0073129A"/>
    <w:rsid w:val="00731946"/>
    <w:rsid w:val="00732805"/>
    <w:rsid w:val="00733A15"/>
    <w:rsid w:val="00733D02"/>
    <w:rsid w:val="0073458A"/>
    <w:rsid w:val="0073459C"/>
    <w:rsid w:val="00736023"/>
    <w:rsid w:val="007363E7"/>
    <w:rsid w:val="0073689B"/>
    <w:rsid w:val="0073690D"/>
    <w:rsid w:val="007375DB"/>
    <w:rsid w:val="00737D14"/>
    <w:rsid w:val="0074081A"/>
    <w:rsid w:val="00741022"/>
    <w:rsid w:val="007413BD"/>
    <w:rsid w:val="0074189E"/>
    <w:rsid w:val="0074251F"/>
    <w:rsid w:val="00742526"/>
    <w:rsid w:val="00742822"/>
    <w:rsid w:val="00743FF1"/>
    <w:rsid w:val="007446FE"/>
    <w:rsid w:val="00744A59"/>
    <w:rsid w:val="007450FE"/>
    <w:rsid w:val="007453F2"/>
    <w:rsid w:val="007458F7"/>
    <w:rsid w:val="0074783F"/>
    <w:rsid w:val="00747D13"/>
    <w:rsid w:val="0075009B"/>
    <w:rsid w:val="00750584"/>
    <w:rsid w:val="00750A85"/>
    <w:rsid w:val="00750EA0"/>
    <w:rsid w:val="007510A4"/>
    <w:rsid w:val="00751409"/>
    <w:rsid w:val="00751CFE"/>
    <w:rsid w:val="00751F64"/>
    <w:rsid w:val="0075206C"/>
    <w:rsid w:val="00752ABB"/>
    <w:rsid w:val="00752C1F"/>
    <w:rsid w:val="00752E5F"/>
    <w:rsid w:val="0075302F"/>
    <w:rsid w:val="00753ABB"/>
    <w:rsid w:val="00753B9D"/>
    <w:rsid w:val="00753C34"/>
    <w:rsid w:val="00754E64"/>
    <w:rsid w:val="007553A9"/>
    <w:rsid w:val="00755584"/>
    <w:rsid w:val="007564AA"/>
    <w:rsid w:val="007569A7"/>
    <w:rsid w:val="00756CB2"/>
    <w:rsid w:val="0076041E"/>
    <w:rsid w:val="007608E5"/>
    <w:rsid w:val="007624F0"/>
    <w:rsid w:val="0076257A"/>
    <w:rsid w:val="007637BF"/>
    <w:rsid w:val="00763945"/>
    <w:rsid w:val="0076531B"/>
    <w:rsid w:val="00765DB4"/>
    <w:rsid w:val="007662ED"/>
    <w:rsid w:val="0076633E"/>
    <w:rsid w:val="00766E7D"/>
    <w:rsid w:val="007675FA"/>
    <w:rsid w:val="00767D50"/>
    <w:rsid w:val="00767ECA"/>
    <w:rsid w:val="0077004A"/>
    <w:rsid w:val="00770220"/>
    <w:rsid w:val="007707DE"/>
    <w:rsid w:val="00770D5F"/>
    <w:rsid w:val="00771A8F"/>
    <w:rsid w:val="00771B3B"/>
    <w:rsid w:val="00771C5A"/>
    <w:rsid w:val="00771DFB"/>
    <w:rsid w:val="00771F62"/>
    <w:rsid w:val="00773678"/>
    <w:rsid w:val="00774311"/>
    <w:rsid w:val="00775172"/>
    <w:rsid w:val="007759F7"/>
    <w:rsid w:val="00775AD5"/>
    <w:rsid w:val="00776091"/>
    <w:rsid w:val="00781D62"/>
    <w:rsid w:val="00782227"/>
    <w:rsid w:val="00782763"/>
    <w:rsid w:val="00782C2C"/>
    <w:rsid w:val="00782DE2"/>
    <w:rsid w:val="00782EB1"/>
    <w:rsid w:val="0078319C"/>
    <w:rsid w:val="00783279"/>
    <w:rsid w:val="00783B0F"/>
    <w:rsid w:val="00783E94"/>
    <w:rsid w:val="00785788"/>
    <w:rsid w:val="00785CE4"/>
    <w:rsid w:val="007865A2"/>
    <w:rsid w:val="00786E3C"/>
    <w:rsid w:val="007871CE"/>
    <w:rsid w:val="00787363"/>
    <w:rsid w:val="00787699"/>
    <w:rsid w:val="00787C34"/>
    <w:rsid w:val="00790136"/>
    <w:rsid w:val="007910A4"/>
    <w:rsid w:val="007913D9"/>
    <w:rsid w:val="00791E07"/>
    <w:rsid w:val="00791E88"/>
    <w:rsid w:val="007922C3"/>
    <w:rsid w:val="00792BF5"/>
    <w:rsid w:val="00792CB3"/>
    <w:rsid w:val="00793457"/>
    <w:rsid w:val="00793751"/>
    <w:rsid w:val="00793C4D"/>
    <w:rsid w:val="007949F2"/>
    <w:rsid w:val="00794F35"/>
    <w:rsid w:val="007A003E"/>
    <w:rsid w:val="007A0255"/>
    <w:rsid w:val="007A10C0"/>
    <w:rsid w:val="007A1F8E"/>
    <w:rsid w:val="007A2909"/>
    <w:rsid w:val="007A2927"/>
    <w:rsid w:val="007A3539"/>
    <w:rsid w:val="007A3D6A"/>
    <w:rsid w:val="007A4434"/>
    <w:rsid w:val="007A445F"/>
    <w:rsid w:val="007A4707"/>
    <w:rsid w:val="007A48F1"/>
    <w:rsid w:val="007A4F3C"/>
    <w:rsid w:val="007A4F91"/>
    <w:rsid w:val="007A57A1"/>
    <w:rsid w:val="007A5A36"/>
    <w:rsid w:val="007A5C05"/>
    <w:rsid w:val="007A5CA7"/>
    <w:rsid w:val="007A71A8"/>
    <w:rsid w:val="007A766F"/>
    <w:rsid w:val="007B0F78"/>
    <w:rsid w:val="007B13C1"/>
    <w:rsid w:val="007B2BD2"/>
    <w:rsid w:val="007B329C"/>
    <w:rsid w:val="007B37E3"/>
    <w:rsid w:val="007B4596"/>
    <w:rsid w:val="007B6A5C"/>
    <w:rsid w:val="007B73DD"/>
    <w:rsid w:val="007B7A6E"/>
    <w:rsid w:val="007C0108"/>
    <w:rsid w:val="007C0226"/>
    <w:rsid w:val="007C0B55"/>
    <w:rsid w:val="007C155F"/>
    <w:rsid w:val="007C1B2E"/>
    <w:rsid w:val="007C2059"/>
    <w:rsid w:val="007C24A8"/>
    <w:rsid w:val="007C2899"/>
    <w:rsid w:val="007C2DAB"/>
    <w:rsid w:val="007C3351"/>
    <w:rsid w:val="007C3BA7"/>
    <w:rsid w:val="007C3E5E"/>
    <w:rsid w:val="007C466E"/>
    <w:rsid w:val="007C523B"/>
    <w:rsid w:val="007C5E70"/>
    <w:rsid w:val="007C60C5"/>
    <w:rsid w:val="007C68F3"/>
    <w:rsid w:val="007C7455"/>
    <w:rsid w:val="007C794A"/>
    <w:rsid w:val="007D0669"/>
    <w:rsid w:val="007D0AAB"/>
    <w:rsid w:val="007D10A5"/>
    <w:rsid w:val="007D20E6"/>
    <w:rsid w:val="007D2815"/>
    <w:rsid w:val="007D2A2F"/>
    <w:rsid w:val="007D3622"/>
    <w:rsid w:val="007D39DB"/>
    <w:rsid w:val="007D3B89"/>
    <w:rsid w:val="007D4844"/>
    <w:rsid w:val="007D4B22"/>
    <w:rsid w:val="007D4CCC"/>
    <w:rsid w:val="007D4EEA"/>
    <w:rsid w:val="007D537C"/>
    <w:rsid w:val="007D659D"/>
    <w:rsid w:val="007D6A7F"/>
    <w:rsid w:val="007D7AE7"/>
    <w:rsid w:val="007D7E3A"/>
    <w:rsid w:val="007E0784"/>
    <w:rsid w:val="007E097E"/>
    <w:rsid w:val="007E1031"/>
    <w:rsid w:val="007E17CE"/>
    <w:rsid w:val="007E27F6"/>
    <w:rsid w:val="007E2E78"/>
    <w:rsid w:val="007E4416"/>
    <w:rsid w:val="007E5137"/>
    <w:rsid w:val="007E563B"/>
    <w:rsid w:val="007E6013"/>
    <w:rsid w:val="007E63A1"/>
    <w:rsid w:val="007E7540"/>
    <w:rsid w:val="007E79F7"/>
    <w:rsid w:val="007F0897"/>
    <w:rsid w:val="007F0F0F"/>
    <w:rsid w:val="007F1172"/>
    <w:rsid w:val="007F168A"/>
    <w:rsid w:val="007F1F62"/>
    <w:rsid w:val="007F2457"/>
    <w:rsid w:val="007F2779"/>
    <w:rsid w:val="007F3478"/>
    <w:rsid w:val="007F3E8A"/>
    <w:rsid w:val="007F45E3"/>
    <w:rsid w:val="007F509B"/>
    <w:rsid w:val="007F5321"/>
    <w:rsid w:val="007F5820"/>
    <w:rsid w:val="007F5B37"/>
    <w:rsid w:val="007F5E7C"/>
    <w:rsid w:val="007F62F4"/>
    <w:rsid w:val="007F641A"/>
    <w:rsid w:val="007F6C28"/>
    <w:rsid w:val="007F797B"/>
    <w:rsid w:val="0080231C"/>
    <w:rsid w:val="00802465"/>
    <w:rsid w:val="00802695"/>
    <w:rsid w:val="00804B36"/>
    <w:rsid w:val="00804E39"/>
    <w:rsid w:val="0080527A"/>
    <w:rsid w:val="008056BF"/>
    <w:rsid w:val="00806686"/>
    <w:rsid w:val="00806A21"/>
    <w:rsid w:val="008105B0"/>
    <w:rsid w:val="008108FB"/>
    <w:rsid w:val="00810C3A"/>
    <w:rsid w:val="00811633"/>
    <w:rsid w:val="00811797"/>
    <w:rsid w:val="00812DBD"/>
    <w:rsid w:val="00813155"/>
    <w:rsid w:val="008136F5"/>
    <w:rsid w:val="008138C1"/>
    <w:rsid w:val="00813B69"/>
    <w:rsid w:val="00813F4E"/>
    <w:rsid w:val="00813F82"/>
    <w:rsid w:val="00814FEA"/>
    <w:rsid w:val="0081509F"/>
    <w:rsid w:val="008152A8"/>
    <w:rsid w:val="00815BB8"/>
    <w:rsid w:val="00815D52"/>
    <w:rsid w:val="00815DBB"/>
    <w:rsid w:val="00815E2D"/>
    <w:rsid w:val="00815E65"/>
    <w:rsid w:val="00817409"/>
    <w:rsid w:val="008177C7"/>
    <w:rsid w:val="00820679"/>
    <w:rsid w:val="00820D6A"/>
    <w:rsid w:val="0082249A"/>
    <w:rsid w:val="00822B94"/>
    <w:rsid w:val="008235FB"/>
    <w:rsid w:val="008237C7"/>
    <w:rsid w:val="0082387A"/>
    <w:rsid w:val="00823980"/>
    <w:rsid w:val="008247D6"/>
    <w:rsid w:val="00824A3D"/>
    <w:rsid w:val="00825593"/>
    <w:rsid w:val="00826108"/>
    <w:rsid w:val="008261CE"/>
    <w:rsid w:val="008263EE"/>
    <w:rsid w:val="0082719D"/>
    <w:rsid w:val="008279DE"/>
    <w:rsid w:val="00827CB6"/>
    <w:rsid w:val="00827F30"/>
    <w:rsid w:val="0083001F"/>
    <w:rsid w:val="008304AC"/>
    <w:rsid w:val="0083118B"/>
    <w:rsid w:val="0083136A"/>
    <w:rsid w:val="00831B73"/>
    <w:rsid w:val="00832B0B"/>
    <w:rsid w:val="00832D97"/>
    <w:rsid w:val="00833156"/>
    <w:rsid w:val="00833189"/>
    <w:rsid w:val="008333B3"/>
    <w:rsid w:val="00833648"/>
    <w:rsid w:val="008337A1"/>
    <w:rsid w:val="00833C85"/>
    <w:rsid w:val="008348D2"/>
    <w:rsid w:val="00834B3D"/>
    <w:rsid w:val="00835139"/>
    <w:rsid w:val="00835FC2"/>
    <w:rsid w:val="00837598"/>
    <w:rsid w:val="00837D0C"/>
    <w:rsid w:val="00837D6A"/>
    <w:rsid w:val="008407A3"/>
    <w:rsid w:val="00840A1F"/>
    <w:rsid w:val="00841287"/>
    <w:rsid w:val="008419A1"/>
    <w:rsid w:val="00841A2C"/>
    <w:rsid w:val="0084222D"/>
    <w:rsid w:val="00842CEA"/>
    <w:rsid w:val="00842DA5"/>
    <w:rsid w:val="008436AC"/>
    <w:rsid w:val="00844AFF"/>
    <w:rsid w:val="008452B5"/>
    <w:rsid w:val="0084590D"/>
    <w:rsid w:val="00845CD1"/>
    <w:rsid w:val="00846033"/>
    <w:rsid w:val="0084638B"/>
    <w:rsid w:val="008472E4"/>
    <w:rsid w:val="008506A4"/>
    <w:rsid w:val="008506E6"/>
    <w:rsid w:val="008508E3"/>
    <w:rsid w:val="008509E2"/>
    <w:rsid w:val="0085136C"/>
    <w:rsid w:val="00851D31"/>
    <w:rsid w:val="00851DC3"/>
    <w:rsid w:val="00852C1F"/>
    <w:rsid w:val="00852E94"/>
    <w:rsid w:val="0085309B"/>
    <w:rsid w:val="00853A14"/>
    <w:rsid w:val="00854065"/>
    <w:rsid w:val="00854262"/>
    <w:rsid w:val="0085493B"/>
    <w:rsid w:val="00854A77"/>
    <w:rsid w:val="00855310"/>
    <w:rsid w:val="00855374"/>
    <w:rsid w:val="0085579E"/>
    <w:rsid w:val="008558D4"/>
    <w:rsid w:val="00855B88"/>
    <w:rsid w:val="00856694"/>
    <w:rsid w:val="00856CFB"/>
    <w:rsid w:val="00856D2D"/>
    <w:rsid w:val="00857548"/>
    <w:rsid w:val="00857C5A"/>
    <w:rsid w:val="00857CC9"/>
    <w:rsid w:val="00857E53"/>
    <w:rsid w:val="00860602"/>
    <w:rsid w:val="00860A1B"/>
    <w:rsid w:val="00860BCB"/>
    <w:rsid w:val="00860C2B"/>
    <w:rsid w:val="008612CD"/>
    <w:rsid w:val="00861E6D"/>
    <w:rsid w:val="00862582"/>
    <w:rsid w:val="00862797"/>
    <w:rsid w:val="00862A0D"/>
    <w:rsid w:val="00862B96"/>
    <w:rsid w:val="00862F78"/>
    <w:rsid w:val="008640D9"/>
    <w:rsid w:val="008644B9"/>
    <w:rsid w:val="008649BE"/>
    <w:rsid w:val="00864B35"/>
    <w:rsid w:val="00865C16"/>
    <w:rsid w:val="00865F1A"/>
    <w:rsid w:val="0086613D"/>
    <w:rsid w:val="0086636E"/>
    <w:rsid w:val="008671DD"/>
    <w:rsid w:val="00867516"/>
    <w:rsid w:val="00867C28"/>
    <w:rsid w:val="008701CB"/>
    <w:rsid w:val="00870970"/>
    <w:rsid w:val="0087099A"/>
    <w:rsid w:val="00870AC8"/>
    <w:rsid w:val="00870E38"/>
    <w:rsid w:val="00871213"/>
    <w:rsid w:val="008715EF"/>
    <w:rsid w:val="008718FF"/>
    <w:rsid w:val="00871B7C"/>
    <w:rsid w:val="00871E98"/>
    <w:rsid w:val="008722F2"/>
    <w:rsid w:val="00872B40"/>
    <w:rsid w:val="00872ED7"/>
    <w:rsid w:val="00873E35"/>
    <w:rsid w:val="00874C79"/>
    <w:rsid w:val="00875251"/>
    <w:rsid w:val="008758DF"/>
    <w:rsid w:val="00876B7B"/>
    <w:rsid w:val="00876BF9"/>
    <w:rsid w:val="00876D18"/>
    <w:rsid w:val="00876F21"/>
    <w:rsid w:val="00877FE9"/>
    <w:rsid w:val="0088015A"/>
    <w:rsid w:val="00880E0D"/>
    <w:rsid w:val="0088166D"/>
    <w:rsid w:val="008816EB"/>
    <w:rsid w:val="00881DA7"/>
    <w:rsid w:val="00882146"/>
    <w:rsid w:val="008823FF"/>
    <w:rsid w:val="00882A68"/>
    <w:rsid w:val="008850A4"/>
    <w:rsid w:val="0088585A"/>
    <w:rsid w:val="00885AB6"/>
    <w:rsid w:val="00885ABD"/>
    <w:rsid w:val="00885E30"/>
    <w:rsid w:val="008869E0"/>
    <w:rsid w:val="00887026"/>
    <w:rsid w:val="008871B6"/>
    <w:rsid w:val="008877D6"/>
    <w:rsid w:val="00887E10"/>
    <w:rsid w:val="00890277"/>
    <w:rsid w:val="0089081F"/>
    <w:rsid w:val="00890905"/>
    <w:rsid w:val="00891854"/>
    <w:rsid w:val="00891AD8"/>
    <w:rsid w:val="008921C3"/>
    <w:rsid w:val="008924E7"/>
    <w:rsid w:val="008924F3"/>
    <w:rsid w:val="00892F88"/>
    <w:rsid w:val="0089385C"/>
    <w:rsid w:val="00893E6E"/>
    <w:rsid w:val="00894B60"/>
    <w:rsid w:val="00894FE4"/>
    <w:rsid w:val="008959BD"/>
    <w:rsid w:val="00895A65"/>
    <w:rsid w:val="00895D2B"/>
    <w:rsid w:val="00896059"/>
    <w:rsid w:val="00896C2E"/>
    <w:rsid w:val="00896D94"/>
    <w:rsid w:val="00897B6B"/>
    <w:rsid w:val="008A04A2"/>
    <w:rsid w:val="008A0E72"/>
    <w:rsid w:val="008A1ACD"/>
    <w:rsid w:val="008A27C1"/>
    <w:rsid w:val="008A399E"/>
    <w:rsid w:val="008A4033"/>
    <w:rsid w:val="008A4633"/>
    <w:rsid w:val="008A4AAE"/>
    <w:rsid w:val="008A5648"/>
    <w:rsid w:val="008A5E6E"/>
    <w:rsid w:val="008A5EDE"/>
    <w:rsid w:val="008A70C4"/>
    <w:rsid w:val="008A7482"/>
    <w:rsid w:val="008A75BA"/>
    <w:rsid w:val="008A7629"/>
    <w:rsid w:val="008A772B"/>
    <w:rsid w:val="008A7CED"/>
    <w:rsid w:val="008B062B"/>
    <w:rsid w:val="008B09EE"/>
    <w:rsid w:val="008B1445"/>
    <w:rsid w:val="008B226B"/>
    <w:rsid w:val="008B2278"/>
    <w:rsid w:val="008B29D5"/>
    <w:rsid w:val="008B2E09"/>
    <w:rsid w:val="008B2F9E"/>
    <w:rsid w:val="008B327B"/>
    <w:rsid w:val="008B33A1"/>
    <w:rsid w:val="008B33B5"/>
    <w:rsid w:val="008B376D"/>
    <w:rsid w:val="008B3973"/>
    <w:rsid w:val="008B3E2E"/>
    <w:rsid w:val="008B3E7C"/>
    <w:rsid w:val="008B3EF5"/>
    <w:rsid w:val="008B4404"/>
    <w:rsid w:val="008B4A1B"/>
    <w:rsid w:val="008B5408"/>
    <w:rsid w:val="008B54EE"/>
    <w:rsid w:val="008B5B60"/>
    <w:rsid w:val="008B5E2B"/>
    <w:rsid w:val="008B73E2"/>
    <w:rsid w:val="008B755B"/>
    <w:rsid w:val="008B7A1C"/>
    <w:rsid w:val="008B7E03"/>
    <w:rsid w:val="008C009D"/>
    <w:rsid w:val="008C0143"/>
    <w:rsid w:val="008C1193"/>
    <w:rsid w:val="008C16E7"/>
    <w:rsid w:val="008C1B81"/>
    <w:rsid w:val="008C1DAA"/>
    <w:rsid w:val="008C232C"/>
    <w:rsid w:val="008C2809"/>
    <w:rsid w:val="008C2828"/>
    <w:rsid w:val="008C375E"/>
    <w:rsid w:val="008C379B"/>
    <w:rsid w:val="008C3D12"/>
    <w:rsid w:val="008C5991"/>
    <w:rsid w:val="008C6F49"/>
    <w:rsid w:val="008C7A57"/>
    <w:rsid w:val="008D1628"/>
    <w:rsid w:val="008D2082"/>
    <w:rsid w:val="008D20E5"/>
    <w:rsid w:val="008D2501"/>
    <w:rsid w:val="008D2D0F"/>
    <w:rsid w:val="008D3693"/>
    <w:rsid w:val="008D3FA8"/>
    <w:rsid w:val="008D4111"/>
    <w:rsid w:val="008D5253"/>
    <w:rsid w:val="008D5712"/>
    <w:rsid w:val="008D5DB3"/>
    <w:rsid w:val="008D5E4D"/>
    <w:rsid w:val="008D64C4"/>
    <w:rsid w:val="008D69E7"/>
    <w:rsid w:val="008D6B6A"/>
    <w:rsid w:val="008D78AA"/>
    <w:rsid w:val="008D7FC7"/>
    <w:rsid w:val="008E096F"/>
    <w:rsid w:val="008E13B2"/>
    <w:rsid w:val="008E14DE"/>
    <w:rsid w:val="008E19D4"/>
    <w:rsid w:val="008E1E0B"/>
    <w:rsid w:val="008E20D0"/>
    <w:rsid w:val="008E27FD"/>
    <w:rsid w:val="008E2A09"/>
    <w:rsid w:val="008E35E2"/>
    <w:rsid w:val="008E4AB4"/>
    <w:rsid w:val="008E50A9"/>
    <w:rsid w:val="008E5141"/>
    <w:rsid w:val="008E516C"/>
    <w:rsid w:val="008E60C2"/>
    <w:rsid w:val="008E6397"/>
    <w:rsid w:val="008E648B"/>
    <w:rsid w:val="008E6509"/>
    <w:rsid w:val="008E681C"/>
    <w:rsid w:val="008E7196"/>
    <w:rsid w:val="008E7271"/>
    <w:rsid w:val="008E75FF"/>
    <w:rsid w:val="008E773E"/>
    <w:rsid w:val="008E7D5C"/>
    <w:rsid w:val="008F042A"/>
    <w:rsid w:val="008F0554"/>
    <w:rsid w:val="008F056F"/>
    <w:rsid w:val="008F0DB9"/>
    <w:rsid w:val="008F104B"/>
    <w:rsid w:val="008F145E"/>
    <w:rsid w:val="008F183F"/>
    <w:rsid w:val="008F1F62"/>
    <w:rsid w:val="008F1FF6"/>
    <w:rsid w:val="008F21CB"/>
    <w:rsid w:val="008F2C14"/>
    <w:rsid w:val="008F2C2A"/>
    <w:rsid w:val="008F3FE7"/>
    <w:rsid w:val="008F557D"/>
    <w:rsid w:val="008F6BCA"/>
    <w:rsid w:val="008F7F17"/>
    <w:rsid w:val="00901C58"/>
    <w:rsid w:val="00903006"/>
    <w:rsid w:val="009038B5"/>
    <w:rsid w:val="00903998"/>
    <w:rsid w:val="00904251"/>
    <w:rsid w:val="00904324"/>
    <w:rsid w:val="009055C4"/>
    <w:rsid w:val="009057AF"/>
    <w:rsid w:val="00905DB6"/>
    <w:rsid w:val="009061D4"/>
    <w:rsid w:val="0090627B"/>
    <w:rsid w:val="00906798"/>
    <w:rsid w:val="00906A6D"/>
    <w:rsid w:val="00906B0E"/>
    <w:rsid w:val="00906DDE"/>
    <w:rsid w:val="0090712B"/>
    <w:rsid w:val="009074C9"/>
    <w:rsid w:val="00907F3E"/>
    <w:rsid w:val="0091016A"/>
    <w:rsid w:val="009105B9"/>
    <w:rsid w:val="00910CFB"/>
    <w:rsid w:val="009111A0"/>
    <w:rsid w:val="00912FD2"/>
    <w:rsid w:val="00913479"/>
    <w:rsid w:val="009134E0"/>
    <w:rsid w:val="00913E51"/>
    <w:rsid w:val="00914207"/>
    <w:rsid w:val="00914AF6"/>
    <w:rsid w:val="009161EE"/>
    <w:rsid w:val="009167B1"/>
    <w:rsid w:val="00917BC4"/>
    <w:rsid w:val="00920053"/>
    <w:rsid w:val="00920555"/>
    <w:rsid w:val="009206F8"/>
    <w:rsid w:val="0092255D"/>
    <w:rsid w:val="00922E89"/>
    <w:rsid w:val="00923008"/>
    <w:rsid w:val="00923529"/>
    <w:rsid w:val="00923C47"/>
    <w:rsid w:val="00923DDA"/>
    <w:rsid w:val="00923E62"/>
    <w:rsid w:val="00923F97"/>
    <w:rsid w:val="009243D1"/>
    <w:rsid w:val="00925989"/>
    <w:rsid w:val="00925B6D"/>
    <w:rsid w:val="00925D73"/>
    <w:rsid w:val="00925ED3"/>
    <w:rsid w:val="00926072"/>
    <w:rsid w:val="009260F6"/>
    <w:rsid w:val="00926551"/>
    <w:rsid w:val="00926592"/>
    <w:rsid w:val="009269E1"/>
    <w:rsid w:val="009305E1"/>
    <w:rsid w:val="009308BB"/>
    <w:rsid w:val="00931E86"/>
    <w:rsid w:val="009336A1"/>
    <w:rsid w:val="00933E70"/>
    <w:rsid w:val="00933EA5"/>
    <w:rsid w:val="009341E9"/>
    <w:rsid w:val="00934780"/>
    <w:rsid w:val="00935709"/>
    <w:rsid w:val="00937752"/>
    <w:rsid w:val="009377EC"/>
    <w:rsid w:val="00937FEB"/>
    <w:rsid w:val="009403E4"/>
    <w:rsid w:val="009403FF"/>
    <w:rsid w:val="0094160C"/>
    <w:rsid w:val="0094235E"/>
    <w:rsid w:val="00942EBC"/>
    <w:rsid w:val="009433CB"/>
    <w:rsid w:val="00943713"/>
    <w:rsid w:val="00944523"/>
    <w:rsid w:val="009446C4"/>
    <w:rsid w:val="00944FAA"/>
    <w:rsid w:val="009450C8"/>
    <w:rsid w:val="0094522C"/>
    <w:rsid w:val="0094552A"/>
    <w:rsid w:val="00945D51"/>
    <w:rsid w:val="00945F11"/>
    <w:rsid w:val="0094600F"/>
    <w:rsid w:val="009463B4"/>
    <w:rsid w:val="009463F9"/>
    <w:rsid w:val="0094677D"/>
    <w:rsid w:val="00946881"/>
    <w:rsid w:val="00947C83"/>
    <w:rsid w:val="00947F50"/>
    <w:rsid w:val="0095008D"/>
    <w:rsid w:val="00950205"/>
    <w:rsid w:val="00950EB2"/>
    <w:rsid w:val="00951789"/>
    <w:rsid w:val="00952A5A"/>
    <w:rsid w:val="00953575"/>
    <w:rsid w:val="00953C8D"/>
    <w:rsid w:val="00953E6B"/>
    <w:rsid w:val="0095409D"/>
    <w:rsid w:val="00954710"/>
    <w:rsid w:val="00954731"/>
    <w:rsid w:val="00954E48"/>
    <w:rsid w:val="009551C8"/>
    <w:rsid w:val="009553DD"/>
    <w:rsid w:val="00955DEE"/>
    <w:rsid w:val="00955EEB"/>
    <w:rsid w:val="00956478"/>
    <w:rsid w:val="00956549"/>
    <w:rsid w:val="009566B2"/>
    <w:rsid w:val="009568C5"/>
    <w:rsid w:val="009579BE"/>
    <w:rsid w:val="00960297"/>
    <w:rsid w:val="00961AD9"/>
    <w:rsid w:val="00961D1A"/>
    <w:rsid w:val="0096266B"/>
    <w:rsid w:val="00962F24"/>
    <w:rsid w:val="0096334F"/>
    <w:rsid w:val="00964026"/>
    <w:rsid w:val="00964315"/>
    <w:rsid w:val="009644B3"/>
    <w:rsid w:val="009652BD"/>
    <w:rsid w:val="009654A4"/>
    <w:rsid w:val="00965849"/>
    <w:rsid w:val="00966346"/>
    <w:rsid w:val="009669B1"/>
    <w:rsid w:val="0096754D"/>
    <w:rsid w:val="009676EF"/>
    <w:rsid w:val="0096786B"/>
    <w:rsid w:val="00970498"/>
    <w:rsid w:val="00970557"/>
    <w:rsid w:val="00970648"/>
    <w:rsid w:val="009706F4"/>
    <w:rsid w:val="00971185"/>
    <w:rsid w:val="00971564"/>
    <w:rsid w:val="00971B19"/>
    <w:rsid w:val="009725B2"/>
    <w:rsid w:val="00972DC3"/>
    <w:rsid w:val="0097371B"/>
    <w:rsid w:val="009738EB"/>
    <w:rsid w:val="0097403D"/>
    <w:rsid w:val="0097439B"/>
    <w:rsid w:val="009744C2"/>
    <w:rsid w:val="009745C1"/>
    <w:rsid w:val="00974C3D"/>
    <w:rsid w:val="00974C7A"/>
    <w:rsid w:val="00974E0F"/>
    <w:rsid w:val="00975772"/>
    <w:rsid w:val="00975888"/>
    <w:rsid w:val="00975E86"/>
    <w:rsid w:val="009760FB"/>
    <w:rsid w:val="00976480"/>
    <w:rsid w:val="00980571"/>
    <w:rsid w:val="009807F4"/>
    <w:rsid w:val="00980C50"/>
    <w:rsid w:val="00980E81"/>
    <w:rsid w:val="009810CA"/>
    <w:rsid w:val="0098156D"/>
    <w:rsid w:val="009820CF"/>
    <w:rsid w:val="00982826"/>
    <w:rsid w:val="0098285E"/>
    <w:rsid w:val="00982EF8"/>
    <w:rsid w:val="009839C4"/>
    <w:rsid w:val="00983DA2"/>
    <w:rsid w:val="00984A21"/>
    <w:rsid w:val="00984F36"/>
    <w:rsid w:val="0098571A"/>
    <w:rsid w:val="009858D4"/>
    <w:rsid w:val="00985BF6"/>
    <w:rsid w:val="00986000"/>
    <w:rsid w:val="009866BB"/>
    <w:rsid w:val="009868E5"/>
    <w:rsid w:val="00986CCA"/>
    <w:rsid w:val="00987CF8"/>
    <w:rsid w:val="009903BB"/>
    <w:rsid w:val="0099065A"/>
    <w:rsid w:val="00993DFB"/>
    <w:rsid w:val="0099417A"/>
    <w:rsid w:val="0099545A"/>
    <w:rsid w:val="009960DB"/>
    <w:rsid w:val="0099670D"/>
    <w:rsid w:val="009A0969"/>
    <w:rsid w:val="009A0F47"/>
    <w:rsid w:val="009A18B3"/>
    <w:rsid w:val="009A196A"/>
    <w:rsid w:val="009A1C12"/>
    <w:rsid w:val="009A2246"/>
    <w:rsid w:val="009A283D"/>
    <w:rsid w:val="009A2DD0"/>
    <w:rsid w:val="009A32C7"/>
    <w:rsid w:val="009A3519"/>
    <w:rsid w:val="009A35EA"/>
    <w:rsid w:val="009A3B3E"/>
    <w:rsid w:val="009A4007"/>
    <w:rsid w:val="009A4481"/>
    <w:rsid w:val="009A44BF"/>
    <w:rsid w:val="009A46E0"/>
    <w:rsid w:val="009A4ADC"/>
    <w:rsid w:val="009A5A4D"/>
    <w:rsid w:val="009A5E42"/>
    <w:rsid w:val="009A6215"/>
    <w:rsid w:val="009A6247"/>
    <w:rsid w:val="009A6F39"/>
    <w:rsid w:val="009A72FA"/>
    <w:rsid w:val="009A7415"/>
    <w:rsid w:val="009A7C7A"/>
    <w:rsid w:val="009B0215"/>
    <w:rsid w:val="009B05F8"/>
    <w:rsid w:val="009B1B6E"/>
    <w:rsid w:val="009B1D9E"/>
    <w:rsid w:val="009B207C"/>
    <w:rsid w:val="009B2CB3"/>
    <w:rsid w:val="009B2DB4"/>
    <w:rsid w:val="009B34E6"/>
    <w:rsid w:val="009B3565"/>
    <w:rsid w:val="009B3645"/>
    <w:rsid w:val="009B3B55"/>
    <w:rsid w:val="009B437C"/>
    <w:rsid w:val="009B46E3"/>
    <w:rsid w:val="009B47CF"/>
    <w:rsid w:val="009B4C62"/>
    <w:rsid w:val="009B52A0"/>
    <w:rsid w:val="009B52C9"/>
    <w:rsid w:val="009B52F2"/>
    <w:rsid w:val="009B53A1"/>
    <w:rsid w:val="009B5AE1"/>
    <w:rsid w:val="009B7171"/>
    <w:rsid w:val="009B7AFC"/>
    <w:rsid w:val="009B7CE0"/>
    <w:rsid w:val="009C0567"/>
    <w:rsid w:val="009C072B"/>
    <w:rsid w:val="009C0BAE"/>
    <w:rsid w:val="009C10A6"/>
    <w:rsid w:val="009C17B8"/>
    <w:rsid w:val="009C1975"/>
    <w:rsid w:val="009C1A32"/>
    <w:rsid w:val="009C1A4A"/>
    <w:rsid w:val="009C1DED"/>
    <w:rsid w:val="009C2075"/>
    <w:rsid w:val="009C2635"/>
    <w:rsid w:val="009C2C0D"/>
    <w:rsid w:val="009C2DDA"/>
    <w:rsid w:val="009C3192"/>
    <w:rsid w:val="009C344D"/>
    <w:rsid w:val="009C35BA"/>
    <w:rsid w:val="009C36AC"/>
    <w:rsid w:val="009C3DB5"/>
    <w:rsid w:val="009C3EBC"/>
    <w:rsid w:val="009C4084"/>
    <w:rsid w:val="009C457D"/>
    <w:rsid w:val="009C4A22"/>
    <w:rsid w:val="009C4B5A"/>
    <w:rsid w:val="009C4BB1"/>
    <w:rsid w:val="009C4DE2"/>
    <w:rsid w:val="009C55B9"/>
    <w:rsid w:val="009C7A85"/>
    <w:rsid w:val="009C7C2D"/>
    <w:rsid w:val="009D0825"/>
    <w:rsid w:val="009D0DED"/>
    <w:rsid w:val="009D12D0"/>
    <w:rsid w:val="009D135E"/>
    <w:rsid w:val="009D13E7"/>
    <w:rsid w:val="009D1547"/>
    <w:rsid w:val="009D165C"/>
    <w:rsid w:val="009D182C"/>
    <w:rsid w:val="009D1974"/>
    <w:rsid w:val="009D1FE8"/>
    <w:rsid w:val="009D2079"/>
    <w:rsid w:val="009D209E"/>
    <w:rsid w:val="009D2150"/>
    <w:rsid w:val="009D2404"/>
    <w:rsid w:val="009D24C2"/>
    <w:rsid w:val="009D2D4F"/>
    <w:rsid w:val="009D2E31"/>
    <w:rsid w:val="009D36FB"/>
    <w:rsid w:val="009D4566"/>
    <w:rsid w:val="009D4D9A"/>
    <w:rsid w:val="009D639A"/>
    <w:rsid w:val="009D7107"/>
    <w:rsid w:val="009D75B5"/>
    <w:rsid w:val="009E0F40"/>
    <w:rsid w:val="009E1475"/>
    <w:rsid w:val="009E14EB"/>
    <w:rsid w:val="009E1928"/>
    <w:rsid w:val="009E20DF"/>
    <w:rsid w:val="009E2347"/>
    <w:rsid w:val="009E271F"/>
    <w:rsid w:val="009E2ADD"/>
    <w:rsid w:val="009E43A3"/>
    <w:rsid w:val="009E43C4"/>
    <w:rsid w:val="009E56E4"/>
    <w:rsid w:val="009E5FBC"/>
    <w:rsid w:val="009E62C7"/>
    <w:rsid w:val="009E6444"/>
    <w:rsid w:val="009E65CF"/>
    <w:rsid w:val="009E6B77"/>
    <w:rsid w:val="009E7AD6"/>
    <w:rsid w:val="009F0810"/>
    <w:rsid w:val="009F086F"/>
    <w:rsid w:val="009F08FF"/>
    <w:rsid w:val="009F0FD9"/>
    <w:rsid w:val="009F1911"/>
    <w:rsid w:val="009F199F"/>
    <w:rsid w:val="009F25FA"/>
    <w:rsid w:val="009F339A"/>
    <w:rsid w:val="009F3501"/>
    <w:rsid w:val="009F38FB"/>
    <w:rsid w:val="009F3B8C"/>
    <w:rsid w:val="009F4263"/>
    <w:rsid w:val="009F43C5"/>
    <w:rsid w:val="009F4B43"/>
    <w:rsid w:val="009F4F40"/>
    <w:rsid w:val="009F5235"/>
    <w:rsid w:val="009F5E81"/>
    <w:rsid w:val="009F63B9"/>
    <w:rsid w:val="009F6F43"/>
    <w:rsid w:val="009F7565"/>
    <w:rsid w:val="00A00231"/>
    <w:rsid w:val="00A01248"/>
    <w:rsid w:val="00A01334"/>
    <w:rsid w:val="00A019F9"/>
    <w:rsid w:val="00A02385"/>
    <w:rsid w:val="00A02A2A"/>
    <w:rsid w:val="00A02C67"/>
    <w:rsid w:val="00A03169"/>
    <w:rsid w:val="00A031CA"/>
    <w:rsid w:val="00A03F86"/>
    <w:rsid w:val="00A048E2"/>
    <w:rsid w:val="00A04C9E"/>
    <w:rsid w:val="00A05A7C"/>
    <w:rsid w:val="00A05E2D"/>
    <w:rsid w:val="00A06160"/>
    <w:rsid w:val="00A064FE"/>
    <w:rsid w:val="00A06A81"/>
    <w:rsid w:val="00A0717B"/>
    <w:rsid w:val="00A074D9"/>
    <w:rsid w:val="00A07D35"/>
    <w:rsid w:val="00A07D91"/>
    <w:rsid w:val="00A10621"/>
    <w:rsid w:val="00A109D0"/>
    <w:rsid w:val="00A10CFE"/>
    <w:rsid w:val="00A114D4"/>
    <w:rsid w:val="00A121EE"/>
    <w:rsid w:val="00A12325"/>
    <w:rsid w:val="00A125D2"/>
    <w:rsid w:val="00A1362E"/>
    <w:rsid w:val="00A13BF6"/>
    <w:rsid w:val="00A14335"/>
    <w:rsid w:val="00A1443D"/>
    <w:rsid w:val="00A1486C"/>
    <w:rsid w:val="00A150A5"/>
    <w:rsid w:val="00A151AE"/>
    <w:rsid w:val="00A154C7"/>
    <w:rsid w:val="00A158E3"/>
    <w:rsid w:val="00A15C25"/>
    <w:rsid w:val="00A17C20"/>
    <w:rsid w:val="00A20059"/>
    <w:rsid w:val="00A20681"/>
    <w:rsid w:val="00A206FA"/>
    <w:rsid w:val="00A20965"/>
    <w:rsid w:val="00A20D9F"/>
    <w:rsid w:val="00A20F6E"/>
    <w:rsid w:val="00A2173F"/>
    <w:rsid w:val="00A21C06"/>
    <w:rsid w:val="00A22B71"/>
    <w:rsid w:val="00A22BA3"/>
    <w:rsid w:val="00A22D20"/>
    <w:rsid w:val="00A2347A"/>
    <w:rsid w:val="00A2562A"/>
    <w:rsid w:val="00A2605C"/>
    <w:rsid w:val="00A263F5"/>
    <w:rsid w:val="00A27667"/>
    <w:rsid w:val="00A3012A"/>
    <w:rsid w:val="00A3013C"/>
    <w:rsid w:val="00A3036D"/>
    <w:rsid w:val="00A305E7"/>
    <w:rsid w:val="00A3094B"/>
    <w:rsid w:val="00A30C42"/>
    <w:rsid w:val="00A32746"/>
    <w:rsid w:val="00A32749"/>
    <w:rsid w:val="00A33ADA"/>
    <w:rsid w:val="00A3412A"/>
    <w:rsid w:val="00A34BCB"/>
    <w:rsid w:val="00A350A1"/>
    <w:rsid w:val="00A35BC3"/>
    <w:rsid w:val="00A36BAF"/>
    <w:rsid w:val="00A36D68"/>
    <w:rsid w:val="00A37058"/>
    <w:rsid w:val="00A373E1"/>
    <w:rsid w:val="00A3740B"/>
    <w:rsid w:val="00A37A51"/>
    <w:rsid w:val="00A40F87"/>
    <w:rsid w:val="00A40FAE"/>
    <w:rsid w:val="00A4108C"/>
    <w:rsid w:val="00A41211"/>
    <w:rsid w:val="00A4146F"/>
    <w:rsid w:val="00A42048"/>
    <w:rsid w:val="00A42182"/>
    <w:rsid w:val="00A4268F"/>
    <w:rsid w:val="00A43234"/>
    <w:rsid w:val="00A4399B"/>
    <w:rsid w:val="00A43C75"/>
    <w:rsid w:val="00A45641"/>
    <w:rsid w:val="00A45A8D"/>
    <w:rsid w:val="00A45FA8"/>
    <w:rsid w:val="00A46347"/>
    <w:rsid w:val="00A463CA"/>
    <w:rsid w:val="00A46947"/>
    <w:rsid w:val="00A46EB9"/>
    <w:rsid w:val="00A50443"/>
    <w:rsid w:val="00A505D1"/>
    <w:rsid w:val="00A52D0B"/>
    <w:rsid w:val="00A546BA"/>
    <w:rsid w:val="00A5482D"/>
    <w:rsid w:val="00A550AD"/>
    <w:rsid w:val="00A55702"/>
    <w:rsid w:val="00A55778"/>
    <w:rsid w:val="00A55859"/>
    <w:rsid w:val="00A55F30"/>
    <w:rsid w:val="00A56476"/>
    <w:rsid w:val="00A5699C"/>
    <w:rsid w:val="00A56E85"/>
    <w:rsid w:val="00A60085"/>
    <w:rsid w:val="00A600A9"/>
    <w:rsid w:val="00A60DD1"/>
    <w:rsid w:val="00A60E10"/>
    <w:rsid w:val="00A61187"/>
    <w:rsid w:val="00A616AD"/>
    <w:rsid w:val="00A61709"/>
    <w:rsid w:val="00A618EC"/>
    <w:rsid w:val="00A619AC"/>
    <w:rsid w:val="00A61BFF"/>
    <w:rsid w:val="00A620CA"/>
    <w:rsid w:val="00A62215"/>
    <w:rsid w:val="00A623D3"/>
    <w:rsid w:val="00A62441"/>
    <w:rsid w:val="00A63042"/>
    <w:rsid w:val="00A6336A"/>
    <w:rsid w:val="00A634A1"/>
    <w:rsid w:val="00A64560"/>
    <w:rsid w:val="00A647F5"/>
    <w:rsid w:val="00A64A99"/>
    <w:rsid w:val="00A64AB3"/>
    <w:rsid w:val="00A65CDB"/>
    <w:rsid w:val="00A66299"/>
    <w:rsid w:val="00A667C5"/>
    <w:rsid w:val="00A674E1"/>
    <w:rsid w:val="00A679A0"/>
    <w:rsid w:val="00A67AD0"/>
    <w:rsid w:val="00A7069D"/>
    <w:rsid w:val="00A70E19"/>
    <w:rsid w:val="00A71C71"/>
    <w:rsid w:val="00A71EDD"/>
    <w:rsid w:val="00A72605"/>
    <w:rsid w:val="00A729EB"/>
    <w:rsid w:val="00A72F06"/>
    <w:rsid w:val="00A730C0"/>
    <w:rsid w:val="00A734E9"/>
    <w:rsid w:val="00A745CC"/>
    <w:rsid w:val="00A75179"/>
    <w:rsid w:val="00A75918"/>
    <w:rsid w:val="00A75D41"/>
    <w:rsid w:val="00A76276"/>
    <w:rsid w:val="00A764A8"/>
    <w:rsid w:val="00A77308"/>
    <w:rsid w:val="00A7748B"/>
    <w:rsid w:val="00A779DA"/>
    <w:rsid w:val="00A77F2D"/>
    <w:rsid w:val="00A80351"/>
    <w:rsid w:val="00A80551"/>
    <w:rsid w:val="00A8166C"/>
    <w:rsid w:val="00A82809"/>
    <w:rsid w:val="00A82B44"/>
    <w:rsid w:val="00A8375B"/>
    <w:rsid w:val="00A83823"/>
    <w:rsid w:val="00A84574"/>
    <w:rsid w:val="00A84DDC"/>
    <w:rsid w:val="00A8506E"/>
    <w:rsid w:val="00A854CF"/>
    <w:rsid w:val="00A857FC"/>
    <w:rsid w:val="00A85CEC"/>
    <w:rsid w:val="00A85DE3"/>
    <w:rsid w:val="00A86058"/>
    <w:rsid w:val="00A86DB5"/>
    <w:rsid w:val="00A876A2"/>
    <w:rsid w:val="00A876C1"/>
    <w:rsid w:val="00A87CA1"/>
    <w:rsid w:val="00A87E80"/>
    <w:rsid w:val="00A901BC"/>
    <w:rsid w:val="00A9058F"/>
    <w:rsid w:val="00A905DE"/>
    <w:rsid w:val="00A9238E"/>
    <w:rsid w:val="00A9361B"/>
    <w:rsid w:val="00A936A7"/>
    <w:rsid w:val="00A9390C"/>
    <w:rsid w:val="00A947C9"/>
    <w:rsid w:val="00A949F0"/>
    <w:rsid w:val="00A94FF7"/>
    <w:rsid w:val="00A950DC"/>
    <w:rsid w:val="00A9585B"/>
    <w:rsid w:val="00A96A71"/>
    <w:rsid w:val="00A970CC"/>
    <w:rsid w:val="00A973E1"/>
    <w:rsid w:val="00A97430"/>
    <w:rsid w:val="00AA08DC"/>
    <w:rsid w:val="00AA1024"/>
    <w:rsid w:val="00AA17DB"/>
    <w:rsid w:val="00AA1813"/>
    <w:rsid w:val="00AA33D2"/>
    <w:rsid w:val="00AA3FF7"/>
    <w:rsid w:val="00AA483A"/>
    <w:rsid w:val="00AA4D57"/>
    <w:rsid w:val="00AA5998"/>
    <w:rsid w:val="00AA6E2D"/>
    <w:rsid w:val="00AA7071"/>
    <w:rsid w:val="00AA7724"/>
    <w:rsid w:val="00AA7EC5"/>
    <w:rsid w:val="00AB0120"/>
    <w:rsid w:val="00AB0535"/>
    <w:rsid w:val="00AB0873"/>
    <w:rsid w:val="00AB12DF"/>
    <w:rsid w:val="00AB210B"/>
    <w:rsid w:val="00AB2211"/>
    <w:rsid w:val="00AB2225"/>
    <w:rsid w:val="00AB2950"/>
    <w:rsid w:val="00AB3C9B"/>
    <w:rsid w:val="00AB600B"/>
    <w:rsid w:val="00AB659C"/>
    <w:rsid w:val="00AB6732"/>
    <w:rsid w:val="00AB6785"/>
    <w:rsid w:val="00AB7D4C"/>
    <w:rsid w:val="00AB7E3F"/>
    <w:rsid w:val="00AC126A"/>
    <w:rsid w:val="00AC1526"/>
    <w:rsid w:val="00AC1658"/>
    <w:rsid w:val="00AC174B"/>
    <w:rsid w:val="00AC1B22"/>
    <w:rsid w:val="00AC1BFA"/>
    <w:rsid w:val="00AC1C4A"/>
    <w:rsid w:val="00AC222D"/>
    <w:rsid w:val="00AC22CA"/>
    <w:rsid w:val="00AC268C"/>
    <w:rsid w:val="00AC2805"/>
    <w:rsid w:val="00AC2DB9"/>
    <w:rsid w:val="00AC3610"/>
    <w:rsid w:val="00AC397F"/>
    <w:rsid w:val="00AC3CC3"/>
    <w:rsid w:val="00AC41AD"/>
    <w:rsid w:val="00AC47DB"/>
    <w:rsid w:val="00AC49CF"/>
    <w:rsid w:val="00AC4AF1"/>
    <w:rsid w:val="00AC594B"/>
    <w:rsid w:val="00AC61A9"/>
    <w:rsid w:val="00AC6264"/>
    <w:rsid w:val="00AC6B60"/>
    <w:rsid w:val="00AC6BCD"/>
    <w:rsid w:val="00AC6C08"/>
    <w:rsid w:val="00AC737A"/>
    <w:rsid w:val="00AD005A"/>
    <w:rsid w:val="00AD0D43"/>
    <w:rsid w:val="00AD1A50"/>
    <w:rsid w:val="00AD1B7C"/>
    <w:rsid w:val="00AD2D0B"/>
    <w:rsid w:val="00AD3A5E"/>
    <w:rsid w:val="00AD3D6C"/>
    <w:rsid w:val="00AD3DF4"/>
    <w:rsid w:val="00AD4CA3"/>
    <w:rsid w:val="00AD4E33"/>
    <w:rsid w:val="00AD5A25"/>
    <w:rsid w:val="00AD6106"/>
    <w:rsid w:val="00AD642C"/>
    <w:rsid w:val="00AD6892"/>
    <w:rsid w:val="00AD744B"/>
    <w:rsid w:val="00AE0396"/>
    <w:rsid w:val="00AE0AC6"/>
    <w:rsid w:val="00AE0D15"/>
    <w:rsid w:val="00AE104D"/>
    <w:rsid w:val="00AE1294"/>
    <w:rsid w:val="00AE134A"/>
    <w:rsid w:val="00AE16F1"/>
    <w:rsid w:val="00AE3089"/>
    <w:rsid w:val="00AE317C"/>
    <w:rsid w:val="00AE3330"/>
    <w:rsid w:val="00AE46F1"/>
    <w:rsid w:val="00AE4E3B"/>
    <w:rsid w:val="00AE50E8"/>
    <w:rsid w:val="00AE579C"/>
    <w:rsid w:val="00AE57E8"/>
    <w:rsid w:val="00AF0254"/>
    <w:rsid w:val="00AF0D38"/>
    <w:rsid w:val="00AF1A5F"/>
    <w:rsid w:val="00AF1A82"/>
    <w:rsid w:val="00AF1CFF"/>
    <w:rsid w:val="00AF1E11"/>
    <w:rsid w:val="00AF4455"/>
    <w:rsid w:val="00AF46BC"/>
    <w:rsid w:val="00AF4B2C"/>
    <w:rsid w:val="00AF55B4"/>
    <w:rsid w:val="00AF5C2B"/>
    <w:rsid w:val="00AF60AC"/>
    <w:rsid w:val="00AF70EE"/>
    <w:rsid w:val="00AF7486"/>
    <w:rsid w:val="00B00373"/>
    <w:rsid w:val="00B008E2"/>
    <w:rsid w:val="00B00BD3"/>
    <w:rsid w:val="00B00C4A"/>
    <w:rsid w:val="00B01A02"/>
    <w:rsid w:val="00B02390"/>
    <w:rsid w:val="00B03177"/>
    <w:rsid w:val="00B04473"/>
    <w:rsid w:val="00B050D1"/>
    <w:rsid w:val="00B055D9"/>
    <w:rsid w:val="00B05725"/>
    <w:rsid w:val="00B057D1"/>
    <w:rsid w:val="00B0650A"/>
    <w:rsid w:val="00B06EC9"/>
    <w:rsid w:val="00B07DC6"/>
    <w:rsid w:val="00B07F1D"/>
    <w:rsid w:val="00B108DC"/>
    <w:rsid w:val="00B10B26"/>
    <w:rsid w:val="00B111B2"/>
    <w:rsid w:val="00B11338"/>
    <w:rsid w:val="00B11387"/>
    <w:rsid w:val="00B115D2"/>
    <w:rsid w:val="00B11B77"/>
    <w:rsid w:val="00B11F21"/>
    <w:rsid w:val="00B128A2"/>
    <w:rsid w:val="00B12A55"/>
    <w:rsid w:val="00B1323D"/>
    <w:rsid w:val="00B13947"/>
    <w:rsid w:val="00B13C21"/>
    <w:rsid w:val="00B13C57"/>
    <w:rsid w:val="00B13F1F"/>
    <w:rsid w:val="00B14387"/>
    <w:rsid w:val="00B14563"/>
    <w:rsid w:val="00B1462B"/>
    <w:rsid w:val="00B14A56"/>
    <w:rsid w:val="00B14E16"/>
    <w:rsid w:val="00B17483"/>
    <w:rsid w:val="00B17C6F"/>
    <w:rsid w:val="00B2001E"/>
    <w:rsid w:val="00B207C7"/>
    <w:rsid w:val="00B20A8F"/>
    <w:rsid w:val="00B20B0A"/>
    <w:rsid w:val="00B21417"/>
    <w:rsid w:val="00B21F89"/>
    <w:rsid w:val="00B220AE"/>
    <w:rsid w:val="00B22ABF"/>
    <w:rsid w:val="00B22C78"/>
    <w:rsid w:val="00B23421"/>
    <w:rsid w:val="00B23599"/>
    <w:rsid w:val="00B23D0A"/>
    <w:rsid w:val="00B23D93"/>
    <w:rsid w:val="00B267BC"/>
    <w:rsid w:val="00B27B52"/>
    <w:rsid w:val="00B301D4"/>
    <w:rsid w:val="00B302D3"/>
    <w:rsid w:val="00B3064A"/>
    <w:rsid w:val="00B30C64"/>
    <w:rsid w:val="00B31182"/>
    <w:rsid w:val="00B311A5"/>
    <w:rsid w:val="00B3123B"/>
    <w:rsid w:val="00B31A0E"/>
    <w:rsid w:val="00B31AE7"/>
    <w:rsid w:val="00B31CD4"/>
    <w:rsid w:val="00B328CF"/>
    <w:rsid w:val="00B3310C"/>
    <w:rsid w:val="00B33245"/>
    <w:rsid w:val="00B333A0"/>
    <w:rsid w:val="00B34132"/>
    <w:rsid w:val="00B3418C"/>
    <w:rsid w:val="00B3436C"/>
    <w:rsid w:val="00B3468D"/>
    <w:rsid w:val="00B34A9B"/>
    <w:rsid w:val="00B34B0E"/>
    <w:rsid w:val="00B350C1"/>
    <w:rsid w:val="00B35607"/>
    <w:rsid w:val="00B3585E"/>
    <w:rsid w:val="00B35DA9"/>
    <w:rsid w:val="00B35E2E"/>
    <w:rsid w:val="00B36397"/>
    <w:rsid w:val="00B3699E"/>
    <w:rsid w:val="00B36DF4"/>
    <w:rsid w:val="00B379BC"/>
    <w:rsid w:val="00B401A8"/>
    <w:rsid w:val="00B40552"/>
    <w:rsid w:val="00B40957"/>
    <w:rsid w:val="00B40A73"/>
    <w:rsid w:val="00B40ABF"/>
    <w:rsid w:val="00B41FCF"/>
    <w:rsid w:val="00B4220F"/>
    <w:rsid w:val="00B42470"/>
    <w:rsid w:val="00B42519"/>
    <w:rsid w:val="00B42904"/>
    <w:rsid w:val="00B42961"/>
    <w:rsid w:val="00B429B3"/>
    <w:rsid w:val="00B42F11"/>
    <w:rsid w:val="00B43165"/>
    <w:rsid w:val="00B436A4"/>
    <w:rsid w:val="00B44785"/>
    <w:rsid w:val="00B45151"/>
    <w:rsid w:val="00B457A3"/>
    <w:rsid w:val="00B45AF2"/>
    <w:rsid w:val="00B45E59"/>
    <w:rsid w:val="00B4631C"/>
    <w:rsid w:val="00B4657B"/>
    <w:rsid w:val="00B46B00"/>
    <w:rsid w:val="00B473E7"/>
    <w:rsid w:val="00B5046A"/>
    <w:rsid w:val="00B50BAF"/>
    <w:rsid w:val="00B51392"/>
    <w:rsid w:val="00B514EA"/>
    <w:rsid w:val="00B51802"/>
    <w:rsid w:val="00B535C8"/>
    <w:rsid w:val="00B536CF"/>
    <w:rsid w:val="00B53C72"/>
    <w:rsid w:val="00B5430D"/>
    <w:rsid w:val="00B54A66"/>
    <w:rsid w:val="00B5506C"/>
    <w:rsid w:val="00B55723"/>
    <w:rsid w:val="00B55E43"/>
    <w:rsid w:val="00B5626E"/>
    <w:rsid w:val="00B567E5"/>
    <w:rsid w:val="00B56BBD"/>
    <w:rsid w:val="00B5772D"/>
    <w:rsid w:val="00B577E1"/>
    <w:rsid w:val="00B60D37"/>
    <w:rsid w:val="00B61F09"/>
    <w:rsid w:val="00B63CE8"/>
    <w:rsid w:val="00B651F3"/>
    <w:rsid w:val="00B6538B"/>
    <w:rsid w:val="00B65757"/>
    <w:rsid w:val="00B65CEE"/>
    <w:rsid w:val="00B663E9"/>
    <w:rsid w:val="00B66EB0"/>
    <w:rsid w:val="00B67527"/>
    <w:rsid w:val="00B67C9E"/>
    <w:rsid w:val="00B7038C"/>
    <w:rsid w:val="00B710EF"/>
    <w:rsid w:val="00B7124B"/>
    <w:rsid w:val="00B71354"/>
    <w:rsid w:val="00B718CE"/>
    <w:rsid w:val="00B719B3"/>
    <w:rsid w:val="00B7201E"/>
    <w:rsid w:val="00B720A8"/>
    <w:rsid w:val="00B7247F"/>
    <w:rsid w:val="00B73E3D"/>
    <w:rsid w:val="00B740F0"/>
    <w:rsid w:val="00B742BD"/>
    <w:rsid w:val="00B74970"/>
    <w:rsid w:val="00B74F7D"/>
    <w:rsid w:val="00B74FDF"/>
    <w:rsid w:val="00B75E33"/>
    <w:rsid w:val="00B7642C"/>
    <w:rsid w:val="00B7643B"/>
    <w:rsid w:val="00B766C7"/>
    <w:rsid w:val="00B768C3"/>
    <w:rsid w:val="00B7757C"/>
    <w:rsid w:val="00B77C79"/>
    <w:rsid w:val="00B80D0C"/>
    <w:rsid w:val="00B80D29"/>
    <w:rsid w:val="00B8220A"/>
    <w:rsid w:val="00B83162"/>
    <w:rsid w:val="00B8424E"/>
    <w:rsid w:val="00B844D3"/>
    <w:rsid w:val="00B84A63"/>
    <w:rsid w:val="00B84CFD"/>
    <w:rsid w:val="00B84E81"/>
    <w:rsid w:val="00B852E0"/>
    <w:rsid w:val="00B85401"/>
    <w:rsid w:val="00B8549D"/>
    <w:rsid w:val="00B85AD5"/>
    <w:rsid w:val="00B86465"/>
    <w:rsid w:val="00B87E04"/>
    <w:rsid w:val="00B87F8A"/>
    <w:rsid w:val="00B9086D"/>
    <w:rsid w:val="00B910F6"/>
    <w:rsid w:val="00B916AA"/>
    <w:rsid w:val="00B92F6E"/>
    <w:rsid w:val="00B930DD"/>
    <w:rsid w:val="00B930EE"/>
    <w:rsid w:val="00B94481"/>
    <w:rsid w:val="00B944D1"/>
    <w:rsid w:val="00B94B6D"/>
    <w:rsid w:val="00B94D4A"/>
    <w:rsid w:val="00B953DB"/>
    <w:rsid w:val="00B95907"/>
    <w:rsid w:val="00B97708"/>
    <w:rsid w:val="00BA0272"/>
    <w:rsid w:val="00BA07C8"/>
    <w:rsid w:val="00BA0EFC"/>
    <w:rsid w:val="00BA15FF"/>
    <w:rsid w:val="00BA3439"/>
    <w:rsid w:val="00BA35B6"/>
    <w:rsid w:val="00BA3803"/>
    <w:rsid w:val="00BA382B"/>
    <w:rsid w:val="00BA38D5"/>
    <w:rsid w:val="00BA3979"/>
    <w:rsid w:val="00BA39EC"/>
    <w:rsid w:val="00BA3C4D"/>
    <w:rsid w:val="00BA3DE4"/>
    <w:rsid w:val="00BA4314"/>
    <w:rsid w:val="00BA4F7B"/>
    <w:rsid w:val="00BA4F88"/>
    <w:rsid w:val="00BA5072"/>
    <w:rsid w:val="00BA5F66"/>
    <w:rsid w:val="00BA6661"/>
    <w:rsid w:val="00BA6D54"/>
    <w:rsid w:val="00BA6F01"/>
    <w:rsid w:val="00BA6F25"/>
    <w:rsid w:val="00BB0CF6"/>
    <w:rsid w:val="00BB1156"/>
    <w:rsid w:val="00BB188A"/>
    <w:rsid w:val="00BB21E8"/>
    <w:rsid w:val="00BB266E"/>
    <w:rsid w:val="00BB31DB"/>
    <w:rsid w:val="00BB3F8A"/>
    <w:rsid w:val="00BB4009"/>
    <w:rsid w:val="00BB473C"/>
    <w:rsid w:val="00BB4A3F"/>
    <w:rsid w:val="00BB4FC6"/>
    <w:rsid w:val="00BB5077"/>
    <w:rsid w:val="00BB594B"/>
    <w:rsid w:val="00BB5A60"/>
    <w:rsid w:val="00BB60DD"/>
    <w:rsid w:val="00BB61F5"/>
    <w:rsid w:val="00BB7378"/>
    <w:rsid w:val="00BB7F92"/>
    <w:rsid w:val="00BB7FE2"/>
    <w:rsid w:val="00BC068E"/>
    <w:rsid w:val="00BC1997"/>
    <w:rsid w:val="00BC1A39"/>
    <w:rsid w:val="00BC1E5D"/>
    <w:rsid w:val="00BC20CB"/>
    <w:rsid w:val="00BC24E0"/>
    <w:rsid w:val="00BC2765"/>
    <w:rsid w:val="00BC29A0"/>
    <w:rsid w:val="00BC2A59"/>
    <w:rsid w:val="00BC2B49"/>
    <w:rsid w:val="00BC2ED1"/>
    <w:rsid w:val="00BC4290"/>
    <w:rsid w:val="00BC440C"/>
    <w:rsid w:val="00BC45BE"/>
    <w:rsid w:val="00BC4D60"/>
    <w:rsid w:val="00BC4E57"/>
    <w:rsid w:val="00BC5BF7"/>
    <w:rsid w:val="00BC5EE5"/>
    <w:rsid w:val="00BC607C"/>
    <w:rsid w:val="00BC7525"/>
    <w:rsid w:val="00BC7BB4"/>
    <w:rsid w:val="00BD00FD"/>
    <w:rsid w:val="00BD16DC"/>
    <w:rsid w:val="00BD1B13"/>
    <w:rsid w:val="00BD1BA2"/>
    <w:rsid w:val="00BD2477"/>
    <w:rsid w:val="00BD2B35"/>
    <w:rsid w:val="00BD3292"/>
    <w:rsid w:val="00BD3870"/>
    <w:rsid w:val="00BD442D"/>
    <w:rsid w:val="00BD45FF"/>
    <w:rsid w:val="00BD4C72"/>
    <w:rsid w:val="00BD4F45"/>
    <w:rsid w:val="00BD57E9"/>
    <w:rsid w:val="00BD5E92"/>
    <w:rsid w:val="00BD672E"/>
    <w:rsid w:val="00BE008C"/>
    <w:rsid w:val="00BE1036"/>
    <w:rsid w:val="00BE1B4F"/>
    <w:rsid w:val="00BE1B9E"/>
    <w:rsid w:val="00BE3682"/>
    <w:rsid w:val="00BE3696"/>
    <w:rsid w:val="00BE5DFE"/>
    <w:rsid w:val="00BE63F1"/>
    <w:rsid w:val="00BE666C"/>
    <w:rsid w:val="00BE676C"/>
    <w:rsid w:val="00BE6DC4"/>
    <w:rsid w:val="00BE7380"/>
    <w:rsid w:val="00BE7C06"/>
    <w:rsid w:val="00BE7DE0"/>
    <w:rsid w:val="00BF10AF"/>
    <w:rsid w:val="00BF1B38"/>
    <w:rsid w:val="00BF1D4B"/>
    <w:rsid w:val="00BF1D81"/>
    <w:rsid w:val="00BF1FB5"/>
    <w:rsid w:val="00BF2A38"/>
    <w:rsid w:val="00BF2DF2"/>
    <w:rsid w:val="00BF3574"/>
    <w:rsid w:val="00BF388A"/>
    <w:rsid w:val="00BF3D5B"/>
    <w:rsid w:val="00BF3DE1"/>
    <w:rsid w:val="00BF3F95"/>
    <w:rsid w:val="00BF3FE6"/>
    <w:rsid w:val="00BF4532"/>
    <w:rsid w:val="00BF4B41"/>
    <w:rsid w:val="00BF4CB9"/>
    <w:rsid w:val="00BF4D0A"/>
    <w:rsid w:val="00BF52F5"/>
    <w:rsid w:val="00BF53B3"/>
    <w:rsid w:val="00BF5545"/>
    <w:rsid w:val="00BF5718"/>
    <w:rsid w:val="00BF5818"/>
    <w:rsid w:val="00BF586E"/>
    <w:rsid w:val="00BF5BD2"/>
    <w:rsid w:val="00BF6B6C"/>
    <w:rsid w:val="00BF776D"/>
    <w:rsid w:val="00BF7861"/>
    <w:rsid w:val="00BF7DFE"/>
    <w:rsid w:val="00C004AD"/>
    <w:rsid w:val="00C00785"/>
    <w:rsid w:val="00C013F5"/>
    <w:rsid w:val="00C01C42"/>
    <w:rsid w:val="00C01CAD"/>
    <w:rsid w:val="00C0209A"/>
    <w:rsid w:val="00C02877"/>
    <w:rsid w:val="00C02E95"/>
    <w:rsid w:val="00C037A6"/>
    <w:rsid w:val="00C03B9B"/>
    <w:rsid w:val="00C0451D"/>
    <w:rsid w:val="00C04BB0"/>
    <w:rsid w:val="00C05EC1"/>
    <w:rsid w:val="00C07226"/>
    <w:rsid w:val="00C076C6"/>
    <w:rsid w:val="00C07754"/>
    <w:rsid w:val="00C07E37"/>
    <w:rsid w:val="00C10903"/>
    <w:rsid w:val="00C10C2C"/>
    <w:rsid w:val="00C10F46"/>
    <w:rsid w:val="00C1175C"/>
    <w:rsid w:val="00C12463"/>
    <w:rsid w:val="00C12B66"/>
    <w:rsid w:val="00C13117"/>
    <w:rsid w:val="00C13AF1"/>
    <w:rsid w:val="00C13AF8"/>
    <w:rsid w:val="00C13B00"/>
    <w:rsid w:val="00C13D65"/>
    <w:rsid w:val="00C14088"/>
    <w:rsid w:val="00C1475A"/>
    <w:rsid w:val="00C15B05"/>
    <w:rsid w:val="00C16564"/>
    <w:rsid w:val="00C168F9"/>
    <w:rsid w:val="00C16C30"/>
    <w:rsid w:val="00C171C6"/>
    <w:rsid w:val="00C1799E"/>
    <w:rsid w:val="00C179FB"/>
    <w:rsid w:val="00C17C40"/>
    <w:rsid w:val="00C17D9B"/>
    <w:rsid w:val="00C2046C"/>
    <w:rsid w:val="00C2062A"/>
    <w:rsid w:val="00C217F8"/>
    <w:rsid w:val="00C21936"/>
    <w:rsid w:val="00C226CF"/>
    <w:rsid w:val="00C22A19"/>
    <w:rsid w:val="00C22BB3"/>
    <w:rsid w:val="00C2301D"/>
    <w:rsid w:val="00C24660"/>
    <w:rsid w:val="00C24BE2"/>
    <w:rsid w:val="00C25DD5"/>
    <w:rsid w:val="00C26212"/>
    <w:rsid w:val="00C264E6"/>
    <w:rsid w:val="00C26B2C"/>
    <w:rsid w:val="00C270E0"/>
    <w:rsid w:val="00C275C9"/>
    <w:rsid w:val="00C30D6A"/>
    <w:rsid w:val="00C31230"/>
    <w:rsid w:val="00C31258"/>
    <w:rsid w:val="00C32643"/>
    <w:rsid w:val="00C337BB"/>
    <w:rsid w:val="00C33A05"/>
    <w:rsid w:val="00C33A86"/>
    <w:rsid w:val="00C33ADF"/>
    <w:rsid w:val="00C34BE3"/>
    <w:rsid w:val="00C34E89"/>
    <w:rsid w:val="00C358C4"/>
    <w:rsid w:val="00C36570"/>
    <w:rsid w:val="00C36E04"/>
    <w:rsid w:val="00C37C99"/>
    <w:rsid w:val="00C409F1"/>
    <w:rsid w:val="00C40C85"/>
    <w:rsid w:val="00C40DBF"/>
    <w:rsid w:val="00C40EB3"/>
    <w:rsid w:val="00C4206C"/>
    <w:rsid w:val="00C422C0"/>
    <w:rsid w:val="00C44A9F"/>
    <w:rsid w:val="00C459F2"/>
    <w:rsid w:val="00C4634B"/>
    <w:rsid w:val="00C46966"/>
    <w:rsid w:val="00C46B38"/>
    <w:rsid w:val="00C46D44"/>
    <w:rsid w:val="00C4737E"/>
    <w:rsid w:val="00C47A0F"/>
    <w:rsid w:val="00C47F09"/>
    <w:rsid w:val="00C50627"/>
    <w:rsid w:val="00C50D7D"/>
    <w:rsid w:val="00C511AE"/>
    <w:rsid w:val="00C512D9"/>
    <w:rsid w:val="00C51550"/>
    <w:rsid w:val="00C52D4E"/>
    <w:rsid w:val="00C55BE9"/>
    <w:rsid w:val="00C55C62"/>
    <w:rsid w:val="00C55E7C"/>
    <w:rsid w:val="00C560B3"/>
    <w:rsid w:val="00C567C3"/>
    <w:rsid w:val="00C56BE0"/>
    <w:rsid w:val="00C56EAF"/>
    <w:rsid w:val="00C571F9"/>
    <w:rsid w:val="00C57ACE"/>
    <w:rsid w:val="00C603CB"/>
    <w:rsid w:val="00C603D5"/>
    <w:rsid w:val="00C604C4"/>
    <w:rsid w:val="00C6076F"/>
    <w:rsid w:val="00C61402"/>
    <w:rsid w:val="00C6193F"/>
    <w:rsid w:val="00C61F80"/>
    <w:rsid w:val="00C62804"/>
    <w:rsid w:val="00C62E39"/>
    <w:rsid w:val="00C63E61"/>
    <w:rsid w:val="00C63FFE"/>
    <w:rsid w:val="00C644F2"/>
    <w:rsid w:val="00C64817"/>
    <w:rsid w:val="00C6498D"/>
    <w:rsid w:val="00C64CFE"/>
    <w:rsid w:val="00C6553B"/>
    <w:rsid w:val="00C65A2C"/>
    <w:rsid w:val="00C65AA6"/>
    <w:rsid w:val="00C65D5F"/>
    <w:rsid w:val="00C65ED5"/>
    <w:rsid w:val="00C67499"/>
    <w:rsid w:val="00C67A73"/>
    <w:rsid w:val="00C711F2"/>
    <w:rsid w:val="00C71209"/>
    <w:rsid w:val="00C71C64"/>
    <w:rsid w:val="00C71FCC"/>
    <w:rsid w:val="00C726C2"/>
    <w:rsid w:val="00C726F5"/>
    <w:rsid w:val="00C72ACF"/>
    <w:rsid w:val="00C74AA7"/>
    <w:rsid w:val="00C74C23"/>
    <w:rsid w:val="00C751AE"/>
    <w:rsid w:val="00C753B5"/>
    <w:rsid w:val="00C75A3B"/>
    <w:rsid w:val="00C760ED"/>
    <w:rsid w:val="00C76EEF"/>
    <w:rsid w:val="00C77151"/>
    <w:rsid w:val="00C77199"/>
    <w:rsid w:val="00C80BC6"/>
    <w:rsid w:val="00C80C2B"/>
    <w:rsid w:val="00C82689"/>
    <w:rsid w:val="00C82C05"/>
    <w:rsid w:val="00C8322E"/>
    <w:rsid w:val="00C855C7"/>
    <w:rsid w:val="00C86077"/>
    <w:rsid w:val="00C8647F"/>
    <w:rsid w:val="00C874D1"/>
    <w:rsid w:val="00C87881"/>
    <w:rsid w:val="00C87FE6"/>
    <w:rsid w:val="00C90019"/>
    <w:rsid w:val="00C906B4"/>
    <w:rsid w:val="00C906E0"/>
    <w:rsid w:val="00C90C9E"/>
    <w:rsid w:val="00C91779"/>
    <w:rsid w:val="00C920E7"/>
    <w:rsid w:val="00C924AB"/>
    <w:rsid w:val="00C92910"/>
    <w:rsid w:val="00C92D78"/>
    <w:rsid w:val="00C93D33"/>
    <w:rsid w:val="00C94449"/>
    <w:rsid w:val="00C9476A"/>
    <w:rsid w:val="00C94BBF"/>
    <w:rsid w:val="00C94E09"/>
    <w:rsid w:val="00C95242"/>
    <w:rsid w:val="00C95B93"/>
    <w:rsid w:val="00C95D03"/>
    <w:rsid w:val="00C95FCB"/>
    <w:rsid w:val="00C96363"/>
    <w:rsid w:val="00C96B7D"/>
    <w:rsid w:val="00C96CAD"/>
    <w:rsid w:val="00C9742A"/>
    <w:rsid w:val="00C976AD"/>
    <w:rsid w:val="00C977D7"/>
    <w:rsid w:val="00C97A9D"/>
    <w:rsid w:val="00C97AF3"/>
    <w:rsid w:val="00C97F1F"/>
    <w:rsid w:val="00C97F97"/>
    <w:rsid w:val="00CA0E6C"/>
    <w:rsid w:val="00CA1A82"/>
    <w:rsid w:val="00CA1EA6"/>
    <w:rsid w:val="00CA20F9"/>
    <w:rsid w:val="00CA2438"/>
    <w:rsid w:val="00CA2861"/>
    <w:rsid w:val="00CA295C"/>
    <w:rsid w:val="00CA2EB3"/>
    <w:rsid w:val="00CA34F7"/>
    <w:rsid w:val="00CA4165"/>
    <w:rsid w:val="00CA67AB"/>
    <w:rsid w:val="00CA715B"/>
    <w:rsid w:val="00CA756F"/>
    <w:rsid w:val="00CA7629"/>
    <w:rsid w:val="00CA7703"/>
    <w:rsid w:val="00CA7C88"/>
    <w:rsid w:val="00CA7D2A"/>
    <w:rsid w:val="00CB026A"/>
    <w:rsid w:val="00CB0B2C"/>
    <w:rsid w:val="00CB17A6"/>
    <w:rsid w:val="00CB24F2"/>
    <w:rsid w:val="00CB29BE"/>
    <w:rsid w:val="00CB33CF"/>
    <w:rsid w:val="00CB3707"/>
    <w:rsid w:val="00CB4889"/>
    <w:rsid w:val="00CB594C"/>
    <w:rsid w:val="00CB680D"/>
    <w:rsid w:val="00CB74DB"/>
    <w:rsid w:val="00CC185E"/>
    <w:rsid w:val="00CC1F92"/>
    <w:rsid w:val="00CC266E"/>
    <w:rsid w:val="00CC29D9"/>
    <w:rsid w:val="00CC37DC"/>
    <w:rsid w:val="00CC449F"/>
    <w:rsid w:val="00CC5413"/>
    <w:rsid w:val="00CC565D"/>
    <w:rsid w:val="00CC60CF"/>
    <w:rsid w:val="00CC6BC2"/>
    <w:rsid w:val="00CC7A71"/>
    <w:rsid w:val="00CC7E9A"/>
    <w:rsid w:val="00CD0323"/>
    <w:rsid w:val="00CD04FA"/>
    <w:rsid w:val="00CD0750"/>
    <w:rsid w:val="00CD0CA5"/>
    <w:rsid w:val="00CD0FA1"/>
    <w:rsid w:val="00CD0FD8"/>
    <w:rsid w:val="00CD1DC0"/>
    <w:rsid w:val="00CD391D"/>
    <w:rsid w:val="00CD655F"/>
    <w:rsid w:val="00CD6A64"/>
    <w:rsid w:val="00CD6C7C"/>
    <w:rsid w:val="00CE0A3A"/>
    <w:rsid w:val="00CE16DE"/>
    <w:rsid w:val="00CE17B3"/>
    <w:rsid w:val="00CE1A4A"/>
    <w:rsid w:val="00CE1E25"/>
    <w:rsid w:val="00CE25FD"/>
    <w:rsid w:val="00CE2626"/>
    <w:rsid w:val="00CE321C"/>
    <w:rsid w:val="00CE3D8C"/>
    <w:rsid w:val="00CE4A22"/>
    <w:rsid w:val="00CE4B11"/>
    <w:rsid w:val="00CE4D94"/>
    <w:rsid w:val="00CE4F71"/>
    <w:rsid w:val="00CE5480"/>
    <w:rsid w:val="00CE5872"/>
    <w:rsid w:val="00CE5DE9"/>
    <w:rsid w:val="00CE5EB5"/>
    <w:rsid w:val="00CE6533"/>
    <w:rsid w:val="00CE674B"/>
    <w:rsid w:val="00CE6D13"/>
    <w:rsid w:val="00CE6E7E"/>
    <w:rsid w:val="00CE7669"/>
    <w:rsid w:val="00CF058A"/>
    <w:rsid w:val="00CF09CC"/>
    <w:rsid w:val="00CF1418"/>
    <w:rsid w:val="00CF16A1"/>
    <w:rsid w:val="00CF19E3"/>
    <w:rsid w:val="00CF1A8E"/>
    <w:rsid w:val="00CF21C8"/>
    <w:rsid w:val="00CF299D"/>
    <w:rsid w:val="00CF2B76"/>
    <w:rsid w:val="00CF3B77"/>
    <w:rsid w:val="00CF42F7"/>
    <w:rsid w:val="00CF5124"/>
    <w:rsid w:val="00CF539C"/>
    <w:rsid w:val="00CF5527"/>
    <w:rsid w:val="00CF5B30"/>
    <w:rsid w:val="00CF5DFC"/>
    <w:rsid w:val="00CF6051"/>
    <w:rsid w:val="00CF60A1"/>
    <w:rsid w:val="00CF6AEA"/>
    <w:rsid w:val="00CF7FAE"/>
    <w:rsid w:val="00D0041B"/>
    <w:rsid w:val="00D00910"/>
    <w:rsid w:val="00D01278"/>
    <w:rsid w:val="00D0575C"/>
    <w:rsid w:val="00D06622"/>
    <w:rsid w:val="00D06628"/>
    <w:rsid w:val="00D06762"/>
    <w:rsid w:val="00D07BEF"/>
    <w:rsid w:val="00D07CA6"/>
    <w:rsid w:val="00D10279"/>
    <w:rsid w:val="00D10BA7"/>
    <w:rsid w:val="00D10F4E"/>
    <w:rsid w:val="00D110E1"/>
    <w:rsid w:val="00D110EF"/>
    <w:rsid w:val="00D113E2"/>
    <w:rsid w:val="00D1292E"/>
    <w:rsid w:val="00D13DA6"/>
    <w:rsid w:val="00D14B18"/>
    <w:rsid w:val="00D151D7"/>
    <w:rsid w:val="00D15DD8"/>
    <w:rsid w:val="00D1633E"/>
    <w:rsid w:val="00D16607"/>
    <w:rsid w:val="00D17CCF"/>
    <w:rsid w:val="00D17FCD"/>
    <w:rsid w:val="00D20694"/>
    <w:rsid w:val="00D20EF1"/>
    <w:rsid w:val="00D216B2"/>
    <w:rsid w:val="00D21762"/>
    <w:rsid w:val="00D21B6A"/>
    <w:rsid w:val="00D21F28"/>
    <w:rsid w:val="00D221F1"/>
    <w:rsid w:val="00D22789"/>
    <w:rsid w:val="00D236C8"/>
    <w:rsid w:val="00D237BA"/>
    <w:rsid w:val="00D23C14"/>
    <w:rsid w:val="00D24BE5"/>
    <w:rsid w:val="00D24FF6"/>
    <w:rsid w:val="00D25110"/>
    <w:rsid w:val="00D255D4"/>
    <w:rsid w:val="00D25960"/>
    <w:rsid w:val="00D25FE1"/>
    <w:rsid w:val="00D26018"/>
    <w:rsid w:val="00D26BEE"/>
    <w:rsid w:val="00D27668"/>
    <w:rsid w:val="00D2776A"/>
    <w:rsid w:val="00D27C28"/>
    <w:rsid w:val="00D303CD"/>
    <w:rsid w:val="00D30BBC"/>
    <w:rsid w:val="00D30C6D"/>
    <w:rsid w:val="00D31F58"/>
    <w:rsid w:val="00D32617"/>
    <w:rsid w:val="00D32B45"/>
    <w:rsid w:val="00D32B82"/>
    <w:rsid w:val="00D335FF"/>
    <w:rsid w:val="00D33685"/>
    <w:rsid w:val="00D3390C"/>
    <w:rsid w:val="00D33FE3"/>
    <w:rsid w:val="00D34810"/>
    <w:rsid w:val="00D349BB"/>
    <w:rsid w:val="00D34F83"/>
    <w:rsid w:val="00D3512E"/>
    <w:rsid w:val="00D36E79"/>
    <w:rsid w:val="00D377E5"/>
    <w:rsid w:val="00D41397"/>
    <w:rsid w:val="00D41AAF"/>
    <w:rsid w:val="00D4211D"/>
    <w:rsid w:val="00D4233C"/>
    <w:rsid w:val="00D43140"/>
    <w:rsid w:val="00D437A4"/>
    <w:rsid w:val="00D443DF"/>
    <w:rsid w:val="00D4472E"/>
    <w:rsid w:val="00D449D0"/>
    <w:rsid w:val="00D44BA8"/>
    <w:rsid w:val="00D45FDE"/>
    <w:rsid w:val="00D4734A"/>
    <w:rsid w:val="00D4755B"/>
    <w:rsid w:val="00D47779"/>
    <w:rsid w:val="00D50148"/>
    <w:rsid w:val="00D502EE"/>
    <w:rsid w:val="00D50B2A"/>
    <w:rsid w:val="00D51175"/>
    <w:rsid w:val="00D51CA8"/>
    <w:rsid w:val="00D51FF3"/>
    <w:rsid w:val="00D5219E"/>
    <w:rsid w:val="00D52963"/>
    <w:rsid w:val="00D532B5"/>
    <w:rsid w:val="00D53DA3"/>
    <w:rsid w:val="00D544CA"/>
    <w:rsid w:val="00D54890"/>
    <w:rsid w:val="00D54ACC"/>
    <w:rsid w:val="00D557F6"/>
    <w:rsid w:val="00D559A6"/>
    <w:rsid w:val="00D5627A"/>
    <w:rsid w:val="00D569C6"/>
    <w:rsid w:val="00D57779"/>
    <w:rsid w:val="00D57A92"/>
    <w:rsid w:val="00D57D1E"/>
    <w:rsid w:val="00D60024"/>
    <w:rsid w:val="00D60FB4"/>
    <w:rsid w:val="00D61459"/>
    <w:rsid w:val="00D61551"/>
    <w:rsid w:val="00D61698"/>
    <w:rsid w:val="00D61D05"/>
    <w:rsid w:val="00D62080"/>
    <w:rsid w:val="00D624CB"/>
    <w:rsid w:val="00D628D3"/>
    <w:rsid w:val="00D628E2"/>
    <w:rsid w:val="00D62C11"/>
    <w:rsid w:val="00D63A42"/>
    <w:rsid w:val="00D63E3C"/>
    <w:rsid w:val="00D641C7"/>
    <w:rsid w:val="00D646D3"/>
    <w:rsid w:val="00D64AF2"/>
    <w:rsid w:val="00D64E04"/>
    <w:rsid w:val="00D64EA1"/>
    <w:rsid w:val="00D65A3C"/>
    <w:rsid w:val="00D66929"/>
    <w:rsid w:val="00D66B58"/>
    <w:rsid w:val="00D679A7"/>
    <w:rsid w:val="00D67F65"/>
    <w:rsid w:val="00D727ED"/>
    <w:rsid w:val="00D7336C"/>
    <w:rsid w:val="00D736E8"/>
    <w:rsid w:val="00D7489A"/>
    <w:rsid w:val="00D74C4E"/>
    <w:rsid w:val="00D74E9A"/>
    <w:rsid w:val="00D75306"/>
    <w:rsid w:val="00D755FC"/>
    <w:rsid w:val="00D757A2"/>
    <w:rsid w:val="00D75DDA"/>
    <w:rsid w:val="00D75EF0"/>
    <w:rsid w:val="00D75FDD"/>
    <w:rsid w:val="00D76E15"/>
    <w:rsid w:val="00D771AD"/>
    <w:rsid w:val="00D77A72"/>
    <w:rsid w:val="00D77E44"/>
    <w:rsid w:val="00D81BB8"/>
    <w:rsid w:val="00D81C3D"/>
    <w:rsid w:val="00D81D87"/>
    <w:rsid w:val="00D82279"/>
    <w:rsid w:val="00D822C5"/>
    <w:rsid w:val="00D830E4"/>
    <w:rsid w:val="00D83B49"/>
    <w:rsid w:val="00D83B71"/>
    <w:rsid w:val="00D8450E"/>
    <w:rsid w:val="00D852EF"/>
    <w:rsid w:val="00D85932"/>
    <w:rsid w:val="00D85A51"/>
    <w:rsid w:val="00D85BD4"/>
    <w:rsid w:val="00D86002"/>
    <w:rsid w:val="00D864AD"/>
    <w:rsid w:val="00D865B1"/>
    <w:rsid w:val="00D86674"/>
    <w:rsid w:val="00D86CA0"/>
    <w:rsid w:val="00D874C6"/>
    <w:rsid w:val="00D878C2"/>
    <w:rsid w:val="00D906FC"/>
    <w:rsid w:val="00D91A72"/>
    <w:rsid w:val="00D91AD8"/>
    <w:rsid w:val="00D91CEE"/>
    <w:rsid w:val="00D9297C"/>
    <w:rsid w:val="00D92FC2"/>
    <w:rsid w:val="00D939FE"/>
    <w:rsid w:val="00D93ADA"/>
    <w:rsid w:val="00D93E89"/>
    <w:rsid w:val="00D941AC"/>
    <w:rsid w:val="00D94408"/>
    <w:rsid w:val="00D946D4"/>
    <w:rsid w:val="00D94723"/>
    <w:rsid w:val="00D94A4A"/>
    <w:rsid w:val="00D94A4C"/>
    <w:rsid w:val="00D94BE8"/>
    <w:rsid w:val="00D94ED6"/>
    <w:rsid w:val="00D95332"/>
    <w:rsid w:val="00D95769"/>
    <w:rsid w:val="00D95FC3"/>
    <w:rsid w:val="00D961F7"/>
    <w:rsid w:val="00D97208"/>
    <w:rsid w:val="00D973C6"/>
    <w:rsid w:val="00D977C6"/>
    <w:rsid w:val="00DA085E"/>
    <w:rsid w:val="00DA114E"/>
    <w:rsid w:val="00DA1156"/>
    <w:rsid w:val="00DA186C"/>
    <w:rsid w:val="00DA1E19"/>
    <w:rsid w:val="00DA1E67"/>
    <w:rsid w:val="00DA2290"/>
    <w:rsid w:val="00DA2B0C"/>
    <w:rsid w:val="00DA3128"/>
    <w:rsid w:val="00DA37E2"/>
    <w:rsid w:val="00DA47ED"/>
    <w:rsid w:val="00DA48CE"/>
    <w:rsid w:val="00DA4DD9"/>
    <w:rsid w:val="00DA5000"/>
    <w:rsid w:val="00DA509D"/>
    <w:rsid w:val="00DA51EA"/>
    <w:rsid w:val="00DA6953"/>
    <w:rsid w:val="00DA6DED"/>
    <w:rsid w:val="00DA6E9E"/>
    <w:rsid w:val="00DA741D"/>
    <w:rsid w:val="00DB12BF"/>
    <w:rsid w:val="00DB12F0"/>
    <w:rsid w:val="00DB13B3"/>
    <w:rsid w:val="00DB1FBB"/>
    <w:rsid w:val="00DB22AD"/>
    <w:rsid w:val="00DB331E"/>
    <w:rsid w:val="00DB3377"/>
    <w:rsid w:val="00DB36E2"/>
    <w:rsid w:val="00DB3B1D"/>
    <w:rsid w:val="00DB4253"/>
    <w:rsid w:val="00DB4D10"/>
    <w:rsid w:val="00DB4E19"/>
    <w:rsid w:val="00DB5413"/>
    <w:rsid w:val="00DB609F"/>
    <w:rsid w:val="00DB65F6"/>
    <w:rsid w:val="00DB67E0"/>
    <w:rsid w:val="00DB7389"/>
    <w:rsid w:val="00DB77F3"/>
    <w:rsid w:val="00DB7E00"/>
    <w:rsid w:val="00DC0550"/>
    <w:rsid w:val="00DC0A07"/>
    <w:rsid w:val="00DC0BC5"/>
    <w:rsid w:val="00DC1C17"/>
    <w:rsid w:val="00DC2C65"/>
    <w:rsid w:val="00DC35E9"/>
    <w:rsid w:val="00DC36C5"/>
    <w:rsid w:val="00DC3EB7"/>
    <w:rsid w:val="00DC4815"/>
    <w:rsid w:val="00DC4A4C"/>
    <w:rsid w:val="00DC4C3A"/>
    <w:rsid w:val="00DC55E8"/>
    <w:rsid w:val="00DC62D5"/>
    <w:rsid w:val="00DC63AD"/>
    <w:rsid w:val="00DC6D7F"/>
    <w:rsid w:val="00DC7150"/>
    <w:rsid w:val="00DC7410"/>
    <w:rsid w:val="00DC793C"/>
    <w:rsid w:val="00DC7F1D"/>
    <w:rsid w:val="00DD0287"/>
    <w:rsid w:val="00DD0B60"/>
    <w:rsid w:val="00DD0DDF"/>
    <w:rsid w:val="00DD1934"/>
    <w:rsid w:val="00DD19D9"/>
    <w:rsid w:val="00DD1B69"/>
    <w:rsid w:val="00DD227B"/>
    <w:rsid w:val="00DD279B"/>
    <w:rsid w:val="00DD282A"/>
    <w:rsid w:val="00DD2BC5"/>
    <w:rsid w:val="00DD401B"/>
    <w:rsid w:val="00DD588D"/>
    <w:rsid w:val="00DD65EA"/>
    <w:rsid w:val="00DD66A7"/>
    <w:rsid w:val="00DD66AF"/>
    <w:rsid w:val="00DD6FB4"/>
    <w:rsid w:val="00DE05C8"/>
    <w:rsid w:val="00DE0F4C"/>
    <w:rsid w:val="00DE1418"/>
    <w:rsid w:val="00DE176B"/>
    <w:rsid w:val="00DE1B7C"/>
    <w:rsid w:val="00DE2D2D"/>
    <w:rsid w:val="00DE32FC"/>
    <w:rsid w:val="00DE51B5"/>
    <w:rsid w:val="00DE592E"/>
    <w:rsid w:val="00DE5B82"/>
    <w:rsid w:val="00DE5EC9"/>
    <w:rsid w:val="00DE60DB"/>
    <w:rsid w:val="00DE6181"/>
    <w:rsid w:val="00DE64D2"/>
    <w:rsid w:val="00DE674C"/>
    <w:rsid w:val="00DE6AF7"/>
    <w:rsid w:val="00DF041D"/>
    <w:rsid w:val="00DF0E07"/>
    <w:rsid w:val="00DF0F34"/>
    <w:rsid w:val="00DF148E"/>
    <w:rsid w:val="00DF1F3D"/>
    <w:rsid w:val="00DF236A"/>
    <w:rsid w:val="00DF2E2A"/>
    <w:rsid w:val="00DF317E"/>
    <w:rsid w:val="00DF4653"/>
    <w:rsid w:val="00DF47F0"/>
    <w:rsid w:val="00DF52B9"/>
    <w:rsid w:val="00DF531A"/>
    <w:rsid w:val="00DF5817"/>
    <w:rsid w:val="00DF5D00"/>
    <w:rsid w:val="00DF6907"/>
    <w:rsid w:val="00DF6B06"/>
    <w:rsid w:val="00DF6D1C"/>
    <w:rsid w:val="00DF7233"/>
    <w:rsid w:val="00DF7D90"/>
    <w:rsid w:val="00E007E9"/>
    <w:rsid w:val="00E00B23"/>
    <w:rsid w:val="00E00D20"/>
    <w:rsid w:val="00E0110A"/>
    <w:rsid w:val="00E01487"/>
    <w:rsid w:val="00E0174F"/>
    <w:rsid w:val="00E02465"/>
    <w:rsid w:val="00E02DE1"/>
    <w:rsid w:val="00E03146"/>
    <w:rsid w:val="00E03167"/>
    <w:rsid w:val="00E03496"/>
    <w:rsid w:val="00E03D0F"/>
    <w:rsid w:val="00E03F01"/>
    <w:rsid w:val="00E042EF"/>
    <w:rsid w:val="00E05677"/>
    <w:rsid w:val="00E05A81"/>
    <w:rsid w:val="00E0673F"/>
    <w:rsid w:val="00E07161"/>
    <w:rsid w:val="00E07218"/>
    <w:rsid w:val="00E07FA4"/>
    <w:rsid w:val="00E1002C"/>
    <w:rsid w:val="00E100DE"/>
    <w:rsid w:val="00E10AC9"/>
    <w:rsid w:val="00E10E53"/>
    <w:rsid w:val="00E113A0"/>
    <w:rsid w:val="00E11EC6"/>
    <w:rsid w:val="00E126FA"/>
    <w:rsid w:val="00E12C24"/>
    <w:rsid w:val="00E12D7B"/>
    <w:rsid w:val="00E134F8"/>
    <w:rsid w:val="00E13CD3"/>
    <w:rsid w:val="00E14518"/>
    <w:rsid w:val="00E14FAC"/>
    <w:rsid w:val="00E1575C"/>
    <w:rsid w:val="00E157FD"/>
    <w:rsid w:val="00E15D9B"/>
    <w:rsid w:val="00E16D73"/>
    <w:rsid w:val="00E17ACE"/>
    <w:rsid w:val="00E17B85"/>
    <w:rsid w:val="00E17E3C"/>
    <w:rsid w:val="00E20B5C"/>
    <w:rsid w:val="00E20B5F"/>
    <w:rsid w:val="00E21FD4"/>
    <w:rsid w:val="00E22FDB"/>
    <w:rsid w:val="00E23B98"/>
    <w:rsid w:val="00E23F4F"/>
    <w:rsid w:val="00E245C8"/>
    <w:rsid w:val="00E2462D"/>
    <w:rsid w:val="00E26E10"/>
    <w:rsid w:val="00E27222"/>
    <w:rsid w:val="00E279B5"/>
    <w:rsid w:val="00E307F8"/>
    <w:rsid w:val="00E30B81"/>
    <w:rsid w:val="00E3138F"/>
    <w:rsid w:val="00E32145"/>
    <w:rsid w:val="00E32509"/>
    <w:rsid w:val="00E325C4"/>
    <w:rsid w:val="00E32EF8"/>
    <w:rsid w:val="00E33DDB"/>
    <w:rsid w:val="00E33F9C"/>
    <w:rsid w:val="00E345A3"/>
    <w:rsid w:val="00E347B6"/>
    <w:rsid w:val="00E349D8"/>
    <w:rsid w:val="00E35078"/>
    <w:rsid w:val="00E3649D"/>
    <w:rsid w:val="00E3741C"/>
    <w:rsid w:val="00E375AD"/>
    <w:rsid w:val="00E400D9"/>
    <w:rsid w:val="00E4068E"/>
    <w:rsid w:val="00E4097C"/>
    <w:rsid w:val="00E40E6A"/>
    <w:rsid w:val="00E4146D"/>
    <w:rsid w:val="00E421A1"/>
    <w:rsid w:val="00E42338"/>
    <w:rsid w:val="00E427C7"/>
    <w:rsid w:val="00E4305A"/>
    <w:rsid w:val="00E4348F"/>
    <w:rsid w:val="00E448DE"/>
    <w:rsid w:val="00E44A20"/>
    <w:rsid w:val="00E45201"/>
    <w:rsid w:val="00E45935"/>
    <w:rsid w:val="00E4614C"/>
    <w:rsid w:val="00E4618B"/>
    <w:rsid w:val="00E4650C"/>
    <w:rsid w:val="00E46BE2"/>
    <w:rsid w:val="00E47114"/>
    <w:rsid w:val="00E47420"/>
    <w:rsid w:val="00E47815"/>
    <w:rsid w:val="00E47A22"/>
    <w:rsid w:val="00E47DD9"/>
    <w:rsid w:val="00E47ECE"/>
    <w:rsid w:val="00E507C8"/>
    <w:rsid w:val="00E509E8"/>
    <w:rsid w:val="00E51EF5"/>
    <w:rsid w:val="00E5230D"/>
    <w:rsid w:val="00E5330B"/>
    <w:rsid w:val="00E53445"/>
    <w:rsid w:val="00E53A11"/>
    <w:rsid w:val="00E54FCF"/>
    <w:rsid w:val="00E55247"/>
    <w:rsid w:val="00E55375"/>
    <w:rsid w:val="00E55B76"/>
    <w:rsid w:val="00E561E6"/>
    <w:rsid w:val="00E5642B"/>
    <w:rsid w:val="00E564DE"/>
    <w:rsid w:val="00E56798"/>
    <w:rsid w:val="00E56E39"/>
    <w:rsid w:val="00E570DD"/>
    <w:rsid w:val="00E57625"/>
    <w:rsid w:val="00E57B65"/>
    <w:rsid w:val="00E57D48"/>
    <w:rsid w:val="00E60523"/>
    <w:rsid w:val="00E60EED"/>
    <w:rsid w:val="00E610CF"/>
    <w:rsid w:val="00E6136A"/>
    <w:rsid w:val="00E616F5"/>
    <w:rsid w:val="00E61A0B"/>
    <w:rsid w:val="00E62087"/>
    <w:rsid w:val="00E62783"/>
    <w:rsid w:val="00E63101"/>
    <w:rsid w:val="00E63720"/>
    <w:rsid w:val="00E63752"/>
    <w:rsid w:val="00E64E2A"/>
    <w:rsid w:val="00E650D4"/>
    <w:rsid w:val="00E650F4"/>
    <w:rsid w:val="00E656BC"/>
    <w:rsid w:val="00E6581D"/>
    <w:rsid w:val="00E6587D"/>
    <w:rsid w:val="00E65ADC"/>
    <w:rsid w:val="00E6758F"/>
    <w:rsid w:val="00E67A48"/>
    <w:rsid w:val="00E70695"/>
    <w:rsid w:val="00E70E20"/>
    <w:rsid w:val="00E71AF4"/>
    <w:rsid w:val="00E71EDA"/>
    <w:rsid w:val="00E71F0B"/>
    <w:rsid w:val="00E726FE"/>
    <w:rsid w:val="00E73B25"/>
    <w:rsid w:val="00E74353"/>
    <w:rsid w:val="00E74787"/>
    <w:rsid w:val="00E74E5F"/>
    <w:rsid w:val="00E750DA"/>
    <w:rsid w:val="00E75B53"/>
    <w:rsid w:val="00E75DE0"/>
    <w:rsid w:val="00E769DA"/>
    <w:rsid w:val="00E76F22"/>
    <w:rsid w:val="00E7715E"/>
    <w:rsid w:val="00E77E5C"/>
    <w:rsid w:val="00E77F90"/>
    <w:rsid w:val="00E80358"/>
    <w:rsid w:val="00E808FC"/>
    <w:rsid w:val="00E80A4E"/>
    <w:rsid w:val="00E80D27"/>
    <w:rsid w:val="00E823A1"/>
    <w:rsid w:val="00E82B49"/>
    <w:rsid w:val="00E83183"/>
    <w:rsid w:val="00E833C7"/>
    <w:rsid w:val="00E83DC3"/>
    <w:rsid w:val="00E84286"/>
    <w:rsid w:val="00E8470E"/>
    <w:rsid w:val="00E84B10"/>
    <w:rsid w:val="00E84D70"/>
    <w:rsid w:val="00E84DD3"/>
    <w:rsid w:val="00E862FA"/>
    <w:rsid w:val="00E868E2"/>
    <w:rsid w:val="00E86B78"/>
    <w:rsid w:val="00E86FC5"/>
    <w:rsid w:val="00E87091"/>
    <w:rsid w:val="00E8713D"/>
    <w:rsid w:val="00E879C6"/>
    <w:rsid w:val="00E87F9C"/>
    <w:rsid w:val="00E90B91"/>
    <w:rsid w:val="00E90D13"/>
    <w:rsid w:val="00E90FCD"/>
    <w:rsid w:val="00E9185D"/>
    <w:rsid w:val="00E91D00"/>
    <w:rsid w:val="00E924DA"/>
    <w:rsid w:val="00E925DE"/>
    <w:rsid w:val="00E926EA"/>
    <w:rsid w:val="00E93329"/>
    <w:rsid w:val="00E93A23"/>
    <w:rsid w:val="00E93DEC"/>
    <w:rsid w:val="00E94519"/>
    <w:rsid w:val="00E95EB1"/>
    <w:rsid w:val="00E95F6D"/>
    <w:rsid w:val="00E963E6"/>
    <w:rsid w:val="00E969FC"/>
    <w:rsid w:val="00E96C58"/>
    <w:rsid w:val="00E96CDA"/>
    <w:rsid w:val="00E975E1"/>
    <w:rsid w:val="00EA02E0"/>
    <w:rsid w:val="00EA06E5"/>
    <w:rsid w:val="00EA10AA"/>
    <w:rsid w:val="00EA1CD6"/>
    <w:rsid w:val="00EA1F56"/>
    <w:rsid w:val="00EA2304"/>
    <w:rsid w:val="00EA3A98"/>
    <w:rsid w:val="00EA3E54"/>
    <w:rsid w:val="00EA42F4"/>
    <w:rsid w:val="00EA45DD"/>
    <w:rsid w:val="00EA491B"/>
    <w:rsid w:val="00EA4AE6"/>
    <w:rsid w:val="00EA4B00"/>
    <w:rsid w:val="00EA5151"/>
    <w:rsid w:val="00EA5AC1"/>
    <w:rsid w:val="00EA5F5A"/>
    <w:rsid w:val="00EA621C"/>
    <w:rsid w:val="00EA7A98"/>
    <w:rsid w:val="00EA7CB4"/>
    <w:rsid w:val="00EA7F36"/>
    <w:rsid w:val="00EB08C8"/>
    <w:rsid w:val="00EB0B51"/>
    <w:rsid w:val="00EB116F"/>
    <w:rsid w:val="00EB1281"/>
    <w:rsid w:val="00EB1A53"/>
    <w:rsid w:val="00EB1BDD"/>
    <w:rsid w:val="00EB1F53"/>
    <w:rsid w:val="00EB207F"/>
    <w:rsid w:val="00EB3353"/>
    <w:rsid w:val="00EB3D2B"/>
    <w:rsid w:val="00EB465D"/>
    <w:rsid w:val="00EB48FB"/>
    <w:rsid w:val="00EB4AF2"/>
    <w:rsid w:val="00EB5011"/>
    <w:rsid w:val="00EB547E"/>
    <w:rsid w:val="00EB56F8"/>
    <w:rsid w:val="00EB57D9"/>
    <w:rsid w:val="00EB5AFC"/>
    <w:rsid w:val="00EB69A2"/>
    <w:rsid w:val="00EB7237"/>
    <w:rsid w:val="00EC08D6"/>
    <w:rsid w:val="00EC0D63"/>
    <w:rsid w:val="00EC1393"/>
    <w:rsid w:val="00EC2038"/>
    <w:rsid w:val="00EC2765"/>
    <w:rsid w:val="00EC3A33"/>
    <w:rsid w:val="00EC3EB8"/>
    <w:rsid w:val="00EC4051"/>
    <w:rsid w:val="00EC410E"/>
    <w:rsid w:val="00EC46A5"/>
    <w:rsid w:val="00EC4FC4"/>
    <w:rsid w:val="00EC5391"/>
    <w:rsid w:val="00EC55AC"/>
    <w:rsid w:val="00EC5D77"/>
    <w:rsid w:val="00EC7449"/>
    <w:rsid w:val="00EC79B1"/>
    <w:rsid w:val="00EC79DF"/>
    <w:rsid w:val="00EC7AEA"/>
    <w:rsid w:val="00EC7D77"/>
    <w:rsid w:val="00ED0A4B"/>
    <w:rsid w:val="00ED1288"/>
    <w:rsid w:val="00ED129D"/>
    <w:rsid w:val="00ED18EF"/>
    <w:rsid w:val="00ED2416"/>
    <w:rsid w:val="00ED253F"/>
    <w:rsid w:val="00ED2C07"/>
    <w:rsid w:val="00ED31F5"/>
    <w:rsid w:val="00ED394C"/>
    <w:rsid w:val="00ED3FDA"/>
    <w:rsid w:val="00ED5079"/>
    <w:rsid w:val="00ED550C"/>
    <w:rsid w:val="00ED61B3"/>
    <w:rsid w:val="00ED6374"/>
    <w:rsid w:val="00ED6693"/>
    <w:rsid w:val="00ED6ED2"/>
    <w:rsid w:val="00ED6FA1"/>
    <w:rsid w:val="00ED7087"/>
    <w:rsid w:val="00ED79A8"/>
    <w:rsid w:val="00EE04EC"/>
    <w:rsid w:val="00EE0571"/>
    <w:rsid w:val="00EE09C3"/>
    <w:rsid w:val="00EE0A46"/>
    <w:rsid w:val="00EE0C5F"/>
    <w:rsid w:val="00EE0D86"/>
    <w:rsid w:val="00EE3636"/>
    <w:rsid w:val="00EE3752"/>
    <w:rsid w:val="00EE4B6E"/>
    <w:rsid w:val="00EE4CF0"/>
    <w:rsid w:val="00EE4EB8"/>
    <w:rsid w:val="00EE59B0"/>
    <w:rsid w:val="00EE5A1B"/>
    <w:rsid w:val="00EE5BCC"/>
    <w:rsid w:val="00EE6149"/>
    <w:rsid w:val="00EE65BF"/>
    <w:rsid w:val="00EE6670"/>
    <w:rsid w:val="00EE6ADB"/>
    <w:rsid w:val="00EE7505"/>
    <w:rsid w:val="00EF0CC9"/>
    <w:rsid w:val="00EF0D33"/>
    <w:rsid w:val="00EF1273"/>
    <w:rsid w:val="00EF1CCC"/>
    <w:rsid w:val="00EF26DE"/>
    <w:rsid w:val="00EF29DE"/>
    <w:rsid w:val="00EF4F58"/>
    <w:rsid w:val="00EF6011"/>
    <w:rsid w:val="00EF64E0"/>
    <w:rsid w:val="00EF650D"/>
    <w:rsid w:val="00EF6642"/>
    <w:rsid w:val="00EF6B4A"/>
    <w:rsid w:val="00EF74FF"/>
    <w:rsid w:val="00EF7CF7"/>
    <w:rsid w:val="00EF7D0F"/>
    <w:rsid w:val="00F0075F"/>
    <w:rsid w:val="00F0076F"/>
    <w:rsid w:val="00F00B97"/>
    <w:rsid w:val="00F00BE2"/>
    <w:rsid w:val="00F01BA4"/>
    <w:rsid w:val="00F01C96"/>
    <w:rsid w:val="00F026B5"/>
    <w:rsid w:val="00F026BD"/>
    <w:rsid w:val="00F02757"/>
    <w:rsid w:val="00F02D19"/>
    <w:rsid w:val="00F02F26"/>
    <w:rsid w:val="00F03E59"/>
    <w:rsid w:val="00F04711"/>
    <w:rsid w:val="00F0482D"/>
    <w:rsid w:val="00F0489F"/>
    <w:rsid w:val="00F05067"/>
    <w:rsid w:val="00F05A7E"/>
    <w:rsid w:val="00F05B7A"/>
    <w:rsid w:val="00F06F72"/>
    <w:rsid w:val="00F07178"/>
    <w:rsid w:val="00F07496"/>
    <w:rsid w:val="00F07B5E"/>
    <w:rsid w:val="00F07B99"/>
    <w:rsid w:val="00F106C4"/>
    <w:rsid w:val="00F10BA5"/>
    <w:rsid w:val="00F10E4A"/>
    <w:rsid w:val="00F111ED"/>
    <w:rsid w:val="00F118BA"/>
    <w:rsid w:val="00F12268"/>
    <w:rsid w:val="00F122A0"/>
    <w:rsid w:val="00F1231F"/>
    <w:rsid w:val="00F12C55"/>
    <w:rsid w:val="00F12C98"/>
    <w:rsid w:val="00F12DA7"/>
    <w:rsid w:val="00F12E82"/>
    <w:rsid w:val="00F131AE"/>
    <w:rsid w:val="00F138E4"/>
    <w:rsid w:val="00F1425F"/>
    <w:rsid w:val="00F14C44"/>
    <w:rsid w:val="00F1500E"/>
    <w:rsid w:val="00F15304"/>
    <w:rsid w:val="00F15595"/>
    <w:rsid w:val="00F15602"/>
    <w:rsid w:val="00F15912"/>
    <w:rsid w:val="00F15C9F"/>
    <w:rsid w:val="00F15F6B"/>
    <w:rsid w:val="00F16241"/>
    <w:rsid w:val="00F16F43"/>
    <w:rsid w:val="00F17B84"/>
    <w:rsid w:val="00F17E67"/>
    <w:rsid w:val="00F20FBF"/>
    <w:rsid w:val="00F21A19"/>
    <w:rsid w:val="00F22088"/>
    <w:rsid w:val="00F22393"/>
    <w:rsid w:val="00F25376"/>
    <w:rsid w:val="00F261B4"/>
    <w:rsid w:val="00F2647A"/>
    <w:rsid w:val="00F26544"/>
    <w:rsid w:val="00F26D7B"/>
    <w:rsid w:val="00F2776F"/>
    <w:rsid w:val="00F27DAF"/>
    <w:rsid w:val="00F30800"/>
    <w:rsid w:val="00F31117"/>
    <w:rsid w:val="00F3326B"/>
    <w:rsid w:val="00F33C2F"/>
    <w:rsid w:val="00F3434F"/>
    <w:rsid w:val="00F34536"/>
    <w:rsid w:val="00F345DF"/>
    <w:rsid w:val="00F34D95"/>
    <w:rsid w:val="00F3543E"/>
    <w:rsid w:val="00F3591B"/>
    <w:rsid w:val="00F37886"/>
    <w:rsid w:val="00F37D27"/>
    <w:rsid w:val="00F409C6"/>
    <w:rsid w:val="00F40B5C"/>
    <w:rsid w:val="00F40DD6"/>
    <w:rsid w:val="00F41D48"/>
    <w:rsid w:val="00F428C3"/>
    <w:rsid w:val="00F42DBC"/>
    <w:rsid w:val="00F42F44"/>
    <w:rsid w:val="00F45F59"/>
    <w:rsid w:val="00F4606D"/>
    <w:rsid w:val="00F46C1D"/>
    <w:rsid w:val="00F46C54"/>
    <w:rsid w:val="00F46EBE"/>
    <w:rsid w:val="00F4701F"/>
    <w:rsid w:val="00F474B7"/>
    <w:rsid w:val="00F47EEC"/>
    <w:rsid w:val="00F47F89"/>
    <w:rsid w:val="00F513FC"/>
    <w:rsid w:val="00F517F7"/>
    <w:rsid w:val="00F51821"/>
    <w:rsid w:val="00F5215D"/>
    <w:rsid w:val="00F53994"/>
    <w:rsid w:val="00F5454C"/>
    <w:rsid w:val="00F552CE"/>
    <w:rsid w:val="00F5575B"/>
    <w:rsid w:val="00F55941"/>
    <w:rsid w:val="00F55F02"/>
    <w:rsid w:val="00F57481"/>
    <w:rsid w:val="00F57D6E"/>
    <w:rsid w:val="00F60124"/>
    <w:rsid w:val="00F60C1A"/>
    <w:rsid w:val="00F61393"/>
    <w:rsid w:val="00F615E2"/>
    <w:rsid w:val="00F628B3"/>
    <w:rsid w:val="00F639F2"/>
    <w:rsid w:val="00F63E96"/>
    <w:rsid w:val="00F63FD0"/>
    <w:rsid w:val="00F6518B"/>
    <w:rsid w:val="00F6561E"/>
    <w:rsid w:val="00F65995"/>
    <w:rsid w:val="00F65AD1"/>
    <w:rsid w:val="00F65BBA"/>
    <w:rsid w:val="00F66EA6"/>
    <w:rsid w:val="00F66F0C"/>
    <w:rsid w:val="00F679B4"/>
    <w:rsid w:val="00F7143B"/>
    <w:rsid w:val="00F72DE0"/>
    <w:rsid w:val="00F734C8"/>
    <w:rsid w:val="00F736B4"/>
    <w:rsid w:val="00F73703"/>
    <w:rsid w:val="00F739AE"/>
    <w:rsid w:val="00F73FDA"/>
    <w:rsid w:val="00F7415D"/>
    <w:rsid w:val="00F741FD"/>
    <w:rsid w:val="00F757B3"/>
    <w:rsid w:val="00F75C02"/>
    <w:rsid w:val="00F77142"/>
    <w:rsid w:val="00F77F4A"/>
    <w:rsid w:val="00F80161"/>
    <w:rsid w:val="00F801BE"/>
    <w:rsid w:val="00F80503"/>
    <w:rsid w:val="00F80AB9"/>
    <w:rsid w:val="00F81E21"/>
    <w:rsid w:val="00F825A9"/>
    <w:rsid w:val="00F82A35"/>
    <w:rsid w:val="00F8323B"/>
    <w:rsid w:val="00F83D2B"/>
    <w:rsid w:val="00F8427F"/>
    <w:rsid w:val="00F8473F"/>
    <w:rsid w:val="00F84AE1"/>
    <w:rsid w:val="00F84F39"/>
    <w:rsid w:val="00F85018"/>
    <w:rsid w:val="00F851C7"/>
    <w:rsid w:val="00F85926"/>
    <w:rsid w:val="00F85EDF"/>
    <w:rsid w:val="00F8633D"/>
    <w:rsid w:val="00F87105"/>
    <w:rsid w:val="00F877F7"/>
    <w:rsid w:val="00F905B1"/>
    <w:rsid w:val="00F909C0"/>
    <w:rsid w:val="00F90D83"/>
    <w:rsid w:val="00F91B40"/>
    <w:rsid w:val="00F91C8C"/>
    <w:rsid w:val="00F91CEF"/>
    <w:rsid w:val="00F91E06"/>
    <w:rsid w:val="00F92424"/>
    <w:rsid w:val="00F925FC"/>
    <w:rsid w:val="00F9261E"/>
    <w:rsid w:val="00F92935"/>
    <w:rsid w:val="00F92CFA"/>
    <w:rsid w:val="00F93126"/>
    <w:rsid w:val="00F933BF"/>
    <w:rsid w:val="00F938B8"/>
    <w:rsid w:val="00F93933"/>
    <w:rsid w:val="00F93B01"/>
    <w:rsid w:val="00F93FD8"/>
    <w:rsid w:val="00F93FE0"/>
    <w:rsid w:val="00F94C34"/>
    <w:rsid w:val="00F95491"/>
    <w:rsid w:val="00F959BF"/>
    <w:rsid w:val="00F95BA6"/>
    <w:rsid w:val="00F95EB0"/>
    <w:rsid w:val="00F960D0"/>
    <w:rsid w:val="00F96309"/>
    <w:rsid w:val="00F96C2E"/>
    <w:rsid w:val="00F97452"/>
    <w:rsid w:val="00F976F8"/>
    <w:rsid w:val="00F97F3A"/>
    <w:rsid w:val="00FA0A73"/>
    <w:rsid w:val="00FA0F6A"/>
    <w:rsid w:val="00FA168B"/>
    <w:rsid w:val="00FA4017"/>
    <w:rsid w:val="00FA4EA3"/>
    <w:rsid w:val="00FA5565"/>
    <w:rsid w:val="00FA5D53"/>
    <w:rsid w:val="00FA62BD"/>
    <w:rsid w:val="00FA6808"/>
    <w:rsid w:val="00FA6F66"/>
    <w:rsid w:val="00FA6FCB"/>
    <w:rsid w:val="00FA74D4"/>
    <w:rsid w:val="00FA79D1"/>
    <w:rsid w:val="00FA7B25"/>
    <w:rsid w:val="00FA7F89"/>
    <w:rsid w:val="00FB00AF"/>
    <w:rsid w:val="00FB048D"/>
    <w:rsid w:val="00FB1A55"/>
    <w:rsid w:val="00FB1E1D"/>
    <w:rsid w:val="00FB1E27"/>
    <w:rsid w:val="00FB2186"/>
    <w:rsid w:val="00FB2A4E"/>
    <w:rsid w:val="00FB2E6C"/>
    <w:rsid w:val="00FB3149"/>
    <w:rsid w:val="00FB32C0"/>
    <w:rsid w:val="00FB3D4C"/>
    <w:rsid w:val="00FB3F62"/>
    <w:rsid w:val="00FB40B4"/>
    <w:rsid w:val="00FB45DA"/>
    <w:rsid w:val="00FB49B6"/>
    <w:rsid w:val="00FB4C8D"/>
    <w:rsid w:val="00FB4FD0"/>
    <w:rsid w:val="00FB53AB"/>
    <w:rsid w:val="00FB5D7C"/>
    <w:rsid w:val="00FB5F35"/>
    <w:rsid w:val="00FB6217"/>
    <w:rsid w:val="00FB6728"/>
    <w:rsid w:val="00FB70CC"/>
    <w:rsid w:val="00FB72D5"/>
    <w:rsid w:val="00FC00B2"/>
    <w:rsid w:val="00FC0387"/>
    <w:rsid w:val="00FC05DF"/>
    <w:rsid w:val="00FC0869"/>
    <w:rsid w:val="00FC0FC1"/>
    <w:rsid w:val="00FC17C7"/>
    <w:rsid w:val="00FC2304"/>
    <w:rsid w:val="00FC2408"/>
    <w:rsid w:val="00FC25EA"/>
    <w:rsid w:val="00FC3936"/>
    <w:rsid w:val="00FC3BD2"/>
    <w:rsid w:val="00FC3E4E"/>
    <w:rsid w:val="00FC4212"/>
    <w:rsid w:val="00FC4C0F"/>
    <w:rsid w:val="00FC5607"/>
    <w:rsid w:val="00FC67C5"/>
    <w:rsid w:val="00FC6A71"/>
    <w:rsid w:val="00FC7489"/>
    <w:rsid w:val="00FC7F2A"/>
    <w:rsid w:val="00FD0765"/>
    <w:rsid w:val="00FD0875"/>
    <w:rsid w:val="00FD0A40"/>
    <w:rsid w:val="00FD0C56"/>
    <w:rsid w:val="00FD1612"/>
    <w:rsid w:val="00FD17B2"/>
    <w:rsid w:val="00FD217C"/>
    <w:rsid w:val="00FD2315"/>
    <w:rsid w:val="00FD2A07"/>
    <w:rsid w:val="00FD2AF2"/>
    <w:rsid w:val="00FD2FD6"/>
    <w:rsid w:val="00FD3988"/>
    <w:rsid w:val="00FD3B24"/>
    <w:rsid w:val="00FD43E6"/>
    <w:rsid w:val="00FD4FC0"/>
    <w:rsid w:val="00FD54F5"/>
    <w:rsid w:val="00FD6E02"/>
    <w:rsid w:val="00FD7099"/>
    <w:rsid w:val="00FD7246"/>
    <w:rsid w:val="00FD7A82"/>
    <w:rsid w:val="00FE0266"/>
    <w:rsid w:val="00FE1116"/>
    <w:rsid w:val="00FE16B8"/>
    <w:rsid w:val="00FE1E68"/>
    <w:rsid w:val="00FE20A8"/>
    <w:rsid w:val="00FE2A23"/>
    <w:rsid w:val="00FE32C6"/>
    <w:rsid w:val="00FE338A"/>
    <w:rsid w:val="00FE3B48"/>
    <w:rsid w:val="00FE40A1"/>
    <w:rsid w:val="00FE4C1E"/>
    <w:rsid w:val="00FE4FE2"/>
    <w:rsid w:val="00FE510D"/>
    <w:rsid w:val="00FE5785"/>
    <w:rsid w:val="00FE5820"/>
    <w:rsid w:val="00FE5880"/>
    <w:rsid w:val="00FE61F3"/>
    <w:rsid w:val="00FE69C0"/>
    <w:rsid w:val="00FE7DB8"/>
    <w:rsid w:val="00FE7F43"/>
    <w:rsid w:val="00FF0AD1"/>
    <w:rsid w:val="00FF161E"/>
    <w:rsid w:val="00FF2BEF"/>
    <w:rsid w:val="00FF2CE7"/>
    <w:rsid w:val="00FF324F"/>
    <w:rsid w:val="00FF3256"/>
    <w:rsid w:val="00FF38A6"/>
    <w:rsid w:val="00FF3CE0"/>
    <w:rsid w:val="00FF3F1A"/>
    <w:rsid w:val="00FF488F"/>
    <w:rsid w:val="00FF4C3E"/>
    <w:rsid w:val="00FF5458"/>
    <w:rsid w:val="00FF5AD6"/>
    <w:rsid w:val="00FF60F4"/>
    <w:rsid w:val="00FF6276"/>
    <w:rsid w:val="00FF66EB"/>
    <w:rsid w:val="00FF7054"/>
    <w:rsid w:val="00FF7625"/>
    <w:rsid w:val="00FF7759"/>
    <w:rsid w:val="01021808"/>
    <w:rsid w:val="01064676"/>
    <w:rsid w:val="01137ECF"/>
    <w:rsid w:val="01191F36"/>
    <w:rsid w:val="01241D66"/>
    <w:rsid w:val="014A3244"/>
    <w:rsid w:val="018B7CE4"/>
    <w:rsid w:val="01A51AFF"/>
    <w:rsid w:val="01B95421"/>
    <w:rsid w:val="01C61DEC"/>
    <w:rsid w:val="020B1354"/>
    <w:rsid w:val="022D32CB"/>
    <w:rsid w:val="022E2BEF"/>
    <w:rsid w:val="02405F8A"/>
    <w:rsid w:val="025A55E9"/>
    <w:rsid w:val="029442A4"/>
    <w:rsid w:val="02A23766"/>
    <w:rsid w:val="02BC63B4"/>
    <w:rsid w:val="0317318F"/>
    <w:rsid w:val="034D12D4"/>
    <w:rsid w:val="035C2662"/>
    <w:rsid w:val="03637FE7"/>
    <w:rsid w:val="0376348B"/>
    <w:rsid w:val="0388663C"/>
    <w:rsid w:val="03A97929"/>
    <w:rsid w:val="03C32A6F"/>
    <w:rsid w:val="03CE20DF"/>
    <w:rsid w:val="03D57B0C"/>
    <w:rsid w:val="03E20A37"/>
    <w:rsid w:val="03FB034A"/>
    <w:rsid w:val="040E0780"/>
    <w:rsid w:val="042042C5"/>
    <w:rsid w:val="047A6254"/>
    <w:rsid w:val="04BE1034"/>
    <w:rsid w:val="04D0480D"/>
    <w:rsid w:val="04D34B21"/>
    <w:rsid w:val="04D81D11"/>
    <w:rsid w:val="04E366BD"/>
    <w:rsid w:val="04F10A9B"/>
    <w:rsid w:val="04F36E13"/>
    <w:rsid w:val="05021FB6"/>
    <w:rsid w:val="05050434"/>
    <w:rsid w:val="050C25B1"/>
    <w:rsid w:val="050E1D07"/>
    <w:rsid w:val="0515460A"/>
    <w:rsid w:val="052076F5"/>
    <w:rsid w:val="053F6840"/>
    <w:rsid w:val="05525152"/>
    <w:rsid w:val="056120D1"/>
    <w:rsid w:val="05656DAB"/>
    <w:rsid w:val="059874F0"/>
    <w:rsid w:val="059E0622"/>
    <w:rsid w:val="05CD1AD2"/>
    <w:rsid w:val="05D050F7"/>
    <w:rsid w:val="05F9607E"/>
    <w:rsid w:val="05FE2BF2"/>
    <w:rsid w:val="06035C4C"/>
    <w:rsid w:val="06402ABA"/>
    <w:rsid w:val="064E339A"/>
    <w:rsid w:val="064E6EC7"/>
    <w:rsid w:val="068D6A93"/>
    <w:rsid w:val="069E6AB1"/>
    <w:rsid w:val="06A26061"/>
    <w:rsid w:val="06CE7668"/>
    <w:rsid w:val="06E00027"/>
    <w:rsid w:val="06E25B52"/>
    <w:rsid w:val="071954E8"/>
    <w:rsid w:val="072D2162"/>
    <w:rsid w:val="073518D0"/>
    <w:rsid w:val="07354BC2"/>
    <w:rsid w:val="07442036"/>
    <w:rsid w:val="0750320D"/>
    <w:rsid w:val="079E0D8E"/>
    <w:rsid w:val="07CD7297"/>
    <w:rsid w:val="07D16002"/>
    <w:rsid w:val="08135BF2"/>
    <w:rsid w:val="081604A6"/>
    <w:rsid w:val="085C77EA"/>
    <w:rsid w:val="08656A7F"/>
    <w:rsid w:val="08B05320"/>
    <w:rsid w:val="08E9597F"/>
    <w:rsid w:val="08F900D1"/>
    <w:rsid w:val="08F935C9"/>
    <w:rsid w:val="09045CE0"/>
    <w:rsid w:val="09696FDD"/>
    <w:rsid w:val="096C5C89"/>
    <w:rsid w:val="097313E3"/>
    <w:rsid w:val="09765D70"/>
    <w:rsid w:val="09771A8A"/>
    <w:rsid w:val="097A7E27"/>
    <w:rsid w:val="09813EE4"/>
    <w:rsid w:val="09A17C7A"/>
    <w:rsid w:val="09A54C50"/>
    <w:rsid w:val="09BC6028"/>
    <w:rsid w:val="09CD4DDF"/>
    <w:rsid w:val="09D35269"/>
    <w:rsid w:val="09DD448E"/>
    <w:rsid w:val="09DD6A43"/>
    <w:rsid w:val="09E244F6"/>
    <w:rsid w:val="09FD0A32"/>
    <w:rsid w:val="0A2B31CA"/>
    <w:rsid w:val="0A534AFF"/>
    <w:rsid w:val="0A5A5EB7"/>
    <w:rsid w:val="0A6F3443"/>
    <w:rsid w:val="0AAE469B"/>
    <w:rsid w:val="0AB51B2D"/>
    <w:rsid w:val="0B104CB8"/>
    <w:rsid w:val="0B107D8C"/>
    <w:rsid w:val="0B154BBD"/>
    <w:rsid w:val="0B325F44"/>
    <w:rsid w:val="0B471BC9"/>
    <w:rsid w:val="0B6866EB"/>
    <w:rsid w:val="0B7071B5"/>
    <w:rsid w:val="0B825EDB"/>
    <w:rsid w:val="0BCA3D41"/>
    <w:rsid w:val="0BCC1983"/>
    <w:rsid w:val="0C1110C3"/>
    <w:rsid w:val="0C2057FC"/>
    <w:rsid w:val="0C2D66FE"/>
    <w:rsid w:val="0C403756"/>
    <w:rsid w:val="0C523489"/>
    <w:rsid w:val="0C5E3191"/>
    <w:rsid w:val="0C616454"/>
    <w:rsid w:val="0C764AAB"/>
    <w:rsid w:val="0C7A707B"/>
    <w:rsid w:val="0C864E88"/>
    <w:rsid w:val="0C8C7B9F"/>
    <w:rsid w:val="0C9475E1"/>
    <w:rsid w:val="0CA62E5A"/>
    <w:rsid w:val="0CB43017"/>
    <w:rsid w:val="0CD32AA0"/>
    <w:rsid w:val="0CE41E67"/>
    <w:rsid w:val="0D17585D"/>
    <w:rsid w:val="0D3E33CC"/>
    <w:rsid w:val="0D531267"/>
    <w:rsid w:val="0D5745CD"/>
    <w:rsid w:val="0D575B85"/>
    <w:rsid w:val="0D5E04FB"/>
    <w:rsid w:val="0D607B2A"/>
    <w:rsid w:val="0D7E21C9"/>
    <w:rsid w:val="0D885EF1"/>
    <w:rsid w:val="0DA37C00"/>
    <w:rsid w:val="0DAF0AF5"/>
    <w:rsid w:val="0DDF7C6E"/>
    <w:rsid w:val="0DF317F5"/>
    <w:rsid w:val="0DF626F7"/>
    <w:rsid w:val="0DF7405B"/>
    <w:rsid w:val="0DF96E8C"/>
    <w:rsid w:val="0E183F30"/>
    <w:rsid w:val="0E1C1B02"/>
    <w:rsid w:val="0E1D2CA7"/>
    <w:rsid w:val="0E2E2851"/>
    <w:rsid w:val="0E4571B4"/>
    <w:rsid w:val="0E513A96"/>
    <w:rsid w:val="0E6A0CB4"/>
    <w:rsid w:val="0E6F20D1"/>
    <w:rsid w:val="0E79874A"/>
    <w:rsid w:val="0E7F55DC"/>
    <w:rsid w:val="0E824CB1"/>
    <w:rsid w:val="0E893E01"/>
    <w:rsid w:val="0E981627"/>
    <w:rsid w:val="0EDD16F0"/>
    <w:rsid w:val="0EEB067E"/>
    <w:rsid w:val="0EEC37BE"/>
    <w:rsid w:val="0F075DB7"/>
    <w:rsid w:val="0F1555F1"/>
    <w:rsid w:val="0F22624D"/>
    <w:rsid w:val="0F5A309E"/>
    <w:rsid w:val="0F7F0CB4"/>
    <w:rsid w:val="0F864AF8"/>
    <w:rsid w:val="0F891808"/>
    <w:rsid w:val="0FD05B7C"/>
    <w:rsid w:val="0FE26F7E"/>
    <w:rsid w:val="0FF86998"/>
    <w:rsid w:val="0FFB69DA"/>
    <w:rsid w:val="0FFF9E23"/>
    <w:rsid w:val="104D2298"/>
    <w:rsid w:val="10732690"/>
    <w:rsid w:val="108A3181"/>
    <w:rsid w:val="10933928"/>
    <w:rsid w:val="10E053CE"/>
    <w:rsid w:val="10EA5F4D"/>
    <w:rsid w:val="11437F75"/>
    <w:rsid w:val="115A4A6C"/>
    <w:rsid w:val="117A67CD"/>
    <w:rsid w:val="118A5482"/>
    <w:rsid w:val="11CB154F"/>
    <w:rsid w:val="11D57FF6"/>
    <w:rsid w:val="11EC0DBF"/>
    <w:rsid w:val="11ED44F6"/>
    <w:rsid w:val="11EF5B10"/>
    <w:rsid w:val="11FB708E"/>
    <w:rsid w:val="12003074"/>
    <w:rsid w:val="12042B6A"/>
    <w:rsid w:val="1283653C"/>
    <w:rsid w:val="128D0ACD"/>
    <w:rsid w:val="12934B57"/>
    <w:rsid w:val="12962C5B"/>
    <w:rsid w:val="12AF0785"/>
    <w:rsid w:val="12B5001B"/>
    <w:rsid w:val="12B74C45"/>
    <w:rsid w:val="12B97E85"/>
    <w:rsid w:val="12E02111"/>
    <w:rsid w:val="12E0359D"/>
    <w:rsid w:val="12E3158A"/>
    <w:rsid w:val="12FE3A23"/>
    <w:rsid w:val="131948E0"/>
    <w:rsid w:val="13326301"/>
    <w:rsid w:val="134B49D1"/>
    <w:rsid w:val="13774559"/>
    <w:rsid w:val="13831D0F"/>
    <w:rsid w:val="13A07D1C"/>
    <w:rsid w:val="13AA6C7A"/>
    <w:rsid w:val="13AF12D1"/>
    <w:rsid w:val="13D97F0D"/>
    <w:rsid w:val="13DB77D7"/>
    <w:rsid w:val="140621DE"/>
    <w:rsid w:val="146A774B"/>
    <w:rsid w:val="146B5DFA"/>
    <w:rsid w:val="146E33A4"/>
    <w:rsid w:val="14735B84"/>
    <w:rsid w:val="14833540"/>
    <w:rsid w:val="14887B0E"/>
    <w:rsid w:val="14946069"/>
    <w:rsid w:val="14A93F80"/>
    <w:rsid w:val="14CA0061"/>
    <w:rsid w:val="14E145A4"/>
    <w:rsid w:val="14E20675"/>
    <w:rsid w:val="151614F8"/>
    <w:rsid w:val="151D2E85"/>
    <w:rsid w:val="152315CE"/>
    <w:rsid w:val="153A298B"/>
    <w:rsid w:val="155C7174"/>
    <w:rsid w:val="15612C23"/>
    <w:rsid w:val="15702ADB"/>
    <w:rsid w:val="157F4238"/>
    <w:rsid w:val="15942E62"/>
    <w:rsid w:val="15994249"/>
    <w:rsid w:val="15A20FDE"/>
    <w:rsid w:val="15B8776F"/>
    <w:rsid w:val="15C80049"/>
    <w:rsid w:val="15DC403B"/>
    <w:rsid w:val="15DF7A70"/>
    <w:rsid w:val="15FC4DAB"/>
    <w:rsid w:val="16111742"/>
    <w:rsid w:val="161F262E"/>
    <w:rsid w:val="1642631D"/>
    <w:rsid w:val="16444AAD"/>
    <w:rsid w:val="164729D6"/>
    <w:rsid w:val="16623343"/>
    <w:rsid w:val="167639EE"/>
    <w:rsid w:val="16952AE1"/>
    <w:rsid w:val="16987D08"/>
    <w:rsid w:val="16B000D0"/>
    <w:rsid w:val="16C06700"/>
    <w:rsid w:val="16D52CED"/>
    <w:rsid w:val="16F64A51"/>
    <w:rsid w:val="1703020F"/>
    <w:rsid w:val="1712563F"/>
    <w:rsid w:val="171728C0"/>
    <w:rsid w:val="1731377E"/>
    <w:rsid w:val="173B45EA"/>
    <w:rsid w:val="175824DC"/>
    <w:rsid w:val="17684F4D"/>
    <w:rsid w:val="17732C32"/>
    <w:rsid w:val="179363BB"/>
    <w:rsid w:val="17A02F74"/>
    <w:rsid w:val="17A64703"/>
    <w:rsid w:val="17AF94C5"/>
    <w:rsid w:val="17D426A8"/>
    <w:rsid w:val="17D430F8"/>
    <w:rsid w:val="17F10988"/>
    <w:rsid w:val="180F222F"/>
    <w:rsid w:val="181F3A21"/>
    <w:rsid w:val="18267CA4"/>
    <w:rsid w:val="18420450"/>
    <w:rsid w:val="18585984"/>
    <w:rsid w:val="18932160"/>
    <w:rsid w:val="18B45502"/>
    <w:rsid w:val="18DB1BD5"/>
    <w:rsid w:val="1925275C"/>
    <w:rsid w:val="19325F66"/>
    <w:rsid w:val="195F03D1"/>
    <w:rsid w:val="19784F04"/>
    <w:rsid w:val="197B27AB"/>
    <w:rsid w:val="19853DFD"/>
    <w:rsid w:val="198B0A33"/>
    <w:rsid w:val="19A73E3E"/>
    <w:rsid w:val="19B377DB"/>
    <w:rsid w:val="19B63D32"/>
    <w:rsid w:val="19C41B53"/>
    <w:rsid w:val="19C57049"/>
    <w:rsid w:val="1A03730E"/>
    <w:rsid w:val="1A143B33"/>
    <w:rsid w:val="1A2E4342"/>
    <w:rsid w:val="1A306299"/>
    <w:rsid w:val="1A3503C3"/>
    <w:rsid w:val="1A4E6FE1"/>
    <w:rsid w:val="1A5D3725"/>
    <w:rsid w:val="1A627DE6"/>
    <w:rsid w:val="1A761976"/>
    <w:rsid w:val="1A7D4CCC"/>
    <w:rsid w:val="1A8E6CD5"/>
    <w:rsid w:val="1A9452B0"/>
    <w:rsid w:val="1A986C8A"/>
    <w:rsid w:val="1AB765E6"/>
    <w:rsid w:val="1AB84712"/>
    <w:rsid w:val="1ACF3752"/>
    <w:rsid w:val="1AD86012"/>
    <w:rsid w:val="1AD9181C"/>
    <w:rsid w:val="1AE9346B"/>
    <w:rsid w:val="1AED79C0"/>
    <w:rsid w:val="1B0537E4"/>
    <w:rsid w:val="1B0C3A0A"/>
    <w:rsid w:val="1B2E771E"/>
    <w:rsid w:val="1B3E2362"/>
    <w:rsid w:val="1B476529"/>
    <w:rsid w:val="1B4E3302"/>
    <w:rsid w:val="1B5E6CDA"/>
    <w:rsid w:val="1B6212E1"/>
    <w:rsid w:val="1B684130"/>
    <w:rsid w:val="1B77204D"/>
    <w:rsid w:val="1B857BD8"/>
    <w:rsid w:val="1B8C1890"/>
    <w:rsid w:val="1B976D3F"/>
    <w:rsid w:val="1BBF2D87"/>
    <w:rsid w:val="1BC349DE"/>
    <w:rsid w:val="1BF442EC"/>
    <w:rsid w:val="1C2E35CB"/>
    <w:rsid w:val="1C3F7FA6"/>
    <w:rsid w:val="1C492B76"/>
    <w:rsid w:val="1C550470"/>
    <w:rsid w:val="1C747EF9"/>
    <w:rsid w:val="1C813E89"/>
    <w:rsid w:val="1C844B5B"/>
    <w:rsid w:val="1C86668C"/>
    <w:rsid w:val="1C8C6C33"/>
    <w:rsid w:val="1CC64637"/>
    <w:rsid w:val="1CCA25EF"/>
    <w:rsid w:val="1CCA789A"/>
    <w:rsid w:val="1CCC4A9D"/>
    <w:rsid w:val="1CD67896"/>
    <w:rsid w:val="1CE03735"/>
    <w:rsid w:val="1D2C234D"/>
    <w:rsid w:val="1D3348B9"/>
    <w:rsid w:val="1D6BA2A5"/>
    <w:rsid w:val="1D70483F"/>
    <w:rsid w:val="1D760B5F"/>
    <w:rsid w:val="1D7736AA"/>
    <w:rsid w:val="1D7EDBAC"/>
    <w:rsid w:val="1DA55031"/>
    <w:rsid w:val="1DA90101"/>
    <w:rsid w:val="1DB72178"/>
    <w:rsid w:val="1DE33932"/>
    <w:rsid w:val="1DE547AB"/>
    <w:rsid w:val="1DEA3BDA"/>
    <w:rsid w:val="1DF1708C"/>
    <w:rsid w:val="1DF50633"/>
    <w:rsid w:val="1E1B3FC3"/>
    <w:rsid w:val="1E3D42AB"/>
    <w:rsid w:val="1E5506FC"/>
    <w:rsid w:val="1E5805C9"/>
    <w:rsid w:val="1E5C27D9"/>
    <w:rsid w:val="1E6E8FC2"/>
    <w:rsid w:val="1E960B39"/>
    <w:rsid w:val="1EA8294E"/>
    <w:rsid w:val="1ECC0E79"/>
    <w:rsid w:val="1EE920F1"/>
    <w:rsid w:val="1EEDC44B"/>
    <w:rsid w:val="1EF321F1"/>
    <w:rsid w:val="1EF83469"/>
    <w:rsid w:val="1F121216"/>
    <w:rsid w:val="1F1A79F2"/>
    <w:rsid w:val="1F3C2E43"/>
    <w:rsid w:val="1F4205D3"/>
    <w:rsid w:val="1F433A78"/>
    <w:rsid w:val="1F4D0F4B"/>
    <w:rsid w:val="1F901744"/>
    <w:rsid w:val="1F983263"/>
    <w:rsid w:val="1FAF1D46"/>
    <w:rsid w:val="1FB1255F"/>
    <w:rsid w:val="1FC41B50"/>
    <w:rsid w:val="1FD97C09"/>
    <w:rsid w:val="1FDF48EE"/>
    <w:rsid w:val="1FE607C1"/>
    <w:rsid w:val="200927CB"/>
    <w:rsid w:val="203A0E21"/>
    <w:rsid w:val="203B04ED"/>
    <w:rsid w:val="203F229D"/>
    <w:rsid w:val="20580C17"/>
    <w:rsid w:val="20625F75"/>
    <w:rsid w:val="2069158A"/>
    <w:rsid w:val="207364D3"/>
    <w:rsid w:val="207E29D1"/>
    <w:rsid w:val="20967991"/>
    <w:rsid w:val="20976B5A"/>
    <w:rsid w:val="209B4147"/>
    <w:rsid w:val="20C26C84"/>
    <w:rsid w:val="20C42294"/>
    <w:rsid w:val="20C443FE"/>
    <w:rsid w:val="20C50451"/>
    <w:rsid w:val="20C82146"/>
    <w:rsid w:val="20D77BFC"/>
    <w:rsid w:val="210F16D9"/>
    <w:rsid w:val="210F7FBF"/>
    <w:rsid w:val="21372259"/>
    <w:rsid w:val="21694910"/>
    <w:rsid w:val="21822CFB"/>
    <w:rsid w:val="218438BD"/>
    <w:rsid w:val="21C35049"/>
    <w:rsid w:val="21D63963"/>
    <w:rsid w:val="21E12E8E"/>
    <w:rsid w:val="21EC569A"/>
    <w:rsid w:val="21ED4624"/>
    <w:rsid w:val="22294218"/>
    <w:rsid w:val="22512901"/>
    <w:rsid w:val="2267492F"/>
    <w:rsid w:val="22A44447"/>
    <w:rsid w:val="22B346F2"/>
    <w:rsid w:val="22D05B48"/>
    <w:rsid w:val="22E006EF"/>
    <w:rsid w:val="22F00A92"/>
    <w:rsid w:val="2301712C"/>
    <w:rsid w:val="2320282F"/>
    <w:rsid w:val="23444268"/>
    <w:rsid w:val="23476D20"/>
    <w:rsid w:val="23B302CE"/>
    <w:rsid w:val="23D16EFC"/>
    <w:rsid w:val="23EF3232"/>
    <w:rsid w:val="2403431B"/>
    <w:rsid w:val="240A5D77"/>
    <w:rsid w:val="240D7F6A"/>
    <w:rsid w:val="24142194"/>
    <w:rsid w:val="24550DDE"/>
    <w:rsid w:val="246739F8"/>
    <w:rsid w:val="24A30FBB"/>
    <w:rsid w:val="24A952A5"/>
    <w:rsid w:val="24C00E4A"/>
    <w:rsid w:val="24DB1B09"/>
    <w:rsid w:val="24E60780"/>
    <w:rsid w:val="24F43B92"/>
    <w:rsid w:val="24FF19C4"/>
    <w:rsid w:val="25041590"/>
    <w:rsid w:val="252E63EA"/>
    <w:rsid w:val="2548439A"/>
    <w:rsid w:val="25731E80"/>
    <w:rsid w:val="257866B1"/>
    <w:rsid w:val="258F38CC"/>
    <w:rsid w:val="25A82F5B"/>
    <w:rsid w:val="25C1725E"/>
    <w:rsid w:val="25C915FC"/>
    <w:rsid w:val="260874E8"/>
    <w:rsid w:val="26124ED4"/>
    <w:rsid w:val="2632366A"/>
    <w:rsid w:val="26333878"/>
    <w:rsid w:val="26520DBA"/>
    <w:rsid w:val="26595760"/>
    <w:rsid w:val="26780EC0"/>
    <w:rsid w:val="267E7E2B"/>
    <w:rsid w:val="26B613FF"/>
    <w:rsid w:val="26C62C95"/>
    <w:rsid w:val="26C848AF"/>
    <w:rsid w:val="26CE2A68"/>
    <w:rsid w:val="26D97433"/>
    <w:rsid w:val="26DD6635"/>
    <w:rsid w:val="271C5FE7"/>
    <w:rsid w:val="27315631"/>
    <w:rsid w:val="275C465E"/>
    <w:rsid w:val="278C389C"/>
    <w:rsid w:val="27992D3B"/>
    <w:rsid w:val="27A31190"/>
    <w:rsid w:val="27AA2CA3"/>
    <w:rsid w:val="27B01683"/>
    <w:rsid w:val="27B8211C"/>
    <w:rsid w:val="27C82253"/>
    <w:rsid w:val="27EC4E71"/>
    <w:rsid w:val="27FB7EBF"/>
    <w:rsid w:val="28247BB6"/>
    <w:rsid w:val="28933CCC"/>
    <w:rsid w:val="28A54C15"/>
    <w:rsid w:val="28AE7984"/>
    <w:rsid w:val="28C80D3F"/>
    <w:rsid w:val="28C81DF6"/>
    <w:rsid w:val="28D07202"/>
    <w:rsid w:val="28D96965"/>
    <w:rsid w:val="28DE3958"/>
    <w:rsid w:val="29055F95"/>
    <w:rsid w:val="29127DD1"/>
    <w:rsid w:val="29341888"/>
    <w:rsid w:val="2945508F"/>
    <w:rsid w:val="29634188"/>
    <w:rsid w:val="296740FF"/>
    <w:rsid w:val="29701219"/>
    <w:rsid w:val="298E09C9"/>
    <w:rsid w:val="299E2D9B"/>
    <w:rsid w:val="29B421E7"/>
    <w:rsid w:val="29DE1DBA"/>
    <w:rsid w:val="29EB2AFB"/>
    <w:rsid w:val="29FB3EBB"/>
    <w:rsid w:val="29FD2F6F"/>
    <w:rsid w:val="2A0A5C85"/>
    <w:rsid w:val="2A0F28F4"/>
    <w:rsid w:val="2A0F54AF"/>
    <w:rsid w:val="2A1D03C7"/>
    <w:rsid w:val="2A1F0E3A"/>
    <w:rsid w:val="2A2E41C8"/>
    <w:rsid w:val="2A446D64"/>
    <w:rsid w:val="2A4F5FF4"/>
    <w:rsid w:val="2A8C02FC"/>
    <w:rsid w:val="2AC12DBF"/>
    <w:rsid w:val="2AD25A69"/>
    <w:rsid w:val="2AEE531A"/>
    <w:rsid w:val="2AF15F83"/>
    <w:rsid w:val="2AFB6893"/>
    <w:rsid w:val="2B1C66E6"/>
    <w:rsid w:val="2B22793F"/>
    <w:rsid w:val="2B2763FC"/>
    <w:rsid w:val="2B2E77B1"/>
    <w:rsid w:val="2B3C5C6D"/>
    <w:rsid w:val="2B4859E7"/>
    <w:rsid w:val="2B6C4470"/>
    <w:rsid w:val="2B7D5189"/>
    <w:rsid w:val="2B8C3E6A"/>
    <w:rsid w:val="2B8F6C63"/>
    <w:rsid w:val="2B9439F6"/>
    <w:rsid w:val="2BB325DA"/>
    <w:rsid w:val="2BDE868F"/>
    <w:rsid w:val="2C091874"/>
    <w:rsid w:val="2C0C2E05"/>
    <w:rsid w:val="2C187F64"/>
    <w:rsid w:val="2C2A6F85"/>
    <w:rsid w:val="2C301EDF"/>
    <w:rsid w:val="2C363D63"/>
    <w:rsid w:val="2C4A7F5F"/>
    <w:rsid w:val="2C515B6D"/>
    <w:rsid w:val="2C5F0A97"/>
    <w:rsid w:val="2C854E4C"/>
    <w:rsid w:val="2C8965FC"/>
    <w:rsid w:val="2C8A3639"/>
    <w:rsid w:val="2CA8549C"/>
    <w:rsid w:val="2CC35E7E"/>
    <w:rsid w:val="2CD63D6C"/>
    <w:rsid w:val="2CF748AA"/>
    <w:rsid w:val="2D157538"/>
    <w:rsid w:val="2D2F720D"/>
    <w:rsid w:val="2D310B09"/>
    <w:rsid w:val="2D4828C3"/>
    <w:rsid w:val="2D57345B"/>
    <w:rsid w:val="2D5F3EE2"/>
    <w:rsid w:val="2D60735C"/>
    <w:rsid w:val="2D764F47"/>
    <w:rsid w:val="2DD91851"/>
    <w:rsid w:val="2DF9093A"/>
    <w:rsid w:val="2DFD4314"/>
    <w:rsid w:val="2E220AB6"/>
    <w:rsid w:val="2E4D6A38"/>
    <w:rsid w:val="2E536EC1"/>
    <w:rsid w:val="2E7D5295"/>
    <w:rsid w:val="2E8D7F8E"/>
    <w:rsid w:val="2E9025A4"/>
    <w:rsid w:val="2EB536D8"/>
    <w:rsid w:val="2EBD40A4"/>
    <w:rsid w:val="2EC121CF"/>
    <w:rsid w:val="2EE158E9"/>
    <w:rsid w:val="2EF35252"/>
    <w:rsid w:val="2F080823"/>
    <w:rsid w:val="2F08776A"/>
    <w:rsid w:val="2F0D5D93"/>
    <w:rsid w:val="2F126434"/>
    <w:rsid w:val="2F173E47"/>
    <w:rsid w:val="2F1B4932"/>
    <w:rsid w:val="2F20375F"/>
    <w:rsid w:val="2F34326D"/>
    <w:rsid w:val="2F3E632A"/>
    <w:rsid w:val="2F464330"/>
    <w:rsid w:val="2F4F3241"/>
    <w:rsid w:val="2F6C3DCC"/>
    <w:rsid w:val="2F797671"/>
    <w:rsid w:val="2F7B3516"/>
    <w:rsid w:val="2F81674D"/>
    <w:rsid w:val="2F950E14"/>
    <w:rsid w:val="2F9B6E27"/>
    <w:rsid w:val="2F9E21D1"/>
    <w:rsid w:val="2FC00586"/>
    <w:rsid w:val="2FC25D7B"/>
    <w:rsid w:val="2FE87A6A"/>
    <w:rsid w:val="2FE91C99"/>
    <w:rsid w:val="2FF81FE9"/>
    <w:rsid w:val="2FFD154B"/>
    <w:rsid w:val="30184226"/>
    <w:rsid w:val="304D190A"/>
    <w:rsid w:val="3086347F"/>
    <w:rsid w:val="308F4B91"/>
    <w:rsid w:val="30941DB6"/>
    <w:rsid w:val="309E7091"/>
    <w:rsid w:val="30BD4B70"/>
    <w:rsid w:val="30DE49F0"/>
    <w:rsid w:val="30E20ADF"/>
    <w:rsid w:val="31104BE6"/>
    <w:rsid w:val="31107C6B"/>
    <w:rsid w:val="3135407B"/>
    <w:rsid w:val="313F54DB"/>
    <w:rsid w:val="31421084"/>
    <w:rsid w:val="31753171"/>
    <w:rsid w:val="31887B7C"/>
    <w:rsid w:val="31895649"/>
    <w:rsid w:val="31AD34E7"/>
    <w:rsid w:val="31B02544"/>
    <w:rsid w:val="31DB58FA"/>
    <w:rsid w:val="31E0690F"/>
    <w:rsid w:val="31E744D3"/>
    <w:rsid w:val="31F03994"/>
    <w:rsid w:val="31F06AA9"/>
    <w:rsid w:val="31FF15D2"/>
    <w:rsid w:val="32096EE3"/>
    <w:rsid w:val="32155C69"/>
    <w:rsid w:val="32535B1F"/>
    <w:rsid w:val="32817C7D"/>
    <w:rsid w:val="32830AEF"/>
    <w:rsid w:val="329945C7"/>
    <w:rsid w:val="32AE7CE7"/>
    <w:rsid w:val="32BE744E"/>
    <w:rsid w:val="32C41EAE"/>
    <w:rsid w:val="32CA0E4B"/>
    <w:rsid w:val="32CB45C8"/>
    <w:rsid w:val="32D21971"/>
    <w:rsid w:val="32FA5FAE"/>
    <w:rsid w:val="332E3950"/>
    <w:rsid w:val="335202DB"/>
    <w:rsid w:val="335A2AA0"/>
    <w:rsid w:val="336E5F6C"/>
    <w:rsid w:val="33732317"/>
    <w:rsid w:val="33790B91"/>
    <w:rsid w:val="337B4EF0"/>
    <w:rsid w:val="337E4009"/>
    <w:rsid w:val="3396767F"/>
    <w:rsid w:val="33A337D5"/>
    <w:rsid w:val="33D22636"/>
    <w:rsid w:val="33F71CC8"/>
    <w:rsid w:val="33FA57B0"/>
    <w:rsid w:val="34016A86"/>
    <w:rsid w:val="3403178C"/>
    <w:rsid w:val="34184C5D"/>
    <w:rsid w:val="34391824"/>
    <w:rsid w:val="34475E33"/>
    <w:rsid w:val="347312F7"/>
    <w:rsid w:val="34751871"/>
    <w:rsid w:val="3492234F"/>
    <w:rsid w:val="34AA0645"/>
    <w:rsid w:val="34C61DEF"/>
    <w:rsid w:val="34D349C1"/>
    <w:rsid w:val="34D65FE2"/>
    <w:rsid w:val="34DD141E"/>
    <w:rsid w:val="34EF48D4"/>
    <w:rsid w:val="34F832A2"/>
    <w:rsid w:val="352853F5"/>
    <w:rsid w:val="353323D5"/>
    <w:rsid w:val="35767350"/>
    <w:rsid w:val="358301EE"/>
    <w:rsid w:val="359A52D2"/>
    <w:rsid w:val="359E1B8E"/>
    <w:rsid w:val="35BE26D5"/>
    <w:rsid w:val="35D408E8"/>
    <w:rsid w:val="35E10BF0"/>
    <w:rsid w:val="360006C2"/>
    <w:rsid w:val="36231CDE"/>
    <w:rsid w:val="36457F31"/>
    <w:rsid w:val="36A053E7"/>
    <w:rsid w:val="36A861E5"/>
    <w:rsid w:val="36BC6408"/>
    <w:rsid w:val="36E55AEB"/>
    <w:rsid w:val="36EC3A0F"/>
    <w:rsid w:val="372F3093"/>
    <w:rsid w:val="3734013D"/>
    <w:rsid w:val="373508A1"/>
    <w:rsid w:val="373B7D1B"/>
    <w:rsid w:val="37635EED"/>
    <w:rsid w:val="37660D5D"/>
    <w:rsid w:val="37883D9D"/>
    <w:rsid w:val="378E4AC6"/>
    <w:rsid w:val="37987CE3"/>
    <w:rsid w:val="379DF0C9"/>
    <w:rsid w:val="37D61A7C"/>
    <w:rsid w:val="37DA5F5D"/>
    <w:rsid w:val="37DE5837"/>
    <w:rsid w:val="37ED036A"/>
    <w:rsid w:val="37F913BE"/>
    <w:rsid w:val="37FF01AA"/>
    <w:rsid w:val="37FF6BD7"/>
    <w:rsid w:val="38177FF1"/>
    <w:rsid w:val="382A0C93"/>
    <w:rsid w:val="386523B0"/>
    <w:rsid w:val="389E4DF7"/>
    <w:rsid w:val="38A230B5"/>
    <w:rsid w:val="38A65E3F"/>
    <w:rsid w:val="38B5305A"/>
    <w:rsid w:val="38D63A95"/>
    <w:rsid w:val="38E11BE1"/>
    <w:rsid w:val="38E42486"/>
    <w:rsid w:val="38F512A1"/>
    <w:rsid w:val="3914125A"/>
    <w:rsid w:val="3915611C"/>
    <w:rsid w:val="39260D0B"/>
    <w:rsid w:val="3950154D"/>
    <w:rsid w:val="397158ED"/>
    <w:rsid w:val="39724B96"/>
    <w:rsid w:val="39730417"/>
    <w:rsid w:val="39BA3904"/>
    <w:rsid w:val="39E37660"/>
    <w:rsid w:val="3A291850"/>
    <w:rsid w:val="3A2A56F0"/>
    <w:rsid w:val="3A347BA7"/>
    <w:rsid w:val="3A797CAF"/>
    <w:rsid w:val="3A80103E"/>
    <w:rsid w:val="3A86131C"/>
    <w:rsid w:val="3A904DA0"/>
    <w:rsid w:val="3AA14CC2"/>
    <w:rsid w:val="3AC32E01"/>
    <w:rsid w:val="3AC96B3C"/>
    <w:rsid w:val="3ADA7F84"/>
    <w:rsid w:val="3AE22A52"/>
    <w:rsid w:val="3B0A2B10"/>
    <w:rsid w:val="3B2A3A82"/>
    <w:rsid w:val="3B456E4D"/>
    <w:rsid w:val="3B470C18"/>
    <w:rsid w:val="3B5269DA"/>
    <w:rsid w:val="3B617677"/>
    <w:rsid w:val="3B9A0AD5"/>
    <w:rsid w:val="3B9D476B"/>
    <w:rsid w:val="3BAA2DFB"/>
    <w:rsid w:val="3BB98257"/>
    <w:rsid w:val="3BD45B11"/>
    <w:rsid w:val="3BEB5437"/>
    <w:rsid w:val="3BF03FA1"/>
    <w:rsid w:val="3BF46EEB"/>
    <w:rsid w:val="3C195C5A"/>
    <w:rsid w:val="3C1B6645"/>
    <w:rsid w:val="3C504855"/>
    <w:rsid w:val="3CA91485"/>
    <w:rsid w:val="3CC17E22"/>
    <w:rsid w:val="3CF67395"/>
    <w:rsid w:val="3D0A686C"/>
    <w:rsid w:val="3D18170C"/>
    <w:rsid w:val="3D225DCB"/>
    <w:rsid w:val="3D833044"/>
    <w:rsid w:val="3D98639D"/>
    <w:rsid w:val="3DBD4CAC"/>
    <w:rsid w:val="3DE76D88"/>
    <w:rsid w:val="3DFDB1AE"/>
    <w:rsid w:val="3E0655B4"/>
    <w:rsid w:val="3E0E4BB3"/>
    <w:rsid w:val="3E337FDD"/>
    <w:rsid w:val="3E5FED92"/>
    <w:rsid w:val="3E6D4856"/>
    <w:rsid w:val="3E835940"/>
    <w:rsid w:val="3E8B628D"/>
    <w:rsid w:val="3E8C18E6"/>
    <w:rsid w:val="3EBD617F"/>
    <w:rsid w:val="3ECA28FD"/>
    <w:rsid w:val="3F257157"/>
    <w:rsid w:val="3F297A2D"/>
    <w:rsid w:val="3F384761"/>
    <w:rsid w:val="3F3F6505"/>
    <w:rsid w:val="3F526712"/>
    <w:rsid w:val="3F5B5216"/>
    <w:rsid w:val="3F640B0B"/>
    <w:rsid w:val="3F7FD8AB"/>
    <w:rsid w:val="3F812A3A"/>
    <w:rsid w:val="3FD062C0"/>
    <w:rsid w:val="3FD3BFEC"/>
    <w:rsid w:val="3FE1772E"/>
    <w:rsid w:val="3FFD8E96"/>
    <w:rsid w:val="3FFE1AF6"/>
    <w:rsid w:val="3FFE70B7"/>
    <w:rsid w:val="400B31E9"/>
    <w:rsid w:val="40141D1D"/>
    <w:rsid w:val="401B4FD8"/>
    <w:rsid w:val="40307C69"/>
    <w:rsid w:val="404D7AC8"/>
    <w:rsid w:val="40634C41"/>
    <w:rsid w:val="40791BF6"/>
    <w:rsid w:val="407B722C"/>
    <w:rsid w:val="40AB4C9D"/>
    <w:rsid w:val="40DD16D8"/>
    <w:rsid w:val="413063A6"/>
    <w:rsid w:val="41391FB6"/>
    <w:rsid w:val="4145485A"/>
    <w:rsid w:val="417530DD"/>
    <w:rsid w:val="417B40A4"/>
    <w:rsid w:val="41814A29"/>
    <w:rsid w:val="418C651A"/>
    <w:rsid w:val="41920DF4"/>
    <w:rsid w:val="419E624E"/>
    <w:rsid w:val="41A36DCF"/>
    <w:rsid w:val="41C06248"/>
    <w:rsid w:val="41C95079"/>
    <w:rsid w:val="41D41C6F"/>
    <w:rsid w:val="420C2FE8"/>
    <w:rsid w:val="421660F0"/>
    <w:rsid w:val="42226A27"/>
    <w:rsid w:val="425C78EF"/>
    <w:rsid w:val="425D4FF7"/>
    <w:rsid w:val="425F7C30"/>
    <w:rsid w:val="42655A33"/>
    <w:rsid w:val="42680B06"/>
    <w:rsid w:val="429F46BC"/>
    <w:rsid w:val="42A34DFA"/>
    <w:rsid w:val="42F26E0D"/>
    <w:rsid w:val="42F92201"/>
    <w:rsid w:val="43005F1C"/>
    <w:rsid w:val="43100FE2"/>
    <w:rsid w:val="43242DC6"/>
    <w:rsid w:val="43463A91"/>
    <w:rsid w:val="439E6277"/>
    <w:rsid w:val="43A254B1"/>
    <w:rsid w:val="43B943DD"/>
    <w:rsid w:val="43BF143F"/>
    <w:rsid w:val="43D45F57"/>
    <w:rsid w:val="43F50014"/>
    <w:rsid w:val="44240C6A"/>
    <w:rsid w:val="44272CAC"/>
    <w:rsid w:val="443A54EB"/>
    <w:rsid w:val="44451BDC"/>
    <w:rsid w:val="444F6481"/>
    <w:rsid w:val="447B6726"/>
    <w:rsid w:val="449A1973"/>
    <w:rsid w:val="44F02F62"/>
    <w:rsid w:val="451A0FD3"/>
    <w:rsid w:val="45210077"/>
    <w:rsid w:val="45712308"/>
    <w:rsid w:val="45780A86"/>
    <w:rsid w:val="457D2990"/>
    <w:rsid w:val="458B1522"/>
    <w:rsid w:val="45D24718"/>
    <w:rsid w:val="45ED0241"/>
    <w:rsid w:val="46031658"/>
    <w:rsid w:val="460434E4"/>
    <w:rsid w:val="46135147"/>
    <w:rsid w:val="46192347"/>
    <w:rsid w:val="4642364B"/>
    <w:rsid w:val="466B00B6"/>
    <w:rsid w:val="46706F3F"/>
    <w:rsid w:val="46742883"/>
    <w:rsid w:val="46757EF5"/>
    <w:rsid w:val="468375BE"/>
    <w:rsid w:val="46876032"/>
    <w:rsid w:val="46A87C88"/>
    <w:rsid w:val="46C96C6F"/>
    <w:rsid w:val="46DD3374"/>
    <w:rsid w:val="46FD0882"/>
    <w:rsid w:val="471513C1"/>
    <w:rsid w:val="47245012"/>
    <w:rsid w:val="472B40E0"/>
    <w:rsid w:val="473461A6"/>
    <w:rsid w:val="473D42FE"/>
    <w:rsid w:val="47793752"/>
    <w:rsid w:val="477E751F"/>
    <w:rsid w:val="47A31B07"/>
    <w:rsid w:val="47A9364D"/>
    <w:rsid w:val="47C81250"/>
    <w:rsid w:val="47C84FBA"/>
    <w:rsid w:val="47D17961"/>
    <w:rsid w:val="47E051A9"/>
    <w:rsid w:val="47EFACDD"/>
    <w:rsid w:val="480037BE"/>
    <w:rsid w:val="481A3D4C"/>
    <w:rsid w:val="485278BE"/>
    <w:rsid w:val="48641F43"/>
    <w:rsid w:val="487877F8"/>
    <w:rsid w:val="487D2A9B"/>
    <w:rsid w:val="488F68F0"/>
    <w:rsid w:val="48C75219"/>
    <w:rsid w:val="48C85BAF"/>
    <w:rsid w:val="48D16F09"/>
    <w:rsid w:val="48D23E7A"/>
    <w:rsid w:val="48F04FAA"/>
    <w:rsid w:val="49383A95"/>
    <w:rsid w:val="49897021"/>
    <w:rsid w:val="499B766C"/>
    <w:rsid w:val="49A07007"/>
    <w:rsid w:val="49A85CE0"/>
    <w:rsid w:val="49BB73C2"/>
    <w:rsid w:val="49CB0635"/>
    <w:rsid w:val="49CC464E"/>
    <w:rsid w:val="49DA3B9B"/>
    <w:rsid w:val="49E815C6"/>
    <w:rsid w:val="4A203730"/>
    <w:rsid w:val="4A203D36"/>
    <w:rsid w:val="4A370FED"/>
    <w:rsid w:val="4A3F1F54"/>
    <w:rsid w:val="4A5943E4"/>
    <w:rsid w:val="4A6050DB"/>
    <w:rsid w:val="4A6278FA"/>
    <w:rsid w:val="4A693AF6"/>
    <w:rsid w:val="4AC73519"/>
    <w:rsid w:val="4AD43451"/>
    <w:rsid w:val="4ADD07E4"/>
    <w:rsid w:val="4AE1681A"/>
    <w:rsid w:val="4B4E3F99"/>
    <w:rsid w:val="4B5A348C"/>
    <w:rsid w:val="4B715FB2"/>
    <w:rsid w:val="4B8C55E8"/>
    <w:rsid w:val="4BB858C5"/>
    <w:rsid w:val="4C083C31"/>
    <w:rsid w:val="4C100B51"/>
    <w:rsid w:val="4C786019"/>
    <w:rsid w:val="4C875D8A"/>
    <w:rsid w:val="4C88552C"/>
    <w:rsid w:val="4C8A18A8"/>
    <w:rsid w:val="4CA07244"/>
    <w:rsid w:val="4CC21042"/>
    <w:rsid w:val="4CD90354"/>
    <w:rsid w:val="4CE354D3"/>
    <w:rsid w:val="4CE76CFB"/>
    <w:rsid w:val="4D092A65"/>
    <w:rsid w:val="4D3E119B"/>
    <w:rsid w:val="4D5D5079"/>
    <w:rsid w:val="4D63426D"/>
    <w:rsid w:val="4D6F1F18"/>
    <w:rsid w:val="4D7376F9"/>
    <w:rsid w:val="4D9E38E4"/>
    <w:rsid w:val="4DC82BF0"/>
    <w:rsid w:val="4DD013FD"/>
    <w:rsid w:val="4DE577AB"/>
    <w:rsid w:val="4E677C8E"/>
    <w:rsid w:val="4E7B4448"/>
    <w:rsid w:val="4E922C96"/>
    <w:rsid w:val="4EBA1CDB"/>
    <w:rsid w:val="4EDB1BC9"/>
    <w:rsid w:val="4EEB225C"/>
    <w:rsid w:val="4F01352B"/>
    <w:rsid w:val="4F103158"/>
    <w:rsid w:val="4F172AC2"/>
    <w:rsid w:val="4F1B6653"/>
    <w:rsid w:val="4F314161"/>
    <w:rsid w:val="4F33698F"/>
    <w:rsid w:val="4F3F55BB"/>
    <w:rsid w:val="4F464A5A"/>
    <w:rsid w:val="4F4C6491"/>
    <w:rsid w:val="4F5551B4"/>
    <w:rsid w:val="4F5D32A4"/>
    <w:rsid w:val="4F66062D"/>
    <w:rsid w:val="4F6B71DF"/>
    <w:rsid w:val="4F9818B4"/>
    <w:rsid w:val="4FAD051B"/>
    <w:rsid w:val="4FD46EBD"/>
    <w:rsid w:val="4FE828ED"/>
    <w:rsid w:val="501D392A"/>
    <w:rsid w:val="503D78E7"/>
    <w:rsid w:val="503D7B8D"/>
    <w:rsid w:val="504771A6"/>
    <w:rsid w:val="506B2F52"/>
    <w:rsid w:val="507951EA"/>
    <w:rsid w:val="50797800"/>
    <w:rsid w:val="508F2AB3"/>
    <w:rsid w:val="50B138D1"/>
    <w:rsid w:val="50C75416"/>
    <w:rsid w:val="50CD4DA0"/>
    <w:rsid w:val="50F0046A"/>
    <w:rsid w:val="50F31B7F"/>
    <w:rsid w:val="50FA7DFA"/>
    <w:rsid w:val="511A61BA"/>
    <w:rsid w:val="511E35F8"/>
    <w:rsid w:val="513A6F86"/>
    <w:rsid w:val="51503FA0"/>
    <w:rsid w:val="5156017D"/>
    <w:rsid w:val="51596E11"/>
    <w:rsid w:val="519B5CC2"/>
    <w:rsid w:val="519F50F9"/>
    <w:rsid w:val="51CD03C6"/>
    <w:rsid w:val="51CE6D00"/>
    <w:rsid w:val="51FE7D93"/>
    <w:rsid w:val="52121DCF"/>
    <w:rsid w:val="52137423"/>
    <w:rsid w:val="521C6302"/>
    <w:rsid w:val="522105B9"/>
    <w:rsid w:val="52210B4A"/>
    <w:rsid w:val="52263BCA"/>
    <w:rsid w:val="52AF3E2F"/>
    <w:rsid w:val="52FB705C"/>
    <w:rsid w:val="5304202F"/>
    <w:rsid w:val="53155197"/>
    <w:rsid w:val="531B7C6E"/>
    <w:rsid w:val="53314D4C"/>
    <w:rsid w:val="53316789"/>
    <w:rsid w:val="53476745"/>
    <w:rsid w:val="53871716"/>
    <w:rsid w:val="53950C89"/>
    <w:rsid w:val="53A40CC6"/>
    <w:rsid w:val="53A43997"/>
    <w:rsid w:val="53AC0356"/>
    <w:rsid w:val="53D42EB7"/>
    <w:rsid w:val="53DE1453"/>
    <w:rsid w:val="53FF5110"/>
    <w:rsid w:val="5403502E"/>
    <w:rsid w:val="540A3EEE"/>
    <w:rsid w:val="540A6D47"/>
    <w:rsid w:val="54457077"/>
    <w:rsid w:val="54457D61"/>
    <w:rsid w:val="544669FD"/>
    <w:rsid w:val="544F1263"/>
    <w:rsid w:val="546C274C"/>
    <w:rsid w:val="547F229A"/>
    <w:rsid w:val="54866DF9"/>
    <w:rsid w:val="549D0C85"/>
    <w:rsid w:val="54EE6554"/>
    <w:rsid w:val="550C6C83"/>
    <w:rsid w:val="553E32D6"/>
    <w:rsid w:val="55583B90"/>
    <w:rsid w:val="55592760"/>
    <w:rsid w:val="55675C79"/>
    <w:rsid w:val="558D65E8"/>
    <w:rsid w:val="55990B54"/>
    <w:rsid w:val="55BC2E86"/>
    <w:rsid w:val="55C03CB8"/>
    <w:rsid w:val="55C624E8"/>
    <w:rsid w:val="55D94BD7"/>
    <w:rsid w:val="5625035E"/>
    <w:rsid w:val="562F0568"/>
    <w:rsid w:val="565F506B"/>
    <w:rsid w:val="566340D7"/>
    <w:rsid w:val="566F1F39"/>
    <w:rsid w:val="56830ADF"/>
    <w:rsid w:val="56857CFC"/>
    <w:rsid w:val="569022B2"/>
    <w:rsid w:val="56A2735A"/>
    <w:rsid w:val="56BB20E5"/>
    <w:rsid w:val="56D5033D"/>
    <w:rsid w:val="56D67726"/>
    <w:rsid w:val="56E62FB4"/>
    <w:rsid w:val="56FF2CC1"/>
    <w:rsid w:val="56FF2E93"/>
    <w:rsid w:val="57002B8D"/>
    <w:rsid w:val="571F6FD0"/>
    <w:rsid w:val="57344DFE"/>
    <w:rsid w:val="573577BE"/>
    <w:rsid w:val="573751CA"/>
    <w:rsid w:val="57606083"/>
    <w:rsid w:val="578B0E6E"/>
    <w:rsid w:val="57A1046F"/>
    <w:rsid w:val="57B5D834"/>
    <w:rsid w:val="57D60C34"/>
    <w:rsid w:val="57F652BC"/>
    <w:rsid w:val="5848614A"/>
    <w:rsid w:val="585D60C3"/>
    <w:rsid w:val="585D6E6C"/>
    <w:rsid w:val="587465D9"/>
    <w:rsid w:val="588C1D68"/>
    <w:rsid w:val="58926A28"/>
    <w:rsid w:val="58A674A5"/>
    <w:rsid w:val="58CD30A4"/>
    <w:rsid w:val="58CD382E"/>
    <w:rsid w:val="58D7418F"/>
    <w:rsid w:val="5900000F"/>
    <w:rsid w:val="590A1DA2"/>
    <w:rsid w:val="590D6489"/>
    <w:rsid w:val="59154896"/>
    <w:rsid w:val="59260BAB"/>
    <w:rsid w:val="592B5553"/>
    <w:rsid w:val="595042FB"/>
    <w:rsid w:val="597162CA"/>
    <w:rsid w:val="59835FFD"/>
    <w:rsid w:val="59876675"/>
    <w:rsid w:val="59B961EA"/>
    <w:rsid w:val="59C9107F"/>
    <w:rsid w:val="59CE04C3"/>
    <w:rsid w:val="59FFE880"/>
    <w:rsid w:val="5A0C0158"/>
    <w:rsid w:val="5A376F91"/>
    <w:rsid w:val="5A3D0E34"/>
    <w:rsid w:val="5A4E1D0A"/>
    <w:rsid w:val="5A642481"/>
    <w:rsid w:val="5A6E0818"/>
    <w:rsid w:val="5AB67D0C"/>
    <w:rsid w:val="5ABE7049"/>
    <w:rsid w:val="5AC32B55"/>
    <w:rsid w:val="5AE145C9"/>
    <w:rsid w:val="5AFC6067"/>
    <w:rsid w:val="5B24736C"/>
    <w:rsid w:val="5B4019C2"/>
    <w:rsid w:val="5B421824"/>
    <w:rsid w:val="5B474BD0"/>
    <w:rsid w:val="5B695259"/>
    <w:rsid w:val="5B75772B"/>
    <w:rsid w:val="5B7E6A7C"/>
    <w:rsid w:val="5B9E3DE4"/>
    <w:rsid w:val="5BC052E6"/>
    <w:rsid w:val="5BC44CEE"/>
    <w:rsid w:val="5BDA0F82"/>
    <w:rsid w:val="5BDF4787"/>
    <w:rsid w:val="5BE106D2"/>
    <w:rsid w:val="5BFFD2DF"/>
    <w:rsid w:val="5C00697E"/>
    <w:rsid w:val="5C2F3299"/>
    <w:rsid w:val="5C37658E"/>
    <w:rsid w:val="5C405FA4"/>
    <w:rsid w:val="5C530585"/>
    <w:rsid w:val="5C5F447C"/>
    <w:rsid w:val="5C7521D3"/>
    <w:rsid w:val="5C896574"/>
    <w:rsid w:val="5C8C3697"/>
    <w:rsid w:val="5CAC7B1C"/>
    <w:rsid w:val="5CD13E43"/>
    <w:rsid w:val="5CEF42BA"/>
    <w:rsid w:val="5D337CEE"/>
    <w:rsid w:val="5D591FBD"/>
    <w:rsid w:val="5D94180E"/>
    <w:rsid w:val="5D9F27A5"/>
    <w:rsid w:val="5DC11750"/>
    <w:rsid w:val="5DC411A3"/>
    <w:rsid w:val="5DCA244C"/>
    <w:rsid w:val="5DCA620A"/>
    <w:rsid w:val="5DDABCF8"/>
    <w:rsid w:val="5DDD008C"/>
    <w:rsid w:val="5DFE433A"/>
    <w:rsid w:val="5E1373C1"/>
    <w:rsid w:val="5E2D4485"/>
    <w:rsid w:val="5E587A58"/>
    <w:rsid w:val="5E6747E1"/>
    <w:rsid w:val="5E7BB97F"/>
    <w:rsid w:val="5E9641A9"/>
    <w:rsid w:val="5E97068D"/>
    <w:rsid w:val="5E9D36BD"/>
    <w:rsid w:val="5EB543C4"/>
    <w:rsid w:val="5EB7CDDF"/>
    <w:rsid w:val="5EB92CF5"/>
    <w:rsid w:val="5EBF6980"/>
    <w:rsid w:val="5ED30C10"/>
    <w:rsid w:val="5ED30E8D"/>
    <w:rsid w:val="5EDA2A7B"/>
    <w:rsid w:val="5EE16E0E"/>
    <w:rsid w:val="5F0B2970"/>
    <w:rsid w:val="5F3940A0"/>
    <w:rsid w:val="5F44566E"/>
    <w:rsid w:val="5F4C554A"/>
    <w:rsid w:val="5F667F53"/>
    <w:rsid w:val="5F675369"/>
    <w:rsid w:val="5F822865"/>
    <w:rsid w:val="5F9C7872"/>
    <w:rsid w:val="5FB71F10"/>
    <w:rsid w:val="5FCF3527"/>
    <w:rsid w:val="5FDA18ED"/>
    <w:rsid w:val="5FF022BD"/>
    <w:rsid w:val="5FF11BD5"/>
    <w:rsid w:val="5FF508FC"/>
    <w:rsid w:val="5FFB837C"/>
    <w:rsid w:val="600748C3"/>
    <w:rsid w:val="601531AE"/>
    <w:rsid w:val="602D4F22"/>
    <w:rsid w:val="603F2201"/>
    <w:rsid w:val="604C733B"/>
    <w:rsid w:val="605721AA"/>
    <w:rsid w:val="60AE77CA"/>
    <w:rsid w:val="60B44113"/>
    <w:rsid w:val="60C06C11"/>
    <w:rsid w:val="60DD2497"/>
    <w:rsid w:val="60E517B1"/>
    <w:rsid w:val="60EA573B"/>
    <w:rsid w:val="60EF607D"/>
    <w:rsid w:val="61045C75"/>
    <w:rsid w:val="613F7C88"/>
    <w:rsid w:val="616816BC"/>
    <w:rsid w:val="61731648"/>
    <w:rsid w:val="617A1E26"/>
    <w:rsid w:val="618B1972"/>
    <w:rsid w:val="61CE3B8D"/>
    <w:rsid w:val="61D60995"/>
    <w:rsid w:val="61E16FA2"/>
    <w:rsid w:val="61E54B40"/>
    <w:rsid w:val="622C753A"/>
    <w:rsid w:val="624245D7"/>
    <w:rsid w:val="624F3EEF"/>
    <w:rsid w:val="62884618"/>
    <w:rsid w:val="62A3326C"/>
    <w:rsid w:val="62BB05B6"/>
    <w:rsid w:val="62D70BD1"/>
    <w:rsid w:val="62E47D3E"/>
    <w:rsid w:val="62E92531"/>
    <w:rsid w:val="6341070D"/>
    <w:rsid w:val="63416D06"/>
    <w:rsid w:val="637F1532"/>
    <w:rsid w:val="639C03E7"/>
    <w:rsid w:val="63A6157B"/>
    <w:rsid w:val="63AA21B4"/>
    <w:rsid w:val="63C3108A"/>
    <w:rsid w:val="63FC019F"/>
    <w:rsid w:val="64323AD8"/>
    <w:rsid w:val="64481AB7"/>
    <w:rsid w:val="64497B3B"/>
    <w:rsid w:val="646F08D5"/>
    <w:rsid w:val="647F2F4B"/>
    <w:rsid w:val="64832C8B"/>
    <w:rsid w:val="648630F3"/>
    <w:rsid w:val="64B30F39"/>
    <w:rsid w:val="64BA7177"/>
    <w:rsid w:val="64C45F03"/>
    <w:rsid w:val="64CB5E68"/>
    <w:rsid w:val="64D5736A"/>
    <w:rsid w:val="64E9765C"/>
    <w:rsid w:val="64F851F1"/>
    <w:rsid w:val="65183A9D"/>
    <w:rsid w:val="65312228"/>
    <w:rsid w:val="65625FEC"/>
    <w:rsid w:val="656C7BC4"/>
    <w:rsid w:val="65715E5A"/>
    <w:rsid w:val="6579043D"/>
    <w:rsid w:val="65904230"/>
    <w:rsid w:val="65930C48"/>
    <w:rsid w:val="65A417D5"/>
    <w:rsid w:val="65A54766"/>
    <w:rsid w:val="65BF74AA"/>
    <w:rsid w:val="65C23858"/>
    <w:rsid w:val="65FB00E6"/>
    <w:rsid w:val="6601087F"/>
    <w:rsid w:val="66134265"/>
    <w:rsid w:val="66183E19"/>
    <w:rsid w:val="66821BE2"/>
    <w:rsid w:val="66B8096A"/>
    <w:rsid w:val="66BE22A1"/>
    <w:rsid w:val="66D70B4F"/>
    <w:rsid w:val="66FF5A0E"/>
    <w:rsid w:val="67005BCA"/>
    <w:rsid w:val="6702678E"/>
    <w:rsid w:val="671C1D5F"/>
    <w:rsid w:val="671F12E9"/>
    <w:rsid w:val="673426E5"/>
    <w:rsid w:val="675D1C3B"/>
    <w:rsid w:val="67812CEA"/>
    <w:rsid w:val="679D4CF3"/>
    <w:rsid w:val="679E080A"/>
    <w:rsid w:val="67DC6186"/>
    <w:rsid w:val="67EA58BF"/>
    <w:rsid w:val="67EE11BE"/>
    <w:rsid w:val="681E63B1"/>
    <w:rsid w:val="683B1C26"/>
    <w:rsid w:val="685423DA"/>
    <w:rsid w:val="6889713A"/>
    <w:rsid w:val="68AA5354"/>
    <w:rsid w:val="68DC0F3F"/>
    <w:rsid w:val="68E258A1"/>
    <w:rsid w:val="68FA6BF9"/>
    <w:rsid w:val="69132EFA"/>
    <w:rsid w:val="691463FB"/>
    <w:rsid w:val="69164798"/>
    <w:rsid w:val="691A565F"/>
    <w:rsid w:val="692459EE"/>
    <w:rsid w:val="69541AD9"/>
    <w:rsid w:val="69650E2F"/>
    <w:rsid w:val="69A9488B"/>
    <w:rsid w:val="69C96177"/>
    <w:rsid w:val="69E16BE6"/>
    <w:rsid w:val="6A230268"/>
    <w:rsid w:val="6A457122"/>
    <w:rsid w:val="6A4D68CC"/>
    <w:rsid w:val="6A5F513A"/>
    <w:rsid w:val="6A7150A8"/>
    <w:rsid w:val="6A7401B1"/>
    <w:rsid w:val="6ABF2D94"/>
    <w:rsid w:val="6B02331D"/>
    <w:rsid w:val="6B067187"/>
    <w:rsid w:val="6B507AEB"/>
    <w:rsid w:val="6B727905"/>
    <w:rsid w:val="6B9125CB"/>
    <w:rsid w:val="6BB93611"/>
    <w:rsid w:val="6BBF5E5E"/>
    <w:rsid w:val="6BC35959"/>
    <w:rsid w:val="6BE64B7B"/>
    <w:rsid w:val="6BF315F7"/>
    <w:rsid w:val="6C027255"/>
    <w:rsid w:val="6C05168F"/>
    <w:rsid w:val="6C05463D"/>
    <w:rsid w:val="6C274259"/>
    <w:rsid w:val="6C412A89"/>
    <w:rsid w:val="6C5555D7"/>
    <w:rsid w:val="6C714624"/>
    <w:rsid w:val="6C7D7121"/>
    <w:rsid w:val="6C9F23F5"/>
    <w:rsid w:val="6CA95923"/>
    <w:rsid w:val="6CBD664D"/>
    <w:rsid w:val="6CD07465"/>
    <w:rsid w:val="6CDA28F7"/>
    <w:rsid w:val="6D10711C"/>
    <w:rsid w:val="6D1771CB"/>
    <w:rsid w:val="6D2E27CF"/>
    <w:rsid w:val="6D3C6797"/>
    <w:rsid w:val="6D52034D"/>
    <w:rsid w:val="6D70737B"/>
    <w:rsid w:val="6D76311A"/>
    <w:rsid w:val="6D771760"/>
    <w:rsid w:val="6D7B106D"/>
    <w:rsid w:val="6D993D80"/>
    <w:rsid w:val="6DA41A46"/>
    <w:rsid w:val="6DDF75FC"/>
    <w:rsid w:val="6DF90EC9"/>
    <w:rsid w:val="6DFF0C62"/>
    <w:rsid w:val="6E01448B"/>
    <w:rsid w:val="6E025E88"/>
    <w:rsid w:val="6E1A1331"/>
    <w:rsid w:val="6E2E5E48"/>
    <w:rsid w:val="6E866386"/>
    <w:rsid w:val="6EBA0A25"/>
    <w:rsid w:val="6ED160AB"/>
    <w:rsid w:val="6EDB34C1"/>
    <w:rsid w:val="6F006DDA"/>
    <w:rsid w:val="6F085C5D"/>
    <w:rsid w:val="6F0B6421"/>
    <w:rsid w:val="6F4F6D21"/>
    <w:rsid w:val="6F58696B"/>
    <w:rsid w:val="6F5953DE"/>
    <w:rsid w:val="6F71097A"/>
    <w:rsid w:val="6F95673A"/>
    <w:rsid w:val="6F9673F9"/>
    <w:rsid w:val="6F9D4B96"/>
    <w:rsid w:val="6FBB755E"/>
    <w:rsid w:val="6FCD27E4"/>
    <w:rsid w:val="6FDF5A50"/>
    <w:rsid w:val="6FEE1B2C"/>
    <w:rsid w:val="70001CFE"/>
    <w:rsid w:val="7019691C"/>
    <w:rsid w:val="701D6C26"/>
    <w:rsid w:val="70216AC8"/>
    <w:rsid w:val="702F7EED"/>
    <w:rsid w:val="70392C2A"/>
    <w:rsid w:val="70745258"/>
    <w:rsid w:val="707819B0"/>
    <w:rsid w:val="70896077"/>
    <w:rsid w:val="709B2D07"/>
    <w:rsid w:val="709F64A5"/>
    <w:rsid w:val="70AD6346"/>
    <w:rsid w:val="70CF02ED"/>
    <w:rsid w:val="70D6480D"/>
    <w:rsid w:val="70D74AB3"/>
    <w:rsid w:val="70DA6154"/>
    <w:rsid w:val="70DD0315"/>
    <w:rsid w:val="70E95D7A"/>
    <w:rsid w:val="71136C4F"/>
    <w:rsid w:val="711C6A9F"/>
    <w:rsid w:val="712E15B0"/>
    <w:rsid w:val="714D0A49"/>
    <w:rsid w:val="715F4991"/>
    <w:rsid w:val="71673F9B"/>
    <w:rsid w:val="717520A9"/>
    <w:rsid w:val="719F0B7C"/>
    <w:rsid w:val="71B3144B"/>
    <w:rsid w:val="71CD6934"/>
    <w:rsid w:val="71EA15C0"/>
    <w:rsid w:val="71F83BE6"/>
    <w:rsid w:val="72267932"/>
    <w:rsid w:val="723942F4"/>
    <w:rsid w:val="725737C3"/>
    <w:rsid w:val="7260622C"/>
    <w:rsid w:val="726D5A47"/>
    <w:rsid w:val="72757496"/>
    <w:rsid w:val="727B41C2"/>
    <w:rsid w:val="72C24C29"/>
    <w:rsid w:val="72C9C255"/>
    <w:rsid w:val="72E75711"/>
    <w:rsid w:val="72EB1400"/>
    <w:rsid w:val="732860A1"/>
    <w:rsid w:val="734C374E"/>
    <w:rsid w:val="73517BC9"/>
    <w:rsid w:val="735235AF"/>
    <w:rsid w:val="73682094"/>
    <w:rsid w:val="737D54AE"/>
    <w:rsid w:val="73870389"/>
    <w:rsid w:val="73B44DF0"/>
    <w:rsid w:val="73F21076"/>
    <w:rsid w:val="7417189B"/>
    <w:rsid w:val="74340A39"/>
    <w:rsid w:val="744513BA"/>
    <w:rsid w:val="74611F1F"/>
    <w:rsid w:val="74654825"/>
    <w:rsid w:val="7491533F"/>
    <w:rsid w:val="74CE0A9B"/>
    <w:rsid w:val="74D22127"/>
    <w:rsid w:val="74F4555C"/>
    <w:rsid w:val="74FC0CE6"/>
    <w:rsid w:val="75037857"/>
    <w:rsid w:val="750D524B"/>
    <w:rsid w:val="752FE869"/>
    <w:rsid w:val="753D053B"/>
    <w:rsid w:val="75524DAA"/>
    <w:rsid w:val="755539A3"/>
    <w:rsid w:val="75556181"/>
    <w:rsid w:val="75712ACC"/>
    <w:rsid w:val="75846400"/>
    <w:rsid w:val="759871F9"/>
    <w:rsid w:val="75A44310"/>
    <w:rsid w:val="75AD1FE0"/>
    <w:rsid w:val="75C26102"/>
    <w:rsid w:val="75CC5A83"/>
    <w:rsid w:val="75FA4693"/>
    <w:rsid w:val="75FF5C3A"/>
    <w:rsid w:val="76072028"/>
    <w:rsid w:val="761A3604"/>
    <w:rsid w:val="76390E53"/>
    <w:rsid w:val="767577A0"/>
    <w:rsid w:val="768216BE"/>
    <w:rsid w:val="768611D1"/>
    <w:rsid w:val="76982C90"/>
    <w:rsid w:val="76A61737"/>
    <w:rsid w:val="76AC12BF"/>
    <w:rsid w:val="76BD780E"/>
    <w:rsid w:val="76BE11CF"/>
    <w:rsid w:val="76BFB7AB"/>
    <w:rsid w:val="76CEC8CE"/>
    <w:rsid w:val="76EF5CA5"/>
    <w:rsid w:val="76F463F0"/>
    <w:rsid w:val="76FAD0CD"/>
    <w:rsid w:val="7701463A"/>
    <w:rsid w:val="770D331C"/>
    <w:rsid w:val="77445FBB"/>
    <w:rsid w:val="774B2EC4"/>
    <w:rsid w:val="775B22A8"/>
    <w:rsid w:val="7761477F"/>
    <w:rsid w:val="776A7337"/>
    <w:rsid w:val="7778724D"/>
    <w:rsid w:val="777F1553"/>
    <w:rsid w:val="779934C6"/>
    <w:rsid w:val="779A47E6"/>
    <w:rsid w:val="77A7936F"/>
    <w:rsid w:val="77B41026"/>
    <w:rsid w:val="77B92EBE"/>
    <w:rsid w:val="77BAB242"/>
    <w:rsid w:val="77BF424C"/>
    <w:rsid w:val="77DB8DFD"/>
    <w:rsid w:val="77E7237B"/>
    <w:rsid w:val="77ED4CA7"/>
    <w:rsid w:val="77F7656E"/>
    <w:rsid w:val="78006D3F"/>
    <w:rsid w:val="78041F2B"/>
    <w:rsid w:val="782D5A55"/>
    <w:rsid w:val="783702C5"/>
    <w:rsid w:val="78700E16"/>
    <w:rsid w:val="78787717"/>
    <w:rsid w:val="789336DE"/>
    <w:rsid w:val="78AB6CF2"/>
    <w:rsid w:val="78C85065"/>
    <w:rsid w:val="78CB54A2"/>
    <w:rsid w:val="78F85823"/>
    <w:rsid w:val="78FF40FB"/>
    <w:rsid w:val="791800B8"/>
    <w:rsid w:val="793122E3"/>
    <w:rsid w:val="794857A6"/>
    <w:rsid w:val="79585961"/>
    <w:rsid w:val="79614897"/>
    <w:rsid w:val="79617D09"/>
    <w:rsid w:val="79680FED"/>
    <w:rsid w:val="796F1C36"/>
    <w:rsid w:val="79BB2545"/>
    <w:rsid w:val="79C008CD"/>
    <w:rsid w:val="79DE1D6B"/>
    <w:rsid w:val="7A0422BB"/>
    <w:rsid w:val="7A4F7B07"/>
    <w:rsid w:val="7A5101BC"/>
    <w:rsid w:val="7A640DEF"/>
    <w:rsid w:val="7A685998"/>
    <w:rsid w:val="7AC96B81"/>
    <w:rsid w:val="7AD727B2"/>
    <w:rsid w:val="7AD7A1FA"/>
    <w:rsid w:val="7ADE96DB"/>
    <w:rsid w:val="7AE53FCA"/>
    <w:rsid w:val="7AFD5349"/>
    <w:rsid w:val="7B014AF2"/>
    <w:rsid w:val="7B063D79"/>
    <w:rsid w:val="7B0E3DF2"/>
    <w:rsid w:val="7B0F0EC6"/>
    <w:rsid w:val="7B286B9A"/>
    <w:rsid w:val="7B334FEE"/>
    <w:rsid w:val="7B3B3EC1"/>
    <w:rsid w:val="7B467DDC"/>
    <w:rsid w:val="7B7114EB"/>
    <w:rsid w:val="7B766521"/>
    <w:rsid w:val="7B7F764D"/>
    <w:rsid w:val="7B8C2698"/>
    <w:rsid w:val="7B9A6B24"/>
    <w:rsid w:val="7B9A6FC5"/>
    <w:rsid w:val="7BA269EE"/>
    <w:rsid w:val="7BB340C8"/>
    <w:rsid w:val="7BB46E71"/>
    <w:rsid w:val="7BBB08F9"/>
    <w:rsid w:val="7BC47376"/>
    <w:rsid w:val="7BEB30F6"/>
    <w:rsid w:val="7BFFA655"/>
    <w:rsid w:val="7C00147E"/>
    <w:rsid w:val="7C0E1600"/>
    <w:rsid w:val="7C3717CE"/>
    <w:rsid w:val="7C4F3DF1"/>
    <w:rsid w:val="7C691183"/>
    <w:rsid w:val="7C9537CE"/>
    <w:rsid w:val="7CD12E5A"/>
    <w:rsid w:val="7CEC5AE4"/>
    <w:rsid w:val="7D0D2D49"/>
    <w:rsid w:val="7D203553"/>
    <w:rsid w:val="7D3638F1"/>
    <w:rsid w:val="7D4441A2"/>
    <w:rsid w:val="7D537493"/>
    <w:rsid w:val="7D742DD1"/>
    <w:rsid w:val="7D9948DF"/>
    <w:rsid w:val="7D9C56A0"/>
    <w:rsid w:val="7DA4016C"/>
    <w:rsid w:val="7DBA0B08"/>
    <w:rsid w:val="7DC47C61"/>
    <w:rsid w:val="7DD76F8A"/>
    <w:rsid w:val="7DDB5147"/>
    <w:rsid w:val="7E00744C"/>
    <w:rsid w:val="7E1F5D8A"/>
    <w:rsid w:val="7E27194F"/>
    <w:rsid w:val="7E53DB8D"/>
    <w:rsid w:val="7E5D471B"/>
    <w:rsid w:val="7E896FD2"/>
    <w:rsid w:val="7E93527C"/>
    <w:rsid w:val="7EA64368"/>
    <w:rsid w:val="7EA7CF43"/>
    <w:rsid w:val="7EC17537"/>
    <w:rsid w:val="7EED3DCE"/>
    <w:rsid w:val="7EFF54EF"/>
    <w:rsid w:val="7EFFBE69"/>
    <w:rsid w:val="7F0969F7"/>
    <w:rsid w:val="7F2C38B2"/>
    <w:rsid w:val="7F3818C3"/>
    <w:rsid w:val="7F4033B0"/>
    <w:rsid w:val="7F4B17C2"/>
    <w:rsid w:val="7F63180E"/>
    <w:rsid w:val="7F65074C"/>
    <w:rsid w:val="7F6B1C88"/>
    <w:rsid w:val="7F6EDAEE"/>
    <w:rsid w:val="7F7513EC"/>
    <w:rsid w:val="7F8F6F36"/>
    <w:rsid w:val="7F9A1827"/>
    <w:rsid w:val="7FA7A97F"/>
    <w:rsid w:val="7FAA5858"/>
    <w:rsid w:val="7FAF3BDF"/>
    <w:rsid w:val="7FAFC216"/>
    <w:rsid w:val="7FBB2037"/>
    <w:rsid w:val="7FBDD174"/>
    <w:rsid w:val="7FDD34C2"/>
    <w:rsid w:val="7FEFA79C"/>
    <w:rsid w:val="7FF8015F"/>
    <w:rsid w:val="7FFD8A9D"/>
    <w:rsid w:val="8BFDCE5E"/>
    <w:rsid w:val="975F7B5B"/>
    <w:rsid w:val="9FBA7136"/>
    <w:rsid w:val="9FCF587D"/>
    <w:rsid w:val="9FD7F4D0"/>
    <w:rsid w:val="A7BE5D65"/>
    <w:rsid w:val="A9EFB07C"/>
    <w:rsid w:val="ABFB8D5C"/>
    <w:rsid w:val="ADFD5579"/>
    <w:rsid w:val="AE521328"/>
    <w:rsid w:val="AED671AF"/>
    <w:rsid w:val="AF85341E"/>
    <w:rsid w:val="AFDA5E24"/>
    <w:rsid w:val="B2AF928D"/>
    <w:rsid w:val="B6374D86"/>
    <w:rsid w:val="B75B6B07"/>
    <w:rsid w:val="B7A34307"/>
    <w:rsid w:val="B7DF6BCE"/>
    <w:rsid w:val="B814F49D"/>
    <w:rsid w:val="B97C0B21"/>
    <w:rsid w:val="BAFE2844"/>
    <w:rsid w:val="BB7F4F81"/>
    <w:rsid w:val="BCFF7F26"/>
    <w:rsid w:val="BE7F8010"/>
    <w:rsid w:val="BEDDF782"/>
    <w:rsid w:val="BEFD1EBF"/>
    <w:rsid w:val="BEFDB907"/>
    <w:rsid w:val="BF7F50E4"/>
    <w:rsid w:val="CEFFE737"/>
    <w:rsid w:val="CFB32512"/>
    <w:rsid w:val="CFDB96F1"/>
    <w:rsid w:val="D3DEF757"/>
    <w:rsid w:val="D4FC2746"/>
    <w:rsid w:val="D6B758C4"/>
    <w:rsid w:val="D7AE11A9"/>
    <w:rsid w:val="D7FB917C"/>
    <w:rsid w:val="D89BD63B"/>
    <w:rsid w:val="DBB62C97"/>
    <w:rsid w:val="DCFF492E"/>
    <w:rsid w:val="DDEB0CA7"/>
    <w:rsid w:val="DFDB03BE"/>
    <w:rsid w:val="DFF10D5D"/>
    <w:rsid w:val="DFF33081"/>
    <w:rsid w:val="DFF45A85"/>
    <w:rsid w:val="DFF916DC"/>
    <w:rsid w:val="DFFE5912"/>
    <w:rsid w:val="E1F6E432"/>
    <w:rsid w:val="E5FC40FE"/>
    <w:rsid w:val="E5FF3585"/>
    <w:rsid w:val="E6E73CA6"/>
    <w:rsid w:val="E76AE2C3"/>
    <w:rsid w:val="E775C37B"/>
    <w:rsid w:val="E79BBD20"/>
    <w:rsid w:val="EBEFFE61"/>
    <w:rsid w:val="EC6DBE59"/>
    <w:rsid w:val="EDB70AA8"/>
    <w:rsid w:val="EDBC2E8F"/>
    <w:rsid w:val="EF670467"/>
    <w:rsid w:val="EF6BB7E2"/>
    <w:rsid w:val="EFC3FFA4"/>
    <w:rsid w:val="EFEDC775"/>
    <w:rsid w:val="EFF946E3"/>
    <w:rsid w:val="F1DF50E3"/>
    <w:rsid w:val="F373B128"/>
    <w:rsid w:val="F57E6084"/>
    <w:rsid w:val="F5CCC4D5"/>
    <w:rsid w:val="F5F5150A"/>
    <w:rsid w:val="F5F9438B"/>
    <w:rsid w:val="F79BD332"/>
    <w:rsid w:val="F79F2E8D"/>
    <w:rsid w:val="F7BBC0E3"/>
    <w:rsid w:val="F8FDF5EE"/>
    <w:rsid w:val="F95AB7B5"/>
    <w:rsid w:val="F9FBABE3"/>
    <w:rsid w:val="FA7115EA"/>
    <w:rsid w:val="FB6F8943"/>
    <w:rsid w:val="FBDF0A69"/>
    <w:rsid w:val="FBDFEA72"/>
    <w:rsid w:val="FBF43FF7"/>
    <w:rsid w:val="FBFB3417"/>
    <w:rsid w:val="FC9688DB"/>
    <w:rsid w:val="FDB7BC72"/>
    <w:rsid w:val="FDEFB6F8"/>
    <w:rsid w:val="FDFDFBD6"/>
    <w:rsid w:val="FDFEA3E0"/>
    <w:rsid w:val="FEDE21EF"/>
    <w:rsid w:val="FEF572BD"/>
    <w:rsid w:val="FF1F7650"/>
    <w:rsid w:val="FF7EA94C"/>
    <w:rsid w:val="FFDF9A7C"/>
    <w:rsid w:val="FFEE4ECE"/>
    <w:rsid w:val="FFEF25B5"/>
    <w:rsid w:val="FFEF48B7"/>
    <w:rsid w:val="FFEF9705"/>
    <w:rsid w:val="FFFB66C8"/>
    <w:rsid w:val="FFFF0C42"/>
    <w:rsid w:val="FFFF27D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6"/>
    <w:qFormat/>
    <w:uiPriority w:val="0"/>
    <w:pPr>
      <w:keepNext/>
      <w:keepLines/>
      <w:spacing w:before="340" w:beforeLines="0" w:after="330" w:afterLines="0" w:line="578" w:lineRule="auto"/>
      <w:outlineLvl w:val="0"/>
    </w:pPr>
    <w:rPr>
      <w:b/>
      <w:bCs/>
      <w:kern w:val="44"/>
      <w:sz w:val="44"/>
      <w:szCs w:val="44"/>
    </w:rPr>
  </w:style>
  <w:style w:type="paragraph" w:styleId="3">
    <w:name w:val="heading 2"/>
    <w:basedOn w:val="1"/>
    <w:next w:val="1"/>
    <w:link w:val="57"/>
    <w:qFormat/>
    <w:uiPriority w:val="0"/>
    <w:pPr>
      <w:keepNext/>
      <w:keepLines/>
      <w:spacing w:line="360" w:lineRule="auto"/>
      <w:ind w:firstLine="540" w:firstLineChars="192"/>
      <w:jc w:val="center"/>
      <w:outlineLvl w:val="1"/>
    </w:pPr>
    <w:rPr>
      <w:rFonts w:ascii="Arial" w:hAnsi="Arial"/>
      <w:b/>
      <w:bCs/>
      <w:color w:val="FF0000"/>
      <w:sz w:val="28"/>
      <w:szCs w:val="32"/>
    </w:rPr>
  </w:style>
  <w:style w:type="paragraph" w:styleId="4">
    <w:name w:val="heading 3"/>
    <w:basedOn w:val="1"/>
    <w:next w:val="1"/>
    <w:link w:val="59"/>
    <w:qFormat/>
    <w:uiPriority w:val="0"/>
    <w:pPr>
      <w:numPr>
        <w:ilvl w:val="5"/>
        <w:numId w:val="1"/>
      </w:numPr>
      <w:spacing w:before="260" w:after="260" w:line="416" w:lineRule="auto"/>
      <w:outlineLvl w:val="2"/>
    </w:pPr>
    <w:rPr>
      <w:b/>
      <w:bCs/>
      <w:sz w:val="32"/>
      <w:szCs w:val="32"/>
    </w:rPr>
  </w:style>
  <w:style w:type="paragraph" w:styleId="5">
    <w:name w:val="heading 4"/>
    <w:basedOn w:val="1"/>
    <w:next w:val="1"/>
    <w:link w:val="61"/>
    <w:qFormat/>
    <w:uiPriority w:val="0"/>
    <w:pPr>
      <w:keepNext/>
      <w:keepLines/>
      <w:spacing w:before="280" w:beforeLines="0" w:after="290" w:afterLines="0" w:line="376" w:lineRule="auto"/>
      <w:outlineLvl w:val="3"/>
    </w:pPr>
    <w:rPr>
      <w:rFonts w:ascii="Arial" w:hAnsi="Arial" w:eastAsia="黑体"/>
      <w:b/>
      <w:bCs/>
      <w:sz w:val="28"/>
      <w:szCs w:val="28"/>
    </w:rPr>
  </w:style>
  <w:style w:type="paragraph" w:styleId="6">
    <w:name w:val="heading 5"/>
    <w:basedOn w:val="1"/>
    <w:next w:val="1"/>
    <w:qFormat/>
    <w:uiPriority w:val="0"/>
    <w:pPr>
      <w:keepNext/>
      <w:keepLines/>
      <w:numPr>
        <w:ilvl w:val="4"/>
        <w:numId w:val="2"/>
      </w:numPr>
      <w:adjustRightInd w:val="0"/>
      <w:spacing w:before="280" w:after="290" w:line="376" w:lineRule="atLeast"/>
      <w:textAlignment w:val="baseline"/>
      <w:outlineLvl w:val="4"/>
    </w:pPr>
    <w:rPr>
      <w:b/>
      <w:kern w:val="0"/>
      <w:sz w:val="28"/>
      <w:szCs w:val="20"/>
    </w:rPr>
  </w:style>
  <w:style w:type="paragraph" w:styleId="7">
    <w:name w:val="heading 6"/>
    <w:basedOn w:val="1"/>
    <w:next w:val="1"/>
    <w:qFormat/>
    <w:uiPriority w:val="0"/>
    <w:pPr>
      <w:keepNext/>
      <w:keepLines/>
      <w:widowControl/>
      <w:numPr>
        <w:ilvl w:val="5"/>
        <w:numId w:val="1"/>
      </w:numPr>
      <w:spacing w:before="240" w:after="64" w:line="320" w:lineRule="auto"/>
      <w:jc w:val="left"/>
      <w:outlineLvl w:val="5"/>
    </w:pPr>
    <w:rPr>
      <w:rFonts w:ascii="Arial" w:hAnsi="Arial" w:eastAsia="黑体"/>
      <w:b/>
      <w:bCs/>
      <w:kern w:val="0"/>
      <w:sz w:val="24"/>
    </w:rPr>
  </w:style>
  <w:style w:type="paragraph" w:styleId="8">
    <w:name w:val="heading 7"/>
    <w:basedOn w:val="1"/>
    <w:next w:val="1"/>
    <w:qFormat/>
    <w:uiPriority w:val="0"/>
    <w:pPr>
      <w:keepNext/>
      <w:keepLines/>
      <w:widowControl/>
      <w:numPr>
        <w:ilvl w:val="6"/>
        <w:numId w:val="1"/>
      </w:numPr>
      <w:spacing w:before="240" w:after="64" w:line="320" w:lineRule="auto"/>
      <w:jc w:val="left"/>
      <w:outlineLvl w:val="6"/>
    </w:pPr>
    <w:rPr>
      <w:b/>
      <w:bCs/>
      <w:kern w:val="0"/>
      <w:sz w:val="24"/>
    </w:rPr>
  </w:style>
  <w:style w:type="paragraph" w:styleId="9">
    <w:name w:val="heading 8"/>
    <w:basedOn w:val="1"/>
    <w:next w:val="1"/>
    <w:qFormat/>
    <w:uiPriority w:val="0"/>
    <w:pPr>
      <w:keepNext/>
      <w:keepLines/>
      <w:widowControl/>
      <w:numPr>
        <w:ilvl w:val="7"/>
        <w:numId w:val="1"/>
      </w:numPr>
      <w:spacing w:before="240" w:after="64" w:line="320" w:lineRule="auto"/>
      <w:jc w:val="left"/>
      <w:outlineLvl w:val="7"/>
    </w:pPr>
    <w:rPr>
      <w:rFonts w:ascii="Arial" w:hAnsi="Arial" w:eastAsia="黑体"/>
      <w:kern w:val="0"/>
      <w:sz w:val="24"/>
    </w:rPr>
  </w:style>
  <w:style w:type="paragraph" w:styleId="10">
    <w:name w:val="heading 9"/>
    <w:basedOn w:val="1"/>
    <w:next w:val="1"/>
    <w:link w:val="62"/>
    <w:qFormat/>
    <w:uiPriority w:val="0"/>
    <w:pPr>
      <w:keepNext/>
      <w:keepLines/>
      <w:widowControl/>
      <w:numPr>
        <w:ilvl w:val="8"/>
        <w:numId w:val="1"/>
      </w:numPr>
      <w:spacing w:before="240" w:after="64" w:line="320" w:lineRule="auto"/>
      <w:jc w:val="left"/>
      <w:outlineLvl w:val="8"/>
    </w:pPr>
    <w:rPr>
      <w:rFonts w:ascii="Arial" w:hAnsi="Arial" w:eastAsia="黑体"/>
      <w:kern w:val="0"/>
      <w:szCs w:val="21"/>
    </w:rPr>
  </w:style>
  <w:style w:type="character" w:default="1" w:styleId="43">
    <w:name w:val="Default Paragraph Font"/>
    <w:link w:val="44"/>
    <w:qFormat/>
    <w:uiPriority w:val="0"/>
    <w:rPr>
      <w:rFonts w:ascii="宋体" w:hAnsi="宋体"/>
      <w:kern w:val="0"/>
      <w:szCs w:val="21"/>
    </w:rPr>
  </w:style>
  <w:style w:type="table" w:default="1" w:styleId="41">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1260"/>
      <w:jc w:val="left"/>
    </w:pPr>
    <w:rPr>
      <w:rFonts w:ascii="Calibri" w:hAnsi="Calibri" w:cs="Calibri"/>
      <w:sz w:val="18"/>
      <w:szCs w:val="18"/>
    </w:rPr>
  </w:style>
  <w:style w:type="paragraph" w:styleId="12">
    <w:name w:val="Normal Indent"/>
    <w:basedOn w:val="1"/>
    <w:link w:val="60"/>
    <w:qFormat/>
    <w:uiPriority w:val="0"/>
    <w:pPr>
      <w:widowControl/>
      <w:ind w:firstLine="420"/>
      <w:jc w:val="left"/>
    </w:pPr>
    <w:rPr>
      <w:kern w:val="0"/>
      <w:sz w:val="20"/>
      <w:szCs w:val="20"/>
    </w:rPr>
  </w:style>
  <w:style w:type="paragraph" w:styleId="13">
    <w:name w:val="caption"/>
    <w:basedOn w:val="1"/>
    <w:next w:val="1"/>
    <w:qFormat/>
    <w:uiPriority w:val="0"/>
    <w:rPr>
      <w:rFonts w:ascii="Arial" w:hAnsi="Arial" w:eastAsia="黑体"/>
      <w:sz w:val="20"/>
    </w:rPr>
  </w:style>
  <w:style w:type="paragraph" w:styleId="14">
    <w:name w:val="Document Map"/>
    <w:basedOn w:val="1"/>
    <w:link w:val="63"/>
    <w:qFormat/>
    <w:uiPriority w:val="0"/>
    <w:pPr>
      <w:shd w:val="clear" w:color="auto" w:fill="000080"/>
    </w:pPr>
  </w:style>
  <w:style w:type="paragraph" w:styleId="15">
    <w:name w:val="annotation text"/>
    <w:basedOn w:val="1"/>
    <w:link w:val="64"/>
    <w:qFormat/>
    <w:uiPriority w:val="99"/>
    <w:pPr>
      <w:adjustRightInd w:val="0"/>
      <w:spacing w:line="360" w:lineRule="atLeast"/>
      <w:jc w:val="left"/>
      <w:textAlignment w:val="baseline"/>
    </w:pPr>
    <w:rPr>
      <w:kern w:val="0"/>
      <w:sz w:val="24"/>
      <w:szCs w:val="20"/>
    </w:rPr>
  </w:style>
  <w:style w:type="paragraph" w:styleId="16">
    <w:name w:val="Body Text 3"/>
    <w:basedOn w:val="1"/>
    <w:link w:val="65"/>
    <w:qFormat/>
    <w:uiPriority w:val="0"/>
    <w:pPr>
      <w:spacing w:line="440" w:lineRule="exact"/>
    </w:pPr>
    <w:rPr>
      <w:sz w:val="24"/>
    </w:rPr>
  </w:style>
  <w:style w:type="paragraph" w:styleId="17">
    <w:name w:val="Body Text"/>
    <w:basedOn w:val="1"/>
    <w:link w:val="55"/>
    <w:qFormat/>
    <w:uiPriority w:val="0"/>
    <w:pPr>
      <w:jc w:val="center"/>
    </w:pPr>
    <w:rPr>
      <w:sz w:val="52"/>
    </w:rPr>
  </w:style>
  <w:style w:type="paragraph" w:styleId="18">
    <w:name w:val="Body Text Indent"/>
    <w:basedOn w:val="1"/>
    <w:next w:val="1"/>
    <w:qFormat/>
    <w:uiPriority w:val="0"/>
    <w:pPr>
      <w:spacing w:line="400" w:lineRule="exact"/>
      <w:ind w:firstLine="560" w:firstLineChars="200"/>
    </w:pPr>
    <w:rPr>
      <w:sz w:val="28"/>
      <w:u w:val="single"/>
    </w:rPr>
  </w:style>
  <w:style w:type="paragraph" w:styleId="19">
    <w:name w:val="toc 5"/>
    <w:basedOn w:val="1"/>
    <w:next w:val="1"/>
    <w:qFormat/>
    <w:uiPriority w:val="39"/>
    <w:pPr>
      <w:ind w:left="840"/>
      <w:jc w:val="left"/>
    </w:pPr>
    <w:rPr>
      <w:rFonts w:ascii="Calibri" w:hAnsi="Calibri" w:cs="Calibri"/>
      <w:sz w:val="18"/>
      <w:szCs w:val="18"/>
    </w:rPr>
  </w:style>
  <w:style w:type="paragraph" w:styleId="20">
    <w:name w:val="toc 3"/>
    <w:basedOn w:val="1"/>
    <w:next w:val="1"/>
    <w:qFormat/>
    <w:uiPriority w:val="39"/>
    <w:pPr>
      <w:ind w:left="420"/>
      <w:jc w:val="left"/>
    </w:pPr>
    <w:rPr>
      <w:rFonts w:ascii="Calibri" w:hAnsi="Calibri" w:cs="Calibri"/>
      <w:i/>
      <w:iCs/>
      <w:sz w:val="20"/>
      <w:szCs w:val="20"/>
    </w:rPr>
  </w:style>
  <w:style w:type="paragraph" w:styleId="21">
    <w:name w:val="Plain Text"/>
    <w:basedOn w:val="1"/>
    <w:link w:val="66"/>
    <w:qFormat/>
    <w:uiPriority w:val="0"/>
    <w:rPr>
      <w:rFonts w:ascii="宋体" w:hAnsi="Courier New"/>
      <w:szCs w:val="20"/>
    </w:rPr>
  </w:style>
  <w:style w:type="paragraph" w:styleId="22">
    <w:name w:val="toc 8"/>
    <w:basedOn w:val="1"/>
    <w:next w:val="1"/>
    <w:qFormat/>
    <w:uiPriority w:val="39"/>
    <w:pPr>
      <w:ind w:left="1470"/>
      <w:jc w:val="left"/>
    </w:pPr>
    <w:rPr>
      <w:rFonts w:ascii="Calibri" w:hAnsi="Calibri" w:cs="Calibri"/>
      <w:sz w:val="18"/>
      <w:szCs w:val="18"/>
    </w:rPr>
  </w:style>
  <w:style w:type="paragraph" w:styleId="23">
    <w:name w:val="Date"/>
    <w:basedOn w:val="1"/>
    <w:next w:val="1"/>
    <w:qFormat/>
    <w:uiPriority w:val="0"/>
    <w:pPr>
      <w:ind w:left="100" w:leftChars="2500"/>
    </w:pPr>
  </w:style>
  <w:style w:type="paragraph" w:styleId="24">
    <w:name w:val="Body Text Indent 2"/>
    <w:basedOn w:val="1"/>
    <w:qFormat/>
    <w:uiPriority w:val="0"/>
    <w:pPr>
      <w:spacing w:line="400" w:lineRule="exact"/>
      <w:ind w:firstLine="560" w:firstLineChars="200"/>
    </w:pPr>
    <w:rPr>
      <w:sz w:val="28"/>
    </w:rPr>
  </w:style>
  <w:style w:type="paragraph" w:styleId="25">
    <w:name w:val="Balloon Text"/>
    <w:basedOn w:val="1"/>
    <w:link w:val="67"/>
    <w:qFormat/>
    <w:uiPriority w:val="0"/>
    <w:rPr>
      <w:sz w:val="18"/>
      <w:szCs w:val="18"/>
    </w:rPr>
  </w:style>
  <w:style w:type="paragraph" w:styleId="26">
    <w:name w:val="footer"/>
    <w:basedOn w:val="1"/>
    <w:link w:val="68"/>
    <w:qFormat/>
    <w:uiPriority w:val="99"/>
    <w:pPr>
      <w:tabs>
        <w:tab w:val="center" w:pos="4153"/>
        <w:tab w:val="right" w:pos="8306"/>
      </w:tabs>
      <w:snapToGrid w:val="0"/>
      <w:jc w:val="left"/>
    </w:pPr>
    <w:rPr>
      <w:sz w:val="18"/>
      <w:szCs w:val="18"/>
    </w:rPr>
  </w:style>
  <w:style w:type="paragraph" w:styleId="27">
    <w:name w:val="header"/>
    <w:basedOn w:val="1"/>
    <w:link w:val="69"/>
    <w:qFormat/>
    <w:uiPriority w:val="99"/>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spacing w:before="120" w:after="120"/>
      <w:jc w:val="left"/>
    </w:pPr>
    <w:rPr>
      <w:rFonts w:ascii="Calibri" w:hAnsi="Calibri" w:cs="Calibri"/>
      <w:b/>
      <w:bCs/>
      <w:caps/>
      <w:sz w:val="20"/>
      <w:szCs w:val="20"/>
    </w:rPr>
  </w:style>
  <w:style w:type="paragraph" w:styleId="29">
    <w:name w:val="toc 4"/>
    <w:basedOn w:val="1"/>
    <w:next w:val="1"/>
    <w:qFormat/>
    <w:uiPriority w:val="39"/>
    <w:pPr>
      <w:ind w:left="630"/>
      <w:jc w:val="left"/>
    </w:pPr>
    <w:rPr>
      <w:rFonts w:ascii="Calibri" w:hAnsi="Calibri" w:cs="Calibri"/>
      <w:sz w:val="18"/>
      <w:szCs w:val="18"/>
    </w:rPr>
  </w:style>
  <w:style w:type="paragraph" w:styleId="30">
    <w:name w:val="List"/>
    <w:basedOn w:val="1"/>
    <w:qFormat/>
    <w:uiPriority w:val="0"/>
    <w:pPr>
      <w:ind w:left="200" w:hanging="200" w:hangingChars="200"/>
    </w:pPr>
    <w:rPr>
      <w:szCs w:val="20"/>
    </w:rPr>
  </w:style>
  <w:style w:type="paragraph" w:styleId="31">
    <w:name w:val="toc 6"/>
    <w:basedOn w:val="1"/>
    <w:next w:val="1"/>
    <w:qFormat/>
    <w:uiPriority w:val="39"/>
    <w:pPr>
      <w:ind w:left="1050"/>
      <w:jc w:val="left"/>
    </w:pPr>
    <w:rPr>
      <w:rFonts w:ascii="Calibri" w:hAnsi="Calibri" w:cs="Calibri"/>
      <w:sz w:val="18"/>
      <w:szCs w:val="18"/>
    </w:rPr>
  </w:style>
  <w:style w:type="paragraph" w:styleId="32">
    <w:name w:val="Body Text Indent 3"/>
    <w:basedOn w:val="1"/>
    <w:qFormat/>
    <w:uiPriority w:val="0"/>
    <w:pPr>
      <w:spacing w:line="500" w:lineRule="exact"/>
      <w:ind w:firstLine="570"/>
    </w:pPr>
    <w:rPr>
      <w:rFonts w:eastAsia="黑体"/>
      <w:sz w:val="28"/>
    </w:rPr>
  </w:style>
  <w:style w:type="paragraph" w:styleId="33">
    <w:name w:val="toc 2"/>
    <w:basedOn w:val="1"/>
    <w:next w:val="1"/>
    <w:qFormat/>
    <w:uiPriority w:val="39"/>
    <w:pPr>
      <w:ind w:left="210"/>
      <w:jc w:val="left"/>
    </w:pPr>
    <w:rPr>
      <w:rFonts w:ascii="Calibri" w:hAnsi="Calibri" w:cs="Calibri"/>
      <w:smallCaps/>
      <w:sz w:val="20"/>
      <w:szCs w:val="20"/>
    </w:rPr>
  </w:style>
  <w:style w:type="paragraph" w:styleId="34">
    <w:name w:val="toc 9"/>
    <w:basedOn w:val="1"/>
    <w:next w:val="1"/>
    <w:qFormat/>
    <w:uiPriority w:val="39"/>
    <w:pPr>
      <w:ind w:left="1680"/>
      <w:jc w:val="left"/>
    </w:pPr>
    <w:rPr>
      <w:rFonts w:ascii="Calibri" w:hAnsi="Calibri" w:cs="Calibri"/>
      <w:sz w:val="18"/>
      <w:szCs w:val="18"/>
    </w:rPr>
  </w:style>
  <w:style w:type="paragraph" w:styleId="35">
    <w:name w:val="Body Text 2"/>
    <w:basedOn w:val="1"/>
    <w:qFormat/>
    <w:uiPriority w:val="0"/>
    <w:rPr>
      <w:sz w:val="28"/>
    </w:rPr>
  </w:style>
  <w:style w:type="paragraph" w:styleId="36">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37">
    <w:name w:val="Title"/>
    <w:basedOn w:val="1"/>
    <w:link w:val="70"/>
    <w:qFormat/>
    <w:uiPriority w:val="0"/>
    <w:pPr>
      <w:adjustRightInd w:val="0"/>
      <w:spacing w:before="240" w:beforeLines="0" w:after="60" w:afterLines="0" w:line="312" w:lineRule="atLeast"/>
      <w:jc w:val="center"/>
      <w:textAlignment w:val="baseline"/>
    </w:pPr>
    <w:rPr>
      <w:rFonts w:ascii="Arial" w:hAnsi="Arial"/>
      <w:b/>
      <w:kern w:val="28"/>
      <w:sz w:val="32"/>
      <w:szCs w:val="20"/>
    </w:rPr>
  </w:style>
  <w:style w:type="paragraph" w:styleId="38">
    <w:name w:val="annotation subject"/>
    <w:basedOn w:val="15"/>
    <w:next w:val="15"/>
    <w:link w:val="71"/>
    <w:qFormat/>
    <w:uiPriority w:val="0"/>
    <w:pPr>
      <w:adjustRightInd/>
      <w:spacing w:line="240" w:lineRule="auto"/>
      <w:textAlignment w:val="auto"/>
    </w:pPr>
    <w:rPr>
      <w:b/>
      <w:bCs/>
      <w:kern w:val="2"/>
      <w:sz w:val="21"/>
      <w:szCs w:val="24"/>
    </w:rPr>
  </w:style>
  <w:style w:type="paragraph" w:styleId="39">
    <w:name w:val="Body Text First Indent"/>
    <w:basedOn w:val="17"/>
    <w:qFormat/>
    <w:uiPriority w:val="0"/>
    <w:pPr>
      <w:tabs>
        <w:tab w:val="left" w:pos="567"/>
      </w:tabs>
      <w:ind w:firstLine="420" w:firstLineChars="100"/>
    </w:pPr>
  </w:style>
  <w:style w:type="paragraph" w:styleId="40">
    <w:name w:val="Body Text First Indent 2"/>
    <w:basedOn w:val="18"/>
    <w:qFormat/>
    <w:uiPriority w:val="0"/>
    <w:pPr>
      <w:ind w:firstLine="420" w:firstLineChars="200"/>
    </w:pPr>
    <w:rPr>
      <w:rFonts w:ascii="Arial" w:hAnsi="Arial"/>
      <w:snapToGrid w:val="0"/>
      <w:kern w:val="0"/>
      <w:sz w:val="20"/>
    </w:rPr>
  </w:style>
  <w:style w:type="table" w:styleId="42">
    <w:name w:val="Table Grid"/>
    <w:basedOn w:val="41"/>
    <w:qFormat/>
    <w:uiPriority w:val="39"/>
    <w:pPr>
      <w:widowControl w:val="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4">
    <w:name w:val="Char2 Char Char Char1 Char Char Char Char Char Char Char Char1 Char1 Char Char1 Char"/>
    <w:basedOn w:val="1"/>
    <w:link w:val="43"/>
    <w:qFormat/>
    <w:uiPriority w:val="0"/>
    <w:pPr>
      <w:spacing w:line="240" w:lineRule="auto"/>
    </w:pPr>
    <w:rPr>
      <w:rFonts w:ascii="宋体" w:hAnsi="宋体"/>
      <w:kern w:val="0"/>
      <w:szCs w:val="21"/>
    </w:rPr>
  </w:style>
  <w:style w:type="character" w:styleId="45">
    <w:name w:val="Strong"/>
    <w:qFormat/>
    <w:uiPriority w:val="0"/>
    <w:rPr>
      <w:rFonts w:cs="Times New Roman"/>
      <w:b/>
    </w:rPr>
  </w:style>
  <w:style w:type="character" w:styleId="46">
    <w:name w:val="page number"/>
    <w:qFormat/>
    <w:uiPriority w:val="0"/>
  </w:style>
  <w:style w:type="character" w:styleId="47">
    <w:name w:val="FollowedHyperlink"/>
    <w:qFormat/>
    <w:uiPriority w:val="0"/>
    <w:rPr>
      <w:color w:val="333333"/>
      <w:u w:val="none"/>
    </w:rPr>
  </w:style>
  <w:style w:type="character" w:styleId="48">
    <w:name w:val="Emphasis"/>
    <w:qFormat/>
    <w:uiPriority w:val="20"/>
  </w:style>
  <w:style w:type="character" w:styleId="49">
    <w:name w:val="HTML Definition"/>
    <w:unhideWhenUsed/>
    <w:qFormat/>
    <w:uiPriority w:val="99"/>
    <w:rPr>
      <w:i/>
      <w:iCs/>
    </w:rPr>
  </w:style>
  <w:style w:type="character" w:styleId="50">
    <w:name w:val="Hyperlink"/>
    <w:qFormat/>
    <w:uiPriority w:val="99"/>
    <w:rPr>
      <w:color w:val="333333"/>
      <w:u w:val="none"/>
    </w:rPr>
  </w:style>
  <w:style w:type="character" w:styleId="51">
    <w:name w:val="HTML Code"/>
    <w:unhideWhenUsed/>
    <w:qFormat/>
    <w:uiPriority w:val="99"/>
    <w:rPr>
      <w:rFonts w:hint="default" w:ascii="Consolas" w:hAnsi="Consolas" w:eastAsia="Consolas" w:cs="Consolas"/>
      <w:color w:val="C7254E"/>
      <w:sz w:val="21"/>
      <w:szCs w:val="21"/>
      <w:shd w:val="clear" w:color="auto" w:fill="F9F2F4"/>
    </w:rPr>
  </w:style>
  <w:style w:type="character" w:styleId="52">
    <w:name w:val="annotation reference"/>
    <w:qFormat/>
    <w:uiPriority w:val="0"/>
    <w:rPr>
      <w:sz w:val="21"/>
      <w:szCs w:val="21"/>
    </w:rPr>
  </w:style>
  <w:style w:type="character" w:styleId="53">
    <w:name w:val="HTML Keyboard"/>
    <w:unhideWhenUsed/>
    <w:qFormat/>
    <w:uiPriority w:val="99"/>
    <w:rPr>
      <w:rFonts w:hint="default" w:ascii="Consolas" w:hAnsi="Consolas" w:eastAsia="Consolas" w:cs="Consolas"/>
      <w:color w:val="FFFFFF"/>
      <w:sz w:val="21"/>
      <w:szCs w:val="21"/>
      <w:shd w:val="clear" w:color="auto" w:fill="333333"/>
    </w:rPr>
  </w:style>
  <w:style w:type="character" w:styleId="54">
    <w:name w:val="HTML Sample"/>
    <w:unhideWhenUsed/>
    <w:qFormat/>
    <w:uiPriority w:val="99"/>
    <w:rPr>
      <w:rFonts w:ascii="Consolas" w:hAnsi="Consolas" w:eastAsia="Consolas" w:cs="Consolas"/>
      <w:sz w:val="21"/>
      <w:szCs w:val="21"/>
    </w:rPr>
  </w:style>
  <w:style w:type="character" w:customStyle="1" w:styleId="55">
    <w:name w:val="正文文本 字符"/>
    <w:link w:val="17"/>
    <w:qFormat/>
    <w:locked/>
    <w:uiPriority w:val="0"/>
    <w:rPr>
      <w:kern w:val="2"/>
      <w:sz w:val="52"/>
      <w:szCs w:val="24"/>
    </w:rPr>
  </w:style>
  <w:style w:type="character" w:customStyle="1" w:styleId="56">
    <w:name w:val="标题 1 字符"/>
    <w:link w:val="2"/>
    <w:qFormat/>
    <w:locked/>
    <w:uiPriority w:val="0"/>
    <w:rPr>
      <w:b/>
      <w:bCs/>
      <w:kern w:val="44"/>
      <w:sz w:val="44"/>
      <w:szCs w:val="44"/>
    </w:rPr>
  </w:style>
  <w:style w:type="character" w:customStyle="1" w:styleId="57">
    <w:name w:val="标题 2 字符"/>
    <w:link w:val="3"/>
    <w:qFormat/>
    <w:locked/>
    <w:uiPriority w:val="0"/>
    <w:rPr>
      <w:rFonts w:ascii="Arial" w:hAnsi="Arial"/>
      <w:b/>
      <w:bCs/>
      <w:color w:val="FF0000"/>
      <w:kern w:val="2"/>
      <w:sz w:val="28"/>
      <w:szCs w:val="32"/>
    </w:rPr>
  </w:style>
  <w:style w:type="paragraph" w:customStyle="1" w:styleId="58">
    <w:name w:val="标题 60"/>
    <w:basedOn w:val="7"/>
    <w:qFormat/>
    <w:uiPriority w:val="0"/>
    <w:pPr>
      <w:spacing w:line="319" w:lineRule="auto"/>
      <w:ind w:firstLine="200" w:firstLineChars="200"/>
    </w:pPr>
    <w:rPr>
      <w:b w:val="0"/>
      <w:bCs w:val="0"/>
    </w:rPr>
  </w:style>
  <w:style w:type="character" w:customStyle="1" w:styleId="59">
    <w:name w:val="标题 3 字符"/>
    <w:link w:val="4"/>
    <w:qFormat/>
    <w:uiPriority w:val="0"/>
    <w:rPr>
      <w:b/>
      <w:bCs/>
      <w:kern w:val="2"/>
      <w:sz w:val="32"/>
      <w:szCs w:val="32"/>
    </w:rPr>
  </w:style>
  <w:style w:type="character" w:customStyle="1" w:styleId="60">
    <w:name w:val="正文缩进 字符"/>
    <w:link w:val="12"/>
    <w:qFormat/>
    <w:uiPriority w:val="0"/>
  </w:style>
  <w:style w:type="character" w:customStyle="1" w:styleId="61">
    <w:name w:val="标题 4 字符"/>
    <w:link w:val="5"/>
    <w:qFormat/>
    <w:uiPriority w:val="0"/>
    <w:rPr>
      <w:rFonts w:ascii="Arial" w:hAnsi="Arial" w:eastAsia="黑体"/>
      <w:b/>
      <w:bCs/>
      <w:kern w:val="2"/>
      <w:sz w:val="28"/>
      <w:szCs w:val="28"/>
    </w:rPr>
  </w:style>
  <w:style w:type="character" w:customStyle="1" w:styleId="62">
    <w:name w:val="标题 9 字符"/>
    <w:link w:val="10"/>
    <w:qFormat/>
    <w:uiPriority w:val="0"/>
    <w:rPr>
      <w:rFonts w:ascii="Arial" w:hAnsi="Arial" w:eastAsia="黑体"/>
      <w:sz w:val="21"/>
      <w:szCs w:val="21"/>
    </w:rPr>
  </w:style>
  <w:style w:type="character" w:customStyle="1" w:styleId="63">
    <w:name w:val="文档结构图 字符"/>
    <w:link w:val="14"/>
    <w:qFormat/>
    <w:uiPriority w:val="0"/>
    <w:rPr>
      <w:kern w:val="2"/>
      <w:sz w:val="21"/>
      <w:szCs w:val="24"/>
      <w:shd w:val="clear" w:color="auto" w:fill="000080"/>
    </w:rPr>
  </w:style>
  <w:style w:type="character" w:customStyle="1" w:styleId="64">
    <w:name w:val="批注文字 字符1"/>
    <w:link w:val="15"/>
    <w:qFormat/>
    <w:locked/>
    <w:uiPriority w:val="99"/>
    <w:rPr>
      <w:sz w:val="24"/>
    </w:rPr>
  </w:style>
  <w:style w:type="character" w:customStyle="1" w:styleId="65">
    <w:name w:val="正文文本 3 字符"/>
    <w:link w:val="16"/>
    <w:qFormat/>
    <w:uiPriority w:val="0"/>
    <w:rPr>
      <w:kern w:val="2"/>
      <w:sz w:val="24"/>
      <w:szCs w:val="24"/>
    </w:rPr>
  </w:style>
  <w:style w:type="character" w:customStyle="1" w:styleId="66">
    <w:name w:val="纯文本 字符"/>
    <w:link w:val="21"/>
    <w:qFormat/>
    <w:uiPriority w:val="0"/>
    <w:rPr>
      <w:rFonts w:ascii="宋体" w:hAnsi="Courier New"/>
      <w:kern w:val="2"/>
      <w:sz w:val="21"/>
    </w:rPr>
  </w:style>
  <w:style w:type="character" w:customStyle="1" w:styleId="67">
    <w:name w:val="批注框文本 字符"/>
    <w:link w:val="25"/>
    <w:qFormat/>
    <w:locked/>
    <w:uiPriority w:val="0"/>
    <w:rPr>
      <w:kern w:val="2"/>
      <w:sz w:val="18"/>
      <w:szCs w:val="18"/>
    </w:rPr>
  </w:style>
  <w:style w:type="character" w:customStyle="1" w:styleId="68">
    <w:name w:val="页脚 字符"/>
    <w:link w:val="26"/>
    <w:qFormat/>
    <w:uiPriority w:val="99"/>
    <w:rPr>
      <w:kern w:val="2"/>
      <w:sz w:val="18"/>
      <w:szCs w:val="18"/>
    </w:rPr>
  </w:style>
  <w:style w:type="character" w:customStyle="1" w:styleId="69">
    <w:name w:val="页眉 字符"/>
    <w:link w:val="27"/>
    <w:qFormat/>
    <w:locked/>
    <w:uiPriority w:val="99"/>
    <w:rPr>
      <w:kern w:val="2"/>
      <w:sz w:val="18"/>
      <w:szCs w:val="18"/>
    </w:rPr>
  </w:style>
  <w:style w:type="character" w:customStyle="1" w:styleId="70">
    <w:name w:val="标题 字符"/>
    <w:link w:val="37"/>
    <w:qFormat/>
    <w:locked/>
    <w:uiPriority w:val="0"/>
    <w:rPr>
      <w:rFonts w:ascii="Arial" w:hAnsi="Arial"/>
      <w:b/>
      <w:kern w:val="28"/>
      <w:sz w:val="32"/>
    </w:rPr>
  </w:style>
  <w:style w:type="character" w:customStyle="1" w:styleId="71">
    <w:name w:val="批注主题 字符"/>
    <w:link w:val="38"/>
    <w:qFormat/>
    <w:locked/>
    <w:uiPriority w:val="0"/>
    <w:rPr>
      <w:b/>
      <w:bCs/>
      <w:kern w:val="2"/>
      <w:sz w:val="21"/>
      <w:szCs w:val="24"/>
    </w:rPr>
  </w:style>
  <w:style w:type="character" w:customStyle="1" w:styleId="72">
    <w:name w:val="bd-close2"/>
    <w:qFormat/>
    <w:uiPriority w:val="0"/>
    <w:rPr>
      <w:vanish/>
    </w:rPr>
  </w:style>
  <w:style w:type="character" w:customStyle="1" w:styleId="73">
    <w:name w:val="left"/>
    <w:qFormat/>
    <w:uiPriority w:val="0"/>
    <w:rPr>
      <w:color w:val="FF4700"/>
    </w:rPr>
  </w:style>
  <w:style w:type="character" w:customStyle="1" w:styleId="74">
    <w:name w:val="first-child"/>
    <w:qFormat/>
    <w:uiPriority w:val="0"/>
  </w:style>
  <w:style w:type="character" w:customStyle="1" w:styleId="75">
    <w:name w:val="bd-close"/>
    <w:qFormat/>
    <w:uiPriority w:val="0"/>
    <w:rPr>
      <w:vanish/>
    </w:rPr>
  </w:style>
  <w:style w:type="character" w:customStyle="1" w:styleId="76">
    <w:name w:val="left2"/>
    <w:qFormat/>
    <w:uiPriority w:val="0"/>
    <w:rPr>
      <w:color w:val="FF4700"/>
    </w:rPr>
  </w:style>
  <w:style w:type="character" w:customStyle="1" w:styleId="77">
    <w:name w:val="edui-clickable2"/>
    <w:qFormat/>
    <w:uiPriority w:val="0"/>
    <w:rPr>
      <w:color w:val="0000FF"/>
      <w:u w:val="single"/>
    </w:rPr>
  </w:style>
  <w:style w:type="character" w:customStyle="1" w:styleId="78">
    <w:name w:val="Footer Char"/>
    <w:qFormat/>
    <w:locked/>
    <w:uiPriority w:val="0"/>
    <w:rPr>
      <w:rFonts w:ascii="Calibri" w:hAnsi="Calibri" w:eastAsia="宋体"/>
      <w:sz w:val="18"/>
    </w:rPr>
  </w:style>
  <w:style w:type="character" w:customStyle="1" w:styleId="79">
    <w:name w:val="Header Char"/>
    <w:qFormat/>
    <w:locked/>
    <w:uiPriority w:val="0"/>
    <w:rPr>
      <w:rFonts w:ascii="Calibri" w:hAnsi="Calibri" w:eastAsia="宋体"/>
      <w:sz w:val="18"/>
    </w:rPr>
  </w:style>
  <w:style w:type="character" w:customStyle="1" w:styleId="80">
    <w:name w:val="标题2 Char"/>
    <w:link w:val="81"/>
    <w:qFormat/>
    <w:uiPriority w:val="0"/>
    <w:rPr>
      <w:rFonts w:ascii="黑体" w:hAnsi="宋体" w:cs="黑体"/>
      <w:b/>
      <w:bCs/>
      <w:sz w:val="28"/>
      <w:szCs w:val="28"/>
    </w:rPr>
  </w:style>
  <w:style w:type="paragraph" w:customStyle="1" w:styleId="81">
    <w:name w:val="标题2"/>
    <w:basedOn w:val="5"/>
    <w:next w:val="1"/>
    <w:link w:val="80"/>
    <w:qFormat/>
    <w:uiPriority w:val="0"/>
    <w:pPr>
      <w:spacing w:before="0" w:beforeLines="50" w:after="0" w:afterLines="50" w:line="360" w:lineRule="auto"/>
      <w:ind w:firstLine="397"/>
      <w:jc w:val="left"/>
    </w:pPr>
    <w:rPr>
      <w:rFonts w:ascii="黑体" w:hAnsi="宋体" w:eastAsia="宋体" w:cs="黑体"/>
      <w:kern w:val="0"/>
    </w:rPr>
  </w:style>
  <w:style w:type="character" w:customStyle="1" w:styleId="82">
    <w:name w:val="中文正文、 Char Char"/>
    <w:link w:val="83"/>
    <w:qFormat/>
    <w:uiPriority w:val="0"/>
    <w:rPr>
      <w:kern w:val="2"/>
      <w:sz w:val="21"/>
      <w:szCs w:val="21"/>
    </w:rPr>
  </w:style>
  <w:style w:type="paragraph" w:customStyle="1" w:styleId="83">
    <w:name w:val="中文正文、"/>
    <w:basedOn w:val="1"/>
    <w:link w:val="82"/>
    <w:qFormat/>
    <w:uiPriority w:val="0"/>
    <w:pPr>
      <w:adjustRightInd/>
      <w:spacing w:line="360" w:lineRule="auto"/>
      <w:ind w:firstLine="420" w:firstLineChars="200"/>
    </w:pPr>
    <w:rPr>
      <w:szCs w:val="21"/>
    </w:rPr>
  </w:style>
  <w:style w:type="character" w:customStyle="1" w:styleId="84">
    <w:name w:val="批注主题 Char"/>
    <w:link w:val="85"/>
    <w:qFormat/>
    <w:locked/>
    <w:uiPriority w:val="0"/>
    <w:rPr>
      <w:b/>
      <w:sz w:val="24"/>
    </w:rPr>
  </w:style>
  <w:style w:type="paragraph" w:customStyle="1" w:styleId="85">
    <w:name w:val="批注主题1"/>
    <w:basedOn w:val="15"/>
    <w:next w:val="15"/>
    <w:link w:val="84"/>
    <w:qFormat/>
    <w:uiPriority w:val="0"/>
    <w:pPr>
      <w:adjustRightInd/>
      <w:spacing w:line="240" w:lineRule="auto"/>
      <w:textAlignment w:val="auto"/>
    </w:pPr>
    <w:rPr>
      <w:b/>
    </w:rPr>
  </w:style>
  <w:style w:type="character" w:customStyle="1" w:styleId="86">
    <w:name w:val="16"/>
    <w:qFormat/>
    <w:uiPriority w:val="0"/>
    <w:rPr>
      <w:rFonts w:hint="default" w:ascii="Times New Roman" w:hAnsi="Times New Roman" w:cs="Times New Roman"/>
    </w:rPr>
  </w:style>
  <w:style w:type="character" w:customStyle="1" w:styleId="87">
    <w:name w:val="封面标题 Char"/>
    <w:link w:val="88"/>
    <w:qFormat/>
    <w:uiPriority w:val="0"/>
    <w:rPr>
      <w:rFonts w:ascii="黑体" w:eastAsia="黑体"/>
      <w:sz w:val="52"/>
      <w:szCs w:val="52"/>
    </w:rPr>
  </w:style>
  <w:style w:type="paragraph" w:customStyle="1" w:styleId="88">
    <w:name w:val="封面标题"/>
    <w:basedOn w:val="1"/>
    <w:link w:val="87"/>
    <w:qFormat/>
    <w:uiPriority w:val="0"/>
    <w:pPr>
      <w:spacing w:line="276" w:lineRule="auto"/>
      <w:jc w:val="center"/>
    </w:pPr>
    <w:rPr>
      <w:rFonts w:ascii="黑体" w:eastAsia="黑体"/>
      <w:kern w:val="0"/>
      <w:sz w:val="52"/>
      <w:szCs w:val="52"/>
    </w:rPr>
  </w:style>
  <w:style w:type="character" w:customStyle="1" w:styleId="89">
    <w:name w:val="edui-unclickable"/>
    <w:qFormat/>
    <w:uiPriority w:val="0"/>
    <w:rPr>
      <w:color w:val="808080"/>
    </w:rPr>
  </w:style>
  <w:style w:type="character" w:customStyle="1" w:styleId="90">
    <w:name w:val="15"/>
    <w:qFormat/>
    <w:uiPriority w:val="0"/>
    <w:rPr>
      <w:rFonts w:hint="eastAsia" w:ascii="宋体" w:hAnsi="宋体" w:eastAsia="宋体"/>
      <w:sz w:val="24"/>
      <w:szCs w:val="24"/>
    </w:rPr>
  </w:style>
  <w:style w:type="character" w:customStyle="1" w:styleId="91">
    <w:name w:val="封面副标题 Char"/>
    <w:link w:val="92"/>
    <w:qFormat/>
    <w:uiPriority w:val="0"/>
    <w:rPr>
      <w:rFonts w:ascii="黑体" w:eastAsia="黑体"/>
      <w:sz w:val="28"/>
      <w:szCs w:val="28"/>
    </w:rPr>
  </w:style>
  <w:style w:type="paragraph" w:customStyle="1" w:styleId="92">
    <w:name w:val="封面副标题"/>
    <w:basedOn w:val="1"/>
    <w:link w:val="91"/>
    <w:qFormat/>
    <w:uiPriority w:val="0"/>
    <w:pPr>
      <w:spacing w:line="276" w:lineRule="auto"/>
      <w:ind w:firstLine="199" w:firstLineChars="71"/>
      <w:jc w:val="center"/>
    </w:pPr>
    <w:rPr>
      <w:rFonts w:ascii="黑体" w:eastAsia="黑体"/>
      <w:kern w:val="0"/>
      <w:sz w:val="28"/>
      <w:szCs w:val="28"/>
    </w:rPr>
  </w:style>
  <w:style w:type="character" w:customStyle="1" w:styleId="93">
    <w:name w:val="文档结构图 Char"/>
    <w:link w:val="94"/>
    <w:qFormat/>
    <w:locked/>
    <w:uiPriority w:val="0"/>
    <w:rPr>
      <w:rFonts w:ascii="宋体" w:hAnsi="Calibri"/>
      <w:sz w:val="18"/>
    </w:rPr>
  </w:style>
  <w:style w:type="paragraph" w:customStyle="1" w:styleId="94">
    <w:name w:val="文档结构图1"/>
    <w:basedOn w:val="1"/>
    <w:link w:val="93"/>
    <w:qFormat/>
    <w:uiPriority w:val="0"/>
    <w:rPr>
      <w:rFonts w:ascii="宋体" w:hAnsi="Calibri"/>
      <w:kern w:val="0"/>
      <w:sz w:val="18"/>
      <w:szCs w:val="20"/>
    </w:rPr>
  </w:style>
  <w:style w:type="character" w:customStyle="1" w:styleId="95">
    <w:name w:val="纯文本 Char"/>
    <w:qFormat/>
    <w:locked/>
    <w:uiPriority w:val="0"/>
    <w:rPr>
      <w:rFonts w:ascii="Calibri" w:hAnsi="Calibri" w:cs="Calibri"/>
    </w:rPr>
  </w:style>
  <w:style w:type="character" w:customStyle="1" w:styleId="96">
    <w:name w:val="font31"/>
    <w:qFormat/>
    <w:uiPriority w:val="0"/>
    <w:rPr>
      <w:rFonts w:hint="eastAsia" w:ascii="仿宋" w:hAnsi="仿宋" w:eastAsia="仿宋" w:cs="仿宋"/>
      <w:color w:val="000000"/>
      <w:kern w:val="0"/>
      <w:sz w:val="20"/>
      <w:szCs w:val="20"/>
      <w:u w:val="none"/>
    </w:rPr>
  </w:style>
  <w:style w:type="character" w:customStyle="1" w:styleId="97">
    <w:name w:val="button"/>
    <w:qFormat/>
    <w:uiPriority w:val="0"/>
  </w:style>
  <w:style w:type="character" w:customStyle="1" w:styleId="98">
    <w:name w:val="bd-open"/>
    <w:qFormat/>
    <w:uiPriority w:val="0"/>
  </w:style>
  <w:style w:type="character" w:customStyle="1" w:styleId="99">
    <w:name w:val="tmpztreemove_arrow"/>
    <w:qFormat/>
    <w:uiPriority w:val="0"/>
  </w:style>
  <w:style w:type="character" w:customStyle="1" w:styleId="100">
    <w:name w:val="Comment Text Char"/>
    <w:qFormat/>
    <w:locked/>
    <w:uiPriority w:val="0"/>
    <w:rPr>
      <w:rFonts w:ascii="Times New Roman" w:hAnsi="Times New Roman" w:eastAsia="宋体"/>
      <w:sz w:val="24"/>
    </w:rPr>
  </w:style>
  <w:style w:type="character" w:customStyle="1" w:styleId="101">
    <w:name w:val="A表格文字 Char"/>
    <w:link w:val="102"/>
    <w:qFormat/>
    <w:uiPriority w:val="0"/>
    <w:rPr>
      <w:rFonts w:ascii="宋体" w:hAnsi="宋体"/>
      <w:kern w:val="21"/>
      <w:sz w:val="21"/>
    </w:rPr>
  </w:style>
  <w:style w:type="paragraph" w:customStyle="1" w:styleId="102">
    <w:name w:val="A表格文字"/>
    <w:basedOn w:val="1"/>
    <w:link w:val="101"/>
    <w:qFormat/>
    <w:uiPriority w:val="0"/>
    <w:pPr>
      <w:adjustRightInd w:val="0"/>
      <w:snapToGrid w:val="0"/>
      <w:spacing w:before="40" w:after="40"/>
      <w:jc w:val="left"/>
    </w:pPr>
    <w:rPr>
      <w:rFonts w:ascii="宋体" w:hAnsi="宋体"/>
      <w:kern w:val="21"/>
      <w:szCs w:val="20"/>
    </w:rPr>
  </w:style>
  <w:style w:type="character" w:customStyle="1" w:styleId="103">
    <w:name w:val="layui-layer-tabnow"/>
    <w:qFormat/>
    <w:uiPriority w:val="0"/>
    <w:rPr>
      <w:bdr w:val="single" w:color="CCCCCC" w:sz="6" w:space="0"/>
      <w:shd w:val="clear" w:color="auto" w:fill="FFFFFF"/>
    </w:rPr>
  </w:style>
  <w:style w:type="character" w:customStyle="1" w:styleId="104">
    <w:name w:val="批注文字 Char2"/>
    <w:qFormat/>
    <w:uiPriority w:val="99"/>
    <w:rPr>
      <w:kern w:val="2"/>
      <w:sz w:val="21"/>
    </w:rPr>
  </w:style>
  <w:style w:type="character" w:customStyle="1" w:styleId="105">
    <w:name w:val="bd-open2"/>
    <w:qFormat/>
    <w:uiPriority w:val="0"/>
  </w:style>
  <w:style w:type="character" w:customStyle="1" w:styleId="106">
    <w:name w:val="font51"/>
    <w:qFormat/>
    <w:uiPriority w:val="0"/>
    <w:rPr>
      <w:rFonts w:hint="eastAsia" w:ascii="仿宋" w:hAnsi="仿宋" w:eastAsia="仿宋" w:cs="仿宋"/>
      <w:b/>
      <w:bCs/>
      <w:color w:val="000000"/>
      <w:sz w:val="21"/>
      <w:szCs w:val="21"/>
      <w:u w:val="none"/>
    </w:rPr>
  </w:style>
  <w:style w:type="character" w:customStyle="1" w:styleId="107">
    <w:name w:val="列表段落 字符"/>
    <w:link w:val="108"/>
    <w:qFormat/>
    <w:locked/>
    <w:uiPriority w:val="34"/>
    <w:rPr>
      <w:rFonts w:cs="Calibri"/>
      <w:kern w:val="2"/>
      <w:sz w:val="21"/>
      <w:szCs w:val="24"/>
    </w:rPr>
  </w:style>
  <w:style w:type="paragraph" w:styleId="108">
    <w:name w:val="List Paragraph"/>
    <w:basedOn w:val="1"/>
    <w:link w:val="107"/>
    <w:qFormat/>
    <w:uiPriority w:val="34"/>
    <w:pPr>
      <w:ind w:firstLine="420" w:firstLineChars="200"/>
    </w:pPr>
    <w:rPr>
      <w:rFonts w:ascii="Calibri" w:hAnsi="Calibri" w:cs="Calibri"/>
    </w:rPr>
  </w:style>
  <w:style w:type="character" w:customStyle="1" w:styleId="109">
    <w:name w:val="Title Char"/>
    <w:qFormat/>
    <w:locked/>
    <w:uiPriority w:val="0"/>
    <w:rPr>
      <w:rFonts w:ascii="Cambria" w:hAnsi="Cambria" w:eastAsia="宋体"/>
      <w:b/>
      <w:sz w:val="32"/>
    </w:rPr>
  </w:style>
  <w:style w:type="character" w:customStyle="1" w:styleId="110">
    <w:name w:val="批注文字 Char1"/>
    <w:qFormat/>
    <w:uiPriority w:val="0"/>
    <w:rPr>
      <w:kern w:val="2"/>
      <w:sz w:val="21"/>
    </w:rPr>
  </w:style>
  <w:style w:type="character" w:customStyle="1" w:styleId="111">
    <w:name w:val="彩色列表 - 强调文字颜色 1 Char"/>
    <w:link w:val="112"/>
    <w:qFormat/>
    <w:uiPriority w:val="34"/>
    <w:rPr>
      <w:rFonts w:ascii="Calibri" w:hAnsi="Calibri"/>
      <w:kern w:val="2"/>
      <w:sz w:val="21"/>
      <w:szCs w:val="22"/>
    </w:rPr>
  </w:style>
  <w:style w:type="paragraph" w:customStyle="1" w:styleId="112">
    <w:name w:val="彩色列表 - 强调文字颜色 11"/>
    <w:basedOn w:val="1"/>
    <w:link w:val="111"/>
    <w:qFormat/>
    <w:uiPriority w:val="34"/>
    <w:pPr>
      <w:ind w:firstLine="420" w:firstLineChars="200"/>
    </w:pPr>
    <w:rPr>
      <w:rFonts w:ascii="Calibri" w:hAnsi="Calibri"/>
      <w:szCs w:val="22"/>
    </w:rPr>
  </w:style>
  <w:style w:type="character" w:customStyle="1" w:styleId="113">
    <w:name w:val="列出段落 字符"/>
    <w:qFormat/>
    <w:uiPriority w:val="34"/>
    <w:rPr>
      <w:kern w:val="2"/>
      <w:sz w:val="21"/>
      <w:szCs w:val="24"/>
    </w:rPr>
  </w:style>
  <w:style w:type="character" w:customStyle="1" w:styleId="114">
    <w:name w:val="批注引用1"/>
    <w:qFormat/>
    <w:uiPriority w:val="0"/>
    <w:rPr>
      <w:sz w:val="21"/>
    </w:rPr>
  </w:style>
  <w:style w:type="character" w:customStyle="1" w:styleId="115">
    <w:name w:val="Balloon Text Char"/>
    <w:qFormat/>
    <w:locked/>
    <w:uiPriority w:val="0"/>
    <w:rPr>
      <w:rFonts w:ascii="Calibri" w:hAnsi="Calibri" w:eastAsia="宋体"/>
      <w:sz w:val="18"/>
    </w:rPr>
  </w:style>
  <w:style w:type="character" w:customStyle="1" w:styleId="116">
    <w:name w:val="A表格文字左对齐 Char"/>
    <w:link w:val="117"/>
    <w:qFormat/>
    <w:uiPriority w:val="0"/>
    <w:rPr>
      <w:rFonts w:ascii="宋体" w:hAnsi="宋体"/>
      <w:kern w:val="2"/>
      <w:sz w:val="21"/>
    </w:rPr>
  </w:style>
  <w:style w:type="paragraph" w:customStyle="1" w:styleId="117">
    <w:name w:val="A表格文字左对齐"/>
    <w:basedOn w:val="1"/>
    <w:link w:val="116"/>
    <w:qFormat/>
    <w:uiPriority w:val="0"/>
    <w:pPr>
      <w:adjustRightInd w:val="0"/>
      <w:spacing w:before="40" w:after="4"/>
      <w:jc w:val="left"/>
    </w:pPr>
    <w:rPr>
      <w:rFonts w:ascii="宋体" w:hAnsi="宋体"/>
      <w:szCs w:val="20"/>
    </w:rPr>
  </w:style>
  <w:style w:type="character" w:customStyle="1" w:styleId="118">
    <w:name w:val="font11"/>
    <w:qFormat/>
    <w:uiPriority w:val="0"/>
    <w:rPr>
      <w:rFonts w:hint="eastAsia" w:ascii="仿宋" w:hAnsi="仿宋" w:eastAsia="仿宋" w:cs="仿宋"/>
      <w:color w:val="FF0000"/>
      <w:sz w:val="20"/>
      <w:szCs w:val="20"/>
      <w:u w:val="none"/>
      <w:lang w:val="en-US" w:eastAsia="zh-CN" w:bidi="ar-SA"/>
    </w:rPr>
  </w:style>
  <w:style w:type="character" w:customStyle="1" w:styleId="119">
    <w:name w:val="right"/>
    <w:qFormat/>
    <w:uiPriority w:val="0"/>
  </w:style>
  <w:style w:type="character" w:customStyle="1" w:styleId="120">
    <w:name w:val="批注文字 字符"/>
    <w:qFormat/>
    <w:uiPriority w:val="99"/>
    <w:rPr>
      <w:kern w:val="2"/>
      <w:sz w:val="21"/>
    </w:rPr>
  </w:style>
  <w:style w:type="character" w:customStyle="1" w:styleId="121">
    <w:name w:val="font21"/>
    <w:qFormat/>
    <w:uiPriority w:val="0"/>
    <w:rPr>
      <w:rFonts w:hint="default" w:ascii="仿宋_GB2312" w:hAnsi="宋体" w:eastAsia="仿宋_GB2312" w:cs="仿宋_GB2312"/>
      <w:color w:val="FF0000"/>
      <w:kern w:val="0"/>
      <w:sz w:val="24"/>
      <w:szCs w:val="24"/>
      <w:u w:val="none"/>
    </w:rPr>
  </w:style>
  <w:style w:type="character" w:customStyle="1" w:styleId="122">
    <w:name w:val="日期 Char"/>
    <w:link w:val="123"/>
    <w:qFormat/>
    <w:locked/>
    <w:uiPriority w:val="0"/>
    <w:rPr>
      <w:rFonts w:ascii="Calibri" w:hAnsi="Calibri"/>
    </w:rPr>
  </w:style>
  <w:style w:type="paragraph" w:customStyle="1" w:styleId="123">
    <w:name w:val="日期1"/>
    <w:basedOn w:val="1"/>
    <w:next w:val="1"/>
    <w:link w:val="122"/>
    <w:qFormat/>
    <w:uiPriority w:val="0"/>
    <w:pPr>
      <w:ind w:left="100" w:leftChars="2500"/>
    </w:pPr>
    <w:rPr>
      <w:rFonts w:ascii="Calibri" w:hAnsi="Calibri"/>
      <w:kern w:val="0"/>
      <w:sz w:val="20"/>
      <w:szCs w:val="20"/>
    </w:rPr>
  </w:style>
  <w:style w:type="character" w:customStyle="1" w:styleId="124">
    <w:name w:val="封面合同编号 Char"/>
    <w:link w:val="125"/>
    <w:qFormat/>
    <w:uiPriority w:val="0"/>
    <w:rPr>
      <w:rFonts w:ascii="Calibri" w:hAnsi="Calibri"/>
      <w:kern w:val="2"/>
      <w:sz w:val="21"/>
      <w:szCs w:val="22"/>
    </w:rPr>
  </w:style>
  <w:style w:type="paragraph" w:customStyle="1" w:styleId="125">
    <w:name w:val="封面合同编号"/>
    <w:basedOn w:val="1"/>
    <w:link w:val="124"/>
    <w:qFormat/>
    <w:uiPriority w:val="0"/>
    <w:pPr>
      <w:spacing w:line="276" w:lineRule="auto"/>
      <w:ind w:right="1701"/>
      <w:jc w:val="right"/>
    </w:pPr>
    <w:rPr>
      <w:rFonts w:ascii="Calibri" w:hAnsi="Calibri"/>
      <w:szCs w:val="22"/>
    </w:rPr>
  </w:style>
  <w:style w:type="paragraph" w:customStyle="1" w:styleId="126">
    <w:name w:val="_Style 124"/>
    <w:unhideWhenUsed/>
    <w:qFormat/>
    <w:uiPriority w:val="99"/>
    <w:rPr>
      <w:rFonts w:ascii="Times New Roman" w:hAnsi="Times New Roman" w:eastAsia="宋体" w:cs="Times New Roman"/>
      <w:kern w:val="2"/>
      <w:sz w:val="21"/>
      <w:szCs w:val="24"/>
      <w:lang w:val="en-US" w:eastAsia="zh-CN" w:bidi="ar-SA"/>
    </w:rPr>
  </w:style>
  <w:style w:type="paragraph" w:customStyle="1" w:styleId="127">
    <w:name w:val="1正文"/>
    <w:basedOn w:val="1"/>
    <w:qFormat/>
    <w:uiPriority w:val="0"/>
    <w:pPr>
      <w:spacing w:line="560" w:lineRule="exact"/>
      <w:ind w:firstLine="200" w:firstLineChars="200"/>
    </w:pPr>
    <w:rPr>
      <w:rFonts w:eastAsia="Cambria Math"/>
      <w:sz w:val="32"/>
    </w:rPr>
  </w:style>
  <w:style w:type="paragraph" w:customStyle="1" w:styleId="12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9">
    <w:name w:val="无间隔1"/>
    <w:qFormat/>
    <w:uiPriority w:val="1"/>
    <w:rPr>
      <w:rFonts w:ascii="Times New Roman" w:hAnsi="Times New Roman" w:eastAsia="宋体" w:cs="Times New Roman"/>
      <w:sz w:val="22"/>
      <w:lang w:val="en-US" w:eastAsia="zh-CN" w:bidi="ar-SA"/>
    </w:rPr>
  </w:style>
  <w:style w:type="paragraph" w:customStyle="1" w:styleId="130">
    <w:name w:val="表格正文"/>
    <w:basedOn w:val="1"/>
    <w:qFormat/>
    <w:uiPriority w:val="0"/>
    <w:pPr>
      <w:widowControl/>
      <w:snapToGrid w:val="0"/>
      <w:spacing w:line="300" w:lineRule="auto"/>
      <w:jc w:val="left"/>
    </w:pPr>
    <w:rPr>
      <w:rFonts w:ascii="Calibri" w:hAnsi="Calibri"/>
      <w:sz w:val="24"/>
    </w:rPr>
  </w:style>
  <w:style w:type="paragraph" w:customStyle="1" w:styleId="131">
    <w:name w:val="_Style 129"/>
    <w:basedOn w:val="1"/>
    <w:next w:val="1"/>
    <w:qFormat/>
    <w:uiPriority w:val="0"/>
    <w:pPr>
      <w:pBdr>
        <w:top w:val="single" w:color="auto" w:sz="6" w:space="1"/>
      </w:pBdr>
      <w:jc w:val="center"/>
    </w:pPr>
    <w:rPr>
      <w:rFonts w:ascii="Arial" w:eastAsia="宋体"/>
      <w:vanish/>
      <w:sz w:val="16"/>
    </w:rPr>
  </w:style>
  <w:style w:type="paragraph" w:customStyle="1" w:styleId="132">
    <w:name w:val="text-only"/>
    <w:basedOn w:val="1"/>
    <w:qFormat/>
    <w:uiPriority w:val="0"/>
    <w:pPr>
      <w:pBdr>
        <w:top w:val="none" w:color="auto" w:sz="0" w:space="0"/>
        <w:left w:val="none" w:color="auto" w:sz="0" w:space="0"/>
        <w:bottom w:val="none" w:color="auto" w:sz="0" w:space="0"/>
        <w:right w:val="none" w:color="auto" w:sz="0" w:space="0"/>
      </w:pBdr>
      <w:spacing w:after="300" w:afterAutospacing="0" w:line="420" w:lineRule="atLeast"/>
      <w:jc w:val="left"/>
    </w:pPr>
    <w:rPr>
      <w:kern w:val="0"/>
      <w:lang w:val="en-US" w:eastAsia="zh-CN" w:bidi="ar"/>
    </w:rPr>
  </w:style>
  <w:style w:type="paragraph" w:customStyle="1" w:styleId="133">
    <w:name w:val="Level 2"/>
    <w:basedOn w:val="1"/>
    <w:qFormat/>
    <w:uiPriority w:val="0"/>
    <w:rPr>
      <w:rFonts w:ascii="Calibri" w:hAnsi="Calibri"/>
      <w:szCs w:val="22"/>
    </w:rPr>
  </w:style>
  <w:style w:type="paragraph" w:customStyle="1" w:styleId="134">
    <w:name w:val="列出段落2"/>
    <w:basedOn w:val="1"/>
    <w:qFormat/>
    <w:uiPriority w:val="0"/>
    <w:pPr>
      <w:ind w:firstLine="420" w:firstLineChars="200"/>
    </w:pPr>
    <w:rPr>
      <w:rFonts w:ascii="Calibri" w:hAnsi="Calibri"/>
      <w:szCs w:val="22"/>
    </w:rPr>
  </w:style>
  <w:style w:type="paragraph" w:customStyle="1" w:styleId="135">
    <w:name w:val="样式 标题 1卷标题H1章标题 1 1TITRE1L1 Heading 1h11st levelh111st...3"/>
    <w:basedOn w:val="2"/>
    <w:qFormat/>
    <w:uiPriority w:val="0"/>
    <w:pPr>
      <w:spacing w:before="120" w:after="120" w:line="360" w:lineRule="auto"/>
      <w:jc w:val="center"/>
    </w:pPr>
    <w:rPr>
      <w:rFonts w:ascii="宋体" w:hAnsi="宋体"/>
      <w:sz w:val="36"/>
      <w:szCs w:val="20"/>
    </w:rPr>
  </w:style>
  <w:style w:type="paragraph" w:customStyle="1" w:styleId="136">
    <w:name w:val="样式 样式 首行缩进:  2 字符1 + 首行缩进:  2 字符"/>
    <w:basedOn w:val="137"/>
    <w:qFormat/>
    <w:uiPriority w:val="0"/>
    <w:pPr>
      <w:ind w:firstLine="480"/>
    </w:pPr>
  </w:style>
  <w:style w:type="paragraph" w:customStyle="1" w:styleId="137">
    <w:name w:val="样式 首行缩进:  2 字符1"/>
    <w:basedOn w:val="1"/>
    <w:qFormat/>
    <w:uiPriority w:val="0"/>
    <w:pPr>
      <w:spacing w:after="0" w:line="360" w:lineRule="auto"/>
      <w:ind w:firstLine="200" w:firstLineChars="200"/>
      <w:jc w:val="both"/>
    </w:pPr>
    <w:rPr>
      <w:rFonts w:eastAsia="宋体" w:cs="Times New Roman"/>
      <w:color w:val="auto"/>
      <w:kern w:val="0"/>
      <w:sz w:val="24"/>
      <w:szCs w:val="20"/>
    </w:rPr>
  </w:style>
  <w:style w:type="paragraph" w:customStyle="1" w:styleId="138">
    <w:name w:val="正文文本 32"/>
    <w:basedOn w:val="1"/>
    <w:qFormat/>
    <w:uiPriority w:val="0"/>
    <w:pPr>
      <w:spacing w:line="312" w:lineRule="auto"/>
    </w:pPr>
    <w:rPr>
      <w:rFonts w:ascii="宋体" w:hAnsi="Times New Roman"/>
      <w:sz w:val="24"/>
      <w:szCs w:val="20"/>
    </w:rPr>
  </w:style>
  <w:style w:type="paragraph" w:customStyle="1" w:styleId="139">
    <w:name w:val="xl88"/>
    <w:basedOn w:val="1"/>
    <w:qFormat/>
    <w:uiPriority w:val="0"/>
    <w:pPr>
      <w:widowControl/>
      <w:pBdr>
        <w:bottom w:val="single" w:color="auto" w:sz="4" w:space="0"/>
      </w:pBdr>
      <w:spacing w:before="100" w:beforeAutospacing="1" w:after="100" w:afterAutospacing="1"/>
      <w:jc w:val="center"/>
    </w:pPr>
    <w:rPr>
      <w:rFonts w:hint="eastAsia" w:ascii="楷体_GB2312" w:hAnsi="Arial Unicode MS" w:eastAsia="楷体_GB2312"/>
      <w:kern w:val="0"/>
      <w:sz w:val="24"/>
    </w:rPr>
  </w:style>
  <w:style w:type="paragraph" w:customStyle="1" w:styleId="140">
    <w:name w:val="Body Text 3"/>
    <w:basedOn w:val="1"/>
    <w:qFormat/>
    <w:uiPriority w:val="0"/>
    <w:rPr>
      <w:rFonts w:ascii="宋体"/>
      <w:sz w:val="24"/>
    </w:rPr>
  </w:style>
  <w:style w:type="paragraph" w:customStyle="1" w:styleId="141">
    <w:name w:val="Level 4"/>
    <w:basedOn w:val="1"/>
    <w:qFormat/>
    <w:uiPriority w:val="0"/>
    <w:pPr>
      <w:tabs>
        <w:tab w:val="left" w:pos="2440"/>
      </w:tabs>
      <w:ind w:left="2041" w:hanging="765"/>
    </w:pPr>
    <w:rPr>
      <w:rFonts w:ascii="Calibri" w:hAnsi="Calibri"/>
      <w:szCs w:val="22"/>
    </w:rPr>
  </w:style>
  <w:style w:type="paragraph" w:customStyle="1" w:styleId="142">
    <w:name w:val="1"/>
    <w:basedOn w:val="1"/>
    <w:next w:val="24"/>
    <w:qFormat/>
    <w:uiPriority w:val="0"/>
    <w:pPr>
      <w:tabs>
        <w:tab w:val="left" w:pos="3060"/>
      </w:tabs>
      <w:spacing w:line="140" w:lineRule="atLeast"/>
      <w:ind w:firstLine="560" w:firstLineChars="200"/>
    </w:pPr>
    <w:rPr>
      <w:sz w:val="28"/>
    </w:rPr>
  </w:style>
  <w:style w:type="paragraph" w:customStyle="1" w:styleId="143">
    <w:name w:val="样式 左侧:  0.74 厘米1"/>
    <w:basedOn w:val="1"/>
    <w:qFormat/>
    <w:uiPriority w:val="0"/>
    <w:pPr>
      <w:widowControl w:val="0"/>
      <w:spacing w:after="0" w:afterLines="0" w:line="240" w:lineRule="auto"/>
      <w:ind w:left="620" w:hanging="200" w:hangingChars="200"/>
      <w:jc w:val="both"/>
    </w:pPr>
    <w:rPr>
      <w:rFonts w:ascii="Times New Roman" w:hAnsi="Times New Roman" w:eastAsia="宋体" w:cs="Times New Roman"/>
      <w:color w:val="auto"/>
      <w:sz w:val="21"/>
      <w:szCs w:val="20"/>
    </w:rPr>
  </w:style>
  <w:style w:type="paragraph" w:customStyle="1" w:styleId="144">
    <w:name w:val="Char1"/>
    <w:basedOn w:val="1"/>
    <w:qFormat/>
    <w:uiPriority w:val="0"/>
    <w:pPr>
      <w:widowControl/>
      <w:spacing w:after="160" w:afterLines="0" w:line="240" w:lineRule="exact"/>
      <w:jc w:val="left"/>
    </w:pPr>
    <w:rPr>
      <w:rFonts w:ascii="Verdana" w:hAnsi="Verdana"/>
      <w:kern w:val="0"/>
      <w:sz w:val="20"/>
      <w:szCs w:val="20"/>
      <w:lang w:eastAsia="en-US"/>
    </w:rPr>
  </w:style>
  <w:style w:type="paragraph" w:customStyle="1" w:styleId="145">
    <w:name w:val="样式 四号 首行缩进:  1厘米 行距: 1.5 倍行距"/>
    <w:basedOn w:val="1"/>
    <w:qFormat/>
    <w:uiPriority w:val="0"/>
    <w:pPr>
      <w:spacing w:line="360" w:lineRule="auto"/>
      <w:ind w:firstLine="570"/>
    </w:pPr>
    <w:rPr>
      <w:sz w:val="28"/>
      <w:szCs w:val="20"/>
    </w:rPr>
  </w:style>
  <w:style w:type="paragraph" w:customStyle="1" w:styleId="146">
    <w:name w:val="样式 标题 1 + (西文) Times New Roman (中文) 仿宋 小四 黑色 居中 左侧:  0 厘米 ..."/>
    <w:basedOn w:val="2"/>
    <w:qFormat/>
    <w:uiPriority w:val="0"/>
    <w:pPr>
      <w:tabs>
        <w:tab w:val="left" w:pos="680"/>
      </w:tabs>
      <w:spacing w:before="0" w:after="240" w:line="300" w:lineRule="auto"/>
      <w:ind w:left="680" w:hanging="680"/>
      <w:jc w:val="center"/>
    </w:pPr>
    <w:rPr>
      <w:rFonts w:hAnsi="仿宋" w:eastAsia="仿宋" w:cs="宋体"/>
      <w:color w:val="000000"/>
      <w:sz w:val="24"/>
      <w:szCs w:val="20"/>
    </w:rPr>
  </w:style>
  <w:style w:type="paragraph" w:customStyle="1" w:styleId="147">
    <w:name w:val="TOC 标题1"/>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48">
    <w:name w:val="样式1"/>
    <w:basedOn w:val="1"/>
    <w:qFormat/>
    <w:uiPriority w:val="0"/>
    <w:pPr>
      <w:numPr>
        <w:ilvl w:val="0"/>
        <w:numId w:val="3"/>
      </w:numPr>
      <w:spacing w:line="360" w:lineRule="auto"/>
      <w:ind w:left="1253" w:hanging="680"/>
    </w:pPr>
    <w:rPr>
      <w:sz w:val="28"/>
      <w:szCs w:val="28"/>
    </w:rPr>
  </w:style>
  <w:style w:type="paragraph" w:customStyle="1" w:styleId="149">
    <w:name w:val="Level 1"/>
    <w:basedOn w:val="1"/>
    <w:qFormat/>
    <w:uiPriority w:val="0"/>
    <w:rPr>
      <w:rFonts w:ascii="Calibri" w:hAnsi="Calibri"/>
      <w:szCs w:val="22"/>
    </w:rPr>
  </w:style>
  <w:style w:type="paragraph" w:customStyle="1" w:styleId="150">
    <w:name w:val="p16"/>
    <w:basedOn w:val="1"/>
    <w:qFormat/>
    <w:uiPriority w:val="0"/>
    <w:pPr>
      <w:widowControl/>
    </w:pPr>
    <w:rPr>
      <w:rFonts w:ascii="宋体" w:hAnsi="宋体"/>
      <w:kern w:val="0"/>
      <w:sz w:val="24"/>
      <w:szCs w:val="20"/>
    </w:rPr>
  </w:style>
  <w:style w:type="paragraph" w:customStyle="1" w:styleId="151">
    <w:name w:val="List Paragraph1"/>
    <w:basedOn w:val="1"/>
    <w:qFormat/>
    <w:uiPriority w:val="34"/>
    <w:pPr>
      <w:ind w:firstLine="420" w:firstLineChars="200"/>
    </w:pPr>
  </w:style>
  <w:style w:type="paragraph" w:customStyle="1" w:styleId="152">
    <w:name w:val="正文 A"/>
    <w:qFormat/>
    <w:uiPriority w:val="0"/>
    <w:pPr>
      <w:widowControl w:val="0"/>
      <w:jc w:val="both"/>
    </w:pPr>
    <w:rPr>
      <w:rFonts w:ascii="Times New Roman" w:hAnsi="Times New Roman" w:eastAsia="Arial Unicode MS" w:cs="Arial Unicode MS"/>
      <w:color w:val="000000"/>
      <w:kern w:val="2"/>
      <w:sz w:val="21"/>
      <w:szCs w:val="21"/>
      <w:u w:val="none" w:color="000000"/>
      <w:lang w:val="en-US" w:eastAsia="zh-CN" w:bidi="ar-SA"/>
    </w:rPr>
  </w:style>
  <w:style w:type="paragraph" w:customStyle="1" w:styleId="153">
    <w:name w:val="_Style 1"/>
    <w:basedOn w:val="1"/>
    <w:qFormat/>
    <w:uiPriority w:val="34"/>
    <w:pPr>
      <w:widowControl w:val="0"/>
      <w:spacing w:after="0" w:line="240" w:lineRule="auto"/>
      <w:ind w:firstLine="420" w:firstLineChars="200"/>
      <w:jc w:val="both"/>
    </w:pPr>
    <w:rPr>
      <w:rFonts w:ascii="Times New Roman" w:hAnsi="Times New Roman" w:eastAsia="宋体" w:cs="Times New Roman"/>
      <w:color w:val="auto"/>
      <w:sz w:val="21"/>
      <w:szCs w:val="20"/>
    </w:rPr>
  </w:style>
  <w:style w:type="paragraph" w:customStyle="1" w:styleId="154">
    <w:name w:val="标题4"/>
    <w:basedOn w:val="1"/>
    <w:qFormat/>
    <w:uiPriority w:val="0"/>
    <w:pPr>
      <w:spacing w:before="156" w:beforeLines="50" w:after="156" w:afterLines="50"/>
      <w:jc w:val="left"/>
    </w:pPr>
    <w:rPr>
      <w:rFonts w:eastAsia="黑体"/>
      <w:b/>
      <w:kern w:val="0"/>
      <w:sz w:val="30"/>
    </w:rPr>
  </w:style>
  <w:style w:type="paragraph" w:customStyle="1" w:styleId="155">
    <w:name w:val="Default"/>
    <w:qFormat/>
    <w:uiPriority w:val="0"/>
    <w:pPr>
      <w:widowControl w:val="0"/>
      <w:autoSpaceDE w:val="0"/>
      <w:autoSpaceDN w:val="0"/>
      <w:adjustRightInd w:val="0"/>
    </w:pPr>
    <w:rPr>
      <w:rFonts w:ascii="Arial Unicode MS" w:hAnsi="Times New Roman" w:eastAsia="Arial Unicode MS" w:cs="Arial Unicode MS"/>
      <w:color w:val="000000"/>
      <w:sz w:val="24"/>
      <w:szCs w:val="24"/>
      <w:lang w:val="en-US" w:eastAsia="zh-CN" w:bidi="ar-SA"/>
    </w:rPr>
  </w:style>
  <w:style w:type="paragraph" w:customStyle="1" w:styleId="156">
    <w:name w:val="列出段落1"/>
    <w:basedOn w:val="1"/>
    <w:qFormat/>
    <w:uiPriority w:val="34"/>
    <w:pPr>
      <w:ind w:firstLine="420" w:firstLineChars="200"/>
    </w:pPr>
    <w:rPr>
      <w:rFonts w:ascii="Calibri" w:hAnsi="Calibri" w:cs="Calibri"/>
      <w:szCs w:val="21"/>
    </w:rPr>
  </w:style>
  <w:style w:type="paragraph" w:customStyle="1" w:styleId="157">
    <w:name w:val="p0"/>
    <w:basedOn w:val="1"/>
    <w:qFormat/>
    <w:uiPriority w:val="0"/>
    <w:pPr>
      <w:widowControl/>
    </w:pPr>
    <w:rPr>
      <w:kern w:val="0"/>
      <w:szCs w:val="21"/>
    </w:rPr>
  </w:style>
  <w:style w:type="paragraph" w:customStyle="1" w:styleId="158">
    <w:name w:val="Char Char Char Char Char Char Char Char Char Char Char Char Char"/>
    <w:basedOn w:val="1"/>
    <w:qFormat/>
    <w:uiPriority w:val="0"/>
    <w:pPr>
      <w:snapToGrid w:val="0"/>
      <w:spacing w:line="360" w:lineRule="auto"/>
      <w:ind w:firstLine="200" w:firstLineChars="200"/>
    </w:pPr>
    <w:rPr>
      <w:rFonts w:eastAsia="仿宋_GB2312"/>
      <w:sz w:val="24"/>
    </w:rPr>
  </w:style>
  <w:style w:type="paragraph" w:customStyle="1" w:styleId="159">
    <w:name w:val="Char Char Char Char Char Char Char Char Char Char Char Char Char Char Char"/>
    <w:basedOn w:val="1"/>
    <w:qFormat/>
    <w:uiPriority w:val="0"/>
    <w:pPr>
      <w:widowControl/>
      <w:spacing w:after="160" w:afterLines="0" w:line="240" w:lineRule="exact"/>
      <w:jc w:val="left"/>
    </w:pPr>
    <w:rPr>
      <w:szCs w:val="20"/>
    </w:rPr>
  </w:style>
  <w:style w:type="paragraph" w:customStyle="1" w:styleId="160">
    <w:name w:val="修订1"/>
    <w:semiHidden/>
    <w:qFormat/>
    <w:uiPriority w:val="0"/>
    <w:rPr>
      <w:rFonts w:ascii="Times New Roman" w:hAnsi="Times New Roman" w:eastAsia="宋体" w:cs="Times New Roman"/>
      <w:kern w:val="2"/>
      <w:sz w:val="21"/>
      <w:szCs w:val="22"/>
      <w:lang w:val="en-US" w:eastAsia="zh-CN" w:bidi="ar-SA"/>
    </w:rPr>
  </w:style>
  <w:style w:type="paragraph" w:customStyle="1" w:styleId="161">
    <w:name w:val="_Style 12"/>
    <w:basedOn w:val="1"/>
    <w:next w:val="18"/>
    <w:qFormat/>
    <w:uiPriority w:val="0"/>
    <w:pPr>
      <w:spacing w:line="360" w:lineRule="auto"/>
      <w:ind w:firstLine="540"/>
    </w:pPr>
    <w:rPr>
      <w:sz w:val="28"/>
      <w:szCs w:val="20"/>
    </w:rPr>
  </w:style>
  <w:style w:type="paragraph" w:customStyle="1" w:styleId="162">
    <w:name w:val="_Style 160"/>
    <w:basedOn w:val="1"/>
    <w:next w:val="108"/>
    <w:qFormat/>
    <w:uiPriority w:val="0"/>
    <w:pPr>
      <w:pBdr>
        <w:bottom w:val="single" w:color="auto" w:sz="6" w:space="1"/>
      </w:pBdr>
      <w:jc w:val="center"/>
    </w:pPr>
    <w:rPr>
      <w:rFonts w:ascii="Arial" w:eastAsia="宋体"/>
      <w:vanish/>
      <w:sz w:val="16"/>
    </w:rPr>
  </w:style>
  <w:style w:type="paragraph" w:customStyle="1" w:styleId="163">
    <w:name w:val="Level 5"/>
    <w:basedOn w:val="1"/>
    <w:qFormat/>
    <w:uiPriority w:val="0"/>
    <w:pPr>
      <w:tabs>
        <w:tab w:val="left" w:pos="2552"/>
      </w:tabs>
      <w:ind w:left="2552" w:hanging="567"/>
    </w:pPr>
    <w:rPr>
      <w:rFonts w:ascii="Calibri" w:hAnsi="Calibri"/>
      <w:szCs w:val="22"/>
    </w:rPr>
  </w:style>
  <w:style w:type="paragraph" w:customStyle="1" w:styleId="164">
    <w:name w:val="样式 标题 2 +"/>
    <w:basedOn w:val="3"/>
    <w:qFormat/>
    <w:uiPriority w:val="0"/>
    <w:pPr>
      <w:numPr>
        <w:ilvl w:val="1"/>
        <w:numId w:val="0"/>
      </w:numPr>
      <w:tabs>
        <w:tab w:val="left" w:pos="652"/>
      </w:tabs>
      <w:spacing w:before="260" w:after="260" w:line="416" w:lineRule="auto"/>
      <w:ind w:left="567" w:hanging="567"/>
      <w:jc w:val="both"/>
    </w:pPr>
    <w:rPr>
      <w:rFonts w:eastAsia="黑体"/>
      <w:color w:val="auto"/>
      <w:kern w:val="0"/>
      <w:sz w:val="24"/>
    </w:rPr>
  </w:style>
  <w:style w:type="paragraph" w:customStyle="1" w:styleId="165">
    <w:name w:val="_Style 246"/>
    <w:basedOn w:val="1"/>
    <w:next w:val="151"/>
    <w:qFormat/>
    <w:uiPriority w:val="34"/>
    <w:pPr>
      <w:widowControl w:val="0"/>
      <w:spacing w:after="0" w:line="240" w:lineRule="auto"/>
      <w:ind w:firstLine="420" w:firstLineChars="200"/>
      <w:jc w:val="both"/>
    </w:pPr>
    <w:rPr>
      <w:rFonts w:ascii="Times New Roman" w:hAnsi="Times New Roman" w:eastAsia="宋体" w:cs="Times New Roman"/>
      <w:color w:val="auto"/>
      <w:sz w:val="21"/>
      <w:szCs w:val="20"/>
    </w:rPr>
  </w:style>
  <w:style w:type="paragraph" w:customStyle="1" w:styleId="166">
    <w:name w:val="列出段落11"/>
    <w:basedOn w:val="1"/>
    <w:qFormat/>
    <w:uiPriority w:val="0"/>
    <w:pPr>
      <w:ind w:firstLine="420" w:firstLineChars="200"/>
    </w:pPr>
    <w:rPr>
      <w:rFonts w:ascii="Calibri" w:hAnsi="Calibri"/>
      <w:szCs w:val="22"/>
    </w:rPr>
  </w:style>
  <w:style w:type="paragraph" w:customStyle="1" w:styleId="167">
    <w:name w:val="Char Char Char"/>
    <w:basedOn w:val="1"/>
    <w:qFormat/>
    <w:uiPriority w:val="0"/>
  </w:style>
  <w:style w:type="paragraph" w:customStyle="1" w:styleId="168">
    <w:name w:val="表格首行"/>
    <w:basedOn w:val="1"/>
    <w:qFormat/>
    <w:uiPriority w:val="0"/>
    <w:pPr>
      <w:widowControl/>
      <w:jc w:val="center"/>
    </w:pPr>
    <w:rPr>
      <w:rFonts w:hint="eastAsia" w:ascii="宋体" w:hAnsi="宋体"/>
      <w:sz w:val="24"/>
    </w:rPr>
  </w:style>
  <w:style w:type="paragraph" w:customStyle="1" w:styleId="169">
    <w:name w:val="Level 3"/>
    <w:basedOn w:val="1"/>
    <w:qFormat/>
    <w:uiPriority w:val="0"/>
    <w:pPr>
      <w:tabs>
        <w:tab w:val="left" w:pos="2808"/>
      </w:tabs>
      <w:ind w:left="2808" w:hanging="681"/>
    </w:pPr>
    <w:rPr>
      <w:rFonts w:ascii="Calibri" w:hAnsi="Calibri"/>
      <w:szCs w:val="22"/>
    </w:rPr>
  </w:style>
  <w:style w:type="paragraph" w:customStyle="1" w:styleId="170">
    <w:name w:val="_Style 168"/>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lang w:val="en-US" w:eastAsia="zh-CN"/>
    </w:rPr>
  </w:style>
  <w:style w:type="paragraph" w:customStyle="1" w:styleId="171">
    <w:name w:val="彩色底纹 - 强调文字颜色 11"/>
    <w:semiHidden/>
    <w:qFormat/>
    <w:uiPriority w:val="99"/>
    <w:rPr>
      <w:rFonts w:ascii="Times New Roman" w:hAnsi="Times New Roman" w:eastAsia="宋体" w:cs="Times New Roman"/>
      <w:kern w:val="2"/>
      <w:sz w:val="21"/>
      <w:szCs w:val="22"/>
      <w:lang w:val="en-US" w:eastAsia="zh-CN" w:bidi="ar-SA"/>
    </w:rPr>
  </w:style>
  <w:style w:type="paragraph" w:customStyle="1" w:styleId="172">
    <w:name w:val="Char Char Char Char"/>
    <w:basedOn w:val="1"/>
    <w:qFormat/>
    <w:uiPriority w:val="0"/>
    <w:pPr>
      <w:tabs>
        <w:tab w:val="left" w:pos="360"/>
      </w:tabs>
    </w:pPr>
    <w:rPr>
      <w:szCs w:val="20"/>
    </w:rPr>
  </w:style>
  <w:style w:type="paragraph" w:customStyle="1" w:styleId="173">
    <w:name w:val="Heading 2 + 宋体"/>
    <w:basedOn w:val="2"/>
    <w:qFormat/>
    <w:uiPriority w:val="0"/>
    <w:pPr>
      <w:keepLines w:val="0"/>
      <w:widowControl/>
      <w:tabs>
        <w:tab w:val="left" w:pos="1515"/>
      </w:tabs>
      <w:spacing w:before="130" w:after="120" w:line="280" w:lineRule="atLeast"/>
      <w:jc w:val="left"/>
    </w:pPr>
    <w:rPr>
      <w:bCs w:val="0"/>
      <w:kern w:val="0"/>
      <w:sz w:val="28"/>
      <w:szCs w:val="28"/>
      <w:lang w:val="en-GB"/>
    </w:rPr>
  </w:style>
  <w:style w:type="paragraph" w:customStyle="1" w:styleId="174">
    <w:name w:val="Level 6"/>
    <w:basedOn w:val="1"/>
    <w:qFormat/>
    <w:uiPriority w:val="0"/>
    <w:pPr>
      <w:tabs>
        <w:tab w:val="left" w:pos="3289"/>
      </w:tabs>
      <w:ind w:left="3289" w:hanging="681"/>
    </w:pPr>
    <w:rPr>
      <w:rFonts w:ascii="Calibri" w:hAnsi="Calibri"/>
      <w:szCs w:val="22"/>
    </w:rPr>
  </w:style>
  <w:style w:type="paragraph" w:customStyle="1" w:styleId="175">
    <w:name w:val="正文文本 33"/>
    <w:basedOn w:val="1"/>
    <w:qFormat/>
    <w:uiPriority w:val="0"/>
    <w:rPr>
      <w:rFonts w:ascii="宋体" w:hAnsi="Times New Roman" w:cs="Times New Roman"/>
      <w:sz w:val="24"/>
    </w:rPr>
  </w:style>
  <w:style w:type="character" w:customStyle="1" w:styleId="176">
    <w:name w:val="正文缩进 字符1"/>
    <w:qFormat/>
    <w:uiPriority w:val="0"/>
  </w:style>
  <w:style w:type="paragraph" w:customStyle="1" w:styleId="177">
    <w:name w:val="正文文本 31"/>
    <w:basedOn w:val="1"/>
    <w:qFormat/>
    <w:uiPriority w:val="0"/>
    <w:rPr>
      <w:rFonts w:ascii="宋体"/>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63</Pages>
  <Words>477</Words>
  <Characters>522</Characters>
  <Lines>198</Lines>
  <Paragraphs>55</Paragraphs>
  <TotalTime>4</TotalTime>
  <ScaleCrop>false</ScaleCrop>
  <LinksUpToDate>false</LinksUpToDate>
  <CharactersWithSpaces>571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2024-08-24T00:50:00Z</dcterms:created>
  <dc:creator>ssz</dc:creator>
  <cp:lastModifiedBy>成花花</cp:lastModifiedBy>
  <cp:lastPrinted>2026-03-24T06:55:00Z</cp:lastPrinted>
  <dcterms:modified xsi:type="dcterms:W3CDTF">2026-07-04T06:30:51Z</dcterms:modified>
  <dc:title>山西医科大学第一医院住院楼土建施工及安装工程招标文件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D94CBF4E9E34479BB26A8D358E255ACE_13</vt:lpwstr>
  </property>
  <property fmtid="{D5CDD505-2E9C-101B-9397-08002B2CF9AE}" pid="4" name="KSOTemplateDocerSaveRecord">
    <vt:lpwstr>eyJoZGlkIjoiNGE3MzM5NTlhZjA0YzAzODlkOTA3YjE0M2FlNThmOGYiLCJ1c2VySWQiOiI0NjMzNTkwMTMifQ==</vt:lpwstr>
  </property>
</Properties>
</file>