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C0446D">
      <w:pPr>
        <w:spacing w:line="360" w:lineRule="auto"/>
        <w:jc w:val="center"/>
        <w:rPr>
          <w:rFonts w:hint="eastAsia" w:ascii="方正小标宋简体" w:hAnsi="华文中宋" w:eastAsia="方正小标宋简体" w:cs="宋体"/>
          <w:b/>
          <w:kern w:val="0"/>
          <w:sz w:val="44"/>
          <w:szCs w:val="44"/>
        </w:rPr>
      </w:pPr>
      <w:r>
        <w:rPr>
          <w:rFonts w:hint="eastAsia" w:ascii="方正小标宋简体" w:hAnsi="华文中宋" w:eastAsia="方正小标宋简体" w:cs="宋体"/>
          <w:b/>
          <w:kern w:val="0"/>
          <w:sz w:val="44"/>
          <w:szCs w:val="44"/>
          <w:lang w:eastAsia="zh-CN"/>
        </w:rPr>
        <w:t>省营个人群对接《</w:t>
      </w:r>
      <w:r>
        <w:rPr>
          <w:rFonts w:hint="eastAsia" w:ascii="方正小标宋简体" w:hAnsi="华文中宋" w:eastAsia="方正小标宋简体" w:cs="宋体"/>
          <w:b/>
          <w:kern w:val="0"/>
          <w:sz w:val="44"/>
          <w:szCs w:val="44"/>
          <w:lang w:val="en-US" w:eastAsia="zh-CN"/>
        </w:rPr>
        <w:t>浙江省分公司个人业务事业群 2026 年度“荣誉体系”实施章程</w:t>
      </w:r>
      <w:r>
        <w:rPr>
          <w:rFonts w:hint="eastAsia" w:ascii="方正小标宋简体" w:hAnsi="华文中宋" w:eastAsia="方正小标宋简体" w:cs="宋体"/>
          <w:b/>
          <w:kern w:val="0"/>
          <w:sz w:val="44"/>
          <w:szCs w:val="44"/>
          <w:lang w:eastAsia="zh-CN"/>
        </w:rPr>
        <w:t>》中“二季度钻会论坛”方案兑现采购</w:t>
      </w:r>
      <w:r>
        <w:rPr>
          <w:rFonts w:hint="eastAsia" w:ascii="方正小标宋简体" w:hAnsi="华文中宋" w:eastAsia="方正小标宋简体" w:cs="宋体"/>
          <w:b/>
          <w:kern w:val="0"/>
          <w:sz w:val="44"/>
          <w:szCs w:val="44"/>
        </w:rPr>
        <w:t>项目</w:t>
      </w:r>
      <w:r>
        <w:rPr>
          <w:rFonts w:hint="eastAsia" w:ascii="方正小标宋简体" w:hAnsi="华文中宋" w:eastAsia="方正小标宋简体" w:cs="宋体"/>
          <w:b/>
          <w:kern w:val="0"/>
          <w:sz w:val="44"/>
          <w:szCs w:val="44"/>
          <w:lang w:eastAsia="zh-CN"/>
        </w:rPr>
        <w:t>的</w:t>
      </w:r>
      <w:r>
        <w:rPr>
          <w:rFonts w:hint="eastAsia" w:ascii="方正小标宋简体" w:hAnsi="华文中宋" w:eastAsia="方正小标宋简体" w:cs="宋体"/>
          <w:b/>
          <w:kern w:val="0"/>
          <w:sz w:val="44"/>
          <w:szCs w:val="44"/>
        </w:rPr>
        <w:t>采购需求</w:t>
      </w:r>
    </w:p>
    <w:p w14:paraId="33132ED5">
      <w:pPr>
        <w:spacing w:line="360" w:lineRule="auto"/>
        <w:jc w:val="center"/>
        <w:rPr>
          <w:rFonts w:hint="eastAsia" w:ascii="仿宋_GB2312" w:hAnsi="宋体" w:eastAsia="仿宋_GB2312"/>
          <w:sz w:val="32"/>
          <w:szCs w:val="32"/>
        </w:rPr>
      </w:pPr>
    </w:p>
    <w:p w14:paraId="64593E06">
      <w:pPr>
        <w:spacing w:line="600" w:lineRule="exact"/>
        <w:ind w:firstLine="640" w:firstLineChars="200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一、项目概况</w:t>
      </w:r>
    </w:p>
    <w:p w14:paraId="2866ACFE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（一）项目名称：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省营个人群对接《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浙江省分公司个人业务事业群 2026 年度“荣誉体系”实施章程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》中“二季度钻会论坛”方案兑现采购项目</w:t>
      </w:r>
    </w:p>
    <w:p w14:paraId="4836AEAD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（二）项目背景概况：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省营预计在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7月9日-11日开展二季度钻会论坛表彰活动，</w:t>
      </w:r>
      <w:r>
        <w:rPr>
          <w:rFonts w:hint="eastAsia" w:ascii="仿宋_GB2312" w:eastAsia="仿宋_GB2312"/>
          <w:sz w:val="32"/>
          <w:szCs w:val="32"/>
        </w:rPr>
        <w:t>本方案兑现可以</w:t>
      </w:r>
      <w:bookmarkStart w:id="0" w:name="OLE_LINK6"/>
      <w:bookmarkStart w:id="1" w:name="OLE_LINK5"/>
      <w:r>
        <w:rPr>
          <w:rFonts w:hint="eastAsia" w:ascii="仿宋_GB2312" w:eastAsia="仿宋_GB2312"/>
          <w:sz w:val="32"/>
          <w:szCs w:val="32"/>
        </w:rPr>
        <w:t>助力伙伴增强荣誉感，凝聚力，同时激发</w:t>
      </w:r>
      <w:r>
        <w:rPr>
          <w:rFonts w:hint="eastAsia" w:ascii="仿宋_GB2312" w:eastAsia="仿宋_GB2312"/>
          <w:sz w:val="32"/>
          <w:szCs w:val="32"/>
          <w:lang w:eastAsia="zh-CN"/>
        </w:rPr>
        <w:t>业务伙伴</w:t>
      </w:r>
      <w:r>
        <w:rPr>
          <w:rFonts w:hint="eastAsia" w:ascii="仿宋_GB2312" w:eastAsia="仿宋_GB2312"/>
          <w:sz w:val="32"/>
          <w:szCs w:val="32"/>
        </w:rPr>
        <w:t>展业士气，夯实队伍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持续推进</w:t>
      </w:r>
      <w:r>
        <w:rPr>
          <w:rFonts w:hint="eastAsia" w:ascii="仿宋_GB2312" w:eastAsia="仿宋_GB2312"/>
          <w:sz w:val="32"/>
          <w:szCs w:val="32"/>
          <w:lang w:eastAsia="zh-CN"/>
        </w:rPr>
        <w:t>省营</w:t>
      </w:r>
      <w:r>
        <w:rPr>
          <w:rFonts w:hint="eastAsia" w:ascii="仿宋_GB2312" w:eastAsia="仿宋_GB2312"/>
          <w:sz w:val="32"/>
          <w:szCs w:val="32"/>
        </w:rPr>
        <w:t>个人业务群高质量发展</w:t>
      </w:r>
      <w:bookmarkEnd w:id="0"/>
      <w:bookmarkEnd w:id="1"/>
      <w:r>
        <w:rPr>
          <w:rFonts w:hint="eastAsia" w:ascii="仿宋_GB2312" w:eastAsia="仿宋_GB2312"/>
          <w:sz w:val="32"/>
          <w:szCs w:val="32"/>
        </w:rPr>
        <w:t>。</w:t>
      </w:r>
    </w:p>
    <w:p w14:paraId="48CC040D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（三）采购标的：</w:t>
      </w:r>
      <w:r>
        <w:rPr>
          <w:rFonts w:hint="eastAsia" w:ascii="仿宋_GB2312" w:hAnsi="宋体" w:eastAsia="仿宋_GB2312"/>
          <w:sz w:val="32"/>
          <w:szCs w:val="32"/>
          <w:lang w:eastAsia="zh-CN"/>
        </w:rPr>
        <w:t>三天两晚嵊泗列岛表彰之旅</w:t>
      </w:r>
    </w:p>
    <w:p w14:paraId="4E32808F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（四）预算控制价：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（万元）</w:t>
      </w:r>
    </w:p>
    <w:p w14:paraId="3FC3B845"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（五）</w:t>
      </w:r>
      <w:r>
        <w:rPr>
          <w:rFonts w:hint="eastAsia" w:ascii="仿宋_GB2312" w:eastAsia="仿宋_GB2312"/>
          <w:sz w:val="32"/>
          <w:szCs w:val="32"/>
        </w:rPr>
        <w:t>项目实施计划：自合同签署之日起至项目验收完毕，计划于2026年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11</w:t>
      </w:r>
      <w:r>
        <w:rPr>
          <w:rFonts w:hint="eastAsia" w:ascii="仿宋_GB2312" w:eastAsia="仿宋_GB2312"/>
          <w:sz w:val="32"/>
          <w:szCs w:val="32"/>
        </w:rPr>
        <w:t>日前完成执行</w:t>
      </w:r>
    </w:p>
    <w:p w14:paraId="69A8C3D7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/>
          <w:sz w:val="32"/>
          <w:szCs w:val="32"/>
        </w:rPr>
        <w:t>（六）拟推荐采购方式：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>根据本项目标性质，建议采用比价方式进行，符合《中国人民人寿保险股份有限公司分散采购管理办法实施细则》第五章第二十七条：（一）对于规格标准统一、货源充足的货物，或者已形成比较成熟的服务领域、服务标准较为统一且具有相对稳定可参考的市场价格的服务和工程，可采用比价方式进行采购。</w:t>
      </w:r>
    </w:p>
    <w:p w14:paraId="19C826ED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</w:p>
    <w:p w14:paraId="3DB6A90B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（七）拟中选人数量：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唯一供应商中选。</w:t>
      </w:r>
    </w:p>
    <w:p w14:paraId="0EE21E91">
      <w:pPr>
        <w:spacing w:line="600" w:lineRule="exact"/>
        <w:ind w:firstLine="640" w:firstLineChars="200"/>
        <w:rPr>
          <w:rStyle w:val="22"/>
          <w:rFonts w:hint="eastAsia" w:ascii="黑体" w:hAnsi="宋体" w:eastAsia="黑体"/>
          <w:b w:val="0"/>
          <w:color w:val="000000"/>
          <w:sz w:val="32"/>
          <w:szCs w:val="32"/>
          <w:lang w:val="zh-CN"/>
        </w:rPr>
      </w:pPr>
      <w:r>
        <w:rPr>
          <w:rStyle w:val="22"/>
          <w:rFonts w:hint="eastAsia" w:ascii="黑体" w:hAnsi="宋体" w:eastAsia="黑体"/>
          <w:b w:val="0"/>
          <w:color w:val="000000"/>
          <w:sz w:val="32"/>
          <w:szCs w:val="32"/>
          <w:lang w:val="zh-CN"/>
        </w:rPr>
        <w:t>二、采购需求</w:t>
      </w:r>
    </w:p>
    <w:p w14:paraId="1FF1AD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0000FF"/>
          <w:sz w:val="32"/>
          <w:szCs w:val="32"/>
        </w:rPr>
      </w:pPr>
      <w:r>
        <w:rPr>
          <w:rFonts w:hint="eastAsia" w:ascii="仿宋_GB2312" w:hAnsi="仿宋" w:eastAsia="仿宋_GB2312" w:cs="宋体"/>
          <w:sz w:val="32"/>
          <w:szCs w:val="32"/>
          <w:lang w:val="en-US" w:eastAsia="zh-CN"/>
        </w:rPr>
        <w:t>活动规模和预算</w:t>
      </w:r>
      <w:r>
        <w:rPr>
          <w:rFonts w:hint="eastAsia" w:ascii="仿宋_GB2312" w:hAnsi="仿宋" w:eastAsia="仿宋_GB2312" w:cs="宋体"/>
          <w:sz w:val="32"/>
          <w:szCs w:val="32"/>
        </w:rPr>
        <w:t>：</w:t>
      </w:r>
      <w:r>
        <w:rPr>
          <w:rFonts w:hint="eastAsia" w:ascii="仿宋_GB2312" w:hAnsi="仿宋" w:eastAsia="仿宋_GB2312" w:cs="宋体"/>
          <w:sz w:val="32"/>
          <w:szCs w:val="32"/>
          <w:lang w:val="en-US" w:eastAsia="zh-CN"/>
        </w:rPr>
        <w:t>活动参与人数为80人，活动总预算</w:t>
      </w:r>
      <w:r>
        <w:rPr>
          <w:rFonts w:ascii="仿宋_GB2312" w:hAnsi="仿宋" w:eastAsia="仿宋_GB2312" w:cs="宋体"/>
          <w:i w:val="0"/>
          <w:iCs w:val="0"/>
          <w:sz w:val="32"/>
          <w:szCs w:val="32"/>
          <w:u w:val="single"/>
        </w:rPr>
        <w:t xml:space="preserve"> </w:t>
      </w:r>
      <w:r>
        <w:rPr>
          <w:rFonts w:hint="eastAsia" w:ascii="仿宋_GB2312" w:hAnsi="仿宋" w:eastAsia="仿宋_GB2312" w:cs="宋体"/>
          <w:i w:val="0"/>
          <w:iCs w:val="0"/>
          <w:sz w:val="32"/>
          <w:szCs w:val="32"/>
          <w:u w:val="single"/>
          <w:lang w:val="en-US" w:eastAsia="zh-CN"/>
        </w:rPr>
        <w:t>120000</w:t>
      </w:r>
      <w:r>
        <w:rPr>
          <w:rFonts w:hint="eastAsia" w:ascii="仿宋_GB2312" w:hAnsi="仿宋" w:eastAsia="仿宋_GB2312" w:cs="宋体"/>
          <w:i w:val="0"/>
          <w:iCs w:val="0"/>
          <w:sz w:val="32"/>
          <w:szCs w:val="32"/>
          <w:u w:val="single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主要采购旅游服务费，其中包括但不限于下列具体服务要求。</w:t>
      </w:r>
    </w:p>
    <w:p w14:paraId="2F143763">
      <w:pPr>
        <w:spacing w:line="600" w:lineRule="exact"/>
        <w:ind w:firstLine="720" w:firstLineChars="200"/>
        <w:rPr>
          <w:rStyle w:val="22"/>
          <w:rFonts w:hint="eastAsia" w:ascii="黑体" w:hAnsi="宋体" w:eastAsia="黑体"/>
          <w:b w:val="0"/>
          <w:color w:val="000000"/>
          <w:sz w:val="36"/>
          <w:szCs w:val="36"/>
          <w:lang w:val="zh-CN"/>
        </w:rPr>
      </w:pPr>
    </w:p>
    <w:p w14:paraId="48EF8D10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（一）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 xml:space="preserve"> 舟山嵊泗地区可以容纳80人2晚的住宿酒店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>服务；</w:t>
      </w:r>
    </w:p>
    <w:p w14:paraId="28EE8E4F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（二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 xml:space="preserve"> 可以到辖内四级机构定点接送的大巴车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" w:eastAsia="仿宋_GB2312"/>
          <w:sz w:val="32"/>
          <w:szCs w:val="32"/>
        </w:rPr>
        <w:t>服务；</w:t>
      </w:r>
    </w:p>
    <w:p w14:paraId="7953CD70">
      <w:pPr>
        <w:spacing w:line="600" w:lineRule="exact"/>
        <w:ind w:firstLine="640" w:firstLineChars="200"/>
        <w:rPr>
          <w:rFonts w:ascii="仿宋_GB2312" w:hAnsi="仿宋" w:eastAsia="仿宋_GB2312"/>
          <w:sz w:val="32"/>
          <w:szCs w:val="32"/>
        </w:rPr>
      </w:pPr>
      <w:r>
        <w:rPr>
          <w:rFonts w:hint="eastAsia" w:ascii="仿宋_GB2312" w:hAnsi="仿宋" w:eastAsia="仿宋_GB2312"/>
          <w:sz w:val="32"/>
          <w:szCs w:val="32"/>
        </w:rPr>
        <w:t>（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三）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 xml:space="preserve"> 表彰场地布置工作（包含活动过程中茶水等） LED屏幕（4m*12m ）使用及调试工作人员1位、音响使用及调试工作人员1位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" w:eastAsia="仿宋_GB2312"/>
          <w:sz w:val="32"/>
          <w:szCs w:val="32"/>
        </w:rPr>
        <w:t>服务；</w:t>
      </w:r>
    </w:p>
    <w:p w14:paraId="2BAB3347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" w:eastAsia="仿宋_GB2312"/>
          <w:sz w:val="32"/>
          <w:szCs w:val="32"/>
        </w:rPr>
        <w:t>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>安全措施（如安全通道、防火警报、灭火器等设施）</w:t>
      </w:r>
      <w:r>
        <w:rPr>
          <w:rFonts w:hint="eastAsia" w:ascii="仿宋_GB2312" w:hAnsi="仿宋" w:eastAsia="仿宋_GB2312"/>
          <w:sz w:val="32"/>
          <w:szCs w:val="32"/>
        </w:rPr>
        <w:t>服务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；</w:t>
      </w:r>
    </w:p>
    <w:p w14:paraId="5FBA0D63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五</w:t>
      </w:r>
      <w:r>
        <w:rPr>
          <w:rFonts w:hint="eastAsia" w:ascii="仿宋_GB2312" w:hAnsi="仿宋" w:eastAsia="仿宋_GB2312"/>
          <w:sz w:val="32"/>
          <w:szCs w:val="32"/>
        </w:rPr>
        <w:t>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>表彰过程中固定服配合人员4-5位（过程中引导、加水等）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/>
          <w:sz w:val="32"/>
          <w:szCs w:val="32"/>
        </w:rPr>
        <w:t>服务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；</w:t>
      </w:r>
    </w:p>
    <w:p w14:paraId="676CD36E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六</w:t>
      </w:r>
      <w:r>
        <w:rPr>
          <w:rFonts w:hint="eastAsia" w:ascii="仿宋_GB2312" w:hAnsi="仿宋" w:eastAsia="仿宋_GB2312"/>
          <w:sz w:val="32"/>
          <w:szCs w:val="32"/>
        </w:rPr>
        <w:t>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>80人3天用餐服务，包括表彰晚餐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   </w:t>
      </w:r>
      <w:r>
        <w:rPr>
          <w:rFonts w:hint="eastAsia" w:ascii="仿宋_GB2312" w:hAnsi="仿宋" w:eastAsia="仿宋_GB2312"/>
          <w:sz w:val="32"/>
          <w:szCs w:val="32"/>
        </w:rPr>
        <w:t>服务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；</w:t>
      </w:r>
    </w:p>
    <w:p w14:paraId="45CE0FC5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七</w:t>
      </w:r>
      <w:r>
        <w:rPr>
          <w:rFonts w:hint="eastAsia" w:ascii="仿宋_GB2312" w:hAnsi="仿宋" w:eastAsia="仿宋_GB2312"/>
          <w:sz w:val="32"/>
          <w:szCs w:val="32"/>
        </w:rPr>
        <w:t>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>签到迎宾工作人员2位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" w:eastAsia="仿宋_GB2312"/>
          <w:sz w:val="32"/>
          <w:szCs w:val="32"/>
        </w:rPr>
        <w:t>服务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；</w:t>
      </w:r>
    </w:p>
    <w:p w14:paraId="42BCDF3D">
      <w:pPr>
        <w:spacing w:line="600" w:lineRule="exact"/>
        <w:ind w:firstLine="640" w:firstLineChars="200"/>
        <w:rPr>
          <w:rFonts w:hint="eastAsia" w:ascii="仿宋_GB2312" w:hAnsi="仿宋" w:eastAsia="仿宋_GB2312"/>
          <w:sz w:val="32"/>
          <w:szCs w:val="32"/>
          <w:lang w:eastAsia="zh-CN"/>
        </w:rPr>
      </w:pPr>
      <w:r>
        <w:rPr>
          <w:rFonts w:hint="eastAsia" w:ascii="仿宋_GB2312" w:hAnsi="仿宋" w:eastAsia="仿宋_GB2312"/>
          <w:sz w:val="32"/>
          <w:szCs w:val="32"/>
        </w:rPr>
        <w:t>（</w:t>
      </w:r>
      <w:r>
        <w:rPr>
          <w:rFonts w:hint="eastAsia" w:ascii="仿宋_GB2312" w:hAnsi="仿宋" w:eastAsia="仿宋_GB2312"/>
          <w:sz w:val="32"/>
          <w:szCs w:val="32"/>
          <w:lang w:val="en-US" w:eastAsia="zh-CN"/>
        </w:rPr>
        <w:t>八</w:t>
      </w:r>
      <w:r>
        <w:rPr>
          <w:rFonts w:hint="eastAsia" w:ascii="仿宋_GB2312" w:hAnsi="仿宋" w:eastAsia="仿宋_GB2312"/>
          <w:sz w:val="32"/>
          <w:szCs w:val="32"/>
        </w:rPr>
        <w:t>）</w:t>
      </w:r>
      <w:r>
        <w:rPr>
          <w:rFonts w:hint="eastAsia" w:ascii="仿宋_GB2312" w:hAnsi="仿宋" w:eastAsia="仿宋_GB2312"/>
          <w:sz w:val="32"/>
          <w:szCs w:val="32"/>
          <w:u w:val="single"/>
          <w:lang w:val="en-US" w:eastAsia="zh-CN"/>
        </w:rPr>
        <w:t>全程游玩的门票，同时分机构配备专属管家（包括但不限于时间规划、出行注意事项提醒、协助入住办理等）</w:t>
      </w:r>
      <w:r>
        <w:rPr>
          <w:rFonts w:hint="eastAsia" w:ascii="仿宋_GB2312" w:hAnsi="仿宋" w:eastAsia="仿宋_GB2312"/>
          <w:sz w:val="32"/>
          <w:szCs w:val="32"/>
          <w:u w:val="single"/>
        </w:rPr>
        <w:t xml:space="preserve">   </w:t>
      </w:r>
      <w:r>
        <w:rPr>
          <w:rFonts w:hint="eastAsia" w:ascii="仿宋_GB2312" w:hAnsi="仿宋" w:eastAsia="仿宋_GB2312"/>
          <w:sz w:val="32"/>
          <w:szCs w:val="32"/>
        </w:rPr>
        <w:t>服务</w:t>
      </w:r>
      <w:r>
        <w:rPr>
          <w:rFonts w:hint="eastAsia" w:ascii="仿宋_GB2312" w:hAnsi="仿宋" w:eastAsia="仿宋_GB2312"/>
          <w:sz w:val="32"/>
          <w:szCs w:val="32"/>
          <w:lang w:eastAsia="zh-CN"/>
        </w:rPr>
        <w:t>；</w:t>
      </w:r>
    </w:p>
    <w:p w14:paraId="3A735045">
      <w:pPr>
        <w:spacing w:line="600" w:lineRule="exact"/>
        <w:ind w:firstLine="640" w:firstLineChars="200"/>
        <w:rPr>
          <w:rStyle w:val="22"/>
          <w:rFonts w:hint="eastAsia" w:ascii="黑体" w:hAnsi="宋体" w:eastAsia="黑体"/>
          <w:b w:val="0"/>
          <w:bCs w:val="0"/>
          <w:color w:val="000000"/>
          <w:sz w:val="32"/>
          <w:szCs w:val="32"/>
          <w:lang w:val="zh-CN"/>
        </w:rPr>
      </w:pPr>
      <w:r>
        <w:rPr>
          <w:rFonts w:hint="eastAsia" w:ascii="黑体" w:hAnsi="宋体" w:eastAsia="黑体"/>
          <w:sz w:val="32"/>
          <w:szCs w:val="32"/>
        </w:rPr>
        <w:t>三、专业</w:t>
      </w:r>
      <w:r>
        <w:rPr>
          <w:rStyle w:val="22"/>
          <w:rFonts w:hint="eastAsia" w:ascii="黑体" w:hAnsi="宋体" w:eastAsia="黑体"/>
          <w:b w:val="0"/>
          <w:bCs w:val="0"/>
          <w:color w:val="000000"/>
          <w:sz w:val="32"/>
          <w:szCs w:val="32"/>
          <w:lang w:val="zh-CN"/>
        </w:rPr>
        <w:t>资格要求</w:t>
      </w:r>
    </w:p>
    <w:p w14:paraId="0BC633CF">
      <w:pPr>
        <w:spacing w:line="600" w:lineRule="exact"/>
        <w:ind w:firstLine="645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（一）专业资质要求：</w:t>
      </w:r>
    </w:p>
    <w:p w14:paraId="288B4A43">
      <w:pPr>
        <w:spacing w:line="600" w:lineRule="exact"/>
        <w:ind w:firstLine="640" w:firstLineChars="200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具备合法有效的《旅行社业务经营许可证》</w:t>
      </w:r>
    </w:p>
    <w:p w14:paraId="3D41ACB0">
      <w:pPr>
        <w:spacing w:line="600" w:lineRule="exact"/>
        <w:ind w:firstLine="645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经营范围包含国内旅游业务</w:t>
      </w:r>
    </w:p>
    <w:p w14:paraId="5399F34C">
      <w:pPr>
        <w:spacing w:line="600" w:lineRule="exact"/>
        <w:ind w:firstLine="645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（二）人员条件：</w:t>
      </w:r>
    </w:p>
    <w:p w14:paraId="7AF3F1EF">
      <w:pPr>
        <w:spacing w:line="600" w:lineRule="exact"/>
        <w:ind w:firstLine="645"/>
        <w:rPr>
          <w:rFonts w:hint="eastAsia"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项目负责人需具备3年以上同类活动执行经验</w:t>
      </w:r>
    </w:p>
    <w:p w14:paraId="128DDCC5">
      <w:pPr>
        <w:spacing w:line="600" w:lineRule="exact"/>
        <w:ind w:firstLine="645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现场服务团队不少于2人，含导游及活动协调人员</w:t>
      </w:r>
    </w:p>
    <w:p w14:paraId="375517A9">
      <w:pPr>
        <w:spacing w:line="600" w:lineRule="exact"/>
        <w:ind w:firstLine="640" w:firstLineChars="200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四、商务要求</w:t>
      </w:r>
    </w:p>
    <w:p w14:paraId="29D69E3B">
      <w:pPr>
        <w:spacing w:line="600" w:lineRule="exact"/>
        <w:ind w:firstLine="640" w:firstLineChars="200"/>
        <w:rPr>
          <w:rFonts w:hint="default" w:ascii="仿宋_GB2312" w:hAnsi="宋体" w:eastAsia="仿宋_GB2312"/>
          <w:sz w:val="32"/>
          <w:szCs w:val="32"/>
          <w:lang w:val="en-US"/>
        </w:rPr>
      </w:pPr>
      <w:r>
        <w:rPr>
          <w:rFonts w:hint="eastAsia" w:ascii="仿宋_GB2312" w:hAnsi="宋体" w:eastAsia="仿宋_GB2312"/>
          <w:sz w:val="32"/>
          <w:szCs w:val="32"/>
        </w:rPr>
        <w:t>（一）</w:t>
      </w:r>
      <w:r>
        <w:rPr>
          <w:rStyle w:val="22"/>
          <w:rFonts w:hint="eastAsia" w:ascii="仿宋_GB2312" w:hAnsi="宋体" w:eastAsia="仿宋_GB2312"/>
          <w:b w:val="0"/>
          <w:bCs w:val="0"/>
          <w:color w:val="000000"/>
          <w:sz w:val="32"/>
          <w:szCs w:val="32"/>
          <w:lang w:val="zh-CN"/>
        </w:rPr>
        <w:t>付款方式：</w:t>
      </w:r>
      <w:r>
        <w:rPr>
          <w:rFonts w:hint="eastAsia" w:ascii="仿宋_GB2312" w:eastAsia="仿宋_GB2312"/>
          <w:sz w:val="32"/>
          <w:szCs w:val="32"/>
          <w:lang w:eastAsia="zh-CN"/>
        </w:rPr>
        <w:t>自合同签署期截止后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30个工作日内完成付款。</w:t>
      </w:r>
    </w:p>
    <w:p w14:paraId="5C23684F">
      <w:pPr>
        <w:spacing w:line="600" w:lineRule="exact"/>
        <w:ind w:firstLine="640" w:firstLineChars="200"/>
        <w:rPr>
          <w:rStyle w:val="22"/>
          <w:rFonts w:hint="default" w:ascii="仿宋_GB2312" w:hAnsi="宋体" w:eastAsia="仿宋_GB2312"/>
          <w:b w:val="0"/>
          <w:bCs w:val="0"/>
          <w:color w:val="000000"/>
          <w:sz w:val="32"/>
          <w:szCs w:val="32"/>
          <w:lang w:val="en-US" w:eastAsia="zh-CN"/>
        </w:rPr>
      </w:pPr>
      <w:bookmarkStart w:id="2" w:name="OLE_LINK1"/>
      <w:r>
        <w:rPr>
          <w:rStyle w:val="22"/>
          <w:rFonts w:hint="eastAsia" w:ascii="仿宋_GB2312" w:hAnsi="宋体" w:eastAsia="仿宋_GB2312"/>
          <w:b w:val="0"/>
          <w:bCs w:val="0"/>
          <w:color w:val="000000"/>
          <w:sz w:val="32"/>
          <w:szCs w:val="32"/>
        </w:rPr>
        <w:t>（二）</w:t>
      </w:r>
      <w:r>
        <w:rPr>
          <w:rStyle w:val="22"/>
          <w:rFonts w:hint="eastAsia" w:ascii="仿宋_GB2312" w:hAnsi="宋体" w:eastAsia="仿宋_GB2312"/>
          <w:b w:val="0"/>
          <w:bCs w:val="0"/>
          <w:color w:val="000000"/>
          <w:sz w:val="32"/>
          <w:szCs w:val="32"/>
          <w:lang w:val="zh-CN"/>
        </w:rPr>
        <w:t>项目实施关键事件要求</w:t>
      </w:r>
      <w:bookmarkEnd w:id="2"/>
      <w:r>
        <w:rPr>
          <w:rStyle w:val="22"/>
          <w:rFonts w:hint="eastAsia" w:ascii="仿宋_GB2312" w:hAnsi="宋体" w:eastAsia="仿宋_GB2312"/>
          <w:b w:val="0"/>
          <w:bCs w:val="0"/>
          <w:color w:val="000000"/>
          <w:sz w:val="32"/>
          <w:szCs w:val="32"/>
          <w:lang w:val="zh-CN"/>
        </w:rPr>
        <w:t>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活动结束后，乙方负责提供增值税发票，若虚开发票造成的责任和损失由乙方承担。</w:t>
      </w:r>
    </w:p>
    <w:p w14:paraId="59FD3EAB">
      <w:pPr>
        <w:spacing w:line="600" w:lineRule="exact"/>
        <w:ind w:firstLine="640" w:firstLineChars="200"/>
        <w:rPr>
          <w:rFonts w:hint="eastAsia" w:ascii="黑体" w:hAnsi="宋体" w:eastAsia="黑体"/>
          <w:sz w:val="32"/>
          <w:szCs w:val="32"/>
          <w:lang w:eastAsia="zh-CN"/>
        </w:rPr>
      </w:pPr>
      <w:r>
        <w:rPr>
          <w:rFonts w:hint="eastAsia" w:ascii="黑体" w:hAnsi="宋体" w:eastAsia="黑体"/>
          <w:sz w:val="32"/>
          <w:szCs w:val="32"/>
        </w:rPr>
        <w:t>五、报价方式</w:t>
      </w:r>
      <w:r>
        <w:rPr>
          <w:rFonts w:hint="eastAsia" w:ascii="黑体" w:hAnsi="宋体" w:eastAsia="黑体"/>
          <w:sz w:val="32"/>
          <w:szCs w:val="32"/>
          <w:lang w:eastAsia="zh-CN"/>
        </w:rPr>
        <w:t>：</w:t>
      </w:r>
      <w:bookmarkStart w:id="3" w:name="_GoBack"/>
      <w:bookmarkEnd w:id="3"/>
    </w:p>
    <w:p w14:paraId="3B51B9FC">
      <w:pPr>
        <w:spacing w:line="360" w:lineRule="auto"/>
        <w:ind w:firstLine="640" w:firstLineChars="200"/>
        <w:rPr>
          <w:rFonts w:hint="eastAsia" w:ascii="仿宋_GB2312" w:hAnsi="宋体" w:eastAsia="仿宋_GB2312"/>
          <w:b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  <w:lang w:eastAsia="zh-CN"/>
        </w:rPr>
        <w:t>详见响应文件模板。</w:t>
      </w:r>
    </w:p>
    <w:sectPr>
      <w:footerReference r:id="rId4" w:type="default"/>
      <w:headerReference r:id="rId3" w:type="even"/>
      <w:footerReference r:id="rId5" w:type="even"/>
      <w:pgSz w:w="11906" w:h="16838"/>
      <w:pgMar w:top="1247" w:right="1304" w:bottom="1247" w:left="1304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文泉驿微米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国标黑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Microsoft Sans Serif">
    <w:altName w:val="Liberation Sans"/>
    <w:panose1 w:val="020B0604020202020204"/>
    <w:charset w:val="00"/>
    <w:family w:val="swiss"/>
    <w:pitch w:val="default"/>
    <w:sig w:usb0="00000000" w:usb1="00000000" w:usb2="00000029" w:usb3="00000000" w:csb0="000101FF" w:csb1="00000000"/>
  </w:font>
  <w:font w:name="Liberation Sans">
    <w:panose1 w:val="020B0604020202020204"/>
    <w:charset w:val="00"/>
    <w:family w:val="auto"/>
    <w:pitch w:val="default"/>
    <w:sig w:usb0="A00002AF" w:usb1="500078FB" w:usb2="00000000" w:usb3="00000000" w:csb0="6000009F" w:csb1="DFD7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CESI楷体-GB13000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CESI楷体-GB13000">
    <w:panose1 w:val="02000500000000000000"/>
    <w:charset w:val="86"/>
    <w:family w:val="auto"/>
    <w:pitch w:val="default"/>
    <w:sig w:usb0="800002BF" w:usb1="38CF7CF8" w:usb2="00000016" w:usb3="00000000" w:csb0="0004000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华文中宋">
    <w:altName w:val="Noto Serif CJK SC"/>
    <w:panose1 w:val="02010600040101010101"/>
    <w:charset w:val="00"/>
    <w:family w:val="auto"/>
    <w:pitch w:val="default"/>
    <w:sig w:usb0="00000000" w:usb1="00000000" w:usb2="00000010" w:usb3="00000000" w:csb0="0004009F" w:csb1="00000000"/>
  </w:font>
  <w:font w:name="Noto Serif CJK SC">
    <w:panose1 w:val="02020400000000000000"/>
    <w:charset w:val="86"/>
    <w:family w:val="auto"/>
    <w:pitch w:val="default"/>
    <w:sig w:usb0="30000083" w:usb1="2BDF3C10" w:usb2="00000016" w:usb3="00000000" w:csb0="602E0107" w:csb1="00000000"/>
  </w:font>
  <w:font w:name="仿宋_GB2312">
    <w:altName w:val="国标仿宋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国标仿宋">
    <w:panose1 w:val="02000500000000000000"/>
    <w:charset w:val="86"/>
    <w:family w:val="auto"/>
    <w:pitch w:val="default"/>
    <w:sig w:usb0="A00002BF" w:usb1="38C77CFA" w:usb2="00000016" w:usb3="00000000" w:csb0="00060007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ADA23F">
    <w:pPr>
      <w:pStyle w:val="8"/>
      <w:framePr w:wrap="around" w:vAnchor="text" w:hAnchor="margin" w:xAlign="center" w:y="1"/>
      <w:jc w:val="center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separate"/>
    </w:r>
    <w:r>
      <w:rPr>
        <w:rStyle w:val="17"/>
      </w:rPr>
      <w:t>2</w:t>
    </w:r>
    <w:r>
      <w:rPr>
        <w:rStyle w:val="17"/>
      </w:rPr>
      <w:fldChar w:fldCharType="end"/>
    </w:r>
  </w:p>
  <w:p w14:paraId="6B1AC6BE">
    <w:pPr>
      <w:pStyle w:val="8"/>
      <w:framePr w:wrap="around" w:vAnchor="text" w:hAnchor="margin" w:xAlign="center" w:y="1"/>
      <w:rPr>
        <w:rStyle w:val="17"/>
      </w:rPr>
    </w:pPr>
  </w:p>
  <w:p w14:paraId="2CB1EB25">
    <w:pPr>
      <w:pStyle w:val="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9E451D">
    <w:pPr>
      <w:pStyle w:val="8"/>
      <w:framePr w:wrap="around" w:vAnchor="text" w:hAnchor="margin" w:xAlign="center" w:y="1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end"/>
    </w:r>
  </w:p>
  <w:p w14:paraId="33A5DCE2">
    <w:pPr>
      <w:pStyle w:val="8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034A38">
    <w:pPr>
      <w:pStyle w:val="9"/>
      <w:framePr w:wrap="around" w:vAnchor="text" w:hAnchor="margin" w:xAlign="right" w:y="1"/>
      <w:rPr>
        <w:rStyle w:val="17"/>
      </w:rPr>
    </w:pPr>
    <w:r>
      <w:rPr>
        <w:rStyle w:val="17"/>
      </w:rPr>
      <w:fldChar w:fldCharType="begin"/>
    </w:r>
    <w:r>
      <w:rPr>
        <w:rStyle w:val="17"/>
      </w:rPr>
      <w:instrText xml:space="preserve">PAGE  </w:instrText>
    </w:r>
    <w:r>
      <w:rPr>
        <w:rStyle w:val="17"/>
      </w:rPr>
      <w:fldChar w:fldCharType="end"/>
    </w:r>
  </w:p>
  <w:p w14:paraId="4E872E20">
    <w:pPr>
      <w:pStyle w:val="9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16D"/>
    <w:rsid w:val="00011090"/>
    <w:rsid w:val="000222E2"/>
    <w:rsid w:val="00024FCB"/>
    <w:rsid w:val="00032D52"/>
    <w:rsid w:val="00033A92"/>
    <w:rsid w:val="00035A45"/>
    <w:rsid w:val="00041689"/>
    <w:rsid w:val="000512EF"/>
    <w:rsid w:val="00054C28"/>
    <w:rsid w:val="00067C4B"/>
    <w:rsid w:val="00067D03"/>
    <w:rsid w:val="0007016D"/>
    <w:rsid w:val="000809AA"/>
    <w:rsid w:val="00086CD6"/>
    <w:rsid w:val="00087505"/>
    <w:rsid w:val="00093F31"/>
    <w:rsid w:val="000A133D"/>
    <w:rsid w:val="000A571D"/>
    <w:rsid w:val="000B5D92"/>
    <w:rsid w:val="000D123C"/>
    <w:rsid w:val="000D40AA"/>
    <w:rsid w:val="000E1328"/>
    <w:rsid w:val="000E3C03"/>
    <w:rsid w:val="000F16C3"/>
    <w:rsid w:val="000F3FFA"/>
    <w:rsid w:val="00123657"/>
    <w:rsid w:val="00130666"/>
    <w:rsid w:val="00132BDE"/>
    <w:rsid w:val="001408C9"/>
    <w:rsid w:val="00142018"/>
    <w:rsid w:val="00161596"/>
    <w:rsid w:val="00162817"/>
    <w:rsid w:val="0017025E"/>
    <w:rsid w:val="00170BCC"/>
    <w:rsid w:val="00170D97"/>
    <w:rsid w:val="00175E2A"/>
    <w:rsid w:val="00180FE7"/>
    <w:rsid w:val="00186B1F"/>
    <w:rsid w:val="001904FB"/>
    <w:rsid w:val="00191805"/>
    <w:rsid w:val="001920F4"/>
    <w:rsid w:val="00192510"/>
    <w:rsid w:val="001978A5"/>
    <w:rsid w:val="001A78FE"/>
    <w:rsid w:val="001C3745"/>
    <w:rsid w:val="001C3E54"/>
    <w:rsid w:val="001C48B0"/>
    <w:rsid w:val="001C4EF3"/>
    <w:rsid w:val="001F0082"/>
    <w:rsid w:val="001F2A73"/>
    <w:rsid w:val="001F3B2A"/>
    <w:rsid w:val="00201709"/>
    <w:rsid w:val="00206138"/>
    <w:rsid w:val="00211EC5"/>
    <w:rsid w:val="00214F62"/>
    <w:rsid w:val="00226420"/>
    <w:rsid w:val="002310C5"/>
    <w:rsid w:val="002348E0"/>
    <w:rsid w:val="0024120B"/>
    <w:rsid w:val="00243CCD"/>
    <w:rsid w:val="00254343"/>
    <w:rsid w:val="00255D1A"/>
    <w:rsid w:val="00264AD1"/>
    <w:rsid w:val="00267D32"/>
    <w:rsid w:val="00287802"/>
    <w:rsid w:val="002A1688"/>
    <w:rsid w:val="002B2FF4"/>
    <w:rsid w:val="002C7B72"/>
    <w:rsid w:val="002D1DEE"/>
    <w:rsid w:val="002D402C"/>
    <w:rsid w:val="002D7D67"/>
    <w:rsid w:val="002E0035"/>
    <w:rsid w:val="002E3145"/>
    <w:rsid w:val="002E3A18"/>
    <w:rsid w:val="002E4FA4"/>
    <w:rsid w:val="002F074A"/>
    <w:rsid w:val="002F1297"/>
    <w:rsid w:val="002F63F8"/>
    <w:rsid w:val="002F71AE"/>
    <w:rsid w:val="0030064B"/>
    <w:rsid w:val="003032C3"/>
    <w:rsid w:val="003072CA"/>
    <w:rsid w:val="003075E1"/>
    <w:rsid w:val="00323A81"/>
    <w:rsid w:val="00341257"/>
    <w:rsid w:val="00341545"/>
    <w:rsid w:val="003450E3"/>
    <w:rsid w:val="003606C6"/>
    <w:rsid w:val="00362D49"/>
    <w:rsid w:val="00364E5F"/>
    <w:rsid w:val="00366FA0"/>
    <w:rsid w:val="0037005E"/>
    <w:rsid w:val="00374EAF"/>
    <w:rsid w:val="00386F6C"/>
    <w:rsid w:val="00387C4F"/>
    <w:rsid w:val="00390E51"/>
    <w:rsid w:val="0039600F"/>
    <w:rsid w:val="003977EB"/>
    <w:rsid w:val="003A0604"/>
    <w:rsid w:val="003A6A54"/>
    <w:rsid w:val="003B56B0"/>
    <w:rsid w:val="003B5F3F"/>
    <w:rsid w:val="003C6E77"/>
    <w:rsid w:val="003C6FE4"/>
    <w:rsid w:val="003D246C"/>
    <w:rsid w:val="003E293F"/>
    <w:rsid w:val="003F0799"/>
    <w:rsid w:val="003F4189"/>
    <w:rsid w:val="004020F0"/>
    <w:rsid w:val="00402331"/>
    <w:rsid w:val="0040446D"/>
    <w:rsid w:val="004059A7"/>
    <w:rsid w:val="004221A4"/>
    <w:rsid w:val="0043669A"/>
    <w:rsid w:val="00442115"/>
    <w:rsid w:val="004451F6"/>
    <w:rsid w:val="00446478"/>
    <w:rsid w:val="004517C7"/>
    <w:rsid w:val="00456255"/>
    <w:rsid w:val="00470FBE"/>
    <w:rsid w:val="00475087"/>
    <w:rsid w:val="004753FB"/>
    <w:rsid w:val="00486FE7"/>
    <w:rsid w:val="004951A4"/>
    <w:rsid w:val="004951BB"/>
    <w:rsid w:val="004B57A4"/>
    <w:rsid w:val="004C41BE"/>
    <w:rsid w:val="004C48E4"/>
    <w:rsid w:val="004D3F86"/>
    <w:rsid w:val="004D6C51"/>
    <w:rsid w:val="004E36CD"/>
    <w:rsid w:val="004E5FA6"/>
    <w:rsid w:val="004F1281"/>
    <w:rsid w:val="004F4F42"/>
    <w:rsid w:val="005073D1"/>
    <w:rsid w:val="00507708"/>
    <w:rsid w:val="00526750"/>
    <w:rsid w:val="00545224"/>
    <w:rsid w:val="00554E97"/>
    <w:rsid w:val="0055624A"/>
    <w:rsid w:val="0057414A"/>
    <w:rsid w:val="005933B5"/>
    <w:rsid w:val="00594827"/>
    <w:rsid w:val="005961F1"/>
    <w:rsid w:val="005A1A4F"/>
    <w:rsid w:val="005A5DFC"/>
    <w:rsid w:val="005B1A2F"/>
    <w:rsid w:val="005B5B82"/>
    <w:rsid w:val="005B75DF"/>
    <w:rsid w:val="005C4E8D"/>
    <w:rsid w:val="005C5231"/>
    <w:rsid w:val="005C5B3C"/>
    <w:rsid w:val="005C5D7E"/>
    <w:rsid w:val="005D1483"/>
    <w:rsid w:val="005D203A"/>
    <w:rsid w:val="005D3818"/>
    <w:rsid w:val="005E7BF7"/>
    <w:rsid w:val="00601F14"/>
    <w:rsid w:val="00607849"/>
    <w:rsid w:val="006119DD"/>
    <w:rsid w:val="0063297A"/>
    <w:rsid w:val="006378C6"/>
    <w:rsid w:val="00640480"/>
    <w:rsid w:val="00652CCC"/>
    <w:rsid w:val="00655CCD"/>
    <w:rsid w:val="00660ECB"/>
    <w:rsid w:val="00691396"/>
    <w:rsid w:val="006922C5"/>
    <w:rsid w:val="0069347C"/>
    <w:rsid w:val="00693549"/>
    <w:rsid w:val="006A7803"/>
    <w:rsid w:val="006C2AA5"/>
    <w:rsid w:val="006C64B6"/>
    <w:rsid w:val="006D5C2E"/>
    <w:rsid w:val="006E4239"/>
    <w:rsid w:val="006E660B"/>
    <w:rsid w:val="00700AE0"/>
    <w:rsid w:val="00710A65"/>
    <w:rsid w:val="0072313A"/>
    <w:rsid w:val="007250E4"/>
    <w:rsid w:val="00735123"/>
    <w:rsid w:val="00744970"/>
    <w:rsid w:val="00747584"/>
    <w:rsid w:val="00747BCB"/>
    <w:rsid w:val="007510F4"/>
    <w:rsid w:val="00752C60"/>
    <w:rsid w:val="00756D0A"/>
    <w:rsid w:val="00763F5B"/>
    <w:rsid w:val="007A2945"/>
    <w:rsid w:val="007B3B09"/>
    <w:rsid w:val="007B3EF6"/>
    <w:rsid w:val="007B759C"/>
    <w:rsid w:val="007C0079"/>
    <w:rsid w:val="007F603F"/>
    <w:rsid w:val="00821CB1"/>
    <w:rsid w:val="00835761"/>
    <w:rsid w:val="00836D43"/>
    <w:rsid w:val="00837721"/>
    <w:rsid w:val="008421DC"/>
    <w:rsid w:val="00852404"/>
    <w:rsid w:val="008547D9"/>
    <w:rsid w:val="00855D51"/>
    <w:rsid w:val="00862979"/>
    <w:rsid w:val="008732BE"/>
    <w:rsid w:val="00885999"/>
    <w:rsid w:val="008964E5"/>
    <w:rsid w:val="008A18EC"/>
    <w:rsid w:val="008A6164"/>
    <w:rsid w:val="008A6AC8"/>
    <w:rsid w:val="008B3687"/>
    <w:rsid w:val="008C0CBA"/>
    <w:rsid w:val="008C31F0"/>
    <w:rsid w:val="008D3FF2"/>
    <w:rsid w:val="008E4162"/>
    <w:rsid w:val="008E4B98"/>
    <w:rsid w:val="008F302C"/>
    <w:rsid w:val="008F493D"/>
    <w:rsid w:val="008F51EE"/>
    <w:rsid w:val="00901BA3"/>
    <w:rsid w:val="00901C13"/>
    <w:rsid w:val="00907C5C"/>
    <w:rsid w:val="009129BA"/>
    <w:rsid w:val="00916792"/>
    <w:rsid w:val="00922957"/>
    <w:rsid w:val="00923421"/>
    <w:rsid w:val="00934482"/>
    <w:rsid w:val="00966B8C"/>
    <w:rsid w:val="00981CB5"/>
    <w:rsid w:val="0098579C"/>
    <w:rsid w:val="00986575"/>
    <w:rsid w:val="00997EDA"/>
    <w:rsid w:val="009A46F5"/>
    <w:rsid w:val="009B0825"/>
    <w:rsid w:val="009B2155"/>
    <w:rsid w:val="009B3585"/>
    <w:rsid w:val="009C1D3A"/>
    <w:rsid w:val="009C3058"/>
    <w:rsid w:val="009C4514"/>
    <w:rsid w:val="009C627B"/>
    <w:rsid w:val="009D3BD3"/>
    <w:rsid w:val="009E2F98"/>
    <w:rsid w:val="009E370A"/>
    <w:rsid w:val="009F1AC5"/>
    <w:rsid w:val="00A02AAF"/>
    <w:rsid w:val="00A03BDD"/>
    <w:rsid w:val="00A147DC"/>
    <w:rsid w:val="00A22B0C"/>
    <w:rsid w:val="00A326FD"/>
    <w:rsid w:val="00A32F58"/>
    <w:rsid w:val="00A4165C"/>
    <w:rsid w:val="00A41A5A"/>
    <w:rsid w:val="00A44F2C"/>
    <w:rsid w:val="00A4765E"/>
    <w:rsid w:val="00A51CBF"/>
    <w:rsid w:val="00A5429C"/>
    <w:rsid w:val="00A5680C"/>
    <w:rsid w:val="00A838BB"/>
    <w:rsid w:val="00A85083"/>
    <w:rsid w:val="00A86534"/>
    <w:rsid w:val="00A87C97"/>
    <w:rsid w:val="00A91DB2"/>
    <w:rsid w:val="00A93DAE"/>
    <w:rsid w:val="00A949C7"/>
    <w:rsid w:val="00AA0D70"/>
    <w:rsid w:val="00AA2358"/>
    <w:rsid w:val="00AC6E0D"/>
    <w:rsid w:val="00AC7C93"/>
    <w:rsid w:val="00AC7D2A"/>
    <w:rsid w:val="00AD1D3B"/>
    <w:rsid w:val="00AD246F"/>
    <w:rsid w:val="00AE219E"/>
    <w:rsid w:val="00AE2798"/>
    <w:rsid w:val="00AF0ED8"/>
    <w:rsid w:val="00AF5DC9"/>
    <w:rsid w:val="00B12237"/>
    <w:rsid w:val="00B17F02"/>
    <w:rsid w:val="00B33E77"/>
    <w:rsid w:val="00B37E3D"/>
    <w:rsid w:val="00B40AE3"/>
    <w:rsid w:val="00B44611"/>
    <w:rsid w:val="00B6336C"/>
    <w:rsid w:val="00B65132"/>
    <w:rsid w:val="00B70DB9"/>
    <w:rsid w:val="00B77ABD"/>
    <w:rsid w:val="00B77B12"/>
    <w:rsid w:val="00B824EA"/>
    <w:rsid w:val="00B84FFB"/>
    <w:rsid w:val="00B9299C"/>
    <w:rsid w:val="00B945F2"/>
    <w:rsid w:val="00B97016"/>
    <w:rsid w:val="00BA0CA8"/>
    <w:rsid w:val="00BA711C"/>
    <w:rsid w:val="00BB40E1"/>
    <w:rsid w:val="00BC4BD4"/>
    <w:rsid w:val="00BC5A54"/>
    <w:rsid w:val="00BC7D59"/>
    <w:rsid w:val="00BD0F1E"/>
    <w:rsid w:val="00BD254B"/>
    <w:rsid w:val="00BD2A2A"/>
    <w:rsid w:val="00BD3C06"/>
    <w:rsid w:val="00BE7468"/>
    <w:rsid w:val="00C3383D"/>
    <w:rsid w:val="00C33D6E"/>
    <w:rsid w:val="00C35D97"/>
    <w:rsid w:val="00C40A58"/>
    <w:rsid w:val="00C40DF2"/>
    <w:rsid w:val="00C43FBE"/>
    <w:rsid w:val="00C4660C"/>
    <w:rsid w:val="00C50E76"/>
    <w:rsid w:val="00C65F62"/>
    <w:rsid w:val="00C77760"/>
    <w:rsid w:val="00C9217D"/>
    <w:rsid w:val="00C9650A"/>
    <w:rsid w:val="00CA0485"/>
    <w:rsid w:val="00CB1DEE"/>
    <w:rsid w:val="00CE059F"/>
    <w:rsid w:val="00CE3BFF"/>
    <w:rsid w:val="00CF6A9E"/>
    <w:rsid w:val="00D029CF"/>
    <w:rsid w:val="00D22FDD"/>
    <w:rsid w:val="00D3354A"/>
    <w:rsid w:val="00D51CB3"/>
    <w:rsid w:val="00D52ED3"/>
    <w:rsid w:val="00D537E1"/>
    <w:rsid w:val="00D557A9"/>
    <w:rsid w:val="00D8559C"/>
    <w:rsid w:val="00D87076"/>
    <w:rsid w:val="00D919EA"/>
    <w:rsid w:val="00DA034A"/>
    <w:rsid w:val="00DA159F"/>
    <w:rsid w:val="00DC58E0"/>
    <w:rsid w:val="00DD167B"/>
    <w:rsid w:val="00DD418D"/>
    <w:rsid w:val="00DE1DD0"/>
    <w:rsid w:val="00DF661B"/>
    <w:rsid w:val="00E0717E"/>
    <w:rsid w:val="00E1242D"/>
    <w:rsid w:val="00E31B88"/>
    <w:rsid w:val="00E426EE"/>
    <w:rsid w:val="00E62388"/>
    <w:rsid w:val="00E66167"/>
    <w:rsid w:val="00E7067F"/>
    <w:rsid w:val="00E73370"/>
    <w:rsid w:val="00E760E4"/>
    <w:rsid w:val="00E872AA"/>
    <w:rsid w:val="00E917F0"/>
    <w:rsid w:val="00EA2129"/>
    <w:rsid w:val="00EA36C6"/>
    <w:rsid w:val="00EC4D3C"/>
    <w:rsid w:val="00ED1262"/>
    <w:rsid w:val="00EF18F0"/>
    <w:rsid w:val="00EF6313"/>
    <w:rsid w:val="00F02E66"/>
    <w:rsid w:val="00F04039"/>
    <w:rsid w:val="00F064A9"/>
    <w:rsid w:val="00F106D9"/>
    <w:rsid w:val="00F23B9E"/>
    <w:rsid w:val="00F2764D"/>
    <w:rsid w:val="00F30722"/>
    <w:rsid w:val="00F47826"/>
    <w:rsid w:val="00F52BCB"/>
    <w:rsid w:val="00F56A6C"/>
    <w:rsid w:val="00F60759"/>
    <w:rsid w:val="00F6297E"/>
    <w:rsid w:val="00F65EF3"/>
    <w:rsid w:val="00F71684"/>
    <w:rsid w:val="00F72B1B"/>
    <w:rsid w:val="00F9446F"/>
    <w:rsid w:val="00F95BC2"/>
    <w:rsid w:val="00FA09F1"/>
    <w:rsid w:val="00FA2A17"/>
    <w:rsid w:val="00FA79C7"/>
    <w:rsid w:val="00FB2D88"/>
    <w:rsid w:val="00FB33AA"/>
    <w:rsid w:val="00FC2AC5"/>
    <w:rsid w:val="00FD3131"/>
    <w:rsid w:val="00FF5915"/>
    <w:rsid w:val="35430815"/>
    <w:rsid w:val="3C15041F"/>
    <w:rsid w:val="5FF56FDE"/>
    <w:rsid w:val="626F7E84"/>
    <w:rsid w:val="70026C53"/>
    <w:rsid w:val="75FE5FA6"/>
    <w:rsid w:val="7E3875C7"/>
    <w:rsid w:val="973FB74B"/>
    <w:rsid w:val="A8D96B4B"/>
    <w:rsid w:val="FEF33575"/>
    <w:rsid w:val="FF5F9FA3"/>
    <w:rsid w:val="FFFA2A4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name="toc 1"/>
    <w:lsdException w:qFormat="1" w:unhideWhenUsed="0" w:uiPriority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0"/>
    <w:pPr>
      <w:keepNext/>
      <w:keepLines/>
      <w:spacing w:before="340" w:after="330" w:line="578" w:lineRule="auto"/>
      <w:outlineLvl w:val="0"/>
    </w:pPr>
    <w:rPr>
      <w:b/>
      <w:kern w:val="44"/>
      <w:sz w:val="4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Microsoft Sans Serif" w:hAnsi="Microsoft Sans Serif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4">
    <w:name w:val="Default Paragraph Font"/>
    <w:link w:val="15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link w:val="20"/>
    <w:qFormat/>
    <w:uiPriority w:val="0"/>
    <w:pPr>
      <w:shd w:val="clear" w:color="auto" w:fill="FFFFFF"/>
      <w:spacing w:before="240" w:line="624" w:lineRule="exact"/>
      <w:ind w:hanging="480"/>
      <w:jc w:val="distribute"/>
    </w:pPr>
    <w:rPr>
      <w:rFonts w:ascii="宋体"/>
      <w:kern w:val="0"/>
      <w:sz w:val="22"/>
      <w:szCs w:val="22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semiHidden/>
    <w:qFormat/>
    <w:uiPriority w:val="0"/>
    <w:pPr>
      <w:tabs>
        <w:tab w:val="right" w:leader="dot" w:pos="9060"/>
      </w:tabs>
      <w:spacing w:line="520" w:lineRule="exact"/>
      <w:ind w:firstLine="178" w:firstLineChars="85"/>
    </w:pPr>
  </w:style>
  <w:style w:type="paragraph" w:styleId="11">
    <w:name w:val="toc 2"/>
    <w:basedOn w:val="1"/>
    <w:next w:val="1"/>
    <w:semiHidden/>
    <w:qFormat/>
    <w:uiPriority w:val="0"/>
    <w:pPr>
      <w:tabs>
        <w:tab w:val="right" w:leader="dot" w:pos="9060"/>
      </w:tabs>
      <w:spacing w:line="520" w:lineRule="exact"/>
      <w:ind w:firstLine="358" w:firstLineChars="128"/>
      <w:jc w:val="left"/>
    </w:pPr>
    <w:rPr>
      <w:rFonts w:ascii="Courier New" w:hAnsi="Courier New" w:cs="Courier New"/>
      <w:color w:val="000000"/>
      <w:kern w:val="0"/>
      <w:sz w:val="24"/>
      <w:lang w:val="zh-CN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 Char"/>
    <w:basedOn w:val="1"/>
    <w:next w:val="1"/>
    <w:link w:val="14"/>
    <w:qFormat/>
    <w:uiPriority w:val="0"/>
    <w:pPr>
      <w:widowControl/>
      <w:spacing w:line="360" w:lineRule="auto"/>
      <w:jc w:val="left"/>
    </w:pPr>
    <w:rPr>
      <w:szCs w:val="20"/>
    </w:rPr>
  </w:style>
  <w:style w:type="character" w:styleId="16">
    <w:name w:val="Strong"/>
    <w:qFormat/>
    <w:uiPriority w:val="0"/>
    <w:rPr>
      <w:b/>
      <w:bCs/>
    </w:rPr>
  </w:style>
  <w:style w:type="character" w:styleId="17">
    <w:name w:val="page number"/>
    <w:qFormat/>
    <w:uiPriority w:val="0"/>
  </w:style>
  <w:style w:type="character" w:styleId="18">
    <w:name w:val="Hyperlink"/>
    <w:qFormat/>
    <w:uiPriority w:val="0"/>
    <w:rPr>
      <w:color w:val="000080"/>
      <w:u w:val="single"/>
    </w:rPr>
  </w:style>
  <w:style w:type="character" w:customStyle="1" w:styleId="19">
    <w:name w:val="标题 1 Char"/>
    <w:link w:val="2"/>
    <w:qFormat/>
    <w:uiPriority w:val="0"/>
    <w:rPr>
      <w:rFonts w:eastAsia="宋体"/>
      <w:b/>
      <w:kern w:val="44"/>
      <w:sz w:val="44"/>
      <w:lang w:val="en-US" w:eastAsia="zh-CN" w:bidi="ar-SA"/>
    </w:rPr>
  </w:style>
  <w:style w:type="character" w:customStyle="1" w:styleId="20">
    <w:name w:val="正文文本 Char"/>
    <w:link w:val="5"/>
    <w:qFormat/>
    <w:uiPriority w:val="0"/>
    <w:rPr>
      <w:rFonts w:ascii="宋体" w:eastAsia="宋体"/>
      <w:sz w:val="22"/>
      <w:szCs w:val="22"/>
      <w:lang w:bidi="ar-SA"/>
    </w:rPr>
  </w:style>
  <w:style w:type="paragraph" w:customStyle="1" w:styleId="21">
    <w:name w:val="样式 样式 标题 1 + +"/>
    <w:basedOn w:val="1"/>
    <w:qFormat/>
    <w:uiPriority w:val="0"/>
    <w:pPr>
      <w:keepNext/>
      <w:keepLines/>
      <w:widowControl/>
      <w:spacing w:line="600" w:lineRule="exact"/>
      <w:ind w:firstLine="546" w:firstLineChars="151"/>
      <w:jc w:val="center"/>
    </w:pPr>
    <w:rPr>
      <w:rFonts w:ascii="楷体_GB2312" w:hAnsi="宋体"/>
      <w:b/>
      <w:bCs/>
      <w:sz w:val="36"/>
      <w:szCs w:val="44"/>
    </w:rPr>
  </w:style>
  <w:style w:type="character" w:customStyle="1" w:styleId="22">
    <w:name w:val="标题 #2_"/>
    <w:link w:val="23"/>
    <w:qFormat/>
    <w:uiPriority w:val="0"/>
    <w:rPr>
      <w:rFonts w:ascii="宋体" w:eastAsia="宋体"/>
      <w:b/>
      <w:bCs/>
      <w:sz w:val="23"/>
      <w:szCs w:val="23"/>
      <w:lang w:bidi="ar-SA"/>
    </w:rPr>
  </w:style>
  <w:style w:type="paragraph" w:customStyle="1" w:styleId="23">
    <w:name w:val="标题 #21"/>
    <w:basedOn w:val="1"/>
    <w:link w:val="22"/>
    <w:qFormat/>
    <w:uiPriority w:val="0"/>
    <w:pPr>
      <w:shd w:val="clear" w:color="auto" w:fill="FFFFFF"/>
      <w:spacing w:before="900" w:after="240" w:line="240" w:lineRule="atLeast"/>
      <w:ind w:hanging="480"/>
      <w:jc w:val="left"/>
      <w:outlineLvl w:val="1"/>
    </w:pPr>
    <w:rPr>
      <w:rFonts w:ascii="宋体"/>
      <w:b/>
      <w:bCs/>
      <w:kern w:val="0"/>
      <w:sz w:val="23"/>
      <w:szCs w:val="23"/>
    </w:rPr>
  </w:style>
  <w:style w:type="paragraph" w:customStyle="1" w:styleId="24">
    <w:name w:val="样式 标题 3 + (中文) 黑体 小四 非加粗 段前: 7.8 磅 段后: 0 磅 行距: 固定值 20 磅"/>
    <w:basedOn w:val="4"/>
    <w:qFormat/>
    <w:uiPriority w:val="0"/>
    <w:pPr>
      <w:spacing w:before="0" w:after="0" w:line="400" w:lineRule="exact"/>
    </w:pPr>
    <w:rPr>
      <w:rFonts w:eastAsia="黑体" w:cs="宋体"/>
      <w:b w:val="0"/>
      <w:sz w:val="24"/>
      <w:szCs w:val="20"/>
    </w:rPr>
  </w:style>
  <w:style w:type="paragraph" w:customStyle="1" w:styleId="25">
    <w:name w:val="样式 标题 2 + Times New Roman 四号 非加粗 段前: 5 磅 段后: 0 磅 行距: 固定值 20..."/>
    <w:basedOn w:val="3"/>
    <w:qFormat/>
    <w:uiPriority w:val="0"/>
    <w:pPr>
      <w:spacing w:before="100" w:after="0" w:line="400" w:lineRule="exact"/>
    </w:pPr>
    <w:rPr>
      <w:rFonts w:ascii="Times New Roman" w:hAnsi="Times New Roman" w:cs="宋体"/>
      <w:b w:val="0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Www.530La.Com</Company>
  <Pages>3</Pages>
  <Words>113</Words>
  <Characters>645</Characters>
  <Lines>5</Lines>
  <Paragraphs>1</Paragraphs>
  <TotalTime>0</TotalTime>
  <ScaleCrop>false</ScaleCrop>
  <LinksUpToDate>false</LinksUpToDate>
  <CharactersWithSpaces>757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2020-03-01T04:20:00Z</dcterms:created>
  <dc:creator>刘明哲</dc:creator>
  <cp:lastModifiedBy>shmily</cp:lastModifiedBy>
  <cp:lastPrinted>2014-07-19T09:21:00Z</cp:lastPrinted>
  <dcterms:modified xsi:type="dcterms:W3CDTF">2026-07-04T15:05:11Z</dcterms:modified>
  <dc:title>****设备采购项目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71096C13007073051DD7446A869156A6_43</vt:lpwstr>
  </property>
</Properties>
</file>