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_GB2312" w:hAnsi="宋体" w:eastAsia="仿宋_GB2312"/>
          <w:b/>
          <w:sz w:val="40"/>
          <w:szCs w:val="40"/>
        </w:rPr>
      </w:pPr>
      <w:r>
        <w:rPr>
          <w:rFonts w:hint="eastAsia" w:ascii="仿宋_GB2312" w:hAnsi="宋体" w:eastAsia="仿宋_GB2312"/>
          <w:b/>
          <w:sz w:val="40"/>
          <w:szCs w:val="40"/>
        </w:rPr>
        <w:t>人保财险四川省达州市分公司2026年度</w:t>
      </w:r>
    </w:p>
    <w:p>
      <w:pPr>
        <w:jc w:val="center"/>
        <w:rPr>
          <w:rFonts w:hint="eastAsia" w:ascii="仿宋_GB2312" w:eastAsia="仿宋_GB2312"/>
          <w:sz w:val="72"/>
          <w:szCs w:val="72"/>
        </w:rPr>
      </w:pPr>
      <w:r>
        <w:rPr>
          <w:rFonts w:hint="eastAsia" w:ascii="仿宋_GB2312" w:hAnsi="宋体" w:eastAsia="仿宋_GB2312"/>
          <w:b/>
          <w:sz w:val="40"/>
          <w:szCs w:val="40"/>
        </w:rPr>
        <w:t>车险公交站台宣传画宣传服务采购项目</w:t>
      </w:r>
    </w:p>
    <w:p>
      <w:pPr>
        <w:jc w:val="center"/>
        <w:rPr>
          <w:rFonts w:hint="eastAsia"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谈</w:t>
      </w:r>
    </w:p>
    <w:p>
      <w:pPr>
        <w:jc w:val="center"/>
        <w:rPr>
          <w:rFonts w:ascii="仿宋_GB2312" w:eastAsia="仿宋_GB2312"/>
          <w:sz w:val="72"/>
          <w:szCs w:val="72"/>
        </w:rPr>
      </w:pPr>
      <w:r>
        <w:rPr>
          <w:rFonts w:hint="eastAsia" w:ascii="仿宋_GB2312" w:eastAsia="仿宋_GB2312"/>
          <w:sz w:val="72"/>
          <w:szCs w:val="72"/>
        </w:rPr>
        <w:t>判</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1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6</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4" w:type="first"/>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_Toc5059 </w:instrText>
      </w:r>
      <w:r>
        <w:rPr>
          <w:rFonts w:hint="eastAsia" w:ascii="仿宋_GB2312" w:hAnsi="宋体" w:eastAsia="仿宋_GB2312"/>
          <w:bCs w:val="0"/>
        </w:rPr>
        <w:fldChar w:fldCharType="separate"/>
      </w:r>
      <w:r>
        <w:rPr>
          <w:rFonts w:hint="eastAsia" w:ascii="仿宋_GB2312" w:hAnsi="宋体" w:eastAsia="仿宋_GB2312"/>
          <w:szCs w:val="28"/>
        </w:rPr>
        <w:t>第一章 竞争性谈判邀请</w:t>
      </w:r>
      <w:r>
        <w:tab/>
      </w:r>
      <w:r>
        <w:fldChar w:fldCharType="begin"/>
      </w:r>
      <w:r>
        <w:instrText xml:space="preserve"> PAGEREF _Toc5059 \h </w:instrText>
      </w:r>
      <w:r>
        <w:fldChar w:fldCharType="separate"/>
      </w:r>
      <w:r>
        <w:t>1</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_Toc20629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_Toc20629 \h </w:instrText>
      </w:r>
      <w:r>
        <w:fldChar w:fldCharType="separate"/>
      </w:r>
      <w:r>
        <w:t>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_Toc22425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_Toc22425 \h </w:instrText>
      </w:r>
      <w:r>
        <w:fldChar w:fldCharType="separate"/>
      </w:r>
      <w:r>
        <w:t>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_Toc31888 </w:instrText>
      </w:r>
      <w:r>
        <w:rPr>
          <w:rFonts w:hint="eastAsia" w:ascii="仿宋_GB2312" w:hAnsi="宋体" w:eastAsia="仿宋_GB2312"/>
          <w:bCs w:val="0"/>
        </w:rPr>
        <w:fldChar w:fldCharType="separate"/>
      </w:r>
      <w:r>
        <w:rPr>
          <w:rFonts w:hint="eastAsia" w:ascii="仿宋" w:hAnsi="仿宋" w:eastAsia="仿宋" w:cs="仿宋"/>
          <w:szCs w:val="24"/>
        </w:rPr>
        <w:t>三、谈判文件的获取</w:t>
      </w:r>
      <w:r>
        <w:tab/>
      </w:r>
      <w:r>
        <w:fldChar w:fldCharType="begin"/>
      </w:r>
      <w:r>
        <w:instrText xml:space="preserve"> PAGEREF _Toc31888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_Toc18516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_Toc18516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_Toc15101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_Toc15101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_Toc3923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_Toc3923 \h </w:instrText>
      </w:r>
      <w:r>
        <w:fldChar w:fldCharType="separate"/>
      </w:r>
      <w:r>
        <w:t>3</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_Toc17109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_Toc17109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_Toc13939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_Toc13939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_Toc4638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_Toc4638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_Toc30906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_Toc30906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_Toc16504 </w:instrText>
      </w:r>
      <w:r>
        <w:rPr>
          <w:rFonts w:hint="eastAsia" w:ascii="仿宋_GB2312" w:hAnsi="宋体" w:eastAsia="仿宋_GB2312"/>
          <w:bCs w:val="0"/>
        </w:rPr>
        <w:fldChar w:fldCharType="separate"/>
      </w:r>
      <w:r>
        <w:rPr>
          <w:rFonts w:hint="eastAsia" w:ascii="仿宋" w:hAnsi="仿宋" w:eastAsia="仿宋" w:cs="仿宋"/>
          <w:szCs w:val="24"/>
        </w:rPr>
        <w:t>（二）谈判文件</w:t>
      </w:r>
      <w:r>
        <w:tab/>
      </w:r>
      <w:r>
        <w:fldChar w:fldCharType="begin"/>
      </w:r>
      <w:r>
        <w:instrText xml:space="preserve"> PAGEREF _Toc16504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_Toc32057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_Toc32057 \h </w:instrText>
      </w:r>
      <w:r>
        <w:fldChar w:fldCharType="separate"/>
      </w:r>
      <w:r>
        <w:t>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_Toc14072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_Toc14072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_Toc30182 </w:instrText>
      </w:r>
      <w:r>
        <w:rPr>
          <w:rFonts w:hint="eastAsia" w:ascii="仿宋_GB2312" w:hAnsi="宋体" w:eastAsia="仿宋_GB2312"/>
          <w:bCs w:val="0"/>
        </w:rPr>
        <w:fldChar w:fldCharType="separate"/>
      </w:r>
      <w:r>
        <w:rPr>
          <w:rFonts w:hint="eastAsia" w:ascii="仿宋" w:hAnsi="仿宋" w:eastAsia="仿宋" w:cs="仿宋"/>
          <w:szCs w:val="24"/>
        </w:rPr>
        <w:t>（五）竞争性谈判和评审</w:t>
      </w:r>
      <w:r>
        <w:tab/>
      </w:r>
      <w:r>
        <w:fldChar w:fldCharType="begin"/>
      </w:r>
      <w:r>
        <w:instrText xml:space="preserve"> PAGEREF _Toc30182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_Toc9 \h </w:instrText>
      </w:r>
      <w:r>
        <w:fldChar w:fldCharType="separate"/>
      </w:r>
      <w:r>
        <w:t>13</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_Toc10893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_Toc10893 \h </w:instrText>
      </w:r>
      <w:r>
        <w:fldChar w:fldCharType="separate"/>
      </w:r>
      <w:r>
        <w:t>13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_Toc14122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_Toc14122 \h </w:instrText>
      </w:r>
      <w:r>
        <w:fldChar w:fldCharType="separate"/>
      </w:r>
      <w:r>
        <w:t>13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_Toc30728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_Toc30728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_Toc8128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_Toc8128 \h </w:instrText>
      </w:r>
      <w:r>
        <w:fldChar w:fldCharType="separate"/>
      </w:r>
      <w:r>
        <w:t>17</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_Toc20051 </w:instrText>
      </w:r>
      <w:r>
        <w:rPr>
          <w:rFonts w:hint="eastAsia" w:ascii="仿宋_GB2312" w:hAnsi="宋体" w:eastAsia="仿宋_GB2312"/>
          <w:bCs w:val="0"/>
        </w:rPr>
        <w:fldChar w:fldCharType="separate"/>
      </w:r>
      <w:r>
        <w:rPr>
          <w:rFonts w:hint="eastAsia" w:ascii="仿宋" w:hAnsi="仿宋" w:eastAsia="仿宋" w:cs="仿宋"/>
          <w:szCs w:val="28"/>
        </w:rPr>
        <w:t>第五章 采购需求</w:t>
      </w:r>
      <w:r>
        <w:tab/>
      </w:r>
      <w:r>
        <w:fldChar w:fldCharType="begin"/>
      </w:r>
      <w:r>
        <w:instrText xml:space="preserve"> PAGEREF _Toc20051 \h </w:instrText>
      </w:r>
      <w:r>
        <w:fldChar w:fldCharType="separate"/>
      </w:r>
      <w:r>
        <w:t>27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_Toc25432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一、采购项目背景</w:t>
      </w:r>
      <w:r>
        <w:tab/>
      </w:r>
      <w:r>
        <w:fldChar w:fldCharType="begin"/>
      </w:r>
      <w:r>
        <w:instrText xml:space="preserve"> PAGEREF _Toc25432 \h </w:instrText>
      </w:r>
      <w:r>
        <w:fldChar w:fldCharType="separate"/>
      </w:r>
      <w:r>
        <w:t>27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_Toc19522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二、采购内容</w:t>
      </w:r>
      <w:r>
        <w:tab/>
      </w:r>
      <w:r>
        <w:fldChar w:fldCharType="begin"/>
      </w:r>
      <w:r>
        <w:instrText xml:space="preserve"> PAGEREF _Toc19522 \h </w:instrText>
      </w:r>
      <w:r>
        <w:fldChar w:fldCharType="separate"/>
      </w:r>
      <w:r>
        <w:t>27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_Toc15110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三、采购数量</w:t>
      </w:r>
      <w:r>
        <w:tab/>
      </w:r>
      <w:r>
        <w:fldChar w:fldCharType="begin"/>
      </w:r>
      <w:r>
        <w:instrText xml:space="preserve"> PAGEREF _Toc15110 \h </w:instrText>
      </w:r>
      <w:r>
        <w:fldChar w:fldCharType="separate"/>
      </w:r>
      <w:r>
        <w:t>27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_Toc19936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四、付款方式</w:t>
      </w:r>
      <w:r>
        <w:tab/>
      </w:r>
      <w:r>
        <w:fldChar w:fldCharType="begin"/>
      </w:r>
      <w:r>
        <w:instrText xml:space="preserve"> PAGEREF _Toc19936 \h </w:instrText>
      </w:r>
      <w:r>
        <w:fldChar w:fldCharType="separate"/>
      </w:r>
      <w:r>
        <w:t>27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_Toc9423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五、规格型号/技术/服务要求</w:t>
      </w:r>
      <w:r>
        <w:tab/>
      </w:r>
      <w:r>
        <w:fldChar w:fldCharType="begin"/>
      </w:r>
      <w:r>
        <w:instrText xml:space="preserve"> PAGEREF _Toc9423 \h </w:instrText>
      </w:r>
      <w:r>
        <w:fldChar w:fldCharType="separate"/>
      </w:r>
      <w:r>
        <w:t>27</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_Toc10940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_Toc10940 \h </w:instrText>
      </w:r>
      <w:r>
        <w:fldChar w:fldCharType="separate"/>
      </w:r>
      <w:r>
        <w:t>28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_Toc3383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_Toc3383 \h </w:instrText>
      </w:r>
      <w:r>
        <w:fldChar w:fldCharType="separate"/>
      </w:r>
      <w:r>
        <w:t>29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_Toc2993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_Toc2993 \h </w:instrText>
      </w:r>
      <w:r>
        <w:fldChar w:fldCharType="separate"/>
      </w:r>
      <w:r>
        <w:t>30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_Toc22124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_Toc22124 \h </w:instrText>
      </w:r>
      <w:r>
        <w:fldChar w:fldCharType="separate"/>
      </w:r>
      <w:r>
        <w:t>31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_Toc15348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_Toc15348 \h </w:instrText>
      </w:r>
      <w:r>
        <w:fldChar w:fldCharType="separate"/>
      </w:r>
      <w:r>
        <w:t>32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_Toc12711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_Toc12711 \h </w:instrText>
      </w:r>
      <w:r>
        <w:fldChar w:fldCharType="separate"/>
      </w:r>
      <w:r>
        <w:t>41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_Toc14173 </w:instrText>
      </w:r>
      <w:r>
        <w:rPr>
          <w:rFonts w:hint="eastAsia" w:ascii="仿宋_GB2312" w:hAnsi="宋体" w:eastAsia="仿宋_GB2312"/>
          <w:bCs w:val="0"/>
        </w:rPr>
        <w:fldChar w:fldCharType="separate"/>
      </w:r>
      <w:r>
        <w:rPr>
          <w:rFonts w:hint="eastAsia" w:ascii="仿宋" w:hAnsi="仿宋" w:eastAsia="仿宋" w:cs="仿宋"/>
          <w:szCs w:val="24"/>
        </w:rPr>
        <w:t>（六）合同条款应答偏离表</w:t>
      </w:r>
      <w:r>
        <w:tab/>
      </w:r>
      <w:r>
        <w:fldChar w:fldCharType="begin"/>
      </w:r>
      <w:r>
        <w:instrText xml:space="preserve"> PAGEREF _Toc14173 \h </w:instrText>
      </w:r>
      <w:r>
        <w:fldChar w:fldCharType="separate"/>
      </w:r>
      <w:r>
        <w:t>42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_Toc9402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_Toc9402 \h </w:instrText>
      </w:r>
      <w:r>
        <w:fldChar w:fldCharType="separate"/>
      </w:r>
      <w:r>
        <w:t>43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_Toc2133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八</w:t>
      </w:r>
      <w:r>
        <w:rPr>
          <w:rFonts w:hint="eastAsia" w:ascii="仿宋" w:hAnsi="仿宋" w:eastAsia="仿宋" w:cs="仿宋"/>
          <w:szCs w:val="24"/>
        </w:rPr>
        <w:t>）供应商</w:t>
      </w:r>
      <w:r>
        <w:rPr>
          <w:rFonts w:hint="eastAsia" w:ascii="仿宋" w:hAnsi="仿宋" w:eastAsia="仿宋" w:cs="仿宋"/>
          <w:szCs w:val="24"/>
          <w:lang w:val="en-US" w:eastAsia="zh-CN"/>
        </w:rPr>
        <w:t>廉洁诚信</w:t>
      </w:r>
      <w:r>
        <w:rPr>
          <w:rFonts w:hint="eastAsia" w:ascii="仿宋" w:hAnsi="仿宋" w:eastAsia="仿宋" w:cs="仿宋"/>
          <w:szCs w:val="24"/>
        </w:rPr>
        <w:t>承诺书</w:t>
      </w:r>
      <w:r>
        <w:tab/>
      </w:r>
      <w:r>
        <w:fldChar w:fldCharType="begin"/>
      </w:r>
      <w:r>
        <w:instrText xml:space="preserve"> PAGEREF _Toc2133 \h </w:instrText>
      </w:r>
      <w:r>
        <w:fldChar w:fldCharType="separate"/>
      </w:r>
      <w:r>
        <w:t>45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_Toc9443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_Toc9443 \h </w:instrText>
      </w:r>
      <w:r>
        <w:fldChar w:fldCharType="separate"/>
      </w:r>
      <w:r>
        <w:t>48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_Toc22985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_Toc22985 \h </w:instrText>
      </w:r>
      <w:r>
        <w:fldChar w:fldCharType="separate"/>
      </w:r>
      <w:r>
        <w:t>48</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_Toc14682 </w:instrText>
      </w:r>
      <w:r>
        <w:rPr>
          <w:rFonts w:hint="eastAsia" w:ascii="仿宋_GB2312" w:hAnsi="宋体" w:eastAsia="仿宋_GB2312"/>
          <w:bCs w:val="0"/>
        </w:rPr>
        <w:fldChar w:fldCharType="separate"/>
      </w:r>
      <w:r>
        <w:rPr>
          <w:rFonts w:hint="eastAsia" w:ascii="仿宋" w:hAnsi="仿宋" w:eastAsia="仿宋" w:cs="仿宋"/>
          <w:szCs w:val="24"/>
        </w:rPr>
        <w:t>三、报价文件</w:t>
      </w:r>
      <w:r>
        <w:tab/>
      </w:r>
      <w:r>
        <w:fldChar w:fldCharType="begin"/>
      </w:r>
      <w:r>
        <w:instrText xml:space="preserve"> PAGEREF _Toc14682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_Toc1548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_Toc1548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_Toc27449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_Toc27449 \h </w:instrText>
      </w:r>
      <w:r>
        <w:fldChar w:fldCharType="separate"/>
      </w:r>
      <w:r>
        <w:t>50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_Toc29083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三</w:t>
      </w:r>
      <w:r>
        <w:rPr>
          <w:rFonts w:hint="eastAsia" w:ascii="仿宋" w:hAnsi="仿宋" w:eastAsia="仿宋" w:cs="仿宋"/>
          <w:szCs w:val="24"/>
        </w:rPr>
        <w:t>）</w:t>
      </w:r>
      <w:r>
        <w:rPr>
          <w:rFonts w:hint="eastAsia" w:ascii="仿宋" w:hAnsi="仿宋" w:eastAsia="仿宋" w:cs="仿宋"/>
          <w:szCs w:val="24"/>
          <w:lang w:val="en-US" w:eastAsia="zh-CN"/>
        </w:rPr>
        <w:t>最终报价确认函</w:t>
      </w:r>
      <w:r>
        <w:tab/>
      </w:r>
      <w:r>
        <w:fldChar w:fldCharType="begin"/>
      </w:r>
      <w:r>
        <w:instrText xml:space="preserve"> PAGEREF _Toc29083 \h </w:instrText>
      </w:r>
      <w:r>
        <w:fldChar w:fldCharType="separate"/>
      </w:r>
      <w:r>
        <w:t>51</w:t>
      </w:r>
      <w:r>
        <w:fldChar w:fldCharType="end"/>
      </w:r>
      <w:r>
        <w:rPr>
          <w:rFonts w:hint="eastAsia" w:ascii="仿宋_GB2312" w:hAnsi="宋体" w:eastAsia="仿宋_GB2312"/>
          <w:bCs w:val="0"/>
          <w:color w:val="auto"/>
        </w:rPr>
        <w:fldChar w:fldCharType="end"/>
      </w:r>
    </w:p>
    <w:p>
      <w:pPr>
        <w:pStyle w:val="2"/>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pPr>
        <w:pStyle w:val="2"/>
        <w:ind w:left="0" w:firstLine="0"/>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cols w:space="720" w:num="1"/>
          <w:docGrid w:linePitch="326" w:charSpace="0"/>
        </w:sectPr>
      </w:pPr>
    </w:p>
    <w:p>
      <w:pPr>
        <w:pStyle w:val="2"/>
        <w:ind w:left="0" w:firstLine="0"/>
        <w:rPr>
          <w:rFonts w:ascii="仿宋_GB2312" w:hAnsi="宋体" w:eastAsia="仿宋_GB2312"/>
          <w:color w:val="auto"/>
          <w:sz w:val="28"/>
          <w:szCs w:val="28"/>
        </w:rPr>
      </w:pPr>
      <w:bookmarkStart w:id="0" w:name="_Toc5059"/>
      <w:bookmarkStart w:id="1" w:name="_Toc21360"/>
      <w:r>
        <w:rPr>
          <w:rFonts w:hint="eastAsia" w:ascii="仿宋_GB2312" w:hAnsi="宋体" w:eastAsia="仿宋_GB2312"/>
          <w:color w:val="auto"/>
          <w:sz w:val="28"/>
          <w:szCs w:val="28"/>
        </w:rPr>
        <w:t>第一章 竞争性谈判邀请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rPr>
        <w:t xml:space="preserve">   </w:t>
      </w: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color w:val="000000" w:themeColor="text1"/>
          <w:u w:val="single"/>
          <w:lang w:eastAsia="zh-CN"/>
          <w14:textFill>
            <w14:solidFill>
              <w14:schemeClr w14:val="tx1"/>
            </w14:solidFill>
          </w14:textFill>
        </w:rPr>
        <w:t>人保财险四川省达州市分公司2026年度车险公交站台宣传画宣传服务采购项目</w:t>
      </w:r>
      <w:r>
        <w:rPr>
          <w:rFonts w:hint="eastAsia" w:ascii="仿宋" w:hAnsi="仿宋" w:eastAsia="仿宋" w:cs="仿宋"/>
          <w:color w:val="000000" w:themeColor="text1"/>
          <w14:textFill>
            <w14:solidFill>
              <w14:schemeClr w14:val="tx1"/>
            </w14:solidFill>
          </w14:textFill>
        </w:rPr>
        <w:t>（采购项目编号：XXXXXXX ）由</w:t>
      </w:r>
      <w:r>
        <w:rPr>
          <w:rFonts w:hint="eastAsia" w:ascii="仿宋" w:hAnsi="仿宋" w:eastAsia="仿宋" w:cs="仿宋"/>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lang w:val="en-US" w:eastAsia="zh-CN"/>
          <w14:textFill>
            <w14:solidFill>
              <w14:schemeClr w14:val="tx1"/>
            </w14:solidFill>
          </w14:textFill>
        </w:rPr>
        <w:t>达州市</w:t>
      </w:r>
      <w:r>
        <w:rPr>
          <w:rFonts w:hint="eastAsia" w:ascii="仿宋" w:hAnsi="仿宋" w:eastAsia="仿宋" w:cs="仿宋"/>
          <w:color w:val="000000" w:themeColor="text1"/>
          <w:u w:val="single"/>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批准并落实资金，组织本项目的谈判工作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仿宋"/>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lang w:val="en-US" w:eastAsia="zh-CN"/>
          <w14:textFill>
            <w14:solidFill>
              <w14:schemeClr w14:val="tx1"/>
            </w14:solidFill>
          </w14:textFill>
        </w:rPr>
        <w:t>达州市</w:t>
      </w:r>
      <w:r>
        <w:rPr>
          <w:rFonts w:hint="eastAsia" w:ascii="仿宋" w:hAnsi="仿宋" w:eastAsia="仿宋" w:cs="仿宋"/>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宋体"/>
          <w:color w:val="000000" w:themeColor="text1"/>
          <w:lang w:val="en-US" w:eastAsia="zh-CN"/>
          <w14:textFill>
            <w14:solidFill>
              <w14:schemeClr w14:val="tx1"/>
            </w14:solidFill>
          </w14:textFill>
        </w:rPr>
        <w:t>达州市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根据成交结果与成交人签署。现通过竞争性谈判方式实施，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有意向且具有提供标的物能力的潜在供应商（以下简称“供应商”）可前来参与谈判响应。 </w:t>
      </w:r>
    </w:p>
    <w:p>
      <w:pPr>
        <w:pStyle w:val="3"/>
        <w:jc w:val="left"/>
        <w:rPr>
          <w:rFonts w:ascii="仿宋" w:hAnsi="仿宋" w:eastAsia="仿宋" w:cs="仿宋"/>
          <w:color w:val="000000"/>
          <w:sz w:val="24"/>
          <w:szCs w:val="24"/>
        </w:rPr>
      </w:pPr>
      <w:bookmarkStart w:id="2" w:name="_Toc20629"/>
      <w:bookmarkStart w:id="3" w:name="_Toc21237"/>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color w:val="000000" w:themeColor="text1"/>
          <w:u w:val="single"/>
          <w:lang w:eastAsia="zh-CN"/>
          <w14:textFill>
            <w14:solidFill>
              <w14:schemeClr w14:val="tx1"/>
            </w14:solidFill>
          </w14:textFill>
        </w:rPr>
        <w:t>人保财险四川省达州市分公司2026年度车险公交站台宣传画宣传服务采购项目。</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采购范围：本项目拟采购公交站台宣传画，具体技术要求详见第五章采购需求。</w:t>
      </w:r>
    </w:p>
    <w:p>
      <w:pPr>
        <w:adjustRightInd w:val="0"/>
        <w:snapToGrid w:val="0"/>
        <w:spacing w:line="360" w:lineRule="auto"/>
        <w:ind w:firstLine="480" w:firstLineChars="200"/>
        <w:rPr>
          <w:rFonts w:hint="eastAsia"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本项目划分为</w:t>
      </w:r>
      <w:r>
        <w:rPr>
          <w:rFonts w:hint="eastAsia" w:ascii="仿宋" w:hAnsi="仿宋" w:eastAsia="仿宋" w:cs="宋体"/>
          <w:color w:val="000000" w:themeColor="text1"/>
          <w:lang w:val="en-US" w:eastAsia="zh-CN"/>
          <w14:textFill>
            <w14:solidFill>
              <w14:schemeClr w14:val="tx1"/>
            </w14:solidFill>
          </w14:textFill>
        </w:rPr>
        <w:t>2</w:t>
      </w:r>
      <w:r>
        <w:rPr>
          <w:rFonts w:hint="eastAsia" w:ascii="仿宋" w:hAnsi="仿宋" w:eastAsia="仿宋" w:cs="宋体"/>
          <w:color w:val="000000" w:themeColor="text1"/>
          <w14:textFill>
            <w14:solidFill>
              <w14:schemeClr w14:val="tx1"/>
            </w14:solidFill>
          </w14:textFill>
        </w:rPr>
        <w:t>个标包，情况如下：</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3"/>
        <w:gridCol w:w="2267"/>
        <w:gridCol w:w="1423"/>
        <w:gridCol w:w="1122"/>
        <w:gridCol w:w="1530"/>
        <w:gridCol w:w="976"/>
        <w:gridCol w:w="1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95" w:type="pct"/>
            <w:vAlign w:val="center"/>
          </w:tcPr>
          <w:p>
            <w:pPr>
              <w:jc w:val="center"/>
              <w:rPr>
                <w:rFonts w:hint="eastAsia" w:ascii="黑体" w:hAnsi="黑体" w:eastAsia="黑体" w:cs="黑体"/>
                <w:b w:val="0"/>
                <w:bCs w:val="0"/>
                <w:color w:val="000000" w:themeColor="text1"/>
                <w:sz w:val="18"/>
                <w:szCs w:val="18"/>
                <w14:textFill>
                  <w14:solidFill>
                    <w14:schemeClr w14:val="tx1"/>
                  </w14:solidFill>
                </w14:textFill>
              </w:rPr>
            </w:pPr>
            <w:r>
              <w:rPr>
                <w:rFonts w:hint="eastAsia" w:ascii="黑体" w:hAnsi="黑体" w:eastAsia="黑体" w:cs="黑体"/>
                <w:b w:val="0"/>
                <w:bCs w:val="0"/>
                <w:color w:val="000000" w:themeColor="text1"/>
                <w:sz w:val="18"/>
                <w:szCs w:val="18"/>
                <w14:textFill>
                  <w14:solidFill>
                    <w14:schemeClr w14:val="tx1"/>
                  </w14:solidFill>
                </w14:textFill>
              </w:rPr>
              <w:t>标包号</w:t>
            </w:r>
          </w:p>
        </w:tc>
        <w:tc>
          <w:tcPr>
            <w:tcW w:w="1150" w:type="pct"/>
            <w:vAlign w:val="center"/>
          </w:tcPr>
          <w:p>
            <w:pPr>
              <w:jc w:val="center"/>
              <w:rPr>
                <w:rFonts w:hint="eastAsia" w:ascii="黑体" w:hAnsi="黑体" w:eastAsia="黑体" w:cs="黑体"/>
                <w:b w:val="0"/>
                <w:bCs w:val="0"/>
                <w:color w:val="000000" w:themeColor="text1"/>
                <w:sz w:val="18"/>
                <w:szCs w:val="18"/>
                <w14:textFill>
                  <w14:solidFill>
                    <w14:schemeClr w14:val="tx1"/>
                  </w14:solidFill>
                </w14:textFill>
              </w:rPr>
            </w:pPr>
            <w:r>
              <w:rPr>
                <w:rFonts w:hint="eastAsia" w:ascii="黑体" w:hAnsi="黑体" w:eastAsia="黑体" w:cs="黑体"/>
                <w:b w:val="0"/>
                <w:bCs w:val="0"/>
                <w:color w:val="000000" w:themeColor="text1"/>
                <w:sz w:val="18"/>
                <w:szCs w:val="18"/>
                <w14:textFill>
                  <w14:solidFill>
                    <w14:schemeClr w14:val="tx1"/>
                  </w14:solidFill>
                </w14:textFill>
              </w:rPr>
              <w:t>标包名称</w:t>
            </w:r>
          </w:p>
        </w:tc>
        <w:tc>
          <w:tcPr>
            <w:tcW w:w="722"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公交站台宣传画（幅）</w:t>
            </w:r>
          </w:p>
        </w:tc>
        <w:tc>
          <w:tcPr>
            <w:tcW w:w="569" w:type="pct"/>
            <w:vAlign w:val="center"/>
          </w:tcPr>
          <w:p>
            <w:pPr>
              <w:jc w:val="center"/>
              <w:rPr>
                <w:rFonts w:hint="eastAsia" w:ascii="黑体" w:hAnsi="黑体" w:eastAsia="黑体" w:cs="黑体"/>
                <w:b w:val="0"/>
                <w:bCs w:val="0"/>
                <w:color w:val="000000" w:themeColor="text1"/>
                <w:sz w:val="18"/>
                <w:szCs w:val="18"/>
                <w:lang w:eastAsia="zh-CN"/>
                <w14:textFill>
                  <w14:solidFill>
                    <w14:schemeClr w14:val="tx1"/>
                  </w14:solidFill>
                </w14:textFill>
              </w:rPr>
            </w:pPr>
            <w:r>
              <w:rPr>
                <w:rFonts w:hint="eastAsia" w:ascii="黑体" w:hAnsi="黑体" w:eastAsia="黑体" w:cs="黑体"/>
                <w:b w:val="0"/>
                <w:bCs w:val="0"/>
                <w:color w:val="000000" w:themeColor="text1"/>
                <w:sz w:val="18"/>
                <w:szCs w:val="18"/>
                <w:lang w:eastAsia="zh-CN"/>
                <w14:textFill>
                  <w14:solidFill>
                    <w14:schemeClr w14:val="tx1"/>
                  </w14:solidFill>
                </w14:textFill>
              </w:rPr>
              <w:t>中标人数量（</w:t>
            </w:r>
            <w:r>
              <w:rPr>
                <w:rFonts w:hint="eastAsia" w:ascii="黑体" w:hAnsi="黑体" w:eastAsia="黑体" w:cs="黑体"/>
                <w:b w:val="0"/>
                <w:bCs w:val="0"/>
                <w:color w:val="000000" w:themeColor="text1"/>
                <w:sz w:val="18"/>
                <w:szCs w:val="18"/>
                <w:lang w:val="en-US" w:eastAsia="zh-CN"/>
                <w14:textFill>
                  <w14:solidFill>
                    <w14:schemeClr w14:val="tx1"/>
                  </w14:solidFill>
                </w14:textFill>
              </w:rPr>
              <w:t>个</w:t>
            </w:r>
            <w:r>
              <w:rPr>
                <w:rFonts w:hint="eastAsia" w:ascii="黑体" w:hAnsi="黑体" w:eastAsia="黑体" w:cs="黑体"/>
                <w:b w:val="0"/>
                <w:bCs w:val="0"/>
                <w:color w:val="000000" w:themeColor="text1"/>
                <w:sz w:val="18"/>
                <w:szCs w:val="18"/>
                <w:lang w:eastAsia="zh-CN"/>
                <w14:textFill>
                  <w14:solidFill>
                    <w14:schemeClr w14:val="tx1"/>
                  </w14:solidFill>
                </w14:textFill>
              </w:rPr>
              <w:t>）</w:t>
            </w:r>
          </w:p>
        </w:tc>
        <w:tc>
          <w:tcPr>
            <w:tcW w:w="776" w:type="pct"/>
            <w:vAlign w:val="center"/>
          </w:tcPr>
          <w:p>
            <w:pPr>
              <w:jc w:val="center"/>
              <w:rPr>
                <w:rFonts w:hint="eastAsia" w:ascii="黑体" w:hAnsi="黑体" w:eastAsia="黑体" w:cs="黑体"/>
                <w:b w:val="0"/>
                <w:bCs w:val="0"/>
                <w:color w:val="000000" w:themeColor="text1"/>
                <w:sz w:val="18"/>
                <w:szCs w:val="18"/>
                <w:lang w:eastAsia="zh-CN"/>
                <w14:textFill>
                  <w14:solidFill>
                    <w14:schemeClr w14:val="tx1"/>
                  </w14:solidFill>
                </w14:textFill>
              </w:rPr>
            </w:pPr>
            <w:r>
              <w:rPr>
                <w:rFonts w:hint="eastAsia" w:ascii="黑体" w:hAnsi="黑体" w:eastAsia="黑体" w:cs="黑体"/>
                <w:b w:val="0"/>
                <w:bCs w:val="0"/>
                <w:color w:val="000000" w:themeColor="text1"/>
                <w:sz w:val="18"/>
                <w:szCs w:val="18"/>
                <w:lang w:eastAsia="zh-CN"/>
                <w14:textFill>
                  <w14:solidFill>
                    <w14:schemeClr w14:val="tx1"/>
                  </w14:solidFill>
                </w14:textFill>
              </w:rPr>
              <w:t>项目性质</w:t>
            </w:r>
          </w:p>
        </w:tc>
        <w:tc>
          <w:tcPr>
            <w:tcW w:w="495" w:type="pct"/>
            <w:vAlign w:val="center"/>
          </w:tcPr>
          <w:p>
            <w:pPr>
              <w:jc w:val="center"/>
              <w:rPr>
                <w:rFonts w:hint="eastAsia" w:ascii="黑体" w:hAnsi="黑体" w:eastAsia="黑体" w:cs="黑体"/>
                <w:b w:val="0"/>
                <w:bCs w:val="0"/>
                <w:color w:val="000000" w:themeColor="text1"/>
                <w:sz w:val="18"/>
                <w:szCs w:val="18"/>
                <w:lang w:eastAsia="zh-CN"/>
                <w14:textFill>
                  <w14:solidFill>
                    <w14:schemeClr w14:val="tx1"/>
                  </w14:solidFill>
                </w14:textFill>
              </w:rPr>
            </w:pPr>
            <w:r>
              <w:rPr>
                <w:rFonts w:hint="eastAsia" w:ascii="黑体" w:hAnsi="黑体" w:eastAsia="黑体" w:cs="黑体"/>
                <w:b w:val="0"/>
                <w:bCs w:val="0"/>
                <w:color w:val="000000" w:themeColor="text1"/>
                <w:sz w:val="18"/>
                <w:szCs w:val="18"/>
                <w:lang w:eastAsia="zh-CN"/>
                <w14:textFill>
                  <w14:solidFill>
                    <w14:schemeClr w14:val="tx1"/>
                  </w14:solidFill>
                </w14:textFill>
              </w:rPr>
              <w:t>服务期限（</w:t>
            </w:r>
            <w:r>
              <w:rPr>
                <w:rFonts w:hint="eastAsia" w:ascii="黑体" w:hAnsi="黑体" w:eastAsia="黑体" w:cs="黑体"/>
                <w:b w:val="0"/>
                <w:bCs w:val="0"/>
                <w:color w:val="000000" w:themeColor="text1"/>
                <w:sz w:val="18"/>
                <w:szCs w:val="18"/>
                <w:lang w:val="en-US" w:eastAsia="zh-CN"/>
                <w14:textFill>
                  <w14:solidFill>
                    <w14:schemeClr w14:val="tx1"/>
                  </w14:solidFill>
                </w14:textFill>
              </w:rPr>
              <w:t>月</w:t>
            </w:r>
            <w:r>
              <w:rPr>
                <w:rFonts w:hint="eastAsia" w:ascii="黑体" w:hAnsi="黑体" w:eastAsia="黑体" w:cs="黑体"/>
                <w:b w:val="0"/>
                <w:bCs w:val="0"/>
                <w:color w:val="000000" w:themeColor="text1"/>
                <w:sz w:val="18"/>
                <w:szCs w:val="18"/>
                <w:lang w:eastAsia="zh-CN"/>
                <w14:textFill>
                  <w14:solidFill>
                    <w14:schemeClr w14:val="tx1"/>
                  </w14:solidFill>
                </w14:textFill>
              </w:rPr>
              <w:t>）</w:t>
            </w:r>
          </w:p>
        </w:tc>
        <w:tc>
          <w:tcPr>
            <w:tcW w:w="689" w:type="pct"/>
            <w:vAlign w:val="center"/>
          </w:tcPr>
          <w:p>
            <w:pPr>
              <w:jc w:val="center"/>
              <w:rPr>
                <w:rFonts w:hint="eastAsia" w:ascii="黑体" w:hAnsi="黑体" w:eastAsia="黑体" w:cs="黑体"/>
                <w:b w:val="0"/>
                <w:bCs w:val="0"/>
                <w:color w:val="000000" w:themeColor="text1"/>
                <w:sz w:val="18"/>
                <w:szCs w:val="18"/>
                <w:lang w:eastAsia="zh-CN"/>
                <w14:textFill>
                  <w14:solidFill>
                    <w14:schemeClr w14:val="tx1"/>
                  </w14:solidFill>
                </w14:textFill>
              </w:rPr>
            </w:pPr>
            <w:r>
              <w:rPr>
                <w:rFonts w:hint="eastAsia" w:ascii="黑体" w:hAnsi="黑体" w:eastAsia="黑体" w:cs="黑体"/>
                <w:b w:val="0"/>
                <w:bCs w:val="0"/>
                <w:color w:val="000000" w:themeColor="text1"/>
                <w:sz w:val="18"/>
                <w:szCs w:val="18"/>
                <w:lang w:eastAsia="zh-CN"/>
                <w14:textFill>
                  <w14:solidFill>
                    <w14:schemeClr w14:val="tx1"/>
                  </w14:solidFill>
                </w14:textFill>
              </w:rPr>
              <w:t>服务</w:t>
            </w:r>
          </w:p>
          <w:p>
            <w:pPr>
              <w:jc w:val="center"/>
              <w:rPr>
                <w:rFonts w:hint="eastAsia" w:ascii="黑体" w:hAnsi="黑体" w:eastAsia="黑体" w:cs="黑体"/>
                <w:b w:val="0"/>
                <w:bCs w:val="0"/>
                <w:color w:val="000000" w:themeColor="text1"/>
                <w:sz w:val="18"/>
                <w:szCs w:val="18"/>
                <w:lang w:eastAsia="zh-CN"/>
                <w14:textFill>
                  <w14:solidFill>
                    <w14:schemeClr w14:val="tx1"/>
                  </w14:solidFill>
                </w14:textFill>
              </w:rPr>
            </w:pPr>
            <w:r>
              <w:rPr>
                <w:rFonts w:hint="eastAsia" w:ascii="黑体" w:hAnsi="黑体" w:eastAsia="黑体" w:cs="黑体"/>
                <w:b w:val="0"/>
                <w:bCs w:val="0"/>
                <w:color w:val="000000" w:themeColor="text1"/>
                <w:sz w:val="18"/>
                <w:szCs w:val="18"/>
                <w:lang w:eastAsia="zh-CN"/>
                <w14:textFill>
                  <w14:solidFill>
                    <w14:schemeClr w14:val="tx1"/>
                  </w14:solidFill>
                </w14:textFill>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95"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1</w:t>
            </w:r>
          </w:p>
        </w:tc>
        <w:tc>
          <w:tcPr>
            <w:tcW w:w="1150" w:type="pct"/>
            <w:vAlign w:val="center"/>
          </w:tcPr>
          <w:p>
            <w:pPr>
              <w:jc w:val="center"/>
              <w:rPr>
                <w:rFonts w:hint="eastAsia" w:ascii="黑体" w:hAnsi="黑体" w:eastAsia="黑体" w:cs="黑体"/>
                <w:b w:val="0"/>
                <w:bCs w:val="0"/>
                <w:color w:val="000000" w:themeColor="text1"/>
                <w:sz w:val="18"/>
                <w:szCs w:val="18"/>
                <w14:textFill>
                  <w14:solidFill>
                    <w14:schemeClr w14:val="tx1"/>
                  </w14:solidFill>
                </w14:textFill>
              </w:rPr>
            </w:pPr>
            <w:r>
              <w:rPr>
                <w:rFonts w:hint="eastAsia" w:ascii="黑体" w:hAnsi="黑体" w:eastAsia="黑体" w:cs="黑体"/>
                <w:b w:val="0"/>
                <w:bCs w:val="0"/>
                <w:color w:val="000000" w:themeColor="text1"/>
                <w:sz w:val="18"/>
                <w:szCs w:val="18"/>
                <w14:textFill>
                  <w14:solidFill>
                    <w14:schemeClr w14:val="tx1"/>
                  </w14:solidFill>
                </w14:textFill>
              </w:rPr>
              <w:t>宣汉支公司车险公交站台宣传画宣传服务采购项目</w:t>
            </w:r>
          </w:p>
        </w:tc>
        <w:tc>
          <w:tcPr>
            <w:tcW w:w="722"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42</w:t>
            </w:r>
          </w:p>
        </w:tc>
        <w:tc>
          <w:tcPr>
            <w:tcW w:w="569"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1</w:t>
            </w:r>
          </w:p>
        </w:tc>
        <w:tc>
          <w:tcPr>
            <w:tcW w:w="776"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服务</w:t>
            </w:r>
          </w:p>
        </w:tc>
        <w:tc>
          <w:tcPr>
            <w:tcW w:w="495"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6</w:t>
            </w:r>
          </w:p>
        </w:tc>
        <w:tc>
          <w:tcPr>
            <w:tcW w:w="689"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宣汉县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595"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2</w:t>
            </w:r>
          </w:p>
        </w:tc>
        <w:tc>
          <w:tcPr>
            <w:tcW w:w="1150" w:type="pct"/>
            <w:vAlign w:val="center"/>
          </w:tcPr>
          <w:p>
            <w:pPr>
              <w:jc w:val="center"/>
              <w:rPr>
                <w:rFonts w:hint="eastAsia" w:ascii="黑体" w:hAnsi="黑体" w:eastAsia="黑体" w:cs="黑体"/>
                <w:b w:val="0"/>
                <w:bCs w:val="0"/>
                <w:color w:val="000000" w:themeColor="text1"/>
                <w:sz w:val="18"/>
                <w:szCs w:val="18"/>
                <w14:textFill>
                  <w14:solidFill>
                    <w14:schemeClr w14:val="tx1"/>
                  </w14:solidFill>
                </w14:textFill>
              </w:rPr>
            </w:pPr>
            <w:r>
              <w:rPr>
                <w:rFonts w:hint="eastAsia" w:ascii="黑体" w:hAnsi="黑体" w:eastAsia="黑体" w:cs="黑体"/>
                <w:b w:val="0"/>
                <w:bCs w:val="0"/>
                <w:color w:val="000000" w:themeColor="text1"/>
                <w:sz w:val="18"/>
                <w:szCs w:val="18"/>
                <w14:textFill>
                  <w14:solidFill>
                    <w14:schemeClr w14:val="tx1"/>
                  </w14:solidFill>
                </w14:textFill>
              </w:rPr>
              <w:t>开江支公司车险公交站台宣传画宣传服务采购项目</w:t>
            </w:r>
          </w:p>
        </w:tc>
        <w:tc>
          <w:tcPr>
            <w:tcW w:w="722"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7</w:t>
            </w:r>
          </w:p>
        </w:tc>
        <w:tc>
          <w:tcPr>
            <w:tcW w:w="569"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1</w:t>
            </w:r>
          </w:p>
        </w:tc>
        <w:tc>
          <w:tcPr>
            <w:tcW w:w="776" w:type="pct"/>
            <w:vAlign w:val="center"/>
          </w:tcPr>
          <w:p>
            <w:pPr>
              <w:jc w:val="center"/>
              <w:rPr>
                <w:rFonts w:hint="eastAsia" w:ascii="黑体" w:hAnsi="黑体" w:eastAsia="黑体" w:cs="黑体"/>
                <w:b w:val="0"/>
                <w:bCs w:val="0"/>
                <w:color w:val="000000" w:themeColor="text1"/>
                <w:sz w:val="18"/>
                <w:szCs w:val="18"/>
                <w:lang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服务</w:t>
            </w:r>
          </w:p>
        </w:tc>
        <w:tc>
          <w:tcPr>
            <w:tcW w:w="495"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12</w:t>
            </w:r>
          </w:p>
        </w:tc>
        <w:tc>
          <w:tcPr>
            <w:tcW w:w="689" w:type="pct"/>
            <w:vAlign w:val="center"/>
          </w:tcPr>
          <w:p>
            <w:pPr>
              <w:jc w:val="center"/>
              <w:rPr>
                <w:rFonts w:hint="eastAsia" w:ascii="黑体" w:hAnsi="黑体" w:eastAsia="黑体" w:cs="黑体"/>
                <w:b w:val="0"/>
                <w:bCs w:val="0"/>
                <w:color w:val="000000" w:themeColor="text1"/>
                <w:sz w:val="18"/>
                <w:szCs w:val="18"/>
                <w:lang w:val="en-US" w:eastAsia="zh-CN"/>
                <w14:textFill>
                  <w14:solidFill>
                    <w14:schemeClr w14:val="tx1"/>
                  </w14:solidFill>
                </w14:textFill>
              </w:rPr>
            </w:pPr>
            <w:r>
              <w:rPr>
                <w:rFonts w:hint="eastAsia" w:ascii="黑体" w:hAnsi="黑体" w:eastAsia="黑体" w:cs="黑体"/>
                <w:b w:val="0"/>
                <w:bCs w:val="0"/>
                <w:color w:val="000000" w:themeColor="text1"/>
                <w:sz w:val="18"/>
                <w:szCs w:val="18"/>
                <w:lang w:val="en-US" w:eastAsia="zh-CN"/>
                <w14:textFill>
                  <w14:solidFill>
                    <w14:schemeClr w14:val="tx1"/>
                  </w14:solidFill>
                </w14:textFill>
              </w:rPr>
              <w:t>开江县</w:t>
            </w:r>
          </w:p>
        </w:tc>
      </w:tr>
    </w:tbl>
    <w:p>
      <w:pPr>
        <w:pStyle w:val="12"/>
      </w:pPr>
    </w:p>
    <w:p>
      <w:pPr>
        <w:pStyle w:val="3"/>
        <w:jc w:val="left"/>
        <w:rPr>
          <w:rFonts w:ascii="仿宋" w:hAnsi="仿宋" w:eastAsia="仿宋" w:cs="仿宋"/>
          <w:color w:val="000000"/>
          <w:sz w:val="24"/>
          <w:szCs w:val="24"/>
        </w:rPr>
      </w:pPr>
      <w:bookmarkStart w:id="4" w:name="_Toc22425"/>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bookmarkStart w:id="6" w:name="_Toc2019"/>
      <w:r>
        <w:rPr>
          <w:rFonts w:hint="eastAsia" w:ascii="仿宋" w:hAnsi="仿宋" w:eastAsia="仿宋" w:cs="宋体"/>
          <w:color w:val="000000"/>
        </w:rPr>
        <w:t>2.</w:t>
      </w:r>
      <w:r>
        <w:rPr>
          <w:rFonts w:hint="eastAsia" w:ascii="仿宋" w:hAnsi="仿宋" w:eastAsia="仿宋" w:cs="宋体"/>
          <w:color w:val="000000"/>
          <w:lang w:val="en-US" w:eastAsia="zh-CN"/>
        </w:rPr>
        <w:t xml:space="preserve">1 </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rPr>
        <w:t>2.2</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具有良好的商业信誉和健全的财务会计制度</w:t>
      </w:r>
      <w:r>
        <w:rPr>
          <w:rFonts w:hint="eastAsia" w:ascii="仿宋" w:hAnsi="仿宋" w:eastAsia="仿宋" w:cs="宋体"/>
          <w:b/>
          <w:bCs/>
          <w:color w:val="000000"/>
          <w:lang w:eastAsia="zh-CN"/>
        </w:rPr>
        <w:t>。</w:t>
      </w:r>
      <w:r>
        <w:rPr>
          <w:rFonts w:hint="eastAsia" w:ascii="仿宋" w:hAnsi="仿宋" w:eastAsia="仿宋" w:cs="宋体"/>
          <w:color w:val="000000" w:themeColor="text1"/>
          <w14:textFill>
            <w14:solidFill>
              <w14:schemeClr w14:val="tx1"/>
            </w14:solidFill>
          </w14:textFill>
        </w:rPr>
        <w:t>提供响应文件递交截止日前6个月内开具的银行资信证明或承诺函，格式详见第六章响应文件格式。</w:t>
      </w:r>
    </w:p>
    <w:p>
      <w:pPr>
        <w:pageBreakBefore w:val="0"/>
        <w:kinsoku/>
        <w:wordWrap w:val="0"/>
        <w:overflowPunct/>
        <w:topLinePunct/>
        <w:autoSpaceDE/>
        <w:autoSpaceDN/>
        <w:bidi w:val="0"/>
        <w:spacing w:line="500" w:lineRule="exact"/>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rPr>
        <w:t>2.3</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w:t>
      </w:r>
      <w:r>
        <w:rPr>
          <w:rFonts w:hint="eastAsia" w:ascii="仿宋" w:hAnsi="仿宋" w:eastAsia="仿宋" w:cs="宋体"/>
          <w:color w:val="000000" w:themeColor="text1"/>
          <w14:textFill>
            <w14:solidFill>
              <w14:schemeClr w14:val="tx1"/>
            </w14:solidFill>
          </w14:textFill>
        </w:rPr>
        <w:t>提供</w:t>
      </w:r>
      <w:r>
        <w:rPr>
          <w:rFonts w:hint="eastAsia" w:ascii="仿宋" w:hAnsi="仿宋" w:eastAsia="仿宋" w:cs="宋体"/>
          <w:color w:val="000000" w:themeColor="text1"/>
          <w:lang w:val="en-US" w:eastAsia="zh-CN"/>
          <w14:textFill>
            <w14:solidFill>
              <w14:schemeClr w14:val="tx1"/>
            </w14:solidFill>
          </w14:textFill>
        </w:rPr>
        <w:t>近期服务案例或</w:t>
      </w:r>
      <w:r>
        <w:rPr>
          <w:rFonts w:hint="eastAsia" w:ascii="仿宋" w:hAnsi="仿宋" w:eastAsia="仿宋" w:cs="宋体"/>
          <w:color w:val="000000" w:themeColor="text1"/>
          <w14:textFill>
            <w14:solidFill>
              <w14:schemeClr w14:val="tx1"/>
            </w14:solidFill>
          </w14:textFill>
        </w:rPr>
        <w:t>承诺函，</w:t>
      </w:r>
      <w:r>
        <w:rPr>
          <w:rFonts w:hint="eastAsia" w:ascii="仿宋" w:hAnsi="仿宋" w:eastAsia="仿宋" w:cs="宋体"/>
          <w:color w:val="000000"/>
        </w:rPr>
        <w:t>合同关键页包含但不限于合同首页、合同标的页、签署日期页及盖章页等</w:t>
      </w:r>
      <w:r>
        <w:rPr>
          <w:rFonts w:hint="eastAsia" w:ascii="仿宋" w:hAnsi="仿宋" w:eastAsia="仿宋" w:cs="宋体"/>
          <w:color w:val="000000"/>
          <w:lang w:eastAsia="zh-CN"/>
        </w:rPr>
        <w:t>，</w:t>
      </w:r>
      <w:r>
        <w:rPr>
          <w:rFonts w:hint="eastAsia" w:ascii="仿宋" w:hAnsi="仿宋" w:eastAsia="仿宋" w:cs="宋体"/>
          <w:color w:val="000000" w:themeColor="text1"/>
          <w14:textFill>
            <w14:solidFill>
              <w14:schemeClr w14:val="tx1"/>
            </w14:solidFill>
          </w14:textFill>
        </w:rPr>
        <w:t>格式详见第六章响应文件格式。</w:t>
      </w:r>
    </w:p>
    <w:p>
      <w:pPr>
        <w:spacing w:line="360" w:lineRule="auto"/>
        <w:ind w:firstLine="480" w:firstLineChars="200"/>
        <w:textAlignment w:val="baseline"/>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rPr>
        <w:t>2.4</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具有依法缴纳税收和社会保障资金的良好记录</w:t>
      </w:r>
      <w:r>
        <w:rPr>
          <w:rFonts w:hint="eastAsia" w:ascii="仿宋" w:hAnsi="仿宋" w:eastAsia="仿宋" w:cs="宋体"/>
          <w:b/>
          <w:bCs/>
          <w:color w:val="000000"/>
          <w:lang w:eastAsia="zh-CN"/>
        </w:rPr>
        <w:t>。</w:t>
      </w:r>
      <w:r>
        <w:rPr>
          <w:rFonts w:hint="eastAsia" w:ascii="仿宋" w:hAnsi="仿宋" w:eastAsia="仿宋" w:cs="宋体"/>
          <w:color w:val="000000" w:themeColor="text1"/>
          <w14:textFill>
            <w14:solidFill>
              <w14:schemeClr w14:val="tx1"/>
            </w14:solidFill>
          </w14:textFill>
        </w:rPr>
        <w:t>提供近6个月任意一个月的税收和社会保障资金缴纳凭证或承诺函，格式详见第六章响应文件格式</w:t>
      </w:r>
      <w:r>
        <w:rPr>
          <w:rFonts w:hint="eastAsia" w:ascii="仿宋" w:hAnsi="仿宋" w:eastAsia="仿宋" w:cs="宋体"/>
          <w:color w:val="000000" w:themeColor="text1"/>
          <w:lang w:eastAsia="zh-CN"/>
          <w14:textFill>
            <w14:solidFill>
              <w14:schemeClr w14:val="tx1"/>
            </w14:solidFill>
          </w14:textFill>
        </w:rPr>
        <w:t>。</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供应商应经营状况良好，且近三年内（</w:t>
      </w:r>
      <w:r>
        <w:rPr>
          <w:rFonts w:hint="eastAsia" w:ascii="仿宋" w:hAnsi="仿宋" w:eastAsia="仿宋" w:cs="宋体"/>
          <w:color w:val="000000"/>
        </w:rPr>
        <w:t>20</w:t>
      </w:r>
      <w:r>
        <w:rPr>
          <w:rFonts w:hint="eastAsia" w:ascii="仿宋" w:hAnsi="仿宋" w:eastAsia="仿宋" w:cs="宋体"/>
          <w:color w:val="000000"/>
          <w:lang w:val="en-US" w:eastAsia="zh-CN"/>
        </w:rPr>
        <w:t>23</w:t>
      </w:r>
      <w:r>
        <w:rPr>
          <w:rFonts w:hint="eastAsia" w:ascii="仿宋" w:hAnsi="仿宋" w:eastAsia="仿宋" w:cs="宋体"/>
          <w:color w:val="000000"/>
        </w:rPr>
        <w:t>年1月1日至今</w:t>
      </w:r>
      <w:r>
        <w:rPr>
          <w:rFonts w:hint="eastAsia" w:ascii="仿宋" w:hAnsi="仿宋" w:eastAsia="仿宋" w:cs="宋体"/>
          <w:b/>
          <w:bCs/>
          <w:color w:val="000000"/>
        </w:rPr>
        <w:t>）无违法违规记录。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2.6</w:t>
      </w:r>
      <w:r>
        <w:rPr>
          <w:rFonts w:hint="eastAsia" w:ascii="仿宋" w:hAnsi="仿宋" w:eastAsia="仿宋" w:cs="宋体"/>
          <w:color w:val="000000"/>
          <w:lang w:val="en-US" w:eastAsia="zh-CN"/>
        </w:rPr>
        <w:t xml:space="preserve">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w:t>
      </w:r>
      <w:r>
        <w:rPr>
          <w:rFonts w:hint="eastAsia" w:ascii="仿宋" w:hAnsi="仿宋" w:eastAsia="仿宋" w:cs="宋体"/>
          <w:color w:val="000000"/>
          <w:lang w:val="en-US" w:eastAsia="zh-CN"/>
        </w:rPr>
        <w:t xml:space="preserve"> </w:t>
      </w:r>
      <w:r>
        <w:rPr>
          <w:rFonts w:hint="eastAsia" w:ascii="仿宋" w:hAnsi="仿宋" w:eastAsia="仿宋" w:cs="宋体"/>
          <w:color w:val="000000"/>
        </w:rPr>
        <w:t>单位负责人为同一人或存在控股、管理关系的不同单位，不得参加同一标包谈判响应，需填写《供应商控股及管理关系情况申报表》。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w:t>
      </w:r>
      <w:r>
        <w:rPr>
          <w:rFonts w:hint="eastAsia" w:ascii="仿宋" w:hAnsi="仿宋" w:eastAsia="仿宋" w:cs="宋体"/>
          <w:color w:val="000000"/>
          <w:lang w:val="en-US" w:eastAsia="zh-CN"/>
        </w:rPr>
        <w:t xml:space="preserve"> </w:t>
      </w:r>
      <w:r>
        <w:rPr>
          <w:rFonts w:hint="eastAsia" w:ascii="仿宋" w:hAnsi="仿宋" w:eastAsia="仿宋" w:cs="宋体"/>
          <w:color w:val="000000"/>
        </w:rPr>
        <w:t>本项目不接受联合体谈判响应。提供承诺函，格式详见第六章响应文件格式。</w:t>
      </w:r>
    </w:p>
    <w:p>
      <w:pPr>
        <w:pStyle w:val="3"/>
        <w:spacing w:after="240"/>
        <w:jc w:val="left"/>
        <w:rPr>
          <w:rFonts w:ascii="仿宋" w:hAnsi="仿宋" w:eastAsia="仿宋" w:cs="仿宋"/>
          <w:color w:val="000000"/>
          <w:sz w:val="24"/>
          <w:szCs w:val="24"/>
        </w:rPr>
      </w:pPr>
      <w:bookmarkStart w:id="7" w:name="_Toc31888"/>
      <w:r>
        <w:rPr>
          <w:rFonts w:hint="eastAsia" w:ascii="仿宋" w:hAnsi="仿宋" w:eastAsia="仿宋" w:cs="仿宋"/>
          <w:color w:val="000000"/>
          <w:sz w:val="24"/>
          <w:szCs w:val="24"/>
        </w:rPr>
        <w:t>三、谈判文件的获取</w:t>
      </w:r>
      <w:bookmarkEnd w:id="6"/>
      <w:bookmarkEnd w:id="7"/>
    </w:p>
    <w:p>
      <w:pPr>
        <w:pStyle w:val="65"/>
        <w:adjustRightInd w:val="0"/>
        <w:snapToGrid w:val="0"/>
        <w:ind w:firstLineChars="175"/>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.1谈判文件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7</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8</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b/>
          <w:color w:val="000000" w:themeColor="text1"/>
          <w:sz w:val="24"/>
          <w:szCs w:val="24"/>
          <w14:textFill>
            <w14:solidFill>
              <w14:schemeClr w14:val="tx1"/>
            </w14:solidFill>
          </w14:textFill>
        </w:rPr>
        <w:t>至</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7</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10</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color w:val="000000" w:themeColor="text1"/>
          <w:sz w:val="24"/>
          <w:szCs w:val="24"/>
          <w14:textFill>
            <w14:solidFill>
              <w14:schemeClr w14:val="tx1"/>
            </w14:solidFill>
          </w14:textFill>
        </w:rPr>
        <w:t>上午</w:t>
      </w:r>
      <w:r>
        <w:rPr>
          <w:rFonts w:hint="eastAsia" w:ascii="仿宋" w:hAnsi="仿宋" w:eastAsia="仿宋" w:cs="宋体"/>
          <w:color w:val="000000" w:themeColor="text1"/>
          <w:sz w:val="24"/>
          <w:szCs w:val="24"/>
          <w:lang w:val="en-US" w:eastAsia="zh-CN"/>
          <w14:textFill>
            <w14:solidFill>
              <w14:schemeClr w14:val="tx1"/>
            </w14:solidFill>
          </w14:textFill>
        </w:rPr>
        <w:t>9</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12</w:t>
      </w:r>
      <w:r>
        <w:rPr>
          <w:rFonts w:hint="eastAsia" w:ascii="仿宋" w:hAnsi="仿宋" w:eastAsia="仿宋" w:cs="宋体"/>
          <w:color w:val="000000" w:themeColor="text1"/>
          <w:sz w:val="24"/>
          <w:szCs w:val="24"/>
          <w14:textFill>
            <w14:solidFill>
              <w14:schemeClr w14:val="tx1"/>
            </w14:solidFill>
          </w14:textFill>
        </w:rPr>
        <w:t>时，下午</w:t>
      </w:r>
      <w:r>
        <w:rPr>
          <w:rFonts w:hint="eastAsia" w:ascii="仿宋" w:hAnsi="仿宋" w:eastAsia="仿宋" w:cs="宋体"/>
          <w:color w:val="000000" w:themeColor="text1"/>
          <w:sz w:val="24"/>
          <w:szCs w:val="24"/>
          <w:lang w:val="en-US" w:eastAsia="zh-CN"/>
          <w14:textFill>
            <w14:solidFill>
              <w14:schemeClr w14:val="tx1"/>
            </w14:solidFill>
          </w14:textFill>
        </w:rPr>
        <w:t>13</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17</w:t>
      </w:r>
      <w:r>
        <w:rPr>
          <w:rFonts w:hint="eastAsia" w:ascii="仿宋" w:hAnsi="仿宋" w:eastAsia="仿宋" w:cs="宋体"/>
          <w:color w:val="000000" w:themeColor="text1"/>
          <w:sz w:val="24"/>
          <w:szCs w:val="24"/>
          <w14:textFill>
            <w14:solidFill>
              <w14:schemeClr w14:val="tx1"/>
            </w14:solidFill>
          </w14:textFill>
        </w:rPr>
        <w:t>时（北京时间，下同）。</w:t>
      </w:r>
    </w:p>
    <w:p>
      <w:pPr>
        <w:pStyle w:val="10"/>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.2拟报名参加本项目的供应商，请通过“人保e采”外网门户获取谈判文件</w:t>
      </w:r>
      <w:r>
        <w:rPr>
          <w:rFonts w:hint="eastAsia" w:ascii="仿宋" w:hAnsi="仿宋" w:eastAsia="仿宋" w:cs="仿宋_GB2312"/>
          <w:color w:val="000000" w:themeColor="text1"/>
          <w:sz w:val="24"/>
          <w:szCs w:val="24"/>
          <w14:textFill>
            <w14:solidFill>
              <w14:schemeClr w14:val="tx1"/>
            </w14:solidFill>
          </w14:textFill>
        </w:rPr>
        <w:t>。</w:t>
      </w:r>
    </w:p>
    <w:p>
      <w:pPr>
        <w:pStyle w:val="3"/>
        <w:jc w:val="left"/>
        <w:rPr>
          <w:rFonts w:ascii="仿宋" w:hAnsi="仿宋" w:eastAsia="仿宋" w:cs="仿宋"/>
          <w:color w:val="000000"/>
          <w:sz w:val="24"/>
          <w:szCs w:val="24"/>
        </w:rPr>
      </w:pPr>
      <w:bookmarkStart w:id="8" w:name="_Toc18516"/>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color w:val="000000" w:themeColor="text1"/>
          <w:u w:val="single"/>
          <w14:textFill>
            <w14:solidFill>
              <w14:schemeClr w14:val="tx1"/>
            </w14:solidFill>
          </w14:textFill>
        </w:rPr>
        <w:t>20</w:t>
      </w:r>
      <w:r>
        <w:rPr>
          <w:rFonts w:hint="eastAsia" w:ascii="仿宋" w:hAnsi="仿宋" w:eastAsia="仿宋" w:cs="宋体"/>
          <w:color w:val="000000" w:themeColor="text1"/>
          <w:u w:val="single"/>
          <w:lang w:val="en-US" w:eastAsia="zh-CN"/>
          <w14:textFill>
            <w14:solidFill>
              <w14:schemeClr w14:val="tx1"/>
            </w14:solidFill>
          </w14:textFill>
        </w:rPr>
        <w:t>26</w:t>
      </w:r>
      <w:r>
        <w:rPr>
          <w:rFonts w:hint="eastAsia" w:ascii="仿宋" w:hAnsi="仿宋" w:eastAsia="仿宋" w:cs="宋体"/>
          <w:color w:val="000000" w:themeColor="text1"/>
          <w:u w:val="single"/>
          <w14:textFill>
            <w14:solidFill>
              <w14:schemeClr w14:val="tx1"/>
            </w14:solidFill>
          </w14:textFill>
        </w:rPr>
        <w:t>年</w:t>
      </w:r>
      <w:r>
        <w:rPr>
          <w:rFonts w:hint="eastAsia" w:ascii="仿宋" w:hAnsi="仿宋" w:eastAsia="仿宋" w:cs="宋体"/>
          <w:color w:val="000000" w:themeColor="text1"/>
          <w:u w:val="single"/>
          <w:lang w:val="en-US" w:eastAsia="zh-CN"/>
          <w14:textFill>
            <w14:solidFill>
              <w14:schemeClr w14:val="tx1"/>
            </w14:solidFill>
          </w14:textFill>
        </w:rPr>
        <w:t>7</w:t>
      </w:r>
      <w:r>
        <w:rPr>
          <w:rFonts w:hint="eastAsia" w:ascii="仿宋" w:hAnsi="仿宋" w:eastAsia="仿宋" w:cs="宋体"/>
          <w:color w:val="000000" w:themeColor="text1"/>
          <w:u w:val="single"/>
          <w14:textFill>
            <w14:solidFill>
              <w14:schemeClr w14:val="tx1"/>
            </w14:solidFill>
          </w14:textFill>
        </w:rPr>
        <w:t>月</w:t>
      </w:r>
      <w:r>
        <w:rPr>
          <w:rFonts w:hint="eastAsia" w:ascii="仿宋" w:hAnsi="仿宋" w:eastAsia="仿宋" w:cs="宋体"/>
          <w:color w:val="000000" w:themeColor="text1"/>
          <w:u w:val="single"/>
          <w:lang w:val="en-US" w:eastAsia="zh-CN"/>
          <w14:textFill>
            <w14:solidFill>
              <w14:schemeClr w14:val="tx1"/>
            </w14:solidFill>
          </w14:textFill>
        </w:rPr>
        <w:t>16</w:t>
      </w:r>
      <w:r>
        <w:rPr>
          <w:rFonts w:hint="eastAsia" w:ascii="仿宋" w:hAnsi="仿宋" w:eastAsia="仿宋" w:cs="宋体"/>
          <w:color w:val="000000" w:themeColor="text1"/>
          <w:u w:val="single"/>
          <w14:textFill>
            <w14:solidFill>
              <w14:schemeClr w14:val="tx1"/>
            </w14:solidFill>
          </w14:textFill>
        </w:rPr>
        <w:t>日</w:t>
      </w:r>
      <w:r>
        <w:rPr>
          <w:rFonts w:hint="eastAsia" w:ascii="仿宋" w:hAnsi="仿宋" w:eastAsia="仿宋" w:cs="宋体"/>
          <w:color w:val="000000" w:themeColor="text1"/>
          <w:u w:val="single"/>
          <w:lang w:val="en-US" w:eastAsia="zh-CN"/>
          <w14:textFill>
            <w14:solidFill>
              <w14:schemeClr w14:val="tx1"/>
            </w14:solidFill>
          </w14:textFill>
        </w:rPr>
        <w:t>9</w:t>
      </w:r>
      <w:r>
        <w:rPr>
          <w:rFonts w:hint="eastAsia" w:ascii="仿宋" w:hAnsi="仿宋" w:eastAsia="仿宋" w:cs="宋体"/>
          <w:color w:val="000000" w:themeColor="text1"/>
          <w:u w:val="single"/>
          <w14:textFill>
            <w14:solidFill>
              <w14:schemeClr w14:val="tx1"/>
            </w14:solidFill>
          </w14:textFill>
        </w:rPr>
        <w:t>时</w:t>
      </w:r>
      <w:r>
        <w:rPr>
          <w:rFonts w:hint="eastAsia" w:ascii="仿宋" w:hAnsi="仿宋" w:eastAsia="仿宋" w:cs="宋体"/>
          <w:color w:val="000000" w:themeColor="text1"/>
          <w:u w:val="single"/>
          <w:lang w:val="en-US" w:eastAsia="zh-CN"/>
          <w14:textFill>
            <w14:solidFill>
              <w14:schemeClr w14:val="tx1"/>
            </w14:solidFill>
          </w14:textFill>
        </w:rPr>
        <w:t>00</w:t>
      </w:r>
      <w:r>
        <w:rPr>
          <w:rFonts w:hint="eastAsia" w:ascii="仿宋" w:hAnsi="仿宋" w:eastAsia="仿宋" w:cs="宋体"/>
          <w:color w:val="000000" w:themeColor="text1"/>
          <w:u w:val="single"/>
          <w14:textFill>
            <w14:solidFill>
              <w14:schemeClr w14:val="tx1"/>
            </w14:solidFill>
          </w14:textFill>
        </w:rPr>
        <w:t>分00秒</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w:t>
      </w:r>
      <w:r>
        <w:rPr>
          <w:rFonts w:hint="eastAsia" w:ascii="仿宋" w:hAnsi="仿宋" w:eastAsia="仿宋" w:cs="宋体"/>
          <w:color w:val="000000" w:themeColor="text1"/>
          <w:kern w:val="2"/>
          <w14:textFill>
            <w14:solidFill>
              <w14:schemeClr w14:val="tx1"/>
            </w14:solidFill>
          </w14:textFill>
        </w:rPr>
        <w:t>现场递交或邮寄至</w:t>
      </w:r>
      <w:r>
        <w:rPr>
          <w:rFonts w:hint="eastAsia" w:ascii="仿宋" w:hAnsi="仿宋" w:eastAsia="仿宋" w:cs="宋体"/>
          <w:color w:val="000000" w:themeColor="text1"/>
          <w:kern w:val="2"/>
          <w:lang w:val="en-US" w:eastAsia="zh-CN"/>
          <w14:textFill>
            <w14:solidFill>
              <w14:schemeClr w14:val="tx1"/>
            </w14:solidFill>
          </w14:textFill>
        </w:rPr>
        <w:t>达州市通川区滩头街2号</w:t>
      </w:r>
      <w:r>
        <w:rPr>
          <w:rFonts w:hint="eastAsia" w:ascii="仿宋_GB2312" w:hAnsi="宋体" w:eastAsia="仿宋_GB2312"/>
          <w:color w:val="000000" w:themeColor="text1"/>
          <w:lang w:val="en-US" w:eastAsia="zh-CN"/>
          <w14:textFill>
            <w14:solidFill>
              <w14:schemeClr w14:val="tx1"/>
            </w14:solidFill>
          </w14:textFill>
        </w:rPr>
        <w:t>，</w:t>
      </w:r>
      <w:r>
        <w:rPr>
          <w:rFonts w:hint="eastAsia" w:ascii="仿宋" w:hAnsi="仿宋" w:eastAsia="仿宋" w:cs="宋体"/>
          <w:b/>
          <w:bCs/>
          <w:color w:val="000000" w:themeColor="text1"/>
          <w14:textFill>
            <w14:solidFill>
              <w14:schemeClr w14:val="tx1"/>
            </w14:solidFill>
          </w14:textFill>
        </w:rPr>
        <w:t>逾期送达或者未送达指定地点或者未按照谈判文件要求封装的纸质响应文件不予接收。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.3本项目将于上述同一时间、地点进行谈判，采购人邀请供应商代表准时参加。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未按照谈判公告要求获取谈判文件的。</w:t>
      </w:r>
    </w:p>
    <w:p>
      <w:pPr>
        <w:pStyle w:val="3"/>
        <w:jc w:val="left"/>
        <w:rPr>
          <w:rFonts w:ascii="仿宋" w:hAnsi="仿宋" w:eastAsia="仿宋" w:cs="仿宋"/>
          <w:color w:val="000000"/>
          <w:sz w:val="24"/>
          <w:szCs w:val="24"/>
        </w:rPr>
      </w:pPr>
      <w:bookmarkStart w:id="10" w:name="_Toc15101"/>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本项目谈判公告同时在</w:t>
      </w:r>
      <w:r>
        <w:rPr>
          <w:rFonts w:hint="eastAsia" w:ascii="仿宋" w:hAnsi="仿宋" w:eastAsia="仿宋" w:cs="宋体"/>
          <w:color w:val="000000" w:themeColor="text1"/>
          <w:u w:val="single"/>
          <w14:textFill>
            <w14:solidFill>
              <w14:schemeClr w14:val="tx1"/>
            </w14:solidFill>
          </w14:textFill>
        </w:rPr>
        <w:t>“人保e采”外网门户（https://ec.picc.com/）、金采网www.cfcpn.com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pPr>
        <w:pStyle w:val="3"/>
        <w:jc w:val="left"/>
        <w:rPr>
          <w:rFonts w:ascii="仿宋" w:hAnsi="仿宋" w:eastAsia="仿宋" w:cs="仿宋"/>
          <w:color w:val="000000"/>
          <w:sz w:val="24"/>
          <w:szCs w:val="24"/>
        </w:rPr>
      </w:pPr>
      <w:bookmarkStart w:id="12" w:name="_Toc30596"/>
      <w:bookmarkStart w:id="13" w:name="_Toc3923"/>
      <w:r>
        <w:rPr>
          <w:rFonts w:hint="eastAsia" w:ascii="仿宋" w:hAnsi="仿宋" w:eastAsia="仿宋" w:cs="仿宋"/>
          <w:color w:val="000000"/>
          <w:sz w:val="24"/>
          <w:szCs w:val="24"/>
        </w:rPr>
        <w:t>六、联系方式</w:t>
      </w:r>
      <w:bookmarkEnd w:id="12"/>
      <w:bookmarkEnd w:id="13"/>
    </w:p>
    <w:p>
      <w:pPr>
        <w:spacing w:line="360" w:lineRule="auto"/>
        <w:ind w:firstLine="480" w:firstLineChars="200"/>
        <w:textAlignment w:val="baseline"/>
        <w:rPr>
          <w:rFonts w:hint="eastAsia" w:ascii="仿宋" w:hAnsi="仿宋" w:eastAsia="仿宋" w:cs="宋体"/>
        </w:rPr>
      </w:pPr>
      <w:r>
        <w:rPr>
          <w:rFonts w:hint="eastAsia" w:ascii="仿宋" w:hAnsi="仿宋" w:eastAsia="仿宋" w:cs="宋体"/>
        </w:rPr>
        <w:t>采购人：中国人民财产保险股份有限公司</w:t>
      </w:r>
      <w:r>
        <w:rPr>
          <w:rFonts w:hint="eastAsia" w:ascii="仿宋" w:hAnsi="仿宋" w:eastAsia="仿宋" w:cs="宋体"/>
          <w:lang w:val="en-US" w:eastAsia="zh-CN"/>
        </w:rPr>
        <w:t>达州市</w:t>
      </w:r>
      <w:r>
        <w:rPr>
          <w:rFonts w:hint="eastAsia" w:ascii="仿宋" w:hAnsi="仿宋" w:eastAsia="仿宋" w:cs="宋体"/>
        </w:rPr>
        <w:t>分公司</w:t>
      </w:r>
    </w:p>
    <w:p>
      <w:pPr>
        <w:spacing w:line="360" w:lineRule="auto"/>
        <w:ind w:firstLine="480" w:firstLineChars="200"/>
        <w:textAlignment w:val="baseline"/>
        <w:rPr>
          <w:rFonts w:hint="eastAsia" w:ascii="仿宋" w:hAnsi="仿宋" w:eastAsia="仿宋" w:cs="宋体"/>
          <w:lang w:val="en-US" w:eastAsia="zh-CN"/>
        </w:rPr>
      </w:pPr>
      <w:r>
        <w:rPr>
          <w:rFonts w:hint="eastAsia" w:ascii="仿宋" w:hAnsi="仿宋" w:eastAsia="仿宋" w:cs="宋体"/>
        </w:rPr>
        <w:t>地址：</w:t>
      </w:r>
      <w:r>
        <w:rPr>
          <w:rFonts w:hint="eastAsia" w:ascii="仿宋" w:hAnsi="仿宋" w:eastAsia="仿宋" w:cs="宋体"/>
          <w:lang w:val="en-US" w:eastAsia="zh-CN"/>
        </w:rPr>
        <w:t>达州市通川区滩头街2号</w:t>
      </w:r>
    </w:p>
    <w:p>
      <w:pPr>
        <w:spacing w:line="360" w:lineRule="auto"/>
        <w:ind w:firstLine="480" w:firstLineChars="200"/>
        <w:textAlignment w:val="baseline"/>
        <w:rPr>
          <w:rFonts w:hint="eastAsia" w:ascii="仿宋" w:hAnsi="仿宋" w:eastAsia="仿宋" w:cs="宋体"/>
          <w:lang w:val="en-US" w:eastAsia="zh-CN"/>
        </w:rPr>
      </w:pPr>
      <w:r>
        <w:rPr>
          <w:rFonts w:hint="eastAsia" w:ascii="仿宋" w:hAnsi="仿宋" w:eastAsia="仿宋" w:cs="宋体"/>
        </w:rPr>
        <w:t>联系人：</w:t>
      </w:r>
      <w:r>
        <w:rPr>
          <w:rFonts w:hint="eastAsia" w:ascii="仿宋" w:hAnsi="仿宋" w:eastAsia="仿宋" w:cs="宋体"/>
          <w:lang w:val="en-US" w:eastAsia="zh-CN"/>
        </w:rPr>
        <w:t>付耀云</w:t>
      </w:r>
    </w:p>
    <w:p>
      <w:pPr>
        <w:spacing w:line="360" w:lineRule="auto"/>
        <w:ind w:firstLine="480" w:firstLineChars="200"/>
        <w:textAlignment w:val="baseline"/>
        <w:rPr>
          <w:rFonts w:hint="eastAsia" w:ascii="仿宋" w:hAnsi="仿宋" w:eastAsia="仿宋" w:cs="宋体"/>
        </w:rPr>
      </w:pPr>
      <w:r>
        <w:rPr>
          <w:rFonts w:hint="eastAsia" w:ascii="仿宋" w:hAnsi="仿宋" w:eastAsia="仿宋" w:cs="宋体"/>
        </w:rPr>
        <w:t>电话：18781888675</w:t>
      </w:r>
      <w:bookmarkStart w:id="215" w:name="_GoBack"/>
      <w:bookmarkEnd w:id="215"/>
    </w:p>
    <w:p>
      <w:pPr>
        <w:spacing w:line="360" w:lineRule="auto"/>
        <w:ind w:firstLine="480" w:firstLineChars="200"/>
        <w:textAlignment w:val="baseline"/>
        <w:rPr>
          <w:rFonts w:hint="eastAsia" w:ascii="仿宋" w:hAnsi="仿宋" w:eastAsia="仿宋" w:cs="宋体"/>
        </w:rPr>
      </w:pPr>
      <w:r>
        <w:rPr>
          <w:rFonts w:hint="eastAsia" w:ascii="仿宋" w:hAnsi="仿宋" w:eastAsia="仿宋" w:cs="宋体"/>
        </w:rPr>
        <w:t>电子邮件：</w:t>
      </w:r>
      <w:r>
        <w:rPr>
          <w:rFonts w:hint="eastAsia" w:ascii="仿宋" w:hAnsi="仿宋" w:eastAsia="仿宋" w:cs="宋体"/>
        </w:rPr>
        <w:fldChar w:fldCharType="begin"/>
      </w:r>
      <w:r>
        <w:rPr>
          <w:rFonts w:hint="eastAsia" w:ascii="仿宋" w:hAnsi="仿宋" w:eastAsia="仿宋" w:cs="宋体"/>
        </w:rPr>
        <w:instrText xml:space="preserve"> HYPERLINK "mailto:fuyaoyun@sic.picc.com.cn" </w:instrText>
      </w:r>
      <w:r>
        <w:rPr>
          <w:rFonts w:hint="eastAsia" w:ascii="仿宋" w:hAnsi="仿宋" w:eastAsia="仿宋" w:cs="宋体"/>
        </w:rPr>
        <w:fldChar w:fldCharType="separate"/>
      </w:r>
      <w:r>
        <w:rPr>
          <w:rStyle w:val="33"/>
          <w:rFonts w:hint="eastAsia" w:ascii="仿宋" w:hAnsi="仿宋" w:eastAsia="仿宋" w:cs="宋体"/>
        </w:rPr>
        <w:t>fuyaoyun@sic.picc.com.cn</w:t>
      </w:r>
      <w:r>
        <w:rPr>
          <w:rFonts w:hint="eastAsia" w:ascii="仿宋" w:hAnsi="仿宋" w:eastAsia="仿宋" w:cs="宋体"/>
        </w:rPr>
        <w:fldChar w:fldCharType="end"/>
      </w:r>
    </w:p>
    <w:p>
      <w:pPr>
        <w:pStyle w:val="12"/>
        <w:rPr>
          <w:rFonts w:hint="eastAsia"/>
        </w:rPr>
      </w:pPr>
    </w:p>
    <w:p>
      <w:pPr>
        <w:spacing w:line="360" w:lineRule="auto"/>
        <w:jc w:val="right"/>
        <w:textAlignment w:val="baseline"/>
        <w:rPr>
          <w:rFonts w:hint="eastAsia" w:ascii="仿宋" w:hAnsi="仿宋" w:eastAsia="仿宋" w:cs="宋体"/>
        </w:rPr>
      </w:pPr>
      <w:r>
        <w:rPr>
          <w:rFonts w:hint="eastAsia" w:ascii="仿宋" w:hAnsi="仿宋" w:eastAsia="仿宋" w:cs="宋体"/>
        </w:rPr>
        <w:t>中国人民财产保险股份有限公司</w:t>
      </w:r>
      <w:r>
        <w:rPr>
          <w:rFonts w:hint="eastAsia" w:ascii="仿宋" w:hAnsi="仿宋" w:eastAsia="仿宋" w:cs="宋体"/>
          <w:lang w:val="en-US" w:eastAsia="zh-CN"/>
        </w:rPr>
        <w:t>达州市</w:t>
      </w:r>
      <w:r>
        <w:rPr>
          <w:rFonts w:hint="eastAsia" w:ascii="仿宋" w:hAnsi="仿宋" w:eastAsia="仿宋" w:cs="宋体"/>
        </w:rPr>
        <w:t>分公司</w:t>
      </w:r>
    </w:p>
    <w:p>
      <w:pPr>
        <w:spacing w:line="360" w:lineRule="auto"/>
        <w:ind w:firstLine="480" w:firstLineChars="200"/>
        <w:jc w:val="right"/>
        <w:textAlignment w:val="baseline"/>
        <w:rPr>
          <w:rFonts w:hint="eastAsia" w:ascii="仿宋" w:hAnsi="仿宋" w:eastAsia="仿宋" w:cs="宋体"/>
        </w:rPr>
      </w:pPr>
      <w:r>
        <w:rPr>
          <w:rFonts w:hint="eastAsia" w:ascii="仿宋" w:hAnsi="仿宋" w:eastAsia="仿宋" w:cs="宋体"/>
        </w:rPr>
        <w:t>202</w:t>
      </w:r>
      <w:r>
        <w:rPr>
          <w:rFonts w:hint="eastAsia" w:ascii="仿宋" w:hAnsi="仿宋" w:eastAsia="仿宋" w:cs="宋体"/>
          <w:lang w:val="en-US" w:eastAsia="zh-CN"/>
        </w:rPr>
        <w:t>6</w:t>
      </w:r>
      <w:r>
        <w:rPr>
          <w:rFonts w:hint="eastAsia" w:ascii="仿宋" w:hAnsi="仿宋" w:eastAsia="仿宋" w:cs="宋体"/>
        </w:rPr>
        <w:t>年</w:t>
      </w:r>
      <w:r>
        <w:rPr>
          <w:rFonts w:hint="eastAsia" w:ascii="仿宋" w:hAnsi="仿宋" w:eastAsia="仿宋" w:cs="宋体"/>
          <w:lang w:val="en-US" w:eastAsia="zh-CN"/>
        </w:rPr>
        <w:t>7</w:t>
      </w:r>
      <w:r>
        <w:rPr>
          <w:rFonts w:hint="eastAsia" w:ascii="仿宋" w:hAnsi="仿宋" w:eastAsia="仿宋" w:cs="宋体"/>
        </w:rPr>
        <w:t>月</w:t>
      </w:r>
      <w:r>
        <w:rPr>
          <w:rFonts w:hint="eastAsia" w:ascii="仿宋" w:hAnsi="仿宋" w:eastAsia="仿宋" w:cs="宋体"/>
          <w:lang w:val="en-US" w:eastAsia="zh-CN"/>
        </w:rPr>
        <w:t>7</w:t>
      </w:r>
      <w:r>
        <w:rPr>
          <w:rFonts w:hint="eastAsia" w:ascii="仿宋" w:hAnsi="仿宋" w:eastAsia="仿宋" w:cs="宋体"/>
        </w:rPr>
        <w:t>日</w:t>
      </w:r>
    </w:p>
    <w:p>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7109"/>
      <w:bookmarkStart w:id="15" w:name="_Toc16027"/>
      <w:r>
        <w:rPr>
          <w:rFonts w:hint="eastAsia" w:ascii="仿宋_GB2312" w:hAnsi="宋体" w:eastAsia="仿宋_GB2312"/>
          <w:color w:val="auto"/>
          <w:sz w:val="28"/>
          <w:szCs w:val="28"/>
        </w:rPr>
        <w:t>第二章 供应商须知</w:t>
      </w:r>
      <w:bookmarkEnd w:id="14"/>
      <w:bookmarkEnd w:id="15"/>
    </w:p>
    <w:p>
      <w:pPr>
        <w:pStyle w:val="3"/>
        <w:adjustRightInd w:val="0"/>
        <w:snapToGrid w:val="0"/>
        <w:spacing w:before="0" w:after="0"/>
        <w:rPr>
          <w:sz w:val="24"/>
          <w:szCs w:val="24"/>
        </w:rPr>
      </w:pPr>
      <w:bookmarkStart w:id="16" w:name="_Toc13939"/>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★谈判文件实质性要求的标识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谈判文件中标识“★”条款、注明“谈判响应将被否决”、“对其响应做否决处理”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6"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hint="eastAsia" w:ascii="仿宋" w:hAnsi="仿宋" w:eastAsia="仿宋"/>
                <w:color w:val="000000"/>
              </w:rPr>
            </w:pPr>
            <w:r>
              <w:rPr>
                <w:rFonts w:hint="eastAsia" w:ascii="仿宋" w:hAnsi="仿宋" w:eastAsia="仿宋"/>
                <w:color w:val="000000"/>
              </w:rPr>
              <w:t>（八）供应商廉洁诚信承诺书</w:t>
            </w:r>
          </w:p>
          <w:p>
            <w:pPr>
              <w:pStyle w:val="61"/>
              <w:spacing w:before="62" w:beforeLines="20" w:after="62" w:afterLines="20"/>
              <w:rPr>
                <w:rFonts w:hint="eastAsia" w:ascii="仿宋" w:hAnsi="仿宋" w:eastAsia="仿宋"/>
                <w:color w:val="000000"/>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hint="eastAsia" w:ascii="仿宋" w:hAnsi="仿宋" w:eastAsia="仿宋" w:cs="仿宋"/>
                <w:color w:val="000000"/>
                <w:sz w:val="21"/>
                <w:szCs w:val="21"/>
                <w:lang w:val="en-US" w:eastAsia="zh-CN" w:bidi="ar-SA"/>
              </w:rPr>
            </w:pPr>
            <w:r>
              <w:rPr>
                <w:rFonts w:hint="eastAsia" w:ascii="仿宋" w:hAnsi="仿宋" w:eastAsia="仿宋" w:cs="仿宋"/>
                <w:bCs/>
                <w:color w:val="000000"/>
                <w:szCs w:val="21"/>
              </w:rPr>
              <w:t>（</w:t>
            </w:r>
            <w:r>
              <w:rPr>
                <w:rFonts w:hint="eastAsia" w:ascii="仿宋" w:hAnsi="仿宋" w:eastAsia="仿宋" w:cs="仿宋"/>
                <w:color w:val="000000"/>
                <w:sz w:val="21"/>
                <w:szCs w:val="21"/>
                <w:lang w:val="en-US" w:eastAsia="zh-CN" w:bidi="ar-SA"/>
              </w:rPr>
              <w:t>一）采购需求应答偏离表</w:t>
            </w:r>
          </w:p>
          <w:p>
            <w:pPr>
              <w:pStyle w:val="61"/>
              <w:spacing w:before="62" w:beforeLines="20" w:after="62" w:afterLines="20"/>
              <w:rPr>
                <w:rFonts w:hint="eastAsia" w:ascii="仿宋" w:hAnsi="仿宋" w:eastAsia="仿宋" w:cs="仿宋"/>
                <w:color w:val="000000"/>
                <w:lang w:eastAsia="zh-CN"/>
              </w:rPr>
            </w:pPr>
            <w:r>
              <w:rPr>
                <w:rFonts w:hint="eastAsia" w:ascii="仿宋" w:hAnsi="仿宋" w:eastAsia="仿宋" w:cs="仿宋"/>
                <w:color w:val="000000"/>
              </w:rPr>
              <w:t>（二）技术方案</w:t>
            </w:r>
            <w:r>
              <w:rPr>
                <w:rFonts w:hint="eastAsia" w:ascii="仿宋" w:hAnsi="仿宋" w:eastAsia="仿宋" w:cs="仿宋"/>
                <w:color w:val="000000"/>
                <w:lang w:eastAsia="zh-CN"/>
              </w:rPr>
              <w:t>（</w:t>
            </w:r>
            <w:r>
              <w:rPr>
                <w:rFonts w:hint="eastAsia" w:ascii="仿宋" w:hAnsi="仿宋" w:eastAsia="仿宋" w:cs="仿宋"/>
                <w:color w:val="000000"/>
                <w:lang w:val="en-US" w:eastAsia="zh-CN"/>
              </w:rPr>
              <w:t>如有</w:t>
            </w:r>
            <w:r>
              <w:rPr>
                <w:rFonts w:hint="eastAsia" w:ascii="仿宋" w:hAnsi="仿宋" w:eastAsia="仿宋" w:cs="仿宋"/>
                <w:color w:val="000000"/>
                <w:lang w:eastAsia="zh-CN"/>
              </w:rPr>
              <w:t>）</w:t>
            </w:r>
          </w:p>
          <w:p>
            <w:pPr>
              <w:pStyle w:val="61"/>
              <w:spacing w:before="62" w:beforeLines="20" w:after="62" w:afterLines="20"/>
              <w:rPr>
                <w:rFonts w:hint="eastAsia"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hint="eastAsia" w:ascii="仿宋" w:hAnsi="仿宋" w:eastAsia="仿宋" w:cs="仿宋"/>
                <w:color w:val="000000"/>
              </w:rPr>
            </w:pPr>
            <w:r>
              <w:rPr>
                <w:rFonts w:hint="eastAsia" w:ascii="仿宋" w:hAnsi="仿宋" w:eastAsia="仿宋" w:cs="仿宋"/>
                <w:color w:val="000000"/>
              </w:rPr>
              <w:t>（二）分项报价表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w:t>
            </w:r>
            <w:r>
              <w:rPr>
                <w:rFonts w:hint="eastAsia" w:ascii="仿宋" w:hAnsi="仿宋" w:eastAsia="仿宋" w:cs="仿宋"/>
                <w:color w:val="000000"/>
                <w:lang w:val="en-US" w:eastAsia="zh-CN"/>
              </w:rPr>
              <w:t>三</w:t>
            </w:r>
            <w:r>
              <w:rPr>
                <w:rFonts w:hint="eastAsia" w:ascii="仿宋" w:hAnsi="仿宋" w:eastAsia="仿宋" w:cs="仿宋"/>
                <w:color w:val="000000"/>
              </w:rPr>
              <w:t>）</w:t>
            </w:r>
            <w:r>
              <w:rPr>
                <w:rFonts w:hint="eastAsia" w:ascii="仿宋" w:hAnsi="仿宋" w:eastAsia="仿宋" w:cs="仿宋"/>
                <w:color w:val="000000"/>
                <w:lang w:val="en-US" w:eastAsia="zh-CN"/>
              </w:rPr>
              <w:t>最终报价确认函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谈判响应有效期：</w:t>
            </w:r>
            <w:r>
              <w:rPr>
                <w:rFonts w:hint="eastAsia" w:ascii="仿宋" w:hAnsi="仿宋" w:eastAsia="仿宋"/>
                <w:color w:val="000000"/>
                <w:u w:val="single"/>
                <w:lang w:val="en-US" w:eastAsia="zh-CN"/>
              </w:rPr>
              <w:t>90天</w:t>
            </w:r>
            <w:r>
              <w:rPr>
                <w:rFonts w:hint="eastAsia" w:ascii="仿宋" w:hAnsi="仿宋" w:eastAsia="仿宋"/>
                <w:color w:val="000000"/>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hint="eastAsia" w:ascii="仿宋" w:hAnsi="仿宋" w:eastAsia="仿宋"/>
                <w:color w:val="000000"/>
                <w:sz w:val="21"/>
                <w:szCs w:val="21"/>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000000"/>
                <w:sz w:val="21"/>
                <w:szCs w:val="21"/>
                <w:lang w:val="en-US" w:eastAsia="zh-CN"/>
              </w:rPr>
              <w:t>加盖鲜章PDF</w:t>
            </w: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 w:hAnsi="仿宋" w:eastAsia="仿宋"/>
                <w:color w:val="000000"/>
                <w:sz w:val="21"/>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2）谈判小组将视谈判情况决定是否进行多轮次报价，供应商</w:t>
            </w:r>
            <w:r>
              <w:rPr>
                <w:rFonts w:hint="eastAsia" w:ascii="仿宋" w:hAnsi="仿宋" w:eastAsia="仿宋" w:cs="仿宋"/>
                <w:color w:val="000000"/>
                <w:u w:val="single"/>
                <w:lang w:eastAsia="zh-CN"/>
              </w:rPr>
              <w:t>最后一轮谈判提交的报价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组建谈判小组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本项目谈判小组成员人数为</w:t>
            </w:r>
            <w:r>
              <w:rPr>
                <w:rFonts w:hint="eastAsia" w:ascii="仿宋" w:hAnsi="仿宋" w:eastAsia="仿宋" w:cs="仿宋"/>
                <w:color w:val="000000"/>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谈判程序及方式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（1）谈判小组将与通过初步评审的有效供应商按照</w:t>
            </w:r>
            <w:r>
              <w:rPr>
                <w:rFonts w:hint="eastAsia" w:ascii="仿宋" w:hAnsi="仿宋" w:eastAsia="仿宋" w:cs="仿宋"/>
                <w:color w:val="000000"/>
                <w:sz w:val="22"/>
                <w:szCs w:val="22"/>
                <w:u w:val="single"/>
              </w:rPr>
              <w:t>供应商随机抽取顺序</w:t>
            </w:r>
            <w:r>
              <w:rPr>
                <w:rFonts w:hint="eastAsia" w:ascii="仿宋" w:hAnsi="仿宋" w:eastAsia="仿宋" w:cs="仿宋"/>
                <w:color w:val="000000"/>
                <w:sz w:val="22"/>
                <w:szCs w:val="22"/>
              </w:rPr>
              <w:t>逐一进行谈判，供应商至少应派法定代表人或其授权委托人准时参会。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谈判内容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报价、对采购需求的理解、产品配置/技术方案、实施方案、人员配置、服务承诺、商务条款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谈判小组从质量和服务均能满足采购文件实质性响应要求的供应商中，</w:t>
            </w:r>
            <w:r>
              <w:rPr>
                <w:rFonts w:hint="eastAsia" w:ascii="仿宋" w:hAnsi="仿宋" w:eastAsia="仿宋" w:cs="仿宋"/>
                <w:color w:val="000000" w:themeColor="text1"/>
                <w:sz w:val="22"/>
                <w:lang w:val="en-US" w:eastAsia="zh-CN"/>
                <w14:textFill>
                  <w14:solidFill>
                    <w14:schemeClr w14:val="tx1"/>
                  </w14:solidFill>
                </w14:textFill>
              </w:rPr>
              <w:t>每个标包</w:t>
            </w:r>
            <w:r>
              <w:rPr>
                <w:rFonts w:hint="eastAsia" w:ascii="仿宋" w:hAnsi="仿宋" w:eastAsia="仿宋" w:cs="仿宋"/>
                <w:color w:val="000000" w:themeColor="text1"/>
                <w:sz w:val="22"/>
                <w14:textFill>
                  <w14:solidFill>
                    <w14:schemeClr w14:val="tx1"/>
                  </w14:solidFill>
                </w14:textFill>
              </w:rPr>
              <w:t>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lang w:val="en-US" w:eastAsia="zh-CN"/>
                <w14:textFill>
                  <w14:solidFill>
                    <w14:schemeClr w14:val="tx1"/>
                  </w14:solidFill>
                </w14:textFill>
              </w:rPr>
              <w:t>单个标包</w:t>
            </w: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存在重大经营或法律风险、被查实存在影响采购结果的违法行为等情形，采购人按照谈判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sym w:font="Wingdings 2" w:char="0052"/>
            </w:r>
            <w:r>
              <w:rPr>
                <w:rFonts w:hint="eastAsia" w:ascii="仿宋" w:hAnsi="仿宋" w:eastAsia="仿宋"/>
                <w:color w:val="000000" w:themeColor="text1"/>
                <w14:textFill>
                  <w14:solidFill>
                    <w14:schemeClr w14:val="tx1"/>
                  </w14:solidFill>
                </w14:textFill>
              </w:rPr>
              <w:t>不收取</w:t>
            </w:r>
          </w:p>
        </w:tc>
      </w:tr>
    </w:tbl>
    <w:p>
      <w:pPr>
        <w:pStyle w:val="12"/>
        <w:rPr>
          <w:rFonts w:ascii="仿宋_GB2312" w:eastAsia="仿宋_GB2312"/>
        </w:rPr>
      </w:pPr>
    </w:p>
    <w:p>
      <w:pPr>
        <w:pStyle w:val="12"/>
        <w:rPr>
          <w:rFonts w:ascii="仿宋_GB2312" w:eastAsia="仿宋_GB2312"/>
        </w:rPr>
      </w:pPr>
    </w:p>
    <w:p>
      <w:pPr>
        <w:pStyle w:val="12"/>
        <w:rPr>
          <w:rFonts w:ascii="仿宋_GB2312" w:eastAsia="仿宋_GB2312"/>
        </w:rPr>
      </w:pPr>
    </w:p>
    <w:p>
      <w:pPr>
        <w:pStyle w:val="12"/>
        <w:rPr>
          <w:rFonts w:ascii="仿宋_GB2312" w:eastAsia="仿宋_GB2312"/>
        </w:rPr>
      </w:pPr>
    </w:p>
    <w:p>
      <w:pPr>
        <w:pStyle w:val="12"/>
        <w:rPr>
          <w:rFonts w:ascii="仿宋_GB2312" w:eastAsia="仿宋_GB2312"/>
        </w:rPr>
      </w:pPr>
    </w:p>
    <w:p>
      <w:pPr>
        <w:pStyle w:val="12"/>
        <w:rPr>
          <w:rFonts w:ascii="仿宋_GB2312" w:eastAsia="仿宋_GB2312"/>
        </w:rPr>
      </w:pPr>
    </w:p>
    <w:p>
      <w:pPr>
        <w:pStyle w:val="3"/>
        <w:jc w:val="left"/>
        <w:rPr>
          <w:rFonts w:ascii="仿宋" w:hAnsi="仿宋" w:eastAsia="仿宋" w:cs="仿宋"/>
          <w:color w:val="000000"/>
          <w:sz w:val="24"/>
          <w:szCs w:val="24"/>
        </w:rPr>
      </w:pPr>
      <w:bookmarkStart w:id="17" w:name="_Toc20514"/>
      <w:bookmarkStart w:id="18" w:name="_Toc287600118"/>
      <w:bookmarkStart w:id="19" w:name="_Toc517281816"/>
      <w:bookmarkStart w:id="20" w:name="_Toc27232"/>
      <w:bookmarkStart w:id="21" w:name="_Toc6047"/>
      <w:bookmarkStart w:id="22" w:name="_Toc19783313"/>
      <w:bookmarkStart w:id="23" w:name="_Toc11071"/>
      <w:bookmarkStart w:id="24" w:name="_Toc444891336"/>
      <w:bookmarkStart w:id="25" w:name="_Toc4638"/>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4"/>
        <w:spacing w:before="0" w:after="0" w:line="360" w:lineRule="auto"/>
        <w:ind w:firstLine="482"/>
        <w:rPr>
          <w:rFonts w:ascii="仿宋" w:hAnsi="仿宋" w:eastAsia="仿宋" w:cs="仿宋"/>
          <w:color w:val="000000"/>
          <w:sz w:val="24"/>
          <w:szCs w:val="24"/>
        </w:rPr>
      </w:pPr>
      <w:bookmarkStart w:id="27" w:name="_Toc287600119"/>
      <w:bookmarkStart w:id="28" w:name="_Toc19783314"/>
      <w:bookmarkStart w:id="29" w:name="_Toc22969"/>
      <w:bookmarkStart w:id="30" w:name="_Toc6681"/>
      <w:bookmarkStart w:id="31" w:name="_Toc11851"/>
      <w:bookmarkStart w:id="32" w:name="_Toc30906"/>
      <w:bookmarkStart w:id="33" w:name="_Toc3678"/>
      <w:bookmarkStart w:id="34" w:name="_Toc16441"/>
      <w:bookmarkStart w:id="35" w:name="_Toc517281817"/>
      <w:bookmarkStart w:id="36" w:name="_Toc431"/>
      <w:bookmarkStart w:id="37" w:name="_Toc444891337"/>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本项目按照中华人民共和国有关法律、行政法规和部门规章以及采购人的采购管理制度，通过竞争性谈判方式确定签约供应商。</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5.谈判响应费用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自行承担所有准备和参与本次谈判响应的有关费用。</w:t>
      </w:r>
    </w:p>
    <w:p>
      <w:pPr>
        <w:pStyle w:val="4"/>
        <w:spacing w:after="0" w:line="360" w:lineRule="auto"/>
        <w:ind w:firstLine="482"/>
        <w:rPr>
          <w:rFonts w:ascii="仿宋" w:hAnsi="仿宋" w:eastAsia="仿宋" w:cs="仿宋"/>
          <w:color w:val="000000"/>
          <w:sz w:val="24"/>
          <w:szCs w:val="24"/>
        </w:rPr>
      </w:pPr>
      <w:bookmarkStart w:id="38" w:name="_Toc16504"/>
      <w:bookmarkStart w:id="39" w:name="_Toc444891338"/>
      <w:bookmarkStart w:id="40" w:name="_Toc24246"/>
      <w:bookmarkStart w:id="41" w:name="_Toc517281818"/>
      <w:bookmarkStart w:id="42" w:name="_Toc3016"/>
      <w:bookmarkStart w:id="43" w:name="_Toc14164"/>
      <w:bookmarkStart w:id="44" w:name="_Toc25513"/>
      <w:bookmarkStart w:id="45" w:name="_Toc5255"/>
      <w:bookmarkStart w:id="46" w:name="_Toc19783315"/>
      <w:bookmarkStart w:id="47" w:name="_Toc287600120"/>
      <w:bookmarkStart w:id="48" w:name="_Toc10975"/>
      <w:r>
        <w:rPr>
          <w:rFonts w:hint="eastAsia" w:ascii="仿宋" w:hAnsi="仿宋" w:eastAsia="仿宋" w:cs="仿宋"/>
          <w:color w:val="000000"/>
          <w:sz w:val="24"/>
          <w:szCs w:val="24"/>
        </w:rPr>
        <w:t>（二）谈判文件</w:t>
      </w:r>
      <w:bookmarkEnd w:id="38"/>
      <w:bookmarkEnd w:id="39"/>
      <w:bookmarkEnd w:id="40"/>
      <w:bookmarkEnd w:id="41"/>
      <w:bookmarkEnd w:id="42"/>
      <w:bookmarkEnd w:id="43"/>
      <w:bookmarkEnd w:id="44"/>
      <w:bookmarkEnd w:id="45"/>
      <w:bookmarkEnd w:id="46"/>
      <w:bookmarkEnd w:id="47"/>
      <w:bookmarkEnd w:id="48"/>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6.谈判文件的组成</w:t>
      </w:r>
    </w:p>
    <w:p>
      <w:pPr>
        <w:spacing w:line="360" w:lineRule="auto"/>
        <w:rPr>
          <w:rFonts w:ascii="仿宋" w:hAnsi="仿宋" w:eastAsia="仿宋" w:cs="仿宋"/>
          <w:color w:val="000000"/>
        </w:rPr>
      </w:pPr>
      <w:r>
        <w:rPr>
          <w:rFonts w:hint="eastAsia" w:ascii="仿宋" w:hAnsi="仿宋" w:eastAsia="仿宋" w:cs="仿宋"/>
          <w:color w:val="000000"/>
        </w:rPr>
        <w:t>6.1谈判文件包括下列内容：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7.谈判文件的修改</w:t>
      </w:r>
    </w:p>
    <w:p>
      <w:pPr>
        <w:topLinePunct/>
        <w:spacing w:line="360" w:lineRule="auto"/>
        <w:rPr>
          <w:rFonts w:hint="eastAsia" w:ascii="仿宋" w:hAnsi="仿宋" w:eastAsia="仿宋" w:cs="仿宋"/>
          <w:color w:val="000000"/>
        </w:rPr>
      </w:pPr>
      <w:r>
        <w:rPr>
          <w:rFonts w:hint="eastAsia" w:ascii="仿宋" w:hAnsi="仿宋" w:eastAsia="仿宋" w:cs="仿宋"/>
          <w:color w:val="000000"/>
        </w:rPr>
        <w:t>7.1在响应文件递交截止时间前，无论出于何种原因，采购人可主动地或在解答供应商要求澄清的问题时对谈判文件进行修改。</w:t>
      </w:r>
    </w:p>
    <w:p>
      <w:pPr>
        <w:topLinePunct/>
        <w:spacing w:line="360" w:lineRule="auto"/>
        <w:rPr>
          <w:rFonts w:hint="eastAsia" w:ascii="仿宋" w:hAnsi="仿宋" w:eastAsia="仿宋" w:cs="仿宋"/>
          <w:color w:val="000000"/>
        </w:rPr>
      </w:pPr>
      <w:r>
        <w:rPr>
          <w:rFonts w:hint="eastAsia" w:ascii="仿宋" w:hAnsi="仿宋" w:eastAsia="仿宋" w:cs="仿宋"/>
          <w:color w:val="000000"/>
        </w:rPr>
        <w:t>7.2供应商有权要求采购人对谈判文件中的有关问题进行答疑、澄清。</w:t>
      </w:r>
    </w:p>
    <w:p>
      <w:pPr>
        <w:topLinePunct/>
        <w:spacing w:line="360" w:lineRule="auto"/>
        <w:rPr>
          <w:rFonts w:hint="eastAsia" w:ascii="仿宋" w:hAnsi="仿宋" w:eastAsia="仿宋" w:cs="仿宋"/>
          <w:color w:val="000000"/>
        </w:rPr>
      </w:pPr>
      <w:r>
        <w:rPr>
          <w:rFonts w:hint="eastAsia" w:ascii="仿宋" w:hAnsi="仿宋" w:eastAsia="仿宋" w:cs="仿宋"/>
          <w:color w:val="000000"/>
        </w:rPr>
        <w:t>7.3供应商对谈判文件如有疑问,应在首次响应文件递交截止时间前按谈判文件中的联系方式，通知采购人。采购人将视情况采用适当方式予以澄清或以书面形式予以答复。供应商在收到上述通知后，应立即向采购人回复确认。供应商将被视为编制响应文件时已考虑了上述修改。</w:t>
      </w:r>
    </w:p>
    <w:p>
      <w:pPr>
        <w:topLinePunct/>
        <w:spacing w:line="360" w:lineRule="auto"/>
        <w:rPr>
          <w:rFonts w:hint="eastAsia" w:ascii="仿宋" w:hAnsi="仿宋" w:eastAsia="仿宋" w:cs="仿宋"/>
          <w:color w:val="000000"/>
        </w:rPr>
      </w:pPr>
      <w:r>
        <w:rPr>
          <w:rFonts w:hint="eastAsia" w:ascii="仿宋" w:hAnsi="仿宋" w:eastAsia="仿宋" w:cs="仿宋"/>
          <w:color w:val="000000"/>
        </w:rPr>
        <w:t>7.4对于谈判文件的修改，如影响供应商响应文件编制的，采购人应推迟响应文件递交截止日期，并以书面或邮件形式通知所有已获取谈判文件的供应商。</w:t>
      </w:r>
    </w:p>
    <w:p>
      <w:pPr>
        <w:topLinePunct/>
        <w:spacing w:line="360" w:lineRule="auto"/>
        <w:rPr>
          <w:rFonts w:hint="eastAsia" w:ascii="仿宋" w:hAnsi="仿宋" w:eastAsia="仿宋" w:cs="仿宋"/>
          <w:color w:val="000000"/>
        </w:rPr>
      </w:pPr>
      <w:r>
        <w:rPr>
          <w:rFonts w:hint="eastAsia" w:ascii="仿宋" w:hAnsi="仿宋" w:eastAsia="仿宋" w:cs="仿宋"/>
          <w:color w:val="000000"/>
        </w:rPr>
        <w:t>7.5任何对谈判文件的澄清均为谈判文件的组成部分，并具有同等的法律效力。如谈判文件的澄清与谈判文件有矛盾，以日期后的为准。</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8.谈判响应预备会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采购人认为必要时，将召开谈判响应预备会(答疑会)，公开解答潜在供应商对谈判文件提出的疑问。</w:t>
      </w:r>
    </w:p>
    <w:p>
      <w:pPr>
        <w:pStyle w:val="4"/>
        <w:spacing w:after="0" w:line="360" w:lineRule="auto"/>
        <w:jc w:val="center"/>
        <w:rPr>
          <w:rFonts w:ascii="仿宋" w:hAnsi="仿宋" w:eastAsia="仿宋" w:cs="仿宋"/>
          <w:color w:val="000000"/>
          <w:sz w:val="24"/>
          <w:szCs w:val="24"/>
        </w:rPr>
      </w:pPr>
      <w:bookmarkStart w:id="49" w:name="_Toc517281819"/>
      <w:bookmarkStart w:id="50" w:name="_Toc19783316"/>
      <w:bookmarkStart w:id="51" w:name="_Toc27563"/>
      <w:bookmarkStart w:id="52" w:name="_Toc444891339"/>
      <w:bookmarkStart w:id="53" w:name="_Toc13691"/>
      <w:bookmarkStart w:id="54" w:name="_Toc27642"/>
      <w:bookmarkStart w:id="55" w:name="_Toc14308"/>
      <w:bookmarkStart w:id="56" w:name="_Toc32057"/>
      <w:bookmarkStart w:id="57" w:name="_Toc16985"/>
      <w:bookmarkStart w:id="58" w:name="_Toc31141"/>
      <w:bookmarkStart w:id="59" w:name="_Toc28760012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供应商应当按照谈判文件的要求编制响应文件，并对其提交的响应文件的真实性、合法性承担法律责任。响应文件应当对谈判文件提出的实质性要求和条件作出响应。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11.谈判响应报价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.谈判响应有效期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谈判响应有效期从响应文件递交截止之日起算，具体时间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，在此期间，供应商不得要求撤销或修改其响应文件。供应商承诺的谈判响应有效期必须不短于谈判文件规定的谈判响应有效期，否则将构成对谈判文件的非实质性响应，谈判响应将被否决。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对于谈判文件中提及的原件或复印件要求，照片件、扫描件、影印件、截图件等与其具有同等效力（谈判文件有特殊要求的除外）。</w:t>
      </w:r>
    </w:p>
    <w:p>
      <w:pPr>
        <w:pStyle w:val="4"/>
        <w:spacing w:after="0" w:line="360" w:lineRule="auto"/>
        <w:ind w:firstLine="482"/>
        <w:rPr>
          <w:rFonts w:ascii="仿宋" w:hAnsi="仿宋" w:eastAsia="仿宋" w:cs="仿宋"/>
          <w:color w:val="000000"/>
          <w:sz w:val="24"/>
          <w:szCs w:val="24"/>
        </w:rPr>
      </w:pPr>
      <w:bookmarkStart w:id="61" w:name="_Toc7129"/>
      <w:bookmarkStart w:id="62" w:name="_Toc19783317"/>
      <w:bookmarkStart w:id="63" w:name="_Toc444891340"/>
      <w:bookmarkStart w:id="64" w:name="_Toc14726"/>
      <w:bookmarkStart w:id="65" w:name="_Toc18673"/>
      <w:bookmarkStart w:id="66" w:name="_Toc21600"/>
      <w:bookmarkStart w:id="67" w:name="_Toc4155"/>
      <w:bookmarkStart w:id="68" w:name="_Toc517281820"/>
      <w:bookmarkStart w:id="69" w:name="_Toc287600122"/>
      <w:bookmarkStart w:id="70" w:name="_Toc17865"/>
      <w:bookmarkStart w:id="71" w:name="_Toc14072"/>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（2）纸质响应文件逾期递交或者未送达指定地点或者未按照谈判文件要求封装的；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）未按谈判公告或者响应公告书要求获得本项目谈判文件的。</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谈判文件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，应当在响应文件递交截止时间前按照谈判文件的规定进行递交。</w:t>
      </w:r>
    </w:p>
    <w:p>
      <w:pPr>
        <w:pStyle w:val="12"/>
        <w:spacing w:line="360" w:lineRule="auto"/>
      </w:pPr>
      <w:bookmarkStart w:id="72" w:name="_Toc246996202"/>
      <w:bookmarkStart w:id="73" w:name="_Toc144974526"/>
      <w:bookmarkStart w:id="74" w:name="_Toc334766948"/>
      <w:bookmarkStart w:id="75" w:name="_Toc332188194"/>
      <w:bookmarkStart w:id="76" w:name="_Toc246996945"/>
      <w:bookmarkStart w:id="77" w:name="_Toc179632576"/>
      <w:bookmarkStart w:id="78" w:name="_Toc152042334"/>
      <w:bookmarkStart w:id="79" w:name="_Toc326223561"/>
      <w:bookmarkStart w:id="80" w:name="_Toc247085716"/>
      <w:bookmarkStart w:id="81" w:name="_Toc152045558"/>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响应文件递交截止时间后，供应商在响应有效期内撤销其响应文件，谈判保证金不予退还。</w:t>
      </w:r>
    </w:p>
    <w:p>
      <w:pPr>
        <w:pStyle w:val="4"/>
        <w:spacing w:before="0" w:after="0" w:line="360" w:lineRule="auto"/>
        <w:ind w:firstLine="482"/>
        <w:rPr>
          <w:rFonts w:ascii="仿宋" w:hAnsi="仿宋" w:eastAsia="仿宋" w:cs="仿宋"/>
          <w:color w:val="000000"/>
          <w:sz w:val="24"/>
          <w:szCs w:val="24"/>
        </w:rPr>
      </w:pPr>
      <w:bookmarkStart w:id="82" w:name="_Toc30182"/>
      <w:bookmarkStart w:id="83" w:name="_Toc20741"/>
      <w:bookmarkStart w:id="84" w:name="_Toc11361"/>
      <w:bookmarkStart w:id="85" w:name="_Toc12797"/>
      <w:bookmarkStart w:id="86" w:name="_Toc517281821"/>
      <w:bookmarkStart w:id="87" w:name="_Toc30466"/>
      <w:bookmarkStart w:id="88" w:name="_Toc2055"/>
      <w:bookmarkStart w:id="89" w:name="_Toc444891341"/>
      <w:bookmarkStart w:id="90" w:name="_Toc287600123"/>
      <w:bookmarkStart w:id="91" w:name="_Toc2636"/>
      <w:r>
        <w:rPr>
          <w:rFonts w:hint="eastAsia" w:ascii="仿宋" w:hAnsi="仿宋" w:eastAsia="仿宋" w:cs="仿宋"/>
          <w:color w:val="000000"/>
          <w:sz w:val="24"/>
          <w:szCs w:val="24"/>
        </w:rPr>
        <w:t>（五）竞争性谈判和评审</w:t>
      </w:r>
      <w:bookmarkEnd w:id="82"/>
      <w:bookmarkEnd w:id="83"/>
      <w:bookmarkEnd w:id="84"/>
      <w:bookmarkEnd w:id="85"/>
      <w:bookmarkEnd w:id="86"/>
      <w:bookmarkEnd w:id="87"/>
      <w:bookmarkEnd w:id="88"/>
      <w:bookmarkEnd w:id="89"/>
      <w:bookmarkEnd w:id="90"/>
      <w:bookmarkEnd w:id="91"/>
    </w:p>
    <w:p>
      <w:pPr>
        <w:pStyle w:val="5"/>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谈判小组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采购人依照企业采购管理制度的相关规定组建谈判小组，具体人数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，谈判小组成员名单在成交结果确定前保密。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谈判小组成员应当按照客观、公正、审慎的原则，根据谈判文件规定的评审程序、评审方法和评审标准进行独立评审。</w:t>
      </w:r>
    </w:p>
    <w:p>
      <w:pPr>
        <w:pStyle w:val="5"/>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谈判小组按照第三章评审办法中初步评审的内容及要求，对响应文件进行初步评审。未通过初步评审的供应商，其谈判响应将被否决，不进入详细评审等后续环节。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rPr>
        <w:t>，谈判小组有权对其响应做否决处理。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谈判小组必要时可以要求供应商提交有关证明和证件的原件，以便核验。拒不按要求提供原件的供应商，</w:t>
      </w:r>
      <w:r>
        <w:rPr>
          <w:rFonts w:hint="eastAsia" w:ascii="仿宋" w:hAnsi="仿宋" w:eastAsia="仿宋" w:cs="仿宋"/>
          <w:b/>
          <w:bCs/>
        </w:rPr>
        <w:t>谈判小组有权对其响应做否决处理。</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谈判程序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hint="eastAsia" w:ascii="仿宋" w:hAnsi="仿宋" w:eastAsia="仿宋" w:cs="仿宋"/>
          <w:color w:val="000000"/>
        </w:rPr>
      </w:pPr>
      <w:r>
        <w:rPr>
          <w:rFonts w:hint="eastAsia" w:ascii="仿宋" w:hAnsi="仿宋" w:eastAsia="仿宋" w:cs="仿宋"/>
          <w:color w:val="000000"/>
        </w:rPr>
        <w:t>18.3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w:t>
      </w:r>
      <w:r>
        <w:rPr>
          <w:rFonts w:hint="eastAsia" w:ascii="仿宋" w:hAnsi="仿宋" w:eastAsia="仿宋" w:cs="仿宋"/>
          <w:color w:val="000000"/>
          <w:lang w:val="en-US" w:eastAsia="zh-CN"/>
        </w:rPr>
        <w:t>4</w:t>
      </w:r>
      <w:r>
        <w:rPr>
          <w:rFonts w:hint="eastAsia" w:ascii="仿宋" w:hAnsi="仿宋" w:eastAsia="仿宋" w:cs="仿宋"/>
          <w:color w:val="000000"/>
        </w:rPr>
        <w:t>谈判小组可视情况要求供应商进行多轮谈判及报价。谈判中，任何一方不得向第三方透露与谈判有关的任何信息。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w:t>
      </w:r>
      <w:r>
        <w:rPr>
          <w:rFonts w:hint="eastAsia" w:ascii="仿宋" w:hAnsi="仿宋" w:eastAsia="仿宋" w:cs="仿宋"/>
          <w:color w:val="000000"/>
          <w:lang w:val="en-US" w:eastAsia="zh-CN"/>
        </w:rPr>
        <w:t>5</w:t>
      </w:r>
      <w:r>
        <w:rPr>
          <w:rFonts w:hint="eastAsia" w:ascii="仿宋" w:hAnsi="仿宋" w:eastAsia="仿宋" w:cs="仿宋"/>
          <w:color w:val="000000"/>
        </w:rPr>
        <w:t>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.1谈判文件能够详细列明采购标的的技术、服务要求的，谈判结束后，谈判小组将要求所有继续参加谈判的供应商在规定时间内提交最后报价。</w:t>
      </w:r>
    </w:p>
    <w:p>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谈判小组应当从质量和服务均能满足采购文件实质性响应要求的供应商中，按照最后报价由低到高的顺序提出成交候选人，具体情况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成交候选人的经营、财务状况发生较大变化或者存在违法行为，采购人认为可能影响其履约能力的，应当在发出成交通知书前由原谈判小组按照谈判文件规定的标准和方法审查确认。</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topLinePunct/>
        <w:spacing w:line="360" w:lineRule="auto"/>
        <w:rPr>
          <w:rFonts w:hint="eastAsia" w:ascii="仿宋" w:hAnsi="仿宋" w:eastAsia="仿宋" w:cs="宋体"/>
          <w:color w:val="000000"/>
        </w:rPr>
      </w:pPr>
      <w:r>
        <w:rPr>
          <w:rFonts w:hint="eastAsia" w:ascii="仿宋" w:hAnsi="仿宋" w:eastAsia="仿宋" w:cs="宋体"/>
          <w:color w:val="000000"/>
        </w:rPr>
        <w:t>20.1供应商提供虚假材料或文件的，自动丧失参加资格。</w:t>
      </w:r>
    </w:p>
    <w:p>
      <w:pPr>
        <w:topLinePunct/>
        <w:spacing w:line="360" w:lineRule="auto"/>
        <w:rPr>
          <w:rFonts w:hint="eastAsia" w:ascii="仿宋" w:hAnsi="仿宋" w:eastAsia="仿宋" w:cs="宋体"/>
          <w:color w:val="000000"/>
        </w:rPr>
      </w:pPr>
      <w:r>
        <w:rPr>
          <w:rFonts w:hint="eastAsia" w:ascii="仿宋" w:hAnsi="仿宋" w:eastAsia="仿宋" w:cs="宋体"/>
          <w:color w:val="000000"/>
        </w:rPr>
        <w:t>20.2供应商未在响应文件中提及和承诺，但又未明确书面提出异议的事项，按本谈判谈判邀请函的有关要求执行。</w:t>
      </w:r>
    </w:p>
    <w:p>
      <w:pPr>
        <w:topLinePunct/>
        <w:spacing w:line="360" w:lineRule="auto"/>
        <w:rPr>
          <w:rFonts w:hint="eastAsia" w:ascii="仿宋" w:hAnsi="仿宋" w:eastAsia="仿宋" w:cs="宋体"/>
          <w:color w:val="000000"/>
        </w:rPr>
      </w:pPr>
      <w:r>
        <w:rPr>
          <w:rFonts w:hint="eastAsia" w:ascii="仿宋" w:hAnsi="仿宋" w:eastAsia="仿宋" w:cs="宋体"/>
          <w:color w:val="000000"/>
        </w:rPr>
        <w:t>20.3供应商不应将本次采购理解为政府采购与招标。</w:t>
      </w:r>
    </w:p>
    <w:p>
      <w:pPr>
        <w:topLinePunct/>
        <w:spacing w:line="360" w:lineRule="auto"/>
        <w:rPr>
          <w:rFonts w:hint="eastAsia" w:ascii="仿宋" w:hAnsi="仿宋" w:eastAsia="仿宋" w:cs="宋体"/>
          <w:color w:val="000000"/>
        </w:rPr>
      </w:pPr>
      <w:r>
        <w:rPr>
          <w:rFonts w:hint="eastAsia" w:ascii="仿宋" w:hAnsi="仿宋" w:eastAsia="仿宋" w:cs="宋体"/>
          <w:color w:val="000000"/>
        </w:rPr>
        <w:t>20.4供应商没有按规定时间和内容提供材料的，视为放弃。</w:t>
      </w:r>
    </w:p>
    <w:p>
      <w:pPr>
        <w:topLinePunct/>
        <w:spacing w:line="360" w:lineRule="auto"/>
        <w:rPr>
          <w:rFonts w:hint="eastAsia" w:ascii="仿宋" w:hAnsi="仿宋" w:eastAsia="仿宋" w:cs="宋体"/>
          <w:color w:val="000000"/>
        </w:rPr>
      </w:pPr>
      <w:r>
        <w:rPr>
          <w:rFonts w:hint="eastAsia" w:ascii="仿宋" w:hAnsi="仿宋" w:eastAsia="仿宋" w:cs="宋体"/>
          <w:color w:val="000000"/>
        </w:rPr>
        <w:t>20.5谈判文件及附件之著作权受中国法律保护，所有文件仅限于供应商参加本次采购谈判使用，任何用于其他目的之复制或引用均应事先获得采购方书面许可。</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12"/>
        <w:snapToGrid w:val="0"/>
        <w:spacing w:after="0" w:line="360" w:lineRule="auto"/>
        <w:ind w:right="-57" w:firstLine="480" w:firstLineChars="200"/>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bookmarkStart w:id="95" w:name="_Toc13936"/>
      <w:bookmarkStart w:id="96" w:name="_Toc287600124"/>
      <w:bookmarkStart w:id="97" w:name="_Toc444891342"/>
      <w:bookmarkStart w:id="98" w:name="_Toc234223231"/>
      <w:bookmarkStart w:id="99" w:name="_Toc19451"/>
      <w:bookmarkStart w:id="100" w:name="_Toc28031"/>
      <w:bookmarkStart w:id="101" w:name="_Toc16781"/>
      <w:bookmarkStart w:id="102" w:name="_Toc2322"/>
      <w:bookmarkStart w:id="103" w:name="_Toc517281822"/>
      <w:bookmarkStart w:id="104" w:name="_Toc9911"/>
      <w:r>
        <w:rPr>
          <w:rFonts w:hint="eastAsia" w:ascii="仿宋" w:hAnsi="仿宋" w:eastAsia="仿宋" w:cs="宋体"/>
          <w:color w:val="000000"/>
          <w:sz w:val="24"/>
          <w:szCs w:val="24"/>
          <w:lang w:val="en-US" w:eastAsia="zh-CN" w:bidi="ar-SA"/>
        </w:rPr>
        <w:t>（1）成交候选供应商存在违法、违纪行为的；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（2）成交候选供应商因不可抗力、社会经济形势发生重大变化、破产、重组等原因确定无法履行采购合同的；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（3）成交候选供应商书面自愿放弃成交，且无其他非法目的的；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（4）成交候选供应商在提交响应文件截止时间后撤回响应文件的；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（5）成交候选供应商在响应文件中提供虚假材料的；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（6）除因不可抗力或谈判文件认可的情形以外，成交供应商不与采购人签订合同的；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（7）成交候选供应商与采购人或者其他供应商恶意串通的；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（8）成交供应商在签订合同时向采购人提出附加条件或要求变更实质性合同条款的；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（9）供应商有恶意欺诈、弄虚作假、围标串标、哄抬标价、徇私行贿等法律法规中所列违规行为的；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（10）成交供应商不按照谈判文件要求提交履约保证金的；</w:t>
      </w:r>
    </w:p>
    <w:p>
      <w:pPr>
        <w:pStyle w:val="1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（11）其他不应确定成交供应商的情形。</w:t>
      </w:r>
    </w:p>
    <w:p>
      <w:pPr>
        <w:pStyle w:val="4"/>
        <w:spacing w:before="0" w:after="0" w:line="360" w:lineRule="auto"/>
        <w:ind w:firstLine="482"/>
        <w:rPr>
          <w:rFonts w:ascii="仿宋" w:hAnsi="仿宋" w:eastAsia="仿宋" w:cs="仿宋"/>
          <w:color w:val="000000"/>
          <w:sz w:val="24"/>
          <w:szCs w:val="24"/>
        </w:rPr>
      </w:pPr>
      <w:bookmarkStart w:id="105" w:name="_Toc9"/>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5"/>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采购人依据谈判小组推荐的成交候选人名单确定成交人，成交人数量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采购人与成交人按照谈判文件和成交人的响应文件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谈判</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谈判文件要求成交人提交履约保证金的，成交人应当按照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spacing w:before="0" w:after="0"/>
        <w:jc w:val="left"/>
        <w:rPr>
          <w:rFonts w:ascii="仿宋" w:hAnsi="仿宋" w:eastAsia="仿宋" w:cs="仿宋"/>
          <w:sz w:val="28"/>
          <w:szCs w:val="28"/>
        </w:rPr>
      </w:pPr>
      <w:bookmarkStart w:id="107" w:name="_Toc10670"/>
      <w:bookmarkStart w:id="108" w:name="_Toc10893"/>
      <w:bookmarkStart w:id="109" w:name="_Toc8109"/>
      <w:r>
        <w:rPr>
          <w:rFonts w:hint="eastAsia" w:ascii="仿宋" w:hAnsi="仿宋" w:eastAsia="仿宋" w:cs="仿宋"/>
          <w:sz w:val="28"/>
          <w:szCs w:val="28"/>
        </w:rPr>
        <w:t>第三章 评审办法</w:t>
      </w:r>
      <w:bookmarkEnd w:id="107"/>
      <w:bookmarkEnd w:id="108"/>
    </w:p>
    <w:p>
      <w:pPr>
        <w:pStyle w:val="3"/>
        <w:jc w:val="left"/>
        <w:rPr>
          <w:rFonts w:ascii="仿宋" w:hAnsi="仿宋" w:eastAsia="仿宋" w:cs="仿宋"/>
          <w:color w:val="000000"/>
          <w:sz w:val="24"/>
          <w:szCs w:val="24"/>
        </w:rPr>
      </w:pPr>
      <w:bookmarkStart w:id="110" w:name="_Toc444891344"/>
      <w:bookmarkStart w:id="111" w:name="_Toc517281825"/>
      <w:bookmarkStart w:id="112" w:name="_Toc14122"/>
      <w:bookmarkStart w:id="113" w:name="_Toc7201"/>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谈判小组对响应文件中的相关内容进行评审。评审按照以下程序进行：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1.熟悉谈判文件；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2.对响应文件进行初步评审，检查响应文件是否满足谈判文件的初审要求；初步评审中不符合评审标准的，将做否决谈判响应处理；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3.供应商有以下情形之一的，谈判小组应当否决其谈判响应：</w:t>
      </w:r>
    </w:p>
    <w:p>
      <w:pPr>
        <w:spacing w:line="360" w:lineRule="auto"/>
        <w:ind w:firstLine="420" w:firstLineChars="175"/>
        <w:rPr>
          <w:rFonts w:ascii="仿宋" w:hAnsi="仿宋" w:eastAsia="仿宋" w:cs="仿宋"/>
        </w:rPr>
      </w:pPr>
      <w:r>
        <w:rPr>
          <w:rFonts w:hint="eastAsia" w:ascii="仿宋" w:hAnsi="仿宋" w:eastAsia="仿宋" w:cs="仿宋"/>
        </w:rPr>
        <w:t>（1）按照谈判公告要求已经递交电子响应文件，但未按要求递交纸质响应文件；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（4）不符合国家或者谈判文件规定的资格条件；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（5）同一供应商提交两个以上不同的响应文件或者响应报价，但谈判文件要求提交备选文件的除外；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最终报价低于成本或者高于谈判文件设定的最高投标限价；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（7）响应文件未对谈判文件的实质性要求和条件作出响应；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（11）不符合谈判文件中规定的其他实质性要求。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内容允许在谈判过程中按谈判小组规定的时间内补充，若未在规定时间内补充则将导致响应无效。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5.通过初步评审的供应商分别进行谈判；</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color w:val="000000"/>
        </w:rPr>
      </w:pPr>
      <w:bookmarkStart w:id="116" w:name="_Toc517281826"/>
      <w:bookmarkStart w:id="117" w:name="_Toc444891345"/>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pPr>
        <w:spacing w:line="360" w:lineRule="auto"/>
        <w:ind w:firstLine="420" w:firstLineChars="175"/>
        <w:rPr>
          <w:rFonts w:hint="eastAsia" w:ascii="仿宋" w:hAnsi="仿宋" w:eastAsia="仿宋" w:cs="仿宋"/>
          <w:color w:val="000000"/>
        </w:rPr>
      </w:pPr>
      <w:r>
        <w:rPr>
          <w:rFonts w:hint="eastAsia" w:ascii="仿宋" w:hAnsi="仿宋" w:eastAsia="仿宋" w:cs="仿宋"/>
          <w:color w:val="000000"/>
        </w:rPr>
        <w:t>7.1对于承诺提供增值税专用发票的供应商，评审价格即不含税的投标总价净价；</w:t>
      </w:r>
    </w:p>
    <w:p>
      <w:pPr>
        <w:spacing w:line="360" w:lineRule="auto"/>
        <w:ind w:firstLine="420" w:firstLineChars="175"/>
        <w:rPr>
          <w:rFonts w:hint="eastAsia" w:ascii="仿宋" w:hAnsi="仿宋" w:eastAsia="仿宋" w:cs="仿宋"/>
          <w:color w:val="000000"/>
        </w:rPr>
      </w:pPr>
      <w:r>
        <w:rPr>
          <w:rFonts w:hint="eastAsia" w:ascii="仿宋" w:hAnsi="仿宋" w:eastAsia="仿宋" w:cs="仿宋"/>
          <w:color w:val="000000"/>
        </w:rPr>
        <w:t>7.2对于不能提供增值税专用发票的供应商，评审价格是含税的投标总价。</w:t>
      </w:r>
    </w:p>
    <w:p>
      <w:pPr>
        <w:pStyle w:val="12"/>
        <w:rPr>
          <w:rFonts w:hint="eastAsia"/>
        </w:rPr>
      </w:pPr>
    </w:p>
    <w:p>
      <w:pPr>
        <w:pStyle w:val="3"/>
        <w:jc w:val="left"/>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118" w:name="_Toc32019"/>
      <w:bookmarkStart w:id="119" w:name="_Toc30728"/>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1169"/>
        <w:gridCol w:w="1951"/>
        <w:gridCol w:w="606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90"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8"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8"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8"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95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具有依法缴纳税收和社会保障资金的良好记录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近三年内无违法违规记录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8"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bookmarkEnd w:id="109"/>
    <w:p>
      <w:pPr>
        <w:pStyle w:val="2"/>
        <w:numPr>
          <w:ilvl w:val="0"/>
          <w:numId w:val="3"/>
        </w:numPr>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0" w:name="_Toc15254"/>
      <w:bookmarkStart w:id="121" w:name="_Toc8128"/>
      <w:r>
        <w:rPr>
          <w:rFonts w:hint="eastAsia" w:ascii="仿宋" w:hAnsi="仿宋" w:eastAsia="仿宋" w:cs="仿宋"/>
          <w:color w:val="000000" w:themeColor="text1"/>
          <w:sz w:val="28"/>
          <w:szCs w:val="28"/>
          <w14:textFill>
            <w14:solidFill>
              <w14:schemeClr w14:val="tx1"/>
            </w14:solidFill>
          </w14:textFill>
        </w:rPr>
        <w:t>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numPr>
          <w:ilvl w:val="0"/>
          <w:numId w:val="0"/>
        </w:numPr>
      </w:pP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第一条 </w:t>
      </w:r>
      <w:r>
        <w:rPr>
          <w:rFonts w:hint="eastAsia" w:ascii="仿宋" w:hAnsi="仿宋" w:eastAsia="仿宋" w:cs="仿宋"/>
          <w:color w:val="000000"/>
          <w:kern w:val="0"/>
          <w:sz w:val="24"/>
          <w:szCs w:val="24"/>
          <w:lang w:val="en-US" w:eastAsia="zh-CN" w:bidi="ar"/>
        </w:rPr>
        <w:t xml:space="preserve">项目内容及要求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本合同项下甲乙双方约定的项目内容及要求见本合同【附件】。</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第二条 </w:t>
      </w:r>
      <w:r>
        <w:rPr>
          <w:rFonts w:hint="eastAsia" w:ascii="仿宋" w:hAnsi="仿宋" w:eastAsia="仿宋" w:cs="仿宋"/>
          <w:color w:val="000000"/>
          <w:kern w:val="0"/>
          <w:sz w:val="24"/>
          <w:szCs w:val="24"/>
          <w:lang w:val="en-US" w:eastAsia="zh-CN" w:bidi="ar"/>
        </w:rPr>
        <w:t xml:space="preserve">服务方案及验收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双方约定的服务方案详见本合同【附件】。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第三条 合同价格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（一） 本合同总价款为_______元（大写： _______） </w:t>
      </w:r>
    </w:p>
    <w:p>
      <w:pPr>
        <w:keepNext w:val="0"/>
        <w:keepLines w:val="0"/>
        <w:pageBreakBefore w:val="0"/>
        <w:widowControl/>
        <w:suppressLineNumbers w:val="0"/>
        <w:kinsoku/>
        <w:wordWrap w:val="0"/>
        <w:overflowPunct/>
        <w:topLinePunct/>
        <w:autoSpaceDE/>
        <w:autoSpaceDN/>
        <w:bidi w:val="0"/>
        <w:adjustRightInd/>
        <w:snapToGrid/>
        <w:ind w:left="965" w:leftChars="302" w:hanging="240" w:hangingChars="1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合同价格明细见【附件】。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乙方因提供本合同项下服务所发生的一切费用和税费，已包括在前款约定的费用当中；除双方另有书面约定外，甲方不再就乙方提供本合同项下的服务向乙方另行支付任何其它费用。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（三） 本合同付款安排见【附件】。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第四条 </w:t>
      </w:r>
      <w:r>
        <w:rPr>
          <w:rFonts w:hint="eastAsia" w:ascii="仿宋" w:hAnsi="仿宋" w:eastAsia="仿宋" w:cs="仿宋"/>
          <w:color w:val="000000"/>
          <w:kern w:val="0"/>
          <w:sz w:val="24"/>
          <w:szCs w:val="24"/>
          <w:lang w:val="en-US" w:eastAsia="zh-CN" w:bidi="ar"/>
        </w:rPr>
        <w:t>甲方的权利和义务（适用于专项法律服务合同）</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除本合同约定的双方的权利义务外，甲乙双方在本合同项下的其他权利和义务见【附件】的约定。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第五条 </w:t>
      </w:r>
      <w:r>
        <w:rPr>
          <w:rFonts w:hint="eastAsia" w:ascii="仿宋" w:hAnsi="仿宋" w:eastAsia="仿宋" w:cs="仿宋"/>
          <w:color w:val="000000"/>
          <w:kern w:val="0"/>
          <w:sz w:val="24"/>
          <w:szCs w:val="24"/>
          <w:lang w:val="en-US" w:eastAsia="zh-CN" w:bidi="ar"/>
        </w:rPr>
        <w:t xml:space="preserve">违约责任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甲、乙任一方或双方违约的，违约一方应当向相对方承担相应的违约责任。违约责任的具体约定见【附件】。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第六条 双方的权利和义务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（一） 甲方的权利和义务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（1）甲方有权获得本合同项下乙方应提供的全部合格的服务；</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（2）甲方有权在合同期内对乙方的服务进行监督；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（3）乙方未按照合同约定履行义务的，甲方有权采取相应的措施；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（4）甲方应按照合同约定向乙方支付合同价款；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（5）甲方对其提供的样本、稿件本身及其内容的真实性、合法性、知识产权的独立性等承担全部责任，所提供样本、稿件引起的纠纷、争议及相关损失由甲方自行承担；</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（7）甲方享有其它双方约定的权利、承担其它双方约定的义务。</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乙方的权利和义务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（1）乙方有权获得甲方支付的合同价款；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（2）乙方应按照合同约定向甲方提供全部合格的服务；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（3）乙方应按照合同约定履行相应的维护和保修或其他后续义务；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（4）乙方必须遵守甲方制定的各项服务标准、工作流程及各项要求；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（5）乙方应当按照甲方提出的变更需求及时调整和完善服务内容；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（6）乙方承担由于自身或合作施工单位由于服务效果与服务设计方案偏差原因造成的损失；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（7）乙方享有其它双方约定的权利、承担其它双方约定的义务；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（8）使用第三方物权过程中发生的法律纠纷和经济责任由乙方负责。</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第七条 </w:t>
      </w:r>
      <w:r>
        <w:rPr>
          <w:rFonts w:hint="eastAsia" w:ascii="仿宋" w:hAnsi="仿宋" w:eastAsia="仿宋" w:cs="仿宋"/>
          <w:color w:val="000000"/>
          <w:kern w:val="0"/>
          <w:sz w:val="24"/>
          <w:szCs w:val="24"/>
          <w:lang w:val="en-US" w:eastAsia="zh-CN" w:bidi="ar"/>
        </w:rPr>
        <w:t xml:space="preserve">禁止转让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未经甲方事先书面同意，乙方不得将其本合同项下之全部 义务或其中一部分义务转让给第三方执行。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第八条 知识产权保障及权利保证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（一） 知识产权保障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（1）乙方根据本合同或在本合同履行过程中专门为甲方或根据甲方提供的有关资料而产生的任何创意、设计、宣传资料等作品（包括但不限于任何图案、图像、配音、配乐、文字、专题片语、卡通人物形象、FLASH 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 </w:t>
      </w:r>
    </w:p>
    <w:p>
      <w:pPr>
        <w:keepNext w:val="0"/>
        <w:keepLines w:val="0"/>
        <w:pageBreakBefore w:val="0"/>
        <w:widowControl/>
        <w:numPr>
          <w:ilvl w:val="0"/>
          <w:numId w:val="4"/>
        </w:numPr>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keepNext w:val="0"/>
        <w:keepLines w:val="0"/>
        <w:pageBreakBefore w:val="0"/>
        <w:widowControl/>
        <w:numPr>
          <w:ilvl w:val="0"/>
          <w:numId w:val="0"/>
        </w:numPr>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（4）本合同因履行完毕、解除或不可抗力等终止之日起 3 日内，乙方应将甲方提供的所有信息和资料移交甲方，并且自终止之日起不得继续使用或擅自许可任何第三方使用甲方提供的所有信息和资料。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第九条 违约责任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（一） 如果由于甲方原因延迟付款，每延迟一天，甲方应按照应付合同价款的_______%向乙方支付违约金。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如果乙方未按合同约定的时间、地点、内容、质量要求等提供服务，每延迟一天，应支付违约金_______ 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（三） 因违约而解除合同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（1）如乙方服务团队负责人发生变更或核心服务团队发生重大变化，乙方未能及时书面告知甲方造成服务水平下降，或变更后人员资质不符合甲方要求的，甲方有权即时解除本合同。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（2）如乙方未经甲方书面许可，以甲方名义向媒体或其他第三方进行任何商业行为的，甲方有权即时解除本合同。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（3）因乙方延迟履行合同义务或因其他违约行为导致甲方解除合同的，乙方应向甲方支付本合同价款总额_______% 的违约金，如违约金不足以弥补甲方损失的，超出部分由乙方继续承担赔偿责任。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（四）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（五） 除本合同的约定外，因乙方的违约行为给甲方造成损失的，乙方应向甲方支付相当于本合同总价款_______%的违约金，如甲方受到的损失超过违约金的，超出部分由乙方继续承担赔偿责任。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第十条 保密义务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乙方在本合同中所受领的保密信息应及时返还甲方或在甲方监督下予以销毁。乙方擅自留存备份信息，视为违反保密约定。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（三） 无论本合同因何种原因终止，本保密条款依然有效。</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第十一条 不可抗力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（一） 本合同任何一方因不可抗力不能履行本合同约定的全部或部分义务，应尽快通知另一方，并应在不可抗力发生后 3 日内以书面形式向对方提供详细情况报告及不可抗力对履行本合同影响程度的说明。甲、乙双方应根据不可抗力对合同履行的影响程度，协商确定是否终止合同，或继续履行本合同。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（三） 合同一方迟延履行后发生不可抗力的，不能免除其责任。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（四） 不可抗力因素消除后，双方应立即进行谈判，就不可抗力所造成影响程度甲方有权决定是否继续履行或者终止本合同。如果甲方决定终止合同，如甲方已经付款，乙方应将已交付部分的款项在 5 日内向甲方返还。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第十二条 </w:t>
      </w:r>
      <w:r>
        <w:rPr>
          <w:rFonts w:hint="eastAsia" w:ascii="仿宋" w:hAnsi="仿宋" w:eastAsia="仿宋" w:cs="仿宋"/>
          <w:color w:val="000000"/>
          <w:kern w:val="0"/>
          <w:sz w:val="24"/>
          <w:szCs w:val="24"/>
          <w:lang w:val="en-US" w:eastAsia="zh-CN" w:bidi="ar"/>
        </w:rPr>
        <w:t xml:space="preserve">合同变更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对本合同的任何变更或补充，须经甲乙双方协商一致，并另行签订书面补充协议。 </w:t>
      </w:r>
    </w:p>
    <w:p>
      <w:pPr>
        <w:keepNext w:val="0"/>
        <w:keepLines w:val="0"/>
        <w:pageBreakBefore w:val="0"/>
        <w:widowControl/>
        <w:numPr>
          <w:ilvl w:val="0"/>
          <w:numId w:val="5"/>
        </w:numPr>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合同特别终止</w:t>
      </w:r>
    </w:p>
    <w:p>
      <w:pPr>
        <w:keepNext w:val="0"/>
        <w:keepLines w:val="0"/>
        <w:pageBreakBefore w:val="0"/>
        <w:widowControl/>
        <w:numPr>
          <w:ilvl w:val="0"/>
          <w:numId w:val="0"/>
        </w:numPr>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（一） 甲乙双方同意在乙方出现下列情形时，甲方可以书面形式通知乙方（或者乙方的破产清算组或相关管理人）提出终止合同而不向其提供任何补偿：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（1）乙方破产、解散（包括但不限于乙方股东会决议解散、乙方被吊销营业执照、被责令关闭、被撤销、被司法机关裁决解散等情形）；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如果因上述原因导致本合同终止，甲方已经采取或者将要采取任何补救措施的权利不受任何影响。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第十四条 法律适用与争议解决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（一） 本合同的订立、效力、解释、履行和争议的解决均适用中华人民共和国法律（不包括港澳台地区法律）。</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（二） 凡因本合同引起的或与本合同有关的任何争议，双方首先应友好协商解决。协商不成的，任何一方均有权将争议提交甲方所在地有管辖权的人民法院诉讼解决。</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第十五条 合同生效及其他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（一） 本合同经甲乙双方法定代表人或授权代表签字并加盖公章后生效。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本合同一式_______份，其中正本_______份，副本_______份。甲方执_______份正本，_______份副本；乙方执_______份正本，_______份副本。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第十六条 合同效力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（二） 本合同及合同附件（如有）是甲乙双方关于本次交易所最终确定的全部内容，甲乙双方均承认其已审阅、理解本合同及合同附件的内容，并同意取代甲乙双方之间此前关于本次交易所做出的任何口头或书面的承诺。 </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（三） 由于法律和法规、政策而导致本合同任何条款无效或无法执行，则该条款无效，但不影响剩余其他条款的效力。    </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第十七条  </w:t>
      </w:r>
      <w:r>
        <w:rPr>
          <w:rFonts w:hint="eastAsia" w:ascii="仿宋" w:hAnsi="仿宋" w:eastAsia="仿宋" w:cs="仿宋"/>
          <w:color w:val="000000"/>
          <w:kern w:val="0"/>
          <w:sz w:val="24"/>
          <w:szCs w:val="24"/>
          <w:lang w:val="en-US" w:eastAsia="zh-CN" w:bidi="ar"/>
        </w:rPr>
        <w:t xml:space="preserve">附件的组成（适用于品牌宣传服务合同） </w:t>
      </w:r>
    </w:p>
    <w:p>
      <w:pPr>
        <w:pStyle w:val="12"/>
        <w:ind w:firstLine="480" w:firstLineChars="200"/>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附件一、服务内容及要求</w:t>
      </w:r>
    </w:p>
    <w:p>
      <w:pPr>
        <w:pStyle w:val="12"/>
        <w:ind w:firstLine="480" w:firstLineChars="200"/>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附件二、服务方案及验收</w:t>
      </w:r>
    </w:p>
    <w:p>
      <w:pPr>
        <w:pStyle w:val="12"/>
        <w:ind w:firstLine="480" w:firstLineChars="200"/>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附件三、付款</w:t>
      </w:r>
    </w:p>
    <w:p>
      <w:pPr>
        <w:pStyle w:val="12"/>
        <w:ind w:firstLine="480" w:firstLineChars="200"/>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附件四、消费者权益保护条款：</w:t>
      </w:r>
    </w:p>
    <w:p>
      <w:pPr>
        <w:pStyle w:val="12"/>
        <w:ind w:firstLine="480" w:firstLineChars="200"/>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附件五、廉洁诚信协议</w:t>
      </w: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pStyle w:val="12"/>
        <w:rPr>
          <w:rFonts w:hint="eastAsia" w:ascii="仿宋" w:hAnsi="仿宋" w:eastAsia="仿宋" w:cs="仿宋"/>
          <w:color w:val="000000"/>
          <w:kern w:val="0"/>
          <w:sz w:val="24"/>
          <w:szCs w:val="24"/>
          <w:lang w:val="en-US" w:eastAsia="zh-CN" w:bidi="ar"/>
        </w:rPr>
      </w:pPr>
    </w:p>
    <w:p>
      <w:pPr>
        <w:snapToGrid w:val="0"/>
        <w:spacing w:line="360" w:lineRule="auto"/>
        <w:jc w:val="center"/>
        <w:rPr>
          <w:rFonts w:ascii="楷体" w:hAnsi="楷体" w:eastAsia="楷体"/>
          <w:b/>
          <w:szCs w:val="24"/>
        </w:rPr>
      </w:pPr>
      <w:r>
        <w:rPr>
          <w:rFonts w:hint="eastAsia" w:ascii="楷体" w:hAnsi="楷体" w:eastAsia="楷体"/>
          <w:b/>
          <w:szCs w:val="24"/>
        </w:rPr>
        <w:t xml:space="preserve">   </w:t>
      </w:r>
      <w:r>
        <w:rPr>
          <w:rFonts w:hint="eastAsia" w:ascii="楷体" w:hAnsi="楷体" w:eastAsia="楷体"/>
          <w:b/>
          <w:szCs w:val="24"/>
          <w:lang w:val="en-US" w:eastAsia="zh-CN"/>
        </w:rPr>
        <w:t>合同</w:t>
      </w:r>
      <w:r>
        <w:rPr>
          <w:rFonts w:hint="eastAsia" w:ascii="楷体" w:hAnsi="楷体" w:eastAsia="楷体"/>
          <w:b/>
          <w:szCs w:val="24"/>
        </w:rPr>
        <w:t>附件</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附件一：服务内容及要求</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双方约定乙方向甲方提供的XX服务包括但不限于如下内容：</w:t>
      </w:r>
    </w:p>
    <w:tbl>
      <w:tblPr>
        <w:tblStyle w:val="29"/>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9"/>
        <w:gridCol w:w="1123"/>
        <w:gridCol w:w="1986"/>
        <w:gridCol w:w="1827"/>
        <w:gridCol w:w="1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42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center"/>
              <w:textAlignment w:val="auto"/>
              <w:rPr>
                <w:rFonts w:hint="eastAsia" w:ascii="仿宋" w:hAnsi="仿宋" w:eastAsia="仿宋" w:cs="仿宋"/>
                <w:color w:val="000000"/>
                <w:kern w:val="0"/>
                <w:sz w:val="24"/>
                <w:szCs w:val="24"/>
                <w:lang w:val="en-US" w:eastAsia="zh-CN" w:bidi="ar"/>
              </w:rPr>
            </w:pPr>
            <w:bookmarkStart w:id="122" w:name="OLE_LINK5"/>
            <w:r>
              <w:rPr>
                <w:rFonts w:hint="eastAsia" w:ascii="仿宋" w:hAnsi="仿宋" w:eastAsia="仿宋" w:cs="仿宋"/>
                <w:color w:val="000000"/>
                <w:kern w:val="0"/>
                <w:sz w:val="24"/>
                <w:szCs w:val="24"/>
                <w:lang w:val="en-US" w:eastAsia="zh-CN" w:bidi="ar"/>
              </w:rPr>
              <w:t>名称</w:t>
            </w:r>
            <w:bookmarkEnd w:id="122"/>
          </w:p>
        </w:tc>
        <w:tc>
          <w:tcPr>
            <w:tcW w:w="11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240" w:firstLineChars="100"/>
              <w:jc w:val="both"/>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数量</w:t>
            </w:r>
          </w:p>
        </w:tc>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jc w:val="center"/>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单价（元/幅/月）</w:t>
            </w:r>
          </w:p>
        </w:tc>
        <w:tc>
          <w:tcPr>
            <w:tcW w:w="182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jc w:val="center"/>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宣传时间（月）</w:t>
            </w:r>
          </w:p>
        </w:tc>
        <w:tc>
          <w:tcPr>
            <w:tcW w:w="14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jc w:val="both"/>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42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XX宣传服务</w:t>
            </w:r>
          </w:p>
        </w:tc>
        <w:tc>
          <w:tcPr>
            <w:tcW w:w="11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p>
        </w:tc>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p>
        </w:tc>
        <w:tc>
          <w:tcPr>
            <w:tcW w:w="182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p>
        </w:tc>
        <w:tc>
          <w:tcPr>
            <w:tcW w:w="14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242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人民币大写</w:t>
            </w:r>
          </w:p>
        </w:tc>
        <w:tc>
          <w:tcPr>
            <w:tcW w:w="6368"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242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加工周期</w:t>
            </w:r>
          </w:p>
        </w:tc>
        <w:tc>
          <w:tcPr>
            <w:tcW w:w="6368"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242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本服务发布时间</w:t>
            </w:r>
          </w:p>
        </w:tc>
        <w:tc>
          <w:tcPr>
            <w:tcW w:w="6368"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p>
        </w:tc>
      </w:tr>
    </w:tbl>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附件二：服务方案及验收</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1.双方约定的投放方案为：XX。</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2.乙方应在宣传内容制作和施工完毕后书面通知甲方进行验收，甲方须在接到通知后    天内进行验收，并在验收报告上签字。如对投放画面、内容等有任何异议，需在验收时以书面的方式提出。在通过甲方验收后方可正式计算投放时间。</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附件三：付款</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 本合同使用货币种类为人民币。</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 付款方式：XX。双方采用转账方式付款的，甲方应向乙方以下账户进行付费：</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乙方：XX</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开户行：XX</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账户名称：XX</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账号：XX</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乙方如需改变上述账户，应提前10日以书面通知甲方。</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3.付款安排</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甲方应于收到乙方提供的足额有效增值税专用发票后 30 个工作日内，按约定付款方式支付合同价款给乙方。</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附件四、消费者权益保护条款</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1.双方应严格按照相关法律法规要求履行消费者权益保护相关责任和义务。</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4.如乙方开展营销的，应履行销售适当性义务，建立适当性管理机制，严格落实监管机构对适当性管理的要求。</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5.甲方不得利用业务便利，强制指定乙方为消费者提供收费服务。</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6.甲、乙双方应建立健全消费者投诉处理机制，明示消费者投诉渠道和方式，完善投诉数据统计，妥善对接和处理合作过程中发生的保险消费纠纷。就消费投诉，</w:t>
      </w:r>
      <w:r>
        <w:rPr>
          <w:rFonts w:hint="eastAsia" w:ascii="仿宋" w:hAnsi="仿宋" w:eastAsia="仿宋" w:cs="仿宋"/>
          <w:color w:val="000000"/>
          <w:kern w:val="0"/>
          <w:sz w:val="24"/>
          <w:szCs w:val="24"/>
          <w:lang w:val="zh-CN" w:eastAsia="zh-CN" w:bidi="ar"/>
        </w:rPr>
        <w:t>应积极落实首问负责制，在</w:t>
      </w:r>
      <w:r>
        <w:rPr>
          <w:rFonts w:hint="eastAsia" w:ascii="仿宋" w:hAnsi="仿宋" w:eastAsia="仿宋" w:cs="仿宋"/>
          <w:color w:val="000000"/>
          <w:kern w:val="0"/>
          <w:sz w:val="24"/>
          <w:szCs w:val="24"/>
          <w:lang w:val="en-US" w:eastAsia="zh-CN" w:bidi="ar"/>
        </w:rPr>
        <w:t>消费者</w:t>
      </w:r>
      <w:r>
        <w:rPr>
          <w:rFonts w:hint="eastAsia" w:ascii="仿宋" w:hAnsi="仿宋" w:eastAsia="仿宋" w:cs="仿宋"/>
          <w:color w:val="000000"/>
          <w:kern w:val="0"/>
          <w:sz w:val="24"/>
          <w:szCs w:val="24"/>
          <w:lang w:val="zh-CN" w:eastAsia="zh-CN" w:bidi="ar"/>
        </w:rPr>
        <w:t>投诉发生的第一时间及时处理并</w:t>
      </w:r>
      <w:r>
        <w:rPr>
          <w:rFonts w:hint="eastAsia" w:ascii="仿宋" w:hAnsi="仿宋" w:eastAsia="仿宋" w:cs="仿宋"/>
          <w:color w:val="000000"/>
          <w:kern w:val="0"/>
          <w:sz w:val="24"/>
          <w:szCs w:val="24"/>
          <w:lang w:val="en-US" w:eastAsia="zh-CN" w:bidi="ar"/>
        </w:rPr>
        <w:t>妥善</w:t>
      </w:r>
      <w:r>
        <w:rPr>
          <w:rFonts w:hint="eastAsia" w:ascii="仿宋" w:hAnsi="仿宋" w:eastAsia="仿宋" w:cs="仿宋"/>
          <w:color w:val="000000"/>
          <w:kern w:val="0"/>
          <w:sz w:val="24"/>
          <w:szCs w:val="24"/>
          <w:lang w:val="zh-CN" w:eastAsia="zh-CN" w:bidi="ar"/>
        </w:rPr>
        <w:t>解决，依法</w:t>
      </w:r>
      <w:r>
        <w:rPr>
          <w:rFonts w:hint="eastAsia" w:ascii="仿宋" w:hAnsi="仿宋" w:eastAsia="仿宋" w:cs="仿宋"/>
          <w:color w:val="000000"/>
          <w:kern w:val="0"/>
          <w:sz w:val="24"/>
          <w:szCs w:val="24"/>
          <w:lang w:val="en-US" w:eastAsia="zh-CN" w:bidi="ar"/>
        </w:rPr>
        <w:t>合规</w:t>
      </w:r>
      <w:r>
        <w:rPr>
          <w:rFonts w:hint="eastAsia" w:ascii="仿宋" w:hAnsi="仿宋" w:eastAsia="仿宋" w:cs="仿宋"/>
          <w:color w:val="000000"/>
          <w:kern w:val="0"/>
          <w:sz w:val="24"/>
          <w:szCs w:val="24"/>
          <w:lang w:val="zh-CN" w:eastAsia="zh-CN" w:bidi="ar"/>
        </w:rPr>
        <w:t>开展</w:t>
      </w:r>
      <w:r>
        <w:rPr>
          <w:rFonts w:hint="eastAsia" w:ascii="仿宋" w:hAnsi="仿宋" w:eastAsia="仿宋" w:cs="仿宋"/>
          <w:color w:val="000000"/>
          <w:kern w:val="0"/>
          <w:sz w:val="24"/>
          <w:szCs w:val="24"/>
          <w:lang w:val="en-US" w:eastAsia="zh-CN" w:bidi="ar"/>
        </w:rPr>
        <w:t>消费者</w:t>
      </w:r>
      <w:r>
        <w:rPr>
          <w:rFonts w:hint="eastAsia" w:ascii="仿宋" w:hAnsi="仿宋" w:eastAsia="仿宋" w:cs="仿宋"/>
          <w:color w:val="000000"/>
          <w:kern w:val="0"/>
          <w:sz w:val="24"/>
          <w:szCs w:val="24"/>
          <w:lang w:val="zh-CN" w:eastAsia="zh-CN" w:bidi="ar"/>
        </w:rPr>
        <w:t>投诉处理工作，避免</w:t>
      </w:r>
      <w:r>
        <w:rPr>
          <w:rFonts w:hint="eastAsia" w:ascii="仿宋" w:hAnsi="仿宋" w:eastAsia="仿宋" w:cs="仿宋"/>
          <w:color w:val="000000"/>
          <w:kern w:val="0"/>
          <w:sz w:val="24"/>
          <w:szCs w:val="24"/>
          <w:lang w:val="en-US" w:eastAsia="zh-CN" w:bidi="ar"/>
        </w:rPr>
        <w:t>事态</w:t>
      </w:r>
      <w:r>
        <w:rPr>
          <w:rFonts w:hint="eastAsia" w:ascii="仿宋" w:hAnsi="仿宋" w:eastAsia="仿宋" w:cs="仿宋"/>
          <w:color w:val="000000"/>
          <w:kern w:val="0"/>
          <w:sz w:val="24"/>
          <w:szCs w:val="24"/>
          <w:lang w:val="zh-CN" w:eastAsia="zh-CN" w:bidi="ar"/>
        </w:rPr>
        <w:t>扩大产生</w:t>
      </w:r>
      <w:r>
        <w:rPr>
          <w:rFonts w:hint="eastAsia" w:ascii="仿宋" w:hAnsi="仿宋" w:eastAsia="仿宋" w:cs="仿宋"/>
          <w:color w:val="000000"/>
          <w:kern w:val="0"/>
          <w:sz w:val="24"/>
          <w:szCs w:val="24"/>
          <w:lang w:val="en-US" w:eastAsia="zh-CN" w:bidi="ar"/>
        </w:rPr>
        <w:t>负面</w:t>
      </w:r>
      <w:r>
        <w:rPr>
          <w:rFonts w:hint="eastAsia" w:ascii="仿宋" w:hAnsi="仿宋" w:eastAsia="仿宋" w:cs="仿宋"/>
          <w:color w:val="000000"/>
          <w:kern w:val="0"/>
          <w:sz w:val="24"/>
          <w:szCs w:val="24"/>
          <w:lang w:val="zh-CN" w:eastAsia="zh-CN" w:bidi="ar"/>
        </w:rPr>
        <w:t>影响。</w:t>
      </w:r>
      <w:r>
        <w:rPr>
          <w:rFonts w:hint="eastAsia" w:ascii="仿宋" w:hAnsi="仿宋" w:eastAsia="仿宋" w:cs="仿宋"/>
          <w:color w:val="000000"/>
          <w:kern w:val="0"/>
          <w:sz w:val="24"/>
          <w:szCs w:val="24"/>
          <w:lang w:val="en-US" w:eastAsia="zh-CN" w:bidi="ar"/>
        </w:rPr>
        <w:t>双方在投诉处理过程中应积极做好与政府、监管部门、新闻媒体等机构的沟通协调，防范风险扩散。</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7.甲、乙双方应根据消费者投诉反映出的问题积极进行溯源改进，查找服务薄弱环节和风险隐患，从源头上减少消费投诉的发生，提高服务水平，加强保险消费者权益保护。</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8.对于客户投诉较多、设计上存在缺陷的保险产品或服务，乙方及时通知甲方，并按照甲方要求妥善处理相关事宜，包括停止销售或提供服务等。</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9.甲、乙双方建立重大事件应急处理合作机制，密切关注群访群诉、群体性退保等事件，建立重大事项报告制度和问题处理应对预案，妥善处理客户纠纷，防止事态扩大。</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10.甲、乙双方均应严格遵照有关监管规定，全面、真实、客观地进行信息披露，不得有虚假记载、误导性陈述和重大遗漏。</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11.甲、乙双方应建立消费者权益保护内部培训机制，对从业人员开展消费者权益保护培训，提升培训效能，强化员工消费者权益保护意识。</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keepNext w:val="0"/>
        <w:keepLines w:val="0"/>
        <w:pageBreakBefore w:val="0"/>
        <w:widowControl/>
        <w:suppressLineNumbers w:val="0"/>
        <w:kinsoku/>
        <w:wordWrap w:val="0"/>
        <w:overflowPunct/>
        <w:topLinePunct/>
        <w:autoSpaceDE/>
        <w:autoSpaceDN/>
        <w:bidi w:val="0"/>
        <w:adjustRightInd/>
        <w:snapToGrid/>
        <w:ind w:firstLine="482" w:firstLineChars="2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附件五、廉洁诚信协议</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 总则</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1.3本协议所称相关主体，对任何一方而言，包括但不限于以下单位或者个人：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（1）一方或其关联方之工作人员；</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（2）受一方委托办理相关事务的单位或者个人；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（3）利用职权或者影响力影响交易的单位或者个人；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（4）前述相关人员的亲属；</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（5）与前述相关主体存在利害关系的其他单位或者人员。</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乙方相关主体实施违反本协议约定之行为的，均应视为乙方实施行为。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第二条  商业贿赂</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2.3本条第1款所称其他形式，包括但不限于：</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（1）以任何方式实施商业贿赂或违规提供回扣、折扣、宴请与游玩活动或其他不正当利益；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（2）为甲方或甲方相关主体安排有可能影响公平、公正交易的宴请、健身、娱乐等活动；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（3）为甲方或甲方相关主体投资入股、个人借款或买卖股票、债券等提供方便；</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（6）向甲方或甲方相关主体提供借款、融资、担保等；</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（7）给予或承诺给予其不正当利益的其他行为；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（8）其他违反国家法律法规或商业道德准则的影响公正交易的行为。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第三条  回扣</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3.3乙方在账外暗中给予甲方相关主体回扣的，视为实施商业贿赂行为。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第四条  折扣</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4.4乙方违反本条约定的，视为实施商业贿赂行为。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第五条  宴请与游玩活动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5.2乙方不得为甲方相关主体提供各种形式的旅游、健身、KTV、酒吧、按摩、赌博、色情等娱乐休闲活动。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5.3乙方违反本条约定的，视为实施商业贿赂行为。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第六条  禁止行为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双方一致同意双方或双方相关主体的如下行为是应当禁止的营私舞弊或腐败行为：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6.1甲方及甲方相关主体向乙方索要或收受财物或其他形式的财产性利益、非财产性利益。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（1）报销甲方相关主体的私人费用；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（2）提供超过宴请标准的宴请或娱乐活动；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（3）介绍甲方相关主体亲友到乙方处工作；</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（4）提出、邀请或事实上接受甲方相关主体在乙方参股或参与乙方经营活动；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（5）组织或向甲方相关主体提供旅游等代偿活动利益；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（6）向甲方相关主体提供借款、融资、担保等；</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（7）给予或承诺给予甲方相关主体不正当利益的其他行为；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（8）其他违反本协议约定、国家法律法规或商业道德准则的影响公正交易的行为。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第七条  乙方承诺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乙方承诺在双方的商务接洽、合同关系、交易过程中遵守如下要求：</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7.1 避免利害关系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7.2 恪守廉洁自律原则</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 恪守诚实信用原则</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7.3.3严格遵守甲方的供应商行为准则、合作协议、保密承诺书等政策文件中的相关规定。</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7.3.5严格遵守国家相关法律法规及甲方的管理规定，不参与任何违法活动。</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7.4 确保信息公开透明</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7.5 积极配合监督举报</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7.6 加强内部廉洁管理</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7.6.3建立举报制度：鼓励员工积极举报违规行为，对举报人予以保护并给予奖励。</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第八条  违约责任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8.5乙方知悉并同意，对于上述情形的处理甲方有完全的判断权和自主权。</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第九条  附则</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suppressLineNumbers w:val="0"/>
        <w:kinsoku/>
        <w:wordWrap w:val="0"/>
        <w:overflowPunct/>
        <w:topLinePunct/>
        <w:autoSpaceDE/>
        <w:autoSpaceDN/>
        <w:bidi w:val="0"/>
        <w:adjustRightInd/>
        <w:snapToGrid/>
        <w:ind w:firstLine="480" w:firstLineChars="200"/>
        <w:jc w:val="left"/>
        <w:textAlignment w:val="auto"/>
        <w:rPr>
          <w:rFonts w:hint="eastAsia" w:ascii="楷体" w:hAnsi="楷体" w:eastAsia="楷体"/>
          <w:sz w:val="24"/>
        </w:rPr>
      </w:pPr>
      <w:r>
        <w:rPr>
          <w:rFonts w:hint="eastAsia" w:ascii="仿宋" w:hAnsi="仿宋" w:eastAsia="仿宋" w:cs="仿宋"/>
          <w:color w:val="000000"/>
          <w:kern w:val="0"/>
          <w:sz w:val="24"/>
          <w:szCs w:val="24"/>
          <w:lang w:val="en-US" w:eastAsia="zh-CN" w:bidi="ar"/>
        </w:rPr>
        <w:t>9.5本协议长期有效。</w:t>
      </w:r>
    </w:p>
    <w:p>
      <w:pPr>
        <w:pStyle w:val="12"/>
      </w:pPr>
    </w:p>
    <w:p>
      <w:pPr>
        <w:pStyle w:val="12"/>
        <w:sectPr>
          <w:footerReference r:id="rId9" w:type="first"/>
          <w:footerReference r:id="rId8" w:type="default"/>
          <w:pgSz w:w="11906" w:h="16838"/>
          <w:pgMar w:top="1417" w:right="1134" w:bottom="1134" w:left="1134" w:header="851" w:footer="992" w:gutter="0"/>
          <w:pgNumType w:fmt="decimal" w:start="1"/>
          <w:cols w:space="720" w:num="1"/>
          <w:titlePg/>
          <w:docGrid w:type="lines" w:linePitch="312" w:charSpace="0"/>
        </w:sectPr>
      </w:pPr>
    </w:p>
    <w:p>
      <w:pPr>
        <w:pStyle w:val="2"/>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3" w:name="_Toc27878"/>
      <w:bookmarkStart w:id="124" w:name="_Toc20051"/>
      <w:r>
        <w:rPr>
          <w:rFonts w:hint="eastAsia" w:ascii="仿宋" w:hAnsi="仿宋" w:eastAsia="仿宋" w:cs="仿宋"/>
          <w:color w:val="000000" w:themeColor="text1"/>
          <w:sz w:val="28"/>
          <w:szCs w:val="28"/>
          <w14:textFill>
            <w14:solidFill>
              <w14:schemeClr w14:val="tx1"/>
            </w14:solidFill>
          </w14:textFill>
        </w:rPr>
        <w:t>第五章 采购需求</w:t>
      </w:r>
      <w:bookmarkEnd w:id="123"/>
      <w:bookmarkEnd w:id="124"/>
    </w:p>
    <w:p>
      <w:pPr>
        <w:pStyle w:val="3"/>
        <w:pageBreakBefore w:val="0"/>
        <w:kinsoku/>
        <w:overflowPunct/>
        <w:autoSpaceDE/>
        <w:autoSpaceDN/>
        <w:bidi w:val="0"/>
        <w:adjustRightInd/>
        <w:snapToGrid/>
        <w:spacing w:line="240" w:lineRule="auto"/>
        <w:ind w:firstLine="482" w:firstLineChars="200"/>
        <w:jc w:val="left"/>
        <w:textAlignment w:val="auto"/>
        <w:rPr>
          <w:rFonts w:hint="eastAsia" w:ascii="仿宋" w:hAnsi="仿宋" w:eastAsia="仿宋" w:cs="仿宋"/>
          <w:color w:val="000000"/>
          <w:sz w:val="24"/>
          <w:szCs w:val="24"/>
          <w:lang w:val="en-US" w:eastAsia="zh-CN"/>
        </w:rPr>
      </w:pPr>
      <w:bookmarkStart w:id="125" w:name="_Toc25432"/>
      <w:bookmarkStart w:id="126" w:name="_Toc9648"/>
      <w:bookmarkStart w:id="127" w:name="_Toc25854"/>
      <w:r>
        <w:rPr>
          <w:rFonts w:hint="eastAsia" w:ascii="仿宋" w:hAnsi="仿宋" w:eastAsia="仿宋" w:cs="仿宋"/>
          <w:color w:val="000000"/>
          <w:sz w:val="24"/>
          <w:szCs w:val="24"/>
          <w:lang w:val="en-US" w:eastAsia="zh-CN"/>
        </w:rPr>
        <w:t>一、采购项目背景</w:t>
      </w:r>
      <w:bookmarkEnd w:id="125"/>
      <w:bookmarkEnd w:id="126"/>
      <w:bookmarkEnd w:id="127"/>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为深入贯彻落实国家关于道路交通安全保障、惠民利民的相关工作要求，积极响应上级公司关于大力拓展机动车辆保险业务的部署安排，进一步拓宽我司车险政策与产品的宣传覆盖面，强化“人民保险 服务人民”的品牌印记，有效触达县域核心目标客户群体，促进我司车险业务发展达到有效提升保费的目的。</w:t>
      </w:r>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人民群众短距离出行多选择乘坐公交车，站台是上下车必过点位，其曝光度高。考虑到现有市场竞争程度，为了更好地宣传公司品牌效应，提升公司影响力，让更多客户了解公司产品，拟采购公交站台宣传画宣传服务，用于宣传车辆保险。 </w:t>
      </w:r>
    </w:p>
    <w:p>
      <w:pPr>
        <w:pStyle w:val="3"/>
        <w:pageBreakBefore w:val="0"/>
        <w:kinsoku/>
        <w:overflowPunct/>
        <w:autoSpaceDE/>
        <w:autoSpaceDN/>
        <w:bidi w:val="0"/>
        <w:adjustRightInd/>
        <w:snapToGrid/>
        <w:spacing w:line="240" w:lineRule="auto"/>
        <w:ind w:firstLine="482" w:firstLineChars="200"/>
        <w:jc w:val="left"/>
        <w:textAlignment w:val="auto"/>
        <w:rPr>
          <w:rFonts w:hint="eastAsia" w:ascii="仿宋" w:hAnsi="仿宋" w:eastAsia="仿宋" w:cs="仿宋"/>
          <w:b/>
          <w:bCs/>
          <w:iCs/>
          <w:color w:val="000000"/>
          <w:szCs w:val="24"/>
          <w:lang w:val="en-US" w:eastAsia="zh-CN" w:bidi="ar-SA"/>
        </w:rPr>
      </w:pPr>
      <w:bookmarkStart w:id="128" w:name="_Toc27471"/>
      <w:bookmarkStart w:id="129" w:name="_Toc19522"/>
      <w:bookmarkStart w:id="130" w:name="_Toc570"/>
      <w:r>
        <w:rPr>
          <w:rFonts w:hint="eastAsia" w:ascii="仿宋" w:hAnsi="仿宋" w:eastAsia="仿宋" w:cs="仿宋"/>
          <w:color w:val="000000"/>
          <w:sz w:val="24"/>
          <w:szCs w:val="24"/>
          <w:lang w:val="en-US" w:eastAsia="zh-CN"/>
        </w:rPr>
        <w:t>二、采购内容</w:t>
      </w:r>
      <w:bookmarkEnd w:id="128"/>
      <w:bookmarkEnd w:id="129"/>
      <w:bookmarkEnd w:id="130"/>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标包1：宣汉支公司车险公交站台宣传画宣传服务采购项目，选定1家供应商，为宣汉支公司在东南加油站等公交站台布置车险宣传画42幅，规格3.5M*1.5M，宣传期限6个月的车险公交站台宣传画宣传服务,不设置续约条款。</w:t>
      </w:r>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标包2：开江支公司车险公交站台宣传画宣传服务采购项目，选定1家供应商，为开江支公司提供在在水管处站等公交站台布置车险宣传画7幅，规格3.6M*1.62M，宣传期限12个月的车险公交站台宣传画宣传服务,不设置续约条款。</w:t>
      </w:r>
    </w:p>
    <w:p>
      <w:pPr>
        <w:pStyle w:val="3"/>
        <w:pageBreakBefore w:val="0"/>
        <w:kinsoku/>
        <w:overflowPunct/>
        <w:autoSpaceDE/>
        <w:autoSpaceDN/>
        <w:bidi w:val="0"/>
        <w:adjustRightInd/>
        <w:snapToGrid/>
        <w:spacing w:line="240" w:lineRule="auto"/>
        <w:ind w:firstLine="482" w:firstLineChars="200"/>
        <w:jc w:val="both"/>
        <w:textAlignment w:val="auto"/>
        <w:rPr>
          <w:rFonts w:hint="eastAsia" w:ascii="仿宋" w:hAnsi="仿宋" w:eastAsia="仿宋" w:cs="仿宋"/>
          <w:sz w:val="24"/>
          <w:szCs w:val="24"/>
          <w:lang w:val="en-US" w:eastAsia="zh-CN"/>
        </w:rPr>
      </w:pPr>
      <w:bookmarkStart w:id="131" w:name="_Toc29456"/>
      <w:bookmarkStart w:id="132" w:name="_Toc15749"/>
      <w:bookmarkStart w:id="133" w:name="_Toc15110"/>
      <w:r>
        <w:rPr>
          <w:rFonts w:hint="eastAsia" w:ascii="仿宋" w:hAnsi="仿宋" w:eastAsia="仿宋" w:cs="仿宋"/>
          <w:sz w:val="24"/>
          <w:szCs w:val="24"/>
          <w:lang w:val="en-US" w:eastAsia="zh-CN"/>
        </w:rPr>
        <w:t>三、采购数量</w:t>
      </w:r>
      <w:bookmarkEnd w:id="131"/>
      <w:bookmarkEnd w:id="132"/>
      <w:bookmarkEnd w:id="133"/>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标包1：宣汉支公司车险公交站台宣传画宣传服务采购项目,</w:t>
      </w:r>
      <w:r>
        <w:rPr>
          <w:rFonts w:hint="eastAsia" w:ascii="仿宋" w:hAnsi="仿宋" w:eastAsia="仿宋" w:cs="仿宋"/>
          <w:sz w:val="24"/>
          <w:szCs w:val="24"/>
          <w:lang w:val="en-US" w:eastAsia="zh-CN"/>
        </w:rPr>
        <w:t>拟采购公交站台宣传画42幅，宣传周期为6个月的车险公交站台宣传画宣传服务。</w:t>
      </w:r>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default" w:ascii="仿宋" w:hAnsi="仿宋" w:eastAsia="仿宋" w:cs="仿宋"/>
          <w:b/>
          <w:bCs/>
          <w:sz w:val="24"/>
          <w:szCs w:val="24"/>
          <w:lang w:val="en-US" w:eastAsia="zh-CN"/>
        </w:rPr>
      </w:pPr>
      <w:r>
        <w:rPr>
          <w:rFonts w:hint="eastAsia" w:ascii="仿宋" w:hAnsi="仿宋" w:eastAsia="仿宋" w:cs="仿宋"/>
          <w:b w:val="0"/>
          <w:bCs w:val="0"/>
          <w:sz w:val="24"/>
          <w:szCs w:val="24"/>
          <w:lang w:val="en-US" w:eastAsia="zh-CN"/>
        </w:rPr>
        <w:t>标包2：开江支公司车险公交站台宣传画宣传服务采购项目,</w:t>
      </w:r>
      <w:r>
        <w:rPr>
          <w:rFonts w:hint="eastAsia" w:ascii="仿宋" w:hAnsi="仿宋" w:eastAsia="仿宋" w:cs="仿宋"/>
          <w:sz w:val="24"/>
          <w:szCs w:val="24"/>
          <w:lang w:val="en-US" w:eastAsia="zh-CN"/>
        </w:rPr>
        <w:t>拟采购公交站台宣传画7幅，宣传周期为12个月的车险公交站台宣传画宣传服务。</w:t>
      </w:r>
    </w:p>
    <w:p>
      <w:pPr>
        <w:pStyle w:val="3"/>
        <w:pageBreakBefore w:val="0"/>
        <w:kinsoku/>
        <w:overflowPunct/>
        <w:autoSpaceDE/>
        <w:autoSpaceDN/>
        <w:bidi w:val="0"/>
        <w:adjustRightInd/>
        <w:snapToGrid/>
        <w:spacing w:line="240" w:lineRule="auto"/>
        <w:ind w:firstLine="482" w:firstLineChars="200"/>
        <w:jc w:val="left"/>
        <w:textAlignment w:val="auto"/>
        <w:rPr>
          <w:rFonts w:hint="eastAsia" w:ascii="仿宋" w:hAnsi="仿宋" w:eastAsia="仿宋" w:cs="仿宋"/>
          <w:sz w:val="24"/>
          <w:szCs w:val="24"/>
          <w:lang w:val="en-US" w:eastAsia="zh-CN"/>
        </w:rPr>
      </w:pPr>
      <w:bookmarkStart w:id="134" w:name="_Toc25885"/>
      <w:bookmarkStart w:id="135" w:name="_Toc19936"/>
      <w:bookmarkStart w:id="136" w:name="_Toc17559"/>
      <w:r>
        <w:rPr>
          <w:rFonts w:hint="eastAsia" w:ascii="仿宋" w:hAnsi="仿宋" w:eastAsia="仿宋" w:cs="仿宋"/>
          <w:sz w:val="24"/>
          <w:szCs w:val="24"/>
          <w:lang w:val="en-US" w:eastAsia="zh-CN"/>
        </w:rPr>
        <w:t>四、付款方式</w:t>
      </w:r>
      <w:bookmarkEnd w:id="134"/>
      <w:bookmarkEnd w:id="135"/>
      <w:bookmarkEnd w:id="136"/>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标包1拟采用</w:t>
      </w:r>
      <w:r>
        <w:rPr>
          <w:rFonts w:hint="eastAsia" w:ascii="仿宋" w:hAnsi="仿宋" w:eastAsia="仿宋" w:cs="仿宋"/>
          <w:sz w:val="24"/>
          <w:szCs w:val="24"/>
          <w:lang w:val="en-US" w:eastAsia="zh-CN"/>
        </w:rPr>
        <w:t>银行转账，按季度结算宣传服务费用。</w:t>
      </w:r>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标包2拟采用</w:t>
      </w:r>
      <w:r>
        <w:rPr>
          <w:rFonts w:hint="eastAsia" w:ascii="仿宋" w:hAnsi="仿宋" w:eastAsia="仿宋" w:cs="仿宋"/>
          <w:sz w:val="24"/>
          <w:szCs w:val="24"/>
          <w:lang w:val="en-US" w:eastAsia="zh-CN"/>
        </w:rPr>
        <w:t>银行转账，一次性结算宣传服务费用。</w:t>
      </w:r>
    </w:p>
    <w:p>
      <w:pPr>
        <w:pStyle w:val="3"/>
        <w:pageBreakBefore w:val="0"/>
        <w:kinsoku/>
        <w:overflowPunct/>
        <w:autoSpaceDE/>
        <w:autoSpaceDN/>
        <w:bidi w:val="0"/>
        <w:adjustRightInd/>
        <w:snapToGrid/>
        <w:spacing w:line="240" w:lineRule="auto"/>
        <w:ind w:firstLine="482" w:firstLineChars="200"/>
        <w:jc w:val="left"/>
        <w:textAlignment w:val="auto"/>
        <w:rPr>
          <w:rFonts w:hint="eastAsia" w:ascii="仿宋" w:hAnsi="仿宋" w:eastAsia="仿宋" w:cs="仿宋"/>
          <w:sz w:val="24"/>
          <w:szCs w:val="24"/>
          <w:lang w:val="en-US" w:eastAsia="zh-CN"/>
        </w:rPr>
      </w:pPr>
      <w:bookmarkStart w:id="137" w:name="_Toc28342"/>
      <w:bookmarkStart w:id="138" w:name="_Toc9423"/>
      <w:bookmarkStart w:id="139" w:name="_Toc31093"/>
      <w:r>
        <w:rPr>
          <w:rFonts w:hint="eastAsia" w:ascii="仿宋" w:hAnsi="仿宋" w:eastAsia="仿宋" w:cs="仿宋"/>
          <w:sz w:val="24"/>
          <w:szCs w:val="24"/>
          <w:lang w:val="en-US" w:eastAsia="zh-CN"/>
        </w:rPr>
        <w:t>五、规格型号/技术/服务要求</w:t>
      </w:r>
      <w:bookmarkEnd w:id="137"/>
      <w:bookmarkEnd w:id="138"/>
      <w:bookmarkEnd w:id="139"/>
    </w:p>
    <w:p>
      <w:pPr>
        <w:pStyle w:val="12"/>
        <w:keepNext w:val="0"/>
        <w:keepLines w:val="0"/>
        <w:pageBreakBefore w:val="0"/>
        <w:widowControl/>
        <w:kinsoku/>
        <w:wordWrap w:val="0"/>
        <w:overflowPunct/>
        <w:topLinePunct/>
        <w:autoSpaceDE/>
        <w:autoSpaceDN/>
        <w:bidi w:val="0"/>
        <w:adjustRightInd/>
        <w:snapToGrid/>
        <w:spacing w:line="240" w:lineRule="auto"/>
        <w:ind w:firstLine="480" w:firstLineChars="200"/>
        <w:textAlignment w:val="auto"/>
        <w:rPr>
          <w:rFonts w:hint="eastAsia" w:ascii="仿宋" w:hAnsi="仿宋" w:eastAsia="仿宋" w:cs="仿宋"/>
          <w:sz w:val="28"/>
          <w:szCs w:val="28"/>
          <w:lang w:val="en-US" w:eastAsia="zh-CN"/>
        </w:rPr>
      </w:pPr>
      <w:r>
        <w:rPr>
          <w:rFonts w:hint="eastAsia" w:ascii="仿宋" w:hAnsi="仿宋" w:eastAsia="仿宋" w:cs="仿宋"/>
          <w:sz w:val="24"/>
          <w:szCs w:val="24"/>
          <w:lang w:val="en-US" w:eastAsia="zh-CN"/>
        </w:rPr>
        <w:t>本项目拟采购</w:t>
      </w:r>
      <w:r>
        <w:rPr>
          <w:rFonts w:hint="eastAsia" w:ascii="仿宋" w:hAnsi="仿宋" w:eastAsia="仿宋" w:cs="仿宋"/>
          <w:b w:val="0"/>
          <w:bCs w:val="0"/>
          <w:sz w:val="24"/>
          <w:szCs w:val="24"/>
          <w:lang w:val="en-US" w:eastAsia="zh-CN"/>
        </w:rPr>
        <w:t>车险公交站台宣传画宣传服务</w:t>
      </w:r>
      <w:r>
        <w:rPr>
          <w:rFonts w:hint="eastAsia" w:ascii="仿宋" w:hAnsi="仿宋" w:eastAsia="仿宋" w:cs="仿宋"/>
          <w:sz w:val="24"/>
          <w:szCs w:val="24"/>
          <w:lang w:val="en-US" w:eastAsia="zh-CN"/>
        </w:rPr>
        <w:t>，内容包括设计、发布等，原则上应于合同签订15天之内完成项目。</w:t>
      </w:r>
    </w:p>
    <w:p>
      <w:pPr>
        <w:pStyle w:val="12"/>
      </w:pPr>
      <w:r>
        <w:rPr>
          <w:rFonts w:hint="eastAsia"/>
        </w:rPr>
        <w:t xml:space="preserve"> </w:t>
      </w:r>
      <w:r>
        <w:t xml:space="preserve">   </w:t>
      </w:r>
    </w:p>
    <w:p/>
    <w:p>
      <w:pPr>
        <w:pStyle w:val="12"/>
      </w:pPr>
    </w:p>
    <w:p>
      <w:pPr>
        <w:pStyle w:val="2"/>
        <w:spacing w:before="0" w:after="0"/>
        <w:ind w:left="0" w:leftChars="0" w:firstLine="0" w:firstLineChars="0"/>
        <w:jc w:val="left"/>
        <w:rPr>
          <w:rFonts w:hint="eastAsia" w:ascii="仿宋" w:hAnsi="仿宋" w:eastAsia="仿宋" w:cs="仿宋"/>
          <w:sz w:val="28"/>
          <w:szCs w:val="28"/>
        </w:rPr>
      </w:pPr>
      <w:bookmarkStart w:id="140" w:name="_Toc3675"/>
      <w:bookmarkStart w:id="141" w:name="_Toc9891"/>
    </w:p>
    <w:p>
      <w:pPr>
        <w:pStyle w:val="2"/>
        <w:spacing w:before="0" w:after="0"/>
        <w:ind w:left="0" w:leftChars="0" w:firstLine="0" w:firstLineChars="0"/>
        <w:jc w:val="center"/>
        <w:rPr>
          <w:rFonts w:ascii="仿宋" w:hAnsi="仿宋" w:eastAsia="仿宋" w:cs="仿宋"/>
          <w:sz w:val="28"/>
          <w:szCs w:val="28"/>
        </w:rPr>
      </w:pPr>
      <w:bookmarkStart w:id="142" w:name="_Toc10940"/>
      <w:r>
        <w:rPr>
          <w:rFonts w:hint="eastAsia" w:ascii="仿宋" w:hAnsi="仿宋" w:eastAsia="仿宋" w:cs="仿宋"/>
          <w:sz w:val="28"/>
          <w:szCs w:val="28"/>
        </w:rPr>
        <w:t>第六章 响应文件格式</w:t>
      </w:r>
      <w:bookmarkEnd w:id="140"/>
      <w:bookmarkEnd w:id="142"/>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624" w:after="156" w:line="160" w:lineRule="atLeast"/>
              <w:ind w:right="-284"/>
              <w:jc w:val="center"/>
              <w:rPr>
                <w:rFonts w:hint="eastAsia" w:ascii="仿宋" w:hAnsi="仿宋" w:eastAsia="仿宋" w:cs="仿宋"/>
                <w:color w:val="000000"/>
                <w:sz w:val="36"/>
                <w:szCs w:val="20"/>
              </w:rPr>
            </w:pPr>
            <w:r>
              <w:rPr>
                <w:rFonts w:hint="eastAsia" w:ascii="仿宋" w:hAnsi="仿宋" w:eastAsia="仿宋" w:cs="仿宋"/>
                <w:color w:val="000000"/>
                <w:sz w:val="36"/>
                <w:szCs w:val="20"/>
              </w:rPr>
              <w:t>人保财险四川省达州市分公司2026年度</w:t>
            </w:r>
          </w:p>
          <w:p>
            <w:pPr>
              <w:pStyle w:val="61"/>
              <w:spacing w:before="624" w:after="156" w:line="160" w:lineRule="atLeast"/>
              <w:ind w:right="-284"/>
              <w:jc w:val="center"/>
              <w:rPr>
                <w:rFonts w:hint="eastAsia" w:ascii="仿宋" w:hAnsi="仿宋" w:eastAsia="仿宋" w:cs="仿宋"/>
                <w:color w:val="000000"/>
                <w:sz w:val="36"/>
                <w:szCs w:val="20"/>
              </w:rPr>
            </w:pPr>
            <w:r>
              <w:rPr>
                <w:rFonts w:hint="eastAsia" w:ascii="仿宋" w:hAnsi="仿宋" w:eastAsia="仿宋" w:cs="仿宋"/>
                <w:color w:val="000000"/>
                <w:sz w:val="36"/>
                <w:szCs w:val="20"/>
              </w:rPr>
              <w:t>车险公交站台宣传画宣传服务采购项目</w:t>
            </w: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谈判响应文件</w:t>
            </w: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1920" w:firstLineChars="800"/>
              <w:rPr>
                <w:rFonts w:hint="default" w:ascii="仿宋" w:hAnsi="仿宋" w:eastAsia="仿宋" w:cs="仿宋"/>
                <w:color w:val="000000"/>
                <w:sz w:val="24"/>
                <w:lang w:val="en-US" w:eastAsia="zh-CN"/>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r>
              <w:rPr>
                <w:rFonts w:hint="eastAsia" w:ascii="仿宋" w:hAnsi="仿宋" w:eastAsia="仿宋" w:cs="仿宋"/>
                <w:color w:val="000000"/>
                <w:sz w:val="24"/>
                <w:u w:val="single"/>
                <w:lang w:val="en-US" w:eastAsia="zh-CN"/>
              </w:rPr>
              <w:t xml:space="preserve">                         </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法定代表人或其委托的代理人：</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3"/>
        <w:jc w:val="both"/>
        <w:rPr>
          <w:rFonts w:ascii="仿宋" w:hAnsi="仿宋" w:eastAsia="仿宋" w:cs="仿宋"/>
          <w:color w:val="000000"/>
          <w:sz w:val="24"/>
          <w:szCs w:val="24"/>
        </w:rPr>
      </w:pPr>
      <w:bookmarkStart w:id="143" w:name="_Toc3936"/>
      <w:bookmarkStart w:id="144" w:name="_Toc287600131"/>
      <w:bookmarkStart w:id="145" w:name="_Toc25957"/>
      <w:bookmarkStart w:id="146" w:name="_Toc19910"/>
      <w:bookmarkStart w:id="147" w:name="_Toc517281836"/>
      <w:bookmarkStart w:id="148" w:name="_Toc444891353"/>
      <w:bookmarkStart w:id="149" w:name="_Toc19783362"/>
      <w:bookmarkStart w:id="150" w:name="_Toc11783"/>
      <w:bookmarkStart w:id="151" w:name="_Toc21280"/>
      <w:bookmarkStart w:id="152" w:name="_Toc287600129"/>
      <w:bookmarkStart w:id="153" w:name="_Toc19783360"/>
      <w:r>
        <w:rPr>
          <w:rFonts w:ascii="仿宋" w:hAnsi="仿宋" w:eastAsia="仿宋" w:cs="仿宋"/>
          <w:color w:val="000000"/>
          <w:sz w:val="24"/>
          <w:szCs w:val="24"/>
        </w:rPr>
        <w:br w:type="page"/>
      </w:r>
      <w:bookmarkEnd w:id="143"/>
    </w:p>
    <w:p>
      <w:pPr>
        <w:rPr>
          <w:rFonts w:ascii="宋体" w:hAnsi="宋体"/>
          <w:szCs w:val="21"/>
        </w:rPr>
        <w:sectPr>
          <w:footerReference r:id="rId10" w:type="default"/>
          <w:pgSz w:w="11906" w:h="16838"/>
          <w:pgMar w:top="1417" w:right="1134" w:bottom="1134" w:left="1134" w:header="964" w:footer="964" w:gutter="0"/>
          <w:pgNumType w:fmt="decimal"/>
          <w:cols w:space="720" w:num="1"/>
          <w:docGrid w:linePitch="312" w:charSpace="0"/>
        </w:sectPr>
      </w:pPr>
    </w:p>
    <w:bookmarkEnd w:id="144"/>
    <w:bookmarkEnd w:id="145"/>
    <w:bookmarkEnd w:id="146"/>
    <w:bookmarkEnd w:id="147"/>
    <w:bookmarkEnd w:id="148"/>
    <w:bookmarkEnd w:id="149"/>
    <w:bookmarkEnd w:id="150"/>
    <w:bookmarkEnd w:id="151"/>
    <w:p>
      <w:pPr>
        <w:pStyle w:val="4"/>
        <w:spacing w:before="0" w:line="440" w:lineRule="exact"/>
        <w:rPr>
          <w:rFonts w:ascii="仿宋" w:hAnsi="仿宋" w:eastAsia="仿宋" w:cs="仿宋"/>
          <w:color w:val="000000"/>
          <w:sz w:val="24"/>
          <w:szCs w:val="24"/>
        </w:rPr>
      </w:pPr>
      <w:bookmarkStart w:id="154" w:name="_Toc3383"/>
      <w:bookmarkStart w:id="155" w:name="_Toc27958"/>
      <w:bookmarkStart w:id="156" w:name="_Toc7202"/>
      <w:bookmarkStart w:id="157" w:name="_Toc444891354"/>
      <w:bookmarkStart w:id="158" w:name="_Toc25121"/>
      <w:bookmarkStart w:id="159" w:name="_Toc27799"/>
      <w:bookmarkStart w:id="160" w:name="_Toc12140"/>
      <w:bookmarkStart w:id="161" w:name="_Toc517281837"/>
      <w:r>
        <w:rPr>
          <w:rFonts w:hint="eastAsia" w:ascii="仿宋" w:hAnsi="仿宋" w:eastAsia="仿宋" w:cs="仿宋"/>
          <w:color w:val="000000"/>
          <w:sz w:val="24"/>
          <w:szCs w:val="24"/>
        </w:rPr>
        <w:t>（一）响应函</w:t>
      </w:r>
      <w:bookmarkEnd w:id="154"/>
      <w:bookmarkEnd w:id="155"/>
    </w:p>
    <w:p>
      <w:pPr>
        <w:pStyle w:val="61"/>
        <w:spacing w:line="440" w:lineRule="exact"/>
        <w:rPr>
          <w:rFonts w:hint="eastAsia" w:ascii="仿宋" w:hAnsi="仿宋" w:eastAsia="仿宋" w:cs="Cambria Math"/>
          <w:color w:val="000000"/>
          <w:sz w:val="24"/>
          <w:szCs w:val="24"/>
          <w:u w:val="none"/>
          <w:lang w:eastAsia="zh-CN"/>
        </w:rPr>
      </w:pPr>
      <w:r>
        <w:rPr>
          <w:rFonts w:hint="eastAsia" w:ascii="仿宋" w:hAnsi="仿宋" w:eastAsia="仿宋" w:cs="Cambria Math"/>
          <w:color w:val="000000"/>
          <w:sz w:val="24"/>
          <w:szCs w:val="24"/>
          <w:u w:val="single"/>
        </w:rPr>
        <w:t xml:space="preserve">（采购人名称）     </w:t>
      </w:r>
      <w:r>
        <w:rPr>
          <w:rFonts w:hint="eastAsia" w:ascii="仿宋" w:hAnsi="仿宋" w:eastAsia="仿宋" w:cs="Cambria Math"/>
          <w:color w:val="000000"/>
          <w:sz w:val="24"/>
          <w:szCs w:val="24"/>
          <w:u w:val="none"/>
          <w:lang w:eastAsia="zh-CN"/>
        </w:rPr>
        <w:t>：</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竞争性谈判文件的全部内容，包括澄清或者修改文件以及有关附件，我方将严格按照竞争性谈判文件要求递交符合要求的全部谈判响应文件。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本响应函及谈判</w:t>
      </w:r>
      <w:r>
        <w:rPr>
          <w:rFonts w:hint="eastAsia" w:ascii="仿宋" w:hAnsi="仿宋" w:eastAsia="仿宋" w:cs="Cambria Math"/>
          <w:color w:val="000000" w:themeColor="text1"/>
          <w:u w:val="none"/>
          <w14:textFill>
            <w14:solidFill>
              <w14:schemeClr w14:val="tx1"/>
            </w14:solidFill>
          </w14:textFill>
        </w:rPr>
        <w:t>响应文件自谈判响应文件提交截止日起有效期为</w:t>
      </w:r>
      <w:r>
        <w:rPr>
          <w:rFonts w:hint="eastAsia" w:ascii="仿宋" w:hAnsi="仿宋" w:eastAsia="仿宋" w:cs="Cambria Math"/>
          <w:color w:val="000000" w:themeColor="text1"/>
          <w:u w:val="single"/>
          <w:lang w:val="en-US" w:eastAsia="zh-CN"/>
          <w14:textFill>
            <w14:solidFill>
              <w14:schemeClr w14:val="tx1"/>
            </w14:solidFill>
          </w14:textFill>
        </w:rPr>
        <w:t>90</w:t>
      </w:r>
      <w:r>
        <w:rPr>
          <w:rFonts w:hint="eastAsia" w:ascii="仿宋" w:hAnsi="仿宋" w:eastAsia="仿宋" w:cs="Cambria Math"/>
          <w:color w:val="000000" w:themeColor="text1"/>
          <w:u w:val="single"/>
          <w14:textFill>
            <w14:solidFill>
              <w14:schemeClr w14:val="tx1"/>
            </w14:solidFill>
          </w14:textFill>
        </w:rPr>
        <w:t>天</w:t>
      </w:r>
      <w:r>
        <w:rPr>
          <w:rFonts w:hint="eastAsia" w:ascii="仿宋" w:hAnsi="仿宋" w:eastAsia="仿宋" w:cs="Cambria Math"/>
          <w:color w:val="000000"/>
        </w:rPr>
        <w:t>，我方承诺在响应有效期内不修改、撤销谈判响应文件。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我方承诺提供谈判过程中可能要求的澄清、说明、补正或者算术性错误修正确认，并同意我方提供的以上材料构成我方响应文件的组成部分。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（2）我方承诺按照竞争性谈判文件规定递交履约保证金。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（3）我方承诺按照竞争性谈判文件的规定及合同约定履行相关责任和义务。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4"/>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52"/>
      <w:bookmarkEnd w:id="153"/>
      <w:bookmarkEnd w:id="156"/>
      <w:bookmarkEnd w:id="157"/>
      <w:bookmarkEnd w:id="158"/>
      <w:bookmarkEnd w:id="159"/>
      <w:bookmarkEnd w:id="160"/>
      <w:bookmarkEnd w:id="161"/>
      <w:bookmarkStart w:id="162" w:name="_Toc2993"/>
      <w:bookmarkStart w:id="163" w:name="_Toc13983"/>
      <w:r>
        <w:rPr>
          <w:rFonts w:hint="eastAsia" w:ascii="仿宋" w:hAnsi="仿宋" w:eastAsia="仿宋" w:cs="仿宋"/>
          <w:color w:val="000000"/>
          <w:sz w:val="24"/>
          <w:szCs w:val="24"/>
        </w:rPr>
        <w:t>（二）法定代表人（负责人）身份证明书</w:t>
      </w:r>
      <w:bookmarkEnd w:id="162"/>
      <w:bookmarkEnd w:id="163"/>
      <w:r>
        <w:rPr>
          <w:rFonts w:hint="eastAsia" w:ascii="仿宋" w:hAnsi="仿宋" w:eastAsia="仿宋" w:cs="仿宋"/>
          <w:color w:val="000000"/>
          <w:sz w:val="24"/>
          <w:szCs w:val="24"/>
        </w:rPr>
        <w:tab/>
      </w:r>
    </w:p>
    <w:p>
      <w:pPr>
        <w:spacing w:line="360" w:lineRule="auto"/>
        <w:jc w:val="center"/>
        <w:rPr>
          <w:rFonts w:hint="eastAsia" w:ascii="仿宋" w:hAnsi="仿宋" w:eastAsia="仿宋" w:cs="仿宋"/>
          <w:b/>
          <w:color w:val="000000"/>
        </w:rPr>
      </w:pP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4384;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64" w:name="_Toc287600130"/>
      <w:bookmarkStart w:id="165" w:name="_Toc5582"/>
      <w:bookmarkStart w:id="166" w:name="_Toc444891355"/>
      <w:bookmarkStart w:id="167" w:name="_Toc24788"/>
      <w:bookmarkStart w:id="168" w:name="_Toc20707"/>
      <w:bookmarkStart w:id="169" w:name="_Toc26267"/>
      <w:bookmarkStart w:id="170" w:name="_Toc19783361"/>
      <w:bookmarkStart w:id="171" w:name="_Toc22124"/>
      <w:bookmarkStart w:id="172" w:name="_Toc517281838"/>
      <w:bookmarkStart w:id="173" w:name="_Toc4426"/>
      <w:r>
        <w:rPr>
          <w:rFonts w:hint="eastAsia" w:ascii="仿宋" w:hAnsi="仿宋" w:eastAsia="仿宋" w:cs="仿宋"/>
          <w:color w:val="000000"/>
          <w:sz w:val="24"/>
          <w:szCs w:val="24"/>
        </w:rPr>
        <w:t>（三）法定代表人（负责人）授权委托书</w:t>
      </w:r>
      <w:bookmarkEnd w:id="164"/>
      <w:bookmarkEnd w:id="165"/>
      <w:bookmarkEnd w:id="166"/>
      <w:bookmarkEnd w:id="167"/>
      <w:bookmarkEnd w:id="168"/>
      <w:bookmarkEnd w:id="169"/>
      <w:bookmarkEnd w:id="170"/>
      <w:bookmarkEnd w:id="171"/>
      <w:bookmarkEnd w:id="172"/>
      <w:bookmarkEnd w:id="173"/>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谈判响应文件、签订合同和处理有关事宜，其法律后果由我方承担。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之日起至谈判响应有效期到期之日为止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5408;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6432"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6432;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12"/>
        <w:rPr>
          <w:rFonts w:ascii="宋体" w:hAnsi="宋体"/>
          <w:szCs w:val="21"/>
        </w:rPr>
      </w:pPr>
    </w:p>
    <w:p>
      <w:pPr>
        <w:pStyle w:val="12"/>
        <w:rPr>
          <w:rFonts w:ascii="宋体" w:hAnsi="宋体"/>
          <w:szCs w:val="21"/>
        </w:rPr>
      </w:pPr>
    </w:p>
    <w:p>
      <w:pPr>
        <w:pStyle w:val="1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4"/>
        <w:spacing w:before="0" w:after="0" w:line="360" w:lineRule="auto"/>
        <w:rPr>
          <w:rFonts w:ascii="仿宋" w:hAnsi="仿宋" w:eastAsia="仿宋" w:cs="仿宋"/>
          <w:color w:val="000000"/>
          <w:sz w:val="24"/>
          <w:szCs w:val="24"/>
        </w:rPr>
      </w:pPr>
      <w:bookmarkStart w:id="174" w:name="_Toc15348"/>
      <w:bookmarkStart w:id="175" w:name="_Toc30551"/>
      <w:bookmarkStart w:id="176" w:name="_Toc517281841"/>
      <w:r>
        <w:rPr>
          <w:rFonts w:hint="eastAsia" w:ascii="仿宋" w:hAnsi="仿宋" w:eastAsia="仿宋" w:cs="仿宋"/>
          <w:color w:val="000000"/>
          <w:sz w:val="24"/>
          <w:szCs w:val="24"/>
        </w:rPr>
        <w:t>（四）资格证明文件</w:t>
      </w:r>
      <w:bookmarkEnd w:id="174"/>
      <w:bookmarkEnd w:id="175"/>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5"/>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2、具有良好的商业信誉及财务制度</w:t>
      </w:r>
    </w:p>
    <w:p>
      <w:pPr>
        <w:pStyle w:val="12"/>
        <w:spacing w:before="240"/>
        <w:jc w:val="center"/>
        <w:rPr>
          <w:rFonts w:hint="eastAsia" w:ascii="仿宋" w:hAnsi="仿宋" w:eastAsia="仿宋" w:cs="Cambria Math"/>
          <w:b w:val="0"/>
          <w:bCs w:val="0"/>
          <w:color w:val="000000" w:themeColor="text1"/>
          <w14:textFill>
            <w14:solidFill>
              <w14:schemeClr w14:val="tx1"/>
            </w14:solidFill>
          </w14:textFill>
        </w:rPr>
      </w:pPr>
    </w:p>
    <w:p>
      <w:pPr>
        <w:pStyle w:val="12"/>
        <w:spacing w:before="240"/>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《具有良好的</w:t>
      </w:r>
      <w:r>
        <w:rPr>
          <w:rFonts w:hint="eastAsia" w:ascii="仿宋" w:hAnsi="仿宋" w:eastAsia="仿宋" w:cs="Cambria Math"/>
          <w:b w:val="0"/>
          <w:bCs w:val="0"/>
          <w:color w:val="000000" w:themeColor="text1"/>
          <w:lang w:val="en-US" w:eastAsia="zh-CN"/>
          <w14:textFill>
            <w14:solidFill>
              <w14:schemeClr w14:val="tx1"/>
            </w14:solidFill>
          </w14:textFill>
        </w:rPr>
        <w:t>商业信誉及财务制度</w:t>
      </w:r>
      <w:r>
        <w:rPr>
          <w:rFonts w:hint="eastAsia" w:ascii="仿宋" w:hAnsi="仿宋" w:eastAsia="仿宋" w:cs="Cambria Math"/>
          <w:b w:val="0"/>
          <w:bCs w:val="0"/>
          <w:color w:val="000000" w:themeColor="text1"/>
          <w14:textFill>
            <w14:solidFill>
              <w14:schemeClr w14:val="tx1"/>
            </w14:solidFill>
          </w14:textFill>
        </w:rPr>
        <w:t>承诺</w:t>
      </w:r>
      <w:r>
        <w:rPr>
          <w:rFonts w:hint="eastAsia" w:ascii="仿宋" w:hAnsi="仿宋" w:eastAsia="仿宋" w:cs="Cambria Math"/>
          <w:b w:val="0"/>
          <w:bCs w:val="0"/>
          <w:color w:val="000000" w:themeColor="text1"/>
          <w:lang w:val="en-US" w:eastAsia="zh-CN"/>
          <w14:textFill>
            <w14:solidFill>
              <w14:schemeClr w14:val="tx1"/>
            </w14:solidFill>
          </w14:textFill>
        </w:rPr>
        <w:t>函</w:t>
      </w:r>
      <w:r>
        <w:rPr>
          <w:rFonts w:hint="eastAsia" w:ascii="仿宋" w:hAnsi="仿宋" w:eastAsia="仿宋" w:cs="Cambria Math"/>
          <w:b w:val="0"/>
          <w:bCs w:val="0"/>
          <w:color w:val="000000" w:themeColor="text1"/>
          <w14:textFill>
            <w14:solidFill>
              <w14:schemeClr w14:val="tx1"/>
            </w14:solidFill>
          </w14:textFill>
        </w:rPr>
        <w:t>》</w:t>
      </w:r>
    </w:p>
    <w:p>
      <w:pPr>
        <w:pStyle w:val="12"/>
        <w:spacing w:before="240"/>
        <w:jc w:val="center"/>
        <w:rPr>
          <w:rFonts w:hint="eastAsia" w:ascii="仿宋" w:hAnsi="仿宋" w:eastAsia="仿宋" w:cs="Cambria Math"/>
          <w:b w:val="0"/>
          <w:bCs w:val="0"/>
          <w:color w:val="000000" w:themeColor="text1"/>
          <w14:textFill>
            <w14:solidFill>
              <w14:schemeClr w14:val="tx1"/>
            </w14:solidFill>
          </w14:textFill>
        </w:rPr>
      </w:pPr>
    </w:p>
    <w:p>
      <w:pPr>
        <w:pStyle w:val="12"/>
        <w:spacing w:before="240"/>
        <w:ind w:firstLine="480" w:firstLineChars="200"/>
        <w:jc w:val="both"/>
        <w:rPr>
          <w:rFonts w:ascii="仿宋" w:hAnsi="仿宋" w:eastAsia="仿宋" w:cs="Cambria Math"/>
          <w:color w:val="000000"/>
        </w:rPr>
      </w:pP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我方</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（供应商名称）</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承诺符合</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w:t>
      </w:r>
      <w:r>
        <w:rPr>
          <w:rFonts w:hint="eastAsia" w:ascii="仿宋" w:hAnsi="仿宋" w:eastAsia="仿宋" w:cs="Cambria Math"/>
          <w:b w:val="0"/>
          <w:bCs w:val="0"/>
          <w:color w:val="000000" w:themeColor="text1"/>
          <w:u w:val="single"/>
          <w:lang w:val="en-US" w:eastAsia="zh-CN"/>
          <w14:textFill>
            <w14:solidFill>
              <w14:schemeClr w14:val="tx1"/>
            </w14:solidFill>
          </w14:textFill>
        </w:rPr>
        <w:t>项目名称</w:t>
      </w:r>
      <w:r>
        <w:rPr>
          <w:rFonts w:hint="eastAsia" w:ascii="仿宋" w:hAnsi="仿宋" w:eastAsia="仿宋" w:cs="Cambria Math"/>
          <w:b w:val="0"/>
          <w:bCs w:val="0"/>
          <w:color w:val="000000" w:themeColor="text1"/>
          <w:u w:val="single"/>
          <w14:textFill>
            <w14:solidFill>
              <w14:schemeClr w14:val="tx1"/>
            </w14:solidFill>
          </w14:textFill>
        </w:rPr>
        <w:t>）</w:t>
      </w:r>
      <w:r>
        <w:rPr>
          <w:rFonts w:hint="eastAsia" w:ascii="仿宋" w:hAnsi="仿宋" w:eastAsia="仿宋" w:cs="Cambria Math"/>
          <w:b w:val="0"/>
          <w:bCs w:val="0"/>
          <w:color w:val="000000" w:themeColor="text1"/>
          <w14:textFill>
            <w14:solidFill>
              <w14:schemeClr w14:val="tx1"/>
            </w14:solidFill>
          </w14:textFill>
        </w:rPr>
        <w:t>资格条件中要求的具有良好的商业信誉和健全的财务会计制度，并对上述承诺真实性负责。</w:t>
      </w:r>
      <w:r>
        <w:rPr>
          <w:rFonts w:ascii="仿宋" w:hAnsi="仿宋" w:eastAsia="仿宋" w:cs="Cambria Math"/>
          <w:b w:val="0"/>
          <w:bCs w:val="0"/>
          <w:color w:val="000000" w:themeColor="text1"/>
          <w14:textFill>
            <w14:solidFill>
              <w14:schemeClr w14:val="tx1"/>
            </w14:solidFill>
          </w14:textFill>
        </w:rPr>
        <w:t xml:space="preserve"> </w:t>
      </w:r>
    </w:p>
    <w:p>
      <w:pPr>
        <w:pStyle w:val="12"/>
        <w:ind w:firstLine="480" w:firstLineChars="200"/>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特此承诺。</w:t>
      </w:r>
    </w:p>
    <w:p>
      <w:pPr>
        <w:spacing w:line="360" w:lineRule="auto"/>
        <w:ind w:firstLine="4080" w:firstLineChars="1700"/>
        <w:jc w:val="right"/>
        <w:rPr>
          <w:rFonts w:hint="eastAsia" w:ascii="仿宋" w:hAnsi="仿宋" w:eastAsia="仿宋" w:cs="Cambria Math"/>
          <w:b w:val="0"/>
          <w:bCs w:val="0"/>
          <w:color w:val="000000"/>
        </w:rPr>
      </w:pPr>
    </w:p>
    <w:p>
      <w:pPr>
        <w:spacing w:line="360" w:lineRule="auto"/>
        <w:ind w:firstLine="4080" w:firstLineChars="1700"/>
        <w:jc w:val="right"/>
        <w:rPr>
          <w:rFonts w:hint="eastAsia" w:ascii="仿宋" w:hAnsi="仿宋" w:eastAsia="仿宋" w:cs="Cambria Math"/>
          <w:b w:val="0"/>
          <w:bCs w:val="0"/>
          <w:color w:val="000000"/>
        </w:rPr>
      </w:pPr>
    </w:p>
    <w:p>
      <w:pPr>
        <w:spacing w:line="360" w:lineRule="auto"/>
        <w:ind w:firstLine="4080" w:firstLineChars="1700"/>
        <w:jc w:val="right"/>
        <w:rPr>
          <w:rFonts w:ascii="仿宋" w:hAnsi="仿宋" w:eastAsia="仿宋" w:cs="Cambria Math"/>
          <w:b w:val="0"/>
          <w:bCs w:val="0"/>
          <w:color w:val="000000"/>
        </w:rPr>
      </w:pPr>
      <w:r>
        <w:rPr>
          <w:rFonts w:hint="eastAsia" w:ascii="仿宋" w:hAnsi="仿宋" w:eastAsia="仿宋" w:cs="Cambria Math"/>
          <w:b w:val="0"/>
          <w:bCs w:val="0"/>
          <w:color w:val="000000"/>
        </w:rPr>
        <w:t>供应商名称：</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（盖章）</w:t>
      </w:r>
    </w:p>
    <w:p>
      <w:pPr>
        <w:spacing w:line="360" w:lineRule="auto"/>
        <w:jc w:val="right"/>
        <w:rPr>
          <w:rFonts w:ascii="仿宋" w:hAnsi="仿宋" w:eastAsia="仿宋" w:cs="Cambria Math"/>
          <w:b w:val="0"/>
          <w:bCs w:val="0"/>
          <w:color w:val="000000"/>
        </w:rPr>
      </w:pPr>
      <w:r>
        <w:rPr>
          <w:rFonts w:hint="eastAsia" w:ascii="仿宋" w:hAnsi="仿宋" w:eastAsia="仿宋" w:cs="Cambria Math"/>
          <w:b w:val="0"/>
          <w:bCs w:val="0"/>
          <w:color w:val="000000"/>
        </w:rPr>
        <w:t>日期：</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年</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月</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日</w:t>
      </w:r>
    </w:p>
    <w:p>
      <w:pPr>
        <w:pStyle w:val="1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2）按照谈判公告的资格要求提供有效的实施经验证明材料，作为资格后审的评审依据。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5"/>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Monaco"/>
          <w:color w:val="000000"/>
          <w:sz w:val="22"/>
          <w:szCs w:val="21"/>
        </w:rPr>
        <w:t>具有依法缴纳税收和社会保障资金的良好记录</w:t>
      </w:r>
    </w:p>
    <w:p>
      <w:pPr>
        <w:pStyle w:val="12"/>
        <w:spacing w:before="240"/>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《企业税收和社会保障资金缴纳承诺</w:t>
      </w:r>
      <w:r>
        <w:rPr>
          <w:rFonts w:hint="eastAsia" w:ascii="仿宋" w:hAnsi="仿宋" w:eastAsia="仿宋" w:cs="Cambria Math"/>
          <w:b w:val="0"/>
          <w:bCs w:val="0"/>
          <w:color w:val="000000" w:themeColor="text1"/>
          <w:lang w:val="en-US" w:eastAsia="zh-CN"/>
          <w14:textFill>
            <w14:solidFill>
              <w14:schemeClr w14:val="tx1"/>
            </w14:solidFill>
          </w14:textFill>
        </w:rPr>
        <w:t>函</w:t>
      </w:r>
      <w:r>
        <w:rPr>
          <w:rFonts w:hint="eastAsia" w:ascii="仿宋" w:hAnsi="仿宋" w:eastAsia="仿宋" w:cs="Cambria Math"/>
          <w:b w:val="0"/>
          <w:bCs w:val="0"/>
          <w:color w:val="000000" w:themeColor="text1"/>
          <w14:textFill>
            <w14:solidFill>
              <w14:schemeClr w14:val="tx1"/>
            </w14:solidFill>
          </w14:textFill>
        </w:rPr>
        <w:t>》</w:t>
      </w:r>
    </w:p>
    <w:p>
      <w:pPr>
        <w:pStyle w:val="12"/>
        <w:spacing w:before="240"/>
        <w:jc w:val="center"/>
        <w:rPr>
          <w:rFonts w:hint="eastAsia" w:ascii="仿宋" w:hAnsi="仿宋" w:eastAsia="仿宋" w:cs="Cambria Math"/>
          <w:b w:val="0"/>
          <w:bCs w:val="0"/>
          <w:color w:val="000000" w:themeColor="text1"/>
          <w14:textFill>
            <w14:solidFill>
              <w14:schemeClr w14:val="tx1"/>
            </w14:solidFill>
          </w14:textFill>
        </w:rPr>
      </w:pPr>
    </w:p>
    <w:p>
      <w:pPr>
        <w:pStyle w:val="12"/>
        <w:spacing w:before="240"/>
        <w:ind w:firstLine="480" w:firstLineChars="200"/>
        <w:jc w:val="both"/>
        <w:rPr>
          <w:rFonts w:ascii="仿宋" w:hAnsi="仿宋" w:eastAsia="仿宋" w:cs="Cambria Math"/>
          <w:color w:val="000000"/>
        </w:rPr>
      </w:pP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我方</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（供应商名称）</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承诺符合</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w:t>
      </w:r>
      <w:r>
        <w:rPr>
          <w:rFonts w:hint="eastAsia" w:ascii="仿宋" w:hAnsi="仿宋" w:eastAsia="仿宋" w:cs="Cambria Math"/>
          <w:b w:val="0"/>
          <w:bCs w:val="0"/>
          <w:color w:val="000000" w:themeColor="text1"/>
          <w:u w:val="single"/>
          <w:lang w:val="en-US" w:eastAsia="zh-CN"/>
          <w14:textFill>
            <w14:solidFill>
              <w14:schemeClr w14:val="tx1"/>
            </w14:solidFill>
          </w14:textFill>
        </w:rPr>
        <w:t>项目名称</w:t>
      </w:r>
      <w:r>
        <w:rPr>
          <w:rFonts w:hint="eastAsia" w:ascii="仿宋" w:hAnsi="仿宋" w:eastAsia="仿宋" w:cs="Cambria Math"/>
          <w:b w:val="0"/>
          <w:bCs w:val="0"/>
          <w:color w:val="000000" w:themeColor="text1"/>
          <w:u w:val="single"/>
          <w14:textFill>
            <w14:solidFill>
              <w14:schemeClr w14:val="tx1"/>
            </w14:solidFill>
          </w14:textFill>
        </w:rPr>
        <w:t>）</w:t>
      </w:r>
      <w:r>
        <w:rPr>
          <w:rFonts w:hint="eastAsia" w:ascii="仿宋" w:hAnsi="仿宋" w:eastAsia="仿宋" w:cs="Cambria Math"/>
          <w:b w:val="0"/>
          <w:bCs w:val="0"/>
          <w:color w:val="000000" w:themeColor="text1"/>
          <w14:textFill>
            <w14:solidFill>
              <w14:schemeClr w14:val="tx1"/>
            </w14:solidFill>
          </w14:textFill>
        </w:rPr>
        <w:t>资格条件中要求的具有依法缴纳税收和社会保障资金的良好记录，并对上述承诺真实性负责。</w:t>
      </w:r>
      <w:r>
        <w:rPr>
          <w:rFonts w:ascii="仿宋" w:hAnsi="仿宋" w:eastAsia="仿宋" w:cs="Cambria Math"/>
          <w:b w:val="0"/>
          <w:bCs w:val="0"/>
          <w:color w:val="000000" w:themeColor="text1"/>
          <w14:textFill>
            <w14:solidFill>
              <w14:schemeClr w14:val="tx1"/>
            </w14:solidFill>
          </w14:textFill>
        </w:rPr>
        <w:t xml:space="preserve"> </w:t>
      </w:r>
    </w:p>
    <w:p>
      <w:pPr>
        <w:pStyle w:val="12"/>
        <w:ind w:firstLine="480" w:firstLineChars="200"/>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特此承诺。</w:t>
      </w:r>
    </w:p>
    <w:p>
      <w:pPr>
        <w:spacing w:line="360" w:lineRule="auto"/>
        <w:ind w:firstLine="480" w:firstLineChars="200"/>
        <w:jc w:val="both"/>
        <w:rPr>
          <w:rFonts w:hint="eastAsia" w:ascii="仿宋" w:hAnsi="仿宋" w:eastAsia="仿宋" w:cs="Cambria Math"/>
          <w:b w:val="0"/>
          <w:bCs w:val="0"/>
          <w:color w:val="000000" w:themeColor="text1"/>
          <w:lang w:val="en-US" w:eastAsia="zh-CN"/>
          <w14:textFill>
            <w14:solidFill>
              <w14:schemeClr w14:val="tx1"/>
            </w14:solidFill>
          </w14:textFill>
        </w:rPr>
      </w:pPr>
    </w:p>
    <w:p>
      <w:pPr>
        <w:spacing w:line="360" w:lineRule="auto"/>
        <w:ind w:firstLine="480" w:firstLineChars="200"/>
        <w:jc w:val="both"/>
        <w:rPr>
          <w:rFonts w:hint="eastAsia" w:ascii="仿宋" w:hAnsi="仿宋" w:eastAsia="仿宋" w:cs="Cambria Math"/>
          <w:b w:val="0"/>
          <w:bCs w:val="0"/>
          <w:color w:val="000000" w:themeColor="text1"/>
          <w:lang w:val="en-US" w:eastAsia="zh-CN"/>
          <w14:textFill>
            <w14:solidFill>
              <w14:schemeClr w14:val="tx1"/>
            </w14:solidFill>
          </w14:textFill>
        </w:rPr>
      </w:pPr>
    </w:p>
    <w:p>
      <w:pPr>
        <w:spacing w:line="360" w:lineRule="auto"/>
        <w:jc w:val="center"/>
        <w:rPr>
          <w:rFonts w:hint="eastAsia" w:ascii="仿宋" w:hAnsi="仿宋" w:eastAsia="仿宋" w:cs="Cambria Math"/>
          <w:color w:val="000000"/>
        </w:rPr>
      </w:pPr>
      <w:r>
        <w:rPr>
          <w:rFonts w:hint="eastAsia" w:ascii="仿宋" w:hAnsi="仿宋" w:eastAsia="仿宋" w:cs="Cambria Math"/>
          <w:b w:val="0"/>
          <w:bCs w:val="0"/>
          <w:color w:val="000000" w:themeColor="text1"/>
          <w:lang w:val="en-US" w:eastAsia="zh-CN"/>
          <w14:textFill>
            <w14:solidFill>
              <w14:schemeClr w14:val="tx1"/>
            </w14:solidFill>
          </w14:textFill>
        </w:rPr>
        <w:t xml:space="preserve">                                               </w:t>
      </w: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jc w:val="right"/>
        <w:rPr>
          <w:rFonts w:ascii="仿宋" w:hAnsi="仿宋" w:eastAsia="仿宋" w:cs="仿宋"/>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w:t>
      </w:r>
    </w:p>
    <w:p>
      <w:pPr>
        <w:pStyle w:val="12"/>
        <w:spacing w:before="240"/>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w:t>
      </w:r>
      <w:r>
        <w:rPr>
          <w:rFonts w:hint="eastAsia" w:ascii="仿宋" w:hAnsi="仿宋" w:eastAsia="仿宋" w:cs="仿宋"/>
          <w:color w:val="000000"/>
          <w:sz w:val="24"/>
          <w:szCs w:val="24"/>
        </w:rPr>
        <w:t>未列入供应商黑名单且未在禁入期</w:t>
      </w:r>
      <w:r>
        <w:rPr>
          <w:rFonts w:hint="eastAsia" w:ascii="仿宋" w:hAnsi="仿宋" w:eastAsia="仿宋" w:cs="Cambria Math"/>
          <w:b w:val="0"/>
          <w:bCs w:val="0"/>
          <w:color w:val="000000" w:themeColor="text1"/>
          <w14:textFill>
            <w14:solidFill>
              <w14:schemeClr w14:val="tx1"/>
            </w14:solidFill>
          </w14:textFill>
        </w:rPr>
        <w:t>承诺</w:t>
      </w:r>
      <w:r>
        <w:rPr>
          <w:rFonts w:hint="eastAsia" w:ascii="仿宋" w:hAnsi="仿宋" w:eastAsia="仿宋" w:cs="Cambria Math"/>
          <w:b w:val="0"/>
          <w:bCs w:val="0"/>
          <w:color w:val="000000" w:themeColor="text1"/>
          <w:lang w:val="en-US" w:eastAsia="zh-CN"/>
          <w14:textFill>
            <w14:solidFill>
              <w14:schemeClr w14:val="tx1"/>
            </w14:solidFill>
          </w14:textFill>
        </w:rPr>
        <w:t>函</w:t>
      </w:r>
      <w:r>
        <w:rPr>
          <w:rFonts w:hint="eastAsia" w:ascii="仿宋" w:hAnsi="仿宋" w:eastAsia="仿宋" w:cs="Cambria Math"/>
          <w:b w:val="0"/>
          <w:bCs w:val="0"/>
          <w:color w:val="000000" w:themeColor="text1"/>
          <w14:textFill>
            <w14:solidFill>
              <w14:schemeClr w14:val="tx1"/>
            </w14:solidFill>
          </w14:textFill>
        </w:rPr>
        <w:t>》</w:t>
      </w:r>
    </w:p>
    <w:p>
      <w:pPr>
        <w:pStyle w:val="12"/>
        <w:spacing w:before="240"/>
        <w:jc w:val="both"/>
        <w:rPr>
          <w:rFonts w:hint="eastAsia" w:ascii="仿宋" w:hAnsi="仿宋" w:eastAsia="仿宋" w:cs="Cambria Math"/>
          <w:color w:val="000000"/>
          <w:u w:val="single"/>
        </w:rPr>
      </w:pPr>
    </w:p>
    <w:p>
      <w:pPr>
        <w:pStyle w:val="12"/>
        <w:spacing w:before="240"/>
        <w:jc w:val="both"/>
        <w:rPr>
          <w:rFonts w:ascii="仿宋" w:hAnsi="仿宋" w:eastAsia="仿宋" w:cs="Cambria Math"/>
          <w:color w:val="000000"/>
        </w:rPr>
      </w:pP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1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5"/>
        <w:spacing w:before="0" w:after="0" w:line="360" w:lineRule="auto"/>
        <w:rPr>
          <w:rFonts w:ascii="仿宋" w:hAnsi="仿宋" w:eastAsia="仿宋" w:cs="仿宋"/>
          <w:color w:val="000000"/>
          <w:sz w:val="24"/>
          <w:szCs w:val="24"/>
        </w:rPr>
      </w:pPr>
      <w:bookmarkStart w:id="177"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（项目名称）的谈判，根据法律法规维护投标公正性的相关规定，我方与采购人之间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8、非联合体谈判响应</w:t>
      </w:r>
    </w:p>
    <w:bookmarkEnd w:id="176"/>
    <w:bookmarkEnd w:id="177"/>
    <w:p>
      <w:pPr>
        <w:pStyle w:val="12"/>
        <w:spacing w:before="240"/>
        <w:ind w:firstLine="480" w:firstLineChars="200"/>
        <w:jc w:val="center"/>
        <w:rPr>
          <w:rFonts w:hint="eastAsia" w:ascii="仿宋" w:hAnsi="仿宋" w:eastAsia="仿宋" w:cs="Cambria Math"/>
          <w:b w:val="0"/>
          <w:bCs w:val="0"/>
          <w:color w:val="000000" w:themeColor="text1"/>
          <w14:textFill>
            <w14:solidFill>
              <w14:schemeClr w14:val="tx1"/>
            </w14:solidFill>
          </w14:textFill>
        </w:rPr>
      </w:pPr>
      <w:bookmarkStart w:id="178" w:name="_Toc71192048"/>
      <w:r>
        <w:rPr>
          <w:rFonts w:hint="eastAsia" w:ascii="仿宋" w:hAnsi="仿宋" w:eastAsia="仿宋" w:cs="Cambria Math"/>
          <w:b w:val="0"/>
          <w:bCs w:val="0"/>
          <w:color w:val="000000" w:themeColor="text1"/>
          <w14:textFill>
            <w14:solidFill>
              <w14:schemeClr w14:val="tx1"/>
            </w14:solidFill>
          </w14:textFill>
        </w:rPr>
        <w:t>《</w:t>
      </w:r>
      <w:r>
        <w:rPr>
          <w:rFonts w:hint="eastAsia" w:ascii="仿宋" w:hAnsi="仿宋" w:eastAsia="仿宋" w:cs="仿宋"/>
          <w:color w:val="000000"/>
          <w:sz w:val="24"/>
          <w:szCs w:val="24"/>
        </w:rPr>
        <w:t>非联合体谈判响应</w:t>
      </w:r>
      <w:r>
        <w:rPr>
          <w:rFonts w:hint="eastAsia" w:ascii="仿宋" w:hAnsi="仿宋" w:eastAsia="仿宋" w:cs="Cambria Math"/>
          <w:b w:val="0"/>
          <w:bCs w:val="0"/>
          <w:color w:val="000000" w:themeColor="text1"/>
          <w14:textFill>
            <w14:solidFill>
              <w14:schemeClr w14:val="tx1"/>
            </w14:solidFill>
          </w14:textFill>
        </w:rPr>
        <w:t>承诺</w:t>
      </w:r>
      <w:r>
        <w:rPr>
          <w:rFonts w:hint="eastAsia" w:ascii="仿宋" w:hAnsi="仿宋" w:eastAsia="仿宋" w:cs="Cambria Math"/>
          <w:b w:val="0"/>
          <w:bCs w:val="0"/>
          <w:color w:val="000000" w:themeColor="text1"/>
          <w:lang w:val="en-US" w:eastAsia="zh-CN"/>
          <w14:textFill>
            <w14:solidFill>
              <w14:schemeClr w14:val="tx1"/>
            </w14:solidFill>
          </w14:textFill>
        </w:rPr>
        <w:t>函</w:t>
      </w:r>
      <w:r>
        <w:rPr>
          <w:rFonts w:hint="eastAsia" w:ascii="仿宋" w:hAnsi="仿宋" w:eastAsia="仿宋" w:cs="Cambria Math"/>
          <w:b w:val="0"/>
          <w:bCs w:val="0"/>
          <w:color w:val="000000" w:themeColor="text1"/>
          <w14:textFill>
            <w14:solidFill>
              <w14:schemeClr w14:val="tx1"/>
            </w14:solidFill>
          </w14:textFill>
        </w:rPr>
        <w:t>》</w:t>
      </w:r>
    </w:p>
    <w:p>
      <w:pPr>
        <w:pStyle w:val="12"/>
        <w:spacing w:before="240"/>
        <w:ind w:firstLine="480" w:firstLineChars="200"/>
        <w:jc w:val="both"/>
        <w:rPr>
          <w:rFonts w:ascii="仿宋" w:hAnsi="仿宋" w:eastAsia="仿宋" w:cs="Cambria Math"/>
          <w:color w:val="000000"/>
        </w:rPr>
      </w:pP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谈判响应，非联合体参与谈判响应。</w:t>
      </w:r>
      <w:r>
        <w:rPr>
          <w:rFonts w:ascii="仿宋" w:hAnsi="仿宋" w:eastAsia="仿宋" w:cs="Cambria Math"/>
          <w:color w:val="000000"/>
        </w:rPr>
        <w:t xml:space="preserve"> </w:t>
      </w:r>
    </w:p>
    <w:p>
      <w:pPr>
        <w:pStyle w:val="12"/>
        <w:ind w:firstLine="480" w:firstLineChars="200"/>
        <w:jc w:val="both"/>
        <w:rPr>
          <w:rFonts w:hint="eastAsia" w:ascii="仿宋" w:hAnsi="仿宋" w:eastAsia="仿宋" w:cs="Cambria Math"/>
          <w:color w:val="000000"/>
        </w:rPr>
      </w:pPr>
      <w:r>
        <w:rPr>
          <w:rFonts w:hint="eastAsia" w:ascii="仿宋" w:hAnsi="仿宋" w:eastAsia="仿宋" w:cs="Cambria Math"/>
          <w:color w:val="000000"/>
        </w:rPr>
        <w:t>特此承诺。</w:t>
      </w:r>
    </w:p>
    <w:p>
      <w:pPr>
        <w:adjustRightInd w:val="0"/>
        <w:snapToGrid w:val="0"/>
        <w:spacing w:before="240" w:line="360" w:lineRule="auto"/>
        <w:ind w:firstLine="480" w:firstLineChars="200"/>
        <w:rPr>
          <w:rFonts w:ascii="仿宋" w:hAnsi="仿宋" w:eastAsia="仿宋" w:cs="Cambria Math"/>
          <w:color w:val="000000"/>
        </w:rPr>
      </w:pPr>
    </w:p>
    <w:p>
      <w:pPr>
        <w:pStyle w:val="12"/>
        <w:ind w:firstLine="480" w:firstLineChars="200"/>
        <w:jc w:val="both"/>
        <w:rPr>
          <w:rFonts w:hint="eastAsia" w:ascii="仿宋" w:hAnsi="仿宋" w:eastAsia="仿宋" w:cs="Cambria Math"/>
          <w:color w:val="000000"/>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4"/>
        <w:spacing w:before="0" w:after="0" w:line="360" w:lineRule="auto"/>
        <w:rPr>
          <w:rFonts w:ascii="仿宋" w:hAnsi="仿宋" w:cs="宋体"/>
          <w:color w:val="000000"/>
          <w:szCs w:val="24"/>
        </w:rPr>
      </w:pPr>
      <w:bookmarkStart w:id="179" w:name="_Toc112068411"/>
      <w:bookmarkStart w:id="180" w:name="_Toc144139212"/>
      <w:bookmarkStart w:id="181" w:name="_Toc18208"/>
      <w:bookmarkStart w:id="182" w:name="_Toc12711"/>
      <w:bookmarkStart w:id="183" w:name="_Toc15130"/>
      <w:bookmarkStart w:id="184"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79"/>
      <w:bookmarkEnd w:id="180"/>
      <w:bookmarkEnd w:id="181"/>
      <w:bookmarkEnd w:id="182"/>
      <w:bookmarkEnd w:id="183"/>
      <w:bookmarkEnd w:id="184"/>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注：所有偏离须在本表中列出，未在本偏离表中列出偏离，将视为供应商已完全接受谈判文件要求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p>
    <w:p>
      <w:pPr>
        <w:pStyle w:val="4"/>
        <w:bidi w:val="0"/>
        <w:rPr>
          <w:rFonts w:hint="eastAsia" w:ascii="仿宋" w:hAnsi="仿宋" w:eastAsia="仿宋" w:cs="仿宋"/>
          <w:sz w:val="24"/>
          <w:szCs w:val="24"/>
        </w:rPr>
      </w:pPr>
      <w:bookmarkStart w:id="185" w:name="_Toc14173"/>
      <w:r>
        <w:rPr>
          <w:rFonts w:hint="eastAsia" w:ascii="仿宋" w:hAnsi="仿宋" w:eastAsia="仿宋" w:cs="仿宋"/>
          <w:sz w:val="24"/>
          <w:szCs w:val="24"/>
        </w:rPr>
        <w:t>（六）合同条款应答偏离表</w:t>
      </w:r>
      <w:bookmarkEnd w:id="185"/>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注：所有偏离必须在本表中列出，未在本偏离表中列出偏离，将视为供应商已完全接受竞争性谈判文件要求；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4"/>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4"/>
        <w:spacing w:before="0" w:after="0" w:line="360" w:lineRule="auto"/>
        <w:rPr>
          <w:rFonts w:ascii="仿宋" w:hAnsi="仿宋" w:eastAsia="仿宋" w:cs="仿宋"/>
          <w:color w:val="000000"/>
          <w:sz w:val="24"/>
          <w:szCs w:val="24"/>
        </w:rPr>
      </w:pPr>
      <w:bookmarkStart w:id="186" w:name="_Toc17890"/>
      <w:bookmarkStart w:id="187" w:name="_Toc9402"/>
      <w:r>
        <w:rPr>
          <w:rFonts w:hint="eastAsia" w:ascii="仿宋" w:hAnsi="仿宋" w:eastAsia="仿宋" w:cs="仿宋"/>
          <w:color w:val="000000"/>
          <w:sz w:val="24"/>
          <w:szCs w:val="24"/>
        </w:rPr>
        <w:t>（七）供应商行为准则承诺书</w:t>
      </w:r>
      <w:bookmarkEnd w:id="186"/>
      <w:bookmarkEnd w:id="187"/>
    </w:p>
    <w:p>
      <w:pPr>
        <w:jc w:val="center"/>
        <w:rPr>
          <w:rFonts w:ascii="仿宋" w:hAnsi="仿宋" w:eastAsia="仿宋" w:cs="宋体"/>
          <w:b/>
          <w:bCs/>
          <w:color w:val="000000"/>
          <w:sz w:val="28"/>
          <w:szCs w:val="28"/>
        </w:rPr>
      </w:pPr>
      <w:bookmarkStart w:id="188"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地址：__________________</w:t>
      </w:r>
    </w:p>
    <w:p>
      <w:pPr>
        <w:spacing w:line="360" w:lineRule="auto"/>
        <w:ind w:firstLine="480" w:firstLineChars="200"/>
        <w:rPr>
          <w:rStyle w:val="58"/>
          <w:rFonts w:hint="eastAsia" w:ascii="仿宋" w:hAnsi="仿宋" w:eastAsia="仿宋" w:cs="仿宋"/>
          <w:sz w:val="24"/>
          <w:szCs w:val="24"/>
        </w:rPr>
      </w:pPr>
      <w:r>
        <w:rPr>
          <w:rFonts w:hint="eastAsia" w:ascii="仿宋" w:hAnsi="仿宋" w:eastAsia="仿宋" w:cs="仿宋"/>
          <w:color w:val="000000"/>
          <w:lang w:val="en-US" w:eastAsia="zh-CN"/>
        </w:rPr>
        <w:t xml:space="preserve">电话：_______________  </w:t>
      </w:r>
      <w:r>
        <w:rPr>
          <w:rFonts w:hint="eastAsia" w:ascii="仿宋" w:hAnsi="仿宋" w:eastAsia="仿宋" w:cs="仿宋"/>
          <w:color w:val="000000"/>
          <w:lang w:val="en-US" w:eastAsia="zh-CN"/>
        </w:rPr>
        <w:br w:type="page"/>
      </w:r>
      <w:bookmarkEnd w:id="188"/>
    </w:p>
    <w:p>
      <w:pPr>
        <w:pStyle w:val="4"/>
        <w:spacing w:before="0" w:after="0" w:line="360" w:lineRule="auto"/>
        <w:rPr>
          <w:rFonts w:ascii="仿宋" w:hAnsi="仿宋" w:eastAsia="仿宋" w:cs="仿宋"/>
          <w:color w:val="000000"/>
          <w:sz w:val="24"/>
          <w:szCs w:val="24"/>
        </w:rPr>
      </w:pPr>
      <w:bookmarkStart w:id="189" w:name="_Toc2133"/>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八</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en-US" w:eastAsia="zh-CN"/>
        </w:rPr>
        <w:t>廉洁诚信</w:t>
      </w:r>
      <w:r>
        <w:rPr>
          <w:rFonts w:hint="eastAsia" w:ascii="仿宋" w:hAnsi="仿宋" w:eastAsia="仿宋" w:cs="仿宋"/>
          <w:color w:val="000000"/>
          <w:sz w:val="24"/>
          <w:szCs w:val="24"/>
        </w:rPr>
        <w:t>承诺书</w:t>
      </w:r>
      <w:bookmarkEnd w:id="189"/>
    </w:p>
    <w:p>
      <w:pPr>
        <w:spacing w:line="360" w:lineRule="auto"/>
        <w:ind w:firstLine="482" w:firstLineChars="200"/>
        <w:rPr>
          <w:rStyle w:val="58"/>
          <w:rFonts w:hint="eastAsia" w:ascii="仿宋" w:hAnsi="仿宋" w:eastAsia="仿宋" w:cs="仿宋"/>
          <w:sz w:val="24"/>
          <w:szCs w:val="24"/>
          <w:lang w:val="en-US" w:eastAsia="zh-CN"/>
        </w:rPr>
      </w:pPr>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bidi w:val="0"/>
        <w:jc w:val="right"/>
        <w:rPr>
          <w:rFonts w:hint="eastAsia" w:ascii="仿宋" w:hAnsi="仿宋" w:eastAsia="仿宋" w:cs="仿宋"/>
        </w:rPr>
      </w:pPr>
    </w:p>
    <w:p>
      <w:pPr>
        <w:bidi w:val="0"/>
        <w:jc w:val="right"/>
        <w:rPr>
          <w:rFonts w:hint="eastAsia" w:ascii="仿宋" w:hAnsi="仿宋" w:eastAsia="仿宋" w:cs="仿宋"/>
        </w:rPr>
      </w:pPr>
      <w:r>
        <w:rPr>
          <w:rFonts w:hint="eastAsia" w:ascii="仿宋" w:hAnsi="仿宋" w:eastAsia="仿宋" w:cs="仿宋"/>
        </w:rPr>
        <w:t>公司名称（全称、盖章）：________________</w:t>
      </w:r>
    </w:p>
    <w:p>
      <w:pPr>
        <w:bidi w:val="0"/>
        <w:jc w:val="right"/>
        <w:rPr>
          <w:rFonts w:hint="eastAsia" w:ascii="仿宋" w:hAnsi="仿宋" w:eastAsia="仿宋" w:cs="仿宋"/>
        </w:rPr>
      </w:pPr>
      <w:r>
        <w:rPr>
          <w:rFonts w:hint="eastAsia" w:ascii="仿宋" w:hAnsi="仿宋" w:eastAsia="仿宋" w:cs="仿宋"/>
        </w:rPr>
        <w:t>法定代表人或授权代表签字：______________</w:t>
      </w:r>
    </w:p>
    <w:p>
      <w:pPr>
        <w:bidi w:val="0"/>
        <w:jc w:val="right"/>
        <w:rPr>
          <w:rFonts w:hint="eastAsia" w:ascii="仿宋" w:hAnsi="仿宋" w:eastAsia="仿宋" w:cs="仿宋"/>
        </w:rPr>
      </w:pPr>
      <w:r>
        <w:rPr>
          <w:rFonts w:hint="eastAsia" w:ascii="仿宋" w:hAnsi="仿宋" w:eastAsia="仿宋" w:cs="仿宋"/>
        </w:rPr>
        <w:t>日期：__________________________________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br w:type="page"/>
      </w:r>
    </w:p>
    <w:bookmarkEnd w:id="178"/>
    <w:p>
      <w:pPr>
        <w:pStyle w:val="3"/>
        <w:jc w:val="both"/>
        <w:rPr>
          <w:rFonts w:ascii="仿宋" w:hAnsi="仿宋" w:eastAsia="仿宋" w:cs="仿宋"/>
          <w:color w:val="000000"/>
          <w:sz w:val="24"/>
          <w:szCs w:val="24"/>
        </w:rPr>
      </w:pPr>
      <w:bookmarkStart w:id="190" w:name="_Toc9443"/>
      <w:bookmarkStart w:id="191" w:name="_Toc28698"/>
      <w:r>
        <w:rPr>
          <w:rFonts w:hint="eastAsia" w:ascii="仿宋" w:hAnsi="仿宋" w:eastAsia="仿宋" w:cs="仿宋"/>
          <w:color w:val="000000"/>
          <w:sz w:val="24"/>
          <w:szCs w:val="24"/>
        </w:rPr>
        <w:t>二、技术文件</w:t>
      </w:r>
      <w:bookmarkEnd w:id="190"/>
      <w:bookmarkEnd w:id="191"/>
    </w:p>
    <w:p>
      <w:pPr>
        <w:pStyle w:val="4"/>
        <w:spacing w:before="0" w:after="0" w:line="360" w:lineRule="auto"/>
        <w:jc w:val="center"/>
        <w:rPr>
          <w:rFonts w:ascii="仿宋" w:hAnsi="仿宋" w:eastAsia="仿宋" w:cs="仿宋"/>
          <w:color w:val="000000"/>
          <w:sz w:val="24"/>
          <w:szCs w:val="24"/>
        </w:rPr>
      </w:pPr>
      <w:bookmarkStart w:id="192" w:name="_Toc17228"/>
      <w:bookmarkStart w:id="193" w:name="_Toc22985"/>
      <w:bookmarkStart w:id="194" w:name="_Toc17302"/>
      <w:bookmarkStart w:id="195" w:name="_Toc23108"/>
      <w:r>
        <w:rPr>
          <w:rFonts w:hint="eastAsia" w:ascii="仿宋" w:hAnsi="仿宋" w:eastAsia="仿宋" w:cs="仿宋"/>
          <w:color w:val="000000"/>
          <w:sz w:val="24"/>
          <w:szCs w:val="24"/>
        </w:rPr>
        <w:t>（一）采购需求应答偏离表</w:t>
      </w:r>
      <w:bookmarkEnd w:id="192"/>
      <w:bookmarkEnd w:id="193"/>
      <w:bookmarkEnd w:id="194"/>
      <w:bookmarkEnd w:id="195"/>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8"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085"/>
        <w:gridCol w:w="2266"/>
        <w:gridCol w:w="2448"/>
        <w:gridCol w:w="131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7"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w:t>
      </w:r>
      <w:r>
        <w:rPr>
          <w:rFonts w:hint="eastAsia" w:ascii="仿宋" w:hAnsi="仿宋" w:eastAsia="仿宋" w:cs="Cambria Math"/>
          <w:color w:val="000000"/>
          <w:lang w:eastAsia="zh-CN"/>
        </w:rPr>
        <w:t>谈判</w:t>
      </w:r>
      <w:r>
        <w:rPr>
          <w:rFonts w:hint="eastAsia" w:ascii="仿宋" w:hAnsi="仿宋" w:eastAsia="仿宋" w:cs="Cambria Math"/>
          <w:color w:val="000000"/>
        </w:rPr>
        <w:t>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spacing w:line="360" w:lineRule="auto"/>
        <w:rPr>
          <w:rFonts w:ascii="仿宋" w:hAnsi="仿宋" w:eastAsia="仿宋" w:cs="仿宋"/>
          <w:color w:val="000000"/>
        </w:rPr>
      </w:pPr>
      <w:bookmarkStart w:id="196" w:name="_Toc444891358"/>
      <w:bookmarkStart w:id="197" w:name="_Toc517281860"/>
      <w:r>
        <w:rPr>
          <w:rFonts w:hint="eastAsia" w:ascii="仿宋" w:hAnsi="仿宋" w:eastAsia="仿宋" w:cs="仿宋"/>
          <w:color w:val="000000"/>
        </w:rPr>
        <w:br w:type="page"/>
      </w:r>
    </w:p>
    <w:bookmarkEnd w:id="196"/>
    <w:bookmarkEnd w:id="197"/>
    <w:p>
      <w:pPr>
        <w:pStyle w:val="3"/>
        <w:jc w:val="both"/>
        <w:rPr>
          <w:rFonts w:ascii="仿宋" w:hAnsi="仿宋" w:eastAsia="仿宋" w:cs="仿宋"/>
          <w:color w:val="000000"/>
          <w:sz w:val="24"/>
          <w:szCs w:val="24"/>
        </w:rPr>
      </w:pPr>
      <w:bookmarkStart w:id="198" w:name="_Toc20443"/>
      <w:bookmarkStart w:id="199" w:name="_Toc14682"/>
      <w:r>
        <w:rPr>
          <w:rFonts w:hint="eastAsia" w:ascii="仿宋" w:hAnsi="仿宋" w:eastAsia="仿宋" w:cs="仿宋"/>
          <w:color w:val="000000"/>
          <w:sz w:val="24"/>
          <w:szCs w:val="24"/>
        </w:rPr>
        <w:t>三、报价文件</w:t>
      </w:r>
      <w:bookmarkEnd w:id="198"/>
      <w:bookmarkEnd w:id="199"/>
    </w:p>
    <w:bookmarkEnd w:id="141"/>
    <w:p>
      <w:pPr>
        <w:pStyle w:val="4"/>
        <w:spacing w:before="0" w:after="0" w:line="360" w:lineRule="auto"/>
        <w:ind w:firstLine="482"/>
        <w:jc w:val="center"/>
        <w:rPr>
          <w:rFonts w:ascii="仿宋" w:hAnsi="仿宋" w:eastAsia="仿宋" w:cs="仿宋"/>
          <w:color w:val="000000"/>
          <w:sz w:val="24"/>
          <w:szCs w:val="24"/>
        </w:rPr>
      </w:pPr>
      <w:bookmarkStart w:id="200" w:name="_Toc511726864"/>
      <w:bookmarkStart w:id="201" w:name="_Toc1548"/>
      <w:bookmarkStart w:id="202" w:name="_Toc18942"/>
      <w:bookmarkStart w:id="203" w:name="_Toc29991"/>
      <w:r>
        <w:rPr>
          <w:rFonts w:hint="eastAsia" w:ascii="仿宋" w:hAnsi="仿宋" w:eastAsia="仿宋" w:cs="仿宋"/>
          <w:color w:val="000000"/>
          <w:sz w:val="24"/>
          <w:szCs w:val="24"/>
        </w:rPr>
        <w:t>（一）报价</w:t>
      </w:r>
      <w:bookmarkEnd w:id="200"/>
      <w:r>
        <w:rPr>
          <w:rFonts w:hint="eastAsia" w:ascii="仿宋" w:hAnsi="仿宋" w:eastAsia="仿宋" w:cs="仿宋"/>
          <w:color w:val="000000"/>
          <w:sz w:val="24"/>
          <w:szCs w:val="24"/>
        </w:rPr>
        <w:t>一览表</w:t>
      </w:r>
      <w:bookmarkEnd w:id="201"/>
      <w:bookmarkEnd w:id="202"/>
      <w:bookmarkEnd w:id="203"/>
    </w:p>
    <w:p>
      <w:pPr>
        <w:pStyle w:val="10"/>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0"/>
        <w:spacing w:line="360" w:lineRule="auto"/>
        <w:ind w:hanging="142"/>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r>
        <w:rPr>
          <w:rFonts w:hint="eastAsia" w:ascii="仿宋" w:hAnsi="仿宋" w:eastAsia="仿宋" w:cs="仿宋"/>
          <w:color w:val="000000"/>
          <w:sz w:val="24"/>
          <w:szCs w:val="24"/>
          <w:u w:val="single"/>
          <w:lang w:val="en-US" w:eastAsia="zh-CN"/>
        </w:rPr>
        <w:t xml:space="preserve">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204" w:name="_Toc482180015"/>
      <w:bookmarkStart w:id="205" w:name="_Toc16591840"/>
      <w:bookmarkStart w:id="206" w:name="_Toc530319762"/>
      <w:bookmarkStart w:id="207" w:name="_Toc517281864"/>
      <w:bookmarkStart w:id="208" w:name="_Toc2267055"/>
      <w:bookmarkStart w:id="209"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4"/>
        <w:numPr>
          <w:ilvl w:val="5"/>
          <w:numId w:val="0"/>
        </w:numPr>
        <w:spacing w:line="360" w:lineRule="auto"/>
        <w:jc w:val="center"/>
        <w:rPr>
          <w:rFonts w:ascii="楷体" w:hAnsi="楷体" w:eastAsia="楷体" w:cs="仿宋_GB2312"/>
          <w:i/>
          <w:color w:val="0000CC"/>
          <w:szCs w:val="32"/>
        </w:rPr>
      </w:pPr>
      <w:r>
        <w:rPr>
          <w:rFonts w:hint="eastAsia" w:ascii="仿宋" w:hAnsi="仿宋" w:eastAsia="仿宋" w:cs="仿宋"/>
          <w:color w:val="000000"/>
          <w:sz w:val="24"/>
          <w:szCs w:val="24"/>
        </w:rPr>
        <w:br w:type="page"/>
      </w:r>
      <w:bookmarkEnd w:id="204"/>
      <w:bookmarkEnd w:id="205"/>
      <w:bookmarkEnd w:id="206"/>
      <w:bookmarkEnd w:id="207"/>
      <w:bookmarkEnd w:id="208"/>
      <w:bookmarkEnd w:id="209"/>
      <w:bookmarkStart w:id="210" w:name="_Toc27449"/>
      <w:bookmarkStart w:id="211" w:name="_Toc10631"/>
      <w:bookmarkStart w:id="212" w:name="_Toc15457"/>
      <w:r>
        <w:rPr>
          <w:rFonts w:hint="eastAsia" w:ascii="仿宋" w:hAnsi="仿宋" w:eastAsia="仿宋" w:cs="仿宋"/>
          <w:color w:val="000000"/>
          <w:sz w:val="24"/>
          <w:szCs w:val="24"/>
        </w:rPr>
        <w:t>（二）分项报价表</w:t>
      </w:r>
      <w:bookmarkEnd w:id="210"/>
      <w:bookmarkEnd w:id="211"/>
      <w:bookmarkEnd w:id="212"/>
    </w:p>
    <w:p>
      <w:pPr>
        <w:adjustRightInd w:val="0"/>
        <w:snapToGrid w:val="0"/>
        <w:spacing w:line="360" w:lineRule="auto"/>
        <w:rPr>
          <w:rFonts w:hint="eastAsia" w:ascii="楷体" w:hAnsi="楷体" w:eastAsia="楷体" w:cs="仿宋_GB2312"/>
          <w:i w:val="0"/>
          <w:iCs/>
          <w:color w:val="000000" w:themeColor="text1"/>
          <w:szCs w:val="32"/>
          <w:lang w:eastAsia="zh-CN"/>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供应商名称</w:t>
      </w:r>
      <w:r>
        <w:rPr>
          <w:rFonts w:hint="eastAsia" w:ascii="楷体" w:hAnsi="楷体" w:eastAsia="楷体" w:cs="仿宋_GB2312"/>
          <w:i w:val="0"/>
          <w:iCs/>
          <w:color w:val="000000" w:themeColor="text1"/>
          <w:szCs w:val="32"/>
          <w:lang w:eastAsia="zh-CN"/>
          <w14:textFill>
            <w14:solidFill>
              <w14:schemeClr w14:val="tx1"/>
            </w14:solidFill>
          </w14:textFill>
        </w:rPr>
        <w:t>：</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p>
      <w:pPr>
        <w:pStyle w:val="10"/>
        <w:spacing w:line="360" w:lineRule="auto"/>
        <w:ind w:left="0" w:leftChars="0" w:firstLine="0" w:firstLineChars="0"/>
        <w:rPr>
          <w:rFonts w:hint="default" w:ascii="仿宋" w:hAnsi="仿宋" w:eastAsia="仿宋" w:cs="仿宋"/>
          <w:color w:val="000000"/>
          <w:sz w:val="24"/>
          <w:szCs w:val="24"/>
          <w:u w:val="single"/>
          <w:lang w:val="en-US"/>
        </w:rPr>
      </w:pPr>
      <w:r>
        <w:rPr>
          <w:rFonts w:hint="eastAsia" w:ascii="楷体" w:hAnsi="楷体" w:eastAsia="楷体" w:cs="仿宋_GB2312"/>
          <w:i w:val="0"/>
          <w:iCs/>
          <w:color w:val="000000" w:themeColor="text1"/>
          <w:sz w:val="24"/>
          <w:szCs w:val="32"/>
          <w:lang w:val="en-US" w:eastAsia="zh-CN" w:bidi="ar-SA"/>
          <w14:textFill>
            <w14:solidFill>
              <w14:schemeClr w14:val="tx1"/>
            </w14:solidFill>
          </w14:textFill>
        </w:rPr>
        <w:t>项目名称：</w:t>
      </w:r>
      <w:r>
        <w:rPr>
          <w:rFonts w:hint="eastAsia" w:ascii="仿宋" w:hAnsi="仿宋" w:eastAsia="仿宋" w:cs="仿宋"/>
          <w:color w:val="000000"/>
          <w:sz w:val="24"/>
          <w:szCs w:val="24"/>
          <w:u w:val="single"/>
          <w:lang w:val="en-US" w:eastAsia="zh-CN"/>
        </w:rPr>
        <w:t xml:space="preserve">                  </w:t>
      </w:r>
    </w:p>
    <w:p>
      <w:pPr>
        <w:adjustRightInd w:val="0"/>
        <w:snapToGrid w:val="0"/>
        <w:spacing w:line="360" w:lineRule="auto"/>
        <w:jc w:val="both"/>
        <w:rPr>
          <w:rFonts w:ascii="楷体" w:hAnsi="楷体" w:eastAsia="楷体" w:cs="仿宋_GB2312"/>
          <w:i w:val="0"/>
          <w:iCs/>
          <w:color w:val="000000" w:themeColor="text1"/>
          <w:szCs w:val="32"/>
          <w14:textFill>
            <w14:solidFill>
              <w14:schemeClr w14:val="tx1"/>
            </w14:solidFill>
          </w14:textFill>
        </w:rPr>
      </w:pPr>
      <w:r>
        <w:rPr>
          <w:rFonts w:hint="eastAsia" w:ascii="仿宋" w:hAnsi="仿宋" w:eastAsia="仿宋" w:cs="仿宋"/>
          <w:color w:val="000000"/>
        </w:rPr>
        <w:t xml:space="preserve"> </w:t>
      </w:r>
    </w:p>
    <w:tbl>
      <w:tblPr>
        <w:tblStyle w:val="29"/>
        <w:tblW w:w="8637" w:type="dxa"/>
        <w:tblInd w:w="0" w:type="dxa"/>
        <w:tblLayout w:type="fixed"/>
        <w:tblCellMar>
          <w:top w:w="15" w:type="dxa"/>
          <w:left w:w="15" w:type="dxa"/>
          <w:bottom w:w="15" w:type="dxa"/>
          <w:right w:w="15" w:type="dxa"/>
        </w:tblCellMar>
      </w:tblPr>
      <w:tblGrid>
        <w:gridCol w:w="2147"/>
        <w:gridCol w:w="1530"/>
        <w:gridCol w:w="2805"/>
        <w:gridCol w:w="2155"/>
      </w:tblGrid>
      <w:tr>
        <w:tblPrEx>
          <w:tblCellMar>
            <w:top w:w="15" w:type="dxa"/>
            <w:left w:w="15" w:type="dxa"/>
            <w:bottom w:w="15" w:type="dxa"/>
            <w:right w:w="15" w:type="dxa"/>
          </w:tblCellMar>
        </w:tblPrEx>
        <w:trPr>
          <w:trHeight w:val="583" w:hRule="atLeast"/>
        </w:trPr>
        <w:tc>
          <w:tcPr>
            <w:tcW w:w="214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名称</w:t>
            </w:r>
          </w:p>
        </w:tc>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数量</w:t>
            </w:r>
          </w:p>
        </w:tc>
        <w:tc>
          <w:tcPr>
            <w:tcW w:w="280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单价（含税）（元）</w:t>
            </w:r>
          </w:p>
        </w:tc>
        <w:tc>
          <w:tcPr>
            <w:tcW w:w="21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lang w:val="en-US" w:eastAsia="zh-CN"/>
                <w14:textFill>
                  <w14:solidFill>
                    <w14:schemeClr w14:val="tx1"/>
                  </w14:solidFill>
                </w14:textFill>
              </w:rPr>
              <w:t>总价</w:t>
            </w:r>
            <w:r>
              <w:rPr>
                <w:rFonts w:hint="eastAsia" w:ascii="楷体" w:hAnsi="楷体" w:eastAsia="楷体" w:cs="仿宋_GB2312"/>
                <w:i w:val="0"/>
                <w:iCs/>
                <w:color w:val="000000" w:themeColor="text1"/>
                <w:szCs w:val="32"/>
                <w14:textFill>
                  <w14:solidFill>
                    <w14:schemeClr w14:val="tx1"/>
                  </w14:solidFill>
                </w14:textFill>
              </w:rPr>
              <w:t>（元）</w:t>
            </w:r>
          </w:p>
        </w:tc>
      </w:tr>
      <w:tr>
        <w:tblPrEx>
          <w:tblCellMar>
            <w:top w:w="15" w:type="dxa"/>
            <w:left w:w="15" w:type="dxa"/>
            <w:bottom w:w="15" w:type="dxa"/>
            <w:right w:w="15" w:type="dxa"/>
          </w:tblCellMar>
        </w:tblPrEx>
        <w:trPr>
          <w:trHeight w:val="422" w:hRule="atLeast"/>
        </w:trPr>
        <w:tc>
          <w:tcPr>
            <w:tcW w:w="214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80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492" w:hRule="atLeast"/>
        </w:trPr>
        <w:tc>
          <w:tcPr>
            <w:tcW w:w="214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80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492" w:hRule="atLeast"/>
        </w:trPr>
        <w:tc>
          <w:tcPr>
            <w:tcW w:w="214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80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501" w:hRule="atLeast"/>
        </w:trPr>
        <w:tc>
          <w:tcPr>
            <w:tcW w:w="214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80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bl>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注：</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1.涉及需分项报价的</w:t>
      </w:r>
      <w:r>
        <w:rPr>
          <w:rFonts w:hint="eastAsia" w:ascii="楷体" w:hAnsi="楷体" w:eastAsia="楷体" w:cs="仿宋_GB2312"/>
          <w:i w:val="0"/>
          <w:iCs/>
          <w:color w:val="000000" w:themeColor="text1"/>
          <w:szCs w:val="32"/>
          <w14:textFill>
            <w14:solidFill>
              <w14:schemeClr w14:val="tx1"/>
            </w14:solidFill>
          </w14:textFill>
        </w:rPr>
        <w:t>，</w:t>
      </w:r>
      <w:r>
        <w:rPr>
          <w:rFonts w:ascii="楷体" w:hAnsi="楷体" w:eastAsia="楷体" w:cs="仿宋_GB2312"/>
          <w:i w:val="0"/>
          <w:iCs/>
          <w:color w:val="000000" w:themeColor="text1"/>
          <w:szCs w:val="32"/>
          <w14:textFill>
            <w14:solidFill>
              <w14:schemeClr w14:val="tx1"/>
            </w14:solidFill>
          </w14:textFill>
        </w:rPr>
        <w:t>供应商每次报价均需提供本表。</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2.如果按单价计算的结果与总价不一致，以单价为准修正总价。</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3.供应商可根据实际情况自行扩展表格细项。</w:t>
      </w:r>
    </w:p>
    <w:p>
      <w:pPr>
        <w:adjustRightInd w:val="0"/>
        <w:snapToGrid w:val="0"/>
        <w:spacing w:line="360" w:lineRule="auto"/>
        <w:rPr>
          <w:rFonts w:ascii="楷体" w:hAnsi="楷体" w:eastAsia="楷体" w:cs="仿宋_GB2312"/>
          <w:i/>
          <w:color w:val="0000CC"/>
          <w:szCs w:val="32"/>
        </w:rPr>
      </w:pPr>
    </w:p>
    <w:p>
      <w:pPr>
        <w:adjustRightInd w:val="0"/>
        <w:snapToGrid w:val="0"/>
        <w:spacing w:line="360" w:lineRule="auto"/>
        <w:rPr>
          <w:rFonts w:ascii="宋体" w:hAnsi="宋体" w:cs="宋体"/>
          <w:color w:val="FF0000"/>
        </w:rPr>
      </w:pP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pStyle w:val="12"/>
        <w:ind w:firstLine="6000" w:firstLineChars="2500"/>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12"/>
      </w:pPr>
    </w:p>
    <w:p>
      <w:pPr>
        <w:pStyle w:val="2"/>
        <w:tabs>
          <w:tab w:val="clear" w:pos="425"/>
        </w:tabs>
        <w:spacing w:before="0" w:after="0" w:line="560" w:lineRule="exact"/>
        <w:ind w:left="424" w:hanging="424" w:hangingChars="151"/>
        <w:jc w:val="left"/>
        <w:rPr>
          <w:rFonts w:ascii="仿宋_GB2312" w:hAnsi="宋体" w:eastAsia="仿宋_GB2312" w:cs="宋体"/>
          <w:color w:val="auto"/>
          <w:sz w:val="28"/>
          <w:szCs w:val="28"/>
        </w:rPr>
      </w:pPr>
    </w:p>
    <w:p>
      <w:pPr>
        <w:rPr>
          <w:rFonts w:ascii="仿宋_GB2312" w:hAnsi="宋体" w:eastAsia="仿宋_GB2312" w:cs="宋体"/>
          <w:color w:val="auto"/>
          <w:sz w:val="28"/>
          <w:szCs w:val="28"/>
        </w:rPr>
      </w:pPr>
    </w:p>
    <w:p>
      <w:pPr>
        <w:pStyle w:val="12"/>
        <w:rPr>
          <w:rFonts w:ascii="仿宋_GB2312" w:hAnsi="宋体" w:eastAsia="仿宋_GB2312" w:cs="宋体"/>
          <w:color w:val="auto"/>
          <w:sz w:val="28"/>
          <w:szCs w:val="28"/>
        </w:rPr>
      </w:pPr>
    </w:p>
    <w:p>
      <w:pPr>
        <w:pStyle w:val="12"/>
        <w:rPr>
          <w:rFonts w:ascii="仿宋_GB2312" w:hAnsi="宋体" w:eastAsia="仿宋_GB2312" w:cs="宋体"/>
          <w:color w:val="auto"/>
          <w:sz w:val="28"/>
          <w:szCs w:val="28"/>
        </w:rPr>
      </w:pPr>
    </w:p>
    <w:p>
      <w:pPr>
        <w:pStyle w:val="12"/>
        <w:rPr>
          <w:rFonts w:ascii="仿宋_GB2312" w:hAnsi="宋体" w:eastAsia="仿宋_GB2312" w:cs="宋体"/>
          <w:color w:val="auto"/>
          <w:sz w:val="28"/>
          <w:szCs w:val="28"/>
        </w:rPr>
      </w:pPr>
    </w:p>
    <w:p>
      <w:pPr>
        <w:jc w:val="center"/>
        <w:rPr>
          <w:rFonts w:hint="eastAsia" w:ascii="仿宋" w:hAnsi="仿宋" w:eastAsia="仿宋" w:cs="仿宋"/>
          <w:sz w:val="24"/>
          <w:szCs w:val="24"/>
          <w:lang w:val="zh-CN"/>
        </w:rPr>
      </w:pPr>
    </w:p>
    <w:p>
      <w:pPr>
        <w:jc w:val="center"/>
        <w:rPr>
          <w:rFonts w:hint="eastAsia" w:ascii="仿宋" w:hAnsi="仿宋" w:eastAsia="仿宋" w:cs="仿宋"/>
          <w:sz w:val="24"/>
          <w:szCs w:val="24"/>
          <w:lang w:val="zh-CN"/>
        </w:rPr>
      </w:pPr>
    </w:p>
    <w:p>
      <w:pPr>
        <w:pStyle w:val="4"/>
        <w:spacing w:before="0" w:after="0" w:line="360" w:lineRule="auto"/>
        <w:ind w:firstLine="482"/>
        <w:jc w:val="center"/>
        <w:rPr>
          <w:rFonts w:hint="eastAsia"/>
          <w:lang w:val="en-US" w:eastAsia="zh-CN"/>
        </w:rPr>
      </w:pPr>
      <w:bookmarkStart w:id="213" w:name="_Toc20489"/>
      <w:bookmarkStart w:id="214" w:name="_Toc29083"/>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三</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最终报价确认函</w:t>
      </w:r>
      <w:bookmarkEnd w:id="213"/>
      <w:bookmarkEnd w:id="214"/>
    </w:p>
    <w:p>
      <w:pPr>
        <w:rPr>
          <w:rFonts w:hint="eastAsia" w:ascii="仿宋" w:hAnsi="仿宋" w:eastAsia="仿宋" w:cs="仿宋"/>
          <w:b/>
          <w:bCs/>
          <w:color w:val="000000"/>
          <w:sz w:val="24"/>
          <w:szCs w:val="24"/>
          <w:lang w:val="en-US" w:eastAsia="zh-CN" w:bidi="ar-SA"/>
        </w:rPr>
      </w:pPr>
    </w:p>
    <w:p>
      <w:pPr>
        <w:rPr>
          <w:rFonts w:hint="eastAsia" w:ascii="仿宋" w:hAnsi="仿宋" w:eastAsia="仿宋" w:cs="仿宋"/>
          <w:b/>
          <w:bCs/>
          <w:color w:val="000000" w:themeColor="text1"/>
          <w:sz w:val="24"/>
          <w:szCs w:val="24"/>
          <w:lang w:val="en-US" w:eastAsia="zh-CN" w:bidi="ar-SA"/>
          <w14:textFill>
            <w14:solidFill>
              <w14:schemeClr w14:val="tx1"/>
            </w14:solidFill>
          </w14:textFill>
        </w:rPr>
      </w:pPr>
    </w:p>
    <w:p>
      <w:pPr>
        <w:adjustRightInd w:val="0"/>
        <w:snapToGrid w:val="0"/>
        <w:spacing w:line="360" w:lineRule="auto"/>
        <w:ind w:firstLine="240" w:firstLineChars="100"/>
        <w:rPr>
          <w:rFonts w:hint="eastAsia" w:ascii="仿宋" w:hAnsi="仿宋" w:eastAsia="仿宋" w:cs="宋体"/>
          <w:bCs/>
          <w:color w:val="000000" w:themeColor="text1"/>
          <w:sz w:val="24"/>
          <w:szCs w:val="24"/>
          <w:u w:val="none"/>
          <w:lang w:val="en-US" w:eastAsia="zh-CN" w:bidi="ar-SA"/>
          <w14:textFill>
            <w14:solidFill>
              <w14:schemeClr w14:val="tx1"/>
            </w14:solidFill>
          </w14:textFill>
        </w:rPr>
      </w:pP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（采购人名称）  </w:t>
      </w:r>
      <w:r>
        <w:rPr>
          <w:rFonts w:hint="eastAsia" w:ascii="仿宋" w:hAnsi="仿宋" w:eastAsia="仿宋" w:cs="宋体"/>
          <w:bCs/>
          <w:color w:val="000000" w:themeColor="text1"/>
          <w:sz w:val="24"/>
          <w:szCs w:val="24"/>
          <w:u w:val="none"/>
          <w:lang w:val="en-US" w:eastAsia="zh-CN" w:bidi="ar-SA"/>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ind w:firstLine="720" w:firstLineChars="300"/>
        <w:textAlignment w:val="auto"/>
        <w:rPr>
          <w:rFonts w:hint="eastAsia" w:ascii="仿宋" w:hAnsi="仿宋" w:eastAsia="仿宋" w:cs="宋体"/>
          <w:bCs/>
          <w:color w:val="000000" w:themeColor="text1"/>
          <w:sz w:val="24"/>
          <w:szCs w:val="24"/>
          <w:lang w:val="en-US" w:eastAsia="zh-CN" w:bidi="ar-SA"/>
          <w14:textFill>
            <w14:solidFill>
              <w14:schemeClr w14:val="tx1"/>
            </w14:solidFill>
          </w14:textFill>
        </w:rPr>
      </w:pPr>
      <w:r>
        <w:rPr>
          <w:rFonts w:hint="eastAsia" w:ascii="仿宋" w:hAnsi="仿宋" w:eastAsia="仿宋" w:cs="宋体"/>
          <w:bCs/>
          <w:color w:val="000000" w:themeColor="text1"/>
          <w:sz w:val="24"/>
          <w:szCs w:val="24"/>
          <w:lang w:val="en-US" w:eastAsia="zh-CN" w:bidi="ar-SA"/>
          <w14:textFill>
            <w14:solidFill>
              <w14:schemeClr w14:val="tx1"/>
            </w14:solidFill>
          </w14:textFill>
        </w:rPr>
        <w:t>一、报价</w:t>
      </w:r>
    </w:p>
    <w:p>
      <w:pPr>
        <w:keepNext w:val="0"/>
        <w:keepLines w:val="0"/>
        <w:pageBreakBefore w:val="0"/>
        <w:widowControl w:val="0"/>
        <w:kinsoku/>
        <w:wordWrap w:val="0"/>
        <w:overflowPunct/>
        <w:topLinePunct/>
        <w:autoSpaceDE/>
        <w:autoSpaceDN/>
        <w:bidi w:val="0"/>
        <w:adjustRightInd/>
        <w:snapToGrid/>
        <w:spacing w:line="360" w:lineRule="auto"/>
        <w:ind w:firstLine="720"/>
        <w:jc w:val="center"/>
        <w:textAlignment w:val="auto"/>
        <w:rPr>
          <w:rFonts w:hint="eastAsia" w:ascii="仿宋" w:hAnsi="仿宋" w:eastAsia="仿宋" w:cs="宋体"/>
          <w:bCs/>
          <w:color w:val="000000" w:themeColor="text1"/>
          <w:sz w:val="24"/>
          <w:szCs w:val="24"/>
          <w:lang w:val="en-US" w:eastAsia="zh-CN" w:bidi="ar-SA"/>
          <w14:textFill>
            <w14:solidFill>
              <w14:schemeClr w14:val="tx1"/>
            </w14:solidFill>
          </w14:textFill>
        </w:rPr>
      </w:pPr>
      <w:r>
        <w:rPr>
          <w:rFonts w:hint="eastAsia" w:ascii="仿宋" w:hAnsi="仿宋" w:eastAsia="仿宋" w:cs="宋体"/>
          <w:bCs/>
          <w:color w:val="000000" w:themeColor="text1"/>
          <w:sz w:val="24"/>
          <w:szCs w:val="24"/>
          <w:lang w:val="en-US" w:eastAsia="zh-CN" w:bidi="ar-SA"/>
          <w14:textFill>
            <w14:solidFill>
              <w14:schemeClr w14:val="tx1"/>
            </w14:solidFill>
          </w14:textFill>
        </w:rPr>
        <w:t>根据谈判结果，我公司就</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（项目名称）                   </w:t>
      </w:r>
      <w:r>
        <w:rPr>
          <w:rFonts w:hint="eastAsia" w:ascii="仿宋" w:hAnsi="仿宋" w:eastAsia="仿宋" w:cs="宋体"/>
          <w:bCs/>
          <w:color w:val="000000" w:themeColor="text1"/>
          <w:sz w:val="24"/>
          <w:szCs w:val="24"/>
          <w:lang w:val="en-US" w:eastAsia="zh-CN" w:bidi="ar-SA"/>
          <w14:textFill>
            <w14:solidFill>
              <w14:schemeClr w14:val="tx1"/>
            </w14:solidFill>
          </w14:textFill>
        </w:rPr>
        <w:t>最终含税单价为¥</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元(大写:人民币</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)，含税总价¥</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元(大写:人民币</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 xml:space="preserve">)，不含税总价为¥ </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元(大写: 人民币</w:t>
      </w:r>
      <w:r>
        <w:rPr>
          <w:rFonts w:hint="eastAsia" w:ascii="仿宋" w:hAnsi="仿宋" w:eastAsia="仿宋" w:cs="宋体"/>
          <w:bCs/>
          <w:i/>
          <w:i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 xml:space="preserve">)，其中增值税税率 </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%,我公司可开具</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w:t>
      </w:r>
      <w:r>
        <w:rPr>
          <w:rFonts w:hint="eastAsia" w:ascii="仿宋" w:hAnsi="仿宋" w:eastAsia="仿宋" w:cs="宋体"/>
          <w:bCs/>
          <w:color w:val="000000" w:themeColor="text1"/>
          <w:sz w:val="24"/>
          <w:szCs w:val="24"/>
          <w:lang w:val="en-US" w:eastAsia="zh-CN" w:bidi="ar-SA"/>
          <w14:textFill>
            <w14:solidFill>
              <w14:schemeClr w14:val="tx1"/>
            </w14:solidFill>
          </w14:textFill>
        </w:rPr>
        <w:t>(增值税专用发票/增值税普通发票）。</w:t>
      </w:r>
    </w:p>
    <w:p>
      <w:pPr>
        <w:keepNext w:val="0"/>
        <w:keepLines w:val="0"/>
        <w:pageBreakBefore w:val="0"/>
        <w:widowControl w:val="0"/>
        <w:kinsoku/>
        <w:wordWrap w:val="0"/>
        <w:overflowPunct/>
        <w:topLinePunct/>
        <w:autoSpaceDE/>
        <w:autoSpaceDN/>
        <w:bidi w:val="0"/>
        <w:adjustRightInd/>
        <w:snapToGrid/>
        <w:spacing w:line="360" w:lineRule="auto"/>
        <w:ind w:firstLine="600"/>
        <w:jc w:val="left"/>
        <w:textAlignment w:val="auto"/>
        <w:rPr>
          <w:rFonts w:hint="eastAsia" w:ascii="仿宋" w:hAnsi="仿宋" w:eastAsia="仿宋" w:cs="宋体"/>
          <w:bCs/>
          <w:color w:val="000000" w:themeColor="text1"/>
          <w:sz w:val="24"/>
          <w:szCs w:val="24"/>
          <w:lang w:val="en-US" w:eastAsia="zh-CN" w:bidi="ar-SA"/>
          <w14:textFill>
            <w14:solidFill>
              <w14:schemeClr w14:val="tx1"/>
            </w14:solidFill>
          </w14:textFill>
        </w:rPr>
      </w:pPr>
      <w:r>
        <w:rPr>
          <w:rFonts w:hint="eastAsia" w:ascii="仿宋" w:hAnsi="仿宋" w:eastAsia="仿宋" w:cs="宋体"/>
          <w:bCs/>
          <w:color w:val="000000" w:themeColor="text1"/>
          <w:sz w:val="24"/>
          <w:szCs w:val="24"/>
          <w:lang w:val="en-US" w:eastAsia="zh-CN" w:bidi="ar-SA"/>
          <w14:textFill>
            <w14:solidFill>
              <w14:schemeClr w14:val="tx1"/>
            </w14:solidFill>
          </w14:textFill>
        </w:rPr>
        <w:t>该报价包括但不限于完成甲方提供的</w:t>
      </w:r>
      <w:r>
        <w:rPr>
          <w:rFonts w:hint="eastAsia" w:ascii="仿宋" w:hAnsi="仿宋" w:eastAsia="仿宋" w:cs="宋体"/>
          <w:bCs/>
          <w:color w:val="000000" w:themeColor="text1"/>
          <w:sz w:val="24"/>
          <w:szCs w:val="24"/>
          <w:u w:val="single"/>
          <w:lang w:val="en-US" w:eastAsia="zh-CN" w:bidi="ar-SA"/>
          <w14:textFill>
            <w14:solidFill>
              <w14:schemeClr w14:val="tx1"/>
            </w14:solidFill>
          </w14:textFill>
        </w:rPr>
        <w:t xml:space="preserve">    （项目名称）  </w:t>
      </w:r>
      <w:r>
        <w:rPr>
          <w:rFonts w:hint="eastAsia" w:ascii="仿宋" w:hAnsi="仿宋" w:eastAsia="仿宋" w:cs="宋体"/>
          <w:bCs/>
          <w:color w:val="000000" w:themeColor="text1"/>
          <w:sz w:val="24"/>
          <w:szCs w:val="24"/>
          <w:lang w:val="en-US" w:eastAsia="zh-CN" w:bidi="ar-SA"/>
          <w14:textFill>
            <w14:solidFill>
              <w14:schemeClr w14:val="tx1"/>
            </w14:solidFill>
          </w14:textFill>
        </w:rPr>
        <w:t>对应的货物及服务，甲方不再就上述货物及服务向乙方另行支付额外费用。</w:t>
      </w:r>
    </w:p>
    <w:p>
      <w:pPr>
        <w:numPr>
          <w:ilvl w:val="0"/>
          <w:numId w:val="6"/>
        </w:numPr>
        <w:ind w:firstLine="600"/>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其他事项</w:t>
      </w:r>
    </w:p>
    <w:p>
      <w:pPr>
        <w:numPr>
          <w:ilvl w:val="0"/>
          <w:numId w:val="0"/>
        </w:numPr>
        <w:jc w:val="left"/>
        <w:rPr>
          <w:rFonts w:hint="default" w:ascii="仿宋" w:hAnsi="仿宋" w:eastAsia="仿宋" w:cs="宋体"/>
          <w:bCs/>
          <w:color w:val="000000"/>
          <w:sz w:val="24"/>
          <w:szCs w:val="24"/>
          <w:u w:val="single"/>
          <w:lang w:val="en-US" w:eastAsia="zh-CN" w:bidi="ar-SA"/>
        </w:rPr>
      </w:pPr>
      <w:r>
        <w:rPr>
          <w:rFonts w:hint="eastAsia" w:ascii="仿宋" w:hAnsi="仿宋" w:eastAsia="仿宋" w:cs="宋体"/>
          <w:bCs/>
          <w:color w:val="000000"/>
          <w:sz w:val="24"/>
          <w:szCs w:val="24"/>
          <w:lang w:val="en-US" w:eastAsia="zh-CN" w:bidi="ar-SA"/>
        </w:rPr>
        <w:t xml:space="preserve">     </w:t>
      </w:r>
      <w:r>
        <w:rPr>
          <w:rFonts w:hint="eastAsia" w:ascii="仿宋" w:hAnsi="仿宋" w:eastAsia="仿宋" w:cs="宋体"/>
          <w:bCs/>
          <w:color w:val="000000"/>
          <w:sz w:val="24"/>
          <w:szCs w:val="24"/>
          <w:u w:val="single"/>
          <w:lang w:val="en-US" w:eastAsia="zh-CN" w:bidi="ar-SA"/>
        </w:rPr>
        <w:t xml:space="preserve">                                                                    </w:t>
      </w:r>
    </w:p>
    <w:p>
      <w:pPr>
        <w:numPr>
          <w:ilvl w:val="0"/>
          <w:numId w:val="0"/>
        </w:numPr>
        <w:jc w:val="left"/>
        <w:rPr>
          <w:rFonts w:hint="default" w:ascii="仿宋" w:hAnsi="仿宋" w:eastAsia="仿宋" w:cs="宋体"/>
          <w:bCs/>
          <w:color w:val="000000"/>
          <w:sz w:val="24"/>
          <w:szCs w:val="24"/>
          <w:u w:val="single"/>
          <w:lang w:val="en-US" w:eastAsia="zh-CN" w:bidi="ar-SA"/>
        </w:rPr>
      </w:pPr>
      <w:r>
        <w:rPr>
          <w:rFonts w:hint="eastAsia" w:ascii="仿宋" w:hAnsi="仿宋" w:eastAsia="仿宋" w:cs="宋体"/>
          <w:bCs/>
          <w:color w:val="000000"/>
          <w:sz w:val="24"/>
          <w:szCs w:val="24"/>
          <w:lang w:val="en-US" w:eastAsia="zh-CN" w:bidi="ar-SA"/>
        </w:rPr>
        <w:t xml:space="preserve">     </w:t>
      </w:r>
      <w:r>
        <w:rPr>
          <w:rFonts w:hint="eastAsia" w:ascii="仿宋" w:hAnsi="仿宋" w:eastAsia="仿宋" w:cs="宋体"/>
          <w:bCs/>
          <w:color w:val="000000"/>
          <w:sz w:val="24"/>
          <w:szCs w:val="24"/>
          <w:u w:val="single"/>
          <w:lang w:val="en-US" w:eastAsia="zh-CN" w:bidi="ar-SA"/>
        </w:rPr>
        <w:t xml:space="preserve">                                                                    </w:t>
      </w:r>
    </w:p>
    <w:p>
      <w:pPr>
        <w:numPr>
          <w:ilvl w:val="0"/>
          <w:numId w:val="0"/>
        </w:numPr>
        <w:jc w:val="left"/>
        <w:rPr>
          <w:rFonts w:hint="default" w:ascii="仿宋" w:hAnsi="仿宋" w:eastAsia="仿宋" w:cs="宋体"/>
          <w:bCs/>
          <w:color w:val="000000"/>
          <w:sz w:val="24"/>
          <w:szCs w:val="24"/>
          <w:u w:val="single"/>
          <w:lang w:val="en-US" w:eastAsia="zh-CN" w:bidi="ar-SA"/>
        </w:rPr>
      </w:pPr>
      <w:r>
        <w:rPr>
          <w:rFonts w:hint="eastAsia" w:ascii="仿宋" w:hAnsi="仿宋" w:eastAsia="仿宋" w:cs="宋体"/>
          <w:bCs/>
          <w:color w:val="000000"/>
          <w:sz w:val="24"/>
          <w:szCs w:val="24"/>
          <w:lang w:val="en-US" w:eastAsia="zh-CN" w:bidi="ar-SA"/>
        </w:rPr>
        <w:t xml:space="preserve">     </w:t>
      </w:r>
      <w:r>
        <w:rPr>
          <w:rFonts w:hint="eastAsia" w:ascii="仿宋" w:hAnsi="仿宋" w:eastAsia="仿宋" w:cs="宋体"/>
          <w:bCs/>
          <w:color w:val="000000"/>
          <w:sz w:val="24"/>
          <w:szCs w:val="24"/>
          <w:u w:val="single"/>
          <w:lang w:val="en-US" w:eastAsia="zh-CN" w:bidi="ar-SA"/>
        </w:rPr>
        <w:t xml:space="preserve">                                                                    </w:t>
      </w:r>
    </w:p>
    <w:p>
      <w:pPr>
        <w:numPr>
          <w:ilvl w:val="0"/>
          <w:numId w:val="0"/>
        </w:numPr>
        <w:jc w:val="left"/>
        <w:rPr>
          <w:rFonts w:hint="default"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 xml:space="preserve">                                                               </w:t>
      </w:r>
    </w:p>
    <w:p>
      <w:pPr>
        <w:numPr>
          <w:ilvl w:val="0"/>
          <w:numId w:val="0"/>
        </w:numPr>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 xml:space="preserve">                                                                                            </w:t>
      </w:r>
    </w:p>
    <w:p>
      <w:pPr>
        <w:ind w:firstLine="4680" w:firstLineChars="1950"/>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单位名称：</w:t>
      </w:r>
    </w:p>
    <w:p>
      <w:pPr>
        <w:ind w:firstLine="600"/>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 xml:space="preserve">                                   签字：</w:t>
      </w:r>
    </w:p>
    <w:p>
      <w:pPr>
        <w:ind w:firstLine="600"/>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 xml:space="preserve">                                   日期：    </w:t>
      </w:r>
    </w:p>
    <w:p>
      <w:pPr>
        <w:ind w:firstLine="600"/>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注：1.签字人员必须为响应单位法定代表人或经响应单位法定代表人授权的委派代理人，该人员在投标、合同签订过程中所签署的一切文件和处理与之有关的一切事务对响应单位具有法律效应。</w:t>
      </w:r>
    </w:p>
    <w:p>
      <w:pPr>
        <w:ind w:firstLine="600"/>
        <w:jc w:val="left"/>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 xml:space="preserve">    2.本确认函确定内容与乙方XX年XX月XX日提交的谈判文件约定不一致的，以本确认函确认内容为准。</w:t>
      </w:r>
    </w:p>
    <w:p>
      <w:pPr>
        <w:pStyle w:val="2"/>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11" w:type="default"/>
      <w:footerReference r:id="rId12"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4</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350987"/>
    <w:multiLevelType w:val="singleLevel"/>
    <w:tmpl w:val="A9350987"/>
    <w:lvl w:ilvl="0" w:tentative="0">
      <w:start w:val="13"/>
      <w:numFmt w:val="chineseCounting"/>
      <w:suff w:val="space"/>
      <w:lvlText w:val="第%1条"/>
      <w:lvlJc w:val="left"/>
      <w:rPr>
        <w:rFonts w:hint="eastAsia"/>
      </w:rPr>
    </w:lvl>
  </w:abstractNum>
  <w:abstractNum w:abstractNumId="1">
    <w:nsid w:val="AE923566"/>
    <w:multiLevelType w:val="singleLevel"/>
    <w:tmpl w:val="AE923566"/>
    <w:lvl w:ilvl="0" w:tentative="0">
      <w:start w:val="2"/>
      <w:numFmt w:val="chineseCounting"/>
      <w:suff w:val="nothing"/>
      <w:lvlText w:val="%1、"/>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3">
    <w:nsid w:val="17FA4C1C"/>
    <w:multiLevelType w:val="singleLevel"/>
    <w:tmpl w:val="17FA4C1C"/>
    <w:lvl w:ilvl="0" w:tentative="0">
      <w:start w:val="4"/>
      <w:numFmt w:val="chineseCounting"/>
      <w:suff w:val="space"/>
      <w:lvlText w:val="第%1章"/>
      <w:lvlJc w:val="left"/>
      <w:rPr>
        <w:rFonts w:hint="eastAsia"/>
      </w:rPr>
    </w:lvl>
  </w:abstractNum>
  <w:abstractNum w:abstractNumId="4">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5">
    <w:nsid w:val="6C9A265D"/>
    <w:multiLevelType w:val="singleLevel"/>
    <w:tmpl w:val="6C9A265D"/>
    <w:lvl w:ilvl="0" w:tentative="0">
      <w:start w:val="2"/>
      <w:numFmt w:val="decimal"/>
      <w:suff w:val="nothing"/>
      <w:lvlText w:val="（%1）"/>
      <w:lvlJc w:val="left"/>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58F"/>
    <w:rsid w:val="00001351"/>
    <w:rsid w:val="00004883"/>
    <w:rsid w:val="000060BA"/>
    <w:rsid w:val="000063B7"/>
    <w:rsid w:val="0000746A"/>
    <w:rsid w:val="000112BF"/>
    <w:rsid w:val="00012306"/>
    <w:rsid w:val="00012E9F"/>
    <w:rsid w:val="00015713"/>
    <w:rsid w:val="00020AB0"/>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A760D"/>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7A9"/>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0A0C"/>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28D"/>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204"/>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422B"/>
    <w:rsid w:val="00606007"/>
    <w:rsid w:val="006167C0"/>
    <w:rsid w:val="00622835"/>
    <w:rsid w:val="006329BA"/>
    <w:rsid w:val="00637AD1"/>
    <w:rsid w:val="0064613E"/>
    <w:rsid w:val="0064654C"/>
    <w:rsid w:val="00646E2F"/>
    <w:rsid w:val="00651120"/>
    <w:rsid w:val="00653288"/>
    <w:rsid w:val="00653868"/>
    <w:rsid w:val="00661FE8"/>
    <w:rsid w:val="006623B0"/>
    <w:rsid w:val="006631C8"/>
    <w:rsid w:val="006636A5"/>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45B"/>
    <w:rsid w:val="007C6BB6"/>
    <w:rsid w:val="007C7334"/>
    <w:rsid w:val="007C7982"/>
    <w:rsid w:val="007C7A75"/>
    <w:rsid w:val="007D1CA7"/>
    <w:rsid w:val="007D3011"/>
    <w:rsid w:val="007D3306"/>
    <w:rsid w:val="007D3D79"/>
    <w:rsid w:val="007D7271"/>
    <w:rsid w:val="007D759D"/>
    <w:rsid w:val="007D7611"/>
    <w:rsid w:val="007E225D"/>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4177"/>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73BB"/>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567B8"/>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1645"/>
    <w:rsid w:val="00EC507E"/>
    <w:rsid w:val="00EC61CE"/>
    <w:rsid w:val="00ED2FC1"/>
    <w:rsid w:val="00ED459E"/>
    <w:rsid w:val="00EE1639"/>
    <w:rsid w:val="00EE5E67"/>
    <w:rsid w:val="00EF2F6A"/>
    <w:rsid w:val="00F00AE7"/>
    <w:rsid w:val="00F0382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E6801"/>
    <w:rsid w:val="00FF0618"/>
    <w:rsid w:val="00FF2378"/>
    <w:rsid w:val="00FF4004"/>
    <w:rsid w:val="00FF6580"/>
    <w:rsid w:val="014A3644"/>
    <w:rsid w:val="03CA6EF6"/>
    <w:rsid w:val="0569312B"/>
    <w:rsid w:val="06A3413B"/>
    <w:rsid w:val="0A141145"/>
    <w:rsid w:val="0ACB4877"/>
    <w:rsid w:val="0B05105C"/>
    <w:rsid w:val="13B40768"/>
    <w:rsid w:val="14FC7721"/>
    <w:rsid w:val="158F7AAC"/>
    <w:rsid w:val="15AC3D76"/>
    <w:rsid w:val="17334565"/>
    <w:rsid w:val="178772D7"/>
    <w:rsid w:val="17CB410F"/>
    <w:rsid w:val="18146217"/>
    <w:rsid w:val="18215304"/>
    <w:rsid w:val="185C3885"/>
    <w:rsid w:val="19332BB1"/>
    <w:rsid w:val="1CD008B9"/>
    <w:rsid w:val="1D1B5C5A"/>
    <w:rsid w:val="1D237383"/>
    <w:rsid w:val="1EC56519"/>
    <w:rsid w:val="1F5171F9"/>
    <w:rsid w:val="1F7E69F7"/>
    <w:rsid w:val="221230AA"/>
    <w:rsid w:val="232457F5"/>
    <w:rsid w:val="24CF4FC0"/>
    <w:rsid w:val="24D65C74"/>
    <w:rsid w:val="2749750B"/>
    <w:rsid w:val="292532D4"/>
    <w:rsid w:val="2DF81ACA"/>
    <w:rsid w:val="2E3461D7"/>
    <w:rsid w:val="2F5C2CD9"/>
    <w:rsid w:val="31927602"/>
    <w:rsid w:val="34425E22"/>
    <w:rsid w:val="362C1207"/>
    <w:rsid w:val="37915A99"/>
    <w:rsid w:val="397D76E1"/>
    <w:rsid w:val="3BB56F81"/>
    <w:rsid w:val="3C5578E4"/>
    <w:rsid w:val="3D105F42"/>
    <w:rsid w:val="3F254F93"/>
    <w:rsid w:val="3FC56BCB"/>
    <w:rsid w:val="454609E5"/>
    <w:rsid w:val="46EE42FB"/>
    <w:rsid w:val="4943272C"/>
    <w:rsid w:val="4C7342C8"/>
    <w:rsid w:val="4CAF5BDE"/>
    <w:rsid w:val="515A14FB"/>
    <w:rsid w:val="55FE463F"/>
    <w:rsid w:val="56257777"/>
    <w:rsid w:val="587570FD"/>
    <w:rsid w:val="5A6F31E9"/>
    <w:rsid w:val="5AE1183E"/>
    <w:rsid w:val="5B6256B1"/>
    <w:rsid w:val="5B7D6727"/>
    <w:rsid w:val="5B9A01BB"/>
    <w:rsid w:val="5C4C1FF1"/>
    <w:rsid w:val="5C5D0552"/>
    <w:rsid w:val="60F7522F"/>
    <w:rsid w:val="63936F88"/>
    <w:rsid w:val="6936651F"/>
    <w:rsid w:val="6B661F71"/>
    <w:rsid w:val="6D535020"/>
    <w:rsid w:val="6E9B0452"/>
    <w:rsid w:val="7058471B"/>
    <w:rsid w:val="73F0022E"/>
    <w:rsid w:val="746305B1"/>
    <w:rsid w:val="74862811"/>
    <w:rsid w:val="772B54F6"/>
    <w:rsid w:val="7913570D"/>
    <w:rsid w:val="7945494E"/>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8"/>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49"/>
    <w:qFormat/>
    <w:uiPriority w:val="99"/>
  </w:style>
  <w:style w:type="paragraph" w:styleId="12">
    <w:name w:val="Body Text"/>
    <w:basedOn w:val="1"/>
    <w:link w:val="62"/>
    <w:qFormat/>
    <w:uiPriority w:val="99"/>
    <w:pPr>
      <w:spacing w:after="120"/>
    </w:pPr>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2"/>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1"/>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0"/>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4"/>
    <w:qFormat/>
    <w:uiPriority w:val="0"/>
    <w:rPr>
      <w:rFonts w:asciiTheme="minorHAnsi" w:hAnsiTheme="minorHAnsi" w:eastAsiaTheme="minorEastAsia" w:cstheme="minorBidi"/>
      <w:b/>
      <w:bCs/>
      <w:sz w:val="32"/>
      <w:szCs w:val="32"/>
    </w:rPr>
  </w:style>
  <w:style w:type="character" w:customStyle="1" w:styleId="59">
    <w:name w:val="标题 4 Char"/>
    <w:basedOn w:val="31"/>
    <w:link w:val="5"/>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1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6"/>
    <w:qFormat/>
    <w:uiPriority w:val="0"/>
    <w:rPr>
      <w:rFonts w:ascii="Arial" w:hAnsi="Arial" w:eastAsia="黑体"/>
      <w:b/>
      <w:bCs/>
      <w:sz w:val="24"/>
      <w:szCs w:val="24"/>
    </w:rPr>
  </w:style>
  <w:style w:type="character" w:customStyle="1" w:styleId="81">
    <w:name w:val="标题 7 Char"/>
    <w:basedOn w:val="31"/>
    <w:link w:val="7"/>
    <w:qFormat/>
    <w:uiPriority w:val="0"/>
    <w:rPr>
      <w:rFonts w:ascii="Times New Roman" w:hAnsi="Times New Roman"/>
      <w:b/>
      <w:bCs/>
      <w:sz w:val="24"/>
      <w:szCs w:val="24"/>
    </w:rPr>
  </w:style>
  <w:style w:type="character" w:customStyle="1" w:styleId="82">
    <w:name w:val="标题 8 Char"/>
    <w:basedOn w:val="31"/>
    <w:link w:val="8"/>
    <w:qFormat/>
    <w:uiPriority w:val="0"/>
    <w:rPr>
      <w:rFonts w:ascii="Arial" w:hAnsi="Arial" w:eastAsia="黑体"/>
      <w:sz w:val="24"/>
      <w:szCs w:val="24"/>
    </w:rPr>
  </w:style>
  <w:style w:type="character" w:customStyle="1" w:styleId="83">
    <w:name w:val="标题 9 Char"/>
    <w:basedOn w:val="31"/>
    <w:link w:val="9"/>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E0C27-1B73-42D5-AFB5-EE7EE731F95E}">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3752</Words>
  <Characters>21391</Characters>
  <Lines>178</Lines>
  <Paragraphs>50</Paragraphs>
  <TotalTime>2</TotalTime>
  <ScaleCrop>false</ScaleCrop>
  <LinksUpToDate>false</LinksUpToDate>
  <CharactersWithSpaces>25093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向曦</cp:lastModifiedBy>
  <cp:lastPrinted>2019-12-03T09:03:00Z</cp:lastPrinted>
  <dcterms:modified xsi:type="dcterms:W3CDTF">2026-07-07T07:29:48Z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44A5A3B214EB4CDBB31E6AA58CA254F7</vt:lpwstr>
  </property>
</Properties>
</file>