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highlight w:val="none"/>
        </w:rPr>
      </w:pPr>
    </w:p>
    <w:p>
      <w:pPr>
        <w:spacing w:line="360" w:lineRule="auto"/>
        <w:jc w:val="center"/>
        <w:rPr>
          <w:rFonts w:hint="eastAsia" w:ascii="仿宋" w:hAnsi="仿宋" w:eastAsia="仿宋" w:cs="仿宋"/>
          <w:bCs/>
          <w:color w:val="000000"/>
          <w:sz w:val="28"/>
          <w:szCs w:val="28"/>
          <w:highlight w:val="none"/>
        </w:rPr>
      </w:pPr>
    </w:p>
    <w:p>
      <w:pPr>
        <w:spacing w:line="360" w:lineRule="auto"/>
        <w:rPr>
          <w:rFonts w:hint="eastAsia" w:ascii="仿宋" w:hAnsi="仿宋" w:eastAsia="仿宋" w:cs="仿宋"/>
          <w:b/>
          <w:color w:val="000000"/>
          <w:sz w:val="44"/>
          <w:szCs w:val="44"/>
          <w:highlight w:val="none"/>
        </w:rPr>
      </w:pPr>
    </w:p>
    <w:p>
      <w:pPr>
        <w:spacing w:before="240"/>
        <w:jc w:val="center"/>
        <w:rPr>
          <w:rStyle w:val="56"/>
          <w:color w:val="auto"/>
          <w:highlight w:val="none"/>
        </w:rPr>
      </w:pPr>
      <w:r>
        <w:rPr>
          <w:rFonts w:hint="eastAsia" w:ascii="仿宋" w:hAnsi="仿宋" w:eastAsia="仿宋" w:cs="宋体"/>
          <w:b/>
          <w:color w:val="auto"/>
          <w:spacing w:val="40"/>
          <w:sz w:val="36"/>
          <w:szCs w:val="36"/>
          <w:highlight w:val="none"/>
        </w:rPr>
        <w:t>人保财险广东梅州梅江支公司校园安全风险减量服务采购项目</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rPr>
          <w:rFonts w:hint="eastAsia" w:ascii="仿宋" w:hAnsi="仿宋" w:eastAsia="仿宋" w:cs="仿宋"/>
          <w:color w:val="auto"/>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tabs>
          <w:tab w:val="left" w:pos="720"/>
          <w:tab w:val="left" w:pos="8295"/>
        </w:tabs>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lang w:eastAsia="zh-CN"/>
        </w:rPr>
        <w:t>比选</w:t>
      </w:r>
      <w:r>
        <w:rPr>
          <w:rFonts w:hint="eastAsia" w:ascii="仿宋" w:hAnsi="仿宋" w:eastAsia="仿宋" w:cs="仿宋"/>
          <w:b/>
          <w:bCs/>
          <w:color w:val="auto"/>
          <w:sz w:val="84"/>
          <w:szCs w:val="84"/>
          <w:highlight w:val="none"/>
        </w:rPr>
        <w:t>文件</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ascii="仿宋" w:hAnsi="仿宋" w:eastAsia="仿宋" w:cs="仿宋"/>
          <w:b/>
          <w:color w:val="auto"/>
          <w:sz w:val="36"/>
          <w:szCs w:val="36"/>
          <w:highlight w:val="none"/>
        </w:rPr>
      </w:pPr>
    </w:p>
    <w:p>
      <w:pPr>
        <w:tabs>
          <w:tab w:val="left" w:pos="8295"/>
        </w:tabs>
        <w:spacing w:line="360" w:lineRule="auto"/>
        <w:ind w:left="17" w:right="-21" w:hanging="17"/>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采购人：中国人民财产保险股份有限公司</w:t>
      </w:r>
      <w:r>
        <w:rPr>
          <w:rFonts w:hint="eastAsia" w:ascii="仿宋" w:hAnsi="仿宋" w:eastAsia="仿宋" w:cs="仿宋"/>
          <w:b/>
          <w:color w:val="auto"/>
          <w:sz w:val="28"/>
          <w:szCs w:val="28"/>
          <w:highlight w:val="none"/>
          <w:lang w:val="en-US" w:eastAsia="zh-CN"/>
        </w:rPr>
        <w:t>梅江支</w:t>
      </w:r>
      <w:r>
        <w:rPr>
          <w:rFonts w:hint="eastAsia" w:ascii="仿宋" w:hAnsi="仿宋" w:eastAsia="仿宋" w:cs="仿宋"/>
          <w:b/>
          <w:color w:val="auto"/>
          <w:sz w:val="28"/>
          <w:szCs w:val="28"/>
          <w:highlight w:val="none"/>
        </w:rPr>
        <w:t>公司</w:t>
      </w:r>
    </w:p>
    <w:p>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color w:val="000000"/>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sectPr>
      </w:pPr>
    </w:p>
    <w:p>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pPr>
        <w:pStyle w:val="29"/>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_Toc23196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 xml:space="preserve">第一章 </w:t>
      </w:r>
      <w:r>
        <w:rPr>
          <w:rFonts w:hint="eastAsia" w:ascii="仿宋" w:hAnsi="仿宋" w:eastAsia="仿宋" w:cs="仿宋"/>
          <w:bCs w:val="0"/>
          <w:szCs w:val="28"/>
          <w:highlight w:val="none"/>
          <w:lang w:eastAsia="zh-CN"/>
        </w:rPr>
        <w:t>比选</w:t>
      </w:r>
      <w:r>
        <w:rPr>
          <w:rFonts w:hint="eastAsia" w:ascii="仿宋" w:hAnsi="仿宋" w:eastAsia="仿宋" w:cs="仿宋"/>
          <w:bCs w:val="0"/>
          <w:szCs w:val="28"/>
          <w:highlight w:val="none"/>
        </w:rPr>
        <w:t>公告</w:t>
      </w:r>
      <w:r>
        <w:tab/>
      </w:r>
      <w:r>
        <w:rPr>
          <w:rFonts w:hint="eastAsia"/>
          <w:lang w:val="en-US" w:eastAsia="zh-CN"/>
        </w:rPr>
        <w:t>2</w:t>
      </w:r>
      <w:r>
        <w:rPr>
          <w:rFonts w:hint="eastAsia" w:ascii="仿宋" w:hAnsi="仿宋" w:eastAsia="仿宋" w:cs="仿宋"/>
          <w:bCs w:val="0"/>
          <w:caps w:val="0"/>
          <w:color w:val="000000"/>
          <w:szCs w:val="24"/>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_Toc21237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rPr>
          <w:rFonts w:hint="eastAsia"/>
          <w:lang w:val="en-US" w:eastAsia="zh-CN"/>
        </w:rPr>
        <w:t>2</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_Toc17569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rPr>
          <w:rFonts w:hint="eastAsia"/>
          <w:lang w:val="en-US" w:eastAsia="zh-CN"/>
        </w:rPr>
        <w:t>2</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_Toc28263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rPr>
          <w:rFonts w:hint="eastAsia"/>
          <w:lang w:val="en-US" w:eastAsia="zh-CN"/>
        </w:rPr>
        <w:t>2</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文件的获取</w:t>
      </w:r>
      <w:r>
        <w:tab/>
      </w:r>
      <w:r>
        <w:rPr>
          <w:rFonts w:hint="eastAsia"/>
          <w:lang w:val="en-US" w:eastAsia="zh-CN"/>
        </w:rPr>
        <w:t>2</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_Toc32115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rPr>
          <w:rFonts w:hint="eastAsia"/>
          <w:lang w:val="en-US" w:eastAsia="zh-CN"/>
        </w:rPr>
        <w:t>2</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_Toc874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rPr>
          <w:rFonts w:hint="eastAsia"/>
          <w:lang w:val="en-US" w:eastAsia="zh-CN"/>
        </w:rPr>
        <w:t>2</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_Toc30596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rPr>
          <w:rFonts w:hint="eastAsia"/>
          <w:lang w:val="en-US" w:eastAsia="zh-CN"/>
        </w:rPr>
        <w:t>2</w:t>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_Toc7018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rPr>
          <w:rFonts w:hint="eastAsia"/>
          <w:lang w:val="en-US" w:eastAsia="zh-CN"/>
        </w:rPr>
        <w:t>5</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_Toc14477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rPr>
          <w:rFonts w:hint="eastAsia"/>
          <w:lang w:val="en-US" w:eastAsia="zh-CN"/>
        </w:rPr>
        <w:t>5</w:t>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_Toc27220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rPr>
          <w:rFonts w:hint="eastAsia"/>
          <w:lang w:val="en-US" w:eastAsia="zh-CN"/>
        </w:rPr>
        <w:t>9</w:t>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rPr>
          <w:rFonts w:hint="eastAsia"/>
          <w:lang w:val="en-US" w:eastAsia="zh-CN"/>
        </w:rPr>
        <w:t>9</w:t>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_Toc14164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w:t>
      </w:r>
      <w:r>
        <w:tab/>
      </w:r>
      <w:r>
        <w:rPr>
          <w:rFonts w:hint="eastAsia"/>
          <w:lang w:val="en-US" w:eastAsia="zh-CN"/>
        </w:rPr>
        <w:t>9</w:t>
      </w:r>
      <w:r>
        <w:rPr>
          <w:rFonts w:hint="eastAsia" w:ascii="仿宋" w:hAnsi="仿宋" w:eastAsia="仿宋" w:cs="仿宋"/>
          <w:caps/>
          <w:color w:val="000000"/>
          <w:highlight w:val="none"/>
        </w:rPr>
        <w:fldChar w:fldCharType="end"/>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_Toc31141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rPr>
          <w:rFonts w:hint="eastAsia"/>
          <w:lang w:val="en-US" w:eastAsia="zh-CN"/>
        </w:rPr>
        <w:t>1</w:t>
      </w:r>
      <w:r>
        <w:rPr>
          <w:rFonts w:hint="eastAsia" w:ascii="仿宋" w:hAnsi="仿宋" w:eastAsia="仿宋" w:cs="仿宋"/>
          <w:caps/>
          <w:color w:val="000000"/>
          <w:highlight w:val="none"/>
        </w:rPr>
        <w:fldChar w:fldCharType="end"/>
      </w:r>
      <w:r>
        <w:rPr>
          <w:rFonts w:hint="default" w:eastAsia="仿宋" w:cs="仿宋" w:asciiTheme="minorAscii" w:hAnsiTheme="minorAscii"/>
          <w:i/>
          <w:iCs/>
          <w:caps/>
          <w:color w:val="000000"/>
          <w:highlight w:val="none"/>
          <w:lang w:val="en-US" w:eastAsia="zh-CN"/>
        </w:rPr>
        <w:t>0</w:t>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_Toc17865 \h </w:instrText>
      </w:r>
      <w:r>
        <w:fldChar w:fldCharType="separate"/>
      </w:r>
      <w:r>
        <w:t>1</w:t>
      </w:r>
      <w:r>
        <w:rPr>
          <w:rFonts w:hint="eastAsia"/>
          <w:lang w:val="en-US" w:eastAsia="zh-CN"/>
        </w:rPr>
        <w:t>2</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和评审</w:t>
      </w:r>
      <w:r>
        <w:tab/>
      </w:r>
      <w:r>
        <w:fldChar w:fldCharType="begin"/>
      </w:r>
      <w:r>
        <w:instrText xml:space="preserve"> PAGEREF _Toc2055 \h </w:instrText>
      </w:r>
      <w:r>
        <w:fldChar w:fldCharType="separate"/>
      </w:r>
      <w:r>
        <w:t>1</w:t>
      </w:r>
      <w:r>
        <w:rPr>
          <w:rFonts w:hint="eastAsia"/>
          <w:lang w:val="en-US" w:eastAsia="zh-CN"/>
        </w:rPr>
        <w:t>2</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_Toc28031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_Toc28031 \h </w:instrText>
      </w:r>
      <w:r>
        <w:fldChar w:fldCharType="separate"/>
      </w:r>
      <w:r>
        <w:t>1</w:t>
      </w:r>
      <w:r>
        <w:rPr>
          <w:rFonts w:hint="eastAsia"/>
          <w:lang w:val="en-US" w:eastAsia="zh-CN"/>
        </w:rPr>
        <w:t>4</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_Toc6132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_Toc6132 \h </w:instrText>
      </w:r>
      <w:r>
        <w:fldChar w:fldCharType="separate"/>
      </w:r>
      <w:r>
        <w:t>1</w:t>
      </w:r>
      <w:r>
        <w:rPr>
          <w:rFonts w:hint="eastAsia"/>
          <w:lang w:val="en-US" w:eastAsia="zh-CN"/>
        </w:rPr>
        <w:t>4</w:t>
      </w:r>
      <w:r>
        <w:fldChar w:fldCharType="end"/>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_Toc10670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_Toc10670 \h </w:instrText>
      </w:r>
      <w:r>
        <w:fldChar w:fldCharType="separate"/>
      </w:r>
      <w:r>
        <w:t>1</w:t>
      </w:r>
      <w:r>
        <w:rPr>
          <w:rFonts w:hint="eastAsia"/>
          <w:lang w:val="en-US" w:eastAsia="zh-CN"/>
        </w:rPr>
        <w:t>5</w:t>
      </w:r>
      <w:r>
        <w:fldChar w:fldCharType="end"/>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_Toc7201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_Toc7201 \h </w:instrText>
      </w:r>
      <w:r>
        <w:fldChar w:fldCharType="separate"/>
      </w:r>
      <w:r>
        <w:t>1</w:t>
      </w:r>
      <w:r>
        <w:rPr>
          <w:rFonts w:hint="eastAsia"/>
          <w:lang w:val="en-US" w:eastAsia="zh-CN"/>
        </w:rPr>
        <w:t>5</w:t>
      </w:r>
      <w:r>
        <w:fldChar w:fldCharType="end"/>
      </w:r>
      <w:r>
        <w:rPr>
          <w:rFonts w:hint="eastAsia" w:ascii="仿宋" w:hAnsi="仿宋" w:eastAsia="仿宋" w:cs="仿宋"/>
          <w:caps/>
          <w:color w:val="000000"/>
          <w:highlight w:val="none"/>
        </w:rPr>
        <w:fldChar w:fldCharType="end"/>
      </w:r>
    </w:p>
    <w:p>
      <w:pPr>
        <w:pStyle w:val="37"/>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rPr>
          <w:rFonts w:hint="eastAsia"/>
          <w:lang w:val="en-US" w:eastAsia="zh-CN"/>
        </w:rPr>
        <w:t>1</w:t>
      </w:r>
      <w:r>
        <w:rPr>
          <w:rFonts w:hint="eastAsia" w:ascii="仿宋" w:hAnsi="仿宋" w:eastAsia="仿宋" w:cs="仿宋"/>
          <w:caps/>
          <w:color w:val="000000"/>
          <w:highlight w:val="none"/>
        </w:rPr>
        <w:fldChar w:fldCharType="end"/>
      </w:r>
      <w:r>
        <w:rPr>
          <w:rFonts w:hint="default" w:eastAsia="仿宋" w:cs="仿宋" w:asciiTheme="minorAscii" w:hAnsiTheme="minorAscii"/>
          <w:caps/>
          <w:color w:val="000000"/>
          <w:highlight w:val="none"/>
          <w:lang w:val="en-US" w:eastAsia="zh-CN"/>
        </w:rPr>
        <w:t>6</w:t>
      </w:r>
    </w:p>
    <w:p>
      <w:pPr>
        <w:pStyle w:val="37"/>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_Toc25550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rPr>
          <w:rFonts w:hint="eastAsia"/>
          <w:lang w:val="en-US" w:eastAsia="zh-CN"/>
        </w:rPr>
        <w:t>1</w:t>
      </w:r>
      <w:r>
        <w:rPr>
          <w:rFonts w:hint="eastAsia" w:ascii="仿宋" w:hAnsi="仿宋" w:eastAsia="仿宋" w:cs="仿宋"/>
          <w:caps/>
          <w:color w:val="000000"/>
          <w:highlight w:val="none"/>
        </w:rPr>
        <w:fldChar w:fldCharType="end"/>
      </w:r>
      <w:r>
        <w:rPr>
          <w:rFonts w:hint="default" w:eastAsia="仿宋" w:cs="仿宋" w:asciiTheme="minorAscii" w:hAnsiTheme="minorAscii"/>
          <w:caps/>
          <w:color w:val="000000"/>
          <w:highlight w:val="none"/>
          <w:lang w:val="en-US" w:eastAsia="zh-CN"/>
        </w:rPr>
        <w:t>7</w:t>
      </w:r>
    </w:p>
    <w:p>
      <w:pPr>
        <w:pStyle w:val="29"/>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_Toc15254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第四章 合同条款</w:t>
      </w:r>
      <w:r>
        <w:tab/>
      </w:r>
      <w:r>
        <w:rPr>
          <w:rFonts w:hint="eastAsia"/>
          <w:lang w:val="en-US" w:eastAsia="zh-CN"/>
        </w:rPr>
        <w:t>1</w:t>
      </w:r>
      <w:r>
        <w:rPr>
          <w:rFonts w:hint="eastAsia" w:ascii="仿宋" w:hAnsi="仿宋" w:eastAsia="仿宋" w:cs="仿宋"/>
          <w:caps/>
          <w:color w:val="000000"/>
          <w:highlight w:val="none"/>
        </w:rPr>
        <w:fldChar w:fldCharType="end"/>
      </w:r>
      <w:r>
        <w:rPr>
          <w:rFonts w:hint="eastAsia" w:ascii="仿宋" w:hAnsi="仿宋" w:eastAsia="仿宋" w:cs="仿宋"/>
          <w:caps/>
          <w:color w:val="000000"/>
          <w:highlight w:val="none"/>
          <w:lang w:val="en-US" w:eastAsia="zh-CN"/>
        </w:rPr>
        <w:t>9</w:t>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_Toc22083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_Toc22083 \h </w:instrText>
      </w:r>
      <w:r>
        <w:fldChar w:fldCharType="separate"/>
      </w:r>
      <w:r>
        <w:t>2</w:t>
      </w:r>
      <w:r>
        <w:rPr>
          <w:rFonts w:hint="eastAsia"/>
          <w:lang w:val="en-US" w:eastAsia="zh-CN"/>
        </w:rPr>
        <w:t>7</w:t>
      </w:r>
      <w:r>
        <w:fldChar w:fldCharType="end"/>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rPr>
          <w:rFonts w:hint="eastAsia"/>
          <w:lang w:val="en-US" w:eastAsia="zh-CN"/>
        </w:rPr>
        <w:t>31</w:t>
      </w:r>
      <w:r>
        <w:rPr>
          <w:rFonts w:hint="eastAsia" w:ascii="仿宋" w:hAnsi="仿宋" w:eastAsia="仿宋" w:cs="仿宋"/>
          <w:caps/>
          <w:color w:val="000000"/>
          <w:highlight w:val="none"/>
        </w:rPr>
        <w:fldChar w:fldCharType="end"/>
      </w:r>
    </w:p>
    <w:p>
      <w:pPr>
        <w:pStyle w:val="37"/>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_Toc17191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rPr>
          <w:rFonts w:hint="eastAsia"/>
          <w:lang w:val="en-US" w:eastAsia="zh-CN"/>
        </w:rPr>
        <w:t>3</w:t>
      </w:r>
      <w:r>
        <w:rPr>
          <w:rFonts w:hint="eastAsia" w:ascii="仿宋" w:hAnsi="仿宋" w:eastAsia="仿宋" w:cs="仿宋"/>
          <w:caps/>
          <w:color w:val="000000"/>
          <w:highlight w:val="none"/>
        </w:rPr>
        <w:fldChar w:fldCharType="end"/>
      </w:r>
      <w:r>
        <w:rPr>
          <w:rFonts w:hint="eastAsia" w:eastAsia="仿宋" w:cs="仿宋" w:asciiTheme="minorAscii" w:hAnsiTheme="minorAscii"/>
          <w:caps/>
          <w:color w:val="000000"/>
          <w:highlight w:val="none"/>
          <w:lang w:val="en-US" w:eastAsia="zh-CN"/>
        </w:rPr>
        <w:t>2</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_Toc27958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rPr>
          <w:rFonts w:hint="eastAsia"/>
          <w:lang w:val="en-US" w:eastAsia="zh-CN"/>
        </w:rPr>
        <w:t>3</w:t>
      </w:r>
      <w:r>
        <w:rPr>
          <w:rFonts w:hint="eastAsia" w:ascii="仿宋" w:hAnsi="仿宋" w:eastAsia="仿宋" w:cs="仿宋"/>
          <w:caps/>
          <w:color w:val="000000"/>
          <w:highlight w:val="none"/>
        </w:rPr>
        <w:fldChar w:fldCharType="end"/>
      </w:r>
      <w:r>
        <w:rPr>
          <w:rFonts w:hint="eastAsia" w:eastAsia="仿宋" w:cs="仿宋" w:asciiTheme="minorAscii" w:hAnsiTheme="minorAscii"/>
          <w:caps/>
          <w:color w:val="000000"/>
          <w:highlight w:val="none"/>
          <w:lang w:val="en-US" w:eastAsia="zh-CN"/>
        </w:rPr>
        <w:t>3</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_Toc13983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rPr>
          <w:rFonts w:hint="eastAsia"/>
          <w:lang w:val="en-US" w:eastAsia="zh-CN"/>
        </w:rPr>
        <w:t>3</w:t>
      </w:r>
      <w:r>
        <w:rPr>
          <w:rFonts w:hint="eastAsia" w:ascii="仿宋" w:hAnsi="仿宋" w:eastAsia="仿宋" w:cs="仿宋"/>
          <w:caps/>
          <w:color w:val="000000"/>
          <w:highlight w:val="none"/>
        </w:rPr>
        <w:fldChar w:fldCharType="end"/>
      </w:r>
      <w:r>
        <w:rPr>
          <w:rFonts w:hint="eastAsia" w:eastAsia="仿宋" w:cs="仿宋" w:asciiTheme="minorAscii" w:hAnsiTheme="minorAscii"/>
          <w:caps/>
          <w:color w:val="000000"/>
          <w:highlight w:val="none"/>
          <w:lang w:val="en-US" w:eastAsia="zh-CN"/>
        </w:rPr>
        <w:t>4</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_Toc24788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rPr>
          <w:rFonts w:hint="eastAsia"/>
          <w:lang w:val="en-US" w:eastAsia="zh-CN"/>
        </w:rPr>
        <w:t>3</w:t>
      </w:r>
      <w:r>
        <w:rPr>
          <w:rFonts w:hint="eastAsia" w:ascii="仿宋" w:hAnsi="仿宋" w:eastAsia="仿宋" w:cs="仿宋"/>
          <w:caps/>
          <w:color w:val="000000"/>
          <w:highlight w:val="none"/>
        </w:rPr>
        <w:fldChar w:fldCharType="end"/>
      </w:r>
      <w:r>
        <w:rPr>
          <w:rFonts w:hint="eastAsia" w:eastAsia="仿宋" w:cs="仿宋" w:asciiTheme="minorAscii" w:hAnsiTheme="minorAscii"/>
          <w:caps/>
          <w:color w:val="000000"/>
          <w:highlight w:val="none"/>
          <w:lang w:val="en-US" w:eastAsia="zh-CN"/>
        </w:rPr>
        <w:t>5</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_Toc30551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rPr>
          <w:rFonts w:hint="eastAsia"/>
          <w:lang w:val="en-US" w:eastAsia="zh-CN"/>
        </w:rPr>
        <w:t>3</w:t>
      </w:r>
      <w:r>
        <w:rPr>
          <w:rFonts w:hint="eastAsia" w:ascii="仿宋" w:hAnsi="仿宋" w:eastAsia="仿宋" w:cs="仿宋"/>
          <w:caps/>
          <w:color w:val="000000"/>
          <w:highlight w:val="none"/>
        </w:rPr>
        <w:fldChar w:fldCharType="end"/>
      </w:r>
      <w:r>
        <w:rPr>
          <w:rFonts w:hint="eastAsia" w:eastAsia="仿宋" w:cs="仿宋" w:asciiTheme="minorAscii" w:hAnsiTheme="minorAscii"/>
          <w:caps/>
          <w:color w:val="000000"/>
          <w:highlight w:val="none"/>
          <w:lang w:val="en-US" w:eastAsia="zh-CN"/>
        </w:rPr>
        <w:t>6</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_Toc15130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rPr>
          <w:rFonts w:hint="eastAsia"/>
          <w:lang w:val="en-US" w:eastAsia="zh-CN"/>
        </w:rPr>
        <w:t>4</w:t>
      </w:r>
      <w:r>
        <w:rPr>
          <w:rFonts w:hint="eastAsia" w:ascii="仿宋" w:hAnsi="仿宋" w:eastAsia="仿宋" w:cs="仿宋"/>
          <w:caps/>
          <w:color w:val="000000"/>
          <w:highlight w:val="none"/>
        </w:rPr>
        <w:fldChar w:fldCharType="end"/>
      </w:r>
      <w:r>
        <w:rPr>
          <w:rFonts w:hint="eastAsia" w:eastAsia="仿宋" w:cs="仿宋" w:asciiTheme="minorAscii" w:hAnsiTheme="minorAscii"/>
          <w:caps/>
          <w:color w:val="000000"/>
          <w:highlight w:val="none"/>
          <w:lang w:val="en-US" w:eastAsia="zh-CN"/>
        </w:rPr>
        <w:t>3</w:t>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）供应商行为准则承诺书</w:t>
      </w:r>
      <w:r>
        <w:tab/>
      </w:r>
      <w:r>
        <w:fldChar w:fldCharType="begin"/>
      </w:r>
      <w:r>
        <w:instrText xml:space="preserve"> PAGEREF _Toc17890 \h </w:instrText>
      </w:r>
      <w:r>
        <w:fldChar w:fldCharType="separate"/>
      </w:r>
      <w:r>
        <w:t>4</w:t>
      </w:r>
      <w:r>
        <w:rPr>
          <w:rFonts w:hint="eastAsia"/>
          <w:lang w:val="en-US" w:eastAsia="zh-CN"/>
        </w:rPr>
        <w:t>6</w:t>
      </w:r>
      <w:r>
        <w:fldChar w:fldCharType="end"/>
      </w:r>
      <w:r>
        <w:rPr>
          <w:rFonts w:hint="eastAsia" w:ascii="仿宋" w:hAnsi="仿宋" w:eastAsia="仿宋" w:cs="仿宋"/>
          <w:caps/>
          <w:color w:val="000000"/>
          <w:highlight w:val="none"/>
        </w:rPr>
        <w:fldChar w:fldCharType="end"/>
      </w:r>
    </w:p>
    <w:p>
      <w:pPr>
        <w:pStyle w:val="20"/>
        <w:tabs>
          <w:tab w:val="right" w:leader="dot" w:pos="9638"/>
        </w:tabs>
        <w:rPr>
          <w:rFonts w:hint="eastAsia" w:ascii="仿宋" w:hAnsi="仿宋" w:eastAsia="仿宋" w:cs="仿宋"/>
          <w:caps/>
          <w:color w:val="000000"/>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_Toc8068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七</w:t>
      </w:r>
      <w:r>
        <w:rPr>
          <w:rFonts w:hint="eastAsia" w:ascii="仿宋" w:hAnsi="仿宋" w:eastAsia="仿宋" w:cs="宋体"/>
          <w:bCs w:val="0"/>
          <w:szCs w:val="24"/>
          <w:highlight w:val="none"/>
        </w:rPr>
        <w:t>）供应商廉洁诚信承诺书</w:t>
      </w:r>
      <w:r>
        <w:tab/>
      </w:r>
      <w:r>
        <w:fldChar w:fldCharType="begin"/>
      </w:r>
      <w:r>
        <w:instrText xml:space="preserve"> PAGEREF _Toc8068 \h </w:instrText>
      </w:r>
      <w:r>
        <w:fldChar w:fldCharType="separate"/>
      </w:r>
      <w:r>
        <w:t>4</w:t>
      </w:r>
      <w:r>
        <w:rPr>
          <w:rFonts w:hint="eastAsia"/>
          <w:lang w:val="en-US" w:eastAsia="zh-CN"/>
        </w:rPr>
        <w:t>8</w:t>
      </w:r>
      <w:r>
        <w:fldChar w:fldCharType="end"/>
      </w:r>
      <w:r>
        <w:rPr>
          <w:rFonts w:hint="eastAsia" w:ascii="仿宋" w:hAnsi="仿宋" w:eastAsia="仿宋" w:cs="仿宋"/>
          <w:caps/>
          <w:color w:val="000000"/>
          <w:highlight w:val="none"/>
        </w:rPr>
        <w:fldChar w:fldCharType="end"/>
      </w:r>
    </w:p>
    <w:p>
      <w:pPr>
        <w:pStyle w:val="37"/>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_Toc28698 \h </w:instrText>
      </w:r>
      <w:r>
        <w:fldChar w:fldCharType="separate"/>
      </w:r>
      <w:r>
        <w:t>4</w:t>
      </w:r>
      <w:r>
        <w:rPr>
          <w:rFonts w:hint="eastAsia"/>
          <w:lang w:val="en-US" w:eastAsia="zh-CN"/>
        </w:rPr>
        <w:t>9</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_Toc17302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_Toc17302 \h </w:instrText>
      </w:r>
      <w:r>
        <w:fldChar w:fldCharType="separate"/>
      </w:r>
      <w:r>
        <w:t>4</w:t>
      </w:r>
      <w:r>
        <w:rPr>
          <w:rFonts w:hint="eastAsia"/>
          <w:lang w:val="en-US" w:eastAsia="zh-CN"/>
        </w:rPr>
        <w:t>9</w:t>
      </w:r>
      <w:r>
        <w:fldChar w:fldCharType="end"/>
      </w:r>
      <w:r>
        <w:rPr>
          <w:rFonts w:hint="eastAsia" w:ascii="仿宋" w:hAnsi="仿宋" w:eastAsia="仿宋" w:cs="仿宋"/>
          <w:caps/>
          <w:color w:val="000000"/>
          <w:highlight w:val="none"/>
        </w:rPr>
        <w:fldChar w:fldCharType="end"/>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_Toc8284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rPr>
          <w:rFonts w:hint="eastAsia"/>
          <w:lang w:val="en-US" w:eastAsia="zh-CN"/>
        </w:rPr>
        <w:t>5</w:t>
      </w:r>
      <w:r>
        <w:rPr>
          <w:rFonts w:hint="eastAsia" w:ascii="仿宋" w:hAnsi="仿宋" w:eastAsia="仿宋" w:cs="仿宋"/>
          <w:caps/>
          <w:color w:val="000000"/>
          <w:highlight w:val="none"/>
        </w:rPr>
        <w:fldChar w:fldCharType="end"/>
      </w:r>
      <w:r>
        <w:rPr>
          <w:rFonts w:hint="default" w:ascii="Calibri" w:hAnsi="Calibri" w:eastAsia="仿宋" w:cs="Calibri"/>
          <w:caps/>
          <w:color w:val="000000"/>
          <w:highlight w:val="none"/>
          <w:lang w:val="en-US" w:eastAsia="zh-CN"/>
        </w:rPr>
        <w:t>0</w:t>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_Toc20365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_Toc20365 \h </w:instrText>
      </w:r>
      <w:r>
        <w:fldChar w:fldCharType="separate"/>
      </w:r>
      <w:r>
        <w:t>5</w:t>
      </w:r>
      <w:r>
        <w:rPr>
          <w:rFonts w:hint="eastAsia"/>
          <w:lang w:val="en-US" w:eastAsia="zh-CN"/>
        </w:rPr>
        <w:t>3</w:t>
      </w:r>
      <w:r>
        <w:fldChar w:fldCharType="end"/>
      </w:r>
      <w:r>
        <w:rPr>
          <w:rFonts w:hint="eastAsia" w:ascii="仿宋" w:hAnsi="仿宋" w:eastAsia="仿宋" w:cs="仿宋"/>
          <w:caps/>
          <w:color w:val="000000"/>
          <w:highlight w:val="none"/>
        </w:rPr>
        <w:fldChar w:fldCharType="end"/>
      </w:r>
    </w:p>
    <w:p>
      <w:pPr>
        <w:pStyle w:val="37"/>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_Toc20443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、报价文件</w:t>
      </w:r>
      <w:r>
        <w:tab/>
      </w:r>
      <w:r>
        <w:rPr>
          <w:rFonts w:hint="eastAsia"/>
          <w:lang w:val="en-US" w:eastAsia="zh-CN"/>
        </w:rPr>
        <w:t>5</w:t>
      </w:r>
      <w:r>
        <w:rPr>
          <w:rFonts w:hint="eastAsia" w:ascii="仿宋" w:hAnsi="仿宋" w:eastAsia="仿宋" w:cs="仿宋"/>
          <w:caps/>
          <w:color w:val="000000"/>
          <w:highlight w:val="none"/>
        </w:rPr>
        <w:fldChar w:fldCharType="end"/>
      </w:r>
      <w:r>
        <w:rPr>
          <w:rFonts w:hint="eastAsia" w:eastAsia="仿宋" w:cs="仿宋" w:asciiTheme="minorAscii" w:hAnsiTheme="minorAscii"/>
          <w:caps/>
          <w:color w:val="000000"/>
          <w:highlight w:val="none"/>
          <w:lang w:val="en-US" w:eastAsia="zh-CN"/>
        </w:rPr>
        <w:t>4</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_Toc18942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rPr>
          <w:rFonts w:hint="eastAsia"/>
          <w:lang w:val="en-US" w:eastAsia="zh-CN"/>
        </w:rPr>
        <w:t>5</w:t>
      </w:r>
      <w:r>
        <w:rPr>
          <w:rFonts w:hint="eastAsia" w:ascii="仿宋" w:hAnsi="仿宋" w:eastAsia="仿宋" w:cs="仿宋"/>
          <w:caps/>
          <w:color w:val="000000"/>
          <w:highlight w:val="none"/>
        </w:rPr>
        <w:fldChar w:fldCharType="end"/>
      </w:r>
      <w:r>
        <w:rPr>
          <w:rFonts w:hint="eastAsia" w:eastAsia="仿宋" w:cs="仿宋" w:asciiTheme="minorAscii" w:hAnsiTheme="minorAscii"/>
          <w:i/>
          <w:iCs/>
          <w:caps/>
          <w:color w:val="000000"/>
          <w:highlight w:val="none"/>
          <w:lang w:val="en-US" w:eastAsia="zh-CN"/>
        </w:rPr>
        <w:t>4</w:t>
      </w:r>
    </w:p>
    <w:p>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sectPr>
      </w:pPr>
      <w:r>
        <w:rPr>
          <w:rFonts w:hint="eastAsia" w:ascii="仿宋" w:hAnsi="仿宋" w:eastAsia="仿宋" w:cs="仿宋"/>
          <w:caps/>
          <w:color w:val="000000"/>
          <w:highlight w:val="none"/>
        </w:rPr>
        <w:fldChar w:fldCharType="end"/>
      </w:r>
    </w:p>
    <w:p>
      <w:pPr>
        <w:pStyle w:val="3"/>
        <w:spacing w:before="0" w:after="0" w:line="360" w:lineRule="auto"/>
        <w:jc w:val="center"/>
        <w:rPr>
          <w:rFonts w:ascii="仿宋" w:hAnsi="仿宋" w:eastAsia="仿宋" w:cs="仿宋"/>
          <w:bCs w:val="0"/>
          <w:color w:val="000000"/>
          <w:sz w:val="28"/>
          <w:szCs w:val="28"/>
          <w:highlight w:val="none"/>
        </w:rPr>
      </w:pPr>
      <w:bookmarkStart w:id="1" w:name="_Toc23196"/>
      <w:bookmarkStart w:id="2" w:name="_Toc7300"/>
      <w:bookmarkStart w:id="3" w:name="_Toc11826"/>
      <w:bookmarkStart w:id="4" w:name="_Toc444891333"/>
      <w:bookmarkStart w:id="5" w:name="_Toc11838"/>
      <w:bookmarkStart w:id="6" w:name="_Toc19709"/>
      <w:bookmarkStart w:id="7" w:name="_Toc287600115"/>
      <w:bookmarkStart w:id="8" w:name="_Toc517281813"/>
      <w:r>
        <w:rPr>
          <w:rFonts w:hint="eastAsia" w:ascii="仿宋" w:hAnsi="仿宋" w:eastAsia="仿宋" w:cs="仿宋"/>
          <w:bCs w:val="0"/>
          <w:color w:val="000000"/>
          <w:sz w:val="28"/>
          <w:szCs w:val="28"/>
          <w:highlight w:val="none"/>
        </w:rPr>
        <w:t xml:space="preserve">第一章 </w:t>
      </w:r>
      <w:r>
        <w:rPr>
          <w:rFonts w:hint="eastAsia" w:ascii="仿宋" w:hAnsi="仿宋" w:eastAsia="仿宋" w:cs="仿宋"/>
          <w:bCs w:val="0"/>
          <w:color w:val="000000"/>
          <w:sz w:val="28"/>
          <w:szCs w:val="28"/>
          <w:highlight w:val="none"/>
          <w:lang w:eastAsia="zh-CN"/>
        </w:rPr>
        <w:t>比选</w:t>
      </w:r>
      <w:r>
        <w:rPr>
          <w:rFonts w:hint="eastAsia" w:ascii="仿宋" w:hAnsi="仿宋" w:eastAsia="仿宋" w:cs="仿宋"/>
          <w:bCs w:val="0"/>
          <w:color w:val="000000"/>
          <w:sz w:val="28"/>
          <w:szCs w:val="28"/>
          <w:highlight w:val="none"/>
        </w:rPr>
        <w:t>公告</w:t>
      </w:r>
      <w:bookmarkEnd w:id="1"/>
    </w:p>
    <w:p>
      <w:pPr>
        <w:spacing w:line="360" w:lineRule="auto"/>
        <w:ind w:firstLine="480"/>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rPr>
        <w:t>人保财险广东梅州梅江支公司校园安全风险减量服务采购项目</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rPr>
        <w:t>中国人民财产保险股份有限公司</w:t>
      </w:r>
      <w:r>
        <w:rPr>
          <w:rFonts w:hint="eastAsia" w:ascii="仿宋" w:hAnsi="仿宋" w:eastAsia="仿宋" w:cs="仿宋"/>
          <w:color w:val="auto"/>
          <w:sz w:val="24"/>
          <w:highlight w:val="none"/>
          <w:u w:val="single"/>
          <w:lang w:val="en-US" w:eastAsia="zh-CN"/>
        </w:rPr>
        <w:t>梅州市分公司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宋体"/>
          <w:color w:val="auto"/>
          <w:sz w:val="24"/>
          <w:highlight w:val="none"/>
          <w:u w:val="single"/>
          <w:lang w:val="en-US" w:eastAsia="zh-CN"/>
        </w:rPr>
        <w:t>梅州</w:t>
      </w:r>
      <w:r>
        <w:rPr>
          <w:rFonts w:hint="eastAsia" w:ascii="仿宋" w:hAnsi="仿宋" w:eastAsia="仿宋" w:cs="宋体"/>
          <w:color w:val="auto"/>
          <w:sz w:val="24"/>
          <w:highlight w:val="none"/>
          <w:u w:val="single"/>
        </w:rPr>
        <w:t>分公司</w:t>
      </w:r>
      <w:r>
        <w:rPr>
          <w:rFonts w:hint="eastAsia" w:ascii="仿宋" w:hAnsi="仿宋" w:eastAsia="仿宋" w:cs="宋体"/>
          <w:color w:val="auto"/>
          <w:sz w:val="24"/>
          <w:highlight w:val="none"/>
        </w:rPr>
        <w:t>（以下简称“人保</w:t>
      </w:r>
      <w:r>
        <w:rPr>
          <w:rFonts w:hint="eastAsia" w:ascii="仿宋" w:hAnsi="仿宋" w:eastAsia="仿宋" w:cs="宋体"/>
          <w:color w:val="auto"/>
          <w:sz w:val="24"/>
          <w:highlight w:val="none"/>
          <w:lang w:val="en-US" w:eastAsia="zh-CN"/>
        </w:rPr>
        <w:t>财险梅州分公司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有意向且具有提供标的物能力的潜在供应商（以下简称“供应商”）可前来参与</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 xml:space="preserve">响应。 </w:t>
      </w:r>
    </w:p>
    <w:p>
      <w:pPr>
        <w:pStyle w:val="4"/>
        <w:ind w:firstLine="0"/>
        <w:jc w:val="left"/>
        <w:rPr>
          <w:rFonts w:hint="eastAsia" w:ascii="仿宋" w:hAnsi="仿宋" w:eastAsia="仿宋" w:cs="仿宋"/>
          <w:color w:val="auto"/>
          <w:sz w:val="24"/>
          <w:szCs w:val="24"/>
          <w:highlight w:val="none"/>
        </w:rPr>
      </w:pPr>
      <w:bookmarkStart w:id="9" w:name="_Toc21237"/>
      <w:r>
        <w:rPr>
          <w:rFonts w:hint="eastAsia" w:ascii="仿宋" w:hAnsi="仿宋" w:eastAsia="仿宋" w:cs="仿宋"/>
          <w:color w:val="auto"/>
          <w:sz w:val="24"/>
          <w:szCs w:val="24"/>
          <w:highlight w:val="none"/>
        </w:rPr>
        <w:t>一、项目概况与采购范围</w:t>
      </w:r>
      <w:bookmarkEnd w:id="9"/>
    </w:p>
    <w:p>
      <w:pPr>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u w:val="single"/>
        </w:rPr>
        <w:t>人保财险广东梅州梅江支公司校园安全风险减量服务采购项目</w:t>
      </w:r>
      <w:r>
        <w:rPr>
          <w:rFonts w:hint="eastAsia" w:ascii="仿宋" w:hAnsi="仿宋" w:eastAsia="仿宋" w:cs="仿宋"/>
          <w:color w:val="auto"/>
          <w:sz w:val="24"/>
          <w:highlight w:val="none"/>
        </w:rPr>
        <w:t>。</w:t>
      </w:r>
    </w:p>
    <w:p>
      <w:pPr>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采购范围：本项目拟采购风险隐患排查、防灾减损物资配套</w:t>
      </w:r>
      <w:r>
        <w:rPr>
          <w:rFonts w:hint="eastAsia" w:ascii="仿宋" w:hAnsi="仿宋" w:eastAsia="仿宋" w:cs="仿宋"/>
          <w:color w:val="auto"/>
          <w:sz w:val="24"/>
          <w:highlight w:val="none"/>
          <w:lang w:eastAsia="zh-CN"/>
        </w:rPr>
        <w:t>、安全宣传与培训</w:t>
      </w:r>
      <w:r>
        <w:rPr>
          <w:rFonts w:hint="eastAsia" w:ascii="仿宋" w:hAnsi="仿宋" w:eastAsia="仿宋" w:cs="仿宋"/>
          <w:color w:val="auto"/>
          <w:sz w:val="24"/>
          <w:highlight w:val="none"/>
        </w:rPr>
        <w:t>等服务项目，具体技术要求详见第五章采购需求。</w:t>
      </w:r>
    </w:p>
    <w:p>
      <w:pPr>
        <w:spacing w:line="360" w:lineRule="auto"/>
        <w:ind w:firstLine="480"/>
        <w:jc w:val="left"/>
        <w:rPr>
          <w:rFonts w:hint="eastAsia" w:ascii="仿宋" w:hAnsi="仿宋" w:eastAsia="仿宋" w:cs="宋体"/>
          <w:color w:val="auto"/>
          <w:sz w:val="24"/>
          <w:highlight w:val="none"/>
          <w:lang w:eastAsia="zh-CN"/>
        </w:rPr>
      </w:pPr>
      <w:r>
        <w:rPr>
          <w:rFonts w:hint="eastAsia" w:ascii="仿宋" w:hAnsi="仿宋" w:eastAsia="仿宋" w:cs="仿宋"/>
          <w:color w:val="auto"/>
          <w:sz w:val="24"/>
          <w:highlight w:val="none"/>
        </w:rPr>
        <w:t>1.3 标包划分：</w:t>
      </w:r>
      <w:r>
        <w:rPr>
          <w:rFonts w:hint="eastAsia" w:ascii="仿宋" w:hAnsi="仿宋" w:eastAsia="仿宋" w:cs="宋体"/>
          <w:color w:val="auto"/>
          <w:sz w:val="24"/>
          <w:highlight w:val="none"/>
        </w:rPr>
        <w:t>本项目不划分标包</w:t>
      </w:r>
      <w:r>
        <w:rPr>
          <w:rFonts w:hint="eastAsia" w:ascii="仿宋" w:hAnsi="仿宋" w:eastAsia="仿宋" w:cs="宋体"/>
          <w:color w:val="auto"/>
          <w:sz w:val="24"/>
          <w:highlight w:val="none"/>
          <w:lang w:eastAsia="zh-CN"/>
        </w:rPr>
        <w:t>。</w:t>
      </w:r>
    </w:p>
    <w:p>
      <w:pPr>
        <w:spacing w:line="360" w:lineRule="auto"/>
        <w:ind w:firstLine="480"/>
        <w:jc w:val="left"/>
        <w:rPr>
          <w:rFonts w:ascii="仿宋" w:hAnsi="仿宋" w:eastAsia="仿宋" w:cs="仿宋"/>
          <w:color w:val="auto"/>
          <w:sz w:val="24"/>
          <w:highlight w:val="none"/>
        </w:rPr>
      </w:pPr>
      <w:r>
        <w:rPr>
          <w:rFonts w:ascii="仿宋" w:hAnsi="仿宋" w:eastAsia="仿宋" w:cs="仿宋"/>
          <w:color w:val="auto"/>
          <w:sz w:val="24"/>
          <w:highlight w:val="none"/>
        </w:rPr>
        <w:t>1.4</w:t>
      </w:r>
      <w:r>
        <w:rPr>
          <w:rFonts w:ascii="仿宋" w:hAnsi="仿宋" w:cs="仿宋"/>
          <w:color w:val="auto"/>
          <w:sz w:val="24"/>
          <w:highlight w:val="none"/>
        </w:rPr>
        <w:t xml:space="preserve"> </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rPr>
        <w:t>服务</w:t>
      </w:r>
      <w:r>
        <w:rPr>
          <w:rFonts w:hint="eastAsia" w:ascii="仿宋" w:hAnsi="仿宋" w:eastAsia="仿宋" w:cs="仿宋"/>
          <w:color w:val="auto"/>
          <w:sz w:val="24"/>
          <w:highlight w:val="none"/>
        </w:rPr>
        <w:t>。</w:t>
      </w:r>
    </w:p>
    <w:p>
      <w:pPr>
        <w:spacing w:line="360" w:lineRule="auto"/>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服务期限：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6个月</w:t>
      </w:r>
      <w:r>
        <w:rPr>
          <w:rFonts w:hint="eastAsia" w:ascii="仿宋" w:hAnsi="仿宋" w:eastAsia="仿宋" w:cs="宋体"/>
          <w:color w:val="auto"/>
          <w:sz w:val="24"/>
          <w:highlight w:val="none"/>
        </w:rPr>
        <w:t>。</w:t>
      </w:r>
    </w:p>
    <w:p>
      <w:pPr>
        <w:spacing w:line="360" w:lineRule="auto"/>
        <w:ind w:firstLine="480"/>
        <w:jc w:val="left"/>
        <w:rPr>
          <w:rFonts w:hint="eastAsia" w:ascii="仿宋" w:hAnsi="仿宋" w:eastAsia="仿宋" w:cs="宋体"/>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6</w:t>
      </w:r>
      <w:r>
        <w:rPr>
          <w:rFonts w:hint="eastAsia" w:ascii="仿宋" w:hAnsi="仿宋" w:eastAsia="仿宋" w:cs="宋体"/>
          <w:color w:val="auto"/>
          <w:sz w:val="24"/>
          <w:highlight w:val="none"/>
        </w:rPr>
        <w:t>服务地点/交货地点：</w:t>
      </w:r>
      <w:r>
        <w:rPr>
          <w:rFonts w:hint="eastAsia" w:ascii="仿宋" w:hAnsi="仿宋" w:eastAsia="仿宋" w:cs="宋体"/>
          <w:color w:val="auto"/>
          <w:sz w:val="24"/>
          <w:highlight w:val="none"/>
          <w:lang w:val="en-US" w:eastAsia="zh-CN"/>
        </w:rPr>
        <w:t>梅江区辖区5所学校</w:t>
      </w:r>
      <w:r>
        <w:rPr>
          <w:rFonts w:hint="eastAsia" w:ascii="仿宋" w:hAnsi="仿宋" w:eastAsia="仿宋" w:cs="宋体"/>
          <w:color w:val="auto"/>
          <w:sz w:val="24"/>
          <w:highlight w:val="none"/>
        </w:rPr>
        <w:t>。</w:t>
      </w:r>
    </w:p>
    <w:p>
      <w:pPr>
        <w:pStyle w:val="2"/>
        <w:ind w:firstLine="480"/>
        <w:jc w:val="left"/>
        <w:rPr>
          <w:rFonts w:hint="eastAsia" w:eastAsia="仿宋"/>
          <w:color w:val="auto"/>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7最高投标限价：</w:t>
      </w:r>
      <w:r>
        <w:rPr>
          <w:rFonts w:hint="eastAsia" w:ascii="仿宋" w:hAnsi="仿宋" w:eastAsia="仿宋" w:cs="宋体"/>
          <w:color w:val="auto"/>
          <w:sz w:val="24"/>
          <w:highlight w:val="none"/>
          <w:lang w:val="en-US" w:eastAsia="zh-CN"/>
        </w:rPr>
        <w:t>9.8万元</w:t>
      </w:r>
      <w:r>
        <w:rPr>
          <w:rFonts w:hint="eastAsia" w:ascii="仿宋" w:hAnsi="仿宋" w:eastAsia="仿宋" w:cs="宋体"/>
          <w:color w:val="auto"/>
          <w:sz w:val="24"/>
          <w:highlight w:val="none"/>
        </w:rPr>
        <w:t>。</w:t>
      </w:r>
    </w:p>
    <w:p>
      <w:pPr>
        <w:pStyle w:val="4"/>
        <w:ind w:firstLine="0"/>
        <w:jc w:val="left"/>
        <w:rPr>
          <w:rFonts w:hint="eastAsia" w:ascii="仿宋" w:hAnsi="仿宋" w:eastAsia="仿宋" w:cs="仿宋"/>
          <w:color w:val="000000"/>
          <w:sz w:val="24"/>
          <w:szCs w:val="24"/>
          <w:highlight w:val="none"/>
        </w:rPr>
      </w:pPr>
      <w:bookmarkStart w:id="10" w:name="_Toc17569"/>
      <w:r>
        <w:rPr>
          <w:rFonts w:hint="eastAsia" w:ascii="仿宋" w:hAnsi="仿宋" w:eastAsia="仿宋" w:cs="仿宋"/>
          <w:color w:val="000000"/>
          <w:sz w:val="24"/>
          <w:szCs w:val="24"/>
          <w:highlight w:val="none"/>
        </w:rPr>
        <w:t>二、供应商资格要求</w:t>
      </w:r>
      <w:bookmarkEnd w:id="10"/>
    </w:p>
    <w:p>
      <w:pPr>
        <w:spacing w:line="360" w:lineRule="auto"/>
        <w:ind w:firstLine="480"/>
        <w:rPr>
          <w:rFonts w:hint="eastAsia" w:ascii="仿宋" w:hAnsi="仿宋" w:eastAsia="仿宋" w:cs="宋体"/>
          <w:color w:val="000000"/>
          <w:sz w:val="24"/>
          <w:highlight w:val="none"/>
        </w:rPr>
      </w:pPr>
      <w:r>
        <w:rPr>
          <w:rFonts w:hint="eastAsia" w:ascii="仿宋" w:hAnsi="仿宋" w:eastAsia="仿宋" w:cs="宋体"/>
          <w:color w:val="000000"/>
          <w:sz w:val="24"/>
          <w:highlight w:val="none"/>
        </w:rPr>
        <w:t>2.1</w:t>
      </w:r>
      <w:r>
        <w:rPr>
          <w:rFonts w:hint="eastAsia" w:ascii="仿宋" w:hAnsi="仿宋" w:eastAsia="仿宋" w:cs="宋体"/>
          <w:b/>
          <w:bCs/>
          <w:color w:val="000000"/>
          <w:sz w:val="24"/>
          <w:highlight w:val="none"/>
        </w:rPr>
        <w:t>在中华人民共和国境内依法登记的法人或其他组织，具有独立承担民事责任的能力，</w:t>
      </w:r>
      <w:r>
        <w:rPr>
          <w:rFonts w:hint="eastAsia" w:ascii="仿宋" w:hAnsi="仿宋" w:eastAsia="仿宋" w:cs="宋体"/>
          <w:color w:val="000000"/>
          <w:sz w:val="24"/>
          <w:highlight w:val="none"/>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highlight w:val="none"/>
        </w:rPr>
        <w:t>；供应商如为事业单位或其他组织，须提供事业单位法人证书或登记证或组织机构代码证或其他有效证明文件（复印件）；</w:t>
      </w:r>
    </w:p>
    <w:p>
      <w:pPr>
        <w:spacing w:line="360" w:lineRule="auto"/>
        <w:ind w:firstLine="480"/>
        <w:rPr>
          <w:rFonts w:hint="eastAsia"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2</w:t>
      </w:r>
      <w:r>
        <w:rPr>
          <w:rFonts w:hint="eastAsia" w:ascii="仿宋" w:hAnsi="仿宋" w:eastAsia="仿宋" w:cs="宋体"/>
          <w:b/>
          <w:bCs/>
          <w:color w:val="000000"/>
          <w:sz w:val="24"/>
          <w:highlight w:val="none"/>
        </w:rPr>
        <w:t>供应商应经营状况良好，且近三年内（</w:t>
      </w:r>
      <w:r>
        <w:rPr>
          <w:rFonts w:hint="eastAsia" w:ascii="仿宋" w:hAnsi="仿宋" w:eastAsia="仿宋" w:cs="宋体"/>
          <w:b/>
          <w:bCs/>
          <w:color w:val="auto"/>
          <w:sz w:val="24"/>
          <w:highlight w:val="none"/>
        </w:rPr>
        <w:t>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000000"/>
          <w:sz w:val="24"/>
          <w:highlight w:val="none"/>
        </w:rPr>
        <w:t>年1月1日至今）无违法违规记录。</w:t>
      </w:r>
      <w:r>
        <w:rPr>
          <w:rFonts w:hint="eastAsia" w:ascii="仿宋" w:hAnsi="仿宋" w:eastAsia="仿宋" w:cs="宋体"/>
          <w:color w:val="000000"/>
          <w:sz w:val="24"/>
          <w:highlight w:val="none"/>
        </w:rPr>
        <w:t>违法违规记录是指被“信用中国”列入失信被执行人、重大税收违法失信主体、政府采购严重违法失信行为记录名单。供应商需提供自</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公告发布之日至响应文件递交截止之日期间对以上三项内容的查询截图。</w:t>
      </w:r>
    </w:p>
    <w:p>
      <w:pPr>
        <w:spacing w:line="360" w:lineRule="auto"/>
        <w:ind w:firstLine="480"/>
        <w:rPr>
          <w:rFonts w:hint="eastAsia" w:ascii="仿宋" w:hAnsi="仿宋" w:eastAsia="仿宋" w:cs="宋体"/>
          <w:color w:val="000000"/>
          <w:sz w:val="24"/>
          <w:highlight w:val="none"/>
        </w:rPr>
      </w:pPr>
      <w:r>
        <w:rPr>
          <w:rFonts w:hint="eastAsia" w:ascii="仿宋" w:hAnsi="仿宋" w:eastAsia="仿宋" w:cs="宋体"/>
          <w:color w:val="000000"/>
          <w:sz w:val="24"/>
          <w:highlight w:val="none"/>
        </w:rPr>
        <w:t>信用中国查询网址：https://www.creditchina.gov.cn/zhuanxiangchaxun/</w:t>
      </w:r>
    </w:p>
    <w:p>
      <w:pPr>
        <w:spacing w:line="360" w:lineRule="auto"/>
        <w:ind w:firstLine="48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3</w:t>
      </w:r>
      <w:r>
        <w:rPr>
          <w:rFonts w:hint="eastAsia" w:ascii="仿宋" w:hAnsi="仿宋" w:eastAsia="仿宋" w:cs="宋体"/>
          <w:color w:val="000000"/>
          <w:sz w:val="24"/>
          <w:highlight w:val="none"/>
        </w:rPr>
        <w:t xml:space="preserve"> </w:t>
      </w:r>
      <w:r>
        <w:rPr>
          <w:rFonts w:hint="eastAsia" w:ascii="仿宋" w:hAnsi="仿宋" w:eastAsia="仿宋" w:cs="宋体"/>
          <w:b/>
          <w:bCs/>
          <w:color w:val="000000"/>
          <w:sz w:val="24"/>
          <w:highlight w:val="none"/>
        </w:rPr>
        <w:t>严禁列入</w:t>
      </w:r>
      <w:r>
        <w:rPr>
          <w:rFonts w:hint="eastAsia" w:ascii="仿宋" w:hAnsi="仿宋" w:eastAsia="仿宋" w:cs="宋体"/>
          <w:b/>
          <w:bCs/>
          <w:color w:val="000000"/>
          <w:sz w:val="24"/>
          <w:highlight w:val="none"/>
          <w:lang w:val="en-US" w:eastAsia="zh-CN"/>
        </w:rPr>
        <w:t>采购</w:t>
      </w:r>
      <w:r>
        <w:rPr>
          <w:rFonts w:hint="eastAsia" w:ascii="仿宋" w:hAnsi="仿宋" w:eastAsia="仿宋" w:cs="宋体"/>
          <w:b/>
          <w:bCs/>
          <w:color w:val="000000"/>
          <w:sz w:val="24"/>
          <w:highlight w:val="none"/>
        </w:rPr>
        <w:t>人及其所隶属的中国人民保险各级机构的供应商黑名单且在禁入期内的供应商参与采购活动。</w:t>
      </w:r>
    </w:p>
    <w:p>
      <w:pPr>
        <w:spacing w:line="360" w:lineRule="auto"/>
        <w:ind w:firstLine="480"/>
        <w:rPr>
          <w:rFonts w:hint="eastAsia"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4</w:t>
      </w:r>
      <w:r>
        <w:rPr>
          <w:rFonts w:hint="eastAsia" w:ascii="仿宋" w:hAnsi="仿宋" w:eastAsia="仿宋" w:cs="宋体"/>
          <w:color w:val="000000"/>
          <w:sz w:val="24"/>
          <w:highlight w:val="none"/>
        </w:rPr>
        <w:t>单位负责人为同一人或存在控股、管理关系的不同单位，不得参加同一标段/标包</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响应或未划分标段/标包的同一采购项目的</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响应，需填写《供应商控股及管理关系情况申报表》。</w:t>
      </w:r>
    </w:p>
    <w:p>
      <w:pPr>
        <w:spacing w:line="360" w:lineRule="auto"/>
        <w:ind w:firstLine="480"/>
        <w:rPr>
          <w:rFonts w:hint="eastAsia"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5</w:t>
      </w:r>
      <w:r>
        <w:rPr>
          <w:rFonts w:hint="eastAsia" w:ascii="仿宋" w:hAnsi="仿宋" w:eastAsia="仿宋" w:cs="宋体"/>
          <w:color w:val="000000"/>
          <w:sz w:val="24"/>
          <w:highlight w:val="none"/>
        </w:rPr>
        <w:t>本项目不接受联合体</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w:t>
      </w:r>
    </w:p>
    <w:p>
      <w:pPr>
        <w:pStyle w:val="4"/>
        <w:ind w:firstLine="0"/>
        <w:jc w:val="left"/>
        <w:rPr>
          <w:rFonts w:hint="eastAsia" w:ascii="仿宋" w:hAnsi="仿宋" w:eastAsia="仿宋" w:cs="仿宋"/>
          <w:color w:val="000000"/>
          <w:sz w:val="24"/>
          <w:szCs w:val="24"/>
          <w:highlight w:val="none"/>
        </w:rPr>
      </w:pPr>
      <w:bookmarkStart w:id="11" w:name="_Toc28263"/>
      <w:r>
        <w:rPr>
          <w:rFonts w:hint="eastAsia" w:ascii="仿宋" w:hAnsi="仿宋" w:eastAsia="仿宋" w:cs="仿宋"/>
          <w:color w:val="000000"/>
          <w:sz w:val="24"/>
          <w:szCs w:val="24"/>
          <w:highlight w:val="none"/>
        </w:rPr>
        <w:t>三、资格审查方法</w:t>
      </w:r>
      <w:bookmarkEnd w:id="11"/>
    </w:p>
    <w:p>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文件第三章评审办法。未通过资格后审的供应商，响应文件将被否决，不进入</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、详细评审等后续环节。</w:t>
      </w:r>
    </w:p>
    <w:p>
      <w:pPr>
        <w:pStyle w:val="4"/>
        <w:spacing w:after="240"/>
        <w:ind w:firstLine="0"/>
        <w:jc w:val="left"/>
        <w:rPr>
          <w:rFonts w:hint="eastAsia" w:ascii="仿宋" w:hAnsi="仿宋" w:eastAsia="仿宋" w:cs="仿宋"/>
          <w:color w:val="auto"/>
          <w:sz w:val="24"/>
          <w:szCs w:val="24"/>
          <w:highlight w:val="none"/>
        </w:rPr>
      </w:pPr>
      <w:bookmarkStart w:id="12" w:name="_Toc2019"/>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文件的获取</w:t>
      </w:r>
      <w:bookmarkEnd w:id="12"/>
    </w:p>
    <w:p>
      <w:pPr>
        <w:pStyle w:val="13"/>
        <w:spacing w:line="360" w:lineRule="auto"/>
        <w:rPr>
          <w:rFonts w:hint="default" w:ascii="仿宋" w:hAnsi="仿宋" w:eastAsia="仿宋" w:cs="仿宋"/>
          <w:color w:val="auto"/>
          <w:sz w:val="24"/>
          <w:szCs w:val="24"/>
          <w:lang w:val="en-US" w:eastAsia="zh-CN"/>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w:t>
      </w:r>
      <w:r>
        <w:rPr>
          <w:rFonts w:hint="eastAsia" w:ascii="仿宋" w:hAnsi="仿宋" w:eastAsia="仿宋" w:cs="宋体"/>
          <w:color w:val="auto"/>
          <w:sz w:val="24"/>
          <w:highlight w:val="none"/>
        </w:rPr>
        <w:t>拟报名参加本项目的供应商，请</w:t>
      </w:r>
      <w:r>
        <w:rPr>
          <w:rFonts w:hint="eastAsia" w:ascii="仿宋" w:hAnsi="仿宋" w:eastAsia="仿宋" w:cs="仿宋"/>
          <w:color w:val="auto"/>
          <w:sz w:val="24"/>
          <w:szCs w:val="24"/>
        </w:rPr>
        <w:t>登录“人保e采”外网门户（ec.picc.com）申请注册入库，审核通过后进行项目报名（相关详见“人保e采”外网门户的《人保e采管理系统供应商入库操作指南》）。</w:t>
      </w:r>
    </w:p>
    <w:p>
      <w:pPr>
        <w:pStyle w:val="236"/>
        <w:jc w:val="left"/>
        <w:rPr>
          <w:rFonts w:hint="default" w:ascii="仿宋" w:hAnsi="仿宋" w:eastAsia="仿宋" w:cs="仿宋"/>
          <w:color w:val="auto"/>
          <w:sz w:val="24"/>
          <w:szCs w:val="24"/>
          <w:lang w:val="en-US" w:eastAsia="zh-CN"/>
        </w:rPr>
      </w:pPr>
      <w:r>
        <w:rPr>
          <w:rFonts w:ascii="仿宋" w:hAnsi="仿宋" w:eastAsia="仿宋" w:cs="宋体"/>
          <w:color w:val="auto"/>
          <w:sz w:val="24"/>
          <w:highlight w:val="none"/>
        </w:rPr>
        <w:t>4</w:t>
      </w:r>
      <w:r>
        <w:rPr>
          <w:rFonts w:hint="eastAsia" w:ascii="仿宋" w:hAnsi="仿宋" w:eastAsia="仿宋" w:cs="宋体"/>
          <w:color w:val="auto"/>
          <w:sz w:val="24"/>
          <w:highlight w:val="none"/>
        </w:rPr>
        <w:t>.2</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11</w:t>
      </w:r>
      <w:r>
        <w:rPr>
          <w:rFonts w:hint="eastAsia" w:ascii="仿宋" w:hAnsi="仿宋" w:eastAsia="仿宋" w:cs="宋体"/>
          <w:b/>
          <w:color w:val="auto"/>
          <w:sz w:val="24"/>
          <w:szCs w:val="24"/>
          <w:highlight w:val="none"/>
          <w:u w:val="single"/>
        </w:rPr>
        <w:t>日</w:t>
      </w:r>
      <w:r>
        <w:rPr>
          <w:rFonts w:hint="eastAsia" w:ascii="仿宋" w:hAnsi="仿宋" w:eastAsia="仿宋" w:cs="宋体"/>
          <w:b/>
          <w:bCs/>
          <w:color w:val="auto"/>
          <w:sz w:val="24"/>
          <w:szCs w:val="24"/>
          <w:highlight w:val="none"/>
          <w:u w:val="single"/>
        </w:rPr>
        <w:t>08：30</w:t>
      </w:r>
      <w:r>
        <w:rPr>
          <w:rFonts w:hint="eastAsia" w:ascii="仿宋" w:hAnsi="仿宋" w:eastAsia="仿宋" w:cs="宋体"/>
          <w:color w:val="auto"/>
          <w:sz w:val="24"/>
          <w:szCs w:val="24"/>
          <w:highlight w:val="none"/>
        </w:rPr>
        <w:t>时</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13</w:t>
      </w:r>
      <w:r>
        <w:rPr>
          <w:rFonts w:hint="eastAsia" w:ascii="仿宋" w:hAnsi="仿宋" w:eastAsia="仿宋" w:cs="宋体"/>
          <w:b/>
          <w:color w:val="auto"/>
          <w:sz w:val="24"/>
          <w:szCs w:val="24"/>
          <w:highlight w:val="none"/>
          <w:u w:val="single"/>
        </w:rPr>
        <w:t>日</w:t>
      </w:r>
      <w:r>
        <w:rPr>
          <w:rFonts w:hint="eastAsia" w:ascii="仿宋" w:hAnsi="仿宋" w:eastAsia="仿宋" w:cs="宋体"/>
          <w:b/>
          <w:bCs/>
          <w:color w:val="auto"/>
          <w:sz w:val="24"/>
          <w:szCs w:val="24"/>
          <w:highlight w:val="none"/>
          <w:u w:val="single"/>
        </w:rPr>
        <w:t>18：00时</w:t>
      </w:r>
      <w:r>
        <w:rPr>
          <w:rFonts w:hint="eastAsia" w:ascii="仿宋" w:hAnsi="仿宋" w:eastAsia="仿宋" w:cs="宋体"/>
          <w:color w:val="auto"/>
          <w:sz w:val="24"/>
          <w:szCs w:val="24"/>
          <w:highlight w:val="none"/>
        </w:rPr>
        <w:t>（北京时间，下同）。</w:t>
      </w:r>
      <w:r>
        <w:rPr>
          <w:rFonts w:hint="eastAsia" w:ascii="仿宋" w:hAnsi="仿宋" w:eastAsia="仿宋" w:cs="宋体"/>
          <w:color w:val="auto"/>
          <w:sz w:val="24"/>
          <w:szCs w:val="24"/>
          <w:highlight w:val="none"/>
          <w:lang w:val="en-US" w:eastAsia="zh-CN"/>
        </w:rPr>
        <w:t>请将</w:t>
      </w:r>
      <w:r>
        <w:rPr>
          <w:rFonts w:hint="eastAsia" w:ascii="仿宋" w:hAnsi="仿宋" w:eastAsia="仿宋" w:cs="仿宋"/>
          <w:color w:val="auto"/>
          <w:sz w:val="24"/>
          <w:szCs w:val="24"/>
        </w:rPr>
        <w:t>营业执照复印件盖章+授权委托书打包以邮件方式发送给联系人。</w:t>
      </w:r>
    </w:p>
    <w:p>
      <w:pPr>
        <w:pStyle w:val="4"/>
        <w:ind w:firstLine="0"/>
        <w:jc w:val="left"/>
        <w:rPr>
          <w:rFonts w:hint="eastAsia" w:ascii="仿宋" w:hAnsi="仿宋" w:eastAsia="仿宋" w:cs="仿宋"/>
          <w:color w:val="auto"/>
          <w:sz w:val="24"/>
          <w:szCs w:val="24"/>
          <w:highlight w:val="none"/>
        </w:rPr>
      </w:pPr>
      <w:bookmarkStart w:id="13" w:name="_Toc32115"/>
      <w:r>
        <w:rPr>
          <w:rFonts w:hint="eastAsia" w:ascii="仿宋" w:hAnsi="仿宋" w:eastAsia="仿宋" w:cs="仿宋"/>
          <w:color w:val="auto"/>
          <w:sz w:val="24"/>
          <w:szCs w:val="24"/>
          <w:highlight w:val="none"/>
        </w:rPr>
        <w:t>五、响应文件的递交</w:t>
      </w:r>
      <w:bookmarkEnd w:id="13"/>
    </w:p>
    <w:p>
      <w:pPr>
        <w:spacing w:line="360" w:lineRule="auto"/>
        <w:ind w:firstLine="480"/>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7</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15</w:t>
      </w:r>
      <w:r>
        <w:rPr>
          <w:rFonts w:hint="eastAsia" w:ascii="仿宋" w:hAnsi="仿宋" w:eastAsia="仿宋" w:cs="宋体"/>
          <w:color w:val="auto"/>
          <w:sz w:val="24"/>
          <w:highlight w:val="none"/>
          <w:u w:val="single"/>
        </w:rPr>
        <w:t>日14时</w:t>
      </w:r>
      <w:r>
        <w:rPr>
          <w:rFonts w:hint="eastAsia" w:ascii="仿宋" w:hAnsi="仿宋" w:eastAsia="仿宋" w:cs="宋体"/>
          <w:color w:val="auto"/>
          <w:sz w:val="24"/>
          <w:highlight w:val="none"/>
        </w:rPr>
        <w:t>。</w:t>
      </w:r>
    </w:p>
    <w:p>
      <w:pPr>
        <w:spacing w:line="360" w:lineRule="auto"/>
        <w:ind w:firstLine="480"/>
        <w:jc w:val="left"/>
        <w:rPr>
          <w:rFonts w:hint="eastAsia"/>
          <w:color w:val="auto"/>
          <w:highlight w:val="none"/>
        </w:rPr>
      </w:pPr>
      <w:r>
        <w:rPr>
          <w:rFonts w:hint="eastAsia" w:ascii="仿宋" w:hAnsi="仿宋" w:eastAsia="仿宋" w:cs="宋体"/>
          <w:color w:val="auto"/>
          <w:sz w:val="24"/>
          <w:highlight w:val="none"/>
        </w:rPr>
        <w:t>5.2响应文件的递交：须现场递交，</w:t>
      </w:r>
      <w:r>
        <w:rPr>
          <w:rFonts w:hint="eastAsia" w:ascii="仿宋" w:hAnsi="仿宋" w:eastAsia="仿宋" w:cs="宋体"/>
          <w:b/>
          <w:bCs/>
          <w:color w:val="auto"/>
          <w:sz w:val="24"/>
          <w:highlight w:val="none"/>
        </w:rPr>
        <w:t>逾期送达或者未送达指定地点或者未按照</w:t>
      </w:r>
      <w:r>
        <w:rPr>
          <w:rFonts w:hint="eastAsia" w:ascii="仿宋" w:hAnsi="仿宋" w:eastAsia="仿宋" w:cs="宋体"/>
          <w:b/>
          <w:bCs/>
          <w:color w:val="auto"/>
          <w:sz w:val="24"/>
          <w:highlight w:val="none"/>
          <w:lang w:eastAsia="zh-CN"/>
        </w:rPr>
        <w:t>比选</w:t>
      </w:r>
      <w:r>
        <w:rPr>
          <w:rFonts w:hint="eastAsia" w:ascii="仿宋" w:hAnsi="仿宋" w:eastAsia="仿宋" w:cs="宋体"/>
          <w:b/>
          <w:bCs/>
          <w:color w:val="auto"/>
          <w:sz w:val="24"/>
          <w:highlight w:val="none"/>
        </w:rPr>
        <w:t>文件要求封装的纸质响应文件不予接收。</w:t>
      </w:r>
    </w:p>
    <w:p>
      <w:pPr>
        <w:spacing w:line="360" w:lineRule="auto"/>
        <w:ind w:firstLine="480"/>
        <w:rPr>
          <w:rFonts w:hint="eastAsia" w:ascii="仿宋" w:hAnsi="仿宋" w:eastAsia="仿宋" w:cs="宋体"/>
          <w:b w:val="0"/>
          <w:bCs w:val="0"/>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5.3</w:t>
      </w:r>
      <w:r>
        <w:rPr>
          <w:rFonts w:hint="eastAsia" w:ascii="仿宋" w:hAnsi="仿宋" w:eastAsia="仿宋" w:cs="宋体"/>
          <w:b w:val="0"/>
          <w:bCs w:val="0"/>
          <w:color w:val="auto"/>
          <w:sz w:val="24"/>
          <w:szCs w:val="24"/>
          <w:highlight w:val="none"/>
          <w:lang w:val="en-US" w:eastAsia="zh-CN" w:bidi="ar-SA"/>
        </w:rPr>
        <w:t>本项目将于上述同一时间、地点进行比选，采购人/采购代理机构邀请供应商代表准时参加。</w:t>
      </w:r>
    </w:p>
    <w:p>
      <w:pPr>
        <w:spacing w:line="360" w:lineRule="auto"/>
        <w:ind w:firstLine="480"/>
        <w:rPr>
          <w:rFonts w:hint="eastAsia" w:ascii="仿宋" w:hAnsi="仿宋" w:eastAsia="仿宋" w:cs="宋体"/>
          <w:b/>
          <w:bCs/>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5.4</w:t>
      </w:r>
      <w:r>
        <w:rPr>
          <w:rFonts w:hint="eastAsia" w:ascii="仿宋" w:hAnsi="仿宋" w:eastAsia="仿宋" w:cs="宋体"/>
          <w:b/>
          <w:bCs/>
          <w:color w:val="auto"/>
          <w:sz w:val="24"/>
          <w:szCs w:val="24"/>
          <w:highlight w:val="none"/>
          <w:lang w:val="en-US" w:eastAsia="zh-CN" w:bidi="ar-SA"/>
        </w:rPr>
        <w:t>出现以下情形之一时，采购人/采购代理机构不予接收投标文件：</w:t>
      </w:r>
    </w:p>
    <w:p>
      <w:pPr>
        <w:spacing w:line="360" w:lineRule="auto"/>
        <w:ind w:firstLine="480"/>
        <w:rPr>
          <w:rFonts w:hint="eastAsia" w:ascii="仿宋" w:hAnsi="仿宋" w:eastAsia="仿宋" w:cs="宋体"/>
          <w:b w:val="0"/>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5.4.1  逾期送达或者未送达指定地点的；</w:t>
      </w:r>
    </w:p>
    <w:p>
      <w:pPr>
        <w:spacing w:line="360" w:lineRule="auto"/>
        <w:ind w:firstLine="480"/>
        <w:rPr>
          <w:rFonts w:hint="eastAsia" w:ascii="仿宋" w:hAnsi="仿宋" w:eastAsia="仿宋" w:cs="宋体"/>
          <w:b w:val="0"/>
          <w:color w:val="auto"/>
          <w:sz w:val="24"/>
          <w:szCs w:val="24"/>
          <w:highlight w:val="none"/>
          <w:lang w:val="en-US" w:eastAsia="zh-CN" w:bidi="ar-SA"/>
        </w:rPr>
      </w:pPr>
      <w:r>
        <w:rPr>
          <w:rFonts w:hint="eastAsia" w:ascii="仿宋" w:hAnsi="仿宋" w:eastAsia="仿宋" w:cs="宋体"/>
          <w:b w:val="0"/>
          <w:color w:val="auto"/>
          <w:sz w:val="24"/>
          <w:szCs w:val="24"/>
          <w:highlight w:val="none"/>
          <w:lang w:val="en-US" w:eastAsia="zh-CN" w:bidi="ar-SA"/>
        </w:rPr>
        <w:t>5.4.2  未按照响应文件要求密封的；</w:t>
      </w:r>
    </w:p>
    <w:p>
      <w:pPr>
        <w:spacing w:line="360" w:lineRule="auto"/>
        <w:ind w:firstLine="480"/>
        <w:rPr>
          <w:rFonts w:hint="eastAsia" w:ascii="仿宋" w:hAnsi="仿宋" w:eastAsia="仿宋" w:cs="宋体"/>
          <w:color w:val="auto"/>
          <w:sz w:val="24"/>
          <w:highlight w:val="none"/>
        </w:rPr>
      </w:pPr>
      <w:r>
        <w:rPr>
          <w:rFonts w:hint="eastAsia" w:ascii="仿宋" w:hAnsi="仿宋" w:eastAsia="仿宋" w:cs="宋体"/>
          <w:b w:val="0"/>
          <w:color w:val="auto"/>
          <w:sz w:val="24"/>
          <w:szCs w:val="24"/>
          <w:highlight w:val="none"/>
          <w:lang w:val="en-US" w:eastAsia="zh-CN" w:bidi="ar-SA"/>
        </w:rPr>
        <w:t>5.4.3  未按照比选公告要求获取比选文件的。</w:t>
      </w:r>
    </w:p>
    <w:p>
      <w:pPr>
        <w:pStyle w:val="4"/>
        <w:ind w:firstLine="0"/>
        <w:jc w:val="left"/>
        <w:rPr>
          <w:rFonts w:hint="eastAsia" w:ascii="仿宋" w:hAnsi="仿宋" w:eastAsia="仿宋" w:cs="仿宋"/>
          <w:color w:val="auto"/>
          <w:sz w:val="24"/>
          <w:szCs w:val="24"/>
          <w:highlight w:val="none"/>
        </w:rPr>
      </w:pPr>
      <w:bookmarkStart w:id="14" w:name="_Toc874"/>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14"/>
    </w:p>
    <w:p>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。对于非法转载、篡改采购公告信息的组织或个人，采购人保留追究其法律责任的权利。</w:t>
      </w:r>
    </w:p>
    <w:p>
      <w:pPr>
        <w:pStyle w:val="4"/>
        <w:ind w:firstLine="0"/>
        <w:jc w:val="left"/>
        <w:rPr>
          <w:rFonts w:hint="eastAsia" w:ascii="仿宋" w:hAnsi="仿宋" w:eastAsia="仿宋" w:cs="仿宋"/>
          <w:color w:val="auto"/>
          <w:sz w:val="24"/>
          <w:szCs w:val="24"/>
          <w:highlight w:val="none"/>
        </w:rPr>
      </w:pPr>
      <w:bookmarkStart w:id="15" w:name="_Toc3059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5"/>
    </w:p>
    <w:p>
      <w:pPr>
        <w:tabs>
          <w:tab w:val="left" w:pos="-105"/>
          <w:tab w:val="left" w:pos="420"/>
          <w:tab w:val="left" w:pos="630"/>
          <w:tab w:val="left" w:pos="1155"/>
          <w:tab w:val="left" w:pos="1890"/>
          <w:tab w:val="left" w:pos="3150"/>
          <w:tab w:val="left" w:pos="3780"/>
        </w:tabs>
        <w:spacing w:line="360" w:lineRule="auto"/>
        <w:ind w:firstLine="422"/>
        <w:jc w:val="left"/>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梅州市分公司</w:t>
      </w:r>
    </w:p>
    <w:p>
      <w:pPr>
        <w:spacing w:line="360" w:lineRule="auto"/>
        <w:ind w:firstLine="42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地址：广东省梅州市梅江区</w:t>
      </w:r>
      <w:r>
        <w:rPr>
          <w:rFonts w:hint="eastAsia" w:ascii="仿宋" w:hAnsi="仿宋" w:eastAsia="仿宋" w:cs="仿宋"/>
          <w:color w:val="auto"/>
          <w:sz w:val="24"/>
          <w:highlight w:val="none"/>
          <w:lang w:val="en-US" w:eastAsia="zh-CN"/>
        </w:rPr>
        <w:t>江南路45号</w:t>
      </w:r>
    </w:p>
    <w:p>
      <w:pPr>
        <w:spacing w:line="360" w:lineRule="auto"/>
        <w:ind w:firstLine="480"/>
        <w:jc w:val="right"/>
        <w:rPr>
          <w:rFonts w:hint="eastAsia" w:ascii="仿宋" w:hAnsi="仿宋" w:eastAsia="仿宋" w:cs="宋体"/>
          <w:color w:val="FF0000"/>
          <w:sz w:val="24"/>
          <w:highlight w:val="none"/>
        </w:rPr>
      </w:pPr>
    </w:p>
    <w:p>
      <w:pPr>
        <w:spacing w:line="360" w:lineRule="auto"/>
        <w:ind w:firstLine="480"/>
        <w:jc w:val="right"/>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梅州市分公司</w:t>
      </w:r>
    </w:p>
    <w:p>
      <w:pPr>
        <w:spacing w:line="360" w:lineRule="auto"/>
        <w:ind w:firstLine="480"/>
        <w:jc w:val="right"/>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10</w:t>
      </w:r>
      <w:bookmarkStart w:id="220" w:name="_GoBack"/>
      <w:bookmarkEnd w:id="220"/>
      <w:r>
        <w:rPr>
          <w:rFonts w:hint="eastAsia" w:ascii="仿宋" w:hAnsi="仿宋" w:eastAsia="仿宋" w:cs="宋体"/>
          <w:color w:val="auto"/>
          <w:sz w:val="24"/>
          <w:highlight w:val="none"/>
        </w:rPr>
        <w:t>日</w:t>
      </w:r>
      <w:bookmarkEnd w:id="2"/>
      <w:bookmarkEnd w:id="3"/>
      <w:bookmarkEnd w:id="4"/>
      <w:bookmarkEnd w:id="5"/>
      <w:bookmarkEnd w:id="6"/>
      <w:bookmarkEnd w:id="7"/>
      <w:bookmarkEnd w:id="8"/>
    </w:p>
    <w:p>
      <w:pPr>
        <w:pStyle w:val="3"/>
        <w:spacing w:before="0" w:after="0" w:line="360" w:lineRule="auto"/>
        <w:jc w:val="center"/>
        <w:rPr>
          <w:rFonts w:hint="eastAsia" w:ascii="仿宋" w:hAnsi="仿宋" w:eastAsia="仿宋" w:cs="仿宋"/>
          <w:color w:val="000000"/>
          <w:sz w:val="28"/>
          <w:szCs w:val="28"/>
          <w:highlight w:val="none"/>
        </w:rPr>
      </w:pPr>
      <w:bookmarkStart w:id="16" w:name="_Toc2797"/>
      <w:bookmarkStart w:id="17" w:name="_Toc23165"/>
      <w:bookmarkStart w:id="18" w:name="_Toc444891334"/>
      <w:bookmarkStart w:id="19" w:name="_Toc17103"/>
      <w:bookmarkStart w:id="20" w:name="_Toc287600116"/>
      <w:bookmarkStart w:id="21" w:name="_Toc1895"/>
      <w:bookmarkStart w:id="22" w:name="_Toc517281814"/>
      <w:r>
        <w:rPr>
          <w:rFonts w:hint="eastAsia" w:ascii="仿宋" w:hAnsi="仿宋" w:eastAsia="仿宋" w:cs="仿宋"/>
          <w:color w:val="000000"/>
          <w:sz w:val="28"/>
          <w:szCs w:val="28"/>
          <w:highlight w:val="none"/>
          <w:lang w:val="en-US" w:eastAsia="zh-CN"/>
        </w:rPr>
        <w:t xml:space="preserve">   </w:t>
      </w:r>
      <w:r>
        <w:rPr>
          <w:rFonts w:ascii="仿宋" w:hAnsi="仿宋" w:eastAsia="仿宋" w:cs="仿宋"/>
          <w:color w:val="000000"/>
          <w:sz w:val="28"/>
          <w:szCs w:val="28"/>
          <w:highlight w:val="none"/>
        </w:rPr>
        <w:br w:type="page" w:clear="all"/>
      </w:r>
      <w:bookmarkStart w:id="23" w:name="_Toc7018"/>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pPr>
        <w:bidi w:val="0"/>
        <w:jc w:val="center"/>
        <w:rPr>
          <w:rFonts w:hint="eastAsia"/>
        </w:rPr>
      </w:pPr>
      <w:bookmarkStart w:id="24" w:name="_Toc29571"/>
      <w:bookmarkStart w:id="25" w:name="_Toc17721"/>
      <w:bookmarkStart w:id="26" w:name="_Toc517281815"/>
      <w:bookmarkStart w:id="27" w:name="_Toc19783312"/>
      <w:bookmarkStart w:id="28" w:name="_Toc32464"/>
      <w:bookmarkStart w:id="29" w:name="_Toc27353"/>
      <w:bookmarkStart w:id="30" w:name="_Toc444891335"/>
      <w:bookmarkStart w:id="31" w:name="_Toc287600117"/>
    </w:p>
    <w:p>
      <w:pPr>
        <w:pStyle w:val="4"/>
        <w:ind w:firstLine="0"/>
        <w:jc w:val="left"/>
        <w:rPr>
          <w:rFonts w:hint="eastAsia" w:ascii="仿宋" w:hAnsi="仿宋" w:eastAsia="仿宋" w:cs="仿宋"/>
          <w:color w:val="000000"/>
          <w:sz w:val="24"/>
          <w:szCs w:val="24"/>
          <w:highlight w:val="none"/>
        </w:rPr>
      </w:pPr>
      <w:bookmarkStart w:id="32" w:name="_Toc14477"/>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4"/>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pPr>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8" w:type="pct"/>
            <w:noWrap w:val="0"/>
            <w:vAlign w:val="center"/>
          </w:tcPr>
          <w:p>
            <w:pPr>
              <w:tabs>
                <w:tab w:val="left" w:pos="1180"/>
              </w:tabs>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8" w:type="pct"/>
            <w:noWrap w:val="0"/>
            <w:vAlign w:val="center"/>
          </w:tcPr>
          <w:p>
            <w:pPr>
              <w:pStyle w:val="310"/>
              <w:spacing w:before="62" w:after="62"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公告“一、项目概况与采购范围”</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8" w:type="pct"/>
            <w:noWrap w:val="0"/>
            <w:vAlign w:val="center"/>
          </w:tcPr>
          <w:p>
            <w:pPr>
              <w:pStyle w:val="293"/>
              <w:spacing w:before="62" w:after="62"/>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eastAsia="zh-CN"/>
              </w:rPr>
              <w:t>☑</w:t>
            </w:r>
            <w:r>
              <w:rPr>
                <w:rFonts w:hint="eastAsia" w:ascii="仿宋" w:hAnsi="仿宋" w:eastAsia="仿宋" w:cs="宋体"/>
                <w:color w:val="auto"/>
                <w:sz w:val="21"/>
                <w:szCs w:val="21"/>
                <w:highlight w:val="none"/>
              </w:rPr>
              <w:t>资格预审</w:t>
            </w:r>
          </w:p>
          <w:p>
            <w:pPr>
              <w:pStyle w:val="310"/>
              <w:spacing w:before="62" w:after="62"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before="62" w:after="62"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文件实质性要求的标识</w:t>
            </w:r>
          </w:p>
        </w:tc>
        <w:tc>
          <w:tcPr>
            <w:tcW w:w="3588" w:type="pct"/>
            <w:noWrap w:val="0"/>
            <w:vAlign w:val="center"/>
          </w:tcPr>
          <w:p>
            <w:pPr>
              <w:pStyle w:val="293"/>
              <w:spacing w:before="62" w:after="62" w:line="360" w:lineRule="auto"/>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lang w:eastAsia="zh-CN"/>
              </w:rPr>
              <w:t>比选</w:t>
            </w:r>
            <w:r>
              <w:rPr>
                <w:rFonts w:hint="eastAsia" w:ascii="仿宋" w:hAnsi="仿宋" w:eastAsia="仿宋" w:cs="Cambria Math"/>
                <w:color w:val="auto"/>
                <w:sz w:val="21"/>
                <w:szCs w:val="21"/>
                <w:highlight w:val="none"/>
                <w:u w:val="single"/>
              </w:rPr>
              <w:t>文件中标识“★”条款、注明“</w:t>
            </w:r>
            <w:r>
              <w:rPr>
                <w:rFonts w:hint="eastAsia" w:ascii="仿宋" w:hAnsi="仿宋" w:eastAsia="仿宋" w:cs="Cambria Math"/>
                <w:color w:val="auto"/>
                <w:sz w:val="21"/>
                <w:szCs w:val="21"/>
                <w:highlight w:val="none"/>
                <w:u w:val="single"/>
                <w:lang w:eastAsia="zh-CN"/>
              </w:rPr>
              <w:t>比选</w:t>
            </w:r>
            <w:r>
              <w:rPr>
                <w:rFonts w:hint="eastAsia" w:ascii="仿宋" w:hAnsi="仿宋" w:eastAsia="仿宋" w:cs="Cambria Math"/>
                <w:color w:val="auto"/>
                <w:sz w:val="21"/>
                <w:szCs w:val="21"/>
                <w:highlight w:val="none"/>
                <w:u w:val="single"/>
              </w:rPr>
              <w:t>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供应商提出澄清的截止时间和方式</w:t>
            </w:r>
          </w:p>
        </w:tc>
        <w:tc>
          <w:tcPr>
            <w:tcW w:w="3588" w:type="pct"/>
            <w:noWrap w:val="0"/>
            <w:vAlign w:val="center"/>
          </w:tcPr>
          <w:p>
            <w:pPr>
              <w:pStyle w:val="293"/>
              <w:spacing w:before="62" w:after="62"/>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7</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14</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18</w:t>
            </w:r>
            <w:r>
              <w:rPr>
                <w:rFonts w:hint="eastAsia" w:ascii="仿宋" w:hAnsi="仿宋" w:eastAsia="仿宋" w:cs="宋体"/>
                <w:b/>
                <w:color w:val="auto"/>
                <w:sz w:val="21"/>
                <w:szCs w:val="21"/>
                <w:highlight w:val="none"/>
                <w:u w:val="single"/>
              </w:rPr>
              <w:t>时</w:t>
            </w:r>
            <w:r>
              <w:rPr>
                <w:rFonts w:hint="eastAsia" w:ascii="仿宋" w:hAnsi="仿宋" w:eastAsia="仿宋" w:cs="宋体"/>
                <w:b/>
                <w:color w:val="auto"/>
                <w:sz w:val="21"/>
                <w:szCs w:val="21"/>
                <w:highlight w:val="none"/>
              </w:rPr>
              <w:t>（北京时间）。</w:t>
            </w:r>
          </w:p>
          <w:p>
            <w:pPr>
              <w:pStyle w:val="303"/>
              <w:spacing w:before="62" w:after="62" w:line="360" w:lineRule="auto"/>
              <w:rPr>
                <w:rFonts w:hint="eastAsia" w:ascii="仿宋" w:hAnsi="仿宋" w:eastAsia="仿宋" w:cs="宋体"/>
                <w:color w:val="auto"/>
                <w:sz w:val="21"/>
                <w:szCs w:val="21"/>
                <w:highlight w:val="none"/>
                <w:lang w:val="en-US" w:eastAsia="zh-CN"/>
              </w:rPr>
            </w:pPr>
            <w:r>
              <w:rPr>
                <w:rFonts w:hint="eastAsia" w:ascii="仿宋" w:hAnsi="仿宋" w:eastAsia="仿宋" w:cs="宋体"/>
                <w:color w:val="auto"/>
                <w:sz w:val="21"/>
                <w:szCs w:val="21"/>
                <w:highlight w:val="none"/>
              </w:rPr>
              <w:t>提出澄清的方式：书面方式</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供应商确认收到澄清或修改的截止时间和方式</w:t>
            </w:r>
          </w:p>
        </w:tc>
        <w:tc>
          <w:tcPr>
            <w:tcW w:w="3588" w:type="pct"/>
            <w:noWrap w:val="0"/>
            <w:vAlign w:val="center"/>
          </w:tcPr>
          <w:p>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比选</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1</w:t>
            </w:r>
            <w:r>
              <w:rPr>
                <w:rFonts w:hint="eastAsia" w:ascii="仿宋" w:hAnsi="仿宋" w:eastAsia="仿宋" w:cs="宋体"/>
                <w:b w:val="0"/>
                <w:bCs/>
                <w:color w:val="auto"/>
                <w:szCs w:val="21"/>
                <w:highlight w:val="none"/>
                <w:u w:val="single"/>
              </w:rPr>
              <w:t>个工作日内。</w:t>
            </w:r>
          </w:p>
          <w:p>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 w:val="21"/>
                <w:szCs w:val="21"/>
                <w:highlight w:val="none"/>
                <w:lang w:val="en-US" w:eastAsia="zh-CN"/>
              </w:rPr>
              <w:t>邮件</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3588" w:type="pct"/>
            <w:noWrap w:val="0"/>
            <w:vAlign w:val="center"/>
          </w:tcPr>
          <w:p>
            <w:pPr>
              <w:pStyle w:val="303"/>
              <w:spacing w:before="62" w:after="62"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响应文件按照以下架构分成三册并顺序编制：</w:t>
            </w:r>
          </w:p>
          <w:p>
            <w:pPr>
              <w:pStyle w:val="310"/>
              <w:spacing w:before="62" w:after="62" w:line="276" w:lineRule="auto"/>
              <w:rPr>
                <w:rFonts w:hint="eastAsia" w:ascii="仿宋" w:hAnsi="仿宋" w:eastAsia="仿宋" w:cs="仿宋"/>
                <w:b/>
                <w:color w:val="auto"/>
                <w:highlight w:val="none"/>
              </w:rPr>
            </w:pPr>
            <w:r>
              <w:rPr>
                <w:rFonts w:hint="eastAsia" w:ascii="仿宋" w:hAnsi="仿宋" w:eastAsia="仿宋" w:cs="仿宋"/>
                <w:b/>
                <w:color w:val="auto"/>
                <w:highlight w:val="none"/>
              </w:rPr>
              <w:t>一、商务文件</w:t>
            </w:r>
          </w:p>
          <w:p>
            <w:pPr>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spacing w:line="276" w:lineRule="auto"/>
              <w:rPr>
                <w:color w:val="auto"/>
              </w:rPr>
            </w:pPr>
            <w:r>
              <w:rPr>
                <w:rFonts w:hint="eastAsia" w:ascii="仿宋" w:hAnsi="仿宋" w:eastAsia="仿宋" w:cs="仿宋"/>
                <w:b/>
                <w:color w:val="auto"/>
                <w:szCs w:val="21"/>
                <w:highlight w:val="none"/>
              </w:rPr>
              <w:t>详细评审索引表</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（一）响应函</w:t>
            </w:r>
          </w:p>
          <w:p>
            <w:pPr>
              <w:pStyle w:val="303"/>
              <w:spacing w:before="62" w:after="62"/>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303"/>
              <w:spacing w:before="62" w:after="62"/>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pPr>
              <w:pStyle w:val="303"/>
              <w:spacing w:before="62" w:after="62"/>
              <w:rPr>
                <w:rFonts w:hint="eastAsia"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宋体"/>
                <w:color w:val="auto"/>
                <w:highlight w:val="none"/>
              </w:rPr>
              <w:t>（八）供应商廉洁诚信承诺书</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s="宋体"/>
                <w:color w:val="auto"/>
                <w:sz w:val="21"/>
                <w:szCs w:val="21"/>
                <w:highlight w:val="none"/>
              </w:rPr>
              <w:t>（如有）</w:t>
            </w:r>
          </w:p>
          <w:p>
            <w:pPr>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spacing w:line="276"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（二）技术方案</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s="宋体"/>
                <w:color w:val="auto"/>
                <w:sz w:val="21"/>
                <w:szCs w:val="21"/>
                <w:highlight w:val="none"/>
              </w:rPr>
              <w:t>（如有）</w:t>
            </w:r>
          </w:p>
          <w:p>
            <w:pPr>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（一）报价一览表</w:t>
            </w:r>
          </w:p>
          <w:p>
            <w:pPr>
              <w:pStyle w:val="310"/>
              <w:spacing w:before="62" w:after="62" w:line="276" w:lineRule="auto"/>
              <w:rPr>
                <w:rFonts w:hint="eastAsia" w:ascii="仿宋" w:hAnsi="仿宋" w:eastAsia="仿宋" w:cs="仿宋"/>
                <w:color w:val="auto"/>
                <w:highlight w:val="none"/>
              </w:rPr>
            </w:pPr>
            <w:r>
              <w:rPr>
                <w:rFonts w:hint="eastAsia" w:ascii="仿宋" w:hAnsi="仿宋" w:eastAsia="仿宋" w:cs="仿宋"/>
                <w:color w:val="auto"/>
                <w:highlight w:val="none"/>
              </w:rPr>
              <w:t>（二）分项报价表</w:t>
            </w:r>
            <w:r>
              <w:rPr>
                <w:rFonts w:hint="eastAsia" w:ascii="仿宋" w:hAnsi="仿宋" w:eastAsia="仿宋" w:cs="宋体"/>
                <w:color w:val="auto"/>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ascii="仿宋" w:hAnsi="仿宋" w:eastAsia="仿宋" w:cs="仿宋"/>
                <w:color w:val="000000"/>
                <w:szCs w:val="21"/>
                <w:highlight w:val="none"/>
              </w:rPr>
            </w:pPr>
          </w:p>
        </w:tc>
        <w:tc>
          <w:tcPr>
            <w:tcW w:w="927" w:type="pct"/>
            <w:noWrap w:val="0"/>
            <w:vAlign w:val="center"/>
          </w:tcPr>
          <w:p>
            <w:pPr>
              <w:spacing w:line="360" w:lineRule="auto"/>
              <w:ind w:left="36"/>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8" w:type="pct"/>
            <w:noWrap w:val="0"/>
            <w:vAlign w:val="center"/>
          </w:tcPr>
          <w:p>
            <w:pPr>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8" w:type="pct"/>
            <w:noWrap w:val="0"/>
            <w:vAlign w:val="center"/>
          </w:tcPr>
          <w:p>
            <w:pPr>
              <w:pStyle w:val="293"/>
              <w:spacing w:before="62" w:after="62"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293"/>
              <w:spacing w:before="62" w:after="62"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293"/>
              <w:spacing w:before="62" w:after="62"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293"/>
              <w:spacing w:before="62" w:after="62"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响应报价</w:t>
            </w:r>
          </w:p>
        </w:tc>
        <w:tc>
          <w:tcPr>
            <w:tcW w:w="3588" w:type="pct"/>
            <w:noWrap w:val="0"/>
            <w:vAlign w:val="center"/>
          </w:tcPr>
          <w:p>
            <w:pPr>
              <w:pStyle w:val="310"/>
              <w:spacing w:before="62" w:after="62"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pPr>
              <w:pStyle w:val="310"/>
              <w:spacing w:before="62" w:after="62" w:line="360" w:lineRule="auto"/>
              <w:rPr>
                <w:rFonts w:hint="eastAsia" w:ascii="仿宋" w:hAnsi="仿宋" w:eastAsia="仿宋" w:cs="仿宋"/>
                <w:color w:val="000000"/>
                <w:highlight w:val="none"/>
              </w:rPr>
            </w:pPr>
            <w:r>
              <w:rPr>
                <w:rFonts w:hint="eastAsia" w:ascii="仿宋" w:hAnsi="仿宋" w:eastAsia="仿宋" w:cs="仿宋"/>
                <w:color w:val="000000"/>
                <w:highlight w:val="none"/>
              </w:rPr>
              <w:t>2）</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小组将视</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情况决定是否进行多轮次报价，供应商</w:t>
            </w:r>
            <w:r>
              <w:rPr>
                <w:rFonts w:hint="eastAsia" w:ascii="仿宋" w:hAnsi="仿宋" w:eastAsia="仿宋" w:cs="仿宋"/>
                <w:color w:val="000000"/>
                <w:highlight w:val="none"/>
                <w:u w:val="single"/>
              </w:rPr>
              <w:t>最后一轮</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响应有效期</w:t>
            </w:r>
          </w:p>
        </w:tc>
        <w:tc>
          <w:tcPr>
            <w:tcW w:w="3588" w:type="pct"/>
            <w:noWrap w:val="0"/>
            <w:vAlign w:val="center"/>
          </w:tcPr>
          <w:p>
            <w:pPr>
              <w:pStyle w:val="310"/>
              <w:spacing w:before="62" w:after="62"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比选</w:t>
            </w:r>
            <w:r>
              <w:rPr>
                <w:rFonts w:hint="eastAsia" w:ascii="仿宋" w:hAnsi="仿宋" w:eastAsia="仿宋" w:cs="宋体"/>
                <w:color w:val="auto"/>
                <w:highlight w:val="none"/>
              </w:rPr>
              <w:t>响应有效期：</w:t>
            </w:r>
            <w:r>
              <w:rPr>
                <w:rFonts w:hint="eastAsia" w:ascii="仿宋" w:hAnsi="仿宋" w:eastAsia="仿宋" w:cs="仿宋"/>
                <w:color w:val="auto"/>
                <w:highlight w:val="none"/>
                <w:u w:val="single"/>
                <w:lang w:val="en-US" w:eastAsia="zh-CN"/>
              </w:rPr>
              <w:t>90</w:t>
            </w:r>
            <w:r>
              <w:rPr>
                <w:rFonts w:hint="eastAsia" w:ascii="仿宋" w:hAnsi="仿宋" w:eastAsia="仿宋" w:cs="仿宋"/>
                <w:color w:val="auto"/>
                <w:highlight w:val="none"/>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310"/>
              <w:spacing w:before="62" w:after="62" w:line="360" w:lineRule="auto"/>
              <w:jc w:val="center"/>
              <w:rPr>
                <w:rFonts w:ascii="仿宋" w:hAnsi="仿宋" w:eastAsia="仿宋" w:cs="仿宋"/>
                <w:color w:val="000000"/>
                <w:szCs w:val="21"/>
                <w:highlight w:val="none"/>
              </w:rPr>
            </w:pPr>
          </w:p>
        </w:tc>
        <w:tc>
          <w:tcPr>
            <w:tcW w:w="927" w:type="pct"/>
            <w:noWrap w:val="0"/>
            <w:vAlign w:val="center"/>
          </w:tcPr>
          <w:p>
            <w:pPr>
              <w:spacing w:line="360" w:lineRule="auto"/>
              <w:ind w:left="36"/>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响应文件的份数</w:t>
            </w:r>
          </w:p>
        </w:tc>
        <w:tc>
          <w:tcPr>
            <w:tcW w:w="3588" w:type="pct"/>
            <w:noWrap w:val="0"/>
            <w:vAlign w:val="center"/>
          </w:tcPr>
          <w:p>
            <w:pPr>
              <w:pStyle w:val="16"/>
              <w:rPr>
                <w:rFonts w:hint="eastAsia" w:ascii="仿宋" w:hAnsi="仿宋" w:eastAsia="仿宋" w:cs="仿宋"/>
                <w:color w:val="auto"/>
                <w:highlight w:val="none"/>
                <w:u w:val="single"/>
              </w:rPr>
            </w:pPr>
            <w:r>
              <w:rPr>
                <w:rFonts w:hint="eastAsia" w:ascii="仿宋" w:hAnsi="仿宋" w:eastAsia="仿宋" w:cs="宋体"/>
                <w:color w:val="auto"/>
                <w:sz w:val="21"/>
                <w:szCs w:val="21"/>
                <w:highlight w:val="none"/>
              </w:rPr>
              <w:t>电子文件</w:t>
            </w:r>
            <w:r>
              <w:rPr>
                <w:rFonts w:hint="eastAsia" w:ascii="仿宋" w:hAnsi="仿宋" w:eastAsia="仿宋" w:cs="宋体"/>
                <w:color w:val="auto"/>
                <w:sz w:val="21"/>
                <w:szCs w:val="21"/>
                <w:highlight w:val="none"/>
                <w:u w:val="single"/>
              </w:rPr>
              <w:t>1</w:t>
            </w:r>
            <w:r>
              <w:rPr>
                <w:rFonts w:hint="eastAsia" w:ascii="仿宋" w:hAnsi="仿宋" w:eastAsia="仿宋" w:cs="宋体"/>
                <w:color w:val="auto"/>
                <w:sz w:val="21"/>
                <w:szCs w:val="21"/>
                <w:highlight w:val="none"/>
              </w:rPr>
              <w:t>份（</w:t>
            </w:r>
            <w:r>
              <w:rPr>
                <w:rFonts w:hint="eastAsia" w:ascii="仿宋" w:hAnsi="仿宋" w:eastAsia="仿宋" w:cs="宋体"/>
                <w:color w:val="auto"/>
                <w:sz w:val="21"/>
                <w:szCs w:val="21"/>
                <w:highlight w:val="none"/>
                <w:lang w:val="en-US" w:eastAsia="zh-CN"/>
              </w:rPr>
              <w:t>PDF</w:t>
            </w:r>
            <w:r>
              <w:rPr>
                <w:rFonts w:hint="eastAsia" w:ascii="仿宋" w:hAnsi="仿宋" w:eastAsia="仿宋" w:cs="宋体"/>
                <w:color w:val="auto"/>
                <w:sz w:val="21"/>
                <w:szCs w:val="21"/>
                <w:highlight w:val="none"/>
              </w:rPr>
              <w:t>）；纸质文件正本</w:t>
            </w:r>
            <w:r>
              <w:rPr>
                <w:rFonts w:hint="eastAsia" w:ascii="仿宋" w:hAnsi="仿宋" w:eastAsia="仿宋" w:cs="宋体"/>
                <w:color w:val="auto"/>
                <w:sz w:val="21"/>
                <w:szCs w:val="21"/>
                <w:highlight w:val="none"/>
                <w:u w:val="single"/>
              </w:rPr>
              <w:t xml:space="preserve"> 1 </w:t>
            </w:r>
            <w:r>
              <w:rPr>
                <w:rFonts w:hint="eastAsia" w:ascii="仿宋" w:hAnsi="仿宋" w:eastAsia="仿宋" w:cs="宋体"/>
                <w:color w:val="auto"/>
                <w:sz w:val="21"/>
                <w:szCs w:val="21"/>
                <w:highlight w:val="none"/>
              </w:rPr>
              <w:t>份，副本</w:t>
            </w:r>
            <w:r>
              <w:rPr>
                <w:rFonts w:hint="default"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1</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8" w:type="pct"/>
            <w:noWrap w:val="0"/>
            <w:vAlign w:val="center"/>
          </w:tcPr>
          <w:p>
            <w:pPr>
              <w:spacing w:line="360" w:lineRule="auto"/>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auto"/>
                <w:szCs w:val="21"/>
                <w:highlight w:val="none"/>
                <w:lang w:eastAsia="zh-Hans"/>
              </w:rPr>
              <w:t>纸质</w:t>
            </w:r>
            <w:r>
              <w:rPr>
                <w:rFonts w:hint="eastAsia" w:ascii="仿宋" w:hAnsi="仿宋" w:eastAsia="仿宋" w:cs="Cambria Math"/>
                <w:color w:val="auto"/>
                <w:szCs w:val="21"/>
                <w:highlight w:val="none"/>
              </w:rPr>
              <w:t>响应文件不予接收。</w:t>
            </w:r>
          </w:p>
          <w:p>
            <w:pPr>
              <w:rPr>
                <w:rFonts w:ascii="仿宋" w:hAnsi="仿宋" w:eastAsia="仿宋"/>
                <w:color w:val="auto"/>
                <w:highlight w:val="none"/>
              </w:rPr>
            </w:pPr>
            <w:r>
              <w:rPr>
                <w:rFonts w:hint="eastAsia" w:ascii="仿宋" w:hAnsi="仿宋" w:eastAsia="仿宋" w:cs="Cambria Math"/>
                <w:color w:val="auto"/>
                <w:szCs w:val="21"/>
                <w:highlight w:val="none"/>
              </w:rPr>
              <w:t>（2）外层包封具体样式如下：</w:t>
            </w:r>
          </w:p>
          <w:p>
            <w:pPr>
              <w:pStyle w:val="310"/>
              <w:spacing w:before="62" w:after="62"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inline distT="0" distB="0" distL="0" distR="0">
                      <wp:extent cx="4320540" cy="2775585"/>
                      <wp:effectExtent l="4445" t="4445" r="18415" b="20320"/>
                      <wp:docPr id="5"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szCs w:val="21"/>
                                      <w:highlight w:val="none"/>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highlight w:val="non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采购人名称：</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】（北京时间）前不得开封</w:t>
                                  </w:r>
                                </w:p>
                                <w:p>
                                  <w:pPr>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（公章）</w:t>
                                  </w:r>
                                </w:p>
                                <w:p>
                                  <w:pPr>
                                    <w:spacing w:line="360" w:lineRule="auto"/>
                                    <w:rPr>
                                      <w:rFonts w:hint="eastAsia" w:ascii="仿宋" w:hAnsi="仿宋" w:eastAsia="仿宋" w:cs="仿宋"/>
                                      <w:szCs w:val="21"/>
                                      <w:u w:val="single"/>
                                    </w:rPr>
                                  </w:pPr>
                                  <w:r>
                                    <w:rPr>
                                      <w:rFonts w:hint="eastAsia" w:ascii="仿宋" w:hAnsi="仿宋" w:eastAsia="仿宋" w:cs="仿宋"/>
                                      <w:szCs w:val="21"/>
                                    </w:rPr>
                                    <w:t>供应商地址：</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联系人及联系电话：</w:t>
                                  </w:r>
                                  <w:r>
                                    <w:rPr>
                                      <w:rFonts w:hint="eastAsia" w:ascii="仿宋" w:hAnsi="仿宋" w:eastAsia="仿宋" w:cs="仿宋"/>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DJRr1gAAAAUBAAAPAAAAAAAAAAEAIAAAACIAAABkcnMvZG93&#10;bnJldi54bWxQSwECFAAUAAAACACHTuJA06qFRDsCAACQBAAADgAAAAAAAAABACAAAAAlAQAAZHJz&#10;L2Uyb0RvYy54bWxQSwUGAAAAAAYABgBZAQAA0gU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szCs w:val="21"/>
                                <w:highlight w:val="none"/>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highlight w:val="non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采购人名称：</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】（北京时间）前不得开封</w:t>
                            </w:r>
                          </w:p>
                          <w:p>
                            <w:pPr>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（公章）</w:t>
                            </w:r>
                          </w:p>
                          <w:p>
                            <w:pPr>
                              <w:spacing w:line="360" w:lineRule="auto"/>
                              <w:rPr>
                                <w:rFonts w:hint="eastAsia" w:ascii="仿宋" w:hAnsi="仿宋" w:eastAsia="仿宋" w:cs="仿宋"/>
                                <w:szCs w:val="21"/>
                                <w:u w:val="single"/>
                              </w:rPr>
                            </w:pPr>
                            <w:r>
                              <w:rPr>
                                <w:rFonts w:hint="eastAsia" w:ascii="仿宋" w:hAnsi="仿宋" w:eastAsia="仿宋" w:cs="仿宋"/>
                                <w:szCs w:val="21"/>
                              </w:rPr>
                              <w:t>供应商地址：</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联系人及联系电话：</w:t>
                            </w:r>
                            <w:r>
                              <w:rPr>
                                <w:rFonts w:hint="eastAsia" w:ascii="仿宋" w:hAnsi="仿宋" w:eastAsia="仿宋" w:cs="仿宋"/>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highlight w:val="none"/>
              </w:rPr>
            </w:pPr>
          </w:p>
        </w:tc>
        <w:tc>
          <w:tcPr>
            <w:tcW w:w="927" w:type="pct"/>
            <w:noWrap w:val="0"/>
            <w:vAlign w:val="center"/>
          </w:tcPr>
          <w:p>
            <w:pPr>
              <w:pStyle w:val="310"/>
              <w:spacing w:before="62" w:after="62"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8" w:type="pct"/>
            <w:noWrap w:val="0"/>
            <w:vAlign w:val="center"/>
          </w:tcPr>
          <w:p>
            <w:pPr>
              <w:pStyle w:val="310"/>
              <w:spacing w:before="62" w:after="62"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公告“五、响应文件的递交”</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小组</w:t>
            </w:r>
          </w:p>
        </w:tc>
        <w:tc>
          <w:tcPr>
            <w:tcW w:w="3588" w:type="pct"/>
            <w:noWrap w:val="0"/>
            <w:vAlign w:val="center"/>
          </w:tcPr>
          <w:p>
            <w:pPr>
              <w:pStyle w:val="310"/>
              <w:spacing w:before="62" w:after="62" w:line="360" w:lineRule="auto"/>
              <w:rPr>
                <w:rFonts w:hint="eastAsia" w:ascii="仿宋" w:hAnsi="仿宋" w:eastAsia="仿宋" w:cs="宋体"/>
                <w:color w:val="auto"/>
                <w:highlight w:val="none"/>
              </w:rPr>
            </w:pPr>
            <w:r>
              <w:rPr>
                <w:rFonts w:hint="eastAsia" w:ascii="仿宋" w:hAnsi="仿宋" w:eastAsia="仿宋" w:cs="仿宋"/>
                <w:color w:val="auto"/>
                <w:highlight w:val="none"/>
              </w:rPr>
              <w:t>本项目</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小组成员人数为</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程序及方式</w:t>
            </w:r>
          </w:p>
        </w:tc>
        <w:tc>
          <w:tcPr>
            <w:tcW w:w="3588" w:type="pct"/>
            <w:noWrap w:val="0"/>
            <w:vAlign w:val="center"/>
          </w:tcPr>
          <w:p>
            <w:pPr>
              <w:pStyle w:val="310"/>
              <w:spacing w:before="62" w:after="62"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小组将与通过初步评审的有效供应商按照</w:t>
            </w:r>
            <w:r>
              <w:rPr>
                <w:rFonts w:hint="eastAsia" w:ascii="仿宋" w:hAnsi="仿宋" w:eastAsia="仿宋" w:cs="仿宋"/>
                <w:color w:val="auto"/>
                <w:highlight w:val="none"/>
                <w:u w:val="single"/>
              </w:rPr>
              <w:t>响应文件递交顺序方式</w:t>
            </w:r>
            <w:r>
              <w:rPr>
                <w:rFonts w:hint="eastAsia" w:ascii="仿宋" w:hAnsi="仿宋" w:eastAsia="仿宋" w:cs="仿宋"/>
                <w:color w:val="auto"/>
                <w:highlight w:val="none"/>
              </w:rPr>
              <w:t>逐一进行</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，供应商至少应派法定代表人或其授权委托人准时参会。</w:t>
            </w:r>
          </w:p>
          <w:p>
            <w:pPr>
              <w:pStyle w:val="310"/>
              <w:spacing w:before="62" w:after="62" w:line="360" w:lineRule="auto"/>
              <w:rPr>
                <w:rFonts w:hint="eastAsia" w:ascii="仿宋" w:hAnsi="仿宋" w:eastAsia="仿宋" w:cs="Cambria Math"/>
                <w:b/>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小组有权要求供应商对响应文件中含义不明确、同类问题表述不一致或者有明显文字和计算错误的内容等进行澄清、说明或更正。第一轮</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结束后，供应商提交第一轮报价及</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小组要求提供的其他文件，</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小组将视具体情况决定是否进行多轮</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及报价。最后一轮</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highlight w:val="none"/>
              </w:rPr>
            </w:pP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内容</w:t>
            </w:r>
          </w:p>
        </w:tc>
        <w:tc>
          <w:tcPr>
            <w:tcW w:w="3588" w:type="pct"/>
            <w:noWrap w:val="0"/>
            <w:vAlign w:val="center"/>
          </w:tcPr>
          <w:p>
            <w:pPr>
              <w:pStyle w:val="310"/>
              <w:spacing w:before="62" w:after="62" w:line="360" w:lineRule="auto"/>
              <w:rPr>
                <w:rFonts w:hint="eastAsia" w:ascii="仿宋" w:hAnsi="仿宋" w:eastAsia="仿宋" w:cs="仿宋"/>
                <w:color w:val="auto"/>
                <w:highlight w:val="none"/>
              </w:rPr>
            </w:pPr>
            <w:r>
              <w:rPr>
                <w:rFonts w:hint="eastAsia" w:ascii="仿宋" w:hAnsi="仿宋" w:eastAsia="仿宋" w:cs="仿宋"/>
                <w:color w:val="auto"/>
              </w:rPr>
              <w:t>包含但不仅限于</w:t>
            </w:r>
            <w:r>
              <w:rPr>
                <w:rFonts w:hint="eastAsia" w:ascii="仿宋" w:hAnsi="仿宋" w:eastAsia="仿宋" w:cs="仿宋"/>
                <w:color w:val="auto"/>
                <w:u w:val="single"/>
              </w:rPr>
              <w:t>报价、对采购需求的理解、产品配置、实施方案、人员配置、服务承诺、商务条款</w:t>
            </w:r>
            <w:r>
              <w:rPr>
                <w:rFonts w:hint="eastAsia" w:ascii="仿宋" w:hAnsi="仿宋" w:eastAsia="仿宋" w:cs="仿宋"/>
                <w:color w:val="auto"/>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3588" w:type="pct"/>
            <w:noWrap w:val="0"/>
            <w:vAlign w:val="center"/>
          </w:tcPr>
          <w:p>
            <w:pPr>
              <w:pStyle w:val="310"/>
              <w:spacing w:before="62" w:after="62" w:line="360" w:lineRule="auto"/>
              <w:rPr>
                <w:rFonts w:hint="eastAsia" w:ascii="仿宋" w:hAnsi="仿宋" w:eastAsia="仿宋" w:cs="仿宋"/>
                <w:color w:val="auto"/>
                <w:highlight w:val="none"/>
              </w:rPr>
            </w:pP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小组根据有效供应商</w:t>
            </w:r>
            <w:r>
              <w:rPr>
                <w:rFonts w:hint="eastAsia" w:ascii="仿宋" w:hAnsi="仿宋" w:eastAsia="仿宋" w:cs="宋体"/>
                <w:color w:val="auto"/>
                <w:highlight w:val="none"/>
              </w:rPr>
              <w:t>综合得分由高至低排出的名次，顺序推荐</w:t>
            </w:r>
            <w:r>
              <w:rPr>
                <w:rFonts w:hint="eastAsia" w:ascii="仿宋" w:hAnsi="仿宋" w:eastAsia="仿宋" w:cs="宋体"/>
                <w:color w:val="auto"/>
                <w:highlight w:val="none"/>
                <w:u w:val="single"/>
              </w:rPr>
              <w:t>综合得分前</w:t>
            </w:r>
            <w:r>
              <w:rPr>
                <w:rFonts w:hint="eastAsia" w:ascii="仿宋" w:hAnsi="仿宋" w:eastAsia="仿宋" w:cs="宋体"/>
                <w:color w:val="auto"/>
                <w:highlight w:val="none"/>
                <w:u w:val="single"/>
                <w:lang w:val="en-US" w:eastAsia="zh-CN"/>
              </w:rPr>
              <w:t>3</w:t>
            </w:r>
            <w:r>
              <w:rPr>
                <w:rFonts w:hint="eastAsia" w:ascii="仿宋" w:hAnsi="仿宋" w:eastAsia="仿宋" w:cs="宋体"/>
                <w:color w:val="auto"/>
                <w:highlight w:val="none"/>
                <w:u w:val="single"/>
              </w:rPr>
              <w:t>名</w:t>
            </w:r>
            <w:r>
              <w:rPr>
                <w:rFonts w:hint="eastAsia" w:ascii="仿宋" w:hAnsi="仿宋" w:eastAsia="仿宋" w:cs="宋体"/>
                <w:color w:val="auto"/>
                <w:highlight w:val="none"/>
              </w:rPr>
              <w:t>为成交候选人。</w:t>
            </w:r>
            <w:r>
              <w:rPr>
                <w:rFonts w:hint="eastAsia" w:ascii="仿宋" w:hAnsi="仿宋" w:eastAsia="仿宋" w:cs="仿宋"/>
                <w:color w:val="auto"/>
                <w:highlight w:val="none"/>
              </w:rPr>
              <w:t>综合得分相同时，价格得分高者排名优先；价格得分也相同时，</w:t>
            </w:r>
            <w:r>
              <w:rPr>
                <w:rFonts w:hint="eastAsia" w:ascii="仿宋" w:hAnsi="仿宋" w:eastAsia="仿宋" w:cs="仿宋"/>
                <w:color w:val="auto"/>
                <w:highlight w:val="none"/>
                <w:u w:val="single"/>
              </w:rPr>
              <w:t>技术</w:t>
            </w:r>
            <w:r>
              <w:rPr>
                <w:rFonts w:hint="eastAsia" w:ascii="仿宋" w:hAnsi="仿宋" w:eastAsia="仿宋" w:cs="仿宋"/>
                <w:color w:val="auto"/>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pStyle w:val="310"/>
              <w:spacing w:before="62" w:after="62"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成交人数量</w:t>
            </w:r>
          </w:p>
        </w:tc>
        <w:tc>
          <w:tcPr>
            <w:tcW w:w="3588" w:type="pct"/>
            <w:noWrap w:val="0"/>
            <w:vAlign w:val="center"/>
          </w:tcPr>
          <w:p>
            <w:pPr>
              <w:pStyle w:val="310"/>
              <w:spacing w:before="62" w:after="62"/>
              <w:rPr>
                <w:rFonts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rPr>
              <w:t>1家</w:t>
            </w:r>
          </w:p>
          <w:p>
            <w:pPr>
              <w:pStyle w:val="310"/>
              <w:spacing w:before="62" w:after="62" w:line="360" w:lineRule="auto"/>
              <w:rPr>
                <w:rFonts w:ascii="仿宋" w:hAnsi="仿宋" w:eastAsia="仿宋" w:cs="仿宋"/>
                <w:color w:val="auto"/>
                <w:highlight w:val="none"/>
              </w:rPr>
            </w:pPr>
            <w:r>
              <w:rPr>
                <w:rFonts w:hint="eastAsia" w:ascii="仿宋" w:hAnsi="仿宋" w:eastAsia="仿宋" w:cs="宋体"/>
                <w:color w:val="auto"/>
                <w:highlight w:val="none"/>
                <w:u w:val="single"/>
              </w:rPr>
              <w:t>综合排名第一</w:t>
            </w:r>
            <w:r>
              <w:rPr>
                <w:rFonts w:hint="eastAsia" w:ascii="仿宋" w:hAnsi="仿宋" w:eastAsia="仿宋" w:cs="仿宋"/>
                <w:color w:val="auto"/>
                <w:highlight w:val="none"/>
              </w:rPr>
              <w:t>成交候选人放弃成交、因不可抗力不能履行合同、</w:t>
            </w:r>
            <w:r>
              <w:rPr>
                <w:rFonts w:hint="eastAsia" w:ascii="仿宋" w:hAnsi="仿宋" w:eastAsia="仿宋" w:cs="宋体"/>
                <w:color w:val="auto"/>
                <w:highlight w:val="none"/>
              </w:rPr>
              <w:t>不按照</w:t>
            </w:r>
            <w:r>
              <w:rPr>
                <w:rFonts w:hint="eastAsia" w:ascii="仿宋" w:hAnsi="仿宋" w:eastAsia="仿宋" w:cs="宋体"/>
                <w:color w:val="auto"/>
                <w:highlight w:val="none"/>
                <w:lang w:eastAsia="zh-CN"/>
              </w:rPr>
              <w:t>比选</w:t>
            </w:r>
            <w:r>
              <w:rPr>
                <w:rFonts w:hint="eastAsia" w:ascii="仿宋" w:hAnsi="仿宋" w:eastAsia="仿宋" w:cs="宋体"/>
                <w:color w:val="auto"/>
                <w:highlight w:val="none"/>
              </w:rPr>
              <w:t>文件要求提交履约保证金</w:t>
            </w:r>
            <w:r>
              <w:rPr>
                <w:rFonts w:hint="eastAsia" w:ascii="仿宋" w:hAnsi="仿宋" w:eastAsia="仿宋" w:cs="仿宋"/>
                <w:color w:val="auto"/>
                <w:highlight w:val="none"/>
              </w:rPr>
              <w:t>、存在重大经营或法律风险、被查实存在影响采购结果的违法行为等情形，采购人按照</w:t>
            </w:r>
            <w:r>
              <w:rPr>
                <w:rFonts w:hint="eastAsia" w:ascii="仿宋" w:hAnsi="仿宋" w:eastAsia="仿宋" w:cs="仿宋"/>
                <w:color w:val="auto"/>
                <w:highlight w:val="none"/>
                <w:lang w:eastAsia="zh-CN"/>
              </w:rPr>
              <w:t>比选</w:t>
            </w:r>
            <w:r>
              <w:rPr>
                <w:rFonts w:hint="eastAsia" w:ascii="仿宋" w:hAnsi="仿宋" w:eastAsia="仿宋" w:cs="仿宋"/>
                <w:color w:val="auto"/>
                <w:highlight w:val="none"/>
              </w:rPr>
              <w:t>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line="360" w:lineRule="auto"/>
              <w:ind w:left="36"/>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588" w:type="pct"/>
            <w:noWrap w:val="0"/>
            <w:vAlign w:val="center"/>
          </w:tcPr>
          <w:p>
            <w:pPr>
              <w:pStyle w:val="310"/>
              <w:spacing w:before="62" w:after="62"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pPr>
              <w:spacing w:line="360" w:lineRule="auto"/>
              <w:rPr>
                <w:rFonts w:hint="eastAsia" w:ascii="仿宋" w:hAnsi="仿宋" w:eastAsia="仿宋" w:cs="仿宋"/>
                <w:color w:val="auto"/>
                <w:highlight w:val="none"/>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不收取</w:t>
            </w:r>
          </w:p>
        </w:tc>
      </w:tr>
    </w:tbl>
    <w:p>
      <w:pPr>
        <w:pStyle w:val="4"/>
        <w:ind w:firstLine="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bookmarkStart w:id="33" w:name="_Toc6047"/>
      <w:bookmarkStart w:id="34" w:name="_Toc20514"/>
      <w:bookmarkStart w:id="35" w:name="_Toc517281816"/>
      <w:bookmarkStart w:id="36" w:name="_Toc444891336"/>
      <w:bookmarkStart w:id="37" w:name="_Toc19783313"/>
      <w:bookmarkStart w:id="38" w:name="_Toc11071"/>
      <w:bookmarkStart w:id="39" w:name="_Toc287600118"/>
      <w:bookmarkStart w:id="40" w:name="_Toc27232"/>
      <w:bookmarkStart w:id="41" w:name="_Toc27220"/>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pPr>
        <w:pStyle w:val="5"/>
        <w:spacing w:before="0" w:after="0" w:line="360" w:lineRule="auto"/>
        <w:ind w:firstLine="482"/>
        <w:rPr>
          <w:rFonts w:hint="eastAsia" w:ascii="仿宋" w:hAnsi="仿宋" w:eastAsia="仿宋" w:cs="仿宋"/>
          <w:color w:val="000000"/>
          <w:sz w:val="24"/>
          <w:szCs w:val="24"/>
          <w:highlight w:val="none"/>
        </w:rPr>
      </w:pPr>
      <w:bookmarkStart w:id="42" w:name="_Toc11851"/>
      <w:bookmarkStart w:id="43" w:name="_Toc287600119"/>
      <w:bookmarkStart w:id="44" w:name="_Toc444891337"/>
      <w:bookmarkStart w:id="45" w:name="_Toc3678"/>
      <w:bookmarkStart w:id="46" w:name="_Toc16441"/>
      <w:bookmarkStart w:id="47" w:name="_Toc431"/>
      <w:bookmarkStart w:id="48" w:name="_Toc19783314"/>
      <w:bookmarkStart w:id="49" w:name="_Toc22969"/>
      <w:bookmarkStart w:id="50" w:name="_Toc6681"/>
      <w:bookmarkStart w:id="51" w:name="_Toc517281817"/>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方式确定签约供应商。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w:t>
      </w:r>
      <w:r>
        <w:rPr>
          <w:rFonts w:hint="eastAsia" w:ascii="仿宋" w:hAnsi="仿宋" w:eastAsia="仿宋" w:cs="仿宋"/>
          <w:color w:val="000000"/>
          <w:sz w:val="24"/>
          <w:highlight w:val="none"/>
          <w:lang w:val="en-US" w:eastAsia="zh-CN"/>
        </w:rPr>
        <w:t>上级公司</w:t>
      </w:r>
      <w:r>
        <w:rPr>
          <w:rFonts w:hint="eastAsia" w:ascii="仿宋" w:hAnsi="仿宋" w:eastAsia="仿宋" w:cs="仿宋"/>
          <w:color w:val="000000"/>
          <w:sz w:val="24"/>
          <w:highlight w:val="none"/>
        </w:rPr>
        <w:t>，且资金已落实。</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4.1</w:t>
      </w:r>
      <w:r>
        <w:rPr>
          <w:rFonts w:hint="eastAsia" w:ascii="仿宋" w:hAnsi="仿宋" w:eastAsia="仿宋" w:cs="宋体"/>
          <w:color w:val="000000"/>
          <w:sz w:val="24"/>
          <w:highlight w:val="none"/>
        </w:rPr>
        <w:t>资格预审：是指在递交响应文件前对潜在供应商进行的资格审查。采用资格预审方式的，资格条件已经在</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文件发出前的资格预审文件中作出规定。</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.2资格后审：是指在首次响应文件递交截止时间后由</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小组根据</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文件的规定对供应商进行的资格审查。采购人应当在</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sz w:val="24"/>
          <w:highlight w:val="none"/>
          <w:u w:val="single"/>
        </w:rPr>
        <w:t>详见本须知前附表。</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响应费用</w:t>
      </w:r>
    </w:p>
    <w:p>
      <w:pPr>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响应的有关费用。</w:t>
      </w:r>
    </w:p>
    <w:p>
      <w:pPr>
        <w:pStyle w:val="5"/>
        <w:spacing w:after="0" w:line="360" w:lineRule="auto"/>
        <w:ind w:firstLine="482"/>
        <w:rPr>
          <w:rFonts w:hint="eastAsia" w:ascii="仿宋" w:hAnsi="仿宋" w:eastAsia="仿宋" w:cs="仿宋"/>
          <w:color w:val="000000"/>
          <w:sz w:val="24"/>
          <w:szCs w:val="24"/>
          <w:highlight w:val="none"/>
        </w:rPr>
      </w:pPr>
      <w:bookmarkStart w:id="52" w:name="_Toc517281818"/>
      <w:bookmarkStart w:id="53" w:name="_Toc287600120"/>
      <w:bookmarkStart w:id="54" w:name="_Toc19783315"/>
      <w:bookmarkStart w:id="55" w:name="_Toc444891338"/>
      <w:bookmarkStart w:id="56" w:name="_Toc3016"/>
      <w:bookmarkStart w:id="57" w:name="_Toc10975"/>
      <w:bookmarkStart w:id="58" w:name="_Toc14164"/>
      <w:bookmarkStart w:id="59" w:name="_Toc24246"/>
      <w:bookmarkStart w:id="60" w:name="_Toc5255"/>
      <w:bookmarkStart w:id="61" w:name="_Toc25513"/>
      <w:r>
        <w:rPr>
          <w:rFonts w:hint="eastAsia" w:ascii="仿宋" w:hAnsi="仿宋" w:eastAsia="仿宋" w:cs="仿宋"/>
          <w:color w:val="000000"/>
          <w:sz w:val="24"/>
          <w:szCs w:val="24"/>
          <w:highlight w:val="none"/>
        </w:rPr>
        <w:t>（二）</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w:t>
      </w:r>
      <w:bookmarkEnd w:id="52"/>
      <w:bookmarkEnd w:id="53"/>
      <w:bookmarkEnd w:id="54"/>
      <w:bookmarkEnd w:id="55"/>
      <w:bookmarkEnd w:id="56"/>
      <w:bookmarkEnd w:id="57"/>
      <w:bookmarkEnd w:id="58"/>
      <w:bookmarkEnd w:id="59"/>
      <w:bookmarkEnd w:id="60"/>
      <w:bookmarkEnd w:id="61"/>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文件包括下列内容：</w:t>
      </w:r>
    </w:p>
    <w:p>
      <w:pPr>
        <w:pStyle w:val="23"/>
        <w:widowControl/>
        <w:spacing w:line="360" w:lineRule="auto"/>
        <w:ind w:left="0"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第一章 </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公告</w:t>
      </w:r>
    </w:p>
    <w:p>
      <w:pPr>
        <w:pStyle w:val="23"/>
        <w:widowControl/>
        <w:spacing w:line="360" w:lineRule="auto"/>
        <w:ind w:left="0"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23"/>
        <w:widowControl/>
        <w:spacing w:line="360" w:lineRule="auto"/>
        <w:ind w:left="0"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23"/>
        <w:widowControl/>
        <w:spacing w:line="360" w:lineRule="auto"/>
        <w:ind w:left="0"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pPr>
        <w:tabs>
          <w:tab w:val="left" w:pos="540"/>
          <w:tab w:val="left" w:pos="720"/>
        </w:tabs>
        <w:spacing w:line="360" w:lineRule="auto"/>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pPr>
        <w:tabs>
          <w:tab w:val="left" w:pos="540"/>
          <w:tab w:val="left" w:pos="720"/>
        </w:tabs>
        <w:spacing w:line="360" w:lineRule="auto"/>
        <w:ind w:firstLine="48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pPr>
        <w:widowControl/>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6.</w:t>
      </w:r>
      <w:r>
        <w:rPr>
          <w:rFonts w:ascii="仿宋" w:hAnsi="仿宋" w:eastAsia="仿宋" w:cs="仿宋"/>
          <w:color w:val="000000"/>
          <w:sz w:val="24"/>
          <w:highlight w:val="none"/>
        </w:rPr>
        <w:t>2</w:t>
      </w:r>
      <w:r>
        <w:rPr>
          <w:rFonts w:hint="eastAsia" w:ascii="仿宋" w:hAnsi="仿宋" w:eastAsia="仿宋" w:cs="仿宋"/>
          <w:color w:val="000000"/>
          <w:sz w:val="24"/>
          <w:highlight w:val="none"/>
        </w:rPr>
        <w:t>采购人在</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文件中以显著的方式标明实质性要求、条件以及不满足实质性要求和条件的响应文件将被否决的提示。实质性标识方式和具体要求</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文件的修改</w:t>
      </w:r>
    </w:p>
    <w:p>
      <w:pPr>
        <w:widowControl/>
        <w:spacing w:line="360" w:lineRule="auto"/>
        <w:rPr>
          <w:rFonts w:ascii="仿宋" w:hAnsi="仿宋" w:eastAsia="仿宋" w:cs="宋体"/>
          <w:color w:val="00000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sz w:val="24"/>
          <w:highlight w:val="none"/>
        </w:rPr>
        <w:t>供应商对</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sz w:val="24"/>
          <w:highlight w:val="none"/>
        </w:rPr>
        <w:t>有疑问的，应当按照</w:t>
      </w:r>
      <w:r>
        <w:rPr>
          <w:rFonts w:hint="eastAsia" w:ascii="仿宋" w:hAnsi="仿宋" w:eastAsia="仿宋" w:cs="宋体"/>
          <w:color w:val="000000"/>
          <w:sz w:val="24"/>
          <w:highlight w:val="none"/>
          <w:u w:val="single"/>
        </w:rPr>
        <w:t>本须知前附表</w:t>
      </w:r>
      <w:r>
        <w:rPr>
          <w:rFonts w:hint="eastAsia" w:ascii="仿宋" w:hAnsi="仿宋" w:eastAsia="仿宋" w:cs="宋体"/>
          <w:color w:val="000000"/>
          <w:sz w:val="24"/>
          <w:highlight w:val="none"/>
        </w:rPr>
        <w:t>规定的时间和方式，要求采购人对</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sz w:val="24"/>
          <w:highlight w:val="none"/>
        </w:rPr>
        <w:t>进行澄清。</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7.2</w:t>
      </w:r>
      <w:r>
        <w:rPr>
          <w:rFonts w:hint="eastAsia" w:ascii="仿宋" w:hAnsi="仿宋" w:eastAsia="仿宋" w:cs="仿宋"/>
          <w:color w:val="000000"/>
          <w:sz w:val="24"/>
          <w:highlight w:val="none"/>
        </w:rPr>
        <w:t>采购人在响应文件递交截止时间前，可以书面形式发出的对</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文件的澄清或修改内容，</w:t>
      </w:r>
      <w:r>
        <w:rPr>
          <w:rFonts w:hint="eastAsia" w:ascii="仿宋" w:hAnsi="仿宋" w:eastAsia="仿宋" w:cs="宋体"/>
          <w:color w:val="00000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sz w:val="24"/>
          <w:highlight w:val="none"/>
        </w:rPr>
        <w:t>的潜在供应商，不足3个工作日的，原则上应顺延响应文件递交截止时间。</w:t>
      </w:r>
    </w:p>
    <w:p>
      <w:pPr>
        <w:widowControl/>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7.</w:t>
      </w:r>
      <w:r>
        <w:rPr>
          <w:rFonts w:ascii="仿宋" w:hAnsi="仿宋" w:eastAsia="仿宋" w:cs="宋体"/>
          <w:color w:val="000000"/>
          <w:sz w:val="24"/>
          <w:highlight w:val="none"/>
        </w:rPr>
        <w:t>3</w:t>
      </w:r>
      <w:r>
        <w:rPr>
          <w:rFonts w:hint="eastAsia" w:ascii="仿宋" w:hAnsi="仿宋" w:eastAsia="仿宋" w:cs="宋体"/>
          <w:color w:val="00000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highlight w:val="none"/>
        </w:rPr>
      </w:pPr>
      <w:r>
        <w:rPr>
          <w:rFonts w:hint="eastAsia" w:ascii="仿宋" w:hAnsi="仿宋" w:eastAsia="仿宋" w:cs="宋体"/>
          <w:color w:val="000000"/>
          <w:sz w:val="24"/>
          <w:highlight w:val="none"/>
        </w:rPr>
        <w:t>7</w:t>
      </w:r>
      <w:r>
        <w:rPr>
          <w:rFonts w:ascii="仿宋" w:hAnsi="仿宋" w:eastAsia="仿宋" w:cs="宋体"/>
          <w:color w:val="000000"/>
          <w:sz w:val="24"/>
          <w:highlight w:val="none"/>
        </w:rPr>
        <w:t>.</w:t>
      </w:r>
      <w:r>
        <w:rPr>
          <w:rFonts w:hint="eastAsia" w:ascii="仿宋" w:hAnsi="仿宋" w:eastAsia="仿宋" w:cs="宋体"/>
          <w:color w:val="00000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sz w:val="24"/>
          <w:highlight w:val="none"/>
        </w:rPr>
        <w:t>所有关于</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sz w:val="24"/>
          <w:highlight w:val="none"/>
        </w:rPr>
        <w:t>的澄清和修改均作为</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sz w:val="24"/>
          <w:highlight w:val="none"/>
        </w:rPr>
        <w:t>的补充部分。</w:t>
      </w:r>
      <w:r>
        <w:rPr>
          <w:rFonts w:hint="eastAsia" w:ascii="仿宋" w:hAnsi="仿宋" w:eastAsia="仿宋" w:cs="仿宋"/>
          <w:color w:val="000000"/>
          <w:sz w:val="24"/>
          <w:highlight w:val="none"/>
        </w:rPr>
        <w:t>当</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响应预备会</w:t>
      </w:r>
    </w:p>
    <w:p>
      <w:pPr>
        <w:spacing w:line="360" w:lineRule="auto"/>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响应预备会(答疑会)，公开解答潜在供应商对</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文件提出的疑问</w:t>
      </w:r>
      <w:r>
        <w:rPr>
          <w:rFonts w:hint="eastAsia" w:ascii="仿宋" w:hAnsi="仿宋" w:eastAsia="仿宋" w:cs="宋体"/>
          <w:color w:val="000000"/>
          <w:sz w:val="24"/>
          <w:highlight w:val="none"/>
          <w:lang w:eastAsia="zh-CN"/>
        </w:rPr>
        <w:t>。</w:t>
      </w:r>
    </w:p>
    <w:p>
      <w:pPr>
        <w:pStyle w:val="5"/>
        <w:numPr>
          <w:ilvl w:val="0"/>
          <w:numId w:val="0"/>
        </w:numPr>
        <w:spacing w:after="0" w:line="360" w:lineRule="auto"/>
        <w:jc w:val="center"/>
        <w:rPr>
          <w:rFonts w:hint="eastAsia" w:ascii="仿宋" w:hAnsi="仿宋" w:eastAsia="仿宋" w:cs="仿宋"/>
          <w:color w:val="000000"/>
          <w:sz w:val="24"/>
          <w:szCs w:val="24"/>
          <w:highlight w:val="none"/>
        </w:rPr>
      </w:pPr>
      <w:bookmarkStart w:id="62" w:name="_Toc287600121"/>
      <w:bookmarkStart w:id="63" w:name="_Toc19783316"/>
      <w:bookmarkStart w:id="64" w:name="_Toc517281819"/>
      <w:bookmarkStart w:id="65" w:name="_Toc27642"/>
      <w:bookmarkStart w:id="66" w:name="_Toc16985"/>
      <w:bookmarkStart w:id="67" w:name="_Toc14308"/>
      <w:bookmarkStart w:id="68" w:name="_Toc444891339"/>
      <w:bookmarkStart w:id="69" w:name="_Toc31141"/>
      <w:bookmarkStart w:id="70" w:name="_Toc13691"/>
      <w:bookmarkStart w:id="71" w:name="_Toc27563"/>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pStyle w:val="6"/>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10</w:t>
      </w:r>
      <w:r>
        <w:rPr>
          <w:rFonts w:hint="eastAsia" w:ascii="仿宋" w:hAnsi="仿宋" w:eastAsia="仿宋" w:cs="宋体"/>
          <w:color w:val="000000"/>
          <w:sz w:val="24"/>
          <w:highlight w:val="none"/>
        </w:rPr>
        <w:t>.1 供应商应当按照</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文件的要求编制响应文件，并对其提交的响应文件的真实性、合法性承担法律责任。响应文件应当对</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 xml:space="preserve">文件提出的实质性要求和条件作出响应。 </w:t>
      </w:r>
    </w:p>
    <w:p>
      <w:pPr>
        <w:widowControl/>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10</w:t>
      </w:r>
      <w:r>
        <w:rPr>
          <w:rFonts w:hint="eastAsia" w:ascii="仿宋" w:hAnsi="仿宋" w:eastAsia="仿宋" w:cs="宋体"/>
          <w:color w:val="000000"/>
          <w:sz w:val="24"/>
          <w:highlight w:val="none"/>
        </w:rPr>
        <w:t>.2 供应商应认真阅读</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文件中所有的事项、格式、条款和技术规范等。供应商没有按照</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文件要求递交全部资料，或者供应商没有对</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文件在各方面都作出实质性响应是供应商的风险，并可能导致其</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 xml:space="preserve">响应被否决。 </w:t>
      </w:r>
    </w:p>
    <w:p>
      <w:pPr>
        <w:widowControl/>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1</w:t>
      </w:r>
      <w:r>
        <w:rPr>
          <w:rFonts w:ascii="仿宋" w:hAnsi="仿宋" w:eastAsia="仿宋" w:cs="宋体"/>
          <w:color w:val="000000"/>
          <w:sz w:val="24"/>
          <w:highlight w:val="none"/>
        </w:rPr>
        <w:t xml:space="preserve">0.3 </w:t>
      </w:r>
      <w:r>
        <w:rPr>
          <w:rFonts w:hint="eastAsia" w:ascii="仿宋" w:hAnsi="仿宋" w:eastAsia="仿宋" w:cs="宋体"/>
          <w:color w:val="00000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文件中要求进行解释或提出建议的除外）。</w:t>
      </w:r>
    </w:p>
    <w:p>
      <w:pPr>
        <w:widowControl/>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1</w:t>
      </w:r>
      <w:r>
        <w:rPr>
          <w:rFonts w:ascii="仿宋" w:hAnsi="仿宋" w:eastAsia="仿宋" w:cs="宋体"/>
          <w:color w:val="000000"/>
          <w:sz w:val="24"/>
          <w:highlight w:val="none"/>
        </w:rPr>
        <w:t xml:space="preserve">0.4 </w:t>
      </w:r>
      <w:r>
        <w:rPr>
          <w:rFonts w:hint="eastAsia" w:ascii="仿宋" w:hAnsi="仿宋" w:eastAsia="仿宋" w:cs="宋体"/>
          <w:color w:val="00000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文件中要求进行解释或提出建议的除外）。</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10</w:t>
      </w:r>
      <w:r>
        <w:rPr>
          <w:rFonts w:hint="eastAsia" w:ascii="仿宋" w:hAnsi="仿宋" w:eastAsia="仿宋" w:cs="宋体"/>
          <w:color w:val="000000"/>
          <w:sz w:val="24"/>
          <w:highlight w:val="none"/>
        </w:rPr>
        <w:t>.</w:t>
      </w:r>
      <w:r>
        <w:rPr>
          <w:rFonts w:ascii="仿宋" w:hAnsi="仿宋" w:eastAsia="仿宋" w:cs="宋体"/>
          <w:color w:val="000000"/>
          <w:sz w:val="24"/>
          <w:highlight w:val="none"/>
        </w:rPr>
        <w:t>5</w:t>
      </w:r>
      <w:r>
        <w:rPr>
          <w:rFonts w:hint="eastAsia" w:ascii="仿宋" w:hAnsi="仿宋" w:eastAsia="仿宋" w:cs="宋体"/>
          <w:color w:val="000000"/>
          <w:sz w:val="24"/>
          <w:highlight w:val="none"/>
        </w:rPr>
        <w:t xml:space="preserve"> 供应商提交的响应文件以及供应商与采购人就有关</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的所有往来函电均应使用中文。供应商提交的证明文件和印刷的文献可以使用另一种语言，但相应内容应当译成中文，在解释响应文件时以中文译本为准。</w:t>
      </w:r>
    </w:p>
    <w:p>
      <w:pPr>
        <w:widowControl/>
        <w:spacing w:line="360" w:lineRule="auto"/>
        <w:rPr>
          <w:rFonts w:hint="eastAsia" w:ascii="仿宋" w:hAnsi="仿宋" w:eastAsia="仿宋" w:cs="宋体"/>
          <w:color w:val="000000"/>
          <w:sz w:val="24"/>
          <w:highlight w:val="none"/>
          <w:u w:val="single"/>
        </w:rPr>
      </w:pPr>
      <w:r>
        <w:rPr>
          <w:rFonts w:ascii="仿宋" w:hAnsi="仿宋" w:eastAsia="仿宋" w:cs="宋体"/>
          <w:color w:val="000000"/>
          <w:sz w:val="24"/>
          <w:highlight w:val="none"/>
        </w:rPr>
        <w:t>10</w:t>
      </w:r>
      <w:r>
        <w:rPr>
          <w:rFonts w:hint="eastAsia" w:ascii="仿宋" w:hAnsi="仿宋" w:eastAsia="仿宋" w:cs="宋体"/>
          <w:color w:val="000000"/>
          <w:sz w:val="24"/>
          <w:highlight w:val="none"/>
        </w:rPr>
        <w:t>.</w:t>
      </w:r>
      <w:r>
        <w:rPr>
          <w:rFonts w:ascii="仿宋" w:hAnsi="仿宋" w:eastAsia="仿宋" w:cs="宋体"/>
          <w:color w:val="000000"/>
          <w:sz w:val="24"/>
          <w:highlight w:val="none"/>
        </w:rPr>
        <w:t>6</w:t>
      </w:r>
      <w:r>
        <w:rPr>
          <w:rFonts w:hint="eastAsia" w:ascii="仿宋" w:hAnsi="仿宋" w:eastAsia="仿宋" w:cs="宋体"/>
          <w:color w:val="00000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sz w:val="24"/>
          <w:highlight w:val="none"/>
        </w:rPr>
        <w:t>盖章或者签字另有要求的，</w:t>
      </w:r>
      <w:r>
        <w:rPr>
          <w:rFonts w:hint="eastAsia" w:ascii="仿宋" w:hAnsi="仿宋" w:eastAsia="仿宋" w:cs="宋体"/>
          <w:color w:val="000000"/>
          <w:sz w:val="24"/>
          <w:highlight w:val="none"/>
          <w:u w:val="single"/>
        </w:rPr>
        <w:t>见本须知前附表。</w:t>
      </w:r>
      <w:bookmarkEnd w:id="72"/>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响应报价</w:t>
      </w:r>
    </w:p>
    <w:p>
      <w:pPr>
        <w:widowControl/>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供应商应当根据</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文件要求进行报价，供应商应当报出符合</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响应有效期</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12</w:t>
      </w:r>
      <w:r>
        <w:rPr>
          <w:rFonts w:hint="eastAsia" w:ascii="仿宋" w:hAnsi="仿宋" w:eastAsia="仿宋" w:cs="宋体"/>
          <w:color w:val="000000"/>
          <w:sz w:val="24"/>
          <w:highlight w:val="none"/>
        </w:rPr>
        <w:t xml:space="preserve">.1 </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响应有效期从响应文件递交截止之日起算，具体时间</w:t>
      </w:r>
      <w:r>
        <w:rPr>
          <w:rFonts w:hint="eastAsia" w:ascii="仿宋" w:hAnsi="仿宋" w:eastAsia="仿宋" w:cs="宋体"/>
          <w:color w:val="000000"/>
          <w:sz w:val="24"/>
          <w:highlight w:val="none"/>
          <w:u w:val="single"/>
        </w:rPr>
        <w:t>见本须知前附表</w:t>
      </w:r>
      <w:r>
        <w:rPr>
          <w:rFonts w:hint="eastAsia" w:ascii="仿宋" w:hAnsi="仿宋" w:eastAsia="仿宋" w:cs="宋体"/>
          <w:color w:val="000000"/>
          <w:sz w:val="24"/>
          <w:highlight w:val="none"/>
        </w:rPr>
        <w:t>，在此期间，供应商不得要求撤销或修改其响应文件。供应商承诺的</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响应有效期必须不短于</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文件规定的</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响应有效期，否则将构成对</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文件的非实质性响应，</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响应将被否决。</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12</w:t>
      </w:r>
      <w:r>
        <w:rPr>
          <w:rFonts w:hint="eastAsia" w:ascii="仿宋" w:hAnsi="仿宋" w:eastAsia="仿宋" w:cs="宋体"/>
          <w:color w:val="000000"/>
          <w:sz w:val="24"/>
          <w:highlight w:val="none"/>
        </w:rPr>
        <w:t>.2 在原</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响应有效期结束前，出现特殊情况的，采购人可以书面形式要求所有供应商延长</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响应有效期。供应商同意延长的，不得要求或被允许修改其响应文件的实质性内容</w:t>
      </w:r>
      <w:r>
        <w:rPr>
          <w:rFonts w:hint="eastAsia" w:ascii="仿宋" w:hAnsi="仿宋" w:eastAsia="仿宋" w:cs="宋体"/>
          <w:color w:val="000000"/>
          <w:sz w:val="24"/>
          <w:highlight w:val="none"/>
          <w:lang w:eastAsia="zh-CN"/>
        </w:rPr>
        <w:t>。</w:t>
      </w:r>
      <w:r>
        <w:rPr>
          <w:rFonts w:hint="eastAsia" w:ascii="仿宋" w:hAnsi="仿宋" w:eastAsia="仿宋" w:cs="宋体"/>
          <w:color w:val="000000"/>
          <w:sz w:val="24"/>
          <w:highlight w:val="none"/>
        </w:rPr>
        <w:t>供应商拒绝延长的，其</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响应失效。</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.响应文件的式样、密封和标记</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14</w:t>
      </w:r>
      <w:r>
        <w:rPr>
          <w:rFonts w:hint="eastAsia" w:ascii="仿宋" w:hAnsi="仿宋" w:eastAsia="仿宋" w:cs="宋体"/>
          <w:color w:val="000000"/>
          <w:sz w:val="24"/>
          <w:highlight w:val="none"/>
        </w:rPr>
        <w:t>.1 供应商应当编制一份响应文件“正本”和</w:t>
      </w:r>
      <w:r>
        <w:rPr>
          <w:rFonts w:hint="eastAsia" w:ascii="仿宋" w:hAnsi="仿宋" w:eastAsia="仿宋" w:cs="宋体"/>
          <w:color w:val="000000"/>
          <w:sz w:val="24"/>
          <w:highlight w:val="none"/>
          <w:u w:val="single"/>
        </w:rPr>
        <w:t>本须知前附表</w:t>
      </w:r>
      <w:r>
        <w:rPr>
          <w:rFonts w:hint="eastAsia" w:ascii="仿宋" w:hAnsi="仿宋" w:eastAsia="仿宋" w:cs="宋体"/>
          <w:color w:val="000000"/>
          <w:sz w:val="24"/>
          <w:highlight w:val="none"/>
        </w:rPr>
        <w:t>所述份数的“副本”和“电子版”，副本为正本复印件。纸质版文件与电子版文件不一致时，以</w:t>
      </w:r>
      <w:r>
        <w:rPr>
          <w:rFonts w:hint="eastAsia" w:ascii="仿宋" w:hAnsi="仿宋" w:eastAsia="仿宋" w:cs="宋体"/>
          <w:b/>
          <w:bCs/>
          <w:sz w:val="24"/>
          <w:highlight w:val="none"/>
          <w:lang w:eastAsia="zh-Hans"/>
        </w:rPr>
        <w:t>电子版</w:t>
      </w:r>
      <w:r>
        <w:rPr>
          <w:rFonts w:hint="eastAsia" w:ascii="仿宋" w:hAnsi="仿宋" w:eastAsia="仿宋" w:cs="宋体"/>
          <w:color w:val="000000"/>
          <w:sz w:val="24"/>
          <w:highlight w:val="none"/>
        </w:rPr>
        <w:t>文件为准;响应文件正本与副本不一致时，以正本为准</w:t>
      </w:r>
      <w:r>
        <w:rPr>
          <w:rFonts w:hint="eastAsia" w:ascii="仿宋" w:hAnsi="仿宋" w:eastAsia="仿宋" w:cs="宋体"/>
          <w:color w:val="000000"/>
          <w:sz w:val="24"/>
          <w:highlight w:val="none"/>
          <w:lang w:eastAsia="zh-CN"/>
        </w:rPr>
        <w:t>。</w:t>
      </w:r>
      <w:r>
        <w:rPr>
          <w:rFonts w:hint="eastAsia" w:ascii="仿宋" w:hAnsi="仿宋" w:eastAsia="仿宋" w:cs="宋体"/>
          <w:color w:val="000000"/>
          <w:sz w:val="24"/>
          <w:highlight w:val="none"/>
        </w:rPr>
        <w:t xml:space="preserve"> </w:t>
      </w:r>
    </w:p>
    <w:p>
      <w:pPr>
        <w:widowControl/>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14</w:t>
      </w:r>
      <w:r>
        <w:rPr>
          <w:rFonts w:hint="eastAsia" w:ascii="仿宋" w:hAnsi="仿宋" w:eastAsia="仿宋" w:cs="宋体"/>
          <w:color w:val="000000"/>
          <w:sz w:val="24"/>
          <w:highlight w:val="none"/>
        </w:rPr>
        <w:t>.2 每份纸质文件响应文件的正本、副本应当分别装订，并于封面上明确标明“正本”“副本”字样。具体要求</w:t>
      </w:r>
      <w:r>
        <w:rPr>
          <w:rFonts w:hint="eastAsia" w:ascii="仿宋" w:hAnsi="仿宋" w:eastAsia="仿宋" w:cs="宋体"/>
          <w:color w:val="000000"/>
          <w:sz w:val="24"/>
          <w:highlight w:val="none"/>
          <w:u w:val="single"/>
        </w:rPr>
        <w:t>见本须知前附表</w:t>
      </w:r>
      <w:r>
        <w:rPr>
          <w:rFonts w:hint="eastAsia" w:ascii="仿宋" w:hAnsi="仿宋" w:eastAsia="仿宋" w:cs="宋体"/>
          <w:color w:val="000000"/>
          <w:sz w:val="24"/>
          <w:highlight w:val="none"/>
        </w:rPr>
        <w:t>。</w:t>
      </w:r>
    </w:p>
    <w:p>
      <w:pPr>
        <w:widowControl/>
        <w:spacing w:line="360" w:lineRule="auto"/>
        <w:rPr>
          <w:rFonts w:hint="eastAsia" w:ascii="仿宋" w:hAnsi="仿宋" w:eastAsia="仿宋" w:cs="宋体"/>
          <w:color w:val="000000"/>
          <w:sz w:val="24"/>
          <w:highlight w:val="none"/>
        </w:rPr>
      </w:pPr>
      <w:r>
        <w:rPr>
          <w:rFonts w:ascii="仿宋" w:hAnsi="仿宋" w:eastAsia="仿宋" w:cs="宋体"/>
          <w:color w:val="000000"/>
          <w:sz w:val="24"/>
          <w:highlight w:val="none"/>
        </w:rPr>
        <w:t>14</w:t>
      </w:r>
      <w:r>
        <w:rPr>
          <w:rFonts w:hint="eastAsia" w:ascii="仿宋" w:hAnsi="仿宋" w:eastAsia="仿宋" w:cs="宋体"/>
          <w:color w:val="000000"/>
          <w:sz w:val="24"/>
          <w:highlight w:val="none"/>
        </w:rPr>
        <w:t>.</w:t>
      </w:r>
      <w:r>
        <w:rPr>
          <w:rFonts w:ascii="仿宋" w:hAnsi="仿宋" w:eastAsia="仿宋" w:cs="宋体"/>
          <w:color w:val="000000"/>
          <w:sz w:val="24"/>
          <w:highlight w:val="none"/>
        </w:rPr>
        <w:t>3</w:t>
      </w:r>
      <w:r>
        <w:rPr>
          <w:rFonts w:hint="eastAsia" w:ascii="仿宋" w:hAnsi="仿宋" w:eastAsia="仿宋" w:cs="宋体"/>
          <w:color w:val="000000"/>
          <w:sz w:val="24"/>
          <w:highlight w:val="none"/>
        </w:rPr>
        <w:t xml:space="preserve"> 对于</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文件中提及的原件或复印件要求，照片件、扫描件、影印件、截图件等与其具有同等效力（</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文件有特殊要求的除外）。</w:t>
      </w:r>
    </w:p>
    <w:p>
      <w:pPr>
        <w:pStyle w:val="5"/>
        <w:spacing w:after="0" w:line="360" w:lineRule="auto"/>
        <w:ind w:firstLine="482"/>
        <w:rPr>
          <w:rFonts w:hint="eastAsia" w:ascii="仿宋" w:hAnsi="仿宋" w:eastAsia="仿宋" w:cs="仿宋"/>
          <w:color w:val="000000"/>
          <w:sz w:val="24"/>
          <w:szCs w:val="24"/>
          <w:highlight w:val="none"/>
        </w:rPr>
      </w:pPr>
      <w:bookmarkStart w:id="73" w:name="_Toc14726"/>
      <w:bookmarkStart w:id="74" w:name="_Toc19783317"/>
      <w:bookmarkStart w:id="75" w:name="_Toc4155"/>
      <w:bookmarkStart w:id="76" w:name="_Toc21600"/>
      <w:bookmarkStart w:id="77" w:name="_Toc18673"/>
      <w:bookmarkStart w:id="78" w:name="_Toc287600122"/>
      <w:bookmarkStart w:id="79" w:name="_Toc444891340"/>
      <w:bookmarkStart w:id="80" w:name="_Toc7129"/>
      <w:bookmarkStart w:id="81" w:name="_Toc517281820"/>
      <w:bookmarkStart w:id="82" w:name="_Toc17865"/>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5</w:t>
      </w:r>
      <w:r>
        <w:rPr>
          <w:rFonts w:hint="eastAsia" w:ascii="仿宋" w:hAnsi="仿宋" w:eastAsia="仿宋" w:cs="仿宋"/>
          <w:color w:val="000000"/>
          <w:sz w:val="24"/>
          <w:szCs w:val="24"/>
          <w:highlight w:val="none"/>
        </w:rPr>
        <w:t>.响应文件的递交</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5</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15.2出现下列情形之一时，</w:t>
      </w:r>
      <w:r>
        <w:rPr>
          <w:rFonts w:hint="eastAsia" w:ascii="仿宋" w:hAnsi="仿宋" w:eastAsia="仿宋" w:cs="宋体"/>
          <w:b/>
          <w:bCs/>
          <w:color w:val="000000"/>
          <w:sz w:val="24"/>
          <w:highlight w:val="none"/>
        </w:rPr>
        <w:t>响应文件不予接收或已经递交的响应文件无效；</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文件要求封装的；</w:t>
      </w:r>
    </w:p>
    <w:p>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公告或者响应公告书要求获得本项目</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文件的。</w:t>
      </w:r>
    </w:p>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sz w:val="24"/>
          <w:highlight w:val="none"/>
        </w:rPr>
        <w:t>在</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w:t>
      </w:r>
      <w:r>
        <w:rPr>
          <w:rFonts w:hint="eastAsia" w:ascii="仿宋" w:hAnsi="仿宋" w:eastAsia="仿宋" w:cs="宋体"/>
          <w:color w:val="000000"/>
          <w:spacing w:val="-4"/>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sz w:val="24"/>
          <w:highlight w:val="none"/>
        </w:rPr>
        <w:t>递交截止时间前，</w:t>
      </w:r>
      <w:r>
        <w:rPr>
          <w:rFonts w:hint="eastAsia" w:ascii="仿宋" w:hAnsi="仿宋" w:eastAsia="仿宋" w:cs="宋体"/>
          <w:color w:val="000000"/>
          <w:sz w:val="24"/>
          <w:highlight w:val="none"/>
        </w:rPr>
        <w:t>可以补充、修改或撤回已提交的响应文件。</w:t>
      </w:r>
      <w:r>
        <w:rPr>
          <w:rFonts w:ascii="仿宋" w:hAnsi="仿宋" w:eastAsia="仿宋" w:cs="宋体"/>
          <w:color w:val="000000"/>
          <w:sz w:val="24"/>
          <w:highlight w:val="none"/>
        </w:rPr>
        <w:t>补充、修改的内容为</w:t>
      </w:r>
      <w:r>
        <w:rPr>
          <w:rFonts w:hint="eastAsia" w:ascii="仿宋" w:hAnsi="仿宋" w:eastAsia="仿宋" w:cs="宋体"/>
          <w:color w:val="000000"/>
          <w:sz w:val="24"/>
          <w:highlight w:val="none"/>
        </w:rPr>
        <w:t>响应</w:t>
      </w:r>
      <w:r>
        <w:rPr>
          <w:rFonts w:ascii="仿宋" w:hAnsi="仿宋" w:eastAsia="仿宋" w:cs="宋体"/>
          <w:color w:val="000000"/>
          <w:sz w:val="24"/>
          <w:highlight w:val="none"/>
        </w:rPr>
        <w:t>文件的组成部分</w:t>
      </w:r>
      <w:r>
        <w:rPr>
          <w:rFonts w:hint="eastAsia" w:ascii="仿宋" w:hAnsi="仿宋" w:eastAsia="仿宋" w:cs="宋体"/>
          <w:color w:val="000000"/>
          <w:sz w:val="24"/>
          <w:highlight w:val="none"/>
        </w:rPr>
        <w:t>，应当在响应文件递交截止时间前按照</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文件的规定进行递交。</w:t>
      </w:r>
    </w:p>
    <w:p>
      <w:pPr>
        <w:pStyle w:val="2"/>
        <w:spacing w:line="360" w:lineRule="auto"/>
        <w:jc w:val="left"/>
        <w:rPr>
          <w:rFonts w:hint="eastAsia"/>
          <w:highlight w:val="none"/>
        </w:rPr>
      </w:pPr>
      <w:bookmarkStart w:id="83" w:name="_Toc152042334"/>
      <w:bookmarkStart w:id="84" w:name="_Toc152045558"/>
      <w:bookmarkStart w:id="85" w:name="_Toc144974526"/>
      <w:bookmarkStart w:id="86" w:name="_Toc334766948"/>
      <w:bookmarkStart w:id="87" w:name="_Toc326223561"/>
      <w:bookmarkStart w:id="88" w:name="_Toc247085716"/>
      <w:bookmarkStart w:id="89" w:name="_Toc246996945"/>
      <w:bookmarkStart w:id="90" w:name="_Toc246996202"/>
      <w:bookmarkStart w:id="91" w:name="_Toc332188194"/>
      <w:bookmarkStart w:id="92" w:name="_Toc179632576"/>
      <w:r>
        <w:rPr>
          <w:rFonts w:ascii="仿宋" w:hAnsi="仿宋" w:eastAsia="仿宋" w:cs="仿宋"/>
          <w:color w:val="000000"/>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sz w:val="24"/>
          <w:highlight w:val="none"/>
        </w:rPr>
        <w:t>响应文件递交截止时间后，供应商在响应有效期内撤销其响应文件，</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保证金不予退还。</w:t>
      </w:r>
    </w:p>
    <w:p>
      <w:pPr>
        <w:pStyle w:val="5"/>
        <w:spacing w:before="0" w:after="0" w:line="360" w:lineRule="auto"/>
        <w:ind w:firstLine="482"/>
        <w:rPr>
          <w:rFonts w:hint="eastAsia" w:ascii="仿宋" w:hAnsi="仿宋" w:eastAsia="仿宋" w:cs="仿宋"/>
          <w:color w:val="000000"/>
          <w:sz w:val="24"/>
          <w:szCs w:val="24"/>
          <w:highlight w:val="none"/>
        </w:rPr>
      </w:pPr>
      <w:bookmarkStart w:id="93" w:name="_Toc444891341"/>
      <w:bookmarkStart w:id="94" w:name="_Toc30466"/>
      <w:bookmarkStart w:id="95" w:name="_Toc287600123"/>
      <w:bookmarkStart w:id="96" w:name="_Toc11361"/>
      <w:bookmarkStart w:id="97" w:name="_Toc2055"/>
      <w:bookmarkStart w:id="98" w:name="_Toc2636"/>
      <w:bookmarkStart w:id="99" w:name="_Toc517281821"/>
      <w:bookmarkStart w:id="100" w:name="_Toc12797"/>
      <w:bookmarkStart w:id="101" w:name="_Toc20741"/>
      <w:r>
        <w:rPr>
          <w:rFonts w:hint="eastAsia" w:ascii="仿宋" w:hAnsi="仿宋" w:eastAsia="仿宋" w:cs="仿宋"/>
          <w:color w:val="000000"/>
          <w:sz w:val="24"/>
          <w:szCs w:val="24"/>
          <w:highlight w:val="none"/>
        </w:rPr>
        <w:t>（五）</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和评审</w:t>
      </w:r>
      <w:bookmarkEnd w:id="93"/>
      <w:bookmarkEnd w:id="94"/>
      <w:bookmarkEnd w:id="95"/>
      <w:bookmarkEnd w:id="96"/>
      <w:bookmarkEnd w:id="97"/>
      <w:bookmarkEnd w:id="98"/>
      <w:bookmarkEnd w:id="99"/>
      <w:bookmarkEnd w:id="100"/>
      <w:bookmarkEnd w:id="101"/>
    </w:p>
    <w:p>
      <w:pPr>
        <w:pStyle w:val="6"/>
        <w:spacing w:before="0" w:after="0" w:line="360" w:lineRule="auto"/>
        <w:jc w:val="left"/>
        <w:rPr>
          <w:rFonts w:hint="eastAsia" w:ascii="仿宋" w:hAnsi="仿宋" w:eastAsia="仿宋" w:cs="仿宋"/>
          <w:color w:val="000000"/>
          <w:sz w:val="24"/>
          <w:szCs w:val="24"/>
          <w:highlight w:val="none"/>
        </w:rPr>
      </w:pPr>
      <w:bookmarkStart w:id="102" w:name="_Toc234223229"/>
      <w:bookmarkStart w:id="103" w:name="_Toc234223227"/>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小组</w:t>
      </w:r>
    </w:p>
    <w:p>
      <w:pPr>
        <w:widowControl/>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1</w:t>
      </w:r>
      <w:r>
        <w:rPr>
          <w:rFonts w:ascii="仿宋" w:hAnsi="仿宋" w:eastAsia="仿宋" w:cs="宋体"/>
          <w:color w:val="000000"/>
          <w:sz w:val="24"/>
          <w:highlight w:val="none"/>
        </w:rPr>
        <w:t>7.1</w:t>
      </w:r>
      <w:r>
        <w:rPr>
          <w:rFonts w:hint="eastAsia" w:ascii="仿宋" w:hAnsi="仿宋" w:eastAsia="仿宋" w:cs="宋体"/>
          <w:color w:val="000000"/>
          <w:sz w:val="24"/>
          <w:highlight w:val="none"/>
        </w:rPr>
        <w:t>采购人依照企业采购管理制度的相关规定组建</w:t>
      </w:r>
      <w:r>
        <w:rPr>
          <w:rFonts w:hint="eastAsia" w:ascii="仿宋" w:hAnsi="仿宋" w:eastAsia="仿宋" w:cs="宋体"/>
          <w:color w:val="000000"/>
          <w:sz w:val="24"/>
          <w:highlight w:val="none"/>
          <w:lang w:val="en-US" w:eastAsia="zh-CN"/>
        </w:rPr>
        <w:t>X</w:t>
      </w:r>
      <w:r>
        <w:rPr>
          <w:rFonts w:hint="eastAsia" w:ascii="仿宋" w:hAnsi="仿宋" w:eastAsia="仿宋" w:cs="宋体"/>
          <w:color w:val="000000"/>
          <w:sz w:val="24"/>
          <w:highlight w:val="none"/>
        </w:rPr>
        <w:t>人及以上单数的</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sz w:val="24"/>
          <w:highlight w:val="none"/>
        </w:rPr>
        <w:t>，</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小组成员名单在成交结果确定前保密。</w:t>
      </w:r>
    </w:p>
    <w:p>
      <w:pPr>
        <w:widowControl/>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1</w:t>
      </w:r>
      <w:r>
        <w:rPr>
          <w:rFonts w:ascii="仿宋" w:hAnsi="仿宋" w:eastAsia="仿宋" w:cs="宋体"/>
          <w:color w:val="000000"/>
          <w:sz w:val="24"/>
          <w:highlight w:val="none"/>
        </w:rPr>
        <w:t>7.2</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小组成员应当按照客观、公正、审慎的原则，根据</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文件规定的评审程序、评审方法和评审标准进行独立评审。</w:t>
      </w:r>
    </w:p>
    <w:p>
      <w:pPr>
        <w:pStyle w:val="6"/>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18</w:t>
      </w:r>
      <w:r>
        <w:rPr>
          <w:rFonts w:hint="eastAsia" w:ascii="仿宋" w:hAnsi="仿宋" w:eastAsia="仿宋" w:cs="仿宋"/>
          <w:color w:val="000000"/>
          <w:sz w:val="24"/>
          <w:szCs w:val="24"/>
          <w:highlight w:val="none"/>
        </w:rPr>
        <w:t>.初步评审</w:t>
      </w:r>
    </w:p>
    <w:p>
      <w:pPr>
        <w:widowControl/>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1</w:t>
      </w:r>
      <w:r>
        <w:rPr>
          <w:rFonts w:ascii="仿宋" w:hAnsi="仿宋" w:eastAsia="仿宋" w:cs="宋体"/>
          <w:color w:val="000000"/>
          <w:sz w:val="24"/>
          <w:highlight w:val="none"/>
        </w:rPr>
        <w:t>8.1</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小组按照第三章</w:t>
      </w:r>
      <w:r>
        <w:rPr>
          <w:rFonts w:hint="eastAsia" w:ascii="仿宋" w:hAnsi="仿宋" w:eastAsia="仿宋" w:cs="宋体"/>
          <w:color w:val="000000"/>
          <w:sz w:val="24"/>
        </w:rPr>
        <w:t>评审办法中初步评审的内容及要求</w:t>
      </w:r>
      <w:r>
        <w:rPr>
          <w:rFonts w:hint="eastAsia" w:ascii="仿宋" w:hAnsi="仿宋" w:eastAsia="仿宋" w:cs="宋体"/>
          <w:color w:val="000000"/>
          <w:sz w:val="24"/>
          <w:highlight w:val="none"/>
        </w:rPr>
        <w:t>，对响应文件进行初步评审。通过初步评审的供应商进入</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环节，未通过初步评审的供应商，其</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响应将被否决，不进入</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、详细评审等后续环节。</w:t>
      </w:r>
    </w:p>
    <w:p>
      <w:pPr>
        <w:widowControl/>
        <w:spacing w:line="360" w:lineRule="auto"/>
        <w:rPr>
          <w:rFonts w:hint="eastAsia" w:ascii="仿宋" w:hAnsi="仿宋" w:eastAsia="仿宋" w:cs="宋体"/>
          <w:color w:val="000000"/>
          <w:sz w:val="24"/>
          <w:highlight w:val="none"/>
        </w:rPr>
      </w:pPr>
      <w:r>
        <w:rPr>
          <w:rFonts w:hint="eastAsia" w:ascii="仿宋" w:hAnsi="仿宋" w:eastAsia="仿宋" w:cs="宋体"/>
          <w:color w:val="000000"/>
          <w:sz w:val="24"/>
          <w:highlight w:val="none"/>
        </w:rPr>
        <w:t>1</w:t>
      </w:r>
      <w:r>
        <w:rPr>
          <w:rFonts w:ascii="仿宋" w:hAnsi="仿宋" w:eastAsia="仿宋" w:cs="宋体"/>
          <w:color w:val="000000"/>
          <w:sz w:val="24"/>
          <w:highlight w:val="none"/>
        </w:rPr>
        <w:t>8.2</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spacing w:line="360" w:lineRule="auto"/>
        <w:rPr>
          <w:rFonts w:ascii="仿宋" w:hAnsi="仿宋" w:eastAsia="仿宋" w:cs="仿宋"/>
          <w:b/>
          <w:bCs/>
          <w:sz w:val="24"/>
          <w:highlight w:val="none"/>
        </w:rPr>
      </w:pPr>
      <w:r>
        <w:rPr>
          <w:rFonts w:hint="eastAsia" w:ascii="仿宋" w:hAnsi="仿宋" w:eastAsia="仿宋" w:cs="宋体"/>
          <w:color w:val="000000"/>
          <w:sz w:val="24"/>
          <w:highlight w:val="none"/>
        </w:rPr>
        <w:t>18</w:t>
      </w:r>
      <w:r>
        <w:rPr>
          <w:rFonts w:ascii="仿宋" w:hAnsi="仿宋" w:eastAsia="仿宋" w:cs="宋体"/>
          <w:color w:val="000000"/>
          <w:sz w:val="24"/>
          <w:highlight w:val="none"/>
        </w:rPr>
        <w:t>.3</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小组对供应商递交的澄清、说明或补正有疑问的，可以要求供应商进一步澄清、说明或者补正，直至满足</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小组的要求。拒不按要求进行澄清、说明或者补正的供应商</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比选</w:t>
      </w:r>
      <w:r>
        <w:rPr>
          <w:rFonts w:hint="eastAsia" w:ascii="仿宋" w:hAnsi="仿宋" w:eastAsia="仿宋" w:cs="仿宋"/>
          <w:b/>
          <w:bCs/>
          <w:sz w:val="24"/>
          <w:highlight w:val="none"/>
        </w:rPr>
        <w:t>小组有权对其响应做否决处理。</w:t>
      </w:r>
    </w:p>
    <w:p>
      <w:pPr>
        <w:widowControl/>
        <w:spacing w:line="360" w:lineRule="auto"/>
        <w:rPr>
          <w:rFonts w:hint="eastAsia"/>
          <w:highlight w:val="none"/>
        </w:rPr>
      </w:pPr>
      <w:r>
        <w:rPr>
          <w:rFonts w:hint="eastAsia" w:ascii="仿宋" w:hAnsi="仿宋" w:eastAsia="仿宋" w:cs="宋体"/>
          <w:color w:val="000000"/>
          <w:sz w:val="24"/>
          <w:highlight w:val="none"/>
        </w:rPr>
        <w:t>18</w:t>
      </w:r>
      <w:r>
        <w:rPr>
          <w:rFonts w:ascii="仿宋" w:hAnsi="仿宋" w:eastAsia="仿宋" w:cs="宋体"/>
          <w:color w:val="000000"/>
          <w:sz w:val="24"/>
          <w:highlight w:val="none"/>
        </w:rPr>
        <w:t>.4</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小组必要时可以要求供应商提交有关证明和证件的原件，以便核验。拒不按要求提供原件的供应商，</w:t>
      </w:r>
      <w:r>
        <w:rPr>
          <w:rFonts w:hint="eastAsia" w:ascii="仿宋" w:hAnsi="仿宋" w:eastAsia="仿宋" w:cs="仿宋"/>
          <w:b/>
          <w:bCs/>
          <w:sz w:val="24"/>
          <w:highlight w:val="none"/>
          <w:lang w:eastAsia="zh-CN"/>
        </w:rPr>
        <w:t>比选</w:t>
      </w:r>
      <w:r>
        <w:rPr>
          <w:rFonts w:hint="eastAsia" w:ascii="仿宋" w:hAnsi="仿宋" w:eastAsia="仿宋" w:cs="仿宋"/>
          <w:b/>
          <w:bCs/>
          <w:sz w:val="24"/>
          <w:highlight w:val="none"/>
        </w:rPr>
        <w:t>小组有权对其响应做否决处理。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程序</w:t>
      </w:r>
    </w:p>
    <w:p>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19</w:t>
      </w: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小组所有成员应当集中与通过初步评审的单一供应商分别进行</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，并给予所有参加</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的供应商平等的</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机会。供应商</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顺序、</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形式以及其他要求等</w:t>
      </w:r>
      <w:r>
        <w:rPr>
          <w:rFonts w:hint="eastAsia" w:ascii="仿宋" w:hAnsi="仿宋" w:eastAsia="仿宋" w:cs="仿宋"/>
          <w:color w:val="000000"/>
          <w:sz w:val="24"/>
          <w:highlight w:val="none"/>
          <w:u w:val="single"/>
        </w:rPr>
        <w:t>详见本须知前附表。</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19.2</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小组与供应商就</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文件中的价格、商务内容、技术内容或有待供应商进一步明确的内容等进行一对一</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，并要求实质性响应的供应商提交最终报价。具体</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19.3</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小组可视情况要求供应商进行多轮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及报价。</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中，任何一方不得向第三方透露与</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有关的任何信息。</w:t>
      </w:r>
      <w:bookmarkEnd w:id="104"/>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19.4各轮报价有算术错误的，</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小组按照以下原则对报价进行修正，修正的价格经供应商书面确认后具有约束力。供应商不接受或不确认修正后价格的，</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bookmarkEnd w:id="103"/>
    </w:p>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.详细评审</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小组采用综合评分法对提交最终报价的供应商的响应文件及其最终报价进行综合评分。综合评分法，是指响应文件满足</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文件全部实质性要求且按评审因素的量化指标评审得分最高的供应商为成交候选人的评审方法。</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文件中没有规定的评审标准不得作为评审依据。</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.2发生以下情形之一的，原则上做终止采购处理：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（3）成交人为N家（1＜N≤3）的项目，有效供应商少于2N家（不含本数）；成交人为N家（N＞3）的项目，有效供应商少于1.5N家（不含本数）。 </w:t>
      </w:r>
    </w:p>
    <w:p>
      <w:pPr>
        <w:widowControl/>
        <w:spacing w:line="360" w:lineRule="auto"/>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sz w:val="24"/>
          <w:highlight w:val="none"/>
        </w:rPr>
        <w:t>成交候选人的经营、财务状况发生较大变化或者存在违法行为，采购人认为可能影响其履约能力的，应当在发出成交通知书前由原</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小组会按照</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文件规定的标准和方法审查确认。</w:t>
      </w:r>
    </w:p>
    <w:p>
      <w:pPr>
        <w:pStyle w:val="5"/>
        <w:spacing w:before="0" w:after="0" w:line="360" w:lineRule="auto"/>
        <w:ind w:firstLine="482"/>
        <w:rPr>
          <w:rFonts w:hint="eastAsia" w:ascii="仿宋" w:hAnsi="仿宋" w:eastAsia="仿宋" w:cs="仿宋"/>
          <w:color w:val="000000"/>
          <w:sz w:val="24"/>
          <w:szCs w:val="24"/>
          <w:highlight w:val="none"/>
        </w:rPr>
      </w:pPr>
      <w:bookmarkStart w:id="105" w:name="_Toc2322"/>
      <w:bookmarkStart w:id="106" w:name="_Toc444891342"/>
      <w:bookmarkStart w:id="107" w:name="_Toc19451"/>
      <w:bookmarkStart w:id="108" w:name="_Toc234223231"/>
      <w:bookmarkStart w:id="109" w:name="_Toc16781"/>
      <w:bookmarkStart w:id="110" w:name="_Toc517281822"/>
      <w:bookmarkStart w:id="111" w:name="_Toc9911"/>
      <w:bookmarkStart w:id="112" w:name="_Toc287600124"/>
      <w:bookmarkStart w:id="113" w:name="_Toc13936"/>
      <w:bookmarkStart w:id="114" w:name="_Toc28031"/>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pPr>
        <w:pStyle w:val="6"/>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rPr>
        <w:t>成交人</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21.1</w:t>
      </w:r>
      <w:r>
        <w:rPr>
          <w:rFonts w:hint="eastAsia" w:ascii="仿宋" w:hAnsi="仿宋" w:eastAsia="仿宋" w:cs="仿宋"/>
          <w:color w:val="000000"/>
          <w:sz w:val="24"/>
          <w:highlight w:val="none"/>
        </w:rPr>
        <w:t>采购人依据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widowControl/>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21.</w:t>
      </w:r>
      <w:r>
        <w:rPr>
          <w:rFonts w:hint="eastAsia" w:ascii="仿宋" w:hAnsi="仿宋" w:eastAsia="仿宋" w:cs="宋体"/>
          <w:color w:val="000000"/>
          <w:sz w:val="24"/>
          <w:highlight w:val="none"/>
          <w:lang w:val="en-US" w:eastAsia="zh-CN"/>
        </w:rPr>
        <w:t>2</w:t>
      </w:r>
      <w:r>
        <w:rPr>
          <w:rFonts w:hint="eastAsia" w:ascii="仿宋" w:hAnsi="仿宋" w:eastAsia="仿宋" w:cs="宋体"/>
          <w:color w:val="00000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sz w:val="24"/>
          <w:highlight w:val="none"/>
          <w:lang w:val="en-US" w:eastAsia="zh-CN"/>
        </w:rPr>
        <w:t>均</w:t>
      </w:r>
      <w:r>
        <w:rPr>
          <w:rFonts w:hint="eastAsia" w:ascii="仿宋" w:hAnsi="仿宋" w:eastAsia="仿宋" w:cs="宋体"/>
          <w:color w:val="000000"/>
          <w:sz w:val="24"/>
          <w:highlight w:val="none"/>
        </w:rPr>
        <w:t>具有法律效力。成交人收到成交通知书后放弃成交的，应当承担法律责任。</w:t>
      </w:r>
    </w:p>
    <w:p>
      <w:pPr>
        <w:pStyle w:val="6"/>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签订合同</w:t>
      </w:r>
    </w:p>
    <w:p>
      <w:pPr>
        <w:widowControl/>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2.1</w:t>
      </w:r>
      <w:r>
        <w:rPr>
          <w:rFonts w:hint="eastAsia" w:ascii="仿宋" w:hAnsi="仿宋" w:eastAsia="仿宋" w:cs="仿宋"/>
          <w:color w:val="000000"/>
          <w:sz w:val="24"/>
          <w:highlight w:val="none"/>
        </w:rPr>
        <w:t>采购人与成交人按照</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文件和成交人的响应文件</w:t>
      </w:r>
      <w:r>
        <w:rPr>
          <w:rFonts w:hint="eastAsia" w:ascii="仿宋" w:hAnsi="仿宋" w:eastAsia="仿宋" w:cs="宋体"/>
          <w:color w:val="000000"/>
          <w:sz w:val="24"/>
          <w:highlight w:val="none"/>
        </w:rPr>
        <w:t>订立书面合同。合同的标的、价款、质量、履行期限等主要条款应当与</w:t>
      </w:r>
      <w:r>
        <w:rPr>
          <w:rFonts w:hint="eastAsia" w:ascii="仿宋" w:hAnsi="仿宋" w:eastAsia="仿宋" w:cs="仿宋"/>
          <w:color w:val="000000"/>
          <w:sz w:val="24"/>
          <w:highlight w:val="none"/>
          <w:lang w:eastAsia="zh-CN"/>
        </w:rPr>
        <w:t>比选</w:t>
      </w:r>
      <w:r>
        <w:rPr>
          <w:rFonts w:hint="eastAsia" w:ascii="仿宋" w:hAnsi="仿宋" w:eastAsia="仿宋" w:cs="宋体"/>
          <w:color w:val="00000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sz w:val="24"/>
          <w:highlight w:val="none"/>
        </w:rPr>
        <w:t>文件的内容一致。</w:t>
      </w:r>
    </w:p>
    <w:p>
      <w:pPr>
        <w:widowControl/>
        <w:spacing w:line="360" w:lineRule="auto"/>
        <w:rPr>
          <w:rFonts w:hint="eastAsia" w:ascii="仿宋" w:hAnsi="仿宋" w:eastAsia="仿宋" w:cs="宋体"/>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2.2</w:t>
      </w:r>
      <w:r>
        <w:rPr>
          <w:rFonts w:hint="eastAsia" w:ascii="仿宋" w:hAnsi="仿宋" w:eastAsia="仿宋" w:cs="仿宋"/>
          <w:color w:val="000000"/>
          <w:sz w:val="24"/>
          <w:highlight w:val="none"/>
        </w:rPr>
        <w:t xml:space="preserve"> </w:t>
      </w:r>
      <w:r>
        <w:rPr>
          <w:rFonts w:hint="eastAsia" w:ascii="仿宋" w:hAnsi="仿宋" w:eastAsia="仿宋" w:cs="宋体"/>
          <w:color w:val="000000"/>
          <w:sz w:val="24"/>
          <w:highlight w:val="none"/>
        </w:rPr>
        <w:t>成交人无正当理由不与采购人订立合同，在签订合同时向采购人提出附加条件，将取消其成交资格。给采购人造成损失的，成交人应当予以赔偿。</w:t>
      </w:r>
    </w:p>
    <w:p>
      <w:pPr>
        <w:widowControl/>
        <w:spacing w:line="360" w:lineRule="auto"/>
        <w:rPr>
          <w:rFonts w:ascii="仿宋" w:hAnsi="仿宋" w:eastAsia="仿宋" w:cs="宋体"/>
          <w:color w:val="000000"/>
          <w:sz w:val="24"/>
          <w:highlight w:val="none"/>
        </w:rPr>
      </w:pPr>
      <w:r>
        <w:rPr>
          <w:rFonts w:ascii="仿宋" w:hAnsi="仿宋" w:eastAsia="仿宋" w:cs="宋体"/>
          <w:color w:val="000000"/>
          <w:sz w:val="24"/>
          <w:highlight w:val="none"/>
        </w:rPr>
        <w:t>22.3</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文件要求成交人提交履约保证金的，成交人应当按照</w:t>
      </w:r>
      <w:r>
        <w:rPr>
          <w:rFonts w:hint="eastAsia" w:ascii="仿宋" w:hAnsi="仿宋" w:eastAsia="仿宋" w:cs="宋体"/>
          <w:color w:val="000000"/>
          <w:sz w:val="24"/>
          <w:highlight w:val="none"/>
          <w:u w:val="single"/>
        </w:rPr>
        <w:t>本须知前附表</w:t>
      </w:r>
      <w:r>
        <w:rPr>
          <w:rFonts w:hint="eastAsia" w:ascii="仿宋" w:hAnsi="仿宋" w:eastAsia="仿宋" w:cs="宋体"/>
          <w:color w:val="000000"/>
          <w:sz w:val="24"/>
          <w:highlight w:val="none"/>
        </w:rPr>
        <w:t>要求的金额和方式递交。成交人如不按要求提交履约保证金，将取消其成交资格，</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保证金不予退还。</w:t>
      </w:r>
    </w:p>
    <w:p>
      <w:pPr>
        <w:widowControl/>
        <w:spacing w:line="360" w:lineRule="auto"/>
        <w:rPr>
          <w:rFonts w:ascii="仿宋" w:hAnsi="仿宋" w:eastAsia="仿宋" w:cs="宋体"/>
          <w:color w:val="000000"/>
          <w:sz w:val="24"/>
          <w:highlight w:val="none"/>
        </w:rPr>
      </w:pPr>
      <w:r>
        <w:rPr>
          <w:rFonts w:hint="eastAsia" w:ascii="仿宋" w:hAnsi="仿宋" w:eastAsia="仿宋" w:cs="宋体"/>
          <w:color w:val="000000"/>
          <w:sz w:val="24"/>
          <w:highlight w:val="none"/>
        </w:rPr>
        <w:t>22.4成交供应商</w:t>
      </w:r>
      <w:r>
        <w:rPr>
          <w:rFonts w:ascii="仿宋" w:hAnsi="仿宋" w:eastAsia="仿宋" w:cs="宋体"/>
          <w:color w:val="000000"/>
          <w:sz w:val="24"/>
          <w:highlight w:val="none"/>
        </w:rPr>
        <w:t>不履行与</w:t>
      </w:r>
      <w:r>
        <w:rPr>
          <w:rFonts w:hint="eastAsia" w:ascii="仿宋" w:hAnsi="仿宋" w:eastAsia="仿宋" w:cs="宋体"/>
          <w:color w:val="000000"/>
          <w:sz w:val="24"/>
          <w:highlight w:val="none"/>
        </w:rPr>
        <w:t>采购</w:t>
      </w:r>
      <w:r>
        <w:rPr>
          <w:rFonts w:ascii="仿宋" w:hAnsi="仿宋" w:eastAsia="仿宋" w:cs="宋体"/>
          <w:color w:val="000000"/>
          <w:sz w:val="24"/>
          <w:highlight w:val="none"/>
        </w:rPr>
        <w:t>人订立的合同的，</w:t>
      </w:r>
      <w:r>
        <w:rPr>
          <w:rFonts w:hint="eastAsia" w:ascii="仿宋" w:hAnsi="仿宋" w:eastAsia="仿宋" w:cs="宋体"/>
          <w:color w:val="000000"/>
          <w:sz w:val="24"/>
          <w:highlight w:val="none"/>
        </w:rPr>
        <w:t>履约</w:t>
      </w:r>
      <w:r>
        <w:rPr>
          <w:rFonts w:ascii="仿宋" w:hAnsi="仿宋" w:eastAsia="仿宋" w:cs="宋体"/>
          <w:color w:val="000000"/>
          <w:sz w:val="24"/>
          <w:highlight w:val="none"/>
        </w:rPr>
        <w:t>保证金不予退还，给</w:t>
      </w:r>
      <w:r>
        <w:rPr>
          <w:rFonts w:hint="eastAsia" w:ascii="仿宋" w:hAnsi="仿宋" w:eastAsia="仿宋" w:cs="宋体"/>
          <w:color w:val="000000"/>
          <w:sz w:val="24"/>
          <w:highlight w:val="none"/>
        </w:rPr>
        <w:t>采购</w:t>
      </w:r>
      <w:r>
        <w:rPr>
          <w:rFonts w:ascii="仿宋" w:hAnsi="仿宋" w:eastAsia="仿宋" w:cs="宋体"/>
          <w:color w:val="000000"/>
          <w:sz w:val="24"/>
          <w:highlight w:val="none"/>
        </w:rPr>
        <w:t>人造成的损失超过履约保证金数额的，还应当对超过部分予以赔偿；没有提交履约保证金的，应当对</w:t>
      </w:r>
      <w:r>
        <w:rPr>
          <w:rFonts w:hint="eastAsia" w:ascii="仿宋" w:hAnsi="仿宋" w:eastAsia="仿宋" w:cs="宋体"/>
          <w:color w:val="000000"/>
          <w:sz w:val="24"/>
          <w:highlight w:val="none"/>
        </w:rPr>
        <w:t>采购</w:t>
      </w:r>
      <w:r>
        <w:rPr>
          <w:rFonts w:ascii="仿宋" w:hAnsi="仿宋" w:eastAsia="仿宋" w:cs="宋体"/>
          <w:color w:val="000000"/>
          <w:sz w:val="24"/>
          <w:highlight w:val="none"/>
        </w:rPr>
        <w:t>人的损失承担赔偿责任。</w:t>
      </w:r>
    </w:p>
    <w:p>
      <w:pPr>
        <w:pStyle w:val="5"/>
        <w:spacing w:before="0" w:after="0" w:line="360" w:lineRule="auto"/>
        <w:ind w:firstLine="482"/>
        <w:jc w:val="both"/>
        <w:rPr>
          <w:rFonts w:hint="eastAsia" w:ascii="仿宋" w:hAnsi="仿宋" w:eastAsia="仿宋" w:cs="仿宋"/>
          <w:color w:val="000000"/>
          <w:sz w:val="24"/>
          <w:szCs w:val="24"/>
          <w:highlight w:val="none"/>
        </w:rPr>
      </w:pPr>
      <w:bookmarkStart w:id="116" w:name="_Toc6132"/>
      <w:bookmarkStart w:id="117" w:name="_Toc14533"/>
      <w:bookmarkStart w:id="118" w:name="_Toc234223235"/>
      <w:r>
        <w:rPr>
          <w:rFonts w:hint="eastAsia" w:ascii="仿宋" w:hAnsi="仿宋" w:eastAsia="仿宋" w:cs="仿宋"/>
          <w:color w:val="000000"/>
          <w:sz w:val="24"/>
          <w:szCs w:val="24"/>
          <w:highlight w:val="none"/>
        </w:rPr>
        <w:t>（七）其他</w:t>
      </w:r>
      <w:bookmarkEnd w:id="116"/>
      <w:bookmarkEnd w:id="117"/>
    </w:p>
    <w:p>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3</w:t>
      </w:r>
      <w:r>
        <w:rPr>
          <w:rFonts w:hint="eastAsia" w:ascii="仿宋" w:hAnsi="仿宋" w:eastAsia="仿宋" w:cs="仿宋"/>
          <w:bCs w:val="0"/>
          <w:color w:val="000000"/>
          <w:sz w:val="24"/>
          <w:szCs w:val="24"/>
          <w:highlight w:val="none"/>
        </w:rPr>
        <w:t>.采购代理服务费</w:t>
      </w:r>
      <w:bookmarkEnd w:id="118"/>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4.</w:t>
      </w:r>
      <w:r>
        <w:rPr>
          <w:rFonts w:hint="eastAsia" w:ascii="仿宋" w:hAnsi="仿宋" w:eastAsia="仿宋" w:cs="仿宋"/>
          <w:bCs w:val="0"/>
          <w:color w:val="000000"/>
          <w:sz w:val="24"/>
          <w:szCs w:val="24"/>
          <w:highlight w:val="none"/>
        </w:rPr>
        <w:t>其他情况</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rPr>
          <w:color w:val="000000"/>
          <w:highlight w:val="none"/>
        </w:rPr>
        <w:sectPr>
          <w:footerReference r:id="rId10" w:type="default"/>
          <w:pgSz w:w="11906" w:h="16838"/>
          <w:pgMar w:top="1417" w:right="1134" w:bottom="1134" w:left="1134" w:header="851" w:footer="992" w:gutter="0"/>
          <w:cols w:space="720" w:num="1"/>
        </w:sectPr>
      </w:pPr>
    </w:p>
    <w:p>
      <w:pPr>
        <w:pStyle w:val="3"/>
        <w:spacing w:before="0" w:after="0" w:line="360" w:lineRule="auto"/>
        <w:jc w:val="center"/>
        <w:rPr>
          <w:rFonts w:hint="eastAsia" w:ascii="仿宋" w:hAnsi="仿宋" w:eastAsia="仿宋" w:cs="仿宋"/>
          <w:color w:val="000000"/>
          <w:sz w:val="28"/>
          <w:szCs w:val="28"/>
          <w:highlight w:val="none"/>
        </w:rPr>
      </w:pPr>
      <w:bookmarkStart w:id="119" w:name="_Toc10670"/>
      <w:bookmarkStart w:id="120" w:name="_Toc517281824"/>
      <w:bookmarkStart w:id="121" w:name="_Toc444891343"/>
      <w:r>
        <w:rPr>
          <w:rFonts w:hint="eastAsia" w:ascii="仿宋" w:hAnsi="仿宋" w:eastAsia="仿宋" w:cs="仿宋"/>
          <w:color w:val="000000"/>
          <w:sz w:val="28"/>
          <w:szCs w:val="28"/>
          <w:highlight w:val="none"/>
        </w:rPr>
        <w:t>第三章 评审办法</w:t>
      </w:r>
      <w:bookmarkEnd w:id="119"/>
    </w:p>
    <w:p>
      <w:pPr>
        <w:pStyle w:val="4"/>
        <w:ind w:firstLine="0"/>
        <w:jc w:val="left"/>
        <w:rPr>
          <w:rFonts w:hint="eastAsia" w:ascii="仿宋" w:hAnsi="仿宋" w:eastAsia="仿宋" w:cs="仿宋"/>
          <w:color w:val="000000"/>
          <w:sz w:val="24"/>
          <w:szCs w:val="24"/>
          <w:highlight w:val="none"/>
        </w:rPr>
      </w:pPr>
      <w:bookmarkStart w:id="122" w:name="_Toc444891344"/>
      <w:bookmarkStart w:id="123" w:name="_Toc7201"/>
      <w:bookmarkStart w:id="124" w:name="_Toc517281825"/>
      <w:bookmarkStart w:id="125" w:name="_Toc227057964"/>
      <w:bookmarkStart w:id="126" w:name="_Toc226969358"/>
      <w:r>
        <w:rPr>
          <w:rFonts w:hint="eastAsia" w:ascii="仿宋" w:hAnsi="仿宋" w:eastAsia="仿宋" w:cs="仿宋"/>
          <w:color w:val="000000"/>
          <w:sz w:val="24"/>
          <w:szCs w:val="24"/>
          <w:highlight w:val="none"/>
        </w:rPr>
        <w:t>一、评审程序</w:t>
      </w:r>
      <w:bookmarkEnd w:id="122"/>
      <w:bookmarkEnd w:id="123"/>
      <w:bookmarkEnd w:id="124"/>
    </w:p>
    <w:p>
      <w:pPr>
        <w:spacing w:line="360" w:lineRule="auto"/>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小组对响应文件中的相关内容进行评审。评审按照以下程序进行：</w:t>
      </w:r>
    </w:p>
    <w:p>
      <w:pPr>
        <w:spacing w:line="360" w:lineRule="auto"/>
        <w:ind w:firstLine="420"/>
        <w:jc w:val="left"/>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熟悉</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p>
    <w:p>
      <w:pPr>
        <w:spacing w:line="360" w:lineRule="auto"/>
        <w:ind w:firstLine="420"/>
        <w:jc w:val="left"/>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对响应文件进行初步评审，检查响应文件是否满足</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文件的初审要求；初步评审中不符合评审标准的，将做否决</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响应处理；</w:t>
      </w:r>
    </w:p>
    <w:p>
      <w:pPr>
        <w:spacing w:line="360" w:lineRule="auto"/>
        <w:ind w:firstLine="42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供应商有以下情形之一的，</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小组应当否决其</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响应：</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（1）按照</w:t>
      </w:r>
      <w:r>
        <w:rPr>
          <w:rFonts w:hint="eastAsia" w:ascii="仿宋" w:hAnsi="仿宋" w:eastAsia="仿宋" w:cs="仿宋"/>
          <w:sz w:val="24"/>
          <w:highlight w:val="none"/>
          <w:lang w:val="en-US" w:eastAsia="zh-CN"/>
        </w:rPr>
        <w:t>比选</w:t>
      </w:r>
      <w:r>
        <w:rPr>
          <w:rFonts w:hint="eastAsia" w:ascii="仿宋" w:hAnsi="仿宋" w:eastAsia="仿宋" w:cs="仿宋"/>
          <w:sz w:val="24"/>
          <w:highlight w:val="none"/>
        </w:rPr>
        <w:t>公告要求已经递交电子</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w:t>
      </w:r>
      <w:r>
        <w:rPr>
          <w:rFonts w:hint="eastAsia" w:ascii="仿宋" w:hAnsi="仿宋" w:eastAsia="仿宋" w:cs="仿宋"/>
          <w:sz w:val="24"/>
          <w:highlight w:val="none"/>
          <w:lang w:val="en-US" w:eastAsia="zh-CN"/>
        </w:rPr>
        <w:t>但</w:t>
      </w:r>
      <w:r>
        <w:rPr>
          <w:rFonts w:hint="eastAsia" w:ascii="仿宋" w:hAnsi="仿宋" w:eastAsia="仿宋" w:cs="仿宋"/>
          <w:sz w:val="24"/>
          <w:highlight w:val="none"/>
        </w:rPr>
        <w:t>未按要求递交纸质响应文件；</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（2）响应文件未经供应商盖章和单位负责人签字；</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（3）允许联合体响应的，联合体没有递交共同响应协议；</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（4）不符合国家或者</w:t>
      </w:r>
      <w:r>
        <w:rPr>
          <w:rFonts w:hint="eastAsia" w:ascii="仿宋" w:hAnsi="仿宋" w:eastAsia="仿宋" w:cs="仿宋"/>
          <w:sz w:val="24"/>
          <w:highlight w:val="none"/>
          <w:lang w:eastAsia="zh-CN"/>
        </w:rPr>
        <w:t>比选</w:t>
      </w:r>
      <w:r>
        <w:rPr>
          <w:rFonts w:hint="eastAsia" w:ascii="仿宋" w:hAnsi="仿宋" w:eastAsia="仿宋" w:cs="仿宋"/>
          <w:sz w:val="24"/>
          <w:highlight w:val="none"/>
        </w:rPr>
        <w:t>文件规定的资格条件；</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（5）同一供应商提交两个以上不同的响应文件或者响应报价，但</w:t>
      </w:r>
      <w:r>
        <w:rPr>
          <w:rFonts w:hint="eastAsia" w:ascii="仿宋" w:hAnsi="仿宋" w:eastAsia="仿宋" w:cs="仿宋"/>
          <w:sz w:val="24"/>
          <w:highlight w:val="none"/>
          <w:lang w:eastAsia="zh-CN"/>
        </w:rPr>
        <w:t>比选</w:t>
      </w:r>
      <w:r>
        <w:rPr>
          <w:rFonts w:hint="eastAsia" w:ascii="仿宋" w:hAnsi="仿宋" w:eastAsia="仿宋" w:cs="仿宋"/>
          <w:sz w:val="24"/>
          <w:highlight w:val="none"/>
        </w:rPr>
        <w:t>文件要求提交备选文件的除外；</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6</w:t>
      </w:r>
      <w:r>
        <w:rPr>
          <w:rFonts w:hint="eastAsia" w:ascii="仿宋" w:hAnsi="仿宋" w:eastAsia="仿宋" w:cs="仿宋"/>
          <w:sz w:val="24"/>
          <w:highlight w:val="none"/>
          <w:lang w:eastAsia="zh-CN"/>
        </w:rPr>
        <w:t>）</w:t>
      </w:r>
      <w:r>
        <w:rPr>
          <w:rFonts w:hint="eastAsia" w:ascii="仿宋" w:hAnsi="仿宋" w:eastAsia="仿宋" w:cs="宋体"/>
          <w:color w:val="000000"/>
          <w:sz w:val="24"/>
          <w:szCs w:val="24"/>
          <w:highlight w:val="none"/>
          <w:lang w:val="en-US" w:eastAsia="zh-CN"/>
        </w:rPr>
        <w:t>最终</w:t>
      </w:r>
      <w:r>
        <w:rPr>
          <w:rFonts w:hint="eastAsia" w:ascii="仿宋" w:hAnsi="仿宋" w:eastAsia="仿宋" w:cs="宋体"/>
          <w:color w:val="000000"/>
          <w:sz w:val="24"/>
          <w:szCs w:val="24"/>
          <w:highlight w:val="none"/>
        </w:rPr>
        <w:t>报价低于成本或者高于</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文件设定的最高投标限价；</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（7）</w:t>
      </w:r>
      <w:r>
        <w:rPr>
          <w:rFonts w:hint="eastAsia" w:ascii="仿宋" w:hAnsi="仿宋" w:eastAsia="仿宋" w:cs="宋体"/>
          <w:color w:val="000000"/>
          <w:sz w:val="24"/>
          <w:szCs w:val="24"/>
          <w:highlight w:val="none"/>
          <w:lang w:val="en-US" w:eastAsia="zh-CN"/>
        </w:rPr>
        <w:t>响应</w:t>
      </w:r>
      <w:r>
        <w:rPr>
          <w:rFonts w:hint="eastAsia" w:ascii="仿宋" w:hAnsi="仿宋" w:eastAsia="仿宋" w:cs="宋体"/>
          <w:color w:val="000000"/>
          <w:sz w:val="24"/>
          <w:szCs w:val="24"/>
          <w:highlight w:val="none"/>
        </w:rPr>
        <w:t>文件未对</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 xml:space="preserve">文件的实质性要求和条件作出响应； </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（8）</w:t>
      </w:r>
      <w:r>
        <w:rPr>
          <w:rFonts w:hint="eastAsia" w:ascii="仿宋" w:hAnsi="仿宋" w:eastAsia="仿宋" w:cs="宋体"/>
          <w:color w:val="000000"/>
          <w:sz w:val="24"/>
          <w:szCs w:val="24"/>
          <w:highlight w:val="none"/>
          <w:lang w:val="en-US" w:eastAsia="zh-CN"/>
        </w:rPr>
        <w:t>供应商</w:t>
      </w:r>
      <w:r>
        <w:rPr>
          <w:rFonts w:hint="eastAsia" w:ascii="仿宋" w:hAnsi="仿宋" w:eastAsia="仿宋" w:cs="宋体"/>
          <w:color w:val="000000"/>
          <w:sz w:val="24"/>
          <w:szCs w:val="24"/>
          <w:highlight w:val="none"/>
        </w:rPr>
        <w:t>有串通投标、弄虚作假、行贿等违法行为；</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（9）不接受或不确认因算术性错误进行的价格修正；</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（10）</w:t>
      </w:r>
      <w:r>
        <w:rPr>
          <w:rFonts w:hint="eastAsia" w:ascii="仿宋" w:hAnsi="仿宋" w:eastAsia="仿宋" w:cs="宋体"/>
          <w:color w:val="000000"/>
          <w:sz w:val="24"/>
          <w:szCs w:val="24"/>
          <w:highlight w:val="none"/>
          <w:lang w:val="en-US" w:eastAsia="zh-CN"/>
        </w:rPr>
        <w:t>响应</w:t>
      </w:r>
      <w:r>
        <w:rPr>
          <w:rFonts w:hint="eastAsia" w:ascii="仿宋" w:hAnsi="仿宋" w:eastAsia="仿宋" w:cs="宋体"/>
          <w:color w:val="000000"/>
          <w:sz w:val="24"/>
          <w:szCs w:val="24"/>
          <w:highlight w:val="none"/>
        </w:rPr>
        <w:t>文件附有</w:t>
      </w:r>
      <w:r>
        <w:rPr>
          <w:rFonts w:hint="eastAsia" w:ascii="仿宋" w:hAnsi="仿宋" w:eastAsia="仿宋" w:cs="宋体"/>
          <w:color w:val="000000"/>
          <w:sz w:val="24"/>
          <w:szCs w:val="24"/>
          <w:highlight w:val="none"/>
          <w:lang w:val="en-US" w:eastAsia="zh-CN"/>
        </w:rPr>
        <w:t>采购</w:t>
      </w:r>
      <w:r>
        <w:rPr>
          <w:rFonts w:hint="eastAsia" w:ascii="仿宋" w:hAnsi="仿宋" w:eastAsia="仿宋" w:cs="宋体"/>
          <w:color w:val="000000"/>
          <w:sz w:val="24"/>
          <w:szCs w:val="24"/>
          <w:highlight w:val="none"/>
        </w:rPr>
        <w:t>人不能接受的条件；</w:t>
      </w:r>
    </w:p>
    <w:p>
      <w:pPr>
        <w:spacing w:line="360" w:lineRule="auto"/>
        <w:ind w:firstLine="420"/>
        <w:jc w:val="lef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（11）不符合</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文件中规定的其他实质性要求。</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color w:val="000000"/>
          <w:sz w:val="24"/>
          <w:highlight w:val="none"/>
          <w:lang w:val="en-US" w:eastAsia="zh-CN"/>
        </w:rPr>
        <w:t>4.初步评审</w:t>
      </w:r>
      <w:r>
        <w:rPr>
          <w:rFonts w:hint="eastAsia" w:ascii="仿宋" w:hAnsi="仿宋" w:eastAsia="仿宋" w:cs="仿宋"/>
          <w:color w:val="000000"/>
          <w:sz w:val="24"/>
          <w:highlight w:val="none"/>
          <w:lang w:val="zh-CN" w:eastAsia="zh-CN"/>
        </w:rPr>
        <w:t>内容允许在比选过程中按比选小组规定的时间内补充，若未在规定时间内补充则将导致响应无效。</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通过初步评审的供应商分别进行</w:t>
      </w:r>
      <w:r>
        <w:rPr>
          <w:rFonts w:hint="eastAsia" w:ascii="仿宋" w:hAnsi="仿宋" w:eastAsia="仿宋" w:cs="仿宋"/>
          <w:sz w:val="24"/>
          <w:highlight w:val="none"/>
          <w:lang w:eastAsia="zh-CN"/>
        </w:rPr>
        <w:t>比选</w:t>
      </w:r>
      <w:r>
        <w:rPr>
          <w:rFonts w:hint="eastAsia" w:ascii="仿宋" w:hAnsi="仿宋" w:eastAsia="仿宋" w:cs="仿宋"/>
          <w:sz w:val="24"/>
          <w:highlight w:val="none"/>
        </w:rPr>
        <w:t>；</w:t>
      </w:r>
    </w:p>
    <w:p>
      <w:pPr>
        <w:spacing w:line="360" w:lineRule="auto"/>
        <w:ind w:firstLine="420"/>
        <w:jc w:val="left"/>
        <w:rPr>
          <w:rFonts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通过初步评审的供应商进行最终报价；</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7.</w:t>
      </w:r>
      <w:r>
        <w:rPr>
          <w:rFonts w:hint="eastAsia" w:ascii="仿宋" w:hAnsi="仿宋" w:eastAsia="仿宋" w:cs="仿宋"/>
          <w:sz w:val="24"/>
          <w:highlight w:val="none"/>
        </w:rPr>
        <w:t>通过初步评审的响应文件进行详细评审及打分；</w:t>
      </w:r>
    </w:p>
    <w:p>
      <w:pPr>
        <w:spacing w:line="360" w:lineRule="auto"/>
        <w:ind w:firstLine="420"/>
        <w:jc w:val="left"/>
        <w:rPr>
          <w:rFonts w:hint="eastAsia" w:ascii="仿宋" w:hAnsi="仿宋" w:eastAsia="仿宋" w:cs="仿宋"/>
          <w:sz w:val="24"/>
          <w:highlight w:val="none"/>
        </w:rPr>
      </w:pPr>
      <w:r>
        <w:rPr>
          <w:rFonts w:hint="eastAsia" w:ascii="仿宋" w:hAnsi="仿宋" w:eastAsia="仿宋" w:cs="仿宋"/>
          <w:sz w:val="24"/>
          <w:highlight w:val="none"/>
        </w:rPr>
        <w:t>①商务技术评审得分计算：商务技术同一评分项各评委打分的算术平均值合计为该供应商的商务技术总分（四舍五入精确到小数点后两位）；</w:t>
      </w:r>
      <w:r>
        <w:rPr>
          <w:rFonts w:hint="eastAsia" w:ascii="仿宋" w:hAnsi="仿宋" w:eastAsia="仿宋" w:cs="仿宋"/>
          <w:sz w:val="24"/>
          <w:highlight w:val="none"/>
        </w:rPr>
        <w:br w:type="textWrapping"/>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②价格评审得分计算：见《第三章 评审办法》三、详细评审-价格得分；</w:t>
      </w:r>
      <w:r>
        <w:rPr>
          <w:rFonts w:hint="eastAsia" w:ascii="仿宋" w:hAnsi="仿宋" w:eastAsia="仿宋" w:cs="仿宋"/>
          <w:sz w:val="24"/>
          <w:highlight w:val="none"/>
        </w:rPr>
        <w:br w:type="textWrapping"/>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③评审总得分=商务技术评审得分＋价格评审得分（四舍五入精确到小数点后两位）。</w:t>
      </w:r>
    </w:p>
    <w:p>
      <w:pPr>
        <w:spacing w:line="360" w:lineRule="auto"/>
        <w:ind w:firstLine="420"/>
        <w:jc w:val="left"/>
        <w:rPr>
          <w:rFonts w:hint="eastAsia" w:ascii="仿宋" w:hAnsi="仿宋" w:eastAsia="仿宋" w:cs="仿宋"/>
          <w:color w:val="000000"/>
          <w:sz w:val="24"/>
          <w:highlight w:val="none"/>
        </w:rPr>
      </w:pPr>
      <w:r>
        <w:rPr>
          <w:rFonts w:hint="eastAsia" w:ascii="仿宋" w:hAnsi="仿宋" w:eastAsia="仿宋" w:cs="仿宋"/>
          <w:sz w:val="24"/>
          <w:highlight w:val="none"/>
          <w:lang w:val="en-US" w:eastAsia="zh-CN"/>
        </w:rPr>
        <w:t>8.</w:t>
      </w:r>
      <w:r>
        <w:rPr>
          <w:rFonts w:hint="eastAsia" w:ascii="仿宋" w:hAnsi="仿宋" w:eastAsia="仿宋" w:cs="仿宋"/>
          <w:sz w:val="24"/>
          <w:highlight w:val="none"/>
        </w:rPr>
        <w:t>按照综合评分由高到低的次序推荐成交候选人，提交评审报告，评审报告应</w:t>
      </w:r>
      <w:r>
        <w:rPr>
          <w:rFonts w:hint="eastAsia" w:ascii="仿宋" w:hAnsi="仿宋" w:eastAsia="仿宋" w:cs="仿宋"/>
          <w:color w:val="000000"/>
          <w:sz w:val="24"/>
          <w:highlight w:val="none"/>
        </w:rPr>
        <w:t>包含评审情况说明、排名次序、推荐成交候选人名单及其他说明事项。</w:t>
      </w:r>
    </w:p>
    <w:p>
      <w:pPr>
        <w:pStyle w:val="4"/>
        <w:ind w:firstLine="0"/>
        <w:jc w:val="left"/>
        <w:rPr>
          <w:rFonts w:hint="eastAsia" w:ascii="仿宋" w:hAnsi="仿宋" w:eastAsia="仿宋" w:cs="仿宋"/>
          <w:color w:val="000000"/>
          <w:sz w:val="24"/>
          <w:szCs w:val="24"/>
          <w:highlight w:val="none"/>
        </w:rPr>
      </w:pPr>
      <w:bookmarkStart w:id="127" w:name="_Toc444891345"/>
      <w:bookmarkStart w:id="128" w:name="_Toc517281826"/>
      <w:r>
        <w:rPr>
          <w:rFonts w:hint="eastAsia" w:ascii="仿宋" w:hAnsi="仿宋" w:eastAsia="仿宋" w:cs="仿宋"/>
          <w:color w:val="000000"/>
          <w:sz w:val="24"/>
          <w:szCs w:val="24"/>
          <w:highlight w:val="none"/>
        </w:rPr>
        <w:br w:type="page" w:clear="all"/>
      </w:r>
      <w:bookmarkStart w:id="129" w:name="_Toc32019"/>
      <w:r>
        <w:rPr>
          <w:rFonts w:hint="eastAsia" w:ascii="仿宋" w:hAnsi="仿宋" w:eastAsia="仿宋" w:cs="仿宋"/>
          <w:color w:val="000000"/>
          <w:sz w:val="24"/>
          <w:szCs w:val="24"/>
          <w:highlight w:val="none"/>
        </w:rPr>
        <w:t>二、初步评审</w:t>
      </w:r>
      <w:bookmarkEnd w:id="125"/>
      <w:bookmarkEnd w:id="126"/>
      <w:bookmarkEnd w:id="127"/>
      <w:bookmarkEnd w:id="128"/>
      <w:bookmarkEnd w:id="129"/>
    </w:p>
    <w:tbl>
      <w:tblPr>
        <w:tblStyle w:val="44"/>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0"/>
        <w:gridCol w:w="1167"/>
        <w:gridCol w:w="1952"/>
        <w:gridCol w:w="607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noWrap w:val="0"/>
            <w:vAlign w:val="center"/>
          </w:tcPr>
          <w:p>
            <w:pPr>
              <w:widowControl/>
              <w:spacing w:line="360" w:lineRule="auto"/>
              <w:jc w:val="center"/>
              <w:rPr>
                <w:rFonts w:hint="eastAsia" w:ascii="仿宋" w:hAnsi="仿宋" w:eastAsia="仿宋" w:cs="仿宋"/>
                <w:b/>
                <w:color w:val="000000"/>
                <w:szCs w:val="21"/>
                <w:highlight w:val="none"/>
              </w:rPr>
            </w:pPr>
            <w:bookmarkStart w:id="130" w:name="_Toc426620345"/>
            <w:bookmarkStart w:id="131" w:name="_Toc9003"/>
            <w:bookmarkStart w:id="132" w:name="_Toc517281827"/>
            <w:bookmarkStart w:id="133" w:name="_Toc4633"/>
            <w:bookmarkStart w:id="134" w:name="_Toc13468"/>
            <w:bookmarkStart w:id="135" w:name="_Toc444891346"/>
            <w:r>
              <w:rPr>
                <w:rFonts w:hint="eastAsia" w:ascii="仿宋" w:hAnsi="仿宋" w:eastAsia="仿宋" w:cs="仿宋"/>
                <w:b/>
                <w:color w:val="000000"/>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评审环节</w:t>
            </w:r>
          </w:p>
        </w:tc>
        <w:tc>
          <w:tcPr>
            <w:tcW w:w="990" w:type="pct"/>
            <w:noWrap w:val="0"/>
            <w:vAlign w:val="center"/>
          </w:tcPr>
          <w:p>
            <w:pPr>
              <w:widowControl/>
              <w:spacing w:before="24" w:after="24"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评审因素</w:t>
            </w:r>
          </w:p>
        </w:tc>
        <w:tc>
          <w:tcPr>
            <w:tcW w:w="3081" w:type="pct"/>
            <w:noWrap w:val="0"/>
            <w:vAlign w:val="center"/>
          </w:tcPr>
          <w:p>
            <w:pPr>
              <w:widowControl/>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restart"/>
            <w:noWrap w:val="0"/>
            <w:vAlign w:val="center"/>
          </w:tcPr>
          <w:p>
            <w:pPr>
              <w:widowControl/>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3081"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pacing w:val="-4"/>
                <w:szCs w:val="21"/>
                <w:highlight w:val="none"/>
              </w:rPr>
            </w:pPr>
            <w:r>
              <w:rPr>
                <w:rFonts w:hint="eastAsia" w:ascii="仿宋" w:hAnsi="仿宋" w:eastAsia="仿宋" w:cs="仿宋"/>
                <w:color w:val="000000"/>
                <w:szCs w:val="21"/>
                <w:highlight w:val="none"/>
              </w:rPr>
              <w:t>法定代表人（负责人）身份证明</w:t>
            </w:r>
          </w:p>
        </w:tc>
        <w:tc>
          <w:tcPr>
            <w:tcW w:w="3081" w:type="pct"/>
            <w:noWrap w:val="0"/>
            <w:vAlign w:val="center"/>
          </w:tcPr>
          <w:p>
            <w:pPr>
              <w:pStyle w:val="328"/>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291"/>
              <w:tabs>
                <w:tab w:val="left" w:pos="630"/>
              </w:tabs>
              <w:spacing w:before="62" w:after="62"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81" w:type="pct"/>
            <w:noWrap w:val="0"/>
            <w:vAlign w:val="center"/>
          </w:tcPr>
          <w:p>
            <w:pPr>
              <w:pStyle w:val="328"/>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328"/>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响应文件签字或盖章</w:t>
            </w:r>
          </w:p>
        </w:tc>
        <w:tc>
          <w:tcPr>
            <w:tcW w:w="3081" w:type="pct"/>
            <w:noWrap w:val="0"/>
            <w:vAlign w:val="center"/>
          </w:tcPr>
          <w:p>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310"/>
              <w:spacing w:before="62" w:after="62"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restart"/>
            <w:noWrap w:val="0"/>
            <w:vAlign w:val="center"/>
          </w:tcPr>
          <w:p>
            <w:pPr>
              <w:widowControl/>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3081"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3081"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3081"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3081"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FF0000"/>
                <w:szCs w:val="21"/>
                <w:highlight w:val="none"/>
                <w:lang w:val="en-US" w:eastAsia="zh-CN"/>
              </w:rPr>
            </w:pPr>
            <w:r>
              <w:rPr>
                <w:rFonts w:hint="default" w:ascii="仿宋" w:hAnsi="仿宋" w:eastAsia="仿宋" w:cs="仿宋"/>
                <w:color w:val="auto"/>
                <w:szCs w:val="21"/>
                <w:highlight w:val="none"/>
                <w:lang w:val="en-US" w:eastAsia="zh-CN"/>
              </w:rPr>
              <w:t>不接受联合体比选响应</w:t>
            </w:r>
          </w:p>
        </w:tc>
        <w:tc>
          <w:tcPr>
            <w:tcW w:w="3081"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restart"/>
            <w:noWrap w:val="0"/>
            <w:vAlign w:val="center"/>
          </w:tcPr>
          <w:p>
            <w:pPr>
              <w:widowControl/>
              <w:spacing w:line="360" w:lineRule="auto"/>
              <w:jc w:val="center"/>
              <w:rPr>
                <w:rFonts w:hint="eastAsia" w:ascii="仿宋" w:hAnsi="仿宋" w:eastAsia="仿宋" w:cs="仿宋"/>
                <w:color w:val="000000"/>
                <w:szCs w:val="21"/>
                <w:highlight w:val="none"/>
              </w:rPr>
            </w:pPr>
            <w:r>
              <w:rPr>
                <w:rFonts w:ascii="仿宋" w:hAnsi="仿宋" w:eastAsia="仿宋" w:cs="仿宋"/>
                <w:color w:val="000000"/>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响应性评审标准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81"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081" w:type="pct"/>
            <w:noWrap w:val="0"/>
            <w:vAlign w:val="center"/>
          </w:tcPr>
          <w:p>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5" w:type="pct"/>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81" w:type="pct"/>
            <w:noWrap w:val="0"/>
            <w:vAlign w:val="center"/>
          </w:tcPr>
          <w:p>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bl>
    <w:p>
      <w:pPr>
        <w:pStyle w:val="4"/>
        <w:ind w:firstLine="42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clear="all"/>
      </w:r>
      <w:bookmarkStart w:id="136" w:name="_Toc25550"/>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30"/>
      <w:bookmarkEnd w:id="131"/>
      <w:bookmarkEnd w:id="132"/>
      <w:bookmarkEnd w:id="133"/>
      <w:bookmarkEnd w:id="134"/>
      <w:bookmarkEnd w:id="135"/>
      <w:r>
        <w:rPr>
          <w:rFonts w:hint="eastAsia" w:ascii="仿宋" w:hAnsi="仿宋" w:eastAsia="仿宋" w:cs="仿宋"/>
          <w:color w:val="000000"/>
          <w:sz w:val="24"/>
          <w:szCs w:val="24"/>
          <w:highlight w:val="none"/>
        </w:rPr>
        <w:t>详细评审</w:t>
      </w:r>
      <w:bookmarkEnd w:id="136"/>
    </w:p>
    <w:tbl>
      <w:tblPr>
        <w:tblStyle w:val="44"/>
        <w:tblW w:w="94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47"/>
        <w:gridCol w:w="1200"/>
        <w:gridCol w:w="6095"/>
        <w:gridCol w:w="11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tcBorders>
              <w:top w:val="single" w:color="000000" w:sz="8" w:space="0"/>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spacing w:line="480" w:lineRule="auto"/>
              <w:jc w:val="center"/>
              <w:rPr>
                <w:rFonts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sz w:val="21"/>
                <w:szCs w:val="21"/>
                <w:u w:val="none"/>
                <w:lang w:val="en-US" w:eastAsia="zh-CN" w:bidi="ar"/>
              </w:rPr>
              <w:t>类别</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default" w:ascii="仿宋_GB2312" w:hAnsi="宋体" w:eastAsia="仿宋_GB2312" w:cs="仿宋_GB2312"/>
                <w:b/>
                <w:bCs/>
                <w:i w:val="0"/>
                <w:iCs w:val="0"/>
                <w:color w:val="000000"/>
                <w:sz w:val="21"/>
                <w:szCs w:val="21"/>
                <w:u w:val="none"/>
                <w:lang w:val="en-US"/>
              </w:rPr>
            </w:pPr>
            <w:r>
              <w:rPr>
                <w:rFonts w:hint="default" w:ascii="仿宋_GB2312" w:hAnsi="宋体" w:eastAsia="仿宋_GB2312" w:cs="仿宋_GB2312"/>
                <w:b/>
                <w:bCs/>
                <w:i w:val="0"/>
                <w:iCs w:val="0"/>
                <w:color w:val="000000"/>
                <w:sz w:val="21"/>
                <w:szCs w:val="21"/>
                <w:u w:val="none"/>
                <w:lang w:val="en-US" w:eastAsia="zh-CN" w:bidi="ar"/>
              </w:rPr>
              <w:t>评审</w:t>
            </w:r>
            <w:r>
              <w:rPr>
                <w:rFonts w:hint="eastAsia" w:ascii="仿宋_GB2312" w:hAnsi="宋体" w:eastAsia="仿宋_GB2312" w:cs="仿宋_GB2312"/>
                <w:b/>
                <w:bCs/>
                <w:i w:val="0"/>
                <w:iCs w:val="0"/>
                <w:color w:val="000000"/>
                <w:sz w:val="21"/>
                <w:szCs w:val="21"/>
                <w:u w:val="none"/>
                <w:lang w:val="en-US" w:eastAsia="zh-CN" w:bidi="ar"/>
              </w:rPr>
              <w:t>内容</w:t>
            </w:r>
          </w:p>
        </w:tc>
        <w:tc>
          <w:tcPr>
            <w:tcW w:w="6095" w:type="dxa"/>
            <w:tcBorders>
              <w:top w:val="single" w:color="000000" w:sz="8" w:space="0"/>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spacing w:line="480" w:lineRule="auto"/>
              <w:jc w:val="center"/>
              <w:rPr>
                <w:rFonts w:hint="default"/>
              </w:rPr>
            </w:pPr>
            <w:r>
              <w:rPr>
                <w:rFonts w:hint="default" w:ascii="仿宋_GB2312" w:hAnsi="宋体" w:eastAsia="仿宋_GB2312" w:cs="仿宋_GB2312"/>
                <w:b/>
                <w:bCs/>
                <w:i w:val="0"/>
                <w:iCs w:val="0"/>
                <w:color w:val="000000"/>
                <w:sz w:val="21"/>
                <w:szCs w:val="21"/>
                <w:u w:val="none"/>
                <w:lang w:val="en-US" w:eastAsia="zh-CN" w:bidi="ar"/>
              </w:rPr>
              <w:t>评分</w:t>
            </w:r>
            <w:r>
              <w:rPr>
                <w:rFonts w:hint="eastAsia" w:ascii="仿宋_GB2312" w:hAnsi="宋体" w:eastAsia="仿宋_GB2312" w:cs="仿宋_GB2312"/>
                <w:b/>
                <w:bCs/>
                <w:i w:val="0"/>
                <w:iCs w:val="0"/>
                <w:color w:val="000000"/>
                <w:sz w:val="21"/>
                <w:szCs w:val="21"/>
                <w:u w:val="none"/>
                <w:lang w:val="en-US" w:eastAsia="zh-CN" w:bidi="ar"/>
              </w:rPr>
              <w:t>标准</w:t>
            </w:r>
          </w:p>
        </w:tc>
        <w:tc>
          <w:tcPr>
            <w:tcW w:w="1155"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default"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sz w:val="21"/>
                <w:szCs w:val="21"/>
                <w:u w:val="none"/>
                <w:lang w:val="en-US" w:eastAsia="zh-CN" w:bidi="ar"/>
              </w:rPr>
              <w:t>最高</w:t>
            </w:r>
            <w:r>
              <w:rPr>
                <w:rFonts w:hint="default" w:ascii="仿宋_GB2312" w:hAnsi="宋体" w:eastAsia="仿宋_GB2312" w:cs="仿宋_GB2312"/>
                <w:b/>
                <w:bCs/>
                <w:i w:val="0"/>
                <w:iCs w:val="0"/>
                <w:color w:val="00000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47" w:type="dxa"/>
            <w:vMerge w:val="restart"/>
            <w:tcBorders>
              <w:top w:val="nil"/>
              <w:left w:val="single" w:color="000000" w:sz="8" w:space="0"/>
              <w:bottom w:val="nil"/>
              <w:right w:val="single" w:color="000000" w:sz="8" w:space="0"/>
            </w:tcBorders>
            <w:shd w:val="clear" w:color="auto" w:fill="auto"/>
            <w:noWrap w:val="0"/>
            <w:vAlign w:val="center"/>
          </w:tcPr>
          <w:p>
            <w:pPr>
              <w:keepNext w:val="0"/>
              <w:keepLines w:val="0"/>
              <w:widowControl/>
              <w:suppressLineNumbers w:val="0"/>
              <w:jc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价格部分(50分）</w:t>
            </w:r>
          </w:p>
        </w:tc>
        <w:tc>
          <w:tcPr>
            <w:tcW w:w="1200"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投标报价</w:t>
            </w: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1、低价优先法</w:t>
            </w:r>
          </w:p>
        </w:tc>
        <w:tc>
          <w:tcPr>
            <w:tcW w:w="1155"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sz w:val="21"/>
                <w:szCs w:val="21"/>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1）适用情形：有效投标人少于5家（不含本数）</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2）评标价：各有效投标人的含税投</w:t>
            </w:r>
            <w:r>
              <w:rPr>
                <w:rStyle w:val="330"/>
                <w:lang w:val="en-US" w:eastAsia="zh-CN" w:bidi="ar"/>
              </w:rPr>
              <w:t>标价</w:t>
            </w:r>
            <w:r>
              <w:rPr>
                <w:rStyle w:val="331"/>
                <w:lang w:val="en-US" w:eastAsia="zh-CN" w:bidi="ar"/>
              </w:rPr>
              <w:t>,剔除可抵扣的增值税进项税额</w:t>
            </w:r>
            <w:r>
              <w:rPr>
                <w:rStyle w:val="330"/>
                <w:lang w:val="en-US" w:eastAsia="zh-CN" w:bidi="ar"/>
              </w:rPr>
              <w:t>。</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3）评标基准价：满足招标文件要求且最低的有效评标价。</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4）价格分计算：评标价=评标基准价的投标人，得价格分的满分；其他投标人的价格分按照以下公式计算，并精确到小数点后两位：</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价格得分＝（评标基准价/该投标人的评标价）*50；</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2、偏离度计算法</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1）适用情形：有效投标人大于5家（含本数）</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2）评标价：各有</w:t>
            </w:r>
            <w:r>
              <w:rPr>
                <w:rStyle w:val="330"/>
                <w:lang w:val="en-US" w:eastAsia="zh-CN" w:bidi="ar"/>
              </w:rPr>
              <w:t>效投标人的含税投标价</w:t>
            </w:r>
            <w:r>
              <w:rPr>
                <w:rStyle w:val="331"/>
                <w:lang w:val="en-US" w:eastAsia="zh-CN" w:bidi="ar"/>
              </w:rPr>
              <w:t>,剔除可抵扣的增值税进项税额</w:t>
            </w:r>
            <w:r>
              <w:rPr>
                <w:rStyle w:val="330"/>
                <w:lang w:val="en-US" w:eastAsia="zh-CN" w:bidi="ar"/>
              </w:rPr>
              <w:t>。</w:t>
            </w:r>
            <w:r>
              <w:rPr>
                <w:rFonts w:hint="eastAsia" w:ascii="仿宋" w:hAnsi="仿宋" w:eastAsia="仿宋" w:cs="仿宋"/>
                <w:i w:val="0"/>
                <w:iCs w:val="0"/>
                <w:color w:val="000000"/>
                <w:sz w:val="21"/>
                <w:szCs w:val="21"/>
                <w:u w:val="none"/>
                <w:lang w:val="en-US" w:eastAsia="zh-CN" w:bidi="ar"/>
              </w:rPr>
              <w:t>。</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3）评标基准价：取所有有效评标价的算术平均值。</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4）价格分计算：按照以下公式计算，并精确到小数点后两位：</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sz w:val="21"/>
                <w:szCs w:val="21"/>
                <w:u w:val="none"/>
                <w:lang w:val="en-US" w:eastAsia="zh-CN" w:bidi="ar"/>
              </w:rPr>
              <w:t>价格得分=(1-A*│1－该投标人的评标价／评标基准价│)*50</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47" w:type="dxa"/>
            <w:vMerge w:val="continue"/>
            <w:tcBorders>
              <w:top w:val="nil"/>
              <w:left w:val="single" w:color="000000" w:sz="8" w:space="0"/>
              <w:bottom w:val="nil"/>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6095" w:type="dxa"/>
            <w:tcBorders>
              <w:top w:val="nil"/>
              <w:left w:val="single" w:color="000000" w:sz="8" w:space="0"/>
              <w:bottom w:val="nil"/>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A：价格调整系数，当该投标人的评标价低于评标基准价时，A=0.3；当该投标人的评标价高于评标基准价时，A=1；当价格得分&lt;0时，取0。</w:t>
            </w:r>
          </w:p>
        </w:tc>
        <w:tc>
          <w:tcPr>
            <w:tcW w:w="1155"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0" w:hRule="atLeast"/>
        </w:trPr>
        <w:tc>
          <w:tcPr>
            <w:tcW w:w="1047"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商务部分（10分）</w:t>
            </w:r>
          </w:p>
        </w:tc>
        <w:tc>
          <w:tcPr>
            <w:tcW w:w="120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企业综合实力</w:t>
            </w:r>
          </w:p>
        </w:tc>
        <w:tc>
          <w:tcPr>
            <w:tcW w:w="6095" w:type="dxa"/>
            <w:tcBorders>
              <w:top w:val="single" w:color="000000" w:sz="8" w:space="0"/>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根据投标人财务状况（营业收入、净利润、资产负债率）、信誉状况、人员储备、管理体系认证（包括但不限于质量管理体系、环境管理体系、职业健康安全管理体系等）等情况进行横向比较评分（需提供相应证明材料），评标为优得4-5分，较优得2-3分，一般得0-1分。</w:t>
            </w: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5" w:hRule="atLeast"/>
        </w:trPr>
        <w:tc>
          <w:tcPr>
            <w:tcW w:w="1047"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Style w:val="330"/>
                <w:lang w:val="en-US" w:eastAsia="zh-CN" w:bidi="ar"/>
              </w:rPr>
              <w:t>同类业绩</w:t>
            </w:r>
          </w:p>
        </w:tc>
        <w:tc>
          <w:tcPr>
            <w:tcW w:w="6095" w:type="dxa"/>
            <w:tcBorders>
              <w:top w:val="single" w:color="000000" w:sz="8" w:space="0"/>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both"/>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投标人近三年（2023年1月1日至开标日）具有1个以上同类项目实施案例，并提供符合上述要求的合同/协议关键页作为有效的业绩证明材料。合同/协议关键页包含但不限于合同/协议首页、体现项目内容页、签署日期页及盖章页等。在满足1个案例的基础上，每再增加1个有效案例得1分，最多得5分。</w:t>
            </w: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47"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技术部分（40分）</w:t>
            </w:r>
          </w:p>
        </w:tc>
        <w:tc>
          <w:tcPr>
            <w:tcW w:w="1200"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服务方案</w:t>
            </w:r>
          </w:p>
        </w:tc>
        <w:tc>
          <w:tcPr>
            <w:tcW w:w="6095" w:type="dxa"/>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根据投标人针对本项目制定的服务方案完整性、全面性、对需求响应的契合度等方面的理解程度及解决办法、服务计划、应急方案等方面进行综合评审。优良16-20分，较好8-15分，一般0-7分。</w:t>
            </w: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sz w:val="21"/>
                <w:szCs w:val="21"/>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47"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团队配备</w:t>
            </w:r>
          </w:p>
        </w:tc>
        <w:tc>
          <w:tcPr>
            <w:tcW w:w="6095" w:type="dxa"/>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根据投标人所提供项目团队人员配备，职责分工，教育背景、工作经验、技术能力与技术需求书中人员级别、岗位相匹配，横向对比，评价为优得8-10分，较好5-7分，一般0-4分。</w:t>
            </w:r>
          </w:p>
        </w:tc>
        <w:tc>
          <w:tcPr>
            <w:tcW w:w="1155" w:type="dxa"/>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47" w:type="dxa"/>
            <w:vMerge w:val="continue"/>
            <w:tcBorders>
              <w:top w:val="nil"/>
              <w:left w:val="single" w:color="000000" w:sz="8" w:space="0"/>
              <w:bottom w:val="single" w:color="000000" w:sz="8" w:space="0"/>
              <w:right w:val="single" w:color="000000" w:sz="8" w:space="0"/>
            </w:tcBorders>
            <w:shd w:val="clear" w:color="auto" w:fill="auto"/>
            <w:noWrap w:val="0"/>
            <w:vAlign w:val="center"/>
          </w:tcPr>
          <w:p>
            <w:pPr>
              <w:jc w:val="center"/>
              <w:rPr>
                <w:rFonts w:hint="eastAsia" w:ascii="仿宋" w:hAnsi="仿宋" w:eastAsia="仿宋" w:cs="仿宋"/>
                <w:i w:val="0"/>
                <w:iCs w:val="0"/>
                <w:color w:val="000000"/>
                <w:sz w:val="21"/>
                <w:szCs w:val="21"/>
                <w:u w:val="none"/>
              </w:rPr>
            </w:pPr>
          </w:p>
        </w:tc>
        <w:tc>
          <w:tcPr>
            <w:tcW w:w="1200"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增值服务</w:t>
            </w:r>
          </w:p>
        </w:tc>
        <w:tc>
          <w:tcPr>
            <w:tcW w:w="6095" w:type="dxa"/>
            <w:vMerge w:val="restart"/>
            <w:tcBorders>
              <w:top w:val="nil"/>
              <w:left w:val="single" w:color="000000" w:sz="8" w:space="0"/>
              <w:bottom w:val="single" w:color="000000" w:sz="8" w:space="0"/>
              <w:right w:val="single" w:color="000000" w:sz="8" w:space="0"/>
            </w:tcBorders>
            <w:shd w:val="clear" w:color="auto" w:fill="auto"/>
            <w:noWrap w:val="0"/>
            <w:vAlign w:val="bottom"/>
          </w:tcPr>
          <w:p>
            <w:pPr>
              <w:keepNext w:val="0"/>
              <w:keepLines w:val="0"/>
              <w:widowControl/>
              <w:suppressLineNumbers w:val="0"/>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投标人根据对项目需求的理解，提供增值服务方案，对增值服务与本项目需求契合度，方案完整性等方面进行评价，优良8-10分，较好5-7分，一般0-4分。</w:t>
            </w:r>
          </w:p>
        </w:tc>
        <w:tc>
          <w:tcPr>
            <w:tcW w:w="1155" w:type="dxa"/>
            <w:vMerge w:val="restart"/>
            <w:tcBorders>
              <w:top w:val="nil"/>
              <w:left w:val="single" w:color="000000" w:sz="8"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342" w:type="dxa"/>
            <w:gridSpan w:val="3"/>
            <w:tcBorders>
              <w:top w:val="single" w:color="auto" w:sz="4" w:space="0"/>
              <w:left w:val="single" w:color="auto" w:sz="4" w:space="0"/>
              <w:bottom w:val="single" w:color="auto" w:sz="4" w:space="0"/>
              <w:right w:val="single" w:color="000000" w:sz="8" w:space="0"/>
            </w:tcBorders>
            <w:shd w:val="clear" w:color="auto" w:fill="auto"/>
            <w:noWrap w:val="0"/>
            <w:vAlign w:val="center"/>
          </w:tcPr>
          <w:p>
            <w:pPr>
              <w:spacing w:line="240" w:lineRule="auto"/>
              <w:jc w:val="center"/>
              <w:rPr>
                <w:rFonts w:hint="eastAsia" w:ascii="仿宋" w:hAnsi="仿宋" w:eastAsia="仿宋" w:cs="仿宋"/>
                <w:i w:val="0"/>
                <w:iCs w:val="0"/>
                <w:color w:val="auto"/>
                <w:sz w:val="21"/>
                <w:szCs w:val="21"/>
                <w:u w:val="none"/>
              </w:rPr>
            </w:pPr>
            <w:r>
              <w:rPr>
                <w:rFonts w:hint="eastAsia" w:ascii="仿宋" w:hAnsi="仿宋" w:eastAsia="仿宋" w:cs="仿宋"/>
                <w:b/>
                <w:color w:val="auto"/>
                <w:lang w:val="en-US" w:eastAsia="zh-CN"/>
              </w:rPr>
              <w:t>总分</w:t>
            </w:r>
          </w:p>
        </w:tc>
        <w:tc>
          <w:tcPr>
            <w:tcW w:w="1155" w:type="dxa"/>
            <w:tcBorders>
              <w:top w:val="single" w:color="auto" w:sz="4" w:space="0"/>
              <w:left w:val="single" w:color="000000" w:sz="8" w:space="0"/>
              <w:bottom w:val="single" w:color="auto" w:sz="4" w:space="0"/>
              <w:right w:val="single" w:color="auto" w:sz="4" w:space="0"/>
            </w:tcBorders>
            <w:shd w:val="clear" w:color="auto" w:fill="auto"/>
            <w:noWrap w:val="0"/>
            <w:vAlign w:val="center"/>
          </w:tcPr>
          <w:p>
            <w:pPr>
              <w:jc w:val="center"/>
              <w:rPr>
                <w:rFonts w:hint="eastAsia" w:ascii="仿宋" w:hAnsi="仿宋" w:eastAsia="仿宋" w:cs="仿宋"/>
                <w:i w:val="0"/>
                <w:iCs w:val="0"/>
                <w:color w:val="auto"/>
                <w:sz w:val="21"/>
                <w:szCs w:val="21"/>
                <w:u w:val="none"/>
              </w:rPr>
            </w:pPr>
            <w:r>
              <w:rPr>
                <w:rFonts w:hint="eastAsia" w:ascii="仿宋" w:hAnsi="仿宋" w:eastAsia="仿宋" w:cs="仿宋"/>
                <w:b/>
                <w:bCs/>
                <w:color w:val="auto"/>
                <w:lang w:val="en-US" w:eastAsia="zh-CN"/>
              </w:rPr>
              <w:t>100</w:t>
            </w:r>
          </w:p>
        </w:tc>
      </w:tr>
    </w:tbl>
    <w:p>
      <w:pPr>
        <w:pStyle w:val="265"/>
        <w:tabs>
          <w:tab w:val="left" w:pos="0"/>
        </w:tabs>
        <w:spacing w:line="360" w:lineRule="auto"/>
        <w:ind w:firstLine="480"/>
        <w:rPr>
          <w:rFonts w:ascii="仿宋" w:hAnsi="仿宋" w:eastAsia="仿宋" w:cs="仿宋"/>
          <w:color w:val="000000"/>
          <w:sz w:val="24"/>
          <w:szCs w:val="24"/>
          <w:highlight w:val="none"/>
        </w:rPr>
      </w:pPr>
    </w:p>
    <w:p>
      <w:pPr>
        <w:pStyle w:val="265"/>
        <w:tabs>
          <w:tab w:val="left" w:pos="0"/>
        </w:tabs>
        <w:spacing w:line="360" w:lineRule="auto"/>
        <w:ind w:firstLine="480"/>
        <w:rPr>
          <w:rFonts w:ascii="仿宋" w:hAnsi="仿宋" w:eastAsia="仿宋" w:cs="仿宋"/>
          <w:color w:val="000000"/>
          <w:sz w:val="24"/>
          <w:szCs w:val="24"/>
          <w:highlight w:val="none"/>
        </w:rPr>
      </w:pPr>
    </w:p>
    <w:p>
      <w:pPr>
        <w:pStyle w:val="265"/>
        <w:tabs>
          <w:tab w:val="left" w:pos="0"/>
        </w:tabs>
        <w:spacing w:line="360" w:lineRule="auto"/>
        <w:ind w:firstLine="480"/>
        <w:rPr>
          <w:rFonts w:ascii="仿宋" w:hAnsi="仿宋" w:eastAsia="仿宋" w:cs="仿宋"/>
          <w:color w:val="000000"/>
          <w:sz w:val="24"/>
          <w:szCs w:val="24"/>
          <w:highlight w:val="none"/>
        </w:rPr>
      </w:pPr>
    </w:p>
    <w:p>
      <w:pPr>
        <w:pStyle w:val="265"/>
        <w:tabs>
          <w:tab w:val="left" w:pos="0"/>
        </w:tabs>
        <w:spacing w:line="360" w:lineRule="auto"/>
        <w:ind w:firstLine="480"/>
        <w:rPr>
          <w:rFonts w:ascii="仿宋" w:hAnsi="仿宋" w:eastAsia="仿宋" w:cs="仿宋"/>
          <w:color w:val="000000"/>
          <w:sz w:val="24"/>
          <w:szCs w:val="24"/>
          <w:highlight w:val="none"/>
        </w:rPr>
      </w:pPr>
    </w:p>
    <w:p>
      <w:pPr>
        <w:pStyle w:val="265"/>
        <w:tabs>
          <w:tab w:val="left" w:pos="0"/>
        </w:tabs>
        <w:spacing w:line="360" w:lineRule="auto"/>
        <w:ind w:left="0" w:firstLine="0"/>
        <w:rPr>
          <w:rFonts w:ascii="仿宋" w:hAnsi="仿宋" w:eastAsia="仿宋" w:cs="仿宋"/>
          <w:color w:val="000000"/>
          <w:sz w:val="24"/>
          <w:szCs w:val="24"/>
          <w:highlight w:val="none"/>
        </w:rPr>
      </w:pPr>
    </w:p>
    <w:p>
      <w:pPr>
        <w:pStyle w:val="265"/>
        <w:tabs>
          <w:tab w:val="left" w:pos="0"/>
        </w:tabs>
        <w:spacing w:line="360" w:lineRule="auto"/>
        <w:ind w:firstLine="480"/>
        <w:rPr>
          <w:rFonts w:ascii="仿宋" w:hAnsi="仿宋" w:eastAsia="仿宋" w:cs="仿宋"/>
          <w:color w:val="000000"/>
          <w:sz w:val="24"/>
          <w:szCs w:val="24"/>
          <w:highlight w:val="none"/>
        </w:rPr>
      </w:pPr>
    </w:p>
    <w:p>
      <w:pPr>
        <w:pStyle w:val="3"/>
        <w:spacing w:before="0" w:after="0" w:line="360" w:lineRule="auto"/>
        <w:jc w:val="both"/>
        <w:rPr>
          <w:color w:val="auto"/>
        </w:rPr>
      </w:pPr>
      <w:r>
        <w:rPr>
          <w:rFonts w:hint="eastAsia" w:ascii="仿宋" w:hAnsi="仿宋" w:eastAsia="仿宋" w:cs="仿宋"/>
          <w:color w:val="000000"/>
          <w:sz w:val="28"/>
          <w:szCs w:val="28"/>
          <w:highlight w:val="none"/>
        </w:rPr>
        <w:br w:type="page" w:clear="all"/>
      </w:r>
      <w:bookmarkStart w:id="137" w:name="_Toc15254"/>
      <w:r>
        <w:rPr>
          <w:rFonts w:hint="eastAsia" w:ascii="仿宋" w:hAnsi="仿宋" w:eastAsia="仿宋" w:cs="仿宋"/>
          <w:color w:val="auto"/>
          <w:sz w:val="28"/>
          <w:szCs w:val="28"/>
          <w:highlight w:val="none"/>
        </w:rPr>
        <w:t>第四章 合同条款</w:t>
      </w:r>
      <w:bookmarkEnd w:id="137"/>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本合同总价款为RMB_______元（大写_______）。合同价格明细见【附件】。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b/>
          <w:bCs/>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除本合同通用部分约定的双方的权利义务外，甲乙双方在本合同项下的其他权利和义务见【附件】的约定。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（2）由于乙方原因造成项目迟延，经甲方催促后乙方继续延误的，甲方有权单方面解除合同，乙方应按照合同服务费用总额的_______%向甲方支付违约金，并赔偿由此引起的甲方的直接经济损失。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验收不合格并且乙方在甲方指定期限内无法完成整改、提交合格的工作成果的，乙方应向甲方支付合同服务费用总额_______%的违约金，并赔偿由此引起的甲方的直接经济损失。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br w:type="textWrapping"/>
      </w:r>
      <w:r>
        <w:rPr>
          <w:rFonts w:hint="eastAsia" w:ascii="宋体" w:hAnsi="宋体" w:eastAsia="宋体" w:cs="宋体"/>
          <w:b/>
          <w:bCs/>
          <w:sz w:val="21"/>
          <w:szCs w:val="21"/>
        </w:rPr>
        <w:t>消费者权益保护条款</w:t>
      </w:r>
      <w:r>
        <w:rPr>
          <w:rFonts w:hint="eastAsia" w:ascii="宋体" w:hAnsi="宋体" w:eastAsia="宋体" w:cs="宋体"/>
          <w:sz w:val="21"/>
          <w:szCs w:val="21"/>
        </w:rPr>
        <w:br w:type="textWrapping"/>
      </w:r>
      <w:r>
        <w:rPr>
          <w:rFonts w:hint="eastAsia" w:ascii="宋体" w:hAnsi="宋体" w:eastAsia="宋体" w:cs="宋体"/>
          <w:sz w:val="21"/>
          <w:szCs w:val="21"/>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r>
        <w:rPr>
          <w:rFonts w:hint="eastAsia" w:ascii="宋体" w:hAnsi="宋体" w:eastAsia="宋体" w:cs="宋体"/>
          <w:sz w:val="21"/>
          <w:szCs w:val="21"/>
        </w:rPr>
        <w:br w:type="textWrapping"/>
      </w:r>
      <w:r>
        <w:rPr>
          <w:rFonts w:hint="eastAsia" w:ascii="宋体" w:hAnsi="宋体" w:eastAsia="宋体" w:cs="宋体"/>
          <w:sz w:val="21"/>
          <w:szCs w:val="21"/>
        </w:rPr>
        <w:t>1.双方应严格按照相关法律法规要求履行消费者权益保护相关责任和义务。</w:t>
      </w:r>
      <w:r>
        <w:rPr>
          <w:rFonts w:hint="eastAsia" w:ascii="宋体" w:hAnsi="宋体" w:eastAsia="宋体" w:cs="宋体"/>
          <w:sz w:val="21"/>
          <w:szCs w:val="21"/>
        </w:rPr>
        <w:br w:type="textWrapping"/>
      </w:r>
      <w:r>
        <w:rPr>
          <w:rFonts w:hint="eastAsia" w:ascii="宋体" w:hAnsi="宋体" w:eastAsia="宋体" w:cs="宋体"/>
          <w:sz w:val="21"/>
          <w:szCs w:val="21"/>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甲方开展消费投诉处理工作，甲方有权终止与乙方的合作，并将其列入公司合作机构管理黑名单。</w:t>
      </w:r>
      <w:r>
        <w:rPr>
          <w:rFonts w:hint="eastAsia" w:ascii="宋体" w:hAnsi="宋体" w:eastAsia="宋体" w:cs="宋体"/>
          <w:sz w:val="21"/>
          <w:szCs w:val="21"/>
        </w:rPr>
        <w:br w:type="textWrapping"/>
      </w:r>
      <w:r>
        <w:rPr>
          <w:rFonts w:hint="eastAsia" w:ascii="宋体" w:hAnsi="宋体" w:eastAsia="宋体" w:cs="宋体"/>
          <w:sz w:val="21"/>
          <w:szCs w:val="21"/>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r>
        <w:rPr>
          <w:rFonts w:hint="eastAsia" w:ascii="宋体" w:hAnsi="宋体" w:eastAsia="宋体" w:cs="宋体"/>
          <w:sz w:val="21"/>
          <w:szCs w:val="21"/>
        </w:rPr>
        <w:br w:type="textWrapping"/>
      </w:r>
      <w:r>
        <w:rPr>
          <w:rFonts w:hint="eastAsia" w:ascii="宋体" w:hAnsi="宋体" w:eastAsia="宋体" w:cs="宋体"/>
          <w:sz w:val="21"/>
          <w:szCs w:val="21"/>
        </w:rPr>
        <w:t>4.甲乙双方应按照《金融机构产品适当性管理办法》建立适当性管理机制，严格落实监管机构对适当性管理的要求。乙方应具备销售相关产品的资格及落实适当性义务的人员、内控制度、技术设备等条件；应当履行客户评估、适当性匹配等适当性义务，履行保险销售人员分级管理相关要求；应当在事前征得客户书面同意后将客户产品适当性评估问卷及结果传输给甲方，评估流程可回溯资料支持甲方调阅。甲方应当提供相关保险产品的适当性管理标准和要求、产品分类分级考虑因素等信息；对于保险产品分类分级的结果发生变更的，甲方应当及时通知乙方。对在保险销售中违反适当性义务的行为，甲乙双方应当依照法律法规及合同约定承担相应法律责任。</w:t>
      </w:r>
      <w:r>
        <w:rPr>
          <w:rFonts w:hint="eastAsia" w:ascii="宋体" w:hAnsi="宋体" w:eastAsia="宋体" w:cs="宋体"/>
          <w:sz w:val="21"/>
          <w:szCs w:val="21"/>
        </w:rPr>
        <w:br w:type="textWrapping"/>
      </w:r>
      <w:r>
        <w:rPr>
          <w:rFonts w:hint="eastAsia" w:ascii="宋体" w:hAnsi="宋体" w:eastAsia="宋体" w:cs="宋体"/>
          <w:sz w:val="21"/>
          <w:szCs w:val="21"/>
        </w:rPr>
        <w:t>5.甲方不得利用业务便利，强制指定乙方为消费者提供收费服务。</w:t>
      </w:r>
      <w:r>
        <w:rPr>
          <w:rFonts w:hint="eastAsia" w:ascii="宋体" w:hAnsi="宋体" w:eastAsia="宋体" w:cs="宋体"/>
          <w:sz w:val="21"/>
          <w:szCs w:val="21"/>
        </w:rPr>
        <w:br w:type="textWrapping"/>
      </w:r>
      <w:r>
        <w:rPr>
          <w:rFonts w:hint="eastAsia" w:ascii="宋体" w:hAnsi="宋体" w:eastAsia="宋体" w:cs="宋体"/>
          <w:sz w:val="21"/>
          <w:szCs w:val="21"/>
        </w:rPr>
        <w:t>6.甲、乙双方应建立健全消费者投诉处理机制，明示消费者投诉渠道和方式，完善投诉数据统计，妥善对接和处理合作过程中发生的保险消费纠纷。就消费投诉，应积极落实首问负责制，在消费者投诉发生的第一时间及时处理并妥善解决，依法合规开展消费者投诉处理工作，避免事态扩大产生负面影响。双方在投诉处理过程中应积极做好与政府、监管部门、新闻媒体等机构的沟通协调，防范风险扩散。</w:t>
      </w:r>
      <w:r>
        <w:rPr>
          <w:rFonts w:hint="eastAsia" w:ascii="宋体" w:hAnsi="宋体" w:eastAsia="宋体" w:cs="宋体"/>
          <w:sz w:val="21"/>
          <w:szCs w:val="21"/>
        </w:rPr>
        <w:br w:type="textWrapping"/>
      </w:r>
      <w:r>
        <w:rPr>
          <w:rFonts w:hint="eastAsia" w:ascii="宋体" w:hAnsi="宋体" w:eastAsia="宋体" w:cs="宋体"/>
          <w:sz w:val="21"/>
          <w:szCs w:val="21"/>
        </w:rPr>
        <w:t>7.甲、乙双方应根据消费者投诉反映出的问题积极进行溯源改进，查找服务薄弱环节和风险隐患，从源头上减少消费投诉的发生，提高服务水平，加强保险消费者权益保护。</w:t>
      </w:r>
      <w:r>
        <w:rPr>
          <w:rFonts w:hint="eastAsia" w:ascii="宋体" w:hAnsi="宋体" w:eastAsia="宋体" w:cs="宋体"/>
          <w:sz w:val="21"/>
          <w:szCs w:val="21"/>
        </w:rPr>
        <w:br w:type="textWrapping"/>
      </w:r>
      <w:r>
        <w:rPr>
          <w:rFonts w:hint="eastAsia" w:ascii="宋体" w:hAnsi="宋体" w:eastAsia="宋体" w:cs="宋体"/>
          <w:sz w:val="21"/>
          <w:szCs w:val="21"/>
        </w:rPr>
        <w:t>8.对于客户投诉较多、设计上存在缺陷的保险产品或服务，乙方及时通知甲方，并按照甲方要求妥善处理相关事宜，包括停止销售或提供服务等。</w:t>
      </w:r>
      <w:r>
        <w:rPr>
          <w:rFonts w:hint="eastAsia" w:ascii="宋体" w:hAnsi="宋体" w:eastAsia="宋体" w:cs="宋体"/>
          <w:sz w:val="21"/>
          <w:szCs w:val="21"/>
        </w:rPr>
        <w:br w:type="textWrapping"/>
      </w:r>
      <w:r>
        <w:rPr>
          <w:rFonts w:hint="eastAsia" w:ascii="宋体" w:hAnsi="宋体" w:eastAsia="宋体" w:cs="宋体"/>
          <w:sz w:val="21"/>
          <w:szCs w:val="21"/>
        </w:rPr>
        <w:t>9.甲、乙双方建立重大事件应急处理合作机制，密切关注群访群诉、群体性退保等事件，建立重大事项报告制度和问题处理应对预案，妥善处理客户纠纷，防止事态扩大。</w:t>
      </w:r>
      <w:r>
        <w:rPr>
          <w:rFonts w:hint="eastAsia" w:ascii="宋体" w:hAnsi="宋体" w:eastAsia="宋体" w:cs="宋体"/>
          <w:sz w:val="21"/>
          <w:szCs w:val="21"/>
        </w:rPr>
        <w:br w:type="textWrapping"/>
      </w:r>
      <w:r>
        <w:rPr>
          <w:rFonts w:hint="eastAsia" w:ascii="宋体" w:hAnsi="宋体" w:eastAsia="宋体" w:cs="宋体"/>
          <w:sz w:val="21"/>
          <w:szCs w:val="21"/>
        </w:rPr>
        <w:t>10.甲、乙双方均应严格遵照有关监管规定，全面、真实、客观地进行信息披露，不得有虚假记载、误导性陈述和重大遗漏。</w:t>
      </w:r>
      <w:r>
        <w:rPr>
          <w:rFonts w:hint="eastAsia" w:ascii="宋体" w:hAnsi="宋体" w:eastAsia="宋体" w:cs="宋体"/>
          <w:sz w:val="21"/>
          <w:szCs w:val="21"/>
        </w:rPr>
        <w:br w:type="textWrapping"/>
      </w:r>
      <w:r>
        <w:rPr>
          <w:rFonts w:hint="eastAsia" w:ascii="宋体" w:hAnsi="宋体" w:eastAsia="宋体" w:cs="宋体"/>
          <w:sz w:val="21"/>
          <w:szCs w:val="21"/>
        </w:rPr>
        <w:t>11.甲、乙双方应建立消费者权益保护内部培训机制，对从业人员开展消费者权益保护培训，提升培训效能，强化员工消费者权益保护意识。</w:t>
      </w:r>
      <w:r>
        <w:rPr>
          <w:rFonts w:hint="eastAsia" w:ascii="宋体" w:hAnsi="宋体" w:eastAsia="宋体" w:cs="宋体"/>
          <w:sz w:val="21"/>
          <w:szCs w:val="21"/>
        </w:rPr>
        <w:br w:type="textWrapping"/>
      </w:r>
      <w:r>
        <w:rPr>
          <w:rFonts w:hint="eastAsia" w:ascii="宋体" w:hAnsi="宋体" w:eastAsia="宋体" w:cs="宋体"/>
          <w:sz w:val="21"/>
          <w:szCs w:val="21"/>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sz w:val="21"/>
          <w:szCs w:val="21"/>
        </w:rPr>
        <w:br w:type="textWrapping"/>
      </w:r>
      <w:r>
        <w:rPr>
          <w:rFonts w:hint="eastAsia" w:ascii="宋体" w:hAnsi="宋体" w:eastAsia="宋体" w:cs="宋体"/>
          <w:b/>
          <w:bCs/>
          <w:sz w:val="21"/>
          <w:szCs w:val="21"/>
        </w:rPr>
        <w:t>客户信息保护条款</w:t>
      </w:r>
      <w:r>
        <w:rPr>
          <w:rFonts w:hint="eastAsia" w:ascii="宋体" w:hAnsi="宋体" w:eastAsia="宋体" w:cs="宋体"/>
          <w:sz w:val="21"/>
          <w:szCs w:val="21"/>
        </w:rPr>
        <w:br w:type="textWrapping"/>
      </w:r>
      <w:r>
        <w:rPr>
          <w:rFonts w:hint="eastAsia" w:ascii="宋体" w:hAnsi="宋体" w:eastAsia="宋体" w:cs="宋体"/>
          <w:sz w:val="21"/>
          <w:szCs w:val="21"/>
        </w:rPr>
        <w:t>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w:t>
      </w:r>
      <w:r>
        <w:rPr>
          <w:rFonts w:hint="eastAsia" w:ascii="宋体" w:hAnsi="宋体" w:eastAsia="宋体" w:cs="宋体"/>
          <w:sz w:val="21"/>
          <w:szCs w:val="21"/>
        </w:rPr>
        <w:br w:type="textWrapping"/>
      </w:r>
      <w:r>
        <w:rPr>
          <w:rFonts w:hint="eastAsia" w:ascii="宋体" w:hAnsi="宋体" w:eastAsia="宋体" w:cs="宋体"/>
          <w:sz w:val="21"/>
          <w:szCs w:val="21"/>
        </w:rPr>
        <w:t>（一）收集、使用及处理客户个人信息必须是依据法定义务或履行本协议所必要的行为，并在履行本协议必要范围内收集客户信息。未经客户授权同意，不得将客户个人信息公开披露，不得转移、出售给第三方。</w:t>
      </w:r>
      <w:r>
        <w:rPr>
          <w:rFonts w:hint="eastAsia" w:ascii="宋体" w:hAnsi="宋体" w:eastAsia="宋体" w:cs="宋体"/>
          <w:sz w:val="21"/>
          <w:szCs w:val="21"/>
        </w:rPr>
        <w:br w:type="textWrapping"/>
      </w:r>
      <w:r>
        <w:rPr>
          <w:rFonts w:hint="eastAsia" w:ascii="宋体" w:hAnsi="宋体" w:eastAsia="宋体" w:cs="宋体"/>
          <w:sz w:val="21"/>
          <w:szCs w:val="21"/>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rPr>
          <w:rFonts w:hint="eastAsia" w:ascii="宋体" w:hAnsi="宋体" w:eastAsia="宋体" w:cs="宋体"/>
          <w:sz w:val="21"/>
          <w:szCs w:val="21"/>
        </w:rPr>
        <w:br w:type="textWrapping"/>
      </w:r>
      <w:r>
        <w:rPr>
          <w:rFonts w:hint="eastAsia" w:ascii="宋体" w:hAnsi="宋体" w:eastAsia="宋体" w:cs="宋体"/>
          <w:sz w:val="21"/>
          <w:szCs w:val="21"/>
        </w:rPr>
        <w:t>（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r>
        <w:rPr>
          <w:rFonts w:hint="eastAsia" w:ascii="宋体" w:hAnsi="宋体" w:eastAsia="宋体" w:cs="宋体"/>
          <w:sz w:val="21"/>
          <w:szCs w:val="21"/>
        </w:rPr>
        <w:br w:type="textWrapping"/>
      </w:r>
      <w:r>
        <w:rPr>
          <w:rFonts w:hint="eastAsia" w:ascii="宋体" w:hAnsi="宋体" w:eastAsia="宋体" w:cs="宋体"/>
          <w:sz w:val="21"/>
          <w:szCs w:val="21"/>
        </w:rPr>
        <w:t>（三）涉及客户敏感信息处理的，应具有特定的目的和充分的必要性，取得客户的单独同意，符合个人信息保护相关法律法规规定和管理要求。</w:t>
      </w:r>
      <w:r>
        <w:rPr>
          <w:rFonts w:hint="eastAsia" w:ascii="宋体" w:hAnsi="宋体" w:eastAsia="宋体" w:cs="宋体"/>
          <w:sz w:val="21"/>
          <w:szCs w:val="21"/>
        </w:rPr>
        <w:br w:type="textWrapping"/>
      </w:r>
      <w:r>
        <w:rPr>
          <w:rFonts w:hint="eastAsia" w:ascii="宋体" w:hAnsi="宋体" w:eastAsia="宋体" w:cs="宋体"/>
          <w:sz w:val="21"/>
          <w:szCs w:val="21"/>
        </w:rPr>
        <w:t>（四）乙方应对客户个人信息严格保密，采取技术措施和其他必要措施，确保客户信息安全。若乙方发生或者可能发生客户个人信息泄露、篡改、丢失的，应当立即采取补救措施，并同步通知甲方，减轻对客户及甲方的危害。</w:t>
      </w:r>
      <w:r>
        <w:rPr>
          <w:rFonts w:hint="eastAsia" w:ascii="宋体" w:hAnsi="宋体" w:eastAsia="宋体" w:cs="宋体"/>
          <w:sz w:val="21"/>
          <w:szCs w:val="21"/>
        </w:rPr>
        <w:br w:type="textWrapping"/>
      </w:r>
      <w:r>
        <w:rPr>
          <w:rFonts w:hint="eastAsia" w:ascii="宋体" w:hAnsi="宋体" w:eastAsia="宋体" w:cs="宋体"/>
          <w:sz w:val="21"/>
          <w:szCs w:val="21"/>
        </w:rPr>
        <w:t>（五）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r>
        <w:rPr>
          <w:rFonts w:hint="eastAsia" w:ascii="宋体" w:hAnsi="宋体" w:eastAsia="宋体" w:cs="宋体"/>
          <w:sz w:val="21"/>
          <w:szCs w:val="21"/>
        </w:rPr>
        <w:br w:type="textWrapping"/>
      </w:r>
      <w:r>
        <w:rPr>
          <w:rFonts w:hint="eastAsia" w:ascii="宋体" w:hAnsi="宋体" w:eastAsia="宋体" w:cs="宋体"/>
          <w:sz w:val="21"/>
          <w:szCs w:val="21"/>
        </w:rPr>
        <w:t>（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sz w:val="21"/>
          <w:szCs w:val="21"/>
        </w:rPr>
        <w:t>数据安全</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提供其信息/或委托第三方机构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数据安全（接收外部数据和对外传输数据）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提供其信息/或委托第三方机构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（八）数据及信息的保存期限应符合实现本协议业务处理目的所必要的最短时间。乙方应在合作期满或终止后，及时删除各种介质上所存储的甲方提供的数据及信息。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（十）若需开展数据测试，乙方的测试环境应与生产系统隔离，未经脱敏处理不得进入测试环境。</w:t>
      </w:r>
      <w:r>
        <w:rPr>
          <w:rFonts w:hint="eastAsia" w:ascii="宋体" w:hAnsi="宋体" w:eastAsia="宋体" w:cs="宋体"/>
          <w:sz w:val="21"/>
          <w:szCs w:val="21"/>
        </w:rPr>
        <w:br w:type="textWrapping"/>
      </w:r>
      <w:r>
        <w:rPr>
          <w:rFonts w:hint="eastAsia" w:ascii="宋体" w:hAnsi="宋体" w:eastAsia="宋体" w:cs="宋体"/>
          <w:b/>
          <w:bCs/>
          <w:sz w:val="21"/>
          <w:szCs w:val="21"/>
        </w:rPr>
        <w:t>数据安全（对外传输数据）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（六）若需开展数据测试，乙方的测试环境应与生产系统隔离，未经脱敏处理不得进入测试环境。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凡因本合同引起的或与本合同有关的任何争议，双方首先应友好协商解决。协商不成的，任何一方均可向甲方所在地有管辖权的法院提起诉讼。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第十七条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本合同经甲乙双方盖公章后生效，服务期限自_______年_______月_______日起至_______年_______月_______日止。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第十八条 </w:t>
      </w:r>
      <w:r>
        <w:rPr>
          <w:rFonts w:hint="eastAsia" w:ascii="宋体" w:hAnsi="宋体" w:eastAsia="宋体" w:cs="宋体"/>
          <w:sz w:val="21"/>
          <w:szCs w:val="21"/>
        </w:rPr>
        <w:t>附件的组成（适用于咨询服务采购合同）</w:t>
      </w:r>
      <w:r>
        <w:rPr>
          <w:rFonts w:hint="eastAsia" w:ascii="宋体" w:hAnsi="宋体" w:eastAsia="宋体" w:cs="宋体"/>
          <w:sz w:val="21"/>
          <w:szCs w:val="21"/>
        </w:rPr>
        <w:br w:type="textWrapping"/>
      </w:r>
      <w:r>
        <w:rPr>
          <w:rFonts w:hint="eastAsia" w:ascii="宋体" w:hAnsi="宋体" w:eastAsia="宋体" w:cs="宋体"/>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附件一、服务内容及要求</w:t>
      </w:r>
      <w:r>
        <w:rPr>
          <w:rFonts w:hint="eastAsia" w:ascii="宋体" w:hAnsi="宋体" w:eastAsia="宋体" w:cs="宋体"/>
          <w:sz w:val="21"/>
          <w:szCs w:val="21"/>
        </w:rPr>
        <w:br w:type="textWrapping"/>
      </w:r>
      <w:r>
        <w:rPr>
          <w:rFonts w:hint="eastAsia" w:ascii="宋体" w:hAnsi="宋体" w:eastAsia="宋体" w:cs="宋体"/>
          <w:sz w:val="21"/>
          <w:szCs w:val="21"/>
        </w:rPr>
        <w:t>附件二、付款</w:t>
      </w:r>
      <w:r>
        <w:rPr>
          <w:rFonts w:hint="eastAsia" w:ascii="宋体" w:hAnsi="宋体" w:eastAsia="宋体" w:cs="宋体"/>
          <w:sz w:val="21"/>
          <w:szCs w:val="21"/>
        </w:rPr>
        <w:br w:type="textWrapping"/>
      </w:r>
      <w:r>
        <w:rPr>
          <w:rFonts w:hint="eastAsia" w:ascii="宋体" w:hAnsi="宋体" w:eastAsia="宋体" w:cs="宋体"/>
          <w:sz w:val="21"/>
          <w:szCs w:val="21"/>
        </w:rPr>
        <w:t>附件三、双方的权利和义务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附件四、违约责任</w:t>
      </w:r>
    </w:p>
    <w:bookmarkEnd w:id="120"/>
    <w:bookmarkEnd w:id="121"/>
    <w:p>
      <w:pPr>
        <w:rPr>
          <w:rFonts w:hint="eastAsia"/>
        </w:rPr>
        <w:sectPr>
          <w:footerReference r:id="rId11" w:type="default"/>
          <w:pgSz w:w="11906" w:h="16838"/>
          <w:pgMar w:top="1417" w:right="1134" w:bottom="1134" w:left="1134" w:header="851" w:footer="992" w:gutter="0"/>
          <w:cols w:space="720" w:num="1"/>
          <w:titlePg/>
        </w:sectPr>
      </w:pPr>
    </w:p>
    <w:p>
      <w:pPr>
        <w:pStyle w:val="3"/>
        <w:spacing w:before="0" w:after="0" w:line="360" w:lineRule="auto"/>
        <w:jc w:val="center"/>
        <w:rPr>
          <w:rFonts w:hint="eastAsia" w:ascii="仿宋" w:hAnsi="仿宋" w:eastAsia="仿宋" w:cs="仿宋"/>
          <w:color w:val="auto"/>
          <w:highlight w:val="none"/>
        </w:rPr>
      </w:pPr>
      <w:bookmarkStart w:id="138" w:name="_Toc28349"/>
      <w:bookmarkStart w:id="139" w:name="_Toc24143"/>
      <w:bookmarkStart w:id="140" w:name="_Toc24217"/>
      <w:bookmarkStart w:id="141" w:name="_Toc444891347"/>
      <w:bookmarkStart w:id="142" w:name="_Toc16424"/>
      <w:bookmarkStart w:id="143" w:name="_Toc517281828"/>
      <w:bookmarkStart w:id="144" w:name="_Toc22083"/>
      <w:r>
        <w:rPr>
          <w:rFonts w:hint="eastAsia" w:ascii="仿宋" w:hAnsi="仿宋" w:eastAsia="仿宋" w:cs="仿宋"/>
          <w:color w:val="auto"/>
          <w:sz w:val="28"/>
          <w:szCs w:val="28"/>
          <w:highlight w:val="none"/>
        </w:rPr>
        <w:t xml:space="preserve">第五章 </w:t>
      </w:r>
      <w:bookmarkEnd w:id="138"/>
      <w:bookmarkEnd w:id="139"/>
      <w:bookmarkEnd w:id="140"/>
      <w:bookmarkEnd w:id="141"/>
      <w:bookmarkEnd w:id="142"/>
      <w:r>
        <w:rPr>
          <w:rFonts w:hint="eastAsia" w:ascii="仿宋" w:hAnsi="仿宋" w:eastAsia="仿宋" w:cs="仿宋"/>
          <w:color w:val="auto"/>
          <w:sz w:val="28"/>
          <w:szCs w:val="28"/>
          <w:highlight w:val="none"/>
        </w:rPr>
        <w:t>采购需求</w:t>
      </w:r>
      <w:bookmarkEnd w:id="143"/>
      <w:bookmarkEnd w:id="144"/>
    </w:p>
    <w:p>
      <w:pPr>
        <w:keepNext w:val="0"/>
        <w:keepLines w:val="0"/>
        <w:pageBreakBefore w:val="0"/>
        <w:widowControl w:val="0"/>
        <w:bidi w:val="0"/>
        <w:spacing w:line="600" w:lineRule="exact"/>
        <w:ind w:firstLine="560"/>
        <w:rPr>
          <w:rFonts w:hint="eastAsia" w:ascii="黑体" w:hAnsi="黑体" w:eastAsia="黑体" w:cs="黑体"/>
          <w:b w:val="0"/>
          <w:bCs/>
          <w:sz w:val="28"/>
          <w:szCs w:val="28"/>
        </w:rPr>
      </w:pPr>
      <w:bookmarkStart w:id="145" w:name="_Toc11206"/>
      <w:bookmarkStart w:id="146" w:name="_Toc10693"/>
      <w:bookmarkStart w:id="147" w:name="_Toc21125"/>
      <w:bookmarkStart w:id="148" w:name="_Toc517281835"/>
      <w:bookmarkStart w:id="149" w:name="_Toc287600128"/>
      <w:bookmarkStart w:id="150" w:name="_Toc17141"/>
      <w:bookmarkStart w:id="151" w:name="_Toc444891352"/>
      <w:r>
        <w:rPr>
          <w:rFonts w:hint="eastAsia" w:ascii="黑体" w:hAnsi="黑体" w:eastAsia="黑体" w:cs="黑体"/>
          <w:b w:val="0"/>
          <w:bCs/>
          <w:sz w:val="28"/>
          <w:szCs w:val="28"/>
          <w:lang w:eastAsia="zh-CN"/>
        </w:rPr>
        <w:t>一</w:t>
      </w:r>
      <w:r>
        <w:rPr>
          <w:rFonts w:hint="eastAsia" w:ascii="黑体" w:hAnsi="黑体" w:eastAsia="黑体" w:cs="黑体"/>
          <w:b w:val="0"/>
          <w:bCs/>
          <w:sz w:val="28"/>
          <w:szCs w:val="28"/>
        </w:rPr>
        <w:t>、项目</w:t>
      </w:r>
      <w:r>
        <w:rPr>
          <w:rFonts w:hint="eastAsia" w:ascii="黑体" w:hAnsi="黑体" w:eastAsia="黑体" w:cs="黑体"/>
          <w:b w:val="0"/>
          <w:bCs/>
          <w:sz w:val="28"/>
          <w:szCs w:val="28"/>
          <w:lang w:val="en-US" w:eastAsia="zh-CN"/>
        </w:rPr>
        <w:t>预算</w:t>
      </w:r>
    </w:p>
    <w:p>
      <w:pPr>
        <w:keepNext w:val="0"/>
        <w:keepLines w:val="0"/>
        <w:pageBreakBefore w:val="0"/>
        <w:widowControl w:val="0"/>
        <w:bidi w:val="0"/>
        <w:spacing w:line="600" w:lineRule="exact"/>
        <w:ind w:firstLine="560"/>
        <w:rPr>
          <w:rFonts w:hint="eastAsia" w:ascii="仿宋_GB2312" w:hAnsi="仿宋_GB2312" w:eastAsia="仿宋_GB2312" w:cs="仿宋_GB2312"/>
          <w:color w:val="0000FF"/>
          <w:sz w:val="28"/>
          <w:szCs w:val="28"/>
        </w:rPr>
      </w:pPr>
      <w:r>
        <w:rPr>
          <w:rFonts w:hint="eastAsia" w:ascii="仿宋_GB2312" w:hAnsi="仿宋" w:eastAsia="仿宋_GB2312" w:cs="宋体"/>
          <w:sz w:val="28"/>
          <w:szCs w:val="28"/>
        </w:rPr>
        <w:t>项目预算：</w:t>
      </w:r>
      <w:r>
        <w:rPr>
          <w:rFonts w:ascii="仿宋_GB2312" w:hAnsi="仿宋" w:eastAsia="仿宋_GB2312" w:cs="宋体"/>
          <w:sz w:val="28"/>
          <w:szCs w:val="28"/>
          <w:u w:val="single"/>
        </w:rPr>
        <w:t xml:space="preserve"> </w:t>
      </w:r>
      <w:r>
        <w:rPr>
          <w:rFonts w:hint="eastAsia" w:ascii="仿宋_GB2312" w:hAnsi="仿宋" w:eastAsia="仿宋_GB2312" w:cs="宋体"/>
          <w:sz w:val="28"/>
          <w:szCs w:val="28"/>
          <w:u w:val="single"/>
          <w:lang w:val="en-US" w:eastAsia="zh-CN"/>
        </w:rPr>
        <w:t>9.8</w:t>
      </w:r>
      <w:r>
        <w:rPr>
          <w:rFonts w:ascii="仿宋_GB2312" w:hAnsi="仿宋" w:eastAsia="仿宋_GB2312" w:cs="宋体"/>
          <w:sz w:val="28"/>
          <w:szCs w:val="28"/>
          <w:u w:val="single"/>
        </w:rPr>
        <w:t xml:space="preserve">  </w:t>
      </w:r>
      <w:r>
        <w:rPr>
          <w:rFonts w:hint="eastAsia" w:ascii="仿宋_GB2312" w:hAnsi="仿宋" w:eastAsia="仿宋_GB2312" w:cs="宋体"/>
          <w:sz w:val="28"/>
          <w:szCs w:val="28"/>
        </w:rPr>
        <w:t>万元</w:t>
      </w:r>
      <w:r>
        <w:rPr>
          <w:rFonts w:hint="eastAsia" w:ascii="仿宋_GB2312" w:hAnsi="仿宋_GB2312" w:eastAsia="仿宋_GB2312" w:cs="仿宋_GB2312"/>
          <w:sz w:val="28"/>
          <w:szCs w:val="28"/>
          <w:lang w:eastAsia="zh-CN"/>
        </w:rPr>
        <w:t>。</w:t>
      </w:r>
    </w:p>
    <w:p>
      <w:pPr>
        <w:spacing w:line="600" w:lineRule="exact"/>
        <w:ind w:firstLine="560"/>
        <w:rPr>
          <w:rFonts w:hint="eastAsia" w:ascii="黑体" w:hAnsi="黑体" w:eastAsia="黑体" w:cs="黑体"/>
          <w:b w:val="0"/>
          <w:bCs w:val="0"/>
          <w:sz w:val="28"/>
          <w:szCs w:val="28"/>
        </w:rPr>
      </w:pPr>
      <w:r>
        <w:rPr>
          <w:rFonts w:hint="eastAsia" w:ascii="黑体" w:hAnsi="黑体" w:eastAsia="黑体" w:cs="黑体"/>
          <w:b w:val="0"/>
          <w:bCs w:val="0"/>
          <w:sz w:val="28"/>
          <w:szCs w:val="28"/>
          <w:lang w:eastAsia="zh-CN"/>
        </w:rPr>
        <w:t>二</w:t>
      </w:r>
      <w:r>
        <w:rPr>
          <w:rFonts w:hint="eastAsia" w:ascii="黑体" w:hAnsi="黑体" w:eastAsia="黑体" w:cs="黑体"/>
          <w:b w:val="0"/>
          <w:bCs w:val="0"/>
          <w:sz w:val="28"/>
          <w:szCs w:val="28"/>
        </w:rPr>
        <w:t>、采购内容</w:t>
      </w:r>
    </w:p>
    <w:p>
      <w:pPr>
        <w:spacing w:line="600" w:lineRule="exact"/>
        <w:ind w:firstLine="560"/>
        <w:rPr>
          <w:rFonts w:hint="eastAsia" w:ascii="仿宋_GB2312" w:hAnsi="仿宋" w:eastAsia="仿宋_GB2312"/>
          <w:sz w:val="28"/>
          <w:szCs w:val="28"/>
        </w:rPr>
      </w:pPr>
      <w:r>
        <w:rPr>
          <w:rFonts w:hint="eastAsia" w:ascii="仿宋_GB2312" w:hAnsi="仿宋" w:eastAsia="仿宋_GB2312"/>
          <w:sz w:val="28"/>
          <w:szCs w:val="28"/>
        </w:rPr>
        <w:t>本项目选定</w:t>
      </w:r>
      <w:r>
        <w:rPr>
          <w:rFonts w:hint="eastAsia" w:ascii="仿宋_GB2312" w:hAnsi="仿宋" w:eastAsia="仿宋_GB2312"/>
          <w:sz w:val="28"/>
          <w:szCs w:val="28"/>
          <w:u w:val="single"/>
        </w:rPr>
        <w:t xml:space="preserve">  </w:t>
      </w:r>
      <w:r>
        <w:rPr>
          <w:rFonts w:hint="eastAsia" w:ascii="仿宋_GB2312" w:hAnsi="仿宋" w:eastAsia="仿宋_GB2312"/>
          <w:sz w:val="28"/>
          <w:szCs w:val="28"/>
          <w:u w:val="single"/>
          <w:lang w:val="en-US" w:eastAsia="zh-CN"/>
        </w:rPr>
        <w:t>1</w:t>
      </w:r>
      <w:r>
        <w:rPr>
          <w:rFonts w:hint="eastAsia" w:ascii="仿宋_GB2312" w:hAnsi="仿宋" w:eastAsia="仿宋_GB2312"/>
          <w:sz w:val="28"/>
          <w:szCs w:val="28"/>
          <w:u w:val="single"/>
        </w:rPr>
        <w:t xml:space="preserve">  </w:t>
      </w:r>
      <w:r>
        <w:rPr>
          <w:rFonts w:hint="eastAsia" w:ascii="仿宋_GB2312" w:hAnsi="仿宋" w:eastAsia="仿宋_GB2312"/>
          <w:sz w:val="28"/>
          <w:szCs w:val="28"/>
        </w:rPr>
        <w:t>家供应商，为我公司提供周期为</w:t>
      </w:r>
      <w:r>
        <w:rPr>
          <w:rFonts w:hint="eastAsia" w:ascii="仿宋_GB2312" w:hAnsi="仿宋" w:eastAsia="仿宋_GB2312" w:cs="Times New Roman"/>
          <w:sz w:val="28"/>
          <w:szCs w:val="28"/>
          <w:u w:val="single"/>
          <w:lang w:val="en-US" w:eastAsia="zh-CN" w:bidi="ar"/>
        </w:rPr>
        <w:t>6个月</w:t>
      </w:r>
      <w:r>
        <w:rPr>
          <w:rFonts w:hint="eastAsia" w:ascii="仿宋_GB2312" w:hAnsi="仿宋" w:eastAsia="仿宋_GB2312"/>
          <w:sz w:val="28"/>
          <w:szCs w:val="28"/>
        </w:rPr>
        <w:t>的风险减量服务，面向5所学校开展。</w:t>
      </w:r>
      <w:r>
        <w:rPr>
          <w:rFonts w:hint="eastAsia" w:ascii="仿宋_GB2312" w:hAnsi="仿宋" w:eastAsia="仿宋_GB2312"/>
          <w:sz w:val="28"/>
          <w:szCs w:val="28"/>
          <w:lang w:val="en-US" w:eastAsia="zh-CN"/>
        </w:rPr>
        <w:t>采购内容如下：</w:t>
      </w:r>
    </w:p>
    <w:p>
      <w:pPr>
        <w:spacing w:line="600" w:lineRule="exact"/>
        <w:ind w:firstLine="560"/>
        <w:rPr>
          <w:rFonts w:ascii="仿宋_GB2312" w:hAnsi="仿宋" w:eastAsia="仿宋_GB2312"/>
          <w:sz w:val="28"/>
          <w:szCs w:val="28"/>
        </w:rPr>
      </w:pPr>
      <w:r>
        <w:rPr>
          <w:rFonts w:hint="eastAsia" w:ascii="仿宋_GB2312" w:hAnsi="仿宋" w:eastAsia="仿宋_GB2312"/>
          <w:sz w:val="28"/>
          <w:szCs w:val="28"/>
        </w:rPr>
        <w:t>（一）</w:t>
      </w:r>
      <w:r>
        <w:rPr>
          <w:rFonts w:hint="eastAsia" w:ascii="仿宋_GB2312" w:hAnsi="仿宋" w:eastAsia="仿宋_GB2312"/>
          <w:sz w:val="28"/>
          <w:szCs w:val="28"/>
          <w:u w:val="single"/>
        </w:rPr>
        <w:t xml:space="preserve"> 风险隐患排查</w:t>
      </w:r>
      <w:r>
        <w:rPr>
          <w:rFonts w:hint="eastAsia" w:ascii="仿宋_GB2312" w:hAnsi="仿宋" w:eastAsia="仿宋_GB2312"/>
          <w:sz w:val="28"/>
          <w:szCs w:val="28"/>
        </w:rPr>
        <w:t>服务</w:t>
      </w:r>
      <w:r>
        <w:rPr>
          <w:rFonts w:hint="eastAsia" w:ascii="仿宋_GB2312" w:hAnsi="仿宋" w:eastAsia="仿宋_GB2312"/>
          <w:sz w:val="28"/>
          <w:szCs w:val="28"/>
          <w:lang w:eastAsia="zh-CN"/>
        </w:rPr>
        <w:t>。</w:t>
      </w:r>
      <w:r>
        <w:rPr>
          <w:rFonts w:hint="eastAsia" w:ascii="仿宋_GB2312" w:hAnsi="仿宋" w:eastAsia="仿宋_GB2312"/>
          <w:sz w:val="28"/>
          <w:szCs w:val="28"/>
        </w:rPr>
        <w:t>由服务供应商派出具备资质的工作人员，对辖区校园开展风险减量排查，出具专业报告，明确隐患清单、风险等级及整改建议；</w:t>
      </w:r>
    </w:p>
    <w:p>
      <w:pPr>
        <w:spacing w:line="600" w:lineRule="exact"/>
        <w:ind w:firstLine="560"/>
        <w:rPr>
          <w:rFonts w:hint="eastAsia" w:ascii="仿宋_GB2312" w:hAnsi="仿宋" w:eastAsia="仿宋_GB2312"/>
          <w:sz w:val="28"/>
          <w:szCs w:val="28"/>
        </w:rPr>
      </w:pPr>
      <w:r>
        <w:rPr>
          <w:rFonts w:hint="eastAsia" w:ascii="仿宋_GB2312" w:hAnsi="仿宋" w:eastAsia="仿宋_GB2312"/>
          <w:sz w:val="28"/>
          <w:szCs w:val="28"/>
        </w:rPr>
        <w:t>（二）</w:t>
      </w:r>
      <w:r>
        <w:rPr>
          <w:rFonts w:hint="eastAsia" w:ascii="仿宋_GB2312" w:hAnsi="仿宋" w:eastAsia="仿宋_GB2312"/>
          <w:sz w:val="28"/>
          <w:szCs w:val="28"/>
          <w:u w:val="single"/>
        </w:rPr>
        <w:t xml:space="preserve"> 防灾减损物资配套</w:t>
      </w:r>
      <w:r>
        <w:rPr>
          <w:rFonts w:hint="eastAsia" w:ascii="仿宋_GB2312" w:hAnsi="仿宋" w:eastAsia="仿宋_GB2312"/>
          <w:sz w:val="28"/>
          <w:szCs w:val="28"/>
        </w:rPr>
        <w:t>服务</w:t>
      </w:r>
      <w:r>
        <w:rPr>
          <w:rFonts w:hint="eastAsia" w:ascii="仿宋_GB2312" w:hAnsi="仿宋" w:eastAsia="仿宋_GB2312"/>
          <w:sz w:val="28"/>
          <w:szCs w:val="28"/>
          <w:lang w:eastAsia="zh-CN"/>
        </w:rPr>
        <w:t>。</w:t>
      </w:r>
      <w:r>
        <w:rPr>
          <w:rFonts w:hint="eastAsia" w:ascii="仿宋_GB2312" w:hAnsi="仿宋" w:eastAsia="仿宋_GB2312"/>
          <w:sz w:val="28"/>
          <w:szCs w:val="28"/>
        </w:rPr>
        <w:t>根据排查结果，为学校配置必要的防灾减损物资，并提供安装、调试及使用指导服务，确保物资发挥实际防护作用。配套物资如下：</w:t>
      </w:r>
    </w:p>
    <w:tbl>
      <w:tblPr>
        <w:tblStyle w:val="44"/>
        <w:tblW w:w="79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2"/>
        <w:gridCol w:w="3776"/>
        <w:gridCol w:w="1221"/>
        <w:gridCol w:w="18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宋体" w:hAnsi="宋体" w:eastAsia="宋体" w:cs="宋体"/>
                <w:b w:val="0"/>
                <w:bCs w:val="0"/>
                <w:i w:val="0"/>
                <w:iCs w:val="0"/>
                <w:color w:val="000000"/>
                <w:sz w:val="28"/>
                <w:szCs w:val="28"/>
                <w:u w:val="none"/>
              </w:rPr>
            </w:pPr>
            <w:r>
              <w:rPr>
                <w:rFonts w:hint="eastAsia" w:ascii="宋体" w:hAnsi="宋体" w:eastAsia="宋体" w:cs="宋体"/>
                <w:b w:val="0"/>
                <w:bCs w:val="0"/>
                <w:i w:val="0"/>
                <w:iCs w:val="0"/>
                <w:color w:val="000000"/>
                <w:sz w:val="28"/>
                <w:szCs w:val="28"/>
                <w:u w:val="none"/>
                <w:lang w:val="en-US" w:eastAsia="zh-CN" w:bidi="ar"/>
                <w14:ligatures w14:val="standardContextual"/>
              </w:rPr>
              <w:t>序号</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宋体" w:hAnsi="宋体" w:eastAsia="宋体" w:cs="宋体"/>
                <w:b w:val="0"/>
                <w:bCs w:val="0"/>
                <w:i w:val="0"/>
                <w:iCs w:val="0"/>
                <w:color w:val="000000"/>
                <w:sz w:val="28"/>
                <w:szCs w:val="28"/>
                <w:u w:val="none"/>
              </w:rPr>
            </w:pPr>
            <w:r>
              <w:rPr>
                <w:rFonts w:hint="eastAsia" w:ascii="宋体" w:hAnsi="宋体" w:eastAsia="宋体" w:cs="宋体"/>
                <w:b w:val="0"/>
                <w:bCs w:val="0"/>
                <w:i w:val="0"/>
                <w:iCs w:val="0"/>
                <w:color w:val="000000"/>
                <w:sz w:val="28"/>
                <w:szCs w:val="28"/>
                <w:u w:val="none"/>
                <w:lang w:val="en-US" w:eastAsia="zh-CN" w:bidi="ar"/>
                <w14:ligatures w14:val="standardContextual"/>
              </w:rPr>
              <w:t>名称</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宋体" w:hAnsi="宋体" w:eastAsia="宋体" w:cs="宋体"/>
                <w:b w:val="0"/>
                <w:bCs w:val="0"/>
                <w:i w:val="0"/>
                <w:iCs w:val="0"/>
                <w:color w:val="000000"/>
                <w:sz w:val="28"/>
                <w:szCs w:val="28"/>
                <w:u w:val="none"/>
              </w:rPr>
            </w:pPr>
            <w:r>
              <w:rPr>
                <w:rFonts w:hint="eastAsia" w:ascii="宋体" w:hAnsi="宋体" w:eastAsia="宋体" w:cs="宋体"/>
                <w:b w:val="0"/>
                <w:bCs w:val="0"/>
                <w:i w:val="0"/>
                <w:iCs w:val="0"/>
                <w:color w:val="000000"/>
                <w:sz w:val="28"/>
                <w:szCs w:val="28"/>
                <w:u w:val="none"/>
                <w:lang w:val="en-US" w:eastAsia="zh-CN" w:bidi="ar"/>
                <w14:ligatures w14:val="standardContextual"/>
              </w:rPr>
              <w:t>数量</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宋体" w:hAnsi="宋体" w:eastAsia="宋体" w:cs="宋体"/>
                <w:b w:val="0"/>
                <w:bCs w:val="0"/>
                <w:i w:val="0"/>
                <w:iCs w:val="0"/>
                <w:color w:val="000000"/>
                <w:sz w:val="28"/>
                <w:szCs w:val="28"/>
                <w:u w:val="none"/>
              </w:rPr>
            </w:pPr>
            <w:r>
              <w:rPr>
                <w:rFonts w:hint="eastAsia" w:ascii="宋体" w:hAnsi="宋体" w:eastAsia="宋体" w:cs="宋体"/>
                <w:b w:val="0"/>
                <w:bCs w:val="0"/>
                <w:i w:val="0"/>
                <w:iCs w:val="0"/>
                <w:color w:val="000000"/>
                <w:sz w:val="28"/>
                <w:szCs w:val="28"/>
                <w:u w:val="none"/>
                <w:lang w:val="en-US" w:eastAsia="zh-CN" w:bidi="ar"/>
                <w14:ligatures w14:val="standardContextual"/>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应急照明灯</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80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2</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疏散指示标志</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90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3</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灭火器</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400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4</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消防水带</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5</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防火毯</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75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6</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防滑警示标识</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90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7</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急救箱（含绷带、纱布、碘伏、止血带、创可贴）</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30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8</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心肺复苏模拟教具</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9</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应急雨衣</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60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8"/>
                <w:szCs w:val="28"/>
                <w:u w:val="none"/>
                <w:lang w:val="en-US"/>
              </w:rPr>
            </w:pPr>
            <w:r>
              <w:rPr>
                <w:rFonts w:hint="eastAsia" w:ascii="仿宋" w:hAnsi="仿宋" w:eastAsia="仿宋" w:cs="仿宋"/>
                <w:b w:val="0"/>
                <w:bCs w:val="0"/>
                <w:i w:val="0"/>
                <w:iCs w:val="0"/>
                <w:color w:val="000000"/>
                <w:sz w:val="28"/>
                <w:szCs w:val="28"/>
                <w:u w:val="none"/>
                <w:lang w:val="en-US" w:eastAsia="zh-CN" w:bidi="ar"/>
                <w14:ligatures w14:val="standardContextual"/>
              </w:rPr>
              <w:t>10</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手电筒</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40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8"/>
                <w:szCs w:val="28"/>
                <w:u w:val="none"/>
                <w:lang w:val="en-US"/>
              </w:rPr>
            </w:pPr>
            <w:r>
              <w:rPr>
                <w:rFonts w:hint="eastAsia" w:ascii="仿宋" w:hAnsi="仿宋" w:eastAsia="仿宋" w:cs="仿宋"/>
                <w:b w:val="0"/>
                <w:bCs w:val="0"/>
                <w:i w:val="0"/>
                <w:iCs w:val="0"/>
                <w:color w:val="000000"/>
                <w:sz w:val="28"/>
                <w:szCs w:val="28"/>
                <w:u w:val="none"/>
                <w:lang w:val="en-US" w:eastAsia="zh-CN" w:bidi="ar"/>
                <w14:ligatures w14:val="standardContextual"/>
              </w:rPr>
              <w:t>11</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哨子</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80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12</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应急反光背心</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65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13</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安全宣传手册</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2000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14</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扩音器</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35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15</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防烟面罩</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100</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11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16</w:t>
            </w:r>
          </w:p>
        </w:tc>
        <w:tc>
          <w:tcPr>
            <w:tcW w:w="37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应急逃生绳</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15</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sz w:val="28"/>
                <w:szCs w:val="28"/>
                <w:u w:val="none"/>
                <w:lang w:val="en-US" w:eastAsia="zh-CN" w:bidi="ar"/>
                <w14:ligatures w14:val="standardContextual"/>
              </w:rPr>
              <w:t>条</w:t>
            </w:r>
          </w:p>
        </w:tc>
      </w:tr>
    </w:tbl>
    <w:p>
      <w:pPr>
        <w:spacing w:line="600" w:lineRule="exact"/>
        <w:ind w:firstLine="0"/>
        <w:rPr>
          <w:rFonts w:ascii="仿宋_GB2312" w:hAnsi="仿宋" w:eastAsia="仿宋_GB2312"/>
          <w:sz w:val="28"/>
          <w:szCs w:val="28"/>
        </w:rPr>
      </w:pPr>
    </w:p>
    <w:p>
      <w:pPr>
        <w:spacing w:line="600" w:lineRule="exact"/>
        <w:ind w:firstLine="560"/>
        <w:rPr>
          <w:rFonts w:ascii="仿宋_GB2312" w:hAnsi="仿宋" w:eastAsia="仿宋_GB2312"/>
          <w:sz w:val="28"/>
          <w:szCs w:val="28"/>
        </w:rPr>
      </w:pPr>
      <w:r>
        <w:rPr>
          <w:rFonts w:hint="eastAsia" w:ascii="仿宋_GB2312" w:hAnsi="仿宋" w:eastAsia="仿宋_GB2312"/>
          <w:sz w:val="28"/>
          <w:szCs w:val="28"/>
        </w:rPr>
        <w:t>（三）</w:t>
      </w:r>
      <w:r>
        <w:rPr>
          <w:rFonts w:hint="eastAsia" w:ascii="仿宋_GB2312" w:hAnsi="仿宋" w:eastAsia="仿宋_GB2312"/>
          <w:sz w:val="28"/>
          <w:szCs w:val="28"/>
          <w:u w:val="single"/>
        </w:rPr>
        <w:t xml:space="preserve"> 安全宣传与培训</w:t>
      </w:r>
      <w:r>
        <w:rPr>
          <w:rFonts w:hint="eastAsia" w:ascii="仿宋_GB2312" w:hAnsi="仿宋" w:eastAsia="仿宋_GB2312"/>
          <w:sz w:val="28"/>
          <w:szCs w:val="28"/>
        </w:rPr>
        <w:t>服务。为5所学校各开展1次校园安全识讲座、应急演练指导、师生安全培训等活动，配套发放安全宣传资料，提升师生安全意识和应急处置能力。</w:t>
      </w:r>
    </w:p>
    <w:p>
      <w:pPr>
        <w:spacing w:line="600" w:lineRule="exact"/>
        <w:ind w:firstLine="560"/>
        <w:rPr>
          <w:rFonts w:hint="eastAsia" w:ascii="黑体" w:hAnsi="黑体" w:eastAsia="黑体" w:cs="黑体"/>
          <w:b w:val="0"/>
          <w:bCs/>
          <w:sz w:val="28"/>
          <w:szCs w:val="28"/>
        </w:rPr>
      </w:pPr>
      <w:r>
        <w:rPr>
          <w:rFonts w:hint="eastAsia" w:ascii="黑体" w:hAnsi="黑体" w:eastAsia="黑体" w:cs="黑体"/>
          <w:b w:val="0"/>
          <w:bCs/>
          <w:sz w:val="28"/>
          <w:szCs w:val="28"/>
          <w:lang w:eastAsia="zh-CN"/>
        </w:rPr>
        <w:t>三</w:t>
      </w:r>
      <w:r>
        <w:rPr>
          <w:rFonts w:hint="eastAsia" w:ascii="黑体" w:hAnsi="黑体" w:eastAsia="黑体" w:cs="黑体"/>
          <w:b w:val="0"/>
          <w:bCs/>
          <w:sz w:val="28"/>
          <w:szCs w:val="28"/>
        </w:rPr>
        <w:t>、服务内容要求</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本次采购为校园安全风险减量综合服务，以“风险排查、隐患治理、物资配套、宣传培训”为服务体系，通过专业化风控服务降低校园安全风险及事故出险率，具体服务内容如下：</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（一）风险隐患排查服务</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1.排查范围全覆盖：针对服务辖区内投保学校，开展消防安全、用电用气安全、校园活动安全、应急管理体系、安防防护设施全方位排查。</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2.专业人员作业要求：服务商须派遣具备安全资质、拥有校园安全排查经验的工作人员现场作业，保障排查专业性与准确性。</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3.标准化成果输出：每所学校排查完成后，当场记录隐患问题、拍摄现场佐证照片。区分风险等级，精准列明隐患位置、问题描述、风险危害、整改时限、整改标准及针对性整改方案。</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（二）防灾减损物资配套服务</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1.标准化落地服务：所有配套物资提供免费安装、调试等服务，确保物资安装规范、正常可用，符合消防安全规范。</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2.实操使用指导：物资投放完成后，现场向学校安保人员、老师讲解物资使用方法、有效期、日常检查等注意事项，保障物资关键时刻可正常使用。</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3.物资台账管理：建立完整的物资投放清单，详细记录学校名称、物资名称、规格数量、投放时间、安装位置、对接责任人，实现物资全程可追溯。</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（三）安全宣传与培训服务</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1.线下安全培训服务：面向学校教职工、安保人员、学生开展安全知识讲座，重点讲解日常安全隐患自查方法、突发事件应急处置流程、消防器材实操使用、事故预防要点等内容。</w:t>
      </w:r>
    </w:p>
    <w:p>
      <w:pPr>
        <w:spacing w:line="600" w:lineRule="exact"/>
        <w:ind w:firstLine="56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2.应急演练指导服务：协助学习制定应急演练方案，现场指导火灾疏散、应急避险等实操演练，规范演练流程，提升师生实战应急能力。</w:t>
      </w:r>
    </w:p>
    <w:p>
      <w:pPr>
        <w:pStyle w:val="261"/>
        <w:spacing w:line="600" w:lineRule="exact"/>
        <w:ind w:firstLine="560"/>
        <w:rPr>
          <w:rFonts w:hint="eastAsia" w:ascii="黑体" w:hAnsi="黑体" w:eastAsia="黑体" w:cs="黑体"/>
          <w:b w:val="0"/>
          <w:bCs/>
          <w:sz w:val="28"/>
          <w:szCs w:val="28"/>
          <w:lang w:val="zh-CN"/>
        </w:rPr>
      </w:pPr>
      <w:r>
        <w:rPr>
          <w:rFonts w:hint="eastAsia" w:ascii="黑体" w:hAnsi="黑体" w:eastAsia="黑体" w:cs="黑体"/>
          <w:b w:val="0"/>
          <w:bCs/>
          <w:sz w:val="28"/>
          <w:szCs w:val="28"/>
          <w:lang w:val="zh-CN"/>
        </w:rPr>
        <w:t>四、验收标准及付款安排</w:t>
      </w:r>
    </w:p>
    <w:p>
      <w:pPr>
        <w:spacing w:line="60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（一）验收/考核标准</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1.按约定完成辖区学校风险排查工作，出具规范完整的风险排查台账及风险评估报告，隐患描述清晰、风险判定准确、整改建议合理可行。</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2.完成隐患现场告知、技术指导及回访复查工作，建立完整整改台账，推动隐患有效治理。</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3.按需完成防护配套设施安装、布设及使用讲解等服务，确保设施功能正常、使用规范。</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4.按计划完成安全宣传、知识普及等服务，现场服务记录、影像资料齐全可查。</w:t>
      </w:r>
    </w:p>
    <w:p>
      <w:pPr>
        <w:spacing w:line="600" w:lineRule="exact"/>
        <w:ind w:firstLine="56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5.服务完成后，辖区校园安全风险得到有效管控，达到防灾减损、降低出险概率，提升客户满意度的整体目标。</w:t>
      </w:r>
    </w:p>
    <w:p>
      <w:pPr>
        <w:numPr>
          <w:ilvl w:val="0"/>
          <w:numId w:val="4"/>
        </w:numPr>
        <w:spacing w:line="60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付款安排</w:t>
      </w:r>
    </w:p>
    <w:p>
      <w:pPr>
        <w:spacing w:line="600" w:lineRule="exact"/>
        <w:ind w:firstLine="560"/>
        <w:rPr>
          <w:rFonts w:hint="eastAsia" w:ascii="仿宋_GB2312" w:hAnsi="仿宋_GB2312" w:eastAsia="仿宋_GB2312" w:cs="仿宋_GB2312"/>
          <w:sz w:val="28"/>
          <w:szCs w:val="28"/>
          <w:lang w:val="zh-CN" w:eastAsia="zh-CN"/>
        </w:rPr>
      </w:pPr>
      <w:r>
        <w:rPr>
          <w:rFonts w:hint="eastAsia" w:ascii="仿宋_GB2312" w:hAnsi="仿宋_GB2312" w:eastAsia="仿宋_GB2312" w:cs="仿宋_GB2312"/>
          <w:sz w:val="28"/>
          <w:szCs w:val="28"/>
          <w:lang w:val="zh-CN" w:eastAsia="zh-CN"/>
        </w:rPr>
        <w:t>本项目采用一次性付款方式。项目验收合格，收到供应商开具的合法增值税发票后10个工作日内，采购人向供应商支付合同总价的100%。</w:t>
      </w:r>
    </w:p>
    <w:p>
      <w:pPr>
        <w:numPr>
          <w:ilvl w:val="0"/>
          <w:numId w:val="5"/>
        </w:numPr>
        <w:spacing w:line="600" w:lineRule="exact"/>
        <w:ind w:firstLine="560"/>
        <w:rPr>
          <w:rFonts w:hint="eastAsia" w:ascii="黑体" w:hAnsi="黑体" w:eastAsia="黑体" w:cs="黑体"/>
          <w:b w:val="0"/>
          <w:bCs/>
          <w:sz w:val="28"/>
          <w:szCs w:val="28"/>
          <w:lang w:val="zh-CN"/>
        </w:rPr>
      </w:pPr>
      <w:r>
        <w:rPr>
          <w:rFonts w:hint="eastAsia" w:ascii="黑体" w:hAnsi="黑体" w:eastAsia="黑体" w:cs="黑体"/>
          <w:b w:val="0"/>
          <w:bCs/>
          <w:sz w:val="28"/>
          <w:szCs w:val="28"/>
          <w:lang w:val="zh-CN"/>
        </w:rPr>
        <w:t>供应商特殊资质要求</w:t>
      </w:r>
    </w:p>
    <w:p>
      <w:pPr>
        <w:pStyle w:val="261"/>
        <w:numPr>
          <w:ilvl w:val="0"/>
          <w:numId w:val="0"/>
        </w:numPr>
        <w:spacing w:line="600" w:lineRule="exact"/>
        <w:ind w:firstLine="560"/>
        <w:rPr>
          <w:rFonts w:hint="eastAsia" w:ascii="仿宋_GB2312" w:hAnsi="Calibri" w:eastAsia="仿宋_GB2312" w:cs="Times New Roman"/>
          <w:b w:val="0"/>
          <w:bCs w:val="0"/>
          <w:sz w:val="28"/>
          <w:szCs w:val="28"/>
          <w:lang w:val="zh-CN" w:eastAsia="zh-CN" w:bidi="ar-SA"/>
        </w:rPr>
      </w:pPr>
      <w:r>
        <w:rPr>
          <w:rFonts w:hint="eastAsia" w:ascii="仿宋_GB2312" w:hAnsi="Calibri" w:eastAsia="仿宋_GB2312" w:cs="Times New Roman"/>
          <w:b w:val="0"/>
          <w:bCs w:val="0"/>
          <w:sz w:val="28"/>
          <w:szCs w:val="28"/>
          <w:lang w:val="en-US" w:eastAsia="zh-CN" w:bidi="ar-SA"/>
        </w:rPr>
        <w:t>无</w:t>
      </w:r>
    </w:p>
    <w:p>
      <w:pPr>
        <w:pStyle w:val="261"/>
        <w:numPr>
          <w:ilvl w:val="0"/>
          <w:numId w:val="6"/>
        </w:numPr>
        <w:spacing w:line="600" w:lineRule="exact"/>
        <w:ind w:firstLine="560"/>
        <w:rPr>
          <w:rFonts w:hint="eastAsia" w:ascii="黑体" w:hAnsi="黑体" w:eastAsia="黑体" w:cs="黑体"/>
          <w:b w:val="0"/>
          <w:bCs/>
          <w:sz w:val="28"/>
          <w:szCs w:val="28"/>
          <w:lang w:val="zh-CN"/>
        </w:rPr>
      </w:pPr>
      <w:r>
        <w:rPr>
          <w:rFonts w:hint="eastAsia" w:ascii="黑体" w:hAnsi="黑体" w:eastAsia="黑体" w:cs="黑体"/>
          <w:b w:val="0"/>
          <w:bCs/>
          <w:sz w:val="28"/>
          <w:szCs w:val="28"/>
          <w:lang w:val="zh-CN"/>
        </w:rPr>
        <w:t>入围供应商数量建议</w:t>
      </w:r>
    </w:p>
    <w:p>
      <w:pPr>
        <w:pStyle w:val="261"/>
        <w:numPr>
          <w:ilvl w:val="0"/>
          <w:numId w:val="0"/>
        </w:numPr>
        <w:spacing w:line="600" w:lineRule="exact"/>
        <w:ind w:firstLine="560"/>
        <w:rPr>
          <w:rFonts w:hint="eastAsia" w:ascii="黑体" w:hAnsi="黑体" w:eastAsia="黑体" w:cs="黑体"/>
          <w:b w:val="0"/>
          <w:bCs/>
          <w:sz w:val="28"/>
          <w:szCs w:val="28"/>
          <w:lang w:val="en-US" w:eastAsia="zh-CN"/>
        </w:rPr>
      </w:pPr>
      <w:r>
        <w:rPr>
          <w:rFonts w:hint="eastAsia" w:ascii="仿宋_GB2312" w:hAnsi="Calibri" w:eastAsia="仿宋_GB2312" w:cs="Times New Roman"/>
          <w:b w:val="0"/>
          <w:bCs w:val="0"/>
          <w:sz w:val="28"/>
          <w:szCs w:val="28"/>
          <w:lang w:val="en-US" w:eastAsia="zh-CN" w:bidi="ar-SA"/>
        </w:rPr>
        <w:t>无</w:t>
      </w:r>
    </w:p>
    <w:p>
      <w:pPr>
        <w:numPr>
          <w:ilvl w:val="0"/>
          <w:numId w:val="7"/>
        </w:numPr>
        <w:spacing w:line="600" w:lineRule="exact"/>
        <w:ind w:firstLine="560"/>
        <w:rPr>
          <w:rFonts w:hint="eastAsia" w:ascii="黑体" w:hAnsi="黑体" w:eastAsia="黑体" w:cs="黑体"/>
          <w:b w:val="0"/>
          <w:bCs/>
          <w:sz w:val="28"/>
          <w:szCs w:val="28"/>
          <w:lang w:val="zh-CN"/>
        </w:rPr>
      </w:pPr>
      <w:r>
        <w:rPr>
          <w:rFonts w:hint="eastAsia" w:ascii="黑体" w:hAnsi="黑体" w:eastAsia="黑体" w:cs="黑体"/>
          <w:b w:val="0"/>
          <w:bCs/>
          <w:sz w:val="28"/>
          <w:szCs w:val="28"/>
          <w:lang w:val="zh-CN"/>
        </w:rPr>
        <w:t>入围供应商的使用规则</w:t>
      </w:r>
    </w:p>
    <w:p>
      <w:pPr>
        <w:numPr>
          <w:ilvl w:val="0"/>
          <w:numId w:val="0"/>
        </w:numPr>
        <w:spacing w:line="600" w:lineRule="exact"/>
        <w:ind w:firstLine="560"/>
        <w:rPr>
          <w:rFonts w:hint="eastAsia" w:ascii="仿宋_GB2312" w:hAnsi="Calibri" w:eastAsia="仿宋_GB2312" w:cs="Times New Roman"/>
          <w:b w:val="0"/>
          <w:bCs w:val="0"/>
          <w:sz w:val="28"/>
          <w:szCs w:val="28"/>
          <w:lang w:val="en-US" w:eastAsia="zh-CN"/>
        </w:rPr>
      </w:pPr>
      <w:r>
        <w:rPr>
          <w:rFonts w:hint="eastAsia" w:ascii="仿宋_GB2312" w:hAnsi="Calibri" w:eastAsia="仿宋_GB2312" w:cs="Times New Roman"/>
          <w:b w:val="0"/>
          <w:bCs w:val="0"/>
          <w:sz w:val="28"/>
          <w:szCs w:val="28"/>
          <w:lang w:val="en-US" w:eastAsia="zh-CN"/>
        </w:rPr>
        <w:t>无</w:t>
      </w:r>
    </w:p>
    <w:p>
      <w:pPr>
        <w:pStyle w:val="261"/>
        <w:spacing w:line="600" w:lineRule="exact"/>
        <w:ind w:firstLine="560"/>
        <w:rPr>
          <w:rFonts w:hint="eastAsia" w:ascii="黑体" w:hAnsi="黑体" w:eastAsia="黑体" w:cs="黑体"/>
          <w:b w:val="0"/>
          <w:bCs w:val="0"/>
          <w:sz w:val="28"/>
          <w:szCs w:val="28"/>
          <w:lang w:val="zh-CN"/>
        </w:rPr>
      </w:pPr>
      <w:r>
        <w:rPr>
          <w:rFonts w:hint="eastAsia" w:ascii="黑体" w:hAnsi="黑体" w:eastAsia="黑体" w:cs="黑体"/>
          <w:b w:val="0"/>
          <w:bCs w:val="0"/>
          <w:sz w:val="28"/>
          <w:szCs w:val="28"/>
          <w:lang w:val="zh-CN"/>
        </w:rPr>
        <w:t>八、其他事项</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zh-CN" w:eastAsia="zh-CN"/>
        </w:rPr>
        <w:t>（</w:t>
      </w:r>
      <w:r>
        <w:rPr>
          <w:rFonts w:hint="eastAsia" w:ascii="仿宋_GB2312" w:hAnsi="仿宋_GB2312" w:eastAsia="仿宋_GB2312" w:cs="仿宋_GB2312"/>
          <w:sz w:val="28"/>
          <w:szCs w:val="28"/>
          <w:lang w:val="en-US" w:eastAsia="zh-CN"/>
        </w:rPr>
        <w:t>一</w:t>
      </w:r>
      <w:r>
        <w:rPr>
          <w:rFonts w:hint="eastAsia" w:ascii="仿宋_GB2312" w:hAnsi="仿宋_GB2312" w:eastAsia="仿宋_GB2312" w:cs="仿宋_GB2312"/>
          <w:sz w:val="28"/>
          <w:szCs w:val="28"/>
          <w:lang w:val="zh-CN" w:eastAsia="zh-CN"/>
        </w:rPr>
        <w:t>）禁止转包、分包</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本次采购项目不允许转包、分包。未经我方事先书面同意，若供应商将本项目全部或部分工作分包或转包第三方承担，我方有权终止合同。</w:t>
      </w:r>
    </w:p>
    <w:p>
      <w:pPr>
        <w:spacing w:line="600" w:lineRule="exact"/>
        <w:ind w:firstLine="560"/>
        <w:rPr>
          <w:rFonts w:hint="eastAsia" w:ascii="仿宋_GB2312" w:hAnsi="仿宋_GB2312" w:eastAsia="仿宋_GB2312" w:cs="仿宋_GB2312"/>
          <w:sz w:val="28"/>
          <w:szCs w:val="28"/>
          <w:lang w:val="zh-CN" w:eastAsia="zh-CN"/>
        </w:rPr>
      </w:pPr>
      <w:r>
        <w:rPr>
          <w:rFonts w:hint="eastAsia" w:ascii="仿宋_GB2312" w:hAnsi="仿宋_GB2312" w:eastAsia="仿宋_GB2312" w:cs="仿宋_GB2312"/>
          <w:sz w:val="28"/>
          <w:szCs w:val="28"/>
          <w:lang w:val="zh-CN" w:eastAsia="zh-CN"/>
        </w:rPr>
        <w:t>（二）合同特别终止</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甲乙双方同意在乙方出现下列情形时，甲方可以书面形式通知乙方（或者乙方的破产清算组或相关管理人）提出终止合同而不向其提供任何补偿：</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（1）乙方破产、解散（包括但不限于乙方股东会决议解散、乙方被吊销营业执照、被责令关闭、被撤销、被司法机关裁决解散等情形）；</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（2）乙方发生未经甲方书面同意的重大产权变更（包括但不限于合并、分立、注销等情形)；（如系上市公司）被勒令停止上市；以及任何原因背负重大债务导致无履行能力。</w:t>
      </w:r>
    </w:p>
    <w:p>
      <w:p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2.如果因上述原因导致本合同终止，甲方已经采取或者将要采取任何补救措施的权利不受任何影响。</w:t>
      </w:r>
    </w:p>
    <w:p>
      <w:pPr>
        <w:pStyle w:val="3"/>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bookmarkStart w:id="152" w:name="_Toc3675"/>
      <w:r>
        <w:rPr>
          <w:rFonts w:hint="eastAsia" w:ascii="仿宋" w:hAnsi="仿宋" w:eastAsia="仿宋" w:cs="仿宋"/>
          <w:color w:val="000000"/>
          <w:sz w:val="28"/>
          <w:szCs w:val="28"/>
          <w:highlight w:val="none"/>
        </w:rPr>
        <w:t>第六章 响应文件格式</w:t>
      </w:r>
      <w:bookmarkEnd w:id="145"/>
      <w:bookmarkEnd w:id="146"/>
      <w:bookmarkEnd w:id="147"/>
      <w:bookmarkEnd w:id="148"/>
      <w:bookmarkEnd w:id="149"/>
      <w:bookmarkEnd w:id="150"/>
      <w:bookmarkEnd w:id="151"/>
      <w:bookmarkEnd w:id="152"/>
    </w:p>
    <w:p>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4"/>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310"/>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310"/>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310"/>
              <w:ind w:right="-284" w:firstLine="2240"/>
              <w:rPr>
                <w:rFonts w:hint="eastAsia" w:ascii="仿宋" w:hAnsi="仿宋" w:eastAsia="仿宋" w:cs="仿宋"/>
                <w:color w:val="000000"/>
                <w:sz w:val="28"/>
                <w:highlight w:val="none"/>
                <w:u w:val="single"/>
              </w:rPr>
            </w:pPr>
          </w:p>
          <w:p>
            <w:pPr>
              <w:pStyle w:val="310"/>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lang w:eastAsia="zh-CN"/>
              </w:rPr>
              <w:t>比选</w:t>
            </w:r>
            <w:r>
              <w:rPr>
                <w:rFonts w:hint="eastAsia" w:ascii="仿宋" w:hAnsi="仿宋" w:eastAsia="仿宋" w:cs="仿宋"/>
                <w:color w:val="000000"/>
                <w:sz w:val="52"/>
                <w:highlight w:val="none"/>
              </w:rPr>
              <w:t>响应文件</w:t>
            </w:r>
          </w:p>
          <w:p>
            <w:pPr>
              <w:pStyle w:val="310"/>
              <w:spacing w:before="624" w:after="156" w:line="160" w:lineRule="atLeast"/>
              <w:ind w:right="-284"/>
              <w:jc w:val="center"/>
              <w:rPr>
                <w:rFonts w:hint="eastAsia" w:ascii="仿宋" w:hAnsi="仿宋" w:eastAsia="仿宋" w:cs="仿宋"/>
                <w:color w:val="000000"/>
                <w:sz w:val="52"/>
                <w:highlight w:val="none"/>
              </w:rPr>
            </w:pPr>
          </w:p>
          <w:p>
            <w:pPr>
              <w:pStyle w:val="310"/>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310"/>
              <w:spacing w:before="1560" w:line="400" w:lineRule="atLeast"/>
              <w:ind w:right="-284" w:firstLine="252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310"/>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310"/>
              <w:spacing w:after="624"/>
              <w:ind w:right="-284"/>
              <w:jc w:val="center"/>
              <w:rPr>
                <w:rFonts w:hint="eastAsia" w:ascii="仿宋" w:hAnsi="仿宋" w:eastAsia="仿宋" w:cs="仿宋"/>
                <w:color w:val="000000"/>
                <w:sz w:val="24"/>
                <w:highlight w:val="none"/>
              </w:rPr>
            </w:pPr>
          </w:p>
          <w:p>
            <w:pPr>
              <w:pStyle w:val="310"/>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4"/>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310"/>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pPr>
        <w:rPr>
          <w:rFonts w:hint="eastAsia" w:ascii="仿宋" w:hAnsi="仿宋" w:eastAsia="仿宋" w:cs="仿宋"/>
          <w:color w:val="000000"/>
          <w:szCs w:val="21"/>
          <w:highlight w:val="none"/>
        </w:rPr>
      </w:pPr>
    </w:p>
    <w:p>
      <w:pPr>
        <w:pStyle w:val="4"/>
        <w:numPr>
          <w:ilvl w:val="0"/>
          <w:numId w:val="0"/>
        </w:numPr>
        <w:jc w:val="both"/>
        <w:rPr>
          <w:rFonts w:ascii="仿宋" w:hAnsi="仿宋" w:eastAsia="仿宋" w:cs="仿宋"/>
          <w:color w:val="000000"/>
          <w:sz w:val="24"/>
          <w:szCs w:val="24"/>
          <w:highlight w:val="none"/>
        </w:rPr>
      </w:pPr>
      <w:bookmarkStart w:id="153" w:name="_Toc3936"/>
      <w:bookmarkStart w:id="154" w:name="_Toc25957"/>
      <w:bookmarkStart w:id="155" w:name="_Toc287600131"/>
      <w:bookmarkStart w:id="156" w:name="_Toc517281836"/>
      <w:bookmarkStart w:id="157" w:name="_Toc444891353"/>
      <w:bookmarkStart w:id="158" w:name="_Toc11783"/>
      <w:bookmarkStart w:id="159" w:name="_Toc21280"/>
      <w:bookmarkStart w:id="160" w:name="_Toc19783362"/>
      <w:bookmarkStart w:id="161" w:name="_Toc19910"/>
      <w:bookmarkStart w:id="162" w:name="_Toc19783360"/>
      <w:bookmarkStart w:id="163" w:name="_Toc287600129"/>
      <w:r>
        <w:rPr>
          <w:rFonts w:ascii="仿宋" w:hAnsi="仿宋" w:eastAsia="仿宋" w:cs="仿宋"/>
          <w:color w:val="000000"/>
          <w:sz w:val="24"/>
          <w:szCs w:val="24"/>
          <w:highlight w:val="none"/>
        </w:rPr>
        <w:br w:type="page" w:clear="all"/>
      </w:r>
      <w:bookmarkStart w:id="164" w:name="_Toc17191"/>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53"/>
      <w:bookmarkEnd w:id="164"/>
    </w:p>
    <w:p>
      <w:pPr>
        <w:bidi w:val="0"/>
        <w:jc w:val="center"/>
        <w:rPr>
          <w:rFonts w:hint="eastAsia"/>
        </w:rPr>
      </w:pPr>
      <w:bookmarkStart w:id="165" w:name="_Toc26744"/>
      <w:r>
        <w:rPr>
          <w:rFonts w:hint="eastAsia" w:ascii="仿宋" w:hAnsi="仿宋" w:eastAsia="仿宋" w:cs="仿宋"/>
          <w:b/>
          <w:bCs/>
          <w:sz w:val="24"/>
          <w:szCs w:val="24"/>
        </w:rPr>
        <w:t>初步评审索引表</w:t>
      </w:r>
      <w:bookmarkEnd w:id="165"/>
    </w:p>
    <w:tbl>
      <w:tblPr>
        <w:tblStyle w:val="44"/>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widowControl/>
              <w:spacing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评审环节</w:t>
            </w:r>
          </w:p>
        </w:tc>
        <w:tc>
          <w:tcPr>
            <w:tcW w:w="3299" w:type="dxa"/>
            <w:noWrap w:val="0"/>
            <w:vAlign w:val="center"/>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评审因素</w:t>
            </w:r>
          </w:p>
        </w:tc>
        <w:tc>
          <w:tcPr>
            <w:tcW w:w="4216" w:type="dxa"/>
            <w:noWrap w:val="0"/>
            <w:vAlign w:val="center"/>
          </w:tcPr>
          <w:p>
            <w:pPr>
              <w:widowControl/>
              <w:spacing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6" w:type="dxa"/>
            <w:noWrap w:val="0"/>
            <w:vAlign w:val="center"/>
          </w:tcPr>
          <w:p>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宋体"/>
                <w:color w:val="000000"/>
                <w:szCs w:val="21"/>
                <w:highlight w:val="none"/>
              </w:rPr>
            </w:pPr>
            <w:r>
              <w:rPr>
                <w:rFonts w:hint="eastAsia" w:ascii="仿宋" w:hAnsi="仿宋" w:eastAsia="仿宋" w:cs="仿宋"/>
                <w:color w:val="000000"/>
                <w:szCs w:val="21"/>
                <w:highlight w:val="none"/>
              </w:rPr>
              <w:t>法定代表人（负责人）身份证明</w:t>
            </w:r>
          </w:p>
        </w:tc>
        <w:tc>
          <w:tcPr>
            <w:tcW w:w="4216" w:type="dxa"/>
            <w:noWrap w:val="0"/>
            <w:vAlign w:val="center"/>
          </w:tcPr>
          <w:p>
            <w:pPr>
              <w:pStyle w:val="291"/>
              <w:tabs>
                <w:tab w:val="left" w:pos="630"/>
              </w:tabs>
              <w:spacing w:before="48" w:after="48"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6" w:type="dxa"/>
            <w:noWrap w:val="0"/>
            <w:vAlign w:val="center"/>
          </w:tcPr>
          <w:p>
            <w:pPr>
              <w:pStyle w:val="291"/>
              <w:tabs>
                <w:tab w:val="left" w:pos="630"/>
              </w:tabs>
              <w:spacing w:before="48" w:after="48"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宋体"/>
                <w:color w:val="000000"/>
                <w:spacing w:val="-4"/>
                <w:szCs w:val="21"/>
                <w:highlight w:val="none"/>
              </w:rPr>
            </w:pPr>
            <w:r>
              <w:rPr>
                <w:rFonts w:hint="eastAsia" w:ascii="仿宋" w:hAnsi="仿宋" w:eastAsia="仿宋" w:cs="仿宋"/>
                <w:color w:val="000000"/>
                <w:szCs w:val="21"/>
                <w:highlight w:val="none"/>
              </w:rPr>
              <w:t>响应文件签字或盖章</w:t>
            </w:r>
          </w:p>
        </w:tc>
        <w:tc>
          <w:tcPr>
            <w:tcW w:w="4216" w:type="dxa"/>
            <w:noWrap w:val="0"/>
            <w:vAlign w:val="center"/>
          </w:tcPr>
          <w:p>
            <w:pPr>
              <w:pStyle w:val="310"/>
              <w:spacing w:before="48" w:after="48" w:line="276" w:lineRule="auto"/>
              <w:rPr>
                <w:rFonts w:hint="eastAsia"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299"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营业执照</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FF0000"/>
                <w:szCs w:val="21"/>
                <w:highlight w:val="none"/>
              </w:rPr>
            </w:pPr>
            <w:r>
              <w:rPr>
                <w:rFonts w:hint="eastAsia" w:ascii="仿宋" w:hAnsi="仿宋" w:eastAsia="仿宋" w:cs="仿宋"/>
                <w:color w:val="auto"/>
                <w:szCs w:val="21"/>
                <w:highlight w:val="none"/>
                <w:lang w:val="en-US" w:eastAsia="zh-CN"/>
              </w:rPr>
              <w:t>不接受联合体比选响应</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szCs w:val="21"/>
                <w:highlight w:val="none"/>
              </w:rPr>
            </w:pPr>
            <w:r>
              <w:rPr>
                <w:rFonts w:ascii="仿宋" w:hAnsi="仿宋" w:eastAsia="仿宋" w:cs="仿宋"/>
                <w:color w:val="00000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响应性评审标准</w:t>
            </w: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bookmarkEnd w:id="154"/>
      <w:bookmarkEnd w:id="155"/>
      <w:bookmarkEnd w:id="156"/>
      <w:bookmarkEnd w:id="157"/>
      <w:bookmarkEnd w:id="158"/>
      <w:bookmarkEnd w:id="159"/>
      <w:bookmarkEnd w:id="160"/>
      <w:bookmarkEnd w:id="161"/>
    </w:tbl>
    <w:p>
      <w:pPr>
        <w:rPr>
          <w:rFonts w:hint="eastAsia" w:ascii="宋体" w:hAnsi="宋体"/>
          <w:szCs w:val="21"/>
          <w:highlight w:val="none"/>
        </w:rPr>
        <w:sectPr>
          <w:footerReference r:id="rId12" w:type="default"/>
          <w:pgSz w:w="11906" w:h="16838"/>
          <w:pgMar w:top="1417" w:right="1134" w:bottom="1134" w:left="1134" w:header="964" w:footer="964" w:gutter="0"/>
          <w:cols w:space="720" w:num="1"/>
        </w:sectPr>
      </w:pPr>
    </w:p>
    <w:p>
      <w:pPr>
        <w:rPr>
          <w:rFonts w:hint="eastAsia" w:ascii="仿宋" w:hAnsi="仿宋" w:eastAsia="仿宋" w:cs="仿宋"/>
          <w:b/>
          <w:bCs/>
          <w:color w:val="000000"/>
          <w:sz w:val="24"/>
          <w:szCs w:val="24"/>
          <w:highlight w:val="none"/>
          <w:lang w:val="en-US" w:eastAsia="zh-CN" w:bidi="ar-SA"/>
        </w:rPr>
      </w:pPr>
      <w:bookmarkStart w:id="166" w:name="_Toc27958"/>
      <w:bookmarkStart w:id="167" w:name="_Toc25121"/>
      <w:bookmarkStart w:id="168" w:name="_Toc444891354"/>
      <w:bookmarkStart w:id="169" w:name="_Toc517281837"/>
      <w:bookmarkStart w:id="170" w:name="_Toc27799"/>
      <w:bookmarkStart w:id="171" w:name="_Toc12140"/>
      <w:bookmarkStart w:id="172" w:name="_Toc7202"/>
      <w:r>
        <w:rPr>
          <w:rFonts w:hint="eastAsia" w:ascii="仿宋" w:hAnsi="仿宋" w:eastAsia="仿宋" w:cs="仿宋"/>
          <w:b/>
          <w:bCs/>
          <w:color w:val="000000"/>
          <w:sz w:val="24"/>
          <w:szCs w:val="24"/>
          <w:highlight w:val="none"/>
          <w:lang w:val="en-US" w:eastAsia="zh-CN" w:bidi="ar-SA"/>
        </w:rPr>
        <w:t>（一）响应函</w:t>
      </w:r>
      <w:bookmarkEnd w:id="166"/>
    </w:p>
    <w:p>
      <w:pPr>
        <w:pStyle w:val="310"/>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u w:val="single"/>
        </w:rPr>
        <w:t xml:space="preserve">   （供应商名称）   </w:t>
      </w:r>
      <w:r>
        <w:rPr>
          <w:rFonts w:hint="eastAsia" w:ascii="仿宋" w:hAnsi="仿宋" w:eastAsia="仿宋" w:cs="Cambria Math"/>
          <w:color w:val="000000"/>
          <w:sz w:val="24"/>
          <w:highlight w:val="none"/>
        </w:rPr>
        <w:t>（以下称“我方”）已仔细研究了</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（项目名称）    </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文件的全部内容，包括澄清或者修改文件以及有关附件，我方将严格按照</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文件要求递交符合要求的全部</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响应文件。</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现我方承诺如下内容：</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1.本响应函及</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响应文件自</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响应文件提交截止日起有效期为</w:t>
      </w:r>
      <w:r>
        <w:rPr>
          <w:rFonts w:hint="eastAsia" w:ascii="仿宋" w:hAnsi="仿宋" w:eastAsia="仿宋" w:cs="Cambria Math"/>
          <w:color w:val="000000"/>
          <w:sz w:val="24"/>
          <w:highlight w:val="none"/>
          <w:u w:val="single"/>
        </w:rPr>
        <w:t>90天</w:t>
      </w:r>
      <w:r>
        <w:rPr>
          <w:rFonts w:hint="eastAsia" w:ascii="仿宋" w:hAnsi="仿宋" w:eastAsia="仿宋" w:cs="Cambria Math"/>
          <w:color w:val="000000"/>
          <w:sz w:val="24"/>
          <w:highlight w:val="none"/>
        </w:rPr>
        <w:t>，我方承诺在响应有效期内不修改、撤销</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响应文件。</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2</w:t>
      </w:r>
      <w:r>
        <w:rPr>
          <w:rFonts w:hint="eastAsia" w:ascii="仿宋" w:hAnsi="仿宋" w:eastAsia="仿宋" w:cs="Cambria Math"/>
          <w:color w:val="000000"/>
          <w:sz w:val="24"/>
          <w:highlight w:val="none"/>
        </w:rPr>
        <w:t>.我方承诺提供</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3</w:t>
      </w:r>
      <w:r>
        <w:rPr>
          <w:rFonts w:hint="eastAsia" w:ascii="仿宋" w:hAnsi="仿宋" w:eastAsia="仿宋" w:cs="Cambria Math"/>
          <w:color w:val="000000"/>
          <w:sz w:val="24"/>
          <w:highlight w:val="none"/>
        </w:rPr>
        <w:t>.我方同意提供贵方可能要求的与我方响应文件有关的一切数据、资料、证明原件、证件原件，并完全理解贵方不一定接受最低价的响应。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4</w:t>
      </w:r>
      <w:r>
        <w:rPr>
          <w:rFonts w:hint="eastAsia" w:ascii="仿宋" w:hAnsi="仿宋" w:eastAsia="仿宋" w:cs="Cambria Math"/>
          <w:color w:val="00000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宋体"/>
          <w:color w:val="000000"/>
          <w:sz w:val="24"/>
          <w:highlight w:val="none"/>
          <w:lang w:val="en-US" w:eastAsia="zh-CN"/>
        </w:rPr>
        <w:t>5</w:t>
      </w:r>
      <w:r>
        <w:rPr>
          <w:rFonts w:hint="eastAsia" w:ascii="仿宋" w:hAnsi="仿宋" w:eastAsia="仿宋" w:cs="宋体"/>
          <w:color w:val="00000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6</w:t>
      </w:r>
      <w:r>
        <w:rPr>
          <w:rFonts w:hint="eastAsia" w:ascii="仿宋" w:hAnsi="仿宋" w:eastAsia="仿宋" w:cs="Cambria Math"/>
          <w:color w:val="000000"/>
          <w:sz w:val="24"/>
          <w:highlight w:val="none"/>
        </w:rPr>
        <w:t>. 如我方成交：</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w:t>
      </w:r>
      <w:r>
        <w:rPr>
          <w:rFonts w:hint="eastAsia" w:ascii="仿宋" w:hAnsi="仿宋" w:eastAsia="仿宋" w:cs="Cambria Math"/>
          <w:color w:val="000000"/>
          <w:sz w:val="24"/>
          <w:highlight w:val="none"/>
          <w:lang w:val="en-US" w:eastAsia="zh-CN"/>
        </w:rPr>
        <w:t>2</w:t>
      </w:r>
      <w:r>
        <w:rPr>
          <w:rFonts w:hint="eastAsia" w:ascii="仿宋" w:hAnsi="仿宋" w:eastAsia="仿宋" w:cs="Cambria Math"/>
          <w:color w:val="000000"/>
          <w:sz w:val="24"/>
          <w:highlight w:val="none"/>
        </w:rPr>
        <w:t>）我方承诺按照</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文件的规定及合同约定履行相关责任和义务。</w:t>
      </w:r>
    </w:p>
    <w:p>
      <w:pPr>
        <w:widowControl/>
        <w:spacing w:line="440" w:lineRule="exact"/>
        <w:ind w:firstLine="42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w:t>
      </w:r>
      <w:r>
        <w:rPr>
          <w:rFonts w:hint="eastAsia" w:ascii="仿宋" w:hAnsi="仿宋" w:eastAsia="仿宋" w:cs="Cambria Math"/>
          <w:color w:val="000000"/>
          <w:sz w:val="24"/>
          <w:highlight w:val="none"/>
          <w:lang w:val="en-US" w:eastAsia="zh-CN"/>
        </w:rPr>
        <w:t>3</w:t>
      </w:r>
      <w:r>
        <w:rPr>
          <w:rFonts w:hint="eastAsia" w:ascii="仿宋" w:hAnsi="仿宋" w:eastAsia="仿宋" w:cs="Cambria Math"/>
          <w:color w:val="000000"/>
          <w:sz w:val="24"/>
          <w:highlight w:val="none"/>
        </w:rPr>
        <w:t>）我方在此承诺，双方合作后可开具增值税专用发票。</w:t>
      </w:r>
    </w:p>
    <w:p>
      <w:pPr>
        <w:spacing w:line="440" w:lineRule="exact"/>
        <w:ind w:firstLine="4080"/>
        <w:jc w:val="right"/>
        <w:rPr>
          <w:rFonts w:ascii="仿宋" w:hAnsi="仿宋" w:eastAsia="仿宋" w:cs="仿宋"/>
          <w:color w:val="000000"/>
          <w:sz w:val="24"/>
          <w:highlight w:val="none"/>
        </w:rPr>
      </w:pPr>
    </w:p>
    <w:p>
      <w:pPr>
        <w:spacing w:line="440" w:lineRule="exact"/>
        <w:ind w:firstLine="408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clear="all"/>
      </w:r>
      <w:bookmarkEnd w:id="162"/>
      <w:bookmarkEnd w:id="163"/>
      <w:bookmarkEnd w:id="167"/>
      <w:bookmarkEnd w:id="168"/>
      <w:bookmarkEnd w:id="169"/>
      <w:bookmarkEnd w:id="170"/>
      <w:bookmarkEnd w:id="171"/>
      <w:bookmarkEnd w:id="172"/>
      <w:bookmarkStart w:id="173" w:name="_Toc13983"/>
      <w:r>
        <w:rPr>
          <w:rFonts w:hint="eastAsia" w:ascii="仿宋" w:hAnsi="仿宋" w:eastAsia="仿宋" w:cs="仿宋"/>
          <w:color w:val="000000"/>
          <w:sz w:val="24"/>
          <w:szCs w:val="24"/>
          <w:highlight w:val="none"/>
        </w:rPr>
        <w:t>（二）法定代表人（负责人）身份证明书</w:t>
      </w:r>
      <w:bookmarkEnd w:id="173"/>
      <w:r>
        <w:rPr>
          <w:rFonts w:hint="eastAsia" w:ascii="仿宋" w:hAnsi="仿宋" w:eastAsia="仿宋" w:cs="仿宋"/>
          <w:color w:val="000000"/>
          <w:sz w:val="24"/>
          <w:szCs w:val="24"/>
          <w:highlight w:val="none"/>
        </w:rPr>
        <w:tab/>
      </w:r>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pPr>
        <w:spacing w:line="360" w:lineRule="auto"/>
        <w:rPr>
          <w:rFonts w:hint="eastAsia" w:ascii="仿宋" w:hAnsi="仿宋" w:eastAsia="仿宋" w:cs="仿宋"/>
          <w:b/>
          <w:color w:val="000000"/>
          <w:sz w:val="24"/>
          <w:highlight w:val="none"/>
        </w:rPr>
      </w:pPr>
    </w:p>
    <w:p>
      <w:pPr>
        <w:widowControl/>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p>
    <w:p>
      <w:pPr>
        <w:widowControl/>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成立时间：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widowControl/>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性别：</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职务：</w:t>
      </w:r>
      <w:r>
        <w:rPr>
          <w:rFonts w:hint="eastAsia" w:ascii="仿宋" w:hAnsi="仿宋" w:eastAsia="仿宋" w:cs="仿宋"/>
          <w:color w:val="000000"/>
          <w:sz w:val="24"/>
          <w:highlight w:val="none"/>
          <w:u w:val="single"/>
        </w:rPr>
        <w:t xml:space="preserve">         </w:t>
      </w:r>
    </w:p>
    <w:p>
      <w:pPr>
        <w:widowControl/>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（供应商名称）的法定代表人（负责人）。</w:t>
      </w:r>
    </w:p>
    <w:p>
      <w:pPr>
        <w:widowControl/>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特此证明。</w:t>
      </w:r>
    </w:p>
    <w:p>
      <w:pPr>
        <w:widowControl/>
        <w:spacing w:line="360" w:lineRule="auto"/>
        <w:rPr>
          <w:rFonts w:ascii="仿宋" w:hAnsi="仿宋" w:eastAsia="仿宋" w:cs="仿宋"/>
          <w:color w:val="000000"/>
          <w:sz w:val="24"/>
          <w:highlight w:val="none"/>
        </w:rPr>
      </w:pPr>
    </w:p>
    <w:p>
      <w:pPr>
        <w:widowControl/>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附：法定代表人（负责人）身份证复印件（需同时提供正面及背面）。</w:t>
      </w:r>
    </w:p>
    <w:p>
      <w:pPr>
        <w:widowControl/>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6"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JoFgBc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7"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ELUltkAAAAKAQAA&#10;DwAAAAAAAAABACAAAAAiAAAAZHJzL2Rvd25yZXYueG1sUEsBAhQAFAAAAAgAh07iQOyj9jMYAgAA&#10;RQQAAA4AAAAAAAAAAQAgAAAAKAEAAGRycy9lMm9Eb2MueG1sUEsFBgAAAAAGAAYAWQEAALIFAAAA&#10;AA==&#10;">
                <v:fill on="t" focussize="0,0"/>
                <v:stroke weight="1.25pt" color="#739CC3" joinstyle="miter"/>
                <v:imagedata o:title=""/>
                <o:lock v:ext="edit" aspectratio="f"/>
              </v:rect>
            </w:pict>
          </mc:Fallback>
        </mc:AlternateContent>
      </w:r>
    </w:p>
    <w:p>
      <w:pPr>
        <w:pStyle w:val="310"/>
        <w:spacing w:line="440" w:lineRule="atLeast"/>
        <w:ind w:firstLine="480"/>
        <w:jc w:val="left"/>
        <w:rPr>
          <w:rFonts w:hint="eastAsia" w:ascii="仿宋" w:hAnsi="仿宋" w:eastAsia="仿宋" w:cs="仿宋"/>
          <w:color w:val="000000"/>
          <w:highlight w:val="none"/>
        </w:rPr>
      </w:pPr>
    </w:p>
    <w:p>
      <w:pPr>
        <w:pStyle w:val="310"/>
        <w:spacing w:line="440" w:lineRule="atLeast"/>
        <w:ind w:firstLine="480"/>
        <w:jc w:val="left"/>
        <w:rPr>
          <w:rFonts w:hint="eastAsia" w:ascii="仿宋" w:hAnsi="仿宋" w:eastAsia="仿宋" w:cs="仿宋"/>
          <w:color w:val="000000"/>
          <w:highlight w:val="none"/>
        </w:rPr>
      </w:pPr>
    </w:p>
    <w:p>
      <w:pPr>
        <w:pStyle w:val="310"/>
        <w:spacing w:line="440" w:lineRule="atLeast"/>
        <w:ind w:firstLine="480"/>
        <w:jc w:val="left"/>
        <w:rPr>
          <w:rFonts w:hint="eastAsia" w:ascii="仿宋" w:hAnsi="仿宋" w:eastAsia="仿宋" w:cs="仿宋"/>
          <w:color w:val="000000"/>
          <w:highlight w:val="none"/>
        </w:rPr>
      </w:pPr>
    </w:p>
    <w:p>
      <w:pPr>
        <w:spacing w:line="360" w:lineRule="auto"/>
        <w:ind w:firstLine="610"/>
        <w:rPr>
          <w:rFonts w:hint="eastAsia" w:ascii="仿宋" w:hAnsi="仿宋" w:eastAsia="仿宋" w:cs="仿宋"/>
          <w:color w:val="000000"/>
          <w:sz w:val="24"/>
          <w:highlight w:val="none"/>
        </w:rPr>
      </w:pPr>
    </w:p>
    <w:p>
      <w:pPr>
        <w:tabs>
          <w:tab w:val="left" w:pos="720"/>
          <w:tab w:val="left" w:pos="900"/>
        </w:tabs>
        <w:spacing w:line="360" w:lineRule="auto"/>
        <w:rPr>
          <w:rFonts w:hint="eastAsia" w:ascii="仿宋" w:hAnsi="仿宋" w:eastAsia="仿宋" w:cs="仿宋"/>
          <w:color w:val="000000"/>
          <w:sz w:val="24"/>
          <w:highlight w:val="none"/>
        </w:rPr>
      </w:pPr>
    </w:p>
    <w:p>
      <w:pPr>
        <w:spacing w:line="440" w:lineRule="exact"/>
        <w:ind w:firstLine="4080"/>
        <w:jc w:val="right"/>
        <w:rPr>
          <w:rFonts w:hint="eastAsia" w:ascii="仿宋" w:hAnsi="仿宋" w:eastAsia="仿宋" w:cs="仿宋"/>
          <w:color w:val="000000"/>
          <w:sz w:val="24"/>
          <w:highlight w:val="none"/>
        </w:rPr>
      </w:pPr>
    </w:p>
    <w:p>
      <w:pPr>
        <w:spacing w:line="440" w:lineRule="exact"/>
        <w:ind w:firstLine="408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pPr>
        <w:spacing w:line="440" w:lineRule="exact"/>
        <w:ind w:firstLine="408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tabs>
          <w:tab w:val="left" w:pos="720"/>
          <w:tab w:val="left" w:pos="900"/>
        </w:tabs>
        <w:spacing w:line="360" w:lineRule="auto"/>
        <w:ind w:left="1078"/>
        <w:rPr>
          <w:rFonts w:hint="eastAsia" w:ascii="仿宋" w:hAnsi="仿宋" w:eastAsia="仿宋" w:cs="仿宋"/>
          <w:color w:val="000000"/>
          <w:sz w:val="24"/>
          <w:highlight w:val="none"/>
        </w:rPr>
      </w:pPr>
    </w:p>
    <w:p>
      <w:pPr>
        <w:tabs>
          <w:tab w:val="left" w:pos="720"/>
          <w:tab w:val="left" w:pos="900"/>
        </w:tabs>
        <w:spacing w:line="360" w:lineRule="auto"/>
        <w:ind w:left="1078"/>
        <w:rPr>
          <w:rFonts w:hint="eastAsia" w:ascii="仿宋" w:hAnsi="仿宋" w:eastAsia="仿宋" w:cs="仿宋"/>
          <w:color w:val="000000"/>
          <w:sz w:val="24"/>
          <w:highlight w:val="none"/>
        </w:rPr>
      </w:pP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bookmarkStart w:id="174" w:name="_Toc5582"/>
      <w:bookmarkStart w:id="175" w:name="_Toc24788"/>
      <w:bookmarkStart w:id="176" w:name="_Toc20707"/>
      <w:bookmarkStart w:id="177" w:name="_Toc444891355"/>
      <w:bookmarkStart w:id="178" w:name="_Toc287600130"/>
      <w:bookmarkStart w:id="179" w:name="_Toc26267"/>
      <w:bookmarkStart w:id="180" w:name="_Toc4426"/>
      <w:bookmarkStart w:id="181" w:name="_Toc19783361"/>
      <w:bookmarkStart w:id="182" w:name="_Toc517281838"/>
      <w:r>
        <w:rPr>
          <w:rFonts w:hint="eastAsia" w:ascii="仿宋" w:hAnsi="仿宋" w:eastAsia="仿宋" w:cs="仿宋"/>
          <w:color w:val="000000"/>
          <w:sz w:val="24"/>
          <w:szCs w:val="24"/>
          <w:highlight w:val="none"/>
        </w:rPr>
        <w:t>（三）法定代表人（负责人）授权委托书</w:t>
      </w:r>
      <w:bookmarkEnd w:id="174"/>
      <w:bookmarkEnd w:id="175"/>
      <w:bookmarkEnd w:id="176"/>
      <w:bookmarkEnd w:id="177"/>
      <w:bookmarkEnd w:id="178"/>
      <w:bookmarkEnd w:id="179"/>
      <w:bookmarkEnd w:id="180"/>
      <w:bookmarkEnd w:id="181"/>
      <w:bookmarkEnd w:id="182"/>
    </w:p>
    <w:p>
      <w:pPr>
        <w:pStyle w:val="310"/>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310"/>
        <w:spacing w:line="360" w:lineRule="auto"/>
        <w:ind w:firstLine="48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lang w:eastAsia="zh-CN"/>
        </w:rPr>
        <w:t>比选</w:t>
      </w:r>
      <w:r>
        <w:rPr>
          <w:rFonts w:hint="eastAsia" w:ascii="仿宋" w:hAnsi="仿宋" w:eastAsia="仿宋" w:cs="Cambria Math"/>
          <w:color w:val="000000"/>
          <w:sz w:val="24"/>
          <w:szCs w:val="24"/>
          <w:highlight w:val="none"/>
        </w:rPr>
        <w:t>响应文件、签订合同和处理有关事宜，其法律后果由我方承担。</w:t>
      </w:r>
    </w:p>
    <w:p>
      <w:pPr>
        <w:widowControl/>
        <w:spacing w:line="360" w:lineRule="auto"/>
        <w:ind w:firstLine="480"/>
        <w:jc w:val="lef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委托期限：</w:t>
      </w:r>
      <w:r>
        <w:rPr>
          <w:rFonts w:hint="eastAsia" w:ascii="仿宋" w:hAnsi="仿宋" w:eastAsia="仿宋" w:cs="Cambria Math"/>
          <w:color w:val="000000"/>
          <w:sz w:val="24"/>
          <w:highlight w:val="none"/>
          <w:u w:val="single"/>
        </w:rPr>
        <w:t xml:space="preserve"> 自</w:t>
      </w:r>
      <w:r>
        <w:rPr>
          <w:rFonts w:hint="eastAsia" w:ascii="仿宋" w:hAnsi="仿宋" w:eastAsia="仿宋" w:cs="微软雅黑"/>
          <w:color w:val="000000"/>
          <w:sz w:val="24"/>
          <w:highlight w:val="none"/>
          <w:u w:val="single"/>
        </w:rPr>
        <w:t>本委托书签字盖章生效</w:t>
      </w:r>
      <w:r>
        <w:rPr>
          <w:rFonts w:hint="eastAsia" w:ascii="仿宋" w:hAnsi="仿宋" w:eastAsia="仿宋" w:cs="Cambria Math"/>
          <w:color w:val="000000"/>
          <w:sz w:val="24"/>
          <w:highlight w:val="none"/>
          <w:u w:val="single"/>
        </w:rPr>
        <w:t>之日起至</w:t>
      </w:r>
      <w:r>
        <w:rPr>
          <w:rFonts w:hint="eastAsia" w:ascii="仿宋" w:hAnsi="仿宋" w:eastAsia="仿宋" w:cs="Cambria Math"/>
          <w:color w:val="000000"/>
          <w:sz w:val="24"/>
          <w:highlight w:val="none"/>
          <w:u w:val="single"/>
          <w:lang w:eastAsia="zh-CN"/>
        </w:rPr>
        <w:t>比选</w:t>
      </w:r>
      <w:r>
        <w:rPr>
          <w:rFonts w:hint="eastAsia" w:ascii="仿宋" w:hAnsi="仿宋" w:eastAsia="仿宋" w:cs="Cambria Math"/>
          <w:color w:val="000000"/>
          <w:sz w:val="24"/>
          <w:highlight w:val="none"/>
          <w:u w:val="single"/>
        </w:rPr>
        <w:t xml:space="preserve">响应有效期到期之日为止 </w:t>
      </w:r>
      <w:r>
        <w:rPr>
          <w:rFonts w:hint="eastAsia" w:ascii="仿宋" w:hAnsi="仿宋" w:eastAsia="仿宋" w:cs="Cambria Math"/>
          <w:color w:val="000000"/>
          <w:sz w:val="24"/>
          <w:highlight w:val="none"/>
        </w:rPr>
        <w:t>。</w:t>
      </w:r>
    </w:p>
    <w:p>
      <w:pPr>
        <w:pStyle w:val="310"/>
        <w:spacing w:line="360" w:lineRule="auto"/>
        <w:ind w:firstLine="48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310"/>
        <w:spacing w:line="360" w:lineRule="auto"/>
        <w:ind w:firstLine="482"/>
        <w:rPr>
          <w:rFonts w:ascii="仿宋" w:hAnsi="仿宋" w:eastAsia="仿宋" w:cs="Cambria Math"/>
          <w:b/>
          <w:bCs/>
          <w:color w:val="000000"/>
          <w:sz w:val="24"/>
          <w:szCs w:val="24"/>
          <w:highlight w:val="none"/>
        </w:rPr>
      </w:pPr>
    </w:p>
    <w:p>
      <w:pPr>
        <w:pStyle w:val="310"/>
        <w:spacing w:line="360" w:lineRule="auto"/>
        <w:ind w:firstLine="482"/>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310"/>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8" name="矩形 39"/>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iCzsvYAAAACAEAAA8A&#10;AAAAAAAAAQAgAAAAIgAAAGRycy9kb3ducmV2LnhtbFBLAQIUABQAAAAIAIdO4kAPaH5iFwIAAEUE&#10;AAAOAAAAAAAAAAEAIAAAACcBAABkcnMvZTJvRG9jLnhtbFBLBQYAAAAABgAGAFkBAACw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9" name="矩形 40"/>
                <wp:cNvGraphicFramePr/>
                <a:graphic xmlns:a="http://schemas.openxmlformats.org/drawingml/2006/main">
                  <a:graphicData uri="http://schemas.microsoft.com/office/word/2010/wordprocessingShape">
                    <wps:wsp>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sLTHM2AAAAAkBAAAPAAAA&#10;AAAAAAEAIAAAACIAAABkcnMvZG93bnJldi54bWxQSwECFAAUAAAACACHTuJAl4SoYhUCAABFBAAA&#10;DgAAAAAAAAABACAAAAAnAQAAZHJzL2Uyb0RvYy54bWxQSwUGAAAAAAYABgBZAQAArgUAAAAA&#10;">
                <v:fill on="t" focussize="0,0"/>
                <v:stroke weight="1.25pt" color="#739CC3" joinstyle="miter"/>
                <v:imagedata o:title=""/>
                <o:lock v:ext="edit" aspectratio="f"/>
              </v:rect>
            </w:pict>
          </mc:Fallback>
        </mc:AlternateContent>
      </w:r>
    </w:p>
    <w:p>
      <w:pPr>
        <w:pStyle w:val="310"/>
        <w:spacing w:line="440" w:lineRule="atLeast"/>
        <w:ind w:firstLine="480"/>
        <w:jc w:val="left"/>
        <w:rPr>
          <w:rFonts w:hint="eastAsia" w:ascii="仿宋" w:hAnsi="仿宋" w:eastAsia="仿宋" w:cs="仿宋"/>
          <w:color w:val="000000"/>
          <w:highlight w:val="none"/>
        </w:rPr>
      </w:pPr>
    </w:p>
    <w:p>
      <w:pPr>
        <w:spacing w:line="360" w:lineRule="auto"/>
        <w:ind w:left="720"/>
        <w:rPr>
          <w:rFonts w:hint="eastAsia" w:ascii="仿宋" w:hAnsi="仿宋" w:eastAsia="仿宋" w:cs="仿宋"/>
          <w:b/>
          <w:color w:val="000000"/>
          <w:sz w:val="24"/>
          <w:highlight w:val="none"/>
        </w:rPr>
      </w:pPr>
    </w:p>
    <w:p>
      <w:pPr>
        <w:tabs>
          <w:tab w:val="left" w:pos="540"/>
        </w:tabs>
        <w:rPr>
          <w:rFonts w:ascii="仿宋" w:hAnsi="仿宋" w:eastAsia="仿宋" w:cs="仿宋"/>
          <w:color w:val="000000"/>
          <w:szCs w:val="21"/>
          <w:highlight w:val="none"/>
        </w:rPr>
      </w:pPr>
      <w:r>
        <w:rPr>
          <w:rFonts w:hint="eastAsia" w:ascii="仿宋" w:hAnsi="仿宋" w:eastAsia="仿宋" w:cs="仿宋"/>
          <w:color w:val="000000"/>
          <w:szCs w:val="21"/>
          <w:highlight w:val="none"/>
        </w:rPr>
        <w:tab/>
      </w:r>
    </w:p>
    <w:p>
      <w:pPr>
        <w:pStyle w:val="2"/>
        <w:rPr>
          <w:rFonts w:ascii="宋体" w:hAnsi="宋体"/>
          <w:szCs w:val="21"/>
          <w:highlight w:val="none"/>
        </w:rPr>
      </w:pPr>
    </w:p>
    <w:p>
      <w:pPr>
        <w:pStyle w:val="2"/>
        <w:rPr>
          <w:rFonts w:ascii="宋体" w:hAnsi="宋体"/>
          <w:szCs w:val="21"/>
          <w:highlight w:val="none"/>
        </w:rPr>
      </w:pPr>
    </w:p>
    <w:p>
      <w:pPr>
        <w:pStyle w:val="2"/>
        <w:rPr>
          <w:rFonts w:ascii="宋体" w:hAnsi="宋体"/>
          <w:szCs w:val="21"/>
          <w:highlight w:val="none"/>
        </w:rPr>
      </w:pPr>
    </w:p>
    <w:p>
      <w:pPr>
        <w:spacing w:line="360" w:lineRule="auto"/>
        <w:ind w:right="420" w:firstLine="4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 xml:space="preserve">  （盖章）</w:t>
      </w:r>
    </w:p>
    <w:p>
      <w:pPr>
        <w:spacing w:line="360" w:lineRule="auto"/>
        <w:ind w:right="420" w:firstLine="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 xml:space="preserve">                         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pPr>
        <w:pStyle w:val="310"/>
        <w:spacing w:line="360" w:lineRule="auto"/>
        <w:ind w:right="105" w:firstLine="4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spacing w:line="360" w:lineRule="auto"/>
        <w:ind w:firstLine="420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 xml:space="preserve">      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tabs>
          <w:tab w:val="left" w:pos="540"/>
        </w:tabs>
        <w:rPr>
          <w:rFonts w:hint="eastAsia" w:ascii="仿宋" w:hAnsi="仿宋" w:eastAsia="仿宋" w:cs="仿宋"/>
          <w:color w:val="000000"/>
          <w:szCs w:val="21"/>
          <w:highlight w:val="none"/>
        </w:rPr>
        <w:sectPr>
          <w:pgSz w:w="11906" w:h="16838"/>
          <w:pgMar w:top="1417" w:right="1134" w:bottom="1134" w:left="1134" w:header="851" w:footer="992" w:gutter="0"/>
          <w:cols w:space="720" w:num="1"/>
          <w:titlePg/>
        </w:sectPr>
      </w:pP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183" w:name="_Toc30551"/>
      <w:bookmarkStart w:id="184" w:name="_Toc517281841"/>
      <w:bookmarkStart w:id="185" w:name="_Toc34779170"/>
      <w:bookmarkStart w:id="186" w:name="_Toc34822258"/>
      <w:bookmarkStart w:id="187" w:name="_Toc34779120"/>
      <w:bookmarkStart w:id="188" w:name="_Toc287600135"/>
      <w:bookmarkStart w:id="189" w:name="_Toc16561"/>
      <w:bookmarkStart w:id="190" w:name="_Toc444891357"/>
      <w:bookmarkStart w:id="191" w:name="_Toc27026"/>
      <w:bookmarkStart w:id="192" w:name="_Toc11396"/>
      <w:bookmarkStart w:id="193" w:name="_Toc34779216"/>
      <w:bookmarkStart w:id="194" w:name="_Toc287600132"/>
      <w:bookmarkStart w:id="195" w:name="_Toc5406"/>
      <w:bookmarkStart w:id="196" w:name="_Toc35957216"/>
      <w:r>
        <w:rPr>
          <w:rFonts w:hint="eastAsia" w:ascii="仿宋" w:hAnsi="仿宋" w:eastAsia="仿宋" w:cs="仿宋"/>
          <w:color w:val="000000"/>
          <w:sz w:val="24"/>
          <w:szCs w:val="24"/>
          <w:highlight w:val="none"/>
        </w:rPr>
        <w:t>（四）资格证明文件</w:t>
      </w:r>
      <w:bookmarkEnd w:id="183"/>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310"/>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310"/>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310"/>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310"/>
              <w:jc w:val="center"/>
              <w:rPr>
                <w:rFonts w:hint="eastAsia" w:ascii="仿宋" w:hAnsi="仿宋" w:eastAsia="仿宋" w:cs="仿宋"/>
                <w:color w:val="000000"/>
                <w:highlight w:val="none"/>
              </w:rPr>
            </w:pPr>
          </w:p>
        </w:tc>
      </w:tr>
    </w:tbl>
    <w:p>
      <w:pPr>
        <w:pStyle w:val="310"/>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pPr>
        <w:pStyle w:val="310"/>
        <w:jc w:val="left"/>
        <w:rPr>
          <w:rFonts w:hint="eastAsia" w:ascii="仿宋" w:hAnsi="仿宋" w:eastAsia="仿宋" w:cs="仿宋"/>
          <w:b/>
          <w:color w:val="000000"/>
          <w:highlight w:val="none"/>
        </w:rPr>
      </w:pPr>
    </w:p>
    <w:p>
      <w:pPr>
        <w:pStyle w:val="310"/>
        <w:jc w:val="left"/>
        <w:rPr>
          <w:rFonts w:hint="eastAsia" w:ascii="仿宋" w:hAnsi="仿宋" w:eastAsia="仿宋" w:cs="仿宋"/>
          <w:b/>
          <w:color w:val="000000"/>
          <w:highlight w:val="none"/>
          <w:lang w:eastAsia="zh-CN"/>
        </w:rPr>
      </w:pPr>
    </w:p>
    <w:p>
      <w:pPr>
        <w:pStyle w:val="310"/>
        <w:jc w:val="left"/>
        <w:rPr>
          <w:rFonts w:hint="eastAsia" w:ascii="仿宋" w:hAnsi="仿宋" w:eastAsia="仿宋" w:cs="仿宋"/>
          <w:b/>
          <w:color w:val="000000"/>
          <w:highlight w:val="none"/>
          <w:lang w:eastAsia="zh-CN"/>
        </w:rPr>
      </w:pPr>
    </w:p>
    <w:p>
      <w:pPr>
        <w:spacing w:line="360" w:lineRule="auto"/>
        <w:ind w:firstLine="408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br w:type="page" w:clear="all"/>
      </w:r>
    </w:p>
    <w:p>
      <w:pPr>
        <w:pStyle w:val="6"/>
        <w:numPr>
          <w:ilvl w:val="0"/>
          <w:numId w:val="0"/>
        </w:numPr>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同类项目实施经验</w:t>
      </w:r>
      <w:r>
        <w:rPr>
          <w:rFonts w:hint="eastAsia" w:ascii="仿宋" w:hAnsi="仿宋" w:eastAsia="仿宋" w:cs="仿宋"/>
          <w:b w:val="0"/>
          <w:bCs w:val="0"/>
          <w:color w:val="000000"/>
          <w:sz w:val="24"/>
          <w:szCs w:val="24"/>
          <w:highlight w:val="none"/>
        </w:rPr>
        <w:t xml:space="preserve"> </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bl>
    <w:p>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pPr>
        <w:spacing w:line="360" w:lineRule="auto"/>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rPr>
          <w:rFonts w:hint="eastAsia" w:ascii="仿宋" w:hAnsi="仿宋" w:eastAsia="仿宋"/>
          <w:b/>
          <w:color w:val="000000"/>
          <w:sz w:val="24"/>
          <w:highlight w:val="none"/>
        </w:rPr>
      </w:pPr>
      <w:r>
        <w:rPr>
          <w:rFonts w:hint="eastAsia" w:ascii="仿宋" w:hAnsi="仿宋" w:eastAsia="仿宋"/>
          <w:b/>
          <w:color w:val="000000"/>
          <w:sz w:val="24"/>
          <w:highlight w:val="none"/>
        </w:rPr>
        <w:t>2）按照</w:t>
      </w:r>
      <w:r>
        <w:rPr>
          <w:rFonts w:hint="eastAsia" w:ascii="仿宋" w:hAnsi="仿宋" w:eastAsia="仿宋"/>
          <w:b/>
          <w:color w:val="000000"/>
          <w:sz w:val="24"/>
          <w:highlight w:val="none"/>
          <w:lang w:eastAsia="zh-CN"/>
        </w:rPr>
        <w:t>比选</w:t>
      </w:r>
      <w:r>
        <w:rPr>
          <w:rFonts w:hint="eastAsia" w:ascii="仿宋" w:hAnsi="仿宋" w:eastAsia="仿宋"/>
          <w:b/>
          <w:color w:val="000000"/>
          <w:sz w:val="24"/>
          <w:highlight w:val="none"/>
        </w:rPr>
        <w:t>公告的资格要求提供有效的实施经验证明材料，作为资格后审的评审依据。</w:t>
      </w:r>
    </w:p>
    <w:p>
      <w:pPr>
        <w:spacing w:line="360" w:lineRule="auto"/>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pPr>
        <w:spacing w:line="360" w:lineRule="auto"/>
        <w:jc w:val="left"/>
        <w:rPr>
          <w:rFonts w:hint="eastAsia" w:ascii="仿宋" w:hAnsi="仿宋" w:eastAsia="仿宋" w:cs="仿宋"/>
          <w:color w:val="000000"/>
          <w:sz w:val="24"/>
          <w:highlight w:val="none"/>
        </w:rPr>
      </w:pPr>
    </w:p>
    <w:p>
      <w:pPr>
        <w:spacing w:line="360" w:lineRule="auto"/>
        <w:ind w:firstLine="480"/>
        <w:jc w:val="left"/>
        <w:rPr>
          <w:rFonts w:hint="eastAsia" w:ascii="仿宋" w:hAnsi="仿宋" w:eastAsia="仿宋" w:cs="仿宋"/>
          <w:bCs/>
          <w:color w:val="000000"/>
          <w:sz w:val="24"/>
          <w:highlight w:val="none"/>
        </w:rPr>
      </w:pPr>
    </w:p>
    <w:p>
      <w:pPr>
        <w:pStyle w:val="261"/>
        <w:spacing w:line="360" w:lineRule="auto"/>
        <w:ind w:left="1575" w:firstLine="0"/>
        <w:rPr>
          <w:rFonts w:hint="eastAsia" w:ascii="仿宋" w:hAnsi="仿宋" w:eastAsia="仿宋" w:cs="仿宋"/>
          <w:bCs/>
          <w:color w:val="000000"/>
          <w:sz w:val="24"/>
          <w:highlight w:val="none"/>
        </w:rPr>
      </w:pPr>
    </w:p>
    <w:p>
      <w:pPr>
        <w:pStyle w:val="261"/>
        <w:spacing w:line="360" w:lineRule="auto"/>
        <w:ind w:left="1575" w:firstLine="0"/>
        <w:rPr>
          <w:rFonts w:hint="eastAsia" w:ascii="仿宋" w:hAnsi="仿宋" w:eastAsia="仿宋" w:cs="仿宋"/>
          <w:bCs/>
          <w:color w:val="000000"/>
          <w:sz w:val="24"/>
          <w:highlight w:val="none"/>
        </w:rPr>
      </w:pPr>
    </w:p>
    <w:p>
      <w:pPr>
        <w:spacing w:line="360" w:lineRule="auto"/>
        <w:ind w:firstLine="408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spacing w:line="360" w:lineRule="auto"/>
        <w:rPr>
          <w:rFonts w:hint="eastAsia" w:ascii="仿宋" w:hAnsi="仿宋" w:eastAsia="仿宋" w:cs="宋体"/>
          <w:color w:val="000000"/>
          <w:sz w:val="24"/>
          <w:highlight w:val="none"/>
        </w:rPr>
      </w:pP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、无违法违规记录查询截图</w:t>
      </w:r>
    </w:p>
    <w:p>
      <w:pPr>
        <w:spacing w:line="360" w:lineRule="auto"/>
        <w:ind w:firstLine="480"/>
        <w:rPr>
          <w:rStyle w:val="54"/>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rPr>
          <w:rFonts w:hint="eastAsia" w:ascii="仿宋" w:hAnsi="仿宋" w:eastAsia="仿宋" w:cs="宋体"/>
          <w:color w:val="000000"/>
          <w:sz w:val="24"/>
          <w:highlight w:val="none"/>
        </w:rPr>
        <w:t>https://www.creditchina.gov.cn/zhuanxiangchaxun/</w:t>
      </w:r>
    </w:p>
    <w:p>
      <w:pPr>
        <w:spacing w:line="360" w:lineRule="auto"/>
        <w:rPr>
          <w:color w:val="333333"/>
          <w:highlight w:val="none"/>
        </w:rPr>
      </w:pPr>
      <w:r>
        <w:rPr>
          <w:rFonts w:hint="eastAsia" w:ascii="仿宋" w:hAnsi="仿宋" w:eastAsia="仿宋" w:cs="Cambria Math"/>
          <w:sz w:val="24"/>
          <w:highlight w:val="none"/>
        </w:rPr>
        <w:t>（1）失信被执行人查询截图范例：</w:t>
      </w:r>
    </w:p>
    <w:p>
      <w:pPr>
        <w:ind w:firstLine="210"/>
        <w:rPr>
          <w:highlight w:val="none"/>
        </w:rPr>
      </w:pPr>
      <w:r>
        <w:rPr>
          <w:highlight w:val="none"/>
        </w:rPr>
        <w:drawing>
          <wp:inline distT="0" distB="0" distL="0" distR="0">
            <wp:extent cx="5909310" cy="3769360"/>
            <wp:effectExtent l="0" t="0" r="8890" b="2540"/>
            <wp:docPr id="10"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cca28b419ce15d5afdeea5a744e8556"/>
                    <pic:cNvPicPr>
                      <a:picLocks noChangeAspect="1"/>
                    </pic:cNvPicPr>
                  </pic:nvPicPr>
                  <pic:blipFill>
                    <a:blip r:embed="rId14"/>
                    <a:srcRect b="11950"/>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drawing>
          <wp:anchor distT="0" distB="0" distL="114300" distR="114300" simplePos="0" relativeHeight="251665408" behindDoc="0" locked="0" layoutInCell="1" allowOverlap="1">
            <wp:simplePos x="0" y="0"/>
            <wp:positionH relativeFrom="column">
              <wp:posOffset>-6350</wp:posOffset>
            </wp:positionH>
            <wp:positionV relativeFrom="paragraph">
              <wp:posOffset>184150</wp:posOffset>
            </wp:positionV>
            <wp:extent cx="6266180" cy="3373120"/>
            <wp:effectExtent l="0" t="0" r="1270" b="17780"/>
            <wp:wrapTopAndBottom/>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5"/>
                    <a:stretch>
                      <a:fillRect/>
                    </a:stretch>
                  </pic:blipFill>
                  <pic:spPr>
                    <a:xfrm>
                      <a:off x="0" y="0"/>
                      <a:ext cx="6266180" cy="3373120"/>
                    </a:xfrm>
                    <a:prstGeom prst="rect">
                      <a:avLst/>
                    </a:prstGeom>
                    <a:noFill/>
                    <a:ln>
                      <a:noFill/>
                    </a:ln>
                  </pic:spPr>
                </pic:pic>
              </a:graphicData>
            </a:graphic>
          </wp:anchor>
        </w:drawing>
      </w:r>
    </w:p>
    <w:p>
      <w:pPr>
        <w:ind w:firstLine="24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ind w:firstLine="210"/>
        <w:rPr>
          <w:highlight w:val="none"/>
        </w:rPr>
      </w:pPr>
      <w:r>
        <w:drawing>
          <wp:inline distT="0" distB="0" distL="0" distR="0">
            <wp:extent cx="6112510" cy="3175000"/>
            <wp:effectExtent l="0" t="0" r="2540" b="635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6"/>
                    <a:stretch>
                      <a:fillRect/>
                    </a:stretch>
                  </pic:blipFill>
                  <pic:spPr>
                    <a:xfrm>
                      <a:off x="0" y="0"/>
                      <a:ext cx="6112510" cy="3175000"/>
                    </a:xfrm>
                    <a:prstGeom prst="rect">
                      <a:avLst/>
                    </a:prstGeom>
                    <a:noFill/>
                    <a:ln>
                      <a:noFill/>
                    </a:ln>
                  </pic:spPr>
                </pic:pic>
              </a:graphicData>
            </a:graphic>
          </wp:inline>
        </w:drawing>
      </w:r>
    </w:p>
    <w:p>
      <w:pPr>
        <w:pStyle w:val="6"/>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spacing w:before="240" w:line="360" w:lineRule="auto"/>
        <w:ind w:firstLine="48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jc w:val="both"/>
        <w:rPr>
          <w:rFonts w:ascii="仿宋" w:hAnsi="仿宋" w:eastAsia="仿宋" w:cs="Cambria Math"/>
          <w:color w:val="000000"/>
          <w:sz w:val="24"/>
          <w:highlight w:val="none"/>
        </w:rPr>
      </w:pPr>
    </w:p>
    <w:p>
      <w:pPr>
        <w:pStyle w:val="2"/>
        <w:ind w:firstLine="48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280"/>
        <w:ind w:firstLine="640"/>
        <w:rPr>
          <w:rFonts w:ascii="仿宋" w:hAnsi="仿宋" w:eastAsia="仿宋"/>
          <w:highlight w:val="none"/>
        </w:rPr>
      </w:pPr>
    </w:p>
    <w:p>
      <w:pPr>
        <w:pStyle w:val="280"/>
        <w:ind w:firstLine="640"/>
        <w:rPr>
          <w:rFonts w:ascii="仿宋" w:hAnsi="仿宋" w:eastAsia="仿宋"/>
          <w:highlight w:val="none"/>
        </w:rPr>
      </w:pPr>
    </w:p>
    <w:p>
      <w:pPr>
        <w:spacing w:line="360" w:lineRule="auto"/>
        <w:ind w:firstLine="4080"/>
        <w:jc w:val="right"/>
        <w:rPr>
          <w:rFonts w:ascii="仿宋" w:hAnsi="仿宋" w:eastAsia="仿宋" w:cs="Cambria Math"/>
          <w:color w:val="000000"/>
          <w:sz w:val="24"/>
          <w:highlight w:val="none"/>
        </w:rPr>
      </w:pPr>
    </w:p>
    <w:p>
      <w:pPr>
        <w:spacing w:line="360" w:lineRule="auto"/>
        <w:ind w:firstLine="4080"/>
        <w:jc w:val="right"/>
        <w:rPr>
          <w:rFonts w:ascii="仿宋" w:hAnsi="仿宋" w:eastAsia="仿宋" w:cs="Cambria Math"/>
          <w:color w:val="000000"/>
          <w:sz w:val="24"/>
          <w:highlight w:val="none"/>
        </w:rPr>
      </w:pPr>
    </w:p>
    <w:p>
      <w:pPr>
        <w:spacing w:line="360" w:lineRule="auto"/>
        <w:ind w:firstLine="4080"/>
        <w:jc w:val="right"/>
        <w:rPr>
          <w:rFonts w:ascii="仿宋" w:hAnsi="仿宋" w:eastAsia="仿宋" w:cs="Cambria Math"/>
          <w:color w:val="000000"/>
          <w:sz w:val="24"/>
          <w:highlight w:val="none"/>
        </w:rPr>
      </w:pPr>
    </w:p>
    <w:p>
      <w:pPr>
        <w:spacing w:line="360" w:lineRule="auto"/>
        <w:ind w:firstLine="4080"/>
        <w:jc w:val="right"/>
        <w:rPr>
          <w:rFonts w:ascii="仿宋" w:hAnsi="仿宋" w:eastAsia="仿宋" w:cs="Cambria Math"/>
          <w:color w:val="000000"/>
          <w:sz w:val="24"/>
          <w:highlight w:val="none"/>
        </w:rPr>
      </w:pPr>
    </w:p>
    <w:p>
      <w:pPr>
        <w:spacing w:line="360" w:lineRule="auto"/>
        <w:ind w:firstLine="408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303"/>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clear="all"/>
      </w:r>
    </w:p>
    <w:p>
      <w:pPr>
        <w:pStyle w:val="6"/>
        <w:spacing w:before="0" w:after="0" w:line="360" w:lineRule="auto"/>
        <w:rPr>
          <w:rFonts w:hint="eastAsia" w:ascii="仿宋" w:hAnsi="仿宋" w:eastAsia="仿宋" w:cs="仿宋"/>
          <w:color w:val="000000"/>
          <w:sz w:val="24"/>
          <w:szCs w:val="24"/>
          <w:highlight w:val="none"/>
        </w:rPr>
      </w:pPr>
      <w:bookmarkStart w:id="197" w:name="_Hlk69983040"/>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、供应商控股及管理关系情况申报表</w:t>
      </w:r>
    </w:p>
    <w:p>
      <w:pPr>
        <w:pStyle w:val="261"/>
        <w:spacing w:before="240" w:after="240" w:line="360" w:lineRule="auto"/>
        <w:ind w:firstLine="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pPr>
        <w:spacing w:line="360" w:lineRule="auto"/>
        <w:ind w:left="0" w:firstLine="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spacing w:line="360" w:lineRule="auto"/>
        <w:ind w:left="-617" w:right="-512" w:firstLine="616"/>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4"/>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926" w:type="dxa"/>
            <w:vMerge w:val="restart"/>
            <w:noWrap w:val="0"/>
            <w:vAlign w:val="center"/>
          </w:tcPr>
          <w:p>
            <w:pPr>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926" w:type="dxa"/>
            <w:vMerge w:val="continue"/>
            <w:noWrap w:val="0"/>
            <w:vAlign w:val="center"/>
          </w:tcPr>
          <w:p>
            <w:pPr>
              <w:spacing w:line="440" w:lineRule="exact"/>
              <w:rPr>
                <w:rFonts w:hint="eastAsia" w:ascii="仿宋" w:hAnsi="仿宋" w:eastAsia="仿宋" w:cs="宋体"/>
                <w:color w:val="000000"/>
                <w:highlight w:val="none"/>
              </w:rPr>
            </w:pPr>
          </w:p>
        </w:tc>
        <w:tc>
          <w:tcPr>
            <w:tcW w:w="2356" w:type="dxa"/>
            <w:noWrap w:val="0"/>
            <w:vAlign w:val="center"/>
          </w:tcPr>
          <w:p>
            <w:pPr>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spacing w:line="440" w:lineRule="exact"/>
              <w:rPr>
                <w:rFonts w:hint="eastAsia" w:ascii="仿宋" w:hAnsi="仿宋" w:eastAsia="仿宋" w:cs="宋体"/>
                <w:color w:val="000000"/>
                <w:highlight w:val="none"/>
              </w:rPr>
            </w:pPr>
          </w:p>
        </w:tc>
        <w:tc>
          <w:tcPr>
            <w:tcW w:w="2356" w:type="dxa"/>
            <w:noWrap w:val="0"/>
            <w:vAlign w:val="center"/>
          </w:tcPr>
          <w:p>
            <w:pPr>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spacing w:line="440" w:lineRule="exact"/>
              <w:rPr>
                <w:rFonts w:hint="eastAsia" w:ascii="仿宋" w:hAnsi="仿宋" w:eastAsia="仿宋" w:cs="宋体"/>
                <w:color w:val="000000"/>
              </w:rPr>
            </w:pPr>
          </w:p>
        </w:tc>
        <w:tc>
          <w:tcPr>
            <w:tcW w:w="2356" w:type="dxa"/>
            <w:noWrap w:val="0"/>
            <w:vAlign w:val="center"/>
          </w:tcPr>
          <w:p>
            <w:pPr>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spacing w:line="360" w:lineRule="auto"/>
        <w:ind w:left="0" w:firstLine="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spacing w:line="360" w:lineRule="auto"/>
        <w:ind w:left="0" w:firstLine="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spacing w:line="360" w:lineRule="auto"/>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firstLine="408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非联合体</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响应声明</w:t>
      </w:r>
      <w:bookmarkEnd w:id="184"/>
      <w:bookmarkEnd w:id="197"/>
    </w:p>
    <w:p>
      <w:pPr>
        <w:pStyle w:val="2"/>
        <w:spacing w:before="240"/>
        <w:rPr>
          <w:rFonts w:hint="eastAsia" w:ascii="仿宋" w:hAnsi="仿宋" w:eastAsia="仿宋" w:cs="Cambria Math"/>
          <w:b/>
          <w:bCs/>
          <w:color w:val="000000"/>
          <w:sz w:val="24"/>
          <w:highlight w:val="none"/>
        </w:rPr>
      </w:pPr>
      <w:bookmarkStart w:id="198" w:name="_Toc517281859"/>
      <w:bookmarkStart w:id="199" w:name="_Toc432420841"/>
      <w:bookmarkStart w:id="200" w:name="_Toc71192048"/>
      <w:bookmarkStart w:id="201" w:name="_Toc20195"/>
      <w:r>
        <w:rPr>
          <w:rFonts w:hint="eastAsia" w:ascii="仿宋" w:hAnsi="仿宋" w:eastAsia="仿宋" w:cs="Cambria Math"/>
          <w:b/>
          <w:bCs/>
          <w:color w:val="000000"/>
          <w:sz w:val="24"/>
          <w:highlight w:val="none"/>
        </w:rPr>
        <w:t>非联合体</w:t>
      </w:r>
      <w:r>
        <w:rPr>
          <w:rFonts w:hint="eastAsia" w:ascii="仿宋" w:hAnsi="仿宋" w:eastAsia="仿宋" w:cs="Cambria Math"/>
          <w:b/>
          <w:bCs/>
          <w:color w:val="000000"/>
          <w:sz w:val="24"/>
          <w:highlight w:val="none"/>
          <w:lang w:eastAsia="zh-CN"/>
        </w:rPr>
        <w:t>比选</w:t>
      </w:r>
      <w:r>
        <w:rPr>
          <w:rFonts w:hint="eastAsia" w:ascii="仿宋" w:hAnsi="仿宋" w:eastAsia="仿宋" w:cs="Cambria Math"/>
          <w:b/>
          <w:bCs/>
          <w:color w:val="000000"/>
          <w:sz w:val="24"/>
          <w:highlight w:val="none"/>
        </w:rPr>
        <w:t>响应声明</w:t>
      </w:r>
    </w:p>
    <w:p>
      <w:pPr>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pPr>
        <w:spacing w:before="240" w:line="360" w:lineRule="auto"/>
        <w:ind w:firstLine="48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响应，非联合体参与</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w:t>
      </w:r>
      <w:r>
        <w:rPr>
          <w:rFonts w:ascii="仿宋" w:hAnsi="仿宋" w:eastAsia="仿宋" w:cs="Cambria Math"/>
          <w:color w:val="000000"/>
          <w:sz w:val="24"/>
          <w:highlight w:val="none"/>
        </w:rPr>
        <w:t xml:space="preserve"> </w:t>
      </w:r>
    </w:p>
    <w:p>
      <w:pPr>
        <w:pStyle w:val="2"/>
        <w:ind w:firstLine="48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280"/>
        <w:ind w:firstLine="640"/>
        <w:rPr>
          <w:rFonts w:ascii="仿宋" w:hAnsi="仿宋" w:eastAsia="仿宋"/>
          <w:highlight w:val="none"/>
        </w:rPr>
      </w:pPr>
    </w:p>
    <w:p>
      <w:pPr>
        <w:pStyle w:val="280"/>
        <w:ind w:firstLine="640"/>
        <w:rPr>
          <w:rFonts w:ascii="仿宋" w:hAnsi="仿宋" w:eastAsia="仿宋"/>
          <w:highlight w:val="none"/>
        </w:rPr>
      </w:pPr>
    </w:p>
    <w:p>
      <w:pPr>
        <w:pStyle w:val="280"/>
        <w:ind w:firstLine="640"/>
        <w:rPr>
          <w:rFonts w:ascii="仿宋" w:hAnsi="仿宋" w:eastAsia="仿宋"/>
          <w:highlight w:val="none"/>
        </w:rPr>
      </w:pPr>
    </w:p>
    <w:p>
      <w:pPr>
        <w:pStyle w:val="280"/>
        <w:ind w:firstLine="640"/>
        <w:rPr>
          <w:rFonts w:ascii="仿宋" w:hAnsi="仿宋" w:eastAsia="仿宋"/>
          <w:highlight w:val="none"/>
        </w:rPr>
      </w:pPr>
    </w:p>
    <w:p>
      <w:pPr>
        <w:pStyle w:val="280"/>
        <w:ind w:firstLine="640"/>
        <w:rPr>
          <w:rFonts w:ascii="仿宋" w:hAnsi="仿宋" w:eastAsia="仿宋"/>
          <w:highlight w:val="none"/>
        </w:rPr>
      </w:pPr>
    </w:p>
    <w:p>
      <w:pPr>
        <w:pStyle w:val="280"/>
        <w:ind w:firstLine="640"/>
        <w:rPr>
          <w:rFonts w:ascii="仿宋" w:hAnsi="仿宋" w:eastAsia="仿宋"/>
          <w:highlight w:val="none"/>
        </w:rPr>
      </w:pPr>
    </w:p>
    <w:p>
      <w:pPr>
        <w:pStyle w:val="280"/>
        <w:ind w:firstLine="640"/>
        <w:rPr>
          <w:rFonts w:hint="eastAsia" w:ascii="仿宋" w:hAnsi="仿宋" w:eastAsia="仿宋"/>
          <w:highlight w:val="none"/>
        </w:rPr>
      </w:pPr>
    </w:p>
    <w:p>
      <w:pPr>
        <w:spacing w:line="360" w:lineRule="auto"/>
        <w:ind w:firstLine="408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hint="eastAsia" w:ascii="仿宋" w:hAnsi="仿宋" w:eastAsia="仿宋" w:cs="仿宋"/>
          <w:color w:val="000000"/>
          <w:highlight w:val="none"/>
          <w:u w:val="single"/>
        </w:rPr>
      </w:pPr>
    </w:p>
    <w:p>
      <w:pPr>
        <w:pStyle w:val="5"/>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sectPr>
      </w:pPr>
      <w:r>
        <w:rPr>
          <w:rFonts w:ascii="仿宋" w:hAnsi="仿宋" w:eastAsia="仿宋" w:cs="仿宋"/>
          <w:color w:val="000000"/>
          <w:sz w:val="24"/>
          <w:szCs w:val="24"/>
          <w:highlight w:val="none"/>
        </w:rPr>
        <w:br w:type="page" w:clear="all"/>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02" w:name="_Toc17890"/>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hint="eastAsia" w:ascii="仿宋" w:hAnsi="仿宋" w:eastAsia="仿宋" w:cs="仿宋"/>
          <w:color w:val="000000"/>
          <w:sz w:val="24"/>
          <w:szCs w:val="24"/>
          <w:highlight w:val="none"/>
        </w:rPr>
        <w:t>）供应商行为准则承诺书</w:t>
      </w:r>
      <w:bookmarkEnd w:id="202"/>
    </w:p>
    <w:p>
      <w:pPr>
        <w:spacing w:line="240" w:lineRule="auto"/>
        <w:jc w:val="center"/>
        <w:rPr>
          <w:rFonts w:ascii="仿宋" w:hAnsi="仿宋" w:eastAsia="仿宋" w:cs="宋体"/>
          <w:b/>
          <w:bCs/>
          <w:color w:val="000000"/>
          <w:sz w:val="28"/>
          <w:szCs w:val="28"/>
          <w:highlight w:val="none"/>
        </w:rPr>
      </w:pPr>
      <w:bookmarkStart w:id="203" w:name="_Toc15599"/>
      <w:r>
        <w:rPr>
          <w:rFonts w:hint="eastAsia" w:ascii="仿宋" w:hAnsi="仿宋" w:eastAsia="仿宋" w:cs="宋体"/>
          <w:b/>
          <w:bCs/>
          <w:color w:val="000000"/>
          <w:sz w:val="28"/>
          <w:szCs w:val="28"/>
          <w:highlight w:val="none"/>
        </w:rPr>
        <w:t>供应商行为准则承诺书</w:t>
      </w:r>
    </w:p>
    <w:p>
      <w:pPr>
        <w:spacing w:line="360" w:lineRule="auto"/>
        <w:ind w:firstLine="480"/>
        <w:rPr>
          <w:rFonts w:hint="eastAsia" w:ascii="仿宋" w:hAnsi="仿宋" w:eastAsia="仿宋" w:cs="仿宋"/>
          <w:color w:val="000000"/>
          <w:sz w:val="24"/>
        </w:rPr>
      </w:pP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295"/>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5"/>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clear="all"/>
      </w:r>
      <w:bookmarkStart w:id="204" w:name="_Toc8068"/>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六</w:t>
      </w:r>
      <w:r>
        <w:rPr>
          <w:rFonts w:hint="eastAsia" w:ascii="仿宋" w:hAnsi="仿宋" w:eastAsia="仿宋" w:cs="宋体"/>
          <w:bCs w:val="0"/>
          <w:color w:val="000000"/>
          <w:sz w:val="24"/>
          <w:szCs w:val="24"/>
          <w:highlight w:val="none"/>
        </w:rPr>
        <w:t>）供应商廉洁诚信承诺书</w:t>
      </w:r>
      <w:bookmarkEnd w:id="203"/>
      <w:bookmarkEnd w:id="204"/>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rPr>
          <w:rFonts w:hint="eastAsia" w:ascii="仿宋" w:hAnsi="仿宋" w:eastAsia="仿宋" w:cs="宋体"/>
          <w:color w:val="000000"/>
          <w:sz w:val="24"/>
        </w:rPr>
      </w:pP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rPr>
          <w:rFonts w:hint="eastAsia" w:ascii="仿宋" w:hAnsi="仿宋" w:eastAsia="仿宋" w:cs="宋体"/>
          <w:color w:val="000000"/>
          <w:sz w:val="24"/>
        </w:rPr>
      </w:pP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rPr>
          <w:rFonts w:hint="eastAsia" w:ascii="仿宋" w:hAnsi="仿宋" w:eastAsia="仿宋" w:cs="宋体"/>
          <w:color w:val="000000"/>
          <w:sz w:val="24"/>
        </w:rPr>
      </w:pPr>
    </w:p>
    <w:p>
      <w:pPr>
        <w:tabs>
          <w:tab w:val="left" w:pos="458"/>
        </w:tabs>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rPr>
          <w:rFonts w:ascii="仿宋" w:hAnsi="仿宋" w:eastAsia="仿宋" w:cs="仿宋"/>
          <w:color w:val="000000"/>
          <w:sz w:val="24"/>
          <w:szCs w:val="24"/>
          <w:highlight w:val="none"/>
        </w:rPr>
      </w:pPr>
      <w:r>
        <w:rPr>
          <w:rFonts w:hint="eastAsia" w:ascii="仿宋" w:hAnsi="仿宋" w:eastAsia="仿宋" w:cs="仿宋"/>
          <w:b w:val="0"/>
          <w:bCs w:val="0"/>
          <w:color w:val="000000"/>
          <w:sz w:val="24"/>
          <w:szCs w:val="24"/>
          <w:lang w:val="en-US" w:eastAsia="zh-CN" w:bidi="ar-SA"/>
        </w:rPr>
        <w:t>日期：__________________________________</w:t>
      </w:r>
      <w:r>
        <w:rPr>
          <w:rFonts w:hint="eastAsia" w:ascii="仿宋" w:hAnsi="仿宋" w:eastAsia="仿宋" w:cs="仿宋"/>
          <w:color w:val="000000"/>
          <w:highlight w:val="none"/>
        </w:rPr>
        <w:br w:type="page" w:clear="all"/>
      </w:r>
      <w:r>
        <w:rPr>
          <w:rStyle w:val="212"/>
          <w:rFonts w:hint="eastAsia" w:ascii="仿宋" w:hAnsi="仿宋" w:eastAsia="仿宋" w:cs="仿宋"/>
          <w:sz w:val="24"/>
          <w:szCs w:val="24"/>
        </w:rPr>
        <w:t>（</w:t>
      </w:r>
      <w:r>
        <w:rPr>
          <w:rStyle w:val="212"/>
          <w:rFonts w:hint="eastAsia" w:ascii="仿宋" w:hAnsi="仿宋" w:eastAsia="仿宋" w:cs="仿宋"/>
          <w:sz w:val="24"/>
          <w:szCs w:val="24"/>
          <w:lang w:val="en-US" w:eastAsia="zh-CN"/>
        </w:rPr>
        <w:t>七</w:t>
      </w:r>
      <w:r>
        <w:rPr>
          <w:rStyle w:val="212"/>
          <w:rFonts w:hint="eastAsia" w:ascii="仿宋" w:hAnsi="仿宋" w:eastAsia="仿宋" w:cs="仿宋"/>
          <w:sz w:val="24"/>
          <w:szCs w:val="24"/>
        </w:rPr>
        <w:t>）其他材料</w:t>
      </w:r>
    </w:p>
    <w:p>
      <w:pPr>
        <w:spacing w:line="360" w:lineRule="auto"/>
        <w:rPr>
          <w:rFonts w:hint="eastAsia" w:ascii="仿宋" w:hAnsi="仿宋" w:eastAsia="仿宋" w:cs="仿宋"/>
          <w:color w:val="000000"/>
          <w:sz w:val="24"/>
          <w:highlight w:val="none"/>
        </w:rPr>
        <w:sectPr>
          <w:pgSz w:w="11906" w:h="16838"/>
          <w:pgMar w:top="1417" w:right="1134" w:bottom="1134" w:left="1134" w:header="964" w:footer="964" w:gutter="0"/>
          <w:cols w:space="720" w:num="1"/>
        </w:sect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bookmarkEnd w:id="185"/>
      <w:bookmarkEnd w:id="186"/>
      <w:bookmarkEnd w:id="187"/>
      <w:bookmarkEnd w:id="188"/>
      <w:bookmarkEnd w:id="189"/>
      <w:bookmarkEnd w:id="190"/>
      <w:bookmarkEnd w:id="191"/>
      <w:bookmarkEnd w:id="192"/>
      <w:bookmarkEnd w:id="193"/>
      <w:bookmarkEnd w:id="194"/>
      <w:bookmarkEnd w:id="195"/>
      <w:bookmarkEnd w:id="196"/>
      <w:bookmarkEnd w:id="198"/>
      <w:bookmarkEnd w:id="199"/>
      <w:bookmarkEnd w:id="200"/>
      <w:bookmarkEnd w:id="201"/>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p>
    <w:p>
      <w:pPr>
        <w:pStyle w:val="4"/>
        <w:ind w:firstLine="0"/>
        <w:jc w:val="both"/>
        <w:rPr>
          <w:rFonts w:hint="eastAsia" w:ascii="仿宋" w:hAnsi="仿宋" w:eastAsia="仿宋" w:cs="仿宋"/>
          <w:color w:val="000000"/>
          <w:sz w:val="24"/>
          <w:szCs w:val="24"/>
          <w:highlight w:val="none"/>
        </w:rPr>
      </w:pPr>
      <w:bookmarkStart w:id="205" w:name="_Toc28698"/>
      <w:r>
        <w:rPr>
          <w:rFonts w:hint="eastAsia" w:ascii="仿宋" w:hAnsi="仿宋" w:eastAsia="仿宋" w:cs="仿宋"/>
          <w:color w:val="000000"/>
          <w:sz w:val="24"/>
          <w:szCs w:val="24"/>
          <w:highlight w:val="none"/>
        </w:rPr>
        <w:t>二、技术文件</w:t>
      </w:r>
      <w:bookmarkEnd w:id="205"/>
    </w:p>
    <w:p>
      <w:pPr>
        <w:rPr>
          <w:rFonts w:hint="eastAsia" w:ascii="仿宋" w:hAnsi="仿宋" w:eastAsia="仿宋" w:cs="仿宋"/>
          <w:color w:val="000000"/>
          <w:sz w:val="24"/>
          <w:highlight w:val="none"/>
        </w:rPr>
      </w:pPr>
      <w:bookmarkStart w:id="206" w:name="_Toc23108"/>
      <w:r>
        <w:rPr>
          <w:rFonts w:hint="eastAsia" w:ascii="仿宋" w:hAnsi="仿宋" w:eastAsia="仿宋" w:cs="仿宋"/>
          <w:color w:val="000000"/>
          <w:sz w:val="24"/>
          <w:szCs w:val="24"/>
          <w:highlight w:val="none"/>
        </w:rPr>
        <w:br w:type="page" w:clear="all"/>
      </w:r>
      <w:bookmarkEnd w:id="206"/>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07" w:name="_Toc8284"/>
      <w:r>
        <w:rPr>
          <w:rFonts w:hint="eastAsia" w:ascii="仿宋" w:hAnsi="仿宋" w:eastAsia="仿宋" w:cs="仿宋"/>
          <w:color w:val="000000"/>
          <w:sz w:val="24"/>
          <w:szCs w:val="24"/>
          <w:highlight w:val="none"/>
        </w:rPr>
        <w:t>（二）技术方案</w:t>
      </w:r>
      <w:bookmarkEnd w:id="207"/>
    </w:p>
    <w:p>
      <w:pPr>
        <w:spacing w:line="360" w:lineRule="auto"/>
        <w:ind w:firstLine="48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Start w:id="208" w:name="_Toc444891358"/>
      <w:bookmarkStart w:id="209" w:name="_Toc517281860"/>
      <w:r>
        <w:rPr>
          <w:rFonts w:hint="eastAsia" w:ascii="仿宋" w:hAnsi="仿宋" w:eastAsia="仿宋" w:cs="仿宋"/>
          <w:color w:val="000000"/>
          <w:sz w:val="24"/>
          <w:highlight w:val="none"/>
        </w:rPr>
        <w:br w:type="page" w:clear="all"/>
      </w:r>
    </w:p>
    <w:p>
      <w:pPr>
        <w:pStyle w:val="6"/>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tbl>
      <w:tblPr>
        <w:tblStyle w:val="44"/>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pPr>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pPr>
              <w:spacing w:line="360" w:lineRule="auto"/>
              <w:jc w:val="center"/>
              <w:rPr>
                <w:rFonts w:hint="eastAsia" w:ascii="仿宋" w:hAnsi="仿宋" w:eastAsia="仿宋" w:cs="仿宋"/>
                <w:color w:val="000000"/>
                <w:szCs w:val="21"/>
                <w:highlight w:val="none"/>
              </w:rPr>
            </w:pPr>
          </w:p>
        </w:tc>
        <w:tc>
          <w:tcPr>
            <w:tcW w:w="851" w:type="dxa"/>
            <w:noWrap w:val="0"/>
            <w:vAlign w:val="top"/>
          </w:tcPr>
          <w:p>
            <w:pPr>
              <w:spacing w:line="360" w:lineRule="auto"/>
              <w:jc w:val="center"/>
              <w:rPr>
                <w:rFonts w:hint="eastAsia" w:ascii="仿宋" w:hAnsi="仿宋" w:eastAsia="仿宋" w:cs="仿宋"/>
                <w:color w:val="000000"/>
                <w:szCs w:val="21"/>
                <w:highlight w:val="none"/>
              </w:rPr>
            </w:pPr>
          </w:p>
        </w:tc>
        <w:tc>
          <w:tcPr>
            <w:tcW w:w="980" w:type="dxa"/>
            <w:noWrap w:val="0"/>
            <w:vAlign w:val="center"/>
          </w:tcPr>
          <w:p>
            <w:pPr>
              <w:spacing w:line="360" w:lineRule="auto"/>
              <w:jc w:val="center"/>
              <w:rPr>
                <w:rFonts w:hint="eastAsia" w:ascii="仿宋" w:hAnsi="仿宋" w:eastAsia="仿宋" w:cs="仿宋"/>
                <w:color w:val="000000"/>
                <w:szCs w:val="21"/>
                <w:highlight w:val="none"/>
              </w:rPr>
            </w:pPr>
          </w:p>
        </w:tc>
        <w:tc>
          <w:tcPr>
            <w:tcW w:w="992" w:type="dxa"/>
            <w:noWrap w:val="0"/>
            <w:vAlign w:val="center"/>
          </w:tcPr>
          <w:p>
            <w:pPr>
              <w:spacing w:line="360" w:lineRule="auto"/>
              <w:jc w:val="center"/>
              <w:rPr>
                <w:rFonts w:hint="eastAsia" w:ascii="仿宋" w:hAnsi="仿宋" w:eastAsia="仿宋" w:cs="仿宋"/>
                <w:color w:val="000000"/>
                <w:szCs w:val="21"/>
                <w:highlight w:val="none"/>
              </w:rPr>
            </w:pPr>
          </w:p>
        </w:tc>
        <w:tc>
          <w:tcPr>
            <w:tcW w:w="1276" w:type="dxa"/>
            <w:noWrap w:val="0"/>
            <w:vAlign w:val="center"/>
          </w:tcPr>
          <w:p>
            <w:pPr>
              <w:spacing w:line="360" w:lineRule="auto"/>
              <w:jc w:val="center"/>
              <w:rPr>
                <w:rFonts w:hint="eastAsia" w:ascii="仿宋" w:hAnsi="仿宋" w:eastAsia="仿宋" w:cs="仿宋"/>
                <w:color w:val="000000"/>
                <w:szCs w:val="21"/>
                <w:highlight w:val="none"/>
              </w:rPr>
            </w:pPr>
          </w:p>
        </w:tc>
        <w:tc>
          <w:tcPr>
            <w:tcW w:w="1134" w:type="dxa"/>
            <w:noWrap w:val="0"/>
            <w:vAlign w:val="center"/>
          </w:tcPr>
          <w:p>
            <w:pPr>
              <w:spacing w:line="360" w:lineRule="auto"/>
              <w:jc w:val="center"/>
              <w:rPr>
                <w:rFonts w:hint="eastAsia" w:ascii="仿宋" w:hAnsi="仿宋" w:eastAsia="仿宋" w:cs="仿宋"/>
                <w:color w:val="000000"/>
                <w:szCs w:val="21"/>
                <w:highlight w:val="none"/>
              </w:rPr>
            </w:pPr>
          </w:p>
        </w:tc>
        <w:tc>
          <w:tcPr>
            <w:tcW w:w="1695" w:type="dxa"/>
            <w:noWrap w:val="0"/>
            <w:vAlign w:val="center"/>
          </w:tcPr>
          <w:p>
            <w:pPr>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pPr>
              <w:spacing w:line="360" w:lineRule="auto"/>
              <w:jc w:val="center"/>
              <w:rPr>
                <w:rFonts w:hint="eastAsia" w:ascii="仿宋" w:hAnsi="仿宋" w:eastAsia="仿宋" w:cs="仿宋"/>
                <w:color w:val="000000"/>
                <w:szCs w:val="21"/>
                <w:highlight w:val="none"/>
              </w:rPr>
            </w:pPr>
          </w:p>
        </w:tc>
        <w:tc>
          <w:tcPr>
            <w:tcW w:w="851" w:type="dxa"/>
            <w:noWrap w:val="0"/>
            <w:vAlign w:val="top"/>
          </w:tcPr>
          <w:p>
            <w:pPr>
              <w:spacing w:line="360" w:lineRule="auto"/>
              <w:jc w:val="center"/>
              <w:rPr>
                <w:rFonts w:hint="eastAsia" w:ascii="仿宋" w:hAnsi="仿宋" w:eastAsia="仿宋" w:cs="仿宋"/>
                <w:color w:val="000000"/>
                <w:szCs w:val="21"/>
                <w:highlight w:val="none"/>
              </w:rPr>
            </w:pPr>
          </w:p>
        </w:tc>
        <w:tc>
          <w:tcPr>
            <w:tcW w:w="980" w:type="dxa"/>
            <w:noWrap w:val="0"/>
            <w:vAlign w:val="center"/>
          </w:tcPr>
          <w:p>
            <w:pPr>
              <w:spacing w:line="360" w:lineRule="auto"/>
              <w:jc w:val="center"/>
              <w:rPr>
                <w:rFonts w:hint="eastAsia" w:ascii="仿宋" w:hAnsi="仿宋" w:eastAsia="仿宋" w:cs="仿宋"/>
                <w:color w:val="000000"/>
                <w:szCs w:val="21"/>
                <w:highlight w:val="none"/>
              </w:rPr>
            </w:pPr>
          </w:p>
        </w:tc>
        <w:tc>
          <w:tcPr>
            <w:tcW w:w="992" w:type="dxa"/>
            <w:noWrap w:val="0"/>
            <w:vAlign w:val="center"/>
          </w:tcPr>
          <w:p>
            <w:pPr>
              <w:spacing w:line="360" w:lineRule="auto"/>
              <w:jc w:val="center"/>
              <w:rPr>
                <w:rFonts w:hint="eastAsia" w:ascii="仿宋" w:hAnsi="仿宋" w:eastAsia="仿宋" w:cs="仿宋"/>
                <w:color w:val="000000"/>
                <w:szCs w:val="21"/>
                <w:highlight w:val="none"/>
              </w:rPr>
            </w:pPr>
          </w:p>
        </w:tc>
        <w:tc>
          <w:tcPr>
            <w:tcW w:w="1276" w:type="dxa"/>
            <w:noWrap w:val="0"/>
            <w:vAlign w:val="center"/>
          </w:tcPr>
          <w:p>
            <w:pPr>
              <w:spacing w:line="360" w:lineRule="auto"/>
              <w:jc w:val="center"/>
              <w:rPr>
                <w:rFonts w:hint="eastAsia" w:ascii="仿宋" w:hAnsi="仿宋" w:eastAsia="仿宋" w:cs="仿宋"/>
                <w:color w:val="000000"/>
                <w:szCs w:val="21"/>
                <w:highlight w:val="none"/>
              </w:rPr>
            </w:pPr>
          </w:p>
        </w:tc>
        <w:tc>
          <w:tcPr>
            <w:tcW w:w="1134" w:type="dxa"/>
            <w:noWrap w:val="0"/>
            <w:vAlign w:val="center"/>
          </w:tcPr>
          <w:p>
            <w:pPr>
              <w:spacing w:line="360" w:lineRule="auto"/>
              <w:jc w:val="center"/>
              <w:rPr>
                <w:rFonts w:hint="eastAsia" w:ascii="仿宋" w:hAnsi="仿宋" w:eastAsia="仿宋" w:cs="仿宋"/>
                <w:color w:val="000000"/>
                <w:szCs w:val="21"/>
                <w:highlight w:val="none"/>
              </w:rPr>
            </w:pPr>
          </w:p>
        </w:tc>
        <w:tc>
          <w:tcPr>
            <w:tcW w:w="1695" w:type="dxa"/>
            <w:noWrap w:val="0"/>
            <w:vAlign w:val="center"/>
          </w:tcPr>
          <w:p>
            <w:pPr>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pPr>
              <w:spacing w:line="360" w:lineRule="auto"/>
              <w:jc w:val="center"/>
              <w:rPr>
                <w:rFonts w:hint="eastAsia" w:ascii="仿宋" w:hAnsi="仿宋" w:eastAsia="仿宋" w:cs="仿宋"/>
                <w:color w:val="000000"/>
                <w:szCs w:val="21"/>
                <w:highlight w:val="none"/>
              </w:rPr>
            </w:pPr>
          </w:p>
        </w:tc>
        <w:tc>
          <w:tcPr>
            <w:tcW w:w="851" w:type="dxa"/>
            <w:noWrap w:val="0"/>
            <w:vAlign w:val="top"/>
          </w:tcPr>
          <w:p>
            <w:pPr>
              <w:spacing w:line="360" w:lineRule="auto"/>
              <w:jc w:val="center"/>
              <w:rPr>
                <w:rFonts w:hint="eastAsia" w:ascii="仿宋" w:hAnsi="仿宋" w:eastAsia="仿宋" w:cs="仿宋"/>
                <w:color w:val="000000"/>
                <w:szCs w:val="21"/>
                <w:highlight w:val="none"/>
              </w:rPr>
            </w:pPr>
          </w:p>
        </w:tc>
        <w:tc>
          <w:tcPr>
            <w:tcW w:w="980" w:type="dxa"/>
            <w:noWrap w:val="0"/>
            <w:vAlign w:val="center"/>
          </w:tcPr>
          <w:p>
            <w:pPr>
              <w:spacing w:line="360" w:lineRule="auto"/>
              <w:jc w:val="center"/>
              <w:rPr>
                <w:rFonts w:hint="eastAsia" w:ascii="仿宋" w:hAnsi="仿宋" w:eastAsia="仿宋" w:cs="仿宋"/>
                <w:color w:val="000000"/>
                <w:szCs w:val="21"/>
                <w:highlight w:val="none"/>
              </w:rPr>
            </w:pPr>
          </w:p>
        </w:tc>
        <w:tc>
          <w:tcPr>
            <w:tcW w:w="992" w:type="dxa"/>
            <w:noWrap w:val="0"/>
            <w:vAlign w:val="center"/>
          </w:tcPr>
          <w:p>
            <w:pPr>
              <w:spacing w:line="360" w:lineRule="auto"/>
              <w:jc w:val="center"/>
              <w:rPr>
                <w:rFonts w:hint="eastAsia" w:ascii="仿宋" w:hAnsi="仿宋" w:eastAsia="仿宋" w:cs="仿宋"/>
                <w:color w:val="000000"/>
                <w:szCs w:val="21"/>
                <w:highlight w:val="none"/>
              </w:rPr>
            </w:pPr>
          </w:p>
        </w:tc>
        <w:tc>
          <w:tcPr>
            <w:tcW w:w="1276" w:type="dxa"/>
            <w:noWrap w:val="0"/>
            <w:vAlign w:val="center"/>
          </w:tcPr>
          <w:p>
            <w:pPr>
              <w:spacing w:line="360" w:lineRule="auto"/>
              <w:jc w:val="center"/>
              <w:rPr>
                <w:rFonts w:hint="eastAsia" w:ascii="仿宋" w:hAnsi="仿宋" w:eastAsia="仿宋" w:cs="仿宋"/>
                <w:color w:val="000000"/>
                <w:szCs w:val="21"/>
                <w:highlight w:val="none"/>
              </w:rPr>
            </w:pPr>
          </w:p>
        </w:tc>
        <w:tc>
          <w:tcPr>
            <w:tcW w:w="1134" w:type="dxa"/>
            <w:noWrap w:val="0"/>
            <w:vAlign w:val="center"/>
          </w:tcPr>
          <w:p>
            <w:pPr>
              <w:spacing w:line="360" w:lineRule="auto"/>
              <w:jc w:val="center"/>
              <w:rPr>
                <w:rFonts w:hint="eastAsia" w:ascii="仿宋" w:hAnsi="仿宋" w:eastAsia="仿宋" w:cs="仿宋"/>
                <w:color w:val="000000"/>
                <w:szCs w:val="21"/>
                <w:highlight w:val="none"/>
              </w:rPr>
            </w:pPr>
          </w:p>
        </w:tc>
        <w:tc>
          <w:tcPr>
            <w:tcW w:w="1695" w:type="dxa"/>
            <w:noWrap w:val="0"/>
            <w:vAlign w:val="center"/>
          </w:tcPr>
          <w:p>
            <w:pPr>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pPr>
              <w:spacing w:line="360" w:lineRule="auto"/>
              <w:jc w:val="center"/>
              <w:rPr>
                <w:rFonts w:hint="eastAsia" w:ascii="仿宋" w:hAnsi="仿宋" w:eastAsia="仿宋" w:cs="仿宋"/>
                <w:color w:val="000000"/>
                <w:szCs w:val="21"/>
                <w:highlight w:val="none"/>
              </w:rPr>
            </w:pPr>
          </w:p>
        </w:tc>
        <w:tc>
          <w:tcPr>
            <w:tcW w:w="851" w:type="dxa"/>
            <w:noWrap w:val="0"/>
            <w:vAlign w:val="top"/>
          </w:tcPr>
          <w:p>
            <w:pPr>
              <w:spacing w:line="360" w:lineRule="auto"/>
              <w:jc w:val="center"/>
              <w:rPr>
                <w:rFonts w:hint="eastAsia" w:ascii="仿宋" w:hAnsi="仿宋" w:eastAsia="仿宋" w:cs="仿宋"/>
                <w:color w:val="000000"/>
                <w:szCs w:val="21"/>
                <w:highlight w:val="none"/>
              </w:rPr>
            </w:pPr>
          </w:p>
        </w:tc>
        <w:tc>
          <w:tcPr>
            <w:tcW w:w="980" w:type="dxa"/>
            <w:noWrap w:val="0"/>
            <w:vAlign w:val="center"/>
          </w:tcPr>
          <w:p>
            <w:pPr>
              <w:spacing w:line="360" w:lineRule="auto"/>
              <w:jc w:val="center"/>
              <w:rPr>
                <w:rFonts w:hint="eastAsia" w:ascii="仿宋" w:hAnsi="仿宋" w:eastAsia="仿宋" w:cs="仿宋"/>
                <w:color w:val="000000"/>
                <w:szCs w:val="21"/>
                <w:highlight w:val="none"/>
              </w:rPr>
            </w:pPr>
          </w:p>
        </w:tc>
        <w:tc>
          <w:tcPr>
            <w:tcW w:w="992" w:type="dxa"/>
            <w:noWrap w:val="0"/>
            <w:vAlign w:val="center"/>
          </w:tcPr>
          <w:p>
            <w:pPr>
              <w:spacing w:line="360" w:lineRule="auto"/>
              <w:jc w:val="center"/>
              <w:rPr>
                <w:rFonts w:hint="eastAsia" w:ascii="仿宋" w:hAnsi="仿宋" w:eastAsia="仿宋" w:cs="仿宋"/>
                <w:color w:val="000000"/>
                <w:szCs w:val="21"/>
                <w:highlight w:val="none"/>
              </w:rPr>
            </w:pPr>
          </w:p>
        </w:tc>
        <w:tc>
          <w:tcPr>
            <w:tcW w:w="1276" w:type="dxa"/>
            <w:noWrap w:val="0"/>
            <w:vAlign w:val="center"/>
          </w:tcPr>
          <w:p>
            <w:pPr>
              <w:spacing w:line="360" w:lineRule="auto"/>
              <w:jc w:val="center"/>
              <w:rPr>
                <w:rFonts w:hint="eastAsia" w:ascii="仿宋" w:hAnsi="仿宋" w:eastAsia="仿宋" w:cs="仿宋"/>
                <w:color w:val="000000"/>
                <w:szCs w:val="21"/>
                <w:highlight w:val="none"/>
              </w:rPr>
            </w:pPr>
          </w:p>
        </w:tc>
        <w:tc>
          <w:tcPr>
            <w:tcW w:w="1134" w:type="dxa"/>
            <w:noWrap w:val="0"/>
            <w:vAlign w:val="center"/>
          </w:tcPr>
          <w:p>
            <w:pPr>
              <w:spacing w:line="360" w:lineRule="auto"/>
              <w:jc w:val="center"/>
              <w:rPr>
                <w:rFonts w:hint="eastAsia" w:ascii="仿宋" w:hAnsi="仿宋" w:eastAsia="仿宋" w:cs="仿宋"/>
                <w:color w:val="000000"/>
                <w:szCs w:val="21"/>
                <w:highlight w:val="none"/>
              </w:rPr>
            </w:pPr>
          </w:p>
        </w:tc>
        <w:tc>
          <w:tcPr>
            <w:tcW w:w="1695" w:type="dxa"/>
            <w:noWrap w:val="0"/>
            <w:vAlign w:val="center"/>
          </w:tcPr>
          <w:p>
            <w:pPr>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pacing w:line="360" w:lineRule="auto"/>
              <w:jc w:val="center"/>
              <w:rPr>
                <w:rFonts w:hint="eastAsia" w:ascii="仿宋" w:hAnsi="仿宋" w:eastAsia="仿宋" w:cs="仿宋"/>
                <w:color w:val="000000"/>
                <w:szCs w:val="21"/>
                <w:highlight w:val="none"/>
              </w:rPr>
            </w:pPr>
          </w:p>
        </w:tc>
        <w:tc>
          <w:tcPr>
            <w:tcW w:w="851" w:type="dxa"/>
            <w:noWrap w:val="0"/>
            <w:vAlign w:val="top"/>
          </w:tcPr>
          <w:p>
            <w:pPr>
              <w:spacing w:line="360" w:lineRule="auto"/>
              <w:jc w:val="center"/>
              <w:rPr>
                <w:rFonts w:hint="eastAsia" w:ascii="仿宋" w:hAnsi="仿宋" w:eastAsia="仿宋" w:cs="仿宋"/>
                <w:color w:val="000000"/>
                <w:szCs w:val="21"/>
                <w:highlight w:val="none"/>
              </w:rPr>
            </w:pPr>
          </w:p>
        </w:tc>
        <w:tc>
          <w:tcPr>
            <w:tcW w:w="980" w:type="dxa"/>
            <w:noWrap w:val="0"/>
            <w:vAlign w:val="center"/>
          </w:tcPr>
          <w:p>
            <w:pPr>
              <w:spacing w:line="360" w:lineRule="auto"/>
              <w:jc w:val="center"/>
              <w:rPr>
                <w:rFonts w:hint="eastAsia" w:ascii="仿宋" w:hAnsi="仿宋" w:eastAsia="仿宋" w:cs="仿宋"/>
                <w:color w:val="000000"/>
                <w:szCs w:val="21"/>
                <w:highlight w:val="none"/>
              </w:rPr>
            </w:pPr>
          </w:p>
        </w:tc>
        <w:tc>
          <w:tcPr>
            <w:tcW w:w="992" w:type="dxa"/>
            <w:noWrap w:val="0"/>
            <w:vAlign w:val="center"/>
          </w:tcPr>
          <w:p>
            <w:pPr>
              <w:spacing w:line="360" w:lineRule="auto"/>
              <w:jc w:val="center"/>
              <w:rPr>
                <w:rFonts w:hint="eastAsia" w:ascii="仿宋" w:hAnsi="仿宋" w:eastAsia="仿宋" w:cs="仿宋"/>
                <w:color w:val="000000"/>
                <w:szCs w:val="21"/>
                <w:highlight w:val="none"/>
              </w:rPr>
            </w:pPr>
          </w:p>
        </w:tc>
        <w:tc>
          <w:tcPr>
            <w:tcW w:w="1276" w:type="dxa"/>
            <w:noWrap w:val="0"/>
            <w:vAlign w:val="center"/>
          </w:tcPr>
          <w:p>
            <w:pPr>
              <w:spacing w:line="360" w:lineRule="auto"/>
              <w:jc w:val="center"/>
              <w:rPr>
                <w:rFonts w:hint="eastAsia" w:ascii="仿宋" w:hAnsi="仿宋" w:eastAsia="仿宋" w:cs="仿宋"/>
                <w:color w:val="000000"/>
                <w:szCs w:val="21"/>
                <w:highlight w:val="none"/>
              </w:rPr>
            </w:pPr>
          </w:p>
        </w:tc>
        <w:tc>
          <w:tcPr>
            <w:tcW w:w="1134" w:type="dxa"/>
            <w:noWrap w:val="0"/>
            <w:vAlign w:val="center"/>
          </w:tcPr>
          <w:p>
            <w:pPr>
              <w:spacing w:line="360" w:lineRule="auto"/>
              <w:jc w:val="center"/>
              <w:rPr>
                <w:rFonts w:hint="eastAsia" w:ascii="仿宋" w:hAnsi="仿宋" w:eastAsia="仿宋" w:cs="仿宋"/>
                <w:color w:val="000000"/>
                <w:szCs w:val="21"/>
                <w:highlight w:val="none"/>
              </w:rPr>
            </w:pPr>
          </w:p>
        </w:tc>
        <w:tc>
          <w:tcPr>
            <w:tcW w:w="1695" w:type="dxa"/>
            <w:noWrap w:val="0"/>
            <w:vAlign w:val="center"/>
          </w:tcPr>
          <w:p>
            <w:pPr>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pacing w:line="360" w:lineRule="auto"/>
              <w:jc w:val="center"/>
              <w:rPr>
                <w:rFonts w:hint="eastAsia" w:ascii="仿宋" w:hAnsi="仿宋" w:eastAsia="仿宋" w:cs="仿宋"/>
                <w:color w:val="000000"/>
                <w:szCs w:val="21"/>
                <w:highlight w:val="none"/>
              </w:rPr>
            </w:pPr>
          </w:p>
        </w:tc>
        <w:tc>
          <w:tcPr>
            <w:tcW w:w="851" w:type="dxa"/>
            <w:noWrap w:val="0"/>
            <w:vAlign w:val="top"/>
          </w:tcPr>
          <w:p>
            <w:pPr>
              <w:spacing w:line="360" w:lineRule="auto"/>
              <w:jc w:val="center"/>
              <w:rPr>
                <w:rFonts w:hint="eastAsia" w:ascii="仿宋" w:hAnsi="仿宋" w:eastAsia="仿宋" w:cs="仿宋"/>
                <w:color w:val="000000"/>
                <w:szCs w:val="21"/>
                <w:highlight w:val="none"/>
              </w:rPr>
            </w:pPr>
          </w:p>
        </w:tc>
        <w:tc>
          <w:tcPr>
            <w:tcW w:w="980" w:type="dxa"/>
            <w:noWrap w:val="0"/>
            <w:vAlign w:val="center"/>
          </w:tcPr>
          <w:p>
            <w:pPr>
              <w:spacing w:line="360" w:lineRule="auto"/>
              <w:jc w:val="center"/>
              <w:rPr>
                <w:rFonts w:hint="eastAsia" w:ascii="仿宋" w:hAnsi="仿宋" w:eastAsia="仿宋" w:cs="仿宋"/>
                <w:color w:val="000000"/>
                <w:szCs w:val="21"/>
                <w:highlight w:val="none"/>
              </w:rPr>
            </w:pPr>
          </w:p>
        </w:tc>
        <w:tc>
          <w:tcPr>
            <w:tcW w:w="992" w:type="dxa"/>
            <w:noWrap w:val="0"/>
            <w:vAlign w:val="center"/>
          </w:tcPr>
          <w:p>
            <w:pPr>
              <w:spacing w:line="360" w:lineRule="auto"/>
              <w:jc w:val="center"/>
              <w:rPr>
                <w:rFonts w:hint="eastAsia" w:ascii="仿宋" w:hAnsi="仿宋" w:eastAsia="仿宋" w:cs="仿宋"/>
                <w:color w:val="000000"/>
                <w:szCs w:val="21"/>
                <w:highlight w:val="none"/>
              </w:rPr>
            </w:pPr>
          </w:p>
        </w:tc>
        <w:tc>
          <w:tcPr>
            <w:tcW w:w="1276" w:type="dxa"/>
            <w:noWrap w:val="0"/>
            <w:vAlign w:val="center"/>
          </w:tcPr>
          <w:p>
            <w:pPr>
              <w:spacing w:line="360" w:lineRule="auto"/>
              <w:jc w:val="center"/>
              <w:rPr>
                <w:rFonts w:hint="eastAsia" w:ascii="仿宋" w:hAnsi="仿宋" w:eastAsia="仿宋" w:cs="仿宋"/>
                <w:color w:val="000000"/>
                <w:szCs w:val="21"/>
                <w:highlight w:val="none"/>
              </w:rPr>
            </w:pPr>
          </w:p>
        </w:tc>
        <w:tc>
          <w:tcPr>
            <w:tcW w:w="1134" w:type="dxa"/>
            <w:noWrap w:val="0"/>
            <w:vAlign w:val="center"/>
          </w:tcPr>
          <w:p>
            <w:pPr>
              <w:spacing w:line="360" w:lineRule="auto"/>
              <w:jc w:val="center"/>
              <w:rPr>
                <w:rFonts w:hint="eastAsia" w:ascii="仿宋" w:hAnsi="仿宋" w:eastAsia="仿宋" w:cs="仿宋"/>
                <w:color w:val="000000"/>
                <w:szCs w:val="21"/>
                <w:highlight w:val="none"/>
              </w:rPr>
            </w:pPr>
          </w:p>
        </w:tc>
        <w:tc>
          <w:tcPr>
            <w:tcW w:w="1695" w:type="dxa"/>
            <w:noWrap w:val="0"/>
            <w:vAlign w:val="center"/>
          </w:tcPr>
          <w:p>
            <w:pPr>
              <w:spacing w:line="360" w:lineRule="auto"/>
              <w:jc w:val="center"/>
              <w:rPr>
                <w:rFonts w:hint="eastAsia" w:ascii="仿宋" w:hAnsi="仿宋" w:eastAsia="仿宋" w:cs="仿宋"/>
                <w:color w:val="000000"/>
                <w:szCs w:val="21"/>
                <w:highlight w:val="none"/>
              </w:rPr>
            </w:pPr>
          </w:p>
        </w:tc>
      </w:tr>
    </w:tbl>
    <w:p>
      <w:pPr>
        <w:spacing w:before="240" w:line="360" w:lineRule="auto"/>
        <w:ind w:firstLine="482"/>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p>
    <w:p>
      <w:pPr>
        <w:pStyle w:val="6"/>
        <w:spacing w:before="0" w:after="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拟派团队成员简历表</w:t>
      </w: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680" w:type="dxa"/>
            <w:gridSpan w:val="3"/>
            <w:noWrap w:val="0"/>
            <w:vAlign w:val="center"/>
          </w:tcPr>
          <w:p>
            <w:pPr>
              <w:jc w:val="center"/>
              <w:rPr>
                <w:rFonts w:hint="eastAsia" w:ascii="仿宋" w:hAnsi="仿宋" w:eastAsia="仿宋" w:cs="仿宋"/>
                <w:color w:val="000000"/>
                <w:sz w:val="24"/>
                <w:highlight w:val="none"/>
              </w:rPr>
            </w:pPr>
          </w:p>
        </w:tc>
        <w:tc>
          <w:tcPr>
            <w:tcW w:w="945"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性 别</w:t>
            </w:r>
          </w:p>
        </w:tc>
        <w:tc>
          <w:tcPr>
            <w:tcW w:w="945" w:type="dxa"/>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 生 日 期</w:t>
            </w:r>
          </w:p>
        </w:tc>
        <w:tc>
          <w:tcPr>
            <w:tcW w:w="2694"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毕业院校及专业</w:t>
            </w:r>
          </w:p>
        </w:tc>
        <w:tc>
          <w:tcPr>
            <w:tcW w:w="3570" w:type="dxa"/>
            <w:gridSpan w:val="6"/>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ind w:left="-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学历</w:t>
            </w:r>
          </w:p>
        </w:tc>
        <w:tc>
          <w:tcPr>
            <w:tcW w:w="2694" w:type="dxa"/>
            <w:noWrap w:val="0"/>
            <w:vAlign w:val="center"/>
          </w:tcPr>
          <w:p>
            <w:pPr>
              <w:ind w:left="4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工作年限</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为供应商服务时间</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专业资质</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在本项目中的职务</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时   间</w:t>
            </w:r>
          </w:p>
        </w:tc>
        <w:tc>
          <w:tcPr>
            <w:tcW w:w="4536" w:type="dxa"/>
            <w:gridSpan w:val="6"/>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同类项目名称及简要描述</w:t>
            </w:r>
          </w:p>
        </w:tc>
        <w:tc>
          <w:tcPr>
            <w:tcW w:w="326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bl>
    <w:p>
      <w:pPr>
        <w:spacing w:before="24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注：</w:t>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000000"/>
          <w:highlight w:val="none"/>
        </w:rPr>
      </w:pPr>
    </w:p>
    <w:p>
      <w:pPr>
        <w:rPr>
          <w:rFonts w:hint="eastAsia" w:ascii="仿宋" w:hAnsi="仿宋" w:eastAsia="仿宋" w:cs="仿宋"/>
          <w:color w:val="000000"/>
          <w:highlight w:val="none"/>
        </w:rPr>
      </w:pP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10" w:name="_Toc20365"/>
      <w:r>
        <w:rPr>
          <w:rFonts w:hint="eastAsia" w:ascii="仿宋" w:hAnsi="仿宋" w:eastAsia="仿宋" w:cs="仿宋"/>
          <w:color w:val="000000"/>
          <w:sz w:val="24"/>
          <w:szCs w:val="24"/>
          <w:highlight w:val="none"/>
        </w:rPr>
        <w:t>（三）</w:t>
      </w:r>
      <w:bookmarkEnd w:id="208"/>
      <w:bookmarkEnd w:id="209"/>
      <w:r>
        <w:rPr>
          <w:rFonts w:hint="eastAsia" w:ascii="仿宋" w:hAnsi="仿宋" w:eastAsia="仿宋" w:cs="仿宋"/>
          <w:color w:val="000000"/>
          <w:sz w:val="24"/>
          <w:szCs w:val="24"/>
          <w:highlight w:val="none"/>
        </w:rPr>
        <w:t>其他材料</w:t>
      </w:r>
      <w:bookmarkEnd w:id="210"/>
    </w:p>
    <w:p>
      <w:pPr>
        <w:spacing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p>
      <w:pPr>
        <w:spacing w:line="360" w:lineRule="auto"/>
        <w:rPr>
          <w:rFonts w:hint="eastAsia" w:ascii="仿宋" w:hAnsi="仿宋" w:eastAsia="仿宋" w:cs="仿宋"/>
          <w:color w:val="000000"/>
          <w:sz w:val="24"/>
          <w:highlight w:val="none"/>
        </w:rPr>
        <w:sectPr>
          <w:type w:val="continuous"/>
          <w:pgSz w:w="11906" w:h="16838"/>
          <w:pgMar w:top="1417" w:right="1134" w:bottom="1134" w:left="1134" w:header="964" w:footer="964" w:gutter="0"/>
          <w:cols w:space="720" w:num="1"/>
        </w:sectPr>
      </w:pPr>
    </w:p>
    <w:p>
      <w:pPr>
        <w:pStyle w:val="4"/>
        <w:ind w:firstLine="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Start w:id="211" w:name="_Toc20443"/>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、报价文件</w:t>
      </w:r>
      <w:bookmarkEnd w:id="211"/>
    </w:p>
    <w:p>
      <w:pPr>
        <w:pStyle w:val="5"/>
        <w:spacing w:before="0" w:after="0" w:line="360" w:lineRule="auto"/>
        <w:ind w:firstLine="482"/>
        <w:rPr>
          <w:rFonts w:hint="eastAsia" w:ascii="仿宋" w:hAnsi="仿宋" w:eastAsia="仿宋" w:cs="仿宋"/>
          <w:color w:val="000000"/>
          <w:sz w:val="24"/>
          <w:szCs w:val="24"/>
          <w:highlight w:val="none"/>
        </w:rPr>
      </w:pPr>
      <w:bookmarkStart w:id="212" w:name="_Toc511726864"/>
      <w:bookmarkStart w:id="213" w:name="_Toc18942"/>
      <w:r>
        <w:rPr>
          <w:rFonts w:hint="eastAsia" w:ascii="仿宋" w:hAnsi="仿宋" w:eastAsia="仿宋" w:cs="仿宋"/>
          <w:color w:val="000000"/>
          <w:sz w:val="24"/>
          <w:szCs w:val="24"/>
          <w:highlight w:val="none"/>
        </w:rPr>
        <w:t>（一）报价</w:t>
      </w:r>
      <w:bookmarkEnd w:id="212"/>
      <w:r>
        <w:rPr>
          <w:rFonts w:hint="eastAsia" w:ascii="仿宋" w:hAnsi="仿宋" w:eastAsia="仿宋" w:cs="仿宋"/>
          <w:color w:val="000000"/>
          <w:sz w:val="24"/>
          <w:szCs w:val="24"/>
          <w:highlight w:val="none"/>
        </w:rPr>
        <w:t>一览表</w:t>
      </w:r>
      <w:bookmarkEnd w:id="213"/>
    </w:p>
    <w:p>
      <w:pPr>
        <w:pStyle w:val="13"/>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pPr>
        <w:pStyle w:val="13"/>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tbl>
      <w:tblPr>
        <w:tblStyle w:val="44"/>
        <w:tblW w:w="98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2"/>
        <w:gridCol w:w="2483"/>
        <w:gridCol w:w="938"/>
        <w:gridCol w:w="855"/>
        <w:gridCol w:w="1829"/>
        <w:gridCol w:w="2268"/>
        <w:gridCol w:w="8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sz w:val="24"/>
                <w:szCs w:val="24"/>
                <w:u w:val="none"/>
                <w:lang w:val="en-US" w:eastAsia="zh-CN" w:bidi="ar"/>
                <w14:ligatures w14:val="standardContextual"/>
              </w:rPr>
              <w:t>序号</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黑体" w:hAnsi="黑体" w:eastAsia="黑体" w:cs="黑体"/>
                <w:b w:val="0"/>
                <w:bCs w:val="0"/>
                <w:i w:val="0"/>
                <w:iCs w:val="0"/>
                <w:color w:val="000000"/>
                <w:sz w:val="24"/>
                <w:szCs w:val="24"/>
                <w:u w:val="none"/>
                <w:lang w:val="en-US"/>
              </w:rPr>
            </w:pPr>
            <w:r>
              <w:rPr>
                <w:rFonts w:hint="eastAsia" w:ascii="黑体" w:hAnsi="黑体" w:eastAsia="黑体" w:cs="黑体"/>
                <w:b w:val="0"/>
                <w:bCs w:val="0"/>
                <w:i w:val="0"/>
                <w:iCs w:val="0"/>
                <w:color w:val="000000"/>
                <w:sz w:val="24"/>
                <w:szCs w:val="24"/>
                <w:u w:val="none"/>
                <w:lang w:val="en-US" w:eastAsia="zh-CN" w:bidi="ar"/>
                <w14:ligatures w14:val="standardContextual"/>
              </w:rPr>
              <w:t>报价内容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sz w:val="24"/>
                <w:szCs w:val="24"/>
                <w:u w:val="none"/>
                <w:lang w:val="en-US" w:eastAsia="zh-CN" w:bidi="ar"/>
                <w14:ligatures w14:val="standardContextual"/>
              </w:rPr>
              <w:t>数量</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sz w:val="24"/>
                <w:szCs w:val="24"/>
                <w:u w:val="none"/>
                <w:lang w:val="en-US" w:eastAsia="zh-CN" w:bidi="ar"/>
                <w14:ligatures w14:val="standardContextual"/>
              </w:rPr>
              <w:t>单位</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黑体" w:hAnsi="黑体" w:eastAsia="黑体" w:cs="黑体"/>
                <w:b w:val="0"/>
                <w:bCs w:val="0"/>
                <w:i w:val="0"/>
                <w:iCs w:val="0"/>
                <w:color w:val="000000"/>
                <w:sz w:val="24"/>
                <w:szCs w:val="24"/>
                <w:u w:val="none"/>
                <w:lang w:val="en-US" w:eastAsia="zh-CN" w:bidi="ar"/>
                <w14:ligatures w14:val="standardContextual"/>
              </w:rPr>
            </w:pPr>
            <w:r>
              <w:rPr>
                <w:rFonts w:hint="eastAsia" w:ascii="黑体" w:hAnsi="黑体" w:eastAsia="黑体" w:cs="黑体"/>
                <w:b w:val="0"/>
                <w:bCs w:val="0"/>
                <w:i w:val="0"/>
                <w:iCs w:val="0"/>
                <w:color w:val="000000"/>
                <w:sz w:val="24"/>
                <w:szCs w:val="24"/>
                <w:u w:val="none"/>
                <w:lang w:val="en-US" w:eastAsia="zh-CN" w:bidi="ar"/>
                <w14:ligatures w14:val="standardContextual"/>
              </w:rPr>
              <w:t>单价</w:t>
            </w: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黑体" w:hAnsi="黑体" w:eastAsia="黑体" w:cs="黑体"/>
                <w:b w:val="0"/>
                <w:bCs w:val="0"/>
                <w:i w:val="0"/>
                <w:iCs w:val="0"/>
                <w:color w:val="000000"/>
                <w:sz w:val="24"/>
                <w:szCs w:val="24"/>
                <w:u w:val="none"/>
                <w:lang w:val="en-US" w:eastAsia="zh-CN" w:bidi="ar"/>
                <w14:ligatures w14:val="standardContextual"/>
              </w:rPr>
            </w:pPr>
            <w:r>
              <w:rPr>
                <w:rFonts w:hint="eastAsia" w:ascii="黑体" w:hAnsi="黑体" w:eastAsia="黑体" w:cs="黑体"/>
                <w:b w:val="0"/>
                <w:bCs w:val="0"/>
                <w:i w:val="0"/>
                <w:iCs w:val="0"/>
                <w:color w:val="000000"/>
                <w:sz w:val="24"/>
                <w:szCs w:val="24"/>
                <w:u w:val="none"/>
                <w:lang w:val="en-US" w:eastAsia="zh-CN" w:bidi="ar"/>
                <w14:ligatures w14:val="standardContextual"/>
              </w:rPr>
              <w:t>小计/元</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黑体" w:hAnsi="黑体" w:eastAsia="黑体" w:cs="黑体"/>
                <w:b w:val="0"/>
                <w:bCs w:val="0"/>
                <w:i w:val="0"/>
                <w:color w:val="000000"/>
                <w:sz w:val="24"/>
                <w:szCs w:val="24"/>
                <w:u w:val="none"/>
                <w:lang w:val="en-US" w:eastAsia="zh-CN" w:bidi="ar"/>
                <w14:ligatures w14:val="standardContextual"/>
              </w:rPr>
            </w:pPr>
            <w:r>
              <w:rPr>
                <w:rFonts w:hint="eastAsia" w:ascii="黑体" w:hAnsi="黑体" w:eastAsia="黑体" w:cs="黑体"/>
                <w:b w:val="0"/>
                <w:bCs w:val="0"/>
                <w:i w:val="0"/>
                <w:iCs w:val="0"/>
                <w:color w:val="000000"/>
                <w:sz w:val="24"/>
                <w:szCs w:val="24"/>
                <w:u w:val="none"/>
                <w:lang w:val="en-US" w:eastAsia="zh-CN" w:bidi="ar"/>
                <w14:ligatures w14:val="standardContextual"/>
              </w:rPr>
              <w:t>税率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1</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风险排查</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家</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restart"/>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rPr>
                <w:rFonts w:hint="eastAsia" w:ascii="仿宋" w:hAnsi="仿宋" w:eastAsia="仿宋" w:cs="仿宋"/>
                <w:b w:val="0"/>
                <w:bCs w:val="0"/>
                <w:i w:val="0"/>
                <w:color w:val="000000"/>
                <w:sz w:val="24"/>
                <w:szCs w:val="24"/>
                <w:u w:val="none"/>
                <w:lang w:val="en-US" w:eastAsia="zh-CN" w:bidi="ar"/>
                <w14:ligatures w14:val="standardContextua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2</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消防培训、宣传</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场</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9035"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r>
              <w:rPr>
                <w:rFonts w:hint="eastAsia" w:ascii="仿宋" w:hAnsi="仿宋" w:eastAsia="仿宋" w:cs="仿宋"/>
                <w:b w:val="0"/>
                <w:bCs w:val="0"/>
                <w:i w:val="0"/>
                <w:iCs w:val="0"/>
                <w:color w:val="000000"/>
                <w:sz w:val="24"/>
                <w:szCs w:val="24"/>
                <w:u w:val="none"/>
                <w:lang w:val="en-US" w:eastAsia="zh-CN" w:bidi="ar"/>
                <w14:ligatures w14:val="standardContextual"/>
              </w:rPr>
              <w:t>配套物资</w:t>
            </w: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3</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应急照明灯</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80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4</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疏散指示标志</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90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5</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灭火器</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400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6</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消防水带</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条</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7</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防火毯</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75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8</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防滑警示标识</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90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9</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急救箱（含绷带、纱布、碘伏、止血带、创可贴）</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30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rPr>
            </w:pPr>
            <w:r>
              <w:rPr>
                <w:rFonts w:hint="eastAsia" w:ascii="仿宋" w:hAnsi="仿宋" w:eastAsia="仿宋" w:cs="仿宋"/>
                <w:b w:val="0"/>
                <w:bCs w:val="0"/>
                <w:i w:val="0"/>
                <w:iCs w:val="0"/>
                <w:color w:val="000000"/>
                <w:sz w:val="24"/>
                <w:szCs w:val="24"/>
                <w:u w:val="none"/>
                <w:lang w:val="en-US" w:eastAsia="zh-CN" w:bidi="ar"/>
                <w14:ligatures w14:val="standardContextual"/>
              </w:rPr>
              <w:t>10</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心肺复苏模拟教具</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rPr>
            </w:pPr>
            <w:r>
              <w:rPr>
                <w:rFonts w:hint="eastAsia" w:ascii="仿宋" w:hAnsi="仿宋" w:eastAsia="仿宋" w:cs="仿宋"/>
                <w:b w:val="0"/>
                <w:bCs w:val="0"/>
                <w:i w:val="0"/>
                <w:iCs w:val="0"/>
                <w:color w:val="000000"/>
                <w:sz w:val="24"/>
                <w:szCs w:val="24"/>
                <w:u w:val="none"/>
                <w:lang w:val="en-US" w:eastAsia="zh-CN" w:bidi="ar"/>
                <w14:ligatures w14:val="standardContextual"/>
              </w:rPr>
              <w:t>11</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应急雨衣</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60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件</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rPr>
            </w:pPr>
            <w:r>
              <w:rPr>
                <w:rFonts w:hint="eastAsia" w:ascii="仿宋" w:hAnsi="仿宋" w:eastAsia="仿宋" w:cs="仿宋"/>
                <w:b w:val="0"/>
                <w:bCs w:val="0"/>
                <w:i w:val="0"/>
                <w:iCs w:val="0"/>
                <w:color w:val="000000"/>
                <w:sz w:val="24"/>
                <w:szCs w:val="24"/>
                <w:u w:val="none"/>
                <w:lang w:val="en-US" w:eastAsia="zh-CN" w:bidi="ar"/>
                <w14:ligatures w14:val="standardContextual"/>
              </w:rPr>
              <w:t>12</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手电筒</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40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rPr>
            </w:pPr>
            <w:r>
              <w:rPr>
                <w:rFonts w:hint="eastAsia" w:ascii="仿宋" w:hAnsi="仿宋" w:eastAsia="仿宋" w:cs="仿宋"/>
                <w:b w:val="0"/>
                <w:bCs w:val="0"/>
                <w:i w:val="0"/>
                <w:iCs w:val="0"/>
                <w:color w:val="000000"/>
                <w:sz w:val="24"/>
                <w:szCs w:val="24"/>
                <w:u w:val="none"/>
                <w:lang w:val="en-US" w:eastAsia="zh-CN" w:bidi="ar"/>
                <w14:ligatures w14:val="standardContextual"/>
              </w:rPr>
              <w:t>13</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哨子</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80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14</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应急反光背心</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65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件</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15</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 xml:space="preserve">安全宣传手册        </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2000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本</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16</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扩音器</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35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rPr>
            </w:pPr>
            <w:r>
              <w:rPr>
                <w:rFonts w:hint="eastAsia" w:ascii="仿宋" w:hAnsi="仿宋" w:eastAsia="仿宋" w:cs="仿宋"/>
                <w:b w:val="0"/>
                <w:bCs w:val="0"/>
                <w:i w:val="0"/>
                <w:iCs w:val="0"/>
                <w:color w:val="000000"/>
                <w:sz w:val="24"/>
                <w:szCs w:val="24"/>
                <w:u w:val="none"/>
                <w:lang w:val="en-US" w:eastAsia="zh-CN" w:bidi="ar"/>
                <w14:ligatures w14:val="standardContextual"/>
              </w:rPr>
              <w:t>17</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防烟面罩</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100</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个</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rPr>
            </w:pPr>
            <w:r>
              <w:rPr>
                <w:rFonts w:hint="eastAsia" w:ascii="仿宋" w:hAnsi="仿宋" w:eastAsia="仿宋" w:cs="仿宋"/>
                <w:b w:val="0"/>
                <w:bCs w:val="0"/>
                <w:i w:val="0"/>
                <w:iCs w:val="0"/>
                <w:color w:val="000000"/>
                <w:sz w:val="24"/>
                <w:szCs w:val="24"/>
                <w:u w:val="none"/>
                <w:lang w:val="en-US" w:eastAsia="zh-CN" w:bidi="ar"/>
                <w14:ligatures w14:val="standardContextual"/>
              </w:rPr>
              <w:t>18</w:t>
            </w:r>
          </w:p>
        </w:tc>
        <w:tc>
          <w:tcPr>
            <w:tcW w:w="24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应急逃生绳</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15</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lang w:val="en-US" w:eastAsia="zh-CN" w:bidi="ar"/>
                <w14:ligatures w14:val="standardContextual"/>
              </w:rPr>
              <w:t>条</w:t>
            </w:r>
          </w:p>
        </w:tc>
        <w:tc>
          <w:tcPr>
            <w:tcW w:w="18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仿宋" w:hAnsi="仿宋" w:eastAsia="仿宋" w:cs="仿宋"/>
                <w:b w:val="0"/>
                <w:bCs w:val="0"/>
                <w:i w:val="0"/>
                <w:iCs w:val="0"/>
                <w:color w:val="000000"/>
                <w:sz w:val="24"/>
                <w:szCs w:val="24"/>
                <w:u w:val="none"/>
                <w:lang w:val="en-US" w:eastAsia="zh-CN" w:bidi="ar"/>
                <w14:ligatures w14:val="standardContextual"/>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768"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default" w:ascii="仿宋" w:hAnsi="仿宋" w:eastAsia="仿宋" w:cs="仿宋"/>
                <w:b w:val="0"/>
                <w:bCs w:val="0"/>
                <w:i w:val="0"/>
                <w:iCs w:val="0"/>
                <w:color w:val="000000"/>
                <w:sz w:val="24"/>
                <w:szCs w:val="24"/>
                <w:u w:val="none"/>
                <w:lang w:val="en-US" w:eastAsia="zh-CN" w:bidi="ar"/>
                <w14:ligatures w14:val="standardContextual"/>
              </w:rPr>
            </w:pPr>
            <w:r>
              <w:rPr>
                <w:rFonts w:hint="eastAsia" w:ascii="黑体" w:hAnsi="黑体" w:eastAsia="黑体" w:cs="黑体"/>
                <w:b w:val="0"/>
                <w:bCs w:val="0"/>
                <w:i w:val="0"/>
                <w:iCs w:val="0"/>
                <w:color w:val="000000"/>
                <w:sz w:val="24"/>
                <w:szCs w:val="24"/>
                <w:u w:val="none"/>
                <w:lang w:val="en-US" w:eastAsia="zh-CN" w:bidi="ar"/>
                <w14:ligatures w14:val="standardContextual"/>
              </w:rPr>
              <w:t>含税总价（元）</w:t>
            </w:r>
          </w:p>
        </w:tc>
        <w:tc>
          <w:tcPr>
            <w:tcW w:w="30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rPr>
                <w:rFonts w:hint="eastAsia" w:ascii="仿宋" w:hAnsi="仿宋" w:eastAsia="仿宋" w:cs="仿宋"/>
                <w:b w:val="0"/>
                <w:bCs w:val="0"/>
                <w:i w:val="0"/>
                <w:color w:val="000000"/>
                <w:sz w:val="24"/>
                <w:szCs w:val="24"/>
                <w:u w:val="none"/>
                <w:lang w:val="en-US" w:eastAsia="zh-CN" w:bidi="ar"/>
                <w14:ligatures w14:val="standardContextua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6768"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bidi w:val="0"/>
              <w:spacing w:line="400" w:lineRule="exact"/>
              <w:jc w:val="center"/>
              <w:rPr>
                <w:rFonts w:hint="eastAsia" w:ascii="黑体" w:hAnsi="黑体" w:eastAsia="黑体" w:cs="黑体"/>
                <w:b w:val="0"/>
                <w:bCs w:val="0"/>
                <w:i w:val="0"/>
                <w:iCs w:val="0"/>
                <w:color w:val="000000"/>
                <w:sz w:val="24"/>
                <w:szCs w:val="24"/>
                <w:u w:val="none"/>
                <w:lang w:val="en-US" w:eastAsia="zh-CN" w:bidi="ar"/>
                <w14:ligatures w14:val="standardContextual"/>
              </w:rPr>
            </w:pPr>
            <w:r>
              <w:rPr>
                <w:rFonts w:hint="eastAsia" w:ascii="黑体" w:hAnsi="黑体" w:eastAsia="黑体" w:cs="黑体"/>
                <w:b w:val="0"/>
                <w:bCs w:val="0"/>
                <w:i w:val="0"/>
                <w:iCs w:val="0"/>
                <w:color w:val="000000"/>
                <w:sz w:val="24"/>
                <w:szCs w:val="24"/>
                <w:u w:val="none"/>
                <w:lang w:val="en-US" w:eastAsia="zh-CN" w:bidi="ar"/>
                <w14:ligatures w14:val="standardContextual"/>
              </w:rPr>
              <w:t>不含税总价（元）</w:t>
            </w:r>
          </w:p>
        </w:tc>
        <w:tc>
          <w:tcPr>
            <w:tcW w:w="30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rPr>
                <w:rFonts w:hint="eastAsia" w:ascii="仿宋" w:hAnsi="仿宋" w:eastAsia="仿宋" w:cs="仿宋"/>
                <w:b w:val="0"/>
                <w:bCs w:val="0"/>
                <w:i w:val="0"/>
                <w:color w:val="000000"/>
                <w:sz w:val="24"/>
                <w:szCs w:val="24"/>
                <w:u w:val="none"/>
                <w:lang w:val="en-US" w:eastAsia="zh-CN" w:bidi="ar"/>
                <w14:ligatures w14:val="standardContextual"/>
              </w:rPr>
            </w:pPr>
          </w:p>
        </w:tc>
      </w:tr>
    </w:tbl>
    <w:p>
      <w:pPr>
        <w:spacing w:line="360" w:lineRule="auto"/>
        <w:rPr>
          <w:rFonts w:ascii="仿宋" w:hAnsi="仿宋" w:eastAsia="仿宋" w:cs="仿宋"/>
          <w:bCs/>
          <w:color w:val="000000"/>
          <w:sz w:val="24"/>
          <w:highlight w:val="none"/>
        </w:rPr>
      </w:pP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pPr>
        <w:numPr>
          <w:ilvl w:val="0"/>
          <w:numId w:val="0"/>
        </w:numPr>
        <w:spacing w:line="360" w:lineRule="auto"/>
        <w:rPr>
          <w:rFonts w:hint="eastAsia" w:ascii="仿宋" w:hAnsi="仿宋" w:eastAsia="仿宋"/>
          <w:bCs/>
          <w:sz w:val="24"/>
          <w:highlight w:val="none"/>
        </w:rPr>
      </w:pPr>
      <w:r>
        <w:rPr>
          <w:rFonts w:hint="eastAsia" w:ascii="仿宋" w:hAnsi="仿宋" w:eastAsia="仿宋"/>
          <w:bCs/>
          <w:sz w:val="24"/>
          <w:highlight w:val="none"/>
          <w:lang w:val="en-US" w:eastAsia="zh-CN"/>
        </w:rPr>
        <w:t>1.</w:t>
      </w:r>
      <w:r>
        <w:rPr>
          <w:rFonts w:hint="eastAsia" w:ascii="仿宋" w:hAnsi="仿宋" w:eastAsia="仿宋"/>
          <w:bCs/>
          <w:sz w:val="24"/>
          <w:highlight w:val="none"/>
        </w:rPr>
        <w:t>本次报价精确到小数点后两位（四舍五入）。</w:t>
      </w:r>
    </w:p>
    <w:p>
      <w:pPr>
        <w:pStyle w:val="261"/>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w:t>
      </w:r>
    </w:p>
    <w:p>
      <w:pPr>
        <w:pStyle w:val="261"/>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价为准进行修正，增值税普通发票以含税价进行修正。</w:t>
      </w:r>
    </w:p>
    <w:p>
      <w:pPr>
        <w:pStyle w:val="261"/>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w:t>
      </w:r>
    </w:p>
    <w:p>
      <w:pPr>
        <w:pStyle w:val="261"/>
        <w:numPr>
          <w:ilvl w:val="0"/>
          <w:numId w:val="0"/>
        </w:numPr>
        <w:spacing w:line="360" w:lineRule="auto"/>
        <w:rPr>
          <w:rFonts w:hint="default"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调整。</w:t>
      </w:r>
    </w:p>
    <w:p>
      <w:pPr>
        <w:spacing w:line="360" w:lineRule="auto"/>
        <w:jc w:val="both"/>
        <w:rPr>
          <w:rFonts w:hint="eastAsia" w:ascii="仿宋" w:hAnsi="仿宋" w:eastAsia="仿宋" w:cs="仿宋"/>
          <w:color w:val="000000"/>
          <w:sz w:val="24"/>
          <w:highlight w:val="none"/>
        </w:rPr>
      </w:pPr>
    </w:p>
    <w:p>
      <w:pPr>
        <w:numPr>
          <w:ilvl w:val="0"/>
          <w:numId w:val="1"/>
        </w:numPr>
        <w:spacing w:line="440" w:lineRule="exact"/>
        <w:jc w:val="right"/>
        <w:rPr>
          <w:rFonts w:ascii="仿宋" w:hAnsi="仿宋" w:eastAsia="仿宋" w:cs="宋体"/>
          <w:color w:val="000000"/>
          <w:sz w:val="24"/>
          <w:highlight w:val="none"/>
        </w:rPr>
      </w:pPr>
      <w:bookmarkStart w:id="214" w:name="_Toc530319762"/>
      <w:bookmarkStart w:id="215" w:name="_Toc517281864"/>
      <w:bookmarkStart w:id="216" w:name="_Toc2267055"/>
      <w:bookmarkStart w:id="217" w:name="_Toc482180015"/>
      <w:bookmarkStart w:id="218" w:name="_Toc16591840"/>
      <w:bookmarkStart w:id="219" w:name="_Toc518302646"/>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bookmarkEnd w:id="214"/>
      <w:bookmarkEnd w:id="215"/>
      <w:bookmarkEnd w:id="216"/>
      <w:bookmarkEnd w:id="217"/>
      <w:bookmarkEnd w:id="218"/>
      <w:bookmarkEnd w:id="219"/>
    </w:p>
    <w:p>
      <w:pPr>
        <w:pStyle w:val="5"/>
        <w:numPr>
          <w:ilvl w:val="5"/>
          <w:numId w:val="0"/>
        </w:numPr>
        <w:spacing w:line="360" w:lineRule="auto"/>
        <w:jc w:val="both"/>
        <w:rPr>
          <w:rFonts w:hint="eastAsia"/>
        </w:rPr>
      </w:pPr>
    </w:p>
    <w:sectPr>
      <w:type w:val="continuous"/>
      <w:pgSz w:w="11906" w:h="16838"/>
      <w:pgMar w:top="1417" w:right="1134" w:bottom="1134" w:left="1134" w:header="964" w:footer="96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Monaco">
    <w:altName w:val="Courier New"/>
    <w:panose1 w:val="0002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50"/>
      </w:rPr>
    </w:pPr>
    <w:r>
      <w:fldChar w:fldCharType="begin"/>
    </w:r>
    <w:r>
      <w:rPr>
        <w:rStyle w:val="50"/>
      </w:rPr>
      <w:instrText xml:space="preserve">PAGE  </w:instrText>
    </w:r>
    <w:r>
      <w:fldChar w:fldCharType="separate"/>
    </w:r>
    <w:r>
      <w:rPr>
        <w:rStyle w:val="50"/>
      </w:rPr>
      <w:t>4</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ind w:firstLine="4500"/>
      <w:rPr>
        <w:rStyle w:val="50"/>
      </w:rPr>
    </w:pPr>
    <w:r>
      <w:fldChar w:fldCharType="begin"/>
    </w:r>
    <w:r>
      <w:rPr>
        <w:rStyle w:val="50"/>
      </w:rPr>
      <w:instrText xml:space="preserve">PAGE  </w:instrText>
    </w:r>
    <w:r>
      <w:fldChar w:fldCharType="separate"/>
    </w:r>
    <w:r>
      <w:rPr>
        <w:rStyle w:val="50"/>
      </w:rPr>
      <w:t>19</w:t>
    </w:r>
    <w:r>
      <w:fldChar w:fldCharType="end"/>
    </w:r>
  </w:p>
  <w:p>
    <w:pPr>
      <w:pStyle w:val="27"/>
      <w:framePr w:wrap="around" w:vAnchor="text" w:hAnchor="margin" w:xAlign="center" w:y="1"/>
      <w:rPr>
        <w:rStyle w:val="50"/>
      </w:rPr>
    </w:pPr>
  </w:p>
  <w:p>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JlWxL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5LyxX5vb1FL3YyTRm5RtiJGF8y6Zy2&#10;Lq7Kv+fU9fSnbf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OJlWxLcAQAAsQMAAA4AAAAA&#10;AAAAAQAgAAAAIgEAAGRycy9lMm9Eb2MueG1sUEsFBgAAAAAGAAYAWQEAAHAFA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rPr>
                              <w:rStyle w:val="50"/>
                            </w:rPr>
                          </w:pPr>
                          <w:r>
                            <w:fldChar w:fldCharType="begin"/>
                          </w:r>
                          <w:r>
                            <w:rPr>
                              <w:rStyle w:val="50"/>
                            </w:rPr>
                            <w:instrText xml:space="preserve">PAGE  </w:instrText>
                          </w:r>
                          <w:r>
                            <w:fldChar w:fldCharType="separate"/>
                          </w:r>
                          <w:r>
                            <w:rPr>
                              <w:rStyle w:val="50"/>
                            </w:rPr>
                            <w:t>10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N5i1QrcAQAAsQMAAA4AAAAA&#10;AAAAAQAgAAAAIgEAAGRycy9lMm9Eb2MueG1sUEsFBgAAAAAGAAYAWQEAAHAFAAAAAA==&#10;">
              <v:fill on="f" focussize="0,0"/>
              <v:stroke on="f" weight="1.25pt"/>
              <v:imagedata o:title=""/>
              <o:lock v:ext="edit" aspectratio="f"/>
              <v:textbox inset="0mm,0mm,0mm,0mm" style="mso-fit-shape-to-text:t;">
                <w:txbxContent>
                  <w:p>
                    <w:pPr>
                      <w:pStyle w:val="27"/>
                      <w:rPr>
                        <w:rStyle w:val="50"/>
                      </w:rPr>
                    </w:pPr>
                    <w:r>
                      <w:fldChar w:fldCharType="begin"/>
                    </w:r>
                    <w:r>
                      <w:rPr>
                        <w:rStyle w:val="50"/>
                      </w:rPr>
                      <w:instrText xml:space="preserve">PAGE  </w:instrText>
                    </w:r>
                    <w:r>
                      <w:fldChar w:fldCharType="separate"/>
                    </w:r>
                    <w:r>
                      <w:rPr>
                        <w:rStyle w:val="50"/>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7"/>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4YP60gEAAKcDAAAOAAAAAAAAAAEAIAAAAB4BAABk&#10;cnMvZTJvRG9jLnhtbFBLBQYAAAAABgAGAFkBAABiBQAAAAA=&#10;">
              <v:fill on="f" focussize="0,0"/>
              <v:stroke on="f"/>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BqfoZQ3QEAALEDAAAOAAAA&#10;AAAAAAEAIAAAACIBAABkcnMvZTJvRG9jLnhtbFBLBQYAAAAABgAGAFkBAABxBQ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lang w:eastAsia="zh-CN"/>
      </w:rPr>
      <w:t>比选</w:t>
    </w:r>
    <w:r>
      <w:rPr>
        <w:rFonts w:hint="eastAsia" w:ascii="仿宋" w:hAnsi="仿宋" w:eastAsia="仿宋" w:cs="仿宋"/>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rPr>
    </w:pPr>
    <w:r>
      <w:rPr>
        <w:rFonts w:hint="eastAsia" w:ascii="仿宋" w:hAnsi="仿宋" w:eastAsia="仿宋" w:cs="仿宋"/>
        <w:lang w:eastAsia="zh-CN"/>
      </w:rPr>
      <w:t>比选</w:t>
    </w:r>
    <w:r>
      <w:rPr>
        <w:rFonts w:hint="eastAsia" w:ascii="仿宋" w:hAnsi="仿宋" w:eastAsia="仿宋" w:cs="仿宋"/>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2"/>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CF092B84"/>
    <w:multiLevelType w:val="multilevel"/>
    <w:tmpl w:val="CF092B84"/>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3">
    <w:nsid w:val="0053208E"/>
    <w:multiLevelType w:val="multilevel"/>
    <w:tmpl w:val="0053208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4">
    <w:nsid w:val="03D62ECE"/>
    <w:multiLevelType w:val="multilevel"/>
    <w:tmpl w:val="03D62ECE"/>
    <w:lvl w:ilvl="0" w:tentative="0">
      <w:start w:val="6"/>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25B654F3"/>
    <w:multiLevelType w:val="multilevel"/>
    <w:tmpl w:val="25B654F3"/>
    <w:lvl w:ilvl="0" w:tentative="0">
      <w:start w:val="7"/>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6">
    <w:nsid w:val="59ADCABA"/>
    <w:multiLevelType w:val="multilevel"/>
    <w:tmpl w:val="59ADCABA"/>
    <w:lvl w:ilvl="0" w:tentative="0">
      <w:start w:val="1"/>
      <w:numFmt w:val="decimal"/>
      <w:pStyle w:val="301"/>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351DD4"/>
    <w:rsid w:val="6FEA02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09"/>
    <w:qFormat/>
    <w:uiPriority w:val="0"/>
    <w:pPr>
      <w:keepNext/>
      <w:keepLines/>
      <w:spacing w:before="340" w:after="330" w:line="578" w:lineRule="auto"/>
      <w:outlineLvl w:val="0"/>
    </w:pPr>
    <w:rPr>
      <w:b/>
      <w:bCs/>
      <w:sz w:val="44"/>
      <w:szCs w:val="44"/>
    </w:rPr>
  </w:style>
  <w:style w:type="paragraph" w:styleId="4">
    <w:name w:val="heading 2"/>
    <w:basedOn w:val="1"/>
    <w:next w:val="1"/>
    <w:link w:val="210"/>
    <w:qFormat/>
    <w:uiPriority w:val="0"/>
    <w:pPr>
      <w:keepNext/>
      <w:keepLines/>
      <w:spacing w:line="360" w:lineRule="auto"/>
      <w:ind w:firstLine="540"/>
      <w:jc w:val="center"/>
      <w:outlineLvl w:val="1"/>
    </w:pPr>
    <w:rPr>
      <w:rFonts w:ascii="Arial" w:hAnsi="Arial"/>
      <w:b/>
      <w:bCs/>
      <w:color w:val="FF0000"/>
      <w:sz w:val="28"/>
      <w:szCs w:val="32"/>
    </w:rPr>
  </w:style>
  <w:style w:type="paragraph" w:styleId="5">
    <w:name w:val="heading 3"/>
    <w:basedOn w:val="1"/>
    <w:next w:val="1"/>
    <w:link w:val="212"/>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214"/>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spacing w:before="280" w:after="290" w:line="376" w:lineRule="atLeast"/>
      <w:outlineLvl w:val="4"/>
    </w:pPr>
    <w:rPr>
      <w:b/>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sz w:val="24"/>
    </w:rPr>
  </w:style>
  <w:style w:type="paragraph" w:styleId="11">
    <w:name w:val="heading 9"/>
    <w:basedOn w:val="1"/>
    <w:next w:val="1"/>
    <w:link w:val="215"/>
    <w:qFormat/>
    <w:uiPriority w:val="0"/>
    <w:pPr>
      <w:keepNext/>
      <w:keepLines/>
      <w:widowControl/>
      <w:numPr>
        <w:ilvl w:val="8"/>
        <w:numId w:val="1"/>
      </w:numPr>
      <w:spacing w:before="240" w:after="64" w:line="320" w:lineRule="auto"/>
      <w:jc w:val="left"/>
      <w:outlineLvl w:val="8"/>
    </w:pPr>
    <w:rPr>
      <w:rFonts w:ascii="Arial" w:hAnsi="Arial" w:eastAsia="黑体"/>
      <w:szCs w:val="21"/>
    </w:rPr>
  </w:style>
  <w:style w:type="character" w:default="1" w:styleId="46">
    <w:name w:val="Default Paragraph Font"/>
    <w:link w:val="47"/>
    <w:qFormat/>
    <w:uiPriority w:val="0"/>
    <w:rPr>
      <w:rFonts w:ascii="宋体" w:hAnsi="宋体"/>
      <w:szCs w:val="21"/>
    </w:rPr>
  </w:style>
  <w:style w:type="table" w:default="1" w:styleId="44">
    <w:name w:val="Normal Table"/>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link w:val="208"/>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213"/>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216"/>
    <w:qFormat/>
    <w:uiPriority w:val="0"/>
    <w:pPr>
      <w:shd w:val="clear" w:color="auto" w:fill="000080"/>
    </w:pPr>
  </w:style>
  <w:style w:type="paragraph" w:styleId="16">
    <w:name w:val="annotation text"/>
    <w:basedOn w:val="1"/>
    <w:link w:val="217"/>
    <w:qFormat/>
    <w:uiPriority w:val="99"/>
    <w:pPr>
      <w:spacing w:line="360" w:lineRule="atLeast"/>
      <w:jc w:val="left"/>
    </w:pPr>
    <w:rPr>
      <w:sz w:val="24"/>
      <w:szCs w:val="20"/>
    </w:rPr>
  </w:style>
  <w:style w:type="paragraph" w:styleId="17">
    <w:name w:val="Body Text 3"/>
    <w:basedOn w:val="1"/>
    <w:link w:val="218"/>
    <w:qFormat/>
    <w:uiPriority w:val="0"/>
    <w:pPr>
      <w:spacing w:line="440" w:lineRule="exact"/>
    </w:pPr>
    <w:rPr>
      <w:sz w:val="24"/>
    </w:rPr>
  </w:style>
  <w:style w:type="paragraph" w:styleId="18">
    <w:name w:val="Body Text Indent"/>
    <w:basedOn w:val="1"/>
    <w:qFormat/>
    <w:uiPriority w:val="0"/>
    <w:pPr>
      <w:spacing w:line="400" w:lineRule="exact"/>
      <w:ind w:firstLine="56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219"/>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pPr>
  </w:style>
  <w:style w:type="paragraph" w:styleId="24">
    <w:name w:val="Body Text Indent 2"/>
    <w:basedOn w:val="1"/>
    <w:qFormat/>
    <w:uiPriority w:val="0"/>
    <w:pPr>
      <w:spacing w:line="400" w:lineRule="exact"/>
      <w:ind w:firstLine="560"/>
    </w:pPr>
    <w:rPr>
      <w:sz w:val="28"/>
    </w:rPr>
  </w:style>
  <w:style w:type="paragraph" w:styleId="25">
    <w:name w:val="endnote text"/>
    <w:basedOn w:val="1"/>
    <w:link w:val="206"/>
    <w:semiHidden/>
    <w:unhideWhenUsed/>
    <w:uiPriority w:val="99"/>
    <w:pPr>
      <w:spacing w:after="0" w:line="240" w:lineRule="auto"/>
    </w:pPr>
    <w:rPr>
      <w:sz w:val="20"/>
      <w:szCs w:val="20"/>
    </w:rPr>
  </w:style>
  <w:style w:type="paragraph" w:styleId="26">
    <w:name w:val="Balloon Text"/>
    <w:basedOn w:val="1"/>
    <w:link w:val="220"/>
    <w:qFormat/>
    <w:uiPriority w:val="0"/>
    <w:rPr>
      <w:sz w:val="18"/>
      <w:szCs w:val="18"/>
    </w:rPr>
  </w:style>
  <w:style w:type="paragraph" w:styleId="27">
    <w:name w:val="footer"/>
    <w:basedOn w:val="1"/>
    <w:link w:val="221"/>
    <w:qFormat/>
    <w:uiPriority w:val="99"/>
    <w:pPr>
      <w:tabs>
        <w:tab w:val="center" w:pos="4153"/>
        <w:tab w:val="right" w:pos="8306"/>
      </w:tabs>
      <w:jc w:val="left"/>
    </w:pPr>
    <w:rPr>
      <w:sz w:val="18"/>
      <w:szCs w:val="18"/>
    </w:rPr>
  </w:style>
  <w:style w:type="paragraph" w:styleId="28">
    <w:name w:val="header"/>
    <w:basedOn w:val="1"/>
    <w:link w:val="222"/>
    <w:qFormat/>
    <w:uiPriority w:val="99"/>
    <w:pPr>
      <w:pBdr>
        <w:bottom w:val="single" w:color="000000" w:sz="6" w:space="1"/>
      </w:pBdr>
      <w:tabs>
        <w:tab w:val="center" w:pos="4153"/>
        <w:tab w:val="right" w:pos="8306"/>
      </w:tabs>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Subtitle"/>
    <w:basedOn w:val="1"/>
    <w:next w:val="1"/>
    <w:link w:val="194"/>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32">
    <w:name w:val="List"/>
    <w:basedOn w:val="1"/>
    <w:qFormat/>
    <w:uiPriority w:val="0"/>
    <w:pPr>
      <w:ind w:left="200" w:hanging="200"/>
    </w:pPr>
    <w:rPr>
      <w:szCs w:val="20"/>
    </w:rPr>
  </w:style>
  <w:style w:type="paragraph" w:styleId="33">
    <w:name w:val="footnote text"/>
    <w:basedOn w:val="1"/>
    <w:link w:val="205"/>
    <w:semiHidden/>
    <w:unhideWhenUsed/>
    <w:uiPriority w:val="99"/>
    <w:pPr>
      <w:spacing w:after="0" w:line="240" w:lineRule="auto"/>
    </w:pPr>
    <w:rPr>
      <w:sz w:val="20"/>
      <w:szCs w:val="20"/>
    </w:rPr>
  </w:style>
  <w:style w:type="paragraph" w:styleId="34">
    <w:name w:val="toc 6"/>
    <w:basedOn w:val="1"/>
    <w:next w:val="1"/>
    <w:qFormat/>
    <w:uiPriority w:val="39"/>
    <w:pPr>
      <w:ind w:left="1050"/>
      <w:jc w:val="left"/>
    </w:pPr>
    <w:rPr>
      <w:rFonts w:ascii="Calibri" w:hAnsi="Calibri" w:cs="Calibri"/>
      <w:sz w:val="18"/>
      <w:szCs w:val="18"/>
    </w:rPr>
  </w:style>
  <w:style w:type="paragraph" w:styleId="35">
    <w:name w:val="Body Text Indent 3"/>
    <w:basedOn w:val="1"/>
    <w:qFormat/>
    <w:uiPriority w:val="0"/>
    <w:pPr>
      <w:spacing w:line="500" w:lineRule="exact"/>
      <w:ind w:firstLine="570"/>
    </w:pPr>
    <w:rPr>
      <w:rFonts w:eastAsia="黑体"/>
      <w:sz w:val="28"/>
    </w:rPr>
  </w:style>
  <w:style w:type="paragraph" w:styleId="36">
    <w:name w:val="table of figures"/>
    <w:basedOn w:val="1"/>
    <w:next w:val="1"/>
    <w:unhideWhenUsed/>
    <w:qFormat/>
    <w:uiPriority w:val="99"/>
    <w:pPr>
      <w:spacing w:after="0" w:afterAutospacing="0"/>
    </w:pPr>
  </w:style>
  <w:style w:type="paragraph" w:styleId="37">
    <w:name w:val="toc 2"/>
    <w:basedOn w:val="1"/>
    <w:next w:val="1"/>
    <w:qFormat/>
    <w:uiPriority w:val="39"/>
    <w:pPr>
      <w:ind w:left="210"/>
      <w:jc w:val="left"/>
    </w:pPr>
    <w:rPr>
      <w:rFonts w:ascii="Calibri" w:hAnsi="Calibri" w:cs="Calibri"/>
      <w:smallCaps/>
      <w:sz w:val="20"/>
      <w:szCs w:val="20"/>
    </w:rPr>
  </w:style>
  <w:style w:type="paragraph" w:styleId="38">
    <w:name w:val="toc 9"/>
    <w:basedOn w:val="1"/>
    <w:next w:val="1"/>
    <w:qFormat/>
    <w:uiPriority w:val="39"/>
    <w:pPr>
      <w:ind w:left="1680"/>
      <w:jc w:val="left"/>
    </w:pPr>
    <w:rPr>
      <w:rFonts w:ascii="Calibri" w:hAnsi="Calibri" w:cs="Calibri"/>
      <w:sz w:val="18"/>
      <w:szCs w:val="18"/>
    </w:rPr>
  </w:style>
  <w:style w:type="paragraph" w:styleId="39">
    <w:name w:val="Body Text 2"/>
    <w:basedOn w:val="1"/>
    <w:qFormat/>
    <w:uiPriority w:val="0"/>
    <w:rPr>
      <w:sz w:val="28"/>
    </w:rPr>
  </w:style>
  <w:style w:type="paragraph" w:styleId="40">
    <w:name w:val="Normal (Web)"/>
    <w:basedOn w:val="1"/>
    <w:qFormat/>
    <w:uiPriority w:val="0"/>
    <w:pPr>
      <w:widowControl/>
      <w:spacing w:before="100" w:beforeAutospacing="1" w:after="100" w:afterAutospacing="1"/>
      <w:jc w:val="left"/>
    </w:pPr>
    <w:rPr>
      <w:rFonts w:ascii="宋体" w:hAnsi="宋体"/>
      <w:sz w:val="24"/>
    </w:rPr>
  </w:style>
  <w:style w:type="paragraph" w:styleId="41">
    <w:name w:val="Title"/>
    <w:basedOn w:val="1"/>
    <w:link w:val="223"/>
    <w:qFormat/>
    <w:uiPriority w:val="0"/>
    <w:pPr>
      <w:spacing w:before="240" w:after="60" w:line="312" w:lineRule="atLeast"/>
      <w:jc w:val="center"/>
    </w:pPr>
    <w:rPr>
      <w:rFonts w:ascii="Arial" w:hAnsi="Arial"/>
      <w:b/>
      <w:sz w:val="32"/>
      <w:szCs w:val="20"/>
    </w:rPr>
  </w:style>
  <w:style w:type="paragraph" w:styleId="42">
    <w:name w:val="annotation subject"/>
    <w:basedOn w:val="16"/>
    <w:next w:val="16"/>
    <w:link w:val="224"/>
    <w:qFormat/>
    <w:uiPriority w:val="0"/>
    <w:pPr>
      <w:spacing w:line="240" w:lineRule="auto"/>
    </w:pPr>
    <w:rPr>
      <w:b/>
      <w:bCs/>
      <w:sz w:val="21"/>
      <w:szCs w:val="24"/>
    </w:rPr>
  </w:style>
  <w:style w:type="paragraph" w:styleId="43">
    <w:name w:val="Body Text First Indent 2"/>
    <w:basedOn w:val="18"/>
    <w:qFormat/>
    <w:uiPriority w:val="0"/>
    <w:pPr>
      <w:ind w:firstLine="420"/>
    </w:pPr>
    <w:rPr>
      <w:rFonts w:ascii="Arial" w:hAnsi="Arial"/>
      <w:sz w:val="20"/>
    </w:rPr>
  </w:style>
  <w:style w:type="table" w:styleId="45">
    <w:name w:val="Table Grid"/>
    <w:basedOn w:val="44"/>
    <w:qFormat/>
    <w:uiPriority w:val="39"/>
    <w:pPr>
      <w:widowContro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47">
    <w:name w:val="Char2 Char Char Char1 Char Char Char Char Char Char Char Char1 Char1 Char Char1 Char"/>
    <w:basedOn w:val="1"/>
    <w:link w:val="46"/>
    <w:qFormat/>
    <w:uiPriority w:val="0"/>
    <w:pPr>
      <w:spacing w:line="240" w:lineRule="auto"/>
    </w:pPr>
    <w:rPr>
      <w:rFonts w:ascii="宋体" w:hAnsi="宋体"/>
      <w:szCs w:val="21"/>
    </w:rPr>
  </w:style>
  <w:style w:type="character" w:styleId="48">
    <w:name w:val="Strong"/>
    <w:qFormat/>
    <w:uiPriority w:val="0"/>
    <w:rPr>
      <w:rFonts w:cs="Times New Roman"/>
      <w:b/>
    </w:rPr>
  </w:style>
  <w:style w:type="character" w:styleId="49">
    <w:name w:val="endnote reference"/>
    <w:basedOn w:val="46"/>
    <w:semiHidden/>
    <w:unhideWhenUsed/>
    <w:qFormat/>
    <w:uiPriority w:val="99"/>
    <w:rPr>
      <w:vertAlign w:val="superscript"/>
    </w:rPr>
  </w:style>
  <w:style w:type="character" w:styleId="50">
    <w:name w:val="page number"/>
    <w:qFormat/>
    <w:uiPriority w:val="0"/>
  </w:style>
  <w:style w:type="character" w:styleId="51">
    <w:name w:val="FollowedHyperlink"/>
    <w:qFormat/>
    <w:uiPriority w:val="0"/>
    <w:rPr>
      <w:color w:val="333333"/>
      <w:u w:val="none"/>
    </w:rPr>
  </w:style>
  <w:style w:type="character" w:styleId="52">
    <w:name w:val="Emphasis"/>
    <w:qFormat/>
    <w:uiPriority w:val="20"/>
  </w:style>
  <w:style w:type="character" w:styleId="53">
    <w:name w:val="HTML Definition"/>
    <w:unhideWhenUsed/>
    <w:qFormat/>
    <w:uiPriority w:val="99"/>
    <w:rPr>
      <w:i/>
      <w:iCs/>
    </w:rPr>
  </w:style>
  <w:style w:type="character" w:styleId="54">
    <w:name w:val="Hyperlink"/>
    <w:qFormat/>
    <w:uiPriority w:val="99"/>
    <w:rPr>
      <w:color w:val="333333"/>
      <w:u w:val="none"/>
    </w:rPr>
  </w:style>
  <w:style w:type="character" w:styleId="55">
    <w:name w:val="HTML Code"/>
    <w:unhideWhenUsed/>
    <w:qFormat/>
    <w:uiPriority w:val="99"/>
    <w:rPr>
      <w:rFonts w:hint="default" w:ascii="Consolas" w:hAnsi="Consolas" w:eastAsia="Consolas" w:cs="Consolas"/>
      <w:color w:val="C7254E"/>
      <w:sz w:val="21"/>
      <w:szCs w:val="21"/>
      <w:shd w:val="clear" w:color="auto" w:fill="F9F2F4"/>
    </w:rPr>
  </w:style>
  <w:style w:type="character" w:styleId="56">
    <w:name w:val="annotation reference"/>
    <w:qFormat/>
    <w:uiPriority w:val="0"/>
    <w:rPr>
      <w:sz w:val="21"/>
      <w:szCs w:val="21"/>
    </w:rPr>
  </w:style>
  <w:style w:type="character" w:styleId="57">
    <w:name w:val="footnote reference"/>
    <w:basedOn w:val="46"/>
    <w:semiHidden/>
    <w:unhideWhenUsed/>
    <w:qFormat/>
    <w:uiPriority w:val="99"/>
    <w:rPr>
      <w:vertAlign w:val="superscript"/>
    </w:rPr>
  </w:style>
  <w:style w:type="character" w:styleId="58">
    <w:name w:val="HTML Keyboard"/>
    <w:unhideWhenUsed/>
    <w:qFormat/>
    <w:uiPriority w:val="99"/>
    <w:rPr>
      <w:rFonts w:hint="default" w:ascii="Consolas" w:hAnsi="Consolas" w:eastAsia="Consolas" w:cs="Consolas"/>
      <w:color w:val="FFFFFF"/>
      <w:sz w:val="21"/>
      <w:szCs w:val="21"/>
      <w:shd w:val="clear" w:color="auto" w:fill="333333"/>
    </w:rPr>
  </w:style>
  <w:style w:type="character" w:styleId="59">
    <w:name w:val="HTML Sample"/>
    <w:unhideWhenUsed/>
    <w:qFormat/>
    <w:uiPriority w:val="99"/>
    <w:rPr>
      <w:rFonts w:ascii="Consolas" w:hAnsi="Consolas" w:eastAsia="Consolas" w:cs="Consolas"/>
      <w:sz w:val="21"/>
      <w:szCs w:val="21"/>
    </w:rPr>
  </w:style>
  <w:style w:type="table" w:customStyle="1" w:styleId="60">
    <w:name w:val="Table Grid Light"/>
    <w:basedOn w:val="4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1">
    <w:name w:val="Plain Table 1"/>
    <w:basedOn w:val="4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2">
    <w:name w:val="Plain Table 2"/>
    <w:basedOn w:val="4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3">
    <w:name w:val="Plain Table 3"/>
    <w:basedOn w:val="44"/>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4">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5">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6">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7">
    <w:name w:val="Grid Table 1 Light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8">
    <w:name w:val="Grid Table 1 Light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9">
    <w:name w:val="Grid Table 1 Light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70">
    <w:name w:val="Grid Table 1 Light - Accent 4"/>
    <w:basedOn w:val="4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1">
    <w:name w:val="Grid Table 1 Light - Accent 5"/>
    <w:basedOn w:val="44"/>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2">
    <w:name w:val="Grid Table 1 Light - Accent 6"/>
    <w:basedOn w:val="44"/>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3">
    <w:name w:val="Grid Table 2"/>
    <w:basedOn w:val="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2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5">
    <w:name w:val="Grid Table 2 - Accent 2"/>
    <w:basedOn w:val="4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6">
    <w:name w:val="Grid Table 2 - Accent 3"/>
    <w:basedOn w:val="44"/>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7">
    <w:name w:val="Grid Table 2 - Accent 4"/>
    <w:basedOn w:val="4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8">
    <w:name w:val="Grid Table 2 - Accent 5"/>
    <w:basedOn w:val="44"/>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9">
    <w:name w:val="Grid Table 2 - Accent 6"/>
    <w:basedOn w:val="44"/>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0">
    <w:name w:val="Grid Table 3"/>
    <w:basedOn w:val="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1">
    <w:name w:val="Grid Table 3 - Accent 1"/>
    <w:basedOn w:val="44"/>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2">
    <w:name w:val="Grid Table 3 - Accent 2"/>
    <w:basedOn w:val="4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3">
    <w:name w:val="Grid Table 3 - Accent 3"/>
    <w:basedOn w:val="44"/>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4">
    <w:name w:val="Grid Table 3 - Accent 4"/>
    <w:basedOn w:val="4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5">
    <w:name w:val="Grid Table 3 - Accent 5"/>
    <w:basedOn w:val="44"/>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6">
    <w:name w:val="Grid Table 3 - Accent 6"/>
    <w:basedOn w:val="44"/>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7">
    <w:name w:val="Grid Table 4"/>
    <w:basedOn w:val="4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8">
    <w:name w:val="Grid Table 4 - Accent 1"/>
    <w:basedOn w:val="44"/>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89">
    <w:name w:val="Grid Table 4 - Accent 2"/>
    <w:basedOn w:val="44"/>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90">
    <w:name w:val="Grid Table 4 - Accent 3"/>
    <w:basedOn w:val="44"/>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91">
    <w:name w:val="Grid Table 4 - Accent 4"/>
    <w:basedOn w:val="4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2">
    <w:name w:val="Grid Table 4 - Accent 5"/>
    <w:basedOn w:val="44"/>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3">
    <w:name w:val="Grid Table 4 - Accent 6"/>
    <w:basedOn w:val="44"/>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4">
    <w:name w:val="Grid Table 5 Dark"/>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5">
    <w:name w:val="Grid Table 5 Dark- Accent 1"/>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6">
    <w:name w:val="Grid Table 5 Dark - Accent 2"/>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97">
    <w:name w:val="Grid Table 5 Dark - Accent 3"/>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98">
    <w:name w:val="Grid Table 5 Dark- Accent 4"/>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99">
    <w:name w:val="Grid Table 5 Dark - Accent 5"/>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100">
    <w:name w:val="Grid Table 5 Dark - Accent 6"/>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01">
    <w:name w:val="Grid Table 6 Colorful"/>
    <w:basedOn w:val="4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2">
    <w:name w:val="Grid Table 6 Colorful - Accent 1"/>
    <w:basedOn w:val="44"/>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3">
    <w:name w:val="Grid Table 6 Colorful - Accent 2"/>
    <w:basedOn w:val="44"/>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4">
    <w:name w:val="Grid Table 6 Colorful - Accent 3"/>
    <w:basedOn w:val="44"/>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5">
    <w:name w:val="Grid Table 6 Colorful - Accent 4"/>
    <w:basedOn w:val="4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6">
    <w:name w:val="Grid Table 6 Colorful - Accent 5"/>
    <w:basedOn w:val="44"/>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7">
    <w:name w:val="Grid Table 6 Colorful - Accent 6"/>
    <w:basedOn w:val="44"/>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8">
    <w:name w:val="Grid Table 7 Colorful"/>
    <w:basedOn w:val="4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9">
    <w:name w:val="Grid Table 7 Colorful - Accent 1"/>
    <w:basedOn w:val="44"/>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0">
    <w:name w:val="Grid Table 7 Colorful - Accent 2"/>
    <w:basedOn w:val="44"/>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1">
    <w:name w:val="Grid Table 7 Colorful - Accent 3"/>
    <w:basedOn w:val="44"/>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2">
    <w:name w:val="Grid Table 7 Colorful - Accent 4"/>
    <w:basedOn w:val="4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3">
    <w:name w:val="Grid Table 7 Colorful - Accent 5"/>
    <w:basedOn w:val="44"/>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4">
    <w:name w:val="Grid Table 7 Colorful - Accent 6"/>
    <w:basedOn w:val="44"/>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5">
    <w:name w:val="List Table 1 Light"/>
    <w:basedOn w:val="44"/>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6">
    <w:name w:val="List Table 1 Light - Accent 1"/>
    <w:basedOn w:val="44"/>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7">
    <w:name w:val="List Table 1 Light - Accent 2"/>
    <w:basedOn w:val="44"/>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8">
    <w:name w:val="List Table 1 Light - Accent 3"/>
    <w:basedOn w:val="44"/>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9">
    <w:name w:val="List Table 1 Light - Accent 4"/>
    <w:basedOn w:val="4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0">
    <w:name w:val="List Table 1 Light - Accent 5"/>
    <w:basedOn w:val="44"/>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1">
    <w:name w:val="List Table 1 Light - Accent 6"/>
    <w:basedOn w:val="44"/>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2">
    <w:name w:val="List Table 2"/>
    <w:basedOn w:val="4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2 - Accent 1"/>
    <w:basedOn w:val="44"/>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4">
    <w:name w:val="List Table 2 - Accent 2"/>
    <w:basedOn w:val="44"/>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5">
    <w:name w:val="List Table 2 - Accent 3"/>
    <w:basedOn w:val="44"/>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6">
    <w:name w:val="List Table 2 - Accent 4"/>
    <w:basedOn w:val="4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7">
    <w:name w:val="List Table 2 - Accent 5"/>
    <w:basedOn w:val="44"/>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8">
    <w:name w:val="List Table 2 - Accent 6"/>
    <w:basedOn w:val="44"/>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9">
    <w:name w:val="List Table 3"/>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0">
    <w:name w:val="List Table 3 - Accent 1"/>
    <w:basedOn w:val="44"/>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1">
    <w:name w:val="List Table 3 - Accent 2"/>
    <w:basedOn w:val="44"/>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2">
    <w:name w:val="List Table 3 - Accent 3"/>
    <w:basedOn w:val="44"/>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3">
    <w:name w:val="List Table 3 - Accent 4"/>
    <w:basedOn w:val="4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4">
    <w:name w:val="List Table 3 - Accent 5"/>
    <w:basedOn w:val="44"/>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5">
    <w:name w:val="List Table 3 - Accent 6"/>
    <w:basedOn w:val="44"/>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6">
    <w:name w:val="List Table 4"/>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7">
    <w:name w:val="List Table 4 - Accent 1"/>
    <w:basedOn w:val="44"/>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38">
    <w:name w:val="List Table 4 - Accent 2"/>
    <w:basedOn w:val="44"/>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39">
    <w:name w:val="List Table 4 - Accent 3"/>
    <w:basedOn w:val="44"/>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40">
    <w:name w:val="List Table 4 - Accent 4"/>
    <w:basedOn w:val="4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41">
    <w:name w:val="List Table 4 - Accent 5"/>
    <w:basedOn w:val="44"/>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2">
    <w:name w:val="List Table 4 - Accent 6"/>
    <w:basedOn w:val="44"/>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3">
    <w:name w:val="List Table 5 Dark"/>
    <w:basedOn w:val="4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4">
    <w:name w:val="List Table 5 Dark - Accent 1"/>
    <w:basedOn w:val="44"/>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5">
    <w:name w:val="List Table 5 Dark - Accent 2"/>
    <w:basedOn w:val="44"/>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6">
    <w:name w:val="List Table 5 Dark - Accent 3"/>
    <w:basedOn w:val="44"/>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47">
    <w:name w:val="List Table 5 Dark - Accent 4"/>
    <w:basedOn w:val="4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48">
    <w:name w:val="List Table 5 Dark - Accent 5"/>
    <w:basedOn w:val="44"/>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49">
    <w:name w:val="List Table 5 Dark - Accent 6"/>
    <w:basedOn w:val="44"/>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50">
    <w:name w:val="List Table 6 Colorful"/>
    <w:basedOn w:val="44"/>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1">
    <w:name w:val="List Table 6 Colorful - Accent 1"/>
    <w:basedOn w:val="44"/>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2">
    <w:name w:val="List Table 6 Colorful - Accent 2"/>
    <w:basedOn w:val="44"/>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3">
    <w:name w:val="List Table 6 Colorful - Accent 3"/>
    <w:basedOn w:val="44"/>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4">
    <w:name w:val="List Table 6 Colorful - Accent 4"/>
    <w:basedOn w:val="4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5">
    <w:name w:val="List Table 6 Colorful - Accent 5"/>
    <w:basedOn w:val="44"/>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6">
    <w:name w:val="List Table 6 Colorful - Accent 6"/>
    <w:basedOn w:val="44"/>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7">
    <w:name w:val="List Table 7 Colorful"/>
    <w:basedOn w:val="44"/>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8">
    <w:name w:val="List Table 7 Colorful - Accent 1"/>
    <w:basedOn w:val="44"/>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9">
    <w:name w:val="List Table 7 Colorful - Accent 2"/>
    <w:basedOn w:val="44"/>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0">
    <w:name w:val="List Table 7 Colorful - Accent 3"/>
    <w:basedOn w:val="44"/>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1">
    <w:name w:val="List Table 7 Colorful - Accent 4"/>
    <w:basedOn w:val="44"/>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2">
    <w:name w:val="List Table 7 Colorful - Accent 5"/>
    <w:basedOn w:val="44"/>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3">
    <w:name w:val="List Table 7 Colorful - Accent 6"/>
    <w:basedOn w:val="44"/>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4">
    <w:name w:val="Lined - Accent"/>
    <w:basedOn w:val="44"/>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5">
    <w:name w:val="Lined - Accent 1"/>
    <w:basedOn w:val="44"/>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6">
    <w:name w:val="Lined - Accent 2"/>
    <w:basedOn w:val="44"/>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7">
    <w:name w:val="Lined - Accent 3"/>
    <w:basedOn w:val="44"/>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8">
    <w:name w:val="Lined - Accent 4"/>
    <w:basedOn w:val="4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9">
    <w:name w:val="Lined - Accent 5"/>
    <w:basedOn w:val="44"/>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0">
    <w:name w:val="Lined - Accent 6"/>
    <w:basedOn w:val="44"/>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1">
    <w:name w:val="Bordered &amp; Lined - Accent"/>
    <w:basedOn w:val="4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2">
    <w:name w:val="Bordered &amp; Lined - Accent 1"/>
    <w:basedOn w:val="44"/>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3">
    <w:name w:val="Bordered &amp; Lined - Accent 2"/>
    <w:basedOn w:val="44"/>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4">
    <w:name w:val="Bordered &amp; Lined - Accent 3"/>
    <w:basedOn w:val="44"/>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5">
    <w:name w:val="Bordered &amp; Lined - Accent 4"/>
    <w:basedOn w:val="4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6">
    <w:name w:val="Bordered &amp; Lined - Accent 5"/>
    <w:basedOn w:val="44"/>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7">
    <w:name w:val="Bordered &amp; Lined - Accent 6"/>
    <w:basedOn w:val="44"/>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8">
    <w:name w:val="Bordered"/>
    <w:basedOn w:val="4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9">
    <w:name w:val="Bordered - Accent 1"/>
    <w:basedOn w:val="44"/>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80">
    <w:name w:val="Bordered - Accent 2"/>
    <w:basedOn w:val="44"/>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1">
    <w:name w:val="Bordered - Accent 3"/>
    <w:basedOn w:val="4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2">
    <w:name w:val="Bordered - Accent 4"/>
    <w:basedOn w:val="4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3">
    <w:name w:val="Bordered - Accent 5"/>
    <w:basedOn w:val="44"/>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4">
    <w:name w:val="Bordered - Accent 6"/>
    <w:basedOn w:val="44"/>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5">
    <w:name w:val="Heading 1 Char"/>
    <w:basedOn w:val="46"/>
    <w:uiPriority w:val="9"/>
    <w:rPr>
      <w:rFonts w:ascii="Arial" w:hAnsi="Arial" w:eastAsia="Arial" w:cs="Arial"/>
      <w:color w:val="376092" w:themeColor="accent1" w:themeShade="BF"/>
      <w:sz w:val="40"/>
      <w:szCs w:val="40"/>
    </w:rPr>
  </w:style>
  <w:style w:type="character" w:customStyle="1" w:styleId="186">
    <w:name w:val="Heading 2 Char"/>
    <w:basedOn w:val="46"/>
    <w:uiPriority w:val="9"/>
    <w:rPr>
      <w:rFonts w:ascii="Arial" w:hAnsi="Arial" w:eastAsia="Arial" w:cs="Arial"/>
      <w:color w:val="376092" w:themeColor="accent1" w:themeShade="BF"/>
      <w:sz w:val="32"/>
      <w:szCs w:val="32"/>
    </w:rPr>
  </w:style>
  <w:style w:type="character" w:customStyle="1" w:styleId="187">
    <w:name w:val="Heading 3 Char"/>
    <w:basedOn w:val="46"/>
    <w:uiPriority w:val="9"/>
    <w:rPr>
      <w:rFonts w:ascii="Arial" w:hAnsi="Arial" w:eastAsia="Arial" w:cs="Arial"/>
      <w:color w:val="376092" w:themeColor="accent1" w:themeShade="BF"/>
      <w:sz w:val="28"/>
      <w:szCs w:val="28"/>
    </w:rPr>
  </w:style>
  <w:style w:type="character" w:customStyle="1" w:styleId="188">
    <w:name w:val="Heading 4 Char"/>
    <w:basedOn w:val="46"/>
    <w:uiPriority w:val="9"/>
    <w:rPr>
      <w:rFonts w:ascii="Arial" w:hAnsi="Arial" w:eastAsia="Arial" w:cs="Arial"/>
      <w:i/>
      <w:iCs/>
      <w:color w:val="376092" w:themeColor="accent1" w:themeShade="BF"/>
    </w:rPr>
  </w:style>
  <w:style w:type="character" w:customStyle="1" w:styleId="189">
    <w:name w:val="Heading 5 Char"/>
    <w:basedOn w:val="46"/>
    <w:uiPriority w:val="9"/>
    <w:rPr>
      <w:rFonts w:ascii="Arial" w:hAnsi="Arial" w:eastAsia="Arial" w:cs="Arial"/>
      <w:color w:val="376092" w:themeColor="accent1" w:themeShade="BF"/>
    </w:rPr>
  </w:style>
  <w:style w:type="character" w:customStyle="1" w:styleId="190">
    <w:name w:val="Heading 6 Char"/>
    <w:basedOn w:val="46"/>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91">
    <w:name w:val="Heading 7 Char"/>
    <w:basedOn w:val="46"/>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92">
    <w:name w:val="Heading 8 Char"/>
    <w:basedOn w:val="46"/>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3">
    <w:name w:val="Heading 9 Char"/>
    <w:basedOn w:val="46"/>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4">
    <w:name w:val="Subtitle Char"/>
    <w:basedOn w:val="46"/>
    <w:link w:val="31"/>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95">
    <w:name w:val="Quote"/>
    <w:basedOn w:val="1"/>
    <w:next w:val="1"/>
    <w:link w:val="19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96">
    <w:name w:val="Quote Char"/>
    <w:basedOn w:val="46"/>
    <w:link w:val="195"/>
    <w:uiPriority w:val="29"/>
    <w:rPr>
      <w:i/>
      <w:iCs/>
      <w:color w:val="404040" w:themeColor="text1" w:themeTint="BF"/>
      <w14:textFill>
        <w14:solidFill>
          <w14:schemeClr w14:val="tx1">
            <w14:lumMod w14:val="75000"/>
            <w14:lumOff w14:val="25000"/>
          </w14:schemeClr>
        </w14:solidFill>
      </w14:textFill>
    </w:rPr>
  </w:style>
  <w:style w:type="character" w:customStyle="1" w:styleId="197">
    <w:name w:val="Intense Emphasis"/>
    <w:basedOn w:val="46"/>
    <w:qFormat/>
    <w:uiPriority w:val="21"/>
    <w:rPr>
      <w:i/>
      <w:iCs/>
      <w:color w:val="376092" w:themeColor="accent1" w:themeShade="BF"/>
    </w:rPr>
  </w:style>
  <w:style w:type="paragraph" w:styleId="198">
    <w:name w:val="Intense Quote"/>
    <w:basedOn w:val="1"/>
    <w:next w:val="1"/>
    <w:link w:val="199"/>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99">
    <w:name w:val="Intense Quote Char"/>
    <w:basedOn w:val="46"/>
    <w:link w:val="198"/>
    <w:uiPriority w:val="30"/>
    <w:rPr>
      <w:i/>
      <w:iCs/>
      <w:color w:val="376092" w:themeColor="accent1" w:themeShade="BF"/>
    </w:rPr>
  </w:style>
  <w:style w:type="character" w:customStyle="1" w:styleId="200">
    <w:name w:val="Intense Reference"/>
    <w:basedOn w:val="46"/>
    <w:qFormat/>
    <w:uiPriority w:val="32"/>
    <w:rPr>
      <w:b/>
      <w:bCs/>
      <w:smallCaps/>
      <w:color w:val="376092" w:themeColor="accent1" w:themeShade="BF"/>
      <w:spacing w:val="5"/>
    </w:rPr>
  </w:style>
  <w:style w:type="paragraph" w:styleId="201">
    <w:name w:val="No Spacing"/>
    <w:basedOn w:val="1"/>
    <w:qFormat/>
    <w:uiPriority w:val="1"/>
    <w:pPr>
      <w:spacing w:after="0" w:line="240" w:lineRule="auto"/>
    </w:pPr>
  </w:style>
  <w:style w:type="character" w:customStyle="1" w:styleId="202">
    <w:name w:val="Subtle Emphasis"/>
    <w:basedOn w:val="46"/>
    <w:qFormat/>
    <w:uiPriority w:val="19"/>
    <w:rPr>
      <w:i/>
      <w:iCs/>
      <w:color w:val="404040" w:themeColor="text1" w:themeTint="BF"/>
      <w14:textFill>
        <w14:solidFill>
          <w14:schemeClr w14:val="tx1">
            <w14:lumMod w14:val="75000"/>
            <w14:lumOff w14:val="25000"/>
          </w14:schemeClr>
        </w14:solidFill>
      </w14:textFill>
    </w:rPr>
  </w:style>
  <w:style w:type="character" w:customStyle="1" w:styleId="203">
    <w:name w:val="Subtle Reference"/>
    <w:basedOn w:val="4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04">
    <w:name w:val="Book Title"/>
    <w:basedOn w:val="46"/>
    <w:qFormat/>
    <w:uiPriority w:val="33"/>
    <w:rPr>
      <w:b/>
      <w:bCs/>
      <w:i/>
      <w:iCs/>
      <w:spacing w:val="5"/>
    </w:rPr>
  </w:style>
  <w:style w:type="character" w:customStyle="1" w:styleId="205">
    <w:name w:val="Footnote Text Char"/>
    <w:basedOn w:val="46"/>
    <w:link w:val="33"/>
    <w:semiHidden/>
    <w:uiPriority w:val="99"/>
    <w:rPr>
      <w:sz w:val="20"/>
      <w:szCs w:val="20"/>
    </w:rPr>
  </w:style>
  <w:style w:type="character" w:customStyle="1" w:styleId="206">
    <w:name w:val="Endnote Text Char"/>
    <w:basedOn w:val="46"/>
    <w:link w:val="25"/>
    <w:semiHidden/>
    <w:uiPriority w:val="99"/>
    <w:rPr>
      <w:sz w:val="20"/>
      <w:szCs w:val="20"/>
    </w:rPr>
  </w:style>
  <w:style w:type="paragraph" w:customStyle="1" w:styleId="207">
    <w:name w:val="TOC Heading"/>
    <w:unhideWhenUsed/>
    <w:uiPriority w:val="39"/>
    <w:rPr>
      <w:rFonts w:hint="default" w:ascii="Times New Roman" w:hAnsi="Times New Roman" w:eastAsia="宋体" w:cs="Times New Roman"/>
    </w:rPr>
  </w:style>
  <w:style w:type="character" w:customStyle="1" w:styleId="208">
    <w:name w:val="正文文本 字符"/>
    <w:link w:val="2"/>
    <w:qFormat/>
    <w:uiPriority w:val="0"/>
    <w:rPr>
      <w:sz w:val="52"/>
      <w:szCs w:val="24"/>
    </w:rPr>
  </w:style>
  <w:style w:type="character" w:customStyle="1" w:styleId="209">
    <w:name w:val="标题 1 字符"/>
    <w:link w:val="3"/>
    <w:qFormat/>
    <w:uiPriority w:val="0"/>
    <w:rPr>
      <w:b/>
      <w:bCs/>
      <w:sz w:val="44"/>
      <w:szCs w:val="44"/>
    </w:rPr>
  </w:style>
  <w:style w:type="character" w:customStyle="1" w:styleId="210">
    <w:name w:val="标题 2 字符"/>
    <w:link w:val="4"/>
    <w:qFormat/>
    <w:uiPriority w:val="0"/>
    <w:rPr>
      <w:rFonts w:ascii="Arial" w:hAnsi="Arial"/>
      <w:b/>
      <w:bCs/>
      <w:color w:val="FF0000"/>
      <w:sz w:val="28"/>
      <w:szCs w:val="32"/>
    </w:rPr>
  </w:style>
  <w:style w:type="paragraph" w:customStyle="1" w:styleId="211">
    <w:name w:val="标题 60"/>
    <w:basedOn w:val="8"/>
    <w:qFormat/>
    <w:uiPriority w:val="0"/>
    <w:pPr>
      <w:spacing w:line="319" w:lineRule="auto"/>
      <w:ind w:firstLine="200"/>
    </w:pPr>
    <w:rPr>
      <w:b w:val="0"/>
      <w:bCs w:val="0"/>
    </w:rPr>
  </w:style>
  <w:style w:type="character" w:customStyle="1" w:styleId="212">
    <w:name w:val="标题 3 字符"/>
    <w:link w:val="5"/>
    <w:qFormat/>
    <w:uiPriority w:val="0"/>
    <w:rPr>
      <w:b/>
      <w:bCs/>
      <w:sz w:val="32"/>
      <w:szCs w:val="32"/>
    </w:rPr>
  </w:style>
  <w:style w:type="character" w:customStyle="1" w:styleId="213">
    <w:name w:val="正文缩进 字符"/>
    <w:link w:val="13"/>
    <w:qFormat/>
    <w:uiPriority w:val="0"/>
  </w:style>
  <w:style w:type="character" w:customStyle="1" w:styleId="214">
    <w:name w:val="标题 4 字符"/>
    <w:link w:val="6"/>
    <w:qFormat/>
    <w:uiPriority w:val="0"/>
    <w:rPr>
      <w:rFonts w:ascii="Arial" w:hAnsi="Arial" w:eastAsia="黑体"/>
      <w:b/>
      <w:bCs/>
      <w:sz w:val="28"/>
      <w:szCs w:val="28"/>
    </w:rPr>
  </w:style>
  <w:style w:type="character" w:customStyle="1" w:styleId="215">
    <w:name w:val="标题 9 字符"/>
    <w:link w:val="11"/>
    <w:qFormat/>
    <w:uiPriority w:val="0"/>
    <w:rPr>
      <w:rFonts w:ascii="Arial" w:hAnsi="Arial" w:eastAsia="黑体"/>
      <w:sz w:val="21"/>
      <w:szCs w:val="21"/>
    </w:rPr>
  </w:style>
  <w:style w:type="character" w:customStyle="1" w:styleId="216">
    <w:name w:val="文档结构图 字符"/>
    <w:link w:val="15"/>
    <w:qFormat/>
    <w:uiPriority w:val="0"/>
    <w:rPr>
      <w:sz w:val="21"/>
      <w:szCs w:val="24"/>
      <w:shd w:val="clear" w:color="auto" w:fill="000080"/>
    </w:rPr>
  </w:style>
  <w:style w:type="character" w:customStyle="1" w:styleId="217">
    <w:name w:val="批注文字 字符1"/>
    <w:link w:val="16"/>
    <w:qFormat/>
    <w:uiPriority w:val="99"/>
    <w:rPr>
      <w:sz w:val="24"/>
    </w:rPr>
  </w:style>
  <w:style w:type="character" w:customStyle="1" w:styleId="218">
    <w:name w:val="正文文本 3 字符"/>
    <w:link w:val="17"/>
    <w:qFormat/>
    <w:uiPriority w:val="0"/>
    <w:rPr>
      <w:sz w:val="24"/>
      <w:szCs w:val="24"/>
    </w:rPr>
  </w:style>
  <w:style w:type="character" w:customStyle="1" w:styleId="219">
    <w:name w:val="纯文本 字符"/>
    <w:link w:val="21"/>
    <w:qFormat/>
    <w:uiPriority w:val="0"/>
    <w:rPr>
      <w:rFonts w:ascii="宋体" w:hAnsi="Courier New"/>
      <w:sz w:val="21"/>
    </w:rPr>
  </w:style>
  <w:style w:type="character" w:customStyle="1" w:styleId="220">
    <w:name w:val="批注框文本 字符"/>
    <w:link w:val="26"/>
    <w:qFormat/>
    <w:uiPriority w:val="0"/>
    <w:rPr>
      <w:sz w:val="18"/>
      <w:szCs w:val="18"/>
    </w:rPr>
  </w:style>
  <w:style w:type="character" w:customStyle="1" w:styleId="221">
    <w:name w:val="页脚 字符"/>
    <w:link w:val="27"/>
    <w:qFormat/>
    <w:uiPriority w:val="99"/>
    <w:rPr>
      <w:sz w:val="18"/>
      <w:szCs w:val="18"/>
    </w:rPr>
  </w:style>
  <w:style w:type="character" w:customStyle="1" w:styleId="222">
    <w:name w:val="页眉 字符"/>
    <w:link w:val="28"/>
    <w:qFormat/>
    <w:uiPriority w:val="99"/>
    <w:rPr>
      <w:sz w:val="18"/>
      <w:szCs w:val="18"/>
    </w:rPr>
  </w:style>
  <w:style w:type="character" w:customStyle="1" w:styleId="223">
    <w:name w:val="标题 字符"/>
    <w:link w:val="41"/>
    <w:qFormat/>
    <w:uiPriority w:val="0"/>
    <w:rPr>
      <w:rFonts w:ascii="Arial" w:hAnsi="Arial"/>
      <w:b/>
      <w:sz w:val="32"/>
    </w:rPr>
  </w:style>
  <w:style w:type="character" w:customStyle="1" w:styleId="224">
    <w:name w:val="批注主题 字符"/>
    <w:link w:val="42"/>
    <w:qFormat/>
    <w:uiPriority w:val="0"/>
    <w:rPr>
      <w:b/>
      <w:bCs/>
      <w:sz w:val="21"/>
      <w:szCs w:val="24"/>
    </w:rPr>
  </w:style>
  <w:style w:type="character" w:customStyle="1" w:styleId="225">
    <w:name w:val="bd-close2"/>
    <w:qFormat/>
    <w:uiPriority w:val="0"/>
    <w:rPr>
      <w:vanish/>
    </w:rPr>
  </w:style>
  <w:style w:type="character" w:customStyle="1" w:styleId="226">
    <w:name w:val="left"/>
    <w:qFormat/>
    <w:uiPriority w:val="0"/>
    <w:rPr>
      <w:color w:val="FF4700"/>
    </w:rPr>
  </w:style>
  <w:style w:type="character" w:customStyle="1" w:styleId="227">
    <w:name w:val="first-child"/>
    <w:qFormat/>
    <w:uiPriority w:val="0"/>
  </w:style>
  <w:style w:type="character" w:customStyle="1" w:styleId="228">
    <w:name w:val="bd-close"/>
    <w:qFormat/>
    <w:uiPriority w:val="0"/>
    <w:rPr>
      <w:vanish/>
    </w:rPr>
  </w:style>
  <w:style w:type="character" w:customStyle="1" w:styleId="229">
    <w:name w:val="left2"/>
    <w:qFormat/>
    <w:uiPriority w:val="0"/>
    <w:rPr>
      <w:color w:val="FF4700"/>
    </w:rPr>
  </w:style>
  <w:style w:type="character" w:customStyle="1" w:styleId="230">
    <w:name w:val="edui-clickable2"/>
    <w:qFormat/>
    <w:uiPriority w:val="0"/>
    <w:rPr>
      <w:color w:val="0000FF"/>
      <w:u w:val="single"/>
    </w:rPr>
  </w:style>
  <w:style w:type="character" w:customStyle="1" w:styleId="231">
    <w:name w:val="Footer Char"/>
    <w:qFormat/>
    <w:uiPriority w:val="0"/>
    <w:rPr>
      <w:rFonts w:ascii="Calibri" w:hAnsi="Calibri" w:eastAsia="宋体"/>
      <w:sz w:val="18"/>
    </w:rPr>
  </w:style>
  <w:style w:type="character" w:customStyle="1" w:styleId="232">
    <w:name w:val="Header Char"/>
    <w:qFormat/>
    <w:uiPriority w:val="0"/>
    <w:rPr>
      <w:rFonts w:ascii="Calibri" w:hAnsi="Calibri" w:eastAsia="宋体"/>
      <w:sz w:val="18"/>
    </w:rPr>
  </w:style>
  <w:style w:type="character" w:customStyle="1" w:styleId="233">
    <w:name w:val="标题2 Char"/>
    <w:link w:val="234"/>
    <w:qFormat/>
    <w:uiPriority w:val="0"/>
    <w:rPr>
      <w:rFonts w:ascii="黑体" w:hAnsi="宋体" w:cs="黑体"/>
      <w:b/>
      <w:bCs/>
      <w:sz w:val="28"/>
      <w:szCs w:val="28"/>
    </w:rPr>
  </w:style>
  <w:style w:type="paragraph" w:customStyle="1" w:styleId="234">
    <w:name w:val="标题2"/>
    <w:basedOn w:val="6"/>
    <w:next w:val="1"/>
    <w:link w:val="233"/>
    <w:qFormat/>
    <w:uiPriority w:val="0"/>
    <w:pPr>
      <w:spacing w:before="0" w:after="0" w:line="360" w:lineRule="auto"/>
      <w:ind w:firstLine="397"/>
      <w:jc w:val="left"/>
    </w:pPr>
    <w:rPr>
      <w:rFonts w:ascii="黑体" w:hAnsi="宋体" w:eastAsia="宋体" w:cs="黑体"/>
    </w:rPr>
  </w:style>
  <w:style w:type="character" w:customStyle="1" w:styleId="235">
    <w:name w:val="中文正文、 Char Char"/>
    <w:link w:val="236"/>
    <w:qFormat/>
    <w:uiPriority w:val="0"/>
    <w:rPr>
      <w:sz w:val="21"/>
      <w:szCs w:val="21"/>
    </w:rPr>
  </w:style>
  <w:style w:type="paragraph" w:customStyle="1" w:styleId="236">
    <w:name w:val="中文正文、"/>
    <w:basedOn w:val="1"/>
    <w:link w:val="235"/>
    <w:qFormat/>
    <w:uiPriority w:val="0"/>
    <w:pPr>
      <w:spacing w:line="360" w:lineRule="auto"/>
      <w:ind w:firstLine="420"/>
    </w:pPr>
    <w:rPr>
      <w:szCs w:val="21"/>
    </w:rPr>
  </w:style>
  <w:style w:type="character" w:customStyle="1" w:styleId="237">
    <w:name w:val="批注主题 Char"/>
    <w:link w:val="238"/>
    <w:qFormat/>
    <w:uiPriority w:val="0"/>
    <w:rPr>
      <w:b/>
      <w:sz w:val="24"/>
    </w:rPr>
  </w:style>
  <w:style w:type="paragraph" w:customStyle="1" w:styleId="238">
    <w:name w:val="批注主题1"/>
    <w:basedOn w:val="16"/>
    <w:next w:val="16"/>
    <w:link w:val="237"/>
    <w:qFormat/>
    <w:uiPriority w:val="0"/>
    <w:pPr>
      <w:spacing w:line="240" w:lineRule="auto"/>
    </w:pPr>
    <w:rPr>
      <w:b/>
    </w:rPr>
  </w:style>
  <w:style w:type="character" w:customStyle="1" w:styleId="239">
    <w:name w:val="16"/>
    <w:qFormat/>
    <w:uiPriority w:val="0"/>
    <w:rPr>
      <w:rFonts w:hint="default" w:ascii="Times New Roman" w:hAnsi="Times New Roman" w:cs="Times New Roman"/>
    </w:rPr>
  </w:style>
  <w:style w:type="character" w:customStyle="1" w:styleId="240">
    <w:name w:val="封面标题 Char"/>
    <w:link w:val="241"/>
    <w:qFormat/>
    <w:uiPriority w:val="0"/>
    <w:rPr>
      <w:rFonts w:ascii="黑体" w:eastAsia="黑体"/>
      <w:sz w:val="52"/>
      <w:szCs w:val="52"/>
    </w:rPr>
  </w:style>
  <w:style w:type="paragraph" w:customStyle="1" w:styleId="241">
    <w:name w:val="封面标题"/>
    <w:basedOn w:val="1"/>
    <w:link w:val="240"/>
    <w:qFormat/>
    <w:uiPriority w:val="0"/>
    <w:pPr>
      <w:spacing w:line="276" w:lineRule="auto"/>
      <w:jc w:val="center"/>
    </w:pPr>
    <w:rPr>
      <w:rFonts w:ascii="黑体" w:eastAsia="黑体"/>
      <w:sz w:val="52"/>
      <w:szCs w:val="52"/>
    </w:rPr>
  </w:style>
  <w:style w:type="character" w:customStyle="1" w:styleId="242">
    <w:name w:val="edui-unclickable"/>
    <w:qFormat/>
    <w:uiPriority w:val="0"/>
    <w:rPr>
      <w:color w:val="808080"/>
    </w:rPr>
  </w:style>
  <w:style w:type="character" w:customStyle="1" w:styleId="243">
    <w:name w:val="15"/>
    <w:qFormat/>
    <w:uiPriority w:val="0"/>
    <w:rPr>
      <w:rFonts w:hint="eastAsia" w:ascii="宋体" w:hAnsi="宋体" w:eastAsia="宋体"/>
      <w:sz w:val="24"/>
      <w:szCs w:val="24"/>
    </w:rPr>
  </w:style>
  <w:style w:type="character" w:customStyle="1" w:styleId="244">
    <w:name w:val="封面副标题 Char"/>
    <w:link w:val="245"/>
    <w:qFormat/>
    <w:uiPriority w:val="0"/>
    <w:rPr>
      <w:rFonts w:ascii="黑体" w:eastAsia="黑体"/>
      <w:sz w:val="28"/>
      <w:szCs w:val="28"/>
    </w:rPr>
  </w:style>
  <w:style w:type="paragraph" w:customStyle="1" w:styleId="245">
    <w:name w:val="封面副标题"/>
    <w:basedOn w:val="1"/>
    <w:link w:val="244"/>
    <w:qFormat/>
    <w:uiPriority w:val="0"/>
    <w:pPr>
      <w:spacing w:line="276" w:lineRule="auto"/>
      <w:ind w:firstLine="199"/>
      <w:jc w:val="center"/>
    </w:pPr>
    <w:rPr>
      <w:rFonts w:ascii="黑体" w:eastAsia="黑体"/>
      <w:sz w:val="28"/>
      <w:szCs w:val="28"/>
    </w:rPr>
  </w:style>
  <w:style w:type="character" w:customStyle="1" w:styleId="246">
    <w:name w:val="文档结构图 Char"/>
    <w:link w:val="247"/>
    <w:qFormat/>
    <w:uiPriority w:val="0"/>
    <w:rPr>
      <w:rFonts w:ascii="宋体" w:hAnsi="Calibri"/>
      <w:sz w:val="18"/>
    </w:rPr>
  </w:style>
  <w:style w:type="paragraph" w:customStyle="1" w:styleId="247">
    <w:name w:val="文档结构图1"/>
    <w:basedOn w:val="1"/>
    <w:link w:val="246"/>
    <w:qFormat/>
    <w:uiPriority w:val="0"/>
    <w:rPr>
      <w:rFonts w:ascii="宋体" w:hAnsi="Calibri"/>
      <w:sz w:val="18"/>
      <w:szCs w:val="20"/>
    </w:rPr>
  </w:style>
  <w:style w:type="character" w:customStyle="1" w:styleId="248">
    <w:name w:val="纯文本 Char"/>
    <w:qFormat/>
    <w:uiPriority w:val="0"/>
    <w:rPr>
      <w:rFonts w:ascii="Calibri" w:hAnsi="Calibri" w:cs="Calibri"/>
    </w:rPr>
  </w:style>
  <w:style w:type="character" w:customStyle="1" w:styleId="249">
    <w:name w:val="font31"/>
    <w:qFormat/>
    <w:uiPriority w:val="0"/>
    <w:rPr>
      <w:rFonts w:hint="eastAsia" w:ascii="仿宋" w:hAnsi="仿宋" w:eastAsia="仿宋" w:cs="仿宋"/>
      <w:color w:val="000000"/>
      <w:sz w:val="20"/>
      <w:szCs w:val="20"/>
      <w:u w:val="none"/>
    </w:rPr>
  </w:style>
  <w:style w:type="character" w:customStyle="1" w:styleId="250">
    <w:name w:val="button"/>
    <w:qFormat/>
    <w:uiPriority w:val="0"/>
  </w:style>
  <w:style w:type="character" w:customStyle="1" w:styleId="251">
    <w:name w:val="bd-open"/>
    <w:qFormat/>
    <w:uiPriority w:val="0"/>
  </w:style>
  <w:style w:type="character" w:customStyle="1" w:styleId="252">
    <w:name w:val="tmpztreemove_arrow"/>
    <w:qFormat/>
    <w:uiPriority w:val="0"/>
  </w:style>
  <w:style w:type="character" w:customStyle="1" w:styleId="253">
    <w:name w:val="Comment Text Char"/>
    <w:qFormat/>
    <w:uiPriority w:val="0"/>
    <w:rPr>
      <w:rFonts w:ascii="Times New Roman" w:hAnsi="Times New Roman" w:eastAsia="宋体"/>
      <w:sz w:val="24"/>
    </w:rPr>
  </w:style>
  <w:style w:type="character" w:customStyle="1" w:styleId="254">
    <w:name w:val="A表格文字 Char"/>
    <w:link w:val="255"/>
    <w:qFormat/>
    <w:uiPriority w:val="0"/>
    <w:rPr>
      <w:rFonts w:ascii="宋体" w:hAnsi="宋体"/>
      <w:sz w:val="21"/>
    </w:rPr>
  </w:style>
  <w:style w:type="paragraph" w:customStyle="1" w:styleId="255">
    <w:name w:val="A表格文字"/>
    <w:basedOn w:val="1"/>
    <w:link w:val="254"/>
    <w:qFormat/>
    <w:uiPriority w:val="0"/>
    <w:pPr>
      <w:spacing w:before="40" w:after="40"/>
      <w:jc w:val="left"/>
    </w:pPr>
    <w:rPr>
      <w:rFonts w:ascii="宋体" w:hAnsi="宋体"/>
      <w:szCs w:val="20"/>
    </w:rPr>
  </w:style>
  <w:style w:type="character" w:customStyle="1" w:styleId="256">
    <w:name w:val="layui-layer-tabnow"/>
    <w:qFormat/>
    <w:uiPriority w:val="0"/>
    <w:rPr>
      <w:shd w:val="clear" w:color="auto" w:fill="FFFFFF"/>
    </w:rPr>
  </w:style>
  <w:style w:type="character" w:customStyle="1" w:styleId="257">
    <w:name w:val="批注文字 Char2"/>
    <w:qFormat/>
    <w:uiPriority w:val="99"/>
    <w:rPr>
      <w:sz w:val="21"/>
    </w:rPr>
  </w:style>
  <w:style w:type="character" w:customStyle="1" w:styleId="258">
    <w:name w:val="bd-open2"/>
    <w:qFormat/>
    <w:uiPriority w:val="0"/>
  </w:style>
  <w:style w:type="character" w:customStyle="1" w:styleId="259">
    <w:name w:val="font51"/>
    <w:qFormat/>
    <w:uiPriority w:val="0"/>
    <w:rPr>
      <w:rFonts w:hint="eastAsia" w:ascii="仿宋" w:hAnsi="仿宋" w:eastAsia="仿宋" w:cs="仿宋"/>
      <w:b/>
      <w:bCs/>
      <w:color w:val="000000"/>
      <w:sz w:val="21"/>
      <w:szCs w:val="21"/>
      <w:u w:val="none"/>
    </w:rPr>
  </w:style>
  <w:style w:type="character" w:customStyle="1" w:styleId="260">
    <w:name w:val="列表段落 字符"/>
    <w:link w:val="261"/>
    <w:qFormat/>
    <w:uiPriority w:val="34"/>
    <w:rPr>
      <w:rFonts w:cs="Calibri"/>
      <w:sz w:val="21"/>
      <w:szCs w:val="24"/>
    </w:rPr>
  </w:style>
  <w:style w:type="paragraph" w:styleId="261">
    <w:name w:val="List Paragraph"/>
    <w:basedOn w:val="1"/>
    <w:link w:val="260"/>
    <w:qFormat/>
    <w:uiPriority w:val="34"/>
    <w:pPr>
      <w:ind w:firstLine="420"/>
    </w:pPr>
    <w:rPr>
      <w:rFonts w:ascii="Calibri" w:hAnsi="Calibri" w:cs="Calibri"/>
    </w:rPr>
  </w:style>
  <w:style w:type="character" w:customStyle="1" w:styleId="262">
    <w:name w:val="Title Char"/>
    <w:qFormat/>
    <w:uiPriority w:val="0"/>
    <w:rPr>
      <w:rFonts w:ascii="Cambria" w:hAnsi="Cambria" w:eastAsia="宋体"/>
      <w:b/>
      <w:sz w:val="32"/>
    </w:rPr>
  </w:style>
  <w:style w:type="character" w:customStyle="1" w:styleId="263">
    <w:name w:val="批注文字 Char1"/>
    <w:qFormat/>
    <w:uiPriority w:val="0"/>
    <w:rPr>
      <w:sz w:val="21"/>
    </w:rPr>
  </w:style>
  <w:style w:type="character" w:customStyle="1" w:styleId="264">
    <w:name w:val="彩色列表 - 强调文字颜色 1 Char"/>
    <w:link w:val="265"/>
    <w:qFormat/>
    <w:uiPriority w:val="34"/>
    <w:rPr>
      <w:rFonts w:ascii="Calibri" w:hAnsi="Calibri"/>
      <w:sz w:val="21"/>
      <w:szCs w:val="22"/>
    </w:rPr>
  </w:style>
  <w:style w:type="paragraph" w:customStyle="1" w:styleId="265">
    <w:name w:val="彩色列表 - 强调文字颜色 11"/>
    <w:basedOn w:val="1"/>
    <w:link w:val="264"/>
    <w:qFormat/>
    <w:uiPriority w:val="34"/>
    <w:pPr>
      <w:ind w:firstLine="420"/>
    </w:pPr>
    <w:rPr>
      <w:rFonts w:ascii="Calibri" w:hAnsi="Calibri"/>
      <w:szCs w:val="22"/>
    </w:rPr>
  </w:style>
  <w:style w:type="character" w:customStyle="1" w:styleId="266">
    <w:name w:val="列出段落 字符"/>
    <w:qFormat/>
    <w:uiPriority w:val="34"/>
    <w:rPr>
      <w:sz w:val="21"/>
      <w:szCs w:val="24"/>
    </w:rPr>
  </w:style>
  <w:style w:type="character" w:customStyle="1" w:styleId="267">
    <w:name w:val="批注引用1"/>
    <w:qFormat/>
    <w:uiPriority w:val="0"/>
    <w:rPr>
      <w:sz w:val="21"/>
    </w:rPr>
  </w:style>
  <w:style w:type="character" w:customStyle="1" w:styleId="268">
    <w:name w:val="Balloon Text Char"/>
    <w:qFormat/>
    <w:uiPriority w:val="0"/>
    <w:rPr>
      <w:rFonts w:ascii="Calibri" w:hAnsi="Calibri" w:eastAsia="宋体"/>
      <w:sz w:val="18"/>
    </w:rPr>
  </w:style>
  <w:style w:type="character" w:customStyle="1" w:styleId="269">
    <w:name w:val="A表格文字左对齐 Char"/>
    <w:link w:val="270"/>
    <w:qFormat/>
    <w:uiPriority w:val="0"/>
    <w:rPr>
      <w:rFonts w:ascii="宋体" w:hAnsi="宋体"/>
      <w:sz w:val="21"/>
    </w:rPr>
  </w:style>
  <w:style w:type="paragraph" w:customStyle="1" w:styleId="270">
    <w:name w:val="A表格文字左对齐"/>
    <w:basedOn w:val="1"/>
    <w:link w:val="269"/>
    <w:qFormat/>
    <w:uiPriority w:val="0"/>
    <w:pPr>
      <w:spacing w:before="40" w:after="4"/>
      <w:jc w:val="left"/>
    </w:pPr>
    <w:rPr>
      <w:rFonts w:ascii="宋体" w:hAnsi="宋体"/>
      <w:szCs w:val="20"/>
    </w:rPr>
  </w:style>
  <w:style w:type="character" w:customStyle="1" w:styleId="271">
    <w:name w:val="font11"/>
    <w:qFormat/>
    <w:uiPriority w:val="0"/>
    <w:rPr>
      <w:rFonts w:hint="eastAsia" w:ascii="仿宋" w:hAnsi="仿宋" w:eastAsia="仿宋" w:cs="仿宋"/>
      <w:color w:val="FF0000"/>
      <w:sz w:val="20"/>
      <w:szCs w:val="20"/>
      <w:u w:val="none"/>
      <w:lang w:val="en-US" w:eastAsia="zh-CN" w:bidi="ar-SA"/>
    </w:rPr>
  </w:style>
  <w:style w:type="character" w:customStyle="1" w:styleId="272">
    <w:name w:val="right"/>
    <w:qFormat/>
    <w:uiPriority w:val="0"/>
  </w:style>
  <w:style w:type="character" w:customStyle="1" w:styleId="273">
    <w:name w:val="批注文字 字符"/>
    <w:qFormat/>
    <w:uiPriority w:val="99"/>
    <w:rPr>
      <w:sz w:val="21"/>
    </w:rPr>
  </w:style>
  <w:style w:type="character" w:customStyle="1" w:styleId="274">
    <w:name w:val="font21"/>
    <w:qFormat/>
    <w:uiPriority w:val="0"/>
    <w:rPr>
      <w:rFonts w:hint="default" w:ascii="仿宋_GB2312" w:hAnsi="宋体" w:eastAsia="仿宋_GB2312" w:cs="仿宋_GB2312"/>
      <w:color w:val="FF0000"/>
      <w:sz w:val="24"/>
      <w:szCs w:val="24"/>
      <w:u w:val="none"/>
    </w:rPr>
  </w:style>
  <w:style w:type="character" w:customStyle="1" w:styleId="275">
    <w:name w:val="日期 Char"/>
    <w:link w:val="276"/>
    <w:qFormat/>
    <w:uiPriority w:val="0"/>
    <w:rPr>
      <w:rFonts w:ascii="Calibri" w:hAnsi="Calibri"/>
    </w:rPr>
  </w:style>
  <w:style w:type="paragraph" w:customStyle="1" w:styleId="276">
    <w:name w:val="日期1"/>
    <w:basedOn w:val="1"/>
    <w:next w:val="1"/>
    <w:link w:val="275"/>
    <w:qFormat/>
    <w:uiPriority w:val="0"/>
    <w:pPr>
      <w:ind w:left="100"/>
    </w:pPr>
    <w:rPr>
      <w:rFonts w:ascii="Calibri" w:hAnsi="Calibri"/>
      <w:sz w:val="20"/>
      <w:szCs w:val="20"/>
    </w:rPr>
  </w:style>
  <w:style w:type="character" w:customStyle="1" w:styleId="277">
    <w:name w:val="封面合同编号 Char"/>
    <w:link w:val="278"/>
    <w:qFormat/>
    <w:uiPriority w:val="0"/>
    <w:rPr>
      <w:rFonts w:ascii="Calibri" w:hAnsi="Calibri"/>
      <w:sz w:val="21"/>
      <w:szCs w:val="22"/>
    </w:rPr>
  </w:style>
  <w:style w:type="paragraph" w:customStyle="1" w:styleId="278">
    <w:name w:val="封面合同编号"/>
    <w:basedOn w:val="1"/>
    <w:link w:val="277"/>
    <w:qFormat/>
    <w:uiPriority w:val="0"/>
    <w:pPr>
      <w:spacing w:line="276" w:lineRule="auto"/>
      <w:ind w:right="1701"/>
      <w:jc w:val="right"/>
    </w:pPr>
    <w:rPr>
      <w:rFonts w:ascii="Calibri" w:hAnsi="Calibri"/>
      <w:szCs w:val="22"/>
    </w:rPr>
  </w:style>
  <w:style w:type="paragraph" w:customStyle="1" w:styleId="279">
    <w:name w:val="_Style 124"/>
    <w:unhideWhenUsed/>
    <w:qFormat/>
    <w:uiPriority w:val="99"/>
    <w:rPr>
      <w:rFonts w:hint="default" w:ascii="Times New Roman" w:hAnsi="Times New Roman" w:eastAsia="宋体" w:cs="Times New Roman"/>
      <w:sz w:val="21"/>
      <w:szCs w:val="24"/>
      <w:lang w:val="en-US" w:eastAsia="zh-CN" w:bidi="ar-SA"/>
    </w:rPr>
  </w:style>
  <w:style w:type="paragraph" w:customStyle="1" w:styleId="280">
    <w:name w:val="1正文"/>
    <w:basedOn w:val="1"/>
    <w:qFormat/>
    <w:uiPriority w:val="0"/>
    <w:pPr>
      <w:spacing w:line="560" w:lineRule="exact"/>
      <w:ind w:firstLine="200"/>
    </w:pPr>
    <w:rPr>
      <w:rFonts w:eastAsia="Cambria Math"/>
      <w:sz w:val="32"/>
    </w:rPr>
  </w:style>
  <w:style w:type="paragraph" w:customStyle="1" w:styleId="281">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282">
    <w:name w:val="无间隔1"/>
    <w:qFormat/>
    <w:uiPriority w:val="1"/>
    <w:rPr>
      <w:rFonts w:hint="default" w:ascii="Times New Roman" w:hAnsi="Times New Roman" w:eastAsia="宋体" w:cs="Times New Roman"/>
      <w:sz w:val="22"/>
      <w:lang w:val="en-US" w:eastAsia="zh-CN" w:bidi="ar-SA"/>
    </w:rPr>
  </w:style>
  <w:style w:type="paragraph" w:customStyle="1" w:styleId="283">
    <w:name w:val="表格正文"/>
    <w:basedOn w:val="1"/>
    <w:qFormat/>
    <w:uiPriority w:val="0"/>
    <w:pPr>
      <w:widowControl/>
      <w:spacing w:line="300" w:lineRule="auto"/>
      <w:jc w:val="left"/>
    </w:pPr>
    <w:rPr>
      <w:rFonts w:ascii="Calibri" w:hAnsi="Calibri"/>
      <w:sz w:val="24"/>
    </w:rPr>
  </w:style>
  <w:style w:type="paragraph" w:customStyle="1" w:styleId="284">
    <w:name w:val="_Style 129"/>
    <w:basedOn w:val="1"/>
    <w:next w:val="1"/>
    <w:qFormat/>
    <w:uiPriority w:val="0"/>
    <w:pPr>
      <w:pBdr>
        <w:top w:val="single" w:color="000000" w:sz="6" w:space="1"/>
      </w:pBdr>
      <w:jc w:val="center"/>
    </w:pPr>
    <w:rPr>
      <w:rFonts w:ascii="Arial" w:eastAsia="宋体"/>
      <w:vanish/>
      <w:sz w:val="16"/>
    </w:rPr>
  </w:style>
  <w:style w:type="paragraph" w:customStyle="1" w:styleId="285">
    <w:name w:val="text-only"/>
    <w:basedOn w:val="1"/>
    <w:qFormat/>
    <w:uiPriority w:val="0"/>
    <w:pPr>
      <w:pBdr>
        <w:top w:val="none" w:color="000000" w:sz="0" w:space="0"/>
        <w:left w:val="none" w:color="000000" w:sz="0" w:space="0"/>
        <w:bottom w:val="none" w:color="000000" w:sz="0" w:space="0"/>
        <w:right w:val="none" w:color="000000" w:sz="0" w:space="0"/>
      </w:pBdr>
      <w:spacing w:after="300" w:afterAutospacing="0" w:line="420" w:lineRule="atLeast"/>
      <w:jc w:val="left"/>
    </w:pPr>
    <w:rPr>
      <w:lang w:val="en-US" w:eastAsia="zh-CN" w:bidi="ar"/>
    </w:rPr>
  </w:style>
  <w:style w:type="paragraph" w:customStyle="1" w:styleId="286">
    <w:name w:val="Level 2"/>
    <w:basedOn w:val="1"/>
    <w:qFormat/>
    <w:uiPriority w:val="0"/>
    <w:rPr>
      <w:rFonts w:ascii="Calibri" w:hAnsi="Calibri"/>
      <w:szCs w:val="22"/>
    </w:rPr>
  </w:style>
  <w:style w:type="paragraph" w:customStyle="1" w:styleId="287">
    <w:name w:val="列出段落2"/>
    <w:basedOn w:val="1"/>
    <w:qFormat/>
    <w:uiPriority w:val="0"/>
    <w:pPr>
      <w:ind w:firstLine="420"/>
    </w:pPr>
    <w:rPr>
      <w:rFonts w:ascii="Calibri" w:hAnsi="Calibri"/>
      <w:szCs w:val="22"/>
    </w:rPr>
  </w:style>
  <w:style w:type="paragraph" w:customStyle="1" w:styleId="288">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289">
    <w:name w:val="样式 样式 首行缩进:  2 字符1 + 首行缩进:  2 字符"/>
    <w:basedOn w:val="290"/>
    <w:qFormat/>
    <w:uiPriority w:val="0"/>
    <w:pPr>
      <w:ind w:firstLine="480"/>
    </w:pPr>
  </w:style>
  <w:style w:type="paragraph" w:customStyle="1" w:styleId="290">
    <w:name w:val="样式 首行缩进:  2 字符1"/>
    <w:basedOn w:val="1"/>
    <w:qFormat/>
    <w:uiPriority w:val="0"/>
    <w:pPr>
      <w:spacing w:after="0" w:line="360" w:lineRule="auto"/>
      <w:ind w:firstLine="200"/>
      <w:jc w:val="both"/>
    </w:pPr>
    <w:rPr>
      <w:rFonts w:eastAsia="宋体" w:cs="Times New Roman"/>
      <w:color w:val="auto"/>
      <w:sz w:val="24"/>
      <w:szCs w:val="20"/>
    </w:rPr>
  </w:style>
  <w:style w:type="paragraph" w:customStyle="1" w:styleId="291">
    <w:name w:val="正文文本 32"/>
    <w:basedOn w:val="1"/>
    <w:qFormat/>
    <w:uiPriority w:val="0"/>
    <w:pPr>
      <w:spacing w:line="312" w:lineRule="auto"/>
    </w:pPr>
    <w:rPr>
      <w:rFonts w:ascii="宋体" w:hAnsi="Times New Roman"/>
      <w:sz w:val="24"/>
      <w:szCs w:val="20"/>
    </w:rPr>
  </w:style>
  <w:style w:type="paragraph" w:customStyle="1" w:styleId="292">
    <w:name w:val="xl88"/>
    <w:basedOn w:val="1"/>
    <w:qFormat/>
    <w:uiPriority w:val="0"/>
    <w:pPr>
      <w:widowControl/>
      <w:pBdr>
        <w:bottom w:val="single" w:color="000000" w:sz="4" w:space="0"/>
      </w:pBdr>
      <w:spacing w:before="100" w:beforeAutospacing="1" w:after="100" w:afterAutospacing="1"/>
      <w:jc w:val="center"/>
    </w:pPr>
    <w:rPr>
      <w:rFonts w:hint="eastAsia" w:ascii="楷体_GB2312" w:hAnsi="Arial Unicode MS" w:eastAsia="楷体_GB2312"/>
      <w:sz w:val="24"/>
    </w:rPr>
  </w:style>
  <w:style w:type="paragraph" w:customStyle="1" w:styleId="293">
    <w:name w:val="Body Text 3"/>
    <w:basedOn w:val="1"/>
    <w:qFormat/>
    <w:uiPriority w:val="0"/>
    <w:rPr>
      <w:rFonts w:ascii="宋体"/>
      <w:sz w:val="24"/>
    </w:rPr>
  </w:style>
  <w:style w:type="paragraph" w:customStyle="1" w:styleId="294">
    <w:name w:val="Level 4"/>
    <w:basedOn w:val="1"/>
    <w:qFormat/>
    <w:uiPriority w:val="0"/>
    <w:pPr>
      <w:tabs>
        <w:tab w:val="left" w:pos="2440"/>
      </w:tabs>
      <w:ind w:left="2041" w:hanging="765"/>
    </w:pPr>
    <w:rPr>
      <w:rFonts w:ascii="Calibri" w:hAnsi="Calibri"/>
      <w:szCs w:val="22"/>
    </w:rPr>
  </w:style>
  <w:style w:type="paragraph" w:customStyle="1" w:styleId="295">
    <w:name w:val="1"/>
    <w:basedOn w:val="1"/>
    <w:next w:val="24"/>
    <w:qFormat/>
    <w:uiPriority w:val="0"/>
    <w:pPr>
      <w:tabs>
        <w:tab w:val="left" w:pos="3060"/>
      </w:tabs>
      <w:spacing w:line="140" w:lineRule="atLeast"/>
      <w:ind w:firstLine="560"/>
    </w:pPr>
    <w:rPr>
      <w:sz w:val="28"/>
    </w:rPr>
  </w:style>
  <w:style w:type="paragraph" w:customStyle="1" w:styleId="296">
    <w:name w:val="样式 左侧:  0.74 厘米1"/>
    <w:basedOn w:val="1"/>
    <w:qFormat/>
    <w:uiPriority w:val="0"/>
    <w:pPr>
      <w:widowControl w:val="0"/>
      <w:spacing w:after="0" w:line="240" w:lineRule="auto"/>
      <w:ind w:left="620" w:hanging="200"/>
      <w:jc w:val="both"/>
    </w:pPr>
    <w:rPr>
      <w:rFonts w:ascii="Times New Roman" w:hAnsi="Times New Roman" w:eastAsia="宋体" w:cs="Times New Roman"/>
      <w:color w:val="auto"/>
      <w:sz w:val="21"/>
      <w:szCs w:val="20"/>
    </w:rPr>
  </w:style>
  <w:style w:type="paragraph" w:customStyle="1" w:styleId="297">
    <w:name w:val="Char1"/>
    <w:basedOn w:val="1"/>
    <w:qFormat/>
    <w:uiPriority w:val="0"/>
    <w:pPr>
      <w:widowControl/>
      <w:spacing w:after="160" w:line="240" w:lineRule="exact"/>
      <w:jc w:val="left"/>
    </w:pPr>
    <w:rPr>
      <w:rFonts w:ascii="Verdana" w:hAnsi="Verdana"/>
      <w:sz w:val="20"/>
      <w:szCs w:val="20"/>
      <w:lang w:eastAsia="en-US"/>
    </w:rPr>
  </w:style>
  <w:style w:type="paragraph" w:customStyle="1" w:styleId="298">
    <w:name w:val="样式 四号 首行缩进:  1厘米 行距: 1.5 倍行距"/>
    <w:basedOn w:val="1"/>
    <w:qFormat/>
    <w:uiPriority w:val="0"/>
    <w:pPr>
      <w:spacing w:line="360" w:lineRule="auto"/>
      <w:ind w:firstLine="570"/>
    </w:pPr>
    <w:rPr>
      <w:sz w:val="28"/>
      <w:szCs w:val="20"/>
    </w:rPr>
  </w:style>
  <w:style w:type="paragraph" w:customStyle="1" w:styleId="299">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300">
    <w:name w:val="TOC 标题1"/>
    <w:basedOn w:val="3"/>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301">
    <w:name w:val="样式1"/>
    <w:basedOn w:val="1"/>
    <w:qFormat/>
    <w:uiPriority w:val="0"/>
    <w:pPr>
      <w:numPr>
        <w:ilvl w:val="0"/>
        <w:numId w:val="3"/>
      </w:numPr>
      <w:spacing w:line="360" w:lineRule="auto"/>
      <w:ind w:left="1253" w:hanging="680"/>
    </w:pPr>
    <w:rPr>
      <w:sz w:val="28"/>
      <w:szCs w:val="28"/>
    </w:rPr>
  </w:style>
  <w:style w:type="paragraph" w:customStyle="1" w:styleId="302">
    <w:name w:val="Level 1"/>
    <w:basedOn w:val="1"/>
    <w:qFormat/>
    <w:uiPriority w:val="0"/>
    <w:rPr>
      <w:rFonts w:ascii="Calibri" w:hAnsi="Calibri"/>
      <w:szCs w:val="22"/>
    </w:rPr>
  </w:style>
  <w:style w:type="paragraph" w:customStyle="1" w:styleId="303">
    <w:name w:val="p16"/>
    <w:basedOn w:val="1"/>
    <w:qFormat/>
    <w:uiPriority w:val="0"/>
    <w:pPr>
      <w:widowControl/>
    </w:pPr>
    <w:rPr>
      <w:rFonts w:ascii="宋体" w:hAnsi="宋体"/>
      <w:sz w:val="24"/>
      <w:szCs w:val="20"/>
    </w:rPr>
  </w:style>
  <w:style w:type="paragraph" w:customStyle="1" w:styleId="304">
    <w:name w:val="List Paragraph1"/>
    <w:basedOn w:val="1"/>
    <w:qFormat/>
    <w:uiPriority w:val="34"/>
    <w:pPr>
      <w:ind w:firstLine="420"/>
    </w:pPr>
  </w:style>
  <w:style w:type="paragraph" w:customStyle="1" w:styleId="305">
    <w:name w:val="正文 A"/>
    <w:qFormat/>
    <w:uiPriority w:val="0"/>
    <w:pPr>
      <w:widowControl w:val="0"/>
      <w:jc w:val="both"/>
    </w:pPr>
    <w:rPr>
      <w:rFonts w:hint="default" w:ascii="Times New Roman" w:hAnsi="Times New Roman" w:eastAsia="Arial Unicode MS" w:cs="Arial Unicode MS"/>
      <w:color w:val="000000"/>
      <w:sz w:val="21"/>
      <w:szCs w:val="21"/>
      <w:u w:val="none"/>
      <w:lang w:val="en-US" w:eastAsia="zh-CN" w:bidi="ar-SA"/>
    </w:rPr>
  </w:style>
  <w:style w:type="paragraph" w:customStyle="1" w:styleId="306">
    <w:name w:val="_Style 1"/>
    <w:basedOn w:val="1"/>
    <w:qFormat/>
    <w:uiPriority w:val="34"/>
    <w:pPr>
      <w:widowControl w:val="0"/>
      <w:spacing w:after="0" w:line="240" w:lineRule="auto"/>
      <w:ind w:firstLine="420"/>
      <w:jc w:val="both"/>
    </w:pPr>
    <w:rPr>
      <w:rFonts w:ascii="Times New Roman" w:hAnsi="Times New Roman" w:eastAsia="宋体" w:cs="Times New Roman"/>
      <w:color w:val="auto"/>
      <w:sz w:val="21"/>
      <w:szCs w:val="20"/>
    </w:rPr>
  </w:style>
  <w:style w:type="paragraph" w:customStyle="1" w:styleId="307">
    <w:name w:val="标题4"/>
    <w:basedOn w:val="1"/>
    <w:qFormat/>
    <w:uiPriority w:val="0"/>
    <w:pPr>
      <w:spacing w:before="156" w:after="156"/>
      <w:jc w:val="left"/>
    </w:pPr>
    <w:rPr>
      <w:rFonts w:eastAsia="黑体"/>
      <w:b/>
      <w:sz w:val="30"/>
    </w:rPr>
  </w:style>
  <w:style w:type="paragraph" w:customStyle="1" w:styleId="308">
    <w:name w:val="Default"/>
    <w:qFormat/>
    <w:uiPriority w:val="0"/>
    <w:pPr>
      <w:widowControl w:val="0"/>
    </w:pPr>
    <w:rPr>
      <w:rFonts w:hint="default" w:ascii="Arial Unicode MS" w:hAnsi="Times New Roman" w:eastAsia="Arial Unicode MS" w:cs="Arial Unicode MS"/>
      <w:color w:val="000000"/>
      <w:sz w:val="24"/>
      <w:szCs w:val="24"/>
      <w:lang w:val="en-US" w:eastAsia="zh-CN" w:bidi="ar-SA"/>
    </w:rPr>
  </w:style>
  <w:style w:type="paragraph" w:customStyle="1" w:styleId="309">
    <w:name w:val="列出段落1"/>
    <w:basedOn w:val="1"/>
    <w:qFormat/>
    <w:uiPriority w:val="34"/>
    <w:pPr>
      <w:ind w:firstLine="420"/>
    </w:pPr>
    <w:rPr>
      <w:rFonts w:ascii="Calibri" w:hAnsi="Calibri" w:cs="Calibri"/>
      <w:szCs w:val="21"/>
    </w:rPr>
  </w:style>
  <w:style w:type="paragraph" w:customStyle="1" w:styleId="310">
    <w:name w:val="p0"/>
    <w:basedOn w:val="1"/>
    <w:qFormat/>
    <w:uiPriority w:val="0"/>
    <w:pPr>
      <w:widowControl/>
    </w:pPr>
    <w:rPr>
      <w:szCs w:val="21"/>
    </w:rPr>
  </w:style>
  <w:style w:type="paragraph" w:customStyle="1" w:styleId="311">
    <w:name w:val="Char Char Char Char Char Char Char Char Char Char Char Char Char"/>
    <w:basedOn w:val="1"/>
    <w:qFormat/>
    <w:uiPriority w:val="0"/>
    <w:pPr>
      <w:spacing w:line="360" w:lineRule="auto"/>
      <w:ind w:firstLine="200"/>
    </w:pPr>
    <w:rPr>
      <w:rFonts w:eastAsia="仿宋_GB2312"/>
      <w:sz w:val="24"/>
    </w:rPr>
  </w:style>
  <w:style w:type="paragraph" w:customStyle="1" w:styleId="312">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313">
    <w:name w:val="修订1"/>
    <w:semiHidden/>
    <w:qFormat/>
    <w:uiPriority w:val="0"/>
    <w:rPr>
      <w:rFonts w:hint="default" w:ascii="Times New Roman" w:hAnsi="Times New Roman" w:eastAsia="宋体" w:cs="Times New Roman"/>
      <w:sz w:val="21"/>
      <w:szCs w:val="22"/>
      <w:lang w:val="en-US" w:eastAsia="zh-CN" w:bidi="ar-SA"/>
    </w:rPr>
  </w:style>
  <w:style w:type="paragraph" w:customStyle="1" w:styleId="314">
    <w:name w:val="_Style 12"/>
    <w:basedOn w:val="1"/>
    <w:next w:val="18"/>
    <w:qFormat/>
    <w:uiPriority w:val="0"/>
    <w:pPr>
      <w:spacing w:line="360" w:lineRule="auto"/>
      <w:ind w:firstLine="540"/>
    </w:pPr>
    <w:rPr>
      <w:sz w:val="28"/>
      <w:szCs w:val="20"/>
    </w:rPr>
  </w:style>
  <w:style w:type="paragraph" w:customStyle="1" w:styleId="315">
    <w:name w:val="_Style 160"/>
    <w:basedOn w:val="1"/>
    <w:next w:val="261"/>
    <w:qFormat/>
    <w:uiPriority w:val="0"/>
    <w:pPr>
      <w:pBdr>
        <w:bottom w:val="single" w:color="000000" w:sz="6" w:space="1"/>
      </w:pBdr>
      <w:jc w:val="center"/>
    </w:pPr>
    <w:rPr>
      <w:rFonts w:ascii="Arial" w:eastAsia="宋体"/>
      <w:vanish/>
      <w:sz w:val="16"/>
    </w:rPr>
  </w:style>
  <w:style w:type="paragraph" w:customStyle="1" w:styleId="316">
    <w:name w:val="Level 5"/>
    <w:basedOn w:val="1"/>
    <w:qFormat/>
    <w:uiPriority w:val="0"/>
    <w:pPr>
      <w:tabs>
        <w:tab w:val="left" w:pos="2552"/>
      </w:tabs>
      <w:ind w:left="2552" w:hanging="567"/>
    </w:pPr>
    <w:rPr>
      <w:rFonts w:ascii="Calibri" w:hAnsi="Calibri"/>
      <w:szCs w:val="22"/>
    </w:rPr>
  </w:style>
  <w:style w:type="paragraph" w:customStyle="1" w:styleId="317">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sz w:val="24"/>
    </w:rPr>
  </w:style>
  <w:style w:type="paragraph" w:customStyle="1" w:styleId="318">
    <w:name w:val="_Style 246"/>
    <w:basedOn w:val="1"/>
    <w:next w:val="304"/>
    <w:qFormat/>
    <w:uiPriority w:val="34"/>
    <w:pPr>
      <w:widowControl w:val="0"/>
      <w:spacing w:after="0" w:line="240" w:lineRule="auto"/>
      <w:ind w:firstLine="420"/>
      <w:jc w:val="both"/>
    </w:pPr>
    <w:rPr>
      <w:rFonts w:ascii="Times New Roman" w:hAnsi="Times New Roman" w:eastAsia="宋体" w:cs="Times New Roman"/>
      <w:color w:val="auto"/>
      <w:sz w:val="21"/>
      <w:szCs w:val="20"/>
    </w:rPr>
  </w:style>
  <w:style w:type="paragraph" w:customStyle="1" w:styleId="319">
    <w:name w:val="列出段落11"/>
    <w:basedOn w:val="1"/>
    <w:qFormat/>
    <w:uiPriority w:val="0"/>
    <w:pPr>
      <w:ind w:firstLine="420"/>
    </w:pPr>
    <w:rPr>
      <w:rFonts w:ascii="Calibri" w:hAnsi="Calibri"/>
      <w:szCs w:val="22"/>
    </w:rPr>
  </w:style>
  <w:style w:type="paragraph" w:customStyle="1" w:styleId="320">
    <w:name w:val="Char Char Char"/>
    <w:basedOn w:val="1"/>
    <w:qFormat/>
    <w:uiPriority w:val="0"/>
  </w:style>
  <w:style w:type="paragraph" w:customStyle="1" w:styleId="321">
    <w:name w:val="表格首行"/>
    <w:basedOn w:val="1"/>
    <w:qFormat/>
    <w:uiPriority w:val="0"/>
    <w:pPr>
      <w:widowControl/>
      <w:jc w:val="center"/>
    </w:pPr>
    <w:rPr>
      <w:rFonts w:hint="eastAsia" w:ascii="宋体" w:hAnsi="宋体"/>
      <w:sz w:val="24"/>
    </w:rPr>
  </w:style>
  <w:style w:type="paragraph" w:customStyle="1" w:styleId="322">
    <w:name w:val="Level 3"/>
    <w:basedOn w:val="1"/>
    <w:qFormat/>
    <w:uiPriority w:val="0"/>
    <w:pPr>
      <w:tabs>
        <w:tab w:val="left" w:pos="2808"/>
      </w:tabs>
      <w:ind w:left="2808" w:hanging="681"/>
    </w:pPr>
    <w:rPr>
      <w:rFonts w:ascii="Calibri" w:hAnsi="Calibri"/>
      <w:szCs w:val="22"/>
    </w:rPr>
  </w:style>
  <w:style w:type="paragraph" w:customStyle="1" w:styleId="323">
    <w:name w:val="_Style 168"/>
    <w:basedOn w:val="3"/>
    <w:next w:val="1"/>
    <w:qFormat/>
    <w:uiPriority w:val="39"/>
    <w:pPr>
      <w:widowControl/>
      <w:spacing w:before="480" w:after="0" w:line="276" w:lineRule="auto"/>
      <w:jc w:val="left"/>
      <w:outlineLvl w:val="9"/>
    </w:pPr>
    <w:rPr>
      <w:rFonts w:ascii="Cambria" w:hAnsi="Cambria" w:eastAsia="宋体" w:cs="Times New Roman"/>
      <w:color w:val="365F91"/>
      <w:sz w:val="28"/>
      <w:szCs w:val="28"/>
      <w:lang w:val="en-US" w:eastAsia="zh-CN"/>
    </w:rPr>
  </w:style>
  <w:style w:type="paragraph" w:customStyle="1" w:styleId="324">
    <w:name w:val="彩色底纹 - 强调文字颜色 11"/>
    <w:semiHidden/>
    <w:qFormat/>
    <w:uiPriority w:val="99"/>
    <w:rPr>
      <w:rFonts w:hint="default" w:ascii="Times New Roman" w:hAnsi="Times New Roman" w:eastAsia="宋体" w:cs="Times New Roman"/>
      <w:sz w:val="21"/>
      <w:szCs w:val="22"/>
      <w:lang w:val="en-US" w:eastAsia="zh-CN" w:bidi="ar-SA"/>
    </w:rPr>
  </w:style>
  <w:style w:type="paragraph" w:customStyle="1" w:styleId="325">
    <w:name w:val="Char Char Char Char"/>
    <w:basedOn w:val="1"/>
    <w:qFormat/>
    <w:uiPriority w:val="0"/>
    <w:pPr>
      <w:tabs>
        <w:tab w:val="left" w:pos="360"/>
      </w:tabs>
    </w:pPr>
    <w:rPr>
      <w:szCs w:val="20"/>
    </w:rPr>
  </w:style>
  <w:style w:type="paragraph" w:customStyle="1" w:styleId="326">
    <w:name w:val="Heading 2 + 宋体"/>
    <w:basedOn w:val="3"/>
    <w:qFormat/>
    <w:uiPriority w:val="0"/>
    <w:pPr>
      <w:keepLines w:val="0"/>
      <w:widowControl/>
      <w:tabs>
        <w:tab w:val="left" w:pos="1515"/>
      </w:tabs>
      <w:spacing w:before="130" w:after="120" w:line="280" w:lineRule="atLeast"/>
      <w:jc w:val="left"/>
    </w:pPr>
    <w:rPr>
      <w:bCs w:val="0"/>
      <w:sz w:val="28"/>
      <w:szCs w:val="28"/>
      <w:lang w:val="en-GB"/>
    </w:rPr>
  </w:style>
  <w:style w:type="paragraph" w:customStyle="1" w:styleId="327">
    <w:name w:val="Level 6"/>
    <w:basedOn w:val="1"/>
    <w:qFormat/>
    <w:uiPriority w:val="0"/>
    <w:pPr>
      <w:tabs>
        <w:tab w:val="left" w:pos="3289"/>
      </w:tabs>
      <w:ind w:left="3289" w:hanging="681"/>
    </w:pPr>
    <w:rPr>
      <w:rFonts w:ascii="Calibri" w:hAnsi="Calibri"/>
      <w:szCs w:val="22"/>
    </w:rPr>
  </w:style>
  <w:style w:type="paragraph" w:customStyle="1" w:styleId="328">
    <w:name w:val="正文文本 33"/>
    <w:basedOn w:val="1"/>
    <w:qFormat/>
    <w:uiPriority w:val="0"/>
    <w:rPr>
      <w:rFonts w:ascii="宋体" w:hAnsi="Times New Roman" w:cs="Times New Roman"/>
      <w:sz w:val="24"/>
    </w:rPr>
  </w:style>
  <w:style w:type="character" w:customStyle="1" w:styleId="329">
    <w:name w:val="正文缩进 字符1"/>
    <w:qFormat/>
    <w:uiPriority w:val="0"/>
  </w:style>
  <w:style w:type="character" w:customStyle="1" w:styleId="330">
    <w:name w:val="font41"/>
    <w:basedOn w:val="46"/>
    <w:qFormat/>
    <w:uiPriority w:val="0"/>
    <w:rPr>
      <w:rFonts w:hint="eastAsia" w:ascii="仿宋" w:hAnsi="仿宋" w:eastAsia="仿宋" w:cs="仿宋"/>
      <w:color w:val="000000"/>
      <w:sz w:val="21"/>
      <w:szCs w:val="21"/>
      <w:u w:val="none"/>
    </w:rPr>
  </w:style>
  <w:style w:type="character" w:customStyle="1" w:styleId="331">
    <w:name w:val="font61"/>
    <w:basedOn w:val="46"/>
    <w:qFormat/>
    <w:uiPriority w:val="0"/>
    <w:rPr>
      <w:rFonts w:hint="eastAsia" w:ascii="仿宋" w:hAnsi="仿宋" w:eastAsia="仿宋" w:cs="仿宋"/>
      <w:color w:val="000000"/>
      <w:sz w:val="20"/>
      <w:szCs w:val="20"/>
      <w:u w:val="none"/>
    </w:rPr>
  </w:style>
  <w:style w:type="character" w:customStyle="1" w:styleId="332">
    <w:name w:val="font81"/>
    <w:basedOn w:val="46"/>
    <w:qFormat/>
    <w:uiPriority w:val="0"/>
    <w:rPr>
      <w:rFonts w:hint="eastAsia" w:ascii="仿宋" w:hAnsi="仿宋" w:eastAsia="仿宋" w:cs="仿宋"/>
      <w:color w:val="0000FF"/>
      <w:sz w:val="20"/>
      <w:szCs w:val="20"/>
      <w:u w:val="none"/>
    </w:rPr>
  </w:style>
  <w:style w:type="character" w:customStyle="1" w:styleId="333">
    <w:name w:val="font71"/>
    <w:basedOn w:val="46"/>
    <w:qFormat/>
    <w:uiPriority w:val="0"/>
    <w:rPr>
      <w:rFonts w:hint="eastAsia" w:ascii="仿宋" w:hAnsi="仿宋" w:eastAsia="仿宋" w:cs="仿宋"/>
      <w:color w:val="0000FF"/>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ScaleCrop>false</ScaleCrop>
  <LinksUpToDate>false</LinksUpToDate>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MZRB_XYY</cp:lastModifiedBy>
  <dcterms:modified xsi:type="dcterms:W3CDTF">2026-07-10T03:05:13Z</dcterms:modified>
  <dc:title>山西医科大学第一医院住院楼土建施工及安装工程招标文件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EAADB11AD7074004920A3F84AFB66ECE</vt:lpwstr>
  </property>
</Properties>
</file>