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cs="宋体"/>
          <w:b/>
          <w:kern w:val="0"/>
          <w:sz w:val="32"/>
          <w:szCs w:val="32"/>
        </w:rPr>
        <w:t>人保财险四川省乐山市分公司区县食堂餐饮管理服务采购项目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6</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竞争性磋商邀请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三、磋商文件的获取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（二）磋商文件</w:t>
      </w:r>
      <w:r>
        <w:tab/>
      </w:r>
      <w:r>
        <w:fldChar w:fldCharType="begin"/>
      </w:r>
      <w:r>
        <w:instrText xml:space="preserve"> PAGEREF _Toc186737801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（五）竞争性磋商和评审</w:t>
      </w:r>
      <w:r>
        <w:tab/>
      </w:r>
      <w:r>
        <w:fldChar w:fldCharType="begin"/>
      </w:r>
      <w:r>
        <w:instrText xml:space="preserve"> PAGEREF _Toc186737804 \h </w:instrText>
      </w:r>
      <w:r>
        <w:fldChar w:fldCharType="separate"/>
      </w:r>
      <w:r>
        <w:t>12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18</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21</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39</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42</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43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45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46</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48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57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59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61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64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w:t>
      </w:r>
      <w:r>
        <w:rPr>
          <w:rStyle w:val="33"/>
          <w:rFonts w:hint="eastAsia" w:ascii="仿宋" w:hAnsi="仿宋" w:eastAsia="仿宋" w:cs="宋体"/>
          <w:lang w:val="en-US" w:eastAsia="zh-CN"/>
        </w:rPr>
        <w:t>十</w:t>
      </w:r>
      <w:r>
        <w:rPr>
          <w:rStyle w:val="33"/>
          <w:rFonts w:hint="eastAsia" w:ascii="仿宋" w:hAnsi="仿宋" w:eastAsia="仿宋" w:cs="宋体"/>
        </w:rPr>
        <w:t>）其他材料</w:t>
      </w:r>
      <w:r>
        <w:tab/>
      </w:r>
      <w:r>
        <w:fldChar w:fldCharType="begin"/>
      </w:r>
      <w:r>
        <w:instrText xml:space="preserve"> PAGEREF _Toc186737822 \h </w:instrText>
      </w:r>
      <w:r>
        <w:fldChar w:fldCharType="separate"/>
      </w:r>
      <w:r>
        <w:t>66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67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68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69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72</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1</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竞争性磋商邀请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000000"/>
          <w:u w:val="single"/>
        </w:rPr>
        <w:t>人保财险四川省乐山市分公司区县食堂餐饮管理服务采购项目</w:t>
      </w:r>
      <w:r>
        <w:rPr>
          <w:rFonts w:hint="eastAsia" w:ascii="仿宋" w:hAnsi="仿宋" w:eastAsia="仿宋" w:cs="仿宋"/>
          <w:color w:val="auto"/>
        </w:rPr>
        <w:t>（采购项目编号：XM26DSPC000633）</w:t>
      </w:r>
      <w:r>
        <w:rPr>
          <w:rFonts w:hint="eastAsia" w:ascii="仿宋" w:hAnsi="仿宋" w:eastAsia="仿宋" w:cs="仿宋"/>
          <w:color w:val="000000"/>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乐山市</w:t>
      </w:r>
      <w:r>
        <w:rPr>
          <w:rFonts w:hint="eastAsia" w:ascii="仿宋" w:hAnsi="仿宋" w:eastAsia="仿宋" w:cs="仿宋"/>
          <w:color w:val="auto"/>
          <w:u w:val="single"/>
        </w:rPr>
        <w:t>分公司</w:t>
      </w:r>
      <w:r>
        <w:rPr>
          <w:rFonts w:hint="eastAsia" w:ascii="仿宋" w:hAnsi="仿宋" w:eastAsia="仿宋" w:cs="仿宋"/>
          <w:color w:val="000000"/>
        </w:rPr>
        <w:t>（以下简称“采购人”）</w:t>
      </w:r>
      <w:r>
        <w:rPr>
          <w:rFonts w:hint="eastAsia" w:ascii="仿宋" w:hAnsi="仿宋" w:eastAsia="仿宋" w:cs="Cambria Math"/>
        </w:rPr>
        <w:t>批准并落实资金，组织本项目的磋商工作</w:t>
      </w:r>
      <w:r>
        <w:rPr>
          <w:rFonts w:hint="eastAsia" w:ascii="仿宋" w:hAnsi="仿宋" w:eastAsia="仿宋" w:cs="仿宋"/>
          <w:color w:val="000000"/>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乐山市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乐山市</w:t>
      </w:r>
      <w:r>
        <w:rPr>
          <w:rFonts w:hint="eastAsia" w:ascii="仿宋" w:hAnsi="仿宋" w:eastAsia="仿宋" w:cs="宋体"/>
          <w:color w:val="auto"/>
        </w:rPr>
        <w:t>分公司”）</w:t>
      </w:r>
      <w:r>
        <w:rPr>
          <w:rFonts w:hint="eastAsia" w:ascii="仿宋" w:hAnsi="仿宋" w:eastAsia="仿宋" w:cs="仿宋"/>
          <w:color w:val="auto"/>
        </w:rPr>
        <w:t>根</w:t>
      </w:r>
      <w:r>
        <w:rPr>
          <w:rFonts w:hint="eastAsia" w:ascii="仿宋" w:hAnsi="仿宋" w:eastAsia="仿宋" w:cs="仿宋"/>
          <w:color w:val="000000"/>
        </w:rPr>
        <w:t>据成交结果与成交人签署。</w:t>
      </w:r>
      <w:r>
        <w:rPr>
          <w:rFonts w:hint="eastAsia" w:ascii="仿宋" w:hAnsi="仿宋" w:eastAsia="仿宋" w:cs="仿宋"/>
          <w:color w:val="auto"/>
        </w:rPr>
        <w:t>现通过竞争性磋商方式实施，</w:t>
      </w:r>
      <w:r>
        <w:rPr>
          <w:rFonts w:hint="eastAsia" w:ascii="仿宋" w:hAnsi="仿宋" w:eastAsia="仿宋" w:cs="Cambria Math"/>
          <w:color w:val="auto"/>
        </w:rPr>
        <w:t>有意向且具有提供标的物能力的潜在供应商（以下简称“供应</w:t>
      </w:r>
      <w:r>
        <w:rPr>
          <w:rFonts w:hint="eastAsia" w:ascii="仿宋" w:hAnsi="仿宋" w:eastAsia="仿宋" w:cs="Cambria Math"/>
        </w:rPr>
        <w:t>商”）可前来参与磋商响应。</w:t>
      </w: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21237"/>
      <w:bookmarkStart w:id="3" w:name="_Toc186737791"/>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000000"/>
          <w:u w:val="single"/>
        </w:rPr>
        <w:t>人保财险四川省乐山市分公司区县食堂餐饮管理服务采购项目</w:t>
      </w:r>
      <w:r>
        <w:rPr>
          <w:rFonts w:hint="eastAsia" w:ascii="仿宋" w:hAnsi="仿宋" w:eastAsia="仿宋" w:cs="仿宋"/>
          <w:color w:val="000000"/>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本项目拟采购区县食堂餐饮管理服务，</w:t>
      </w:r>
      <w:r>
        <w:rPr>
          <w:rFonts w:hint="eastAsia" w:ascii="仿宋" w:hAnsi="仿宋" w:eastAsia="仿宋" w:cs="仿宋"/>
          <w:color w:val="000000"/>
        </w:rPr>
        <w:t>具体技术要求详见第五章采购需求。</w:t>
      </w:r>
    </w:p>
    <w:p>
      <w:pPr>
        <w:adjustRightInd w:val="0"/>
        <w:snapToGrid w:val="0"/>
        <w:spacing w:line="360" w:lineRule="auto"/>
        <w:ind w:firstLine="480" w:firstLineChars="200"/>
        <w:rPr>
          <w:rFonts w:hint="eastAsia" w:ascii="仿宋" w:hAnsi="仿宋" w:eastAsia="仿宋" w:cs="宋体"/>
          <w:color w:val="000000"/>
          <w:lang w:eastAsia="zh-CN"/>
        </w:rPr>
      </w:pPr>
      <w:r>
        <w:rPr>
          <w:rFonts w:hint="eastAsia" w:ascii="仿宋" w:hAnsi="仿宋" w:eastAsia="仿宋" w:cs="仿宋"/>
          <w:color w:val="000000"/>
        </w:rPr>
        <w:t xml:space="preserve">1.3 </w:t>
      </w:r>
      <w:r>
        <w:rPr>
          <w:rFonts w:hint="eastAsia" w:ascii="仿宋" w:hAnsi="仿宋" w:eastAsia="仿宋" w:cs="仿宋"/>
          <w:color w:val="auto"/>
        </w:rPr>
        <w:t>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3</w:t>
      </w:r>
      <w:r>
        <w:rPr>
          <w:rFonts w:hint="eastAsia" w:ascii="仿宋" w:hAnsi="仿宋" w:eastAsia="仿宋" w:cs="宋体"/>
          <w:color w:val="auto"/>
        </w:rPr>
        <w:t>年。</w:t>
      </w:r>
    </w:p>
    <w:p>
      <w:pPr>
        <w:adjustRightInd w:val="0"/>
        <w:snapToGrid w:val="0"/>
        <w:spacing w:line="360" w:lineRule="auto"/>
        <w:ind w:firstLine="480" w:firstLineChars="200"/>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w:t>
      </w:r>
      <w:r>
        <w:rPr>
          <w:rFonts w:hint="eastAsia" w:ascii="仿宋" w:hAnsi="仿宋" w:eastAsia="仿宋" w:cs="宋体"/>
          <w:color w:val="000000"/>
          <w:lang w:val="en-US" w:eastAsia="zh-CN"/>
        </w:rPr>
        <w:t>1.</w:t>
      </w:r>
      <w:r>
        <w:rPr>
          <w:rFonts w:hint="eastAsia" w:ascii="仿宋" w:hAnsi="仿宋" w:eastAsia="仿宋" w:cs="宋体"/>
          <w:color w:val="000000"/>
        </w:rPr>
        <w:t>中国人民财产保险股份有限公司峨眉山支公司</w:t>
      </w:r>
      <w:r>
        <w:rPr>
          <w:rFonts w:hint="eastAsia" w:ascii="仿宋" w:hAnsi="仿宋" w:eastAsia="仿宋" w:cs="宋体"/>
          <w:color w:val="000000"/>
          <w:lang w:eastAsia="zh-CN"/>
        </w:rPr>
        <w:t>（四川省乐山市峨眉山市胜利街道名山南路112号）；</w:t>
      </w:r>
      <w:r>
        <w:rPr>
          <w:rFonts w:hint="eastAsia" w:ascii="仿宋" w:hAnsi="仿宋" w:eastAsia="仿宋" w:cs="宋体"/>
          <w:color w:val="000000"/>
          <w:lang w:val="en-US" w:eastAsia="zh-CN"/>
        </w:rPr>
        <w:t>2.</w:t>
      </w:r>
      <w:r>
        <w:rPr>
          <w:rFonts w:hint="eastAsia" w:ascii="仿宋" w:hAnsi="仿宋" w:eastAsia="仿宋" w:cs="宋体"/>
          <w:color w:val="000000"/>
          <w:sz w:val="24"/>
          <w:szCs w:val="24"/>
          <w:lang w:val="en-US" w:eastAsia="zh-CN" w:bidi="ar-SA"/>
        </w:rPr>
        <w:t>中国人民财产保险股份有限公司沐川支公司（四川省乐山市沐川县沐溪镇中桥街129号、131号、133号底层，135号、137号、139号、141号）；3.中国人民财产保险股份有限公司乐山市沙湾支公司（四川省乐山市沙湾区沫若大道南段112、114、116号）；4.中国人民财产保险股份有限公司乐山分公司马边营销服务部（四川省乐山市马边彝族自治县民建镇鄢家巷29号）。</w:t>
      </w:r>
    </w:p>
    <w:p>
      <w:pPr>
        <w:pStyle w:val="2"/>
        <w:rPr>
          <w:rFonts w:hint="default" w:eastAsia="仿宋"/>
          <w:lang w:val="en-US" w:eastAsia="zh-CN"/>
        </w:rPr>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000000"/>
        </w:rPr>
        <w:t>项目设置最</w:t>
      </w:r>
      <w:r>
        <w:rPr>
          <w:rFonts w:ascii="仿宋" w:hAnsi="仿宋" w:eastAsia="仿宋" w:cs="仿宋"/>
          <w:color w:val="auto"/>
        </w:rPr>
        <w:t>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Cambria Math"/>
          <w:color w:val="auto"/>
        </w:rPr>
        <w:t>总价限价</w:t>
      </w:r>
      <w:r>
        <w:rPr>
          <w:rFonts w:hint="eastAsia" w:ascii="仿宋" w:hAnsi="仿宋" w:eastAsia="仿宋" w:cs="Cambria Math"/>
          <w:color w:val="auto"/>
          <w:lang w:val="en-US" w:eastAsia="zh-CN"/>
        </w:rPr>
        <w:t>57.6万元。</w:t>
      </w:r>
    </w:p>
    <w:p>
      <w:pPr>
        <w:pStyle w:val="4"/>
        <w:jc w:val="left"/>
        <w:rPr>
          <w:rFonts w:ascii="仿宋" w:hAnsi="仿宋" w:eastAsia="仿宋" w:cs="仿宋"/>
          <w:color w:val="000000"/>
          <w:sz w:val="24"/>
          <w:szCs w:val="24"/>
        </w:rPr>
      </w:pPr>
      <w:bookmarkStart w:id="4" w:name="_Toc17569"/>
      <w:bookmarkStart w:id="5" w:name="_Toc186737792"/>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w:t>
      </w:r>
      <w:r>
        <w:rPr>
          <w:rFonts w:hint="eastAsia" w:ascii="仿宋" w:hAnsi="仿宋" w:eastAsia="仿宋" w:cs="宋体"/>
          <w:color w:val="auto"/>
        </w:rPr>
        <w:t>提供20</w:t>
      </w:r>
      <w:r>
        <w:rPr>
          <w:rFonts w:hint="eastAsia" w:ascii="仿宋" w:hAnsi="仿宋" w:eastAsia="仿宋" w:cs="宋体"/>
          <w:color w:val="auto"/>
          <w:lang w:val="en-US" w:eastAsia="zh-CN"/>
        </w:rPr>
        <w:t>25</w:t>
      </w:r>
      <w:r>
        <w:rPr>
          <w:rFonts w:hint="eastAsia" w:ascii="仿宋" w:hAnsi="仿宋" w:eastAsia="仿宋" w:cs="宋体"/>
          <w:color w:val="auto"/>
        </w:rPr>
        <w:t>年度</w:t>
      </w:r>
      <w:r>
        <w:rPr>
          <w:rFonts w:hint="eastAsia" w:ascii="仿宋" w:hAnsi="仿宋" w:eastAsia="仿宋" w:cs="宋体"/>
          <w:color w:val="000000"/>
        </w:rPr>
        <w:t>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auto"/>
        </w:rPr>
        <w:t>20</w:t>
      </w:r>
      <w:r>
        <w:rPr>
          <w:rFonts w:hint="eastAsia" w:ascii="仿宋" w:hAnsi="仿宋" w:eastAsia="仿宋" w:cs="宋体"/>
          <w:color w:val="auto"/>
          <w:lang w:val="en-US" w:eastAsia="zh-CN"/>
        </w:rPr>
        <w:t>23</w:t>
      </w:r>
      <w:r>
        <w:rPr>
          <w:rFonts w:hint="eastAsia" w:ascii="仿宋" w:hAnsi="仿宋" w:eastAsia="仿宋" w:cs="宋体"/>
          <w:color w:val="000000"/>
        </w:rPr>
        <w:t>年1月1日至今）应具</w:t>
      </w:r>
      <w:r>
        <w:rPr>
          <w:rFonts w:hint="eastAsia" w:ascii="仿宋" w:hAnsi="仿宋" w:eastAsia="仿宋" w:cs="宋体"/>
          <w:color w:val="auto"/>
        </w:rPr>
        <w:t>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50</w:t>
      </w:r>
      <w:r>
        <w:rPr>
          <w:rFonts w:hint="eastAsia" w:ascii="仿宋" w:hAnsi="仿宋" w:eastAsia="仿宋" w:cs="宋体"/>
          <w:color w:val="auto"/>
        </w:rPr>
        <w:t>万元（含</w:t>
      </w:r>
      <w:r>
        <w:rPr>
          <w:rFonts w:hint="eastAsia" w:ascii="仿宋" w:hAnsi="仿宋" w:eastAsia="仿宋" w:cs="宋体"/>
          <w:color w:val="000000"/>
        </w:rPr>
        <w:t>）以上同类项目实施案例，并提供符合上述要求的合同关键页作为有效的业绩证明材料。合同关键页包含但不限于合同首页、合同标的页、签署日期页及盖章页等。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20</w:t>
      </w:r>
      <w:r>
        <w:rPr>
          <w:rFonts w:hint="eastAsia" w:ascii="仿宋" w:hAnsi="仿宋" w:eastAsia="仿宋" w:cs="宋体"/>
          <w:b/>
          <w:bCs/>
          <w:color w:val="auto"/>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w:t>
      </w:r>
      <w:r>
        <w:rPr>
          <w:rFonts w:hint="eastAsia" w:ascii="仿宋" w:hAnsi="仿宋" w:eastAsia="仿宋" w:cs="宋体"/>
          <w:color w:val="auto"/>
        </w:rPr>
        <w:t>项目不接受联合体磋商响应。提供承诺函，格式详见</w:t>
      </w:r>
      <w:r>
        <w:rPr>
          <w:rFonts w:hint="eastAsia" w:ascii="仿宋" w:hAnsi="仿宋" w:eastAsia="仿宋" w:cs="宋体"/>
          <w:color w:val="000000"/>
        </w:rPr>
        <w:t>第六章响应文件格式。</w:t>
      </w:r>
    </w:p>
    <w:p>
      <w:pPr>
        <w:pStyle w:val="4"/>
        <w:spacing w:after="240"/>
        <w:jc w:val="left"/>
        <w:rPr>
          <w:rFonts w:ascii="仿宋" w:hAnsi="仿宋" w:eastAsia="仿宋" w:cs="仿宋"/>
          <w:color w:val="000000"/>
          <w:sz w:val="24"/>
          <w:szCs w:val="24"/>
        </w:rPr>
      </w:pPr>
      <w:bookmarkStart w:id="6" w:name="_Toc186737793"/>
      <w:bookmarkStart w:id="7" w:name="_Toc2019"/>
      <w:r>
        <w:rPr>
          <w:rFonts w:hint="eastAsia" w:ascii="仿宋" w:hAnsi="仿宋" w:eastAsia="仿宋" w:cs="仿宋"/>
          <w:color w:val="000000"/>
          <w:sz w:val="24"/>
          <w:szCs w:val="24"/>
        </w:rPr>
        <w:t>三、磋商文件的获取</w:t>
      </w:r>
      <w:bookmarkEnd w:id="6"/>
      <w:bookmarkEnd w:id="7"/>
    </w:p>
    <w:p>
      <w:pPr>
        <w:pStyle w:val="65"/>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仿宋"/>
          <w:color w:val="000000"/>
          <w:sz w:val="24"/>
          <w:szCs w:val="24"/>
          <w:highlight w:val="none"/>
        </w:rPr>
        <w:t>：</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15</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17</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w:t>
      </w:r>
      <w:r>
        <w:rPr>
          <w:rFonts w:hint="eastAsia" w:ascii="仿宋" w:hAnsi="仿宋" w:eastAsia="仿宋" w:cs="宋体"/>
          <w:color w:val="auto"/>
          <w:sz w:val="24"/>
          <w:szCs w:val="24"/>
        </w:rPr>
        <w:t>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5</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请通过“人保e采”外网门户获取磋商文件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8" w:name="_Toc186737794"/>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000000"/>
        </w:rPr>
        <w:t>4</w:t>
      </w:r>
      <w:r>
        <w:rPr>
          <w:rFonts w:hint="eastAsia" w:ascii="仿宋" w:hAnsi="仿宋" w:eastAsia="仿宋" w:cs="宋体"/>
          <w:color w:val="000000"/>
        </w:rPr>
        <w:t>.1响应文件递交截止时</w:t>
      </w:r>
      <w:r>
        <w:rPr>
          <w:rFonts w:hint="eastAsia" w:ascii="仿宋" w:hAnsi="仿宋" w:eastAsia="仿宋" w:cs="宋体"/>
          <w:color w:val="000000"/>
          <w:highlight w:val="none"/>
        </w:rPr>
        <w:t>间</w:t>
      </w:r>
      <w:r>
        <w:rPr>
          <w:rFonts w:hint="eastAsia" w:ascii="仿宋" w:hAnsi="仿宋" w:eastAsia="仿宋" w:cs="宋体"/>
          <w:color w:val="auto"/>
          <w:highlight w:val="none"/>
        </w:rPr>
        <w:t>：</w:t>
      </w:r>
      <w:r>
        <w:rPr>
          <w:rFonts w:hint="eastAsia" w:ascii="仿宋" w:hAnsi="仿宋" w:eastAsia="仿宋" w:cs="宋体"/>
          <w:color w:val="auto"/>
          <w:highlight w:val="none"/>
          <w:u w:val="single"/>
        </w:rPr>
        <w:t>20</w:t>
      </w:r>
      <w:r>
        <w:rPr>
          <w:rFonts w:hint="eastAsia" w:ascii="仿宋" w:hAnsi="仿宋" w:eastAsia="仿宋" w:cs="宋体"/>
          <w:color w:val="auto"/>
          <w:highlight w:val="none"/>
          <w:u w:val="single"/>
          <w:lang w:val="en-US" w:eastAsia="zh-CN"/>
        </w:rPr>
        <w:t>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7</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29</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09</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分00秒</w:t>
      </w:r>
      <w:r>
        <w:rPr>
          <w:rFonts w:hint="eastAsia" w:ascii="仿宋" w:hAnsi="仿宋" w:eastAsia="仿宋" w:cs="宋体"/>
          <w:color w:val="auto"/>
          <w:highlight w:val="none"/>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w:t>
      </w:r>
      <w:r>
        <w:rPr>
          <w:rFonts w:hint="eastAsia" w:ascii="仿宋" w:hAnsi="仿宋" w:eastAsia="仿宋" w:cs="宋体"/>
          <w:b/>
          <w:bCs/>
          <w:color w:val="auto"/>
        </w:rPr>
        <w:t>逾期送达或</w:t>
      </w:r>
      <w:r>
        <w:rPr>
          <w:rFonts w:hint="eastAsia" w:ascii="仿宋" w:hAnsi="仿宋" w:eastAsia="仿宋" w:cs="宋体"/>
          <w:b/>
          <w:bCs/>
          <w:color w:val="000000"/>
        </w:rPr>
        <w:t>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.3本项目将于上述同一时间、地点进行磋商，</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未按照磋商邀请要求获取磋商文件的。</w:t>
      </w:r>
    </w:p>
    <w:p>
      <w:pPr>
        <w:pStyle w:val="4"/>
        <w:jc w:val="left"/>
        <w:rPr>
          <w:rFonts w:ascii="仿宋" w:hAnsi="仿宋" w:eastAsia="仿宋" w:cs="仿宋"/>
          <w:color w:val="000000"/>
          <w:sz w:val="24"/>
          <w:szCs w:val="24"/>
        </w:rPr>
      </w:pPr>
      <w:bookmarkStart w:id="10" w:name="_Toc874"/>
      <w:bookmarkStart w:id="11" w:name="_Toc186737795"/>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本项目磋商公告同时在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w:t>
      </w:r>
      <w:r>
        <w:rPr>
          <w:rFonts w:hint="eastAsia" w:ascii="仿宋" w:hAnsi="仿宋" w:eastAsia="仿宋" w:cs="宋体"/>
          <w:color w:val="000000"/>
        </w:rPr>
        <w:t>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186737796"/>
      <w:bookmarkStart w:id="13" w:name="_Toc30596"/>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乐山市</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地址：四川省乐山市市中区三苏路1431号</w:t>
      </w:r>
      <w:r>
        <w:rPr>
          <w:rFonts w:ascii="仿宋" w:hAnsi="仿宋" w:eastAsia="仿宋" w:cs="宋体"/>
          <w:color w:val="auto"/>
        </w:rPr>
        <w:t xml:space="preserve"> </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李正芳</w:t>
      </w:r>
      <w:r>
        <w:rPr>
          <w:rFonts w:hint="eastAsia" w:ascii="仿宋" w:hAnsi="仿宋" w:eastAsia="仿宋" w:cs="宋体"/>
          <w:color w:val="auto"/>
        </w:rPr>
        <w:t>、</w:t>
      </w:r>
      <w:r>
        <w:rPr>
          <w:rFonts w:hint="eastAsia" w:ascii="仿宋" w:hAnsi="仿宋" w:eastAsia="仿宋" w:cs="宋体"/>
          <w:color w:val="auto"/>
          <w:lang w:val="en-US" w:eastAsia="zh-CN"/>
        </w:rPr>
        <w:t>马冬妮</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w:t>
      </w:r>
      <w:r>
        <w:rPr>
          <w:rFonts w:hint="eastAsia" w:ascii="仿宋" w:hAnsi="仿宋" w:eastAsia="仿宋" w:cs="宋体"/>
          <w:color w:val="auto"/>
          <w:lang w:val="en-US" w:eastAsia="zh-CN"/>
        </w:rPr>
        <w:t>0833-6210930</w:t>
      </w:r>
      <w:r>
        <w:rPr>
          <w:rFonts w:hint="eastAsia" w:ascii="仿宋" w:hAnsi="仿宋" w:eastAsia="仿宋" w:cs="宋体"/>
          <w:color w:val="auto"/>
        </w:rPr>
        <w:t>、0833-6210979</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电子邮件：lizhengfang@sic.picc.com.cn</w:t>
      </w:r>
      <w:r>
        <w:rPr>
          <w:rFonts w:hint="eastAsia" w:ascii="仿宋" w:hAnsi="仿宋" w:eastAsia="仿宋" w:cs="宋体"/>
          <w:color w:val="auto"/>
          <w:lang w:eastAsia="zh-CN"/>
        </w:rPr>
        <w:t>、madongni@sic.picc.com.cn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乐山市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7</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14</w:t>
      </w:r>
      <w:r>
        <w:rPr>
          <w:rFonts w:hint="eastAsia" w:ascii="仿宋" w:hAnsi="仿宋" w:eastAsia="仿宋" w:cs="宋体"/>
          <w:color w:val="auto"/>
          <w:highlight w:val="none"/>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hint="eastAsia" w:ascii="仿宋" w:hAnsi="仿宋" w:eastAsia="仿宋"/>
                <w:color w:val="000000"/>
              </w:rPr>
            </w:pPr>
            <w:r>
              <w:rPr>
                <w:rFonts w:hint="eastAsia" w:ascii="仿宋" w:hAnsi="仿宋" w:eastAsia="仿宋"/>
                <w:color w:val="000000"/>
              </w:rPr>
              <w:t>（八）供应商廉洁诚信承诺书</w:t>
            </w:r>
          </w:p>
          <w:p>
            <w:pPr>
              <w:pStyle w:val="61"/>
              <w:spacing w:before="62" w:beforeLines="20" w:after="62" w:afterLines="20"/>
              <w:rPr>
                <w:rFonts w:hint="eastAsia" w:ascii="仿宋" w:hAnsi="仿宋" w:eastAsia="仿宋"/>
                <w:color w:val="000000"/>
                <w:lang w:eastAsia="zh-CN"/>
              </w:rPr>
            </w:pPr>
            <w:r>
              <w:rPr>
                <w:rFonts w:hint="eastAsia" w:ascii="仿宋" w:hAnsi="仿宋" w:eastAsia="仿宋"/>
                <w:color w:val="000000"/>
                <w:lang w:eastAsia="zh-CN"/>
              </w:rPr>
              <w:t>（</w:t>
            </w:r>
            <w:r>
              <w:rPr>
                <w:rFonts w:hint="eastAsia" w:ascii="仿宋" w:hAnsi="仿宋" w:eastAsia="仿宋"/>
                <w:color w:val="000000"/>
                <w:lang w:val="en-US" w:eastAsia="zh-CN"/>
              </w:rPr>
              <w:t>九</w:t>
            </w:r>
            <w:r>
              <w:rPr>
                <w:rFonts w:hint="eastAsia" w:ascii="仿宋" w:hAnsi="仿宋" w:eastAsia="仿宋"/>
                <w:color w:val="000000"/>
                <w:lang w:eastAsia="zh-CN"/>
              </w:rPr>
              <w:t>）信息安全采购要求承诺函</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十</w:t>
            </w:r>
            <w:r>
              <w:rPr>
                <w:rFonts w:hint="eastAsia" w:ascii="仿宋" w:hAnsi="仿宋" w:eastAsia="仿宋" w:cs="仿宋"/>
                <w:color w:val="000000"/>
              </w:rPr>
              <w:t>）其他材料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磋商响应有效期：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bookmarkStart w:id="210" w:name="_GoBack"/>
            <w:bookmarkEnd w:id="210"/>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w:t>
                                  </w:r>
                                  <w:r>
                                    <w:rPr>
                                      <w:rFonts w:hint="eastAsia" w:ascii="仿宋" w:hAnsi="仿宋" w:eastAsia="仿宋" w:cs="仿宋"/>
                                      <w:sz w:val="22"/>
                                      <w:szCs w:val="21"/>
                                      <w:highlight w:val="none"/>
                                    </w:rPr>
                                    <w:t>文件于【</w:t>
                                  </w:r>
                                  <w:r>
                                    <w:rPr>
                                      <w:rFonts w:hint="eastAsia" w:ascii="仿宋" w:hAnsi="仿宋" w:eastAsia="仿宋" w:cs="仿宋"/>
                                      <w:sz w:val="22"/>
                                      <w:szCs w:val="21"/>
                                      <w:highlight w:val="none"/>
                                      <w:u w:val="single"/>
                                      <w:lang w:val="en-US" w:eastAsia="zh-CN"/>
                                    </w:rPr>
                                    <w:t>2026</w:t>
                                  </w:r>
                                  <w:r>
                                    <w:rPr>
                                      <w:rFonts w:hint="eastAsia" w:ascii="仿宋" w:hAnsi="仿宋" w:eastAsia="仿宋" w:cs="仿宋"/>
                                      <w:sz w:val="22"/>
                                      <w:szCs w:val="21"/>
                                      <w:highlight w:val="none"/>
                                    </w:rPr>
                                    <w:t>】年【</w:t>
                                  </w:r>
                                  <w:r>
                                    <w:rPr>
                                      <w:rFonts w:hint="eastAsia" w:ascii="仿宋" w:hAnsi="仿宋" w:eastAsia="仿宋" w:cs="仿宋"/>
                                      <w:sz w:val="22"/>
                                      <w:szCs w:val="21"/>
                                      <w:highlight w:val="none"/>
                                      <w:u w:val="single"/>
                                      <w:lang w:val="en-US" w:eastAsia="zh-CN"/>
                                    </w:rPr>
                                    <w:t>07</w:t>
                                  </w:r>
                                  <w:r>
                                    <w:rPr>
                                      <w:rFonts w:hint="eastAsia" w:ascii="仿宋" w:hAnsi="仿宋" w:eastAsia="仿宋" w:cs="仿宋"/>
                                      <w:sz w:val="22"/>
                                      <w:szCs w:val="21"/>
                                      <w:highlight w:val="none"/>
                                    </w:rPr>
                                    <w:t>】月【</w:t>
                                  </w:r>
                                  <w:r>
                                    <w:rPr>
                                      <w:rFonts w:hint="eastAsia" w:ascii="仿宋" w:hAnsi="仿宋" w:eastAsia="仿宋" w:cs="仿宋"/>
                                      <w:sz w:val="22"/>
                                      <w:szCs w:val="21"/>
                                      <w:highlight w:val="none"/>
                                      <w:u w:val="single"/>
                                      <w:lang w:val="en-US" w:eastAsia="zh-CN"/>
                                    </w:rPr>
                                    <w:t>29</w:t>
                                  </w:r>
                                  <w:r>
                                    <w:rPr>
                                      <w:rFonts w:hint="eastAsia" w:ascii="仿宋" w:hAnsi="仿宋" w:eastAsia="仿宋" w:cs="仿宋"/>
                                      <w:sz w:val="22"/>
                                      <w:szCs w:val="21"/>
                                      <w:highlight w:val="none"/>
                                    </w:rPr>
                                    <w:t>】日【</w:t>
                                  </w:r>
                                  <w:r>
                                    <w:rPr>
                                      <w:rFonts w:hint="eastAsia" w:ascii="仿宋" w:hAnsi="仿宋" w:eastAsia="仿宋" w:cs="仿宋"/>
                                      <w:sz w:val="22"/>
                                      <w:szCs w:val="21"/>
                                      <w:highlight w:val="none"/>
                                      <w:u w:val="single"/>
                                      <w:lang w:val="en-US" w:eastAsia="zh-CN"/>
                                    </w:rPr>
                                    <w:t>09</w:t>
                                  </w:r>
                                  <w:r>
                                    <w:rPr>
                                      <w:rFonts w:hint="eastAsia" w:ascii="仿宋" w:hAnsi="仿宋" w:eastAsia="仿宋" w:cs="仿宋"/>
                                      <w:sz w:val="22"/>
                                      <w:szCs w:val="21"/>
                                      <w:highlight w:val="none"/>
                                    </w:rPr>
                                    <w:t>】【</w:t>
                                  </w:r>
                                  <w:r>
                                    <w:rPr>
                                      <w:rFonts w:hint="eastAsia" w:ascii="仿宋" w:hAnsi="仿宋" w:eastAsia="仿宋" w:cs="仿宋"/>
                                      <w:sz w:val="22"/>
                                      <w:szCs w:val="21"/>
                                      <w:highlight w:val="none"/>
                                      <w:u w:val="single"/>
                                      <w:lang w:val="en-US" w:eastAsia="zh-CN"/>
                                    </w:rPr>
                                    <w:t>00</w:t>
                                  </w:r>
                                  <w:r>
                                    <w:rPr>
                                      <w:rFonts w:hint="eastAsia" w:ascii="仿宋" w:hAnsi="仿宋" w:eastAsia="仿宋" w:cs="仿宋"/>
                                      <w:sz w:val="22"/>
                                      <w:szCs w:val="21"/>
                                      <w:highlight w:val="none"/>
                                    </w:rPr>
                                    <w:t>】时【</w:t>
                                  </w:r>
                                  <w:r>
                                    <w:rPr>
                                      <w:rFonts w:hint="eastAsia" w:ascii="仿宋" w:hAnsi="仿宋" w:eastAsia="仿宋" w:cs="仿宋"/>
                                      <w:sz w:val="22"/>
                                      <w:szCs w:val="21"/>
                                      <w:highlight w:val="none"/>
                                      <w:u w:val="single"/>
                                      <w:lang w:val="en-US" w:eastAsia="zh-CN"/>
                                    </w:rPr>
                                    <w:t>00</w:t>
                                  </w:r>
                                  <w:r>
                                    <w:rPr>
                                      <w:rFonts w:hint="eastAsia" w:ascii="仿宋" w:hAnsi="仿宋" w:eastAsia="仿宋" w:cs="仿宋"/>
                                      <w:sz w:val="22"/>
                                      <w:szCs w:val="21"/>
                                      <w:highlight w:val="none"/>
                                    </w:rPr>
                                    <w:t>】</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w:t>
                            </w:r>
                            <w:r>
                              <w:rPr>
                                <w:rFonts w:hint="eastAsia" w:ascii="仿宋" w:hAnsi="仿宋" w:eastAsia="仿宋" w:cs="仿宋"/>
                                <w:sz w:val="22"/>
                                <w:szCs w:val="21"/>
                                <w:highlight w:val="none"/>
                              </w:rPr>
                              <w:t>文件于【</w:t>
                            </w:r>
                            <w:r>
                              <w:rPr>
                                <w:rFonts w:hint="eastAsia" w:ascii="仿宋" w:hAnsi="仿宋" w:eastAsia="仿宋" w:cs="仿宋"/>
                                <w:sz w:val="22"/>
                                <w:szCs w:val="21"/>
                                <w:highlight w:val="none"/>
                                <w:u w:val="single"/>
                                <w:lang w:val="en-US" w:eastAsia="zh-CN"/>
                              </w:rPr>
                              <w:t>2026</w:t>
                            </w:r>
                            <w:r>
                              <w:rPr>
                                <w:rFonts w:hint="eastAsia" w:ascii="仿宋" w:hAnsi="仿宋" w:eastAsia="仿宋" w:cs="仿宋"/>
                                <w:sz w:val="22"/>
                                <w:szCs w:val="21"/>
                                <w:highlight w:val="none"/>
                              </w:rPr>
                              <w:t>】年【</w:t>
                            </w:r>
                            <w:r>
                              <w:rPr>
                                <w:rFonts w:hint="eastAsia" w:ascii="仿宋" w:hAnsi="仿宋" w:eastAsia="仿宋" w:cs="仿宋"/>
                                <w:sz w:val="22"/>
                                <w:szCs w:val="21"/>
                                <w:highlight w:val="none"/>
                                <w:u w:val="single"/>
                                <w:lang w:val="en-US" w:eastAsia="zh-CN"/>
                              </w:rPr>
                              <w:t>07</w:t>
                            </w:r>
                            <w:r>
                              <w:rPr>
                                <w:rFonts w:hint="eastAsia" w:ascii="仿宋" w:hAnsi="仿宋" w:eastAsia="仿宋" w:cs="仿宋"/>
                                <w:sz w:val="22"/>
                                <w:szCs w:val="21"/>
                                <w:highlight w:val="none"/>
                              </w:rPr>
                              <w:t>】月【</w:t>
                            </w:r>
                            <w:r>
                              <w:rPr>
                                <w:rFonts w:hint="eastAsia" w:ascii="仿宋" w:hAnsi="仿宋" w:eastAsia="仿宋" w:cs="仿宋"/>
                                <w:sz w:val="22"/>
                                <w:szCs w:val="21"/>
                                <w:highlight w:val="none"/>
                                <w:u w:val="single"/>
                                <w:lang w:val="en-US" w:eastAsia="zh-CN"/>
                              </w:rPr>
                              <w:t>29</w:t>
                            </w:r>
                            <w:r>
                              <w:rPr>
                                <w:rFonts w:hint="eastAsia" w:ascii="仿宋" w:hAnsi="仿宋" w:eastAsia="仿宋" w:cs="仿宋"/>
                                <w:sz w:val="22"/>
                                <w:szCs w:val="21"/>
                                <w:highlight w:val="none"/>
                              </w:rPr>
                              <w:t>】日【</w:t>
                            </w:r>
                            <w:r>
                              <w:rPr>
                                <w:rFonts w:hint="eastAsia" w:ascii="仿宋" w:hAnsi="仿宋" w:eastAsia="仿宋" w:cs="仿宋"/>
                                <w:sz w:val="22"/>
                                <w:szCs w:val="21"/>
                                <w:highlight w:val="none"/>
                                <w:u w:val="single"/>
                                <w:lang w:val="en-US" w:eastAsia="zh-CN"/>
                              </w:rPr>
                              <w:t>09</w:t>
                            </w:r>
                            <w:r>
                              <w:rPr>
                                <w:rFonts w:hint="eastAsia" w:ascii="仿宋" w:hAnsi="仿宋" w:eastAsia="仿宋" w:cs="仿宋"/>
                                <w:sz w:val="22"/>
                                <w:szCs w:val="21"/>
                                <w:highlight w:val="none"/>
                              </w:rPr>
                              <w:t>】【</w:t>
                            </w:r>
                            <w:r>
                              <w:rPr>
                                <w:rFonts w:hint="eastAsia" w:ascii="仿宋" w:hAnsi="仿宋" w:eastAsia="仿宋" w:cs="仿宋"/>
                                <w:sz w:val="22"/>
                                <w:szCs w:val="21"/>
                                <w:highlight w:val="none"/>
                                <w:u w:val="single"/>
                                <w:lang w:val="en-US" w:eastAsia="zh-CN"/>
                              </w:rPr>
                              <w:t>00</w:t>
                            </w:r>
                            <w:r>
                              <w:rPr>
                                <w:rFonts w:hint="eastAsia" w:ascii="仿宋" w:hAnsi="仿宋" w:eastAsia="仿宋" w:cs="仿宋"/>
                                <w:sz w:val="22"/>
                                <w:szCs w:val="21"/>
                                <w:highlight w:val="none"/>
                              </w:rPr>
                              <w:t>】时【</w:t>
                            </w:r>
                            <w:r>
                              <w:rPr>
                                <w:rFonts w:hint="eastAsia" w:ascii="仿宋" w:hAnsi="仿宋" w:eastAsia="仿宋" w:cs="仿宋"/>
                                <w:sz w:val="22"/>
                                <w:szCs w:val="21"/>
                                <w:highlight w:val="none"/>
                                <w:u w:val="single"/>
                                <w:lang w:val="en-US" w:eastAsia="zh-CN"/>
                              </w:rPr>
                              <w:t>00</w:t>
                            </w:r>
                            <w:r>
                              <w:rPr>
                                <w:rFonts w:hint="eastAsia" w:ascii="仿宋" w:hAnsi="仿宋" w:eastAsia="仿宋" w:cs="仿宋"/>
                                <w:sz w:val="22"/>
                                <w:szCs w:val="21"/>
                                <w:highlight w:val="none"/>
                              </w:rPr>
                              <w:t>】</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组建磋商小组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本项目磋商小组成员人数</w:t>
            </w:r>
            <w:r>
              <w:rPr>
                <w:rFonts w:hint="eastAsia" w:ascii="仿宋" w:hAnsi="仿宋" w:eastAsia="仿宋" w:cs="仿宋"/>
                <w:color w:val="auto"/>
                <w:sz w:val="22"/>
              </w:rPr>
              <w:t>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（1）磋商小组将与通过初步评审的有效供应商按照</w:t>
            </w:r>
            <w:r>
              <w:rPr>
                <w:rFonts w:hint="eastAsia" w:ascii="仿宋" w:hAnsi="仿宋" w:eastAsia="仿宋" w:cs="仿宋"/>
                <w:color w:val="000000"/>
                <w:sz w:val="22"/>
                <w:szCs w:val="22"/>
                <w:u w:val="single"/>
              </w:rPr>
              <w:t>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w:t>
            </w:r>
            <w:r>
              <w:rPr>
                <w:rFonts w:hint="eastAsia" w:ascii="仿宋" w:hAnsi="仿宋" w:eastAsia="仿宋" w:cs="仿宋"/>
                <w:color w:val="000000"/>
                <w:sz w:val="22"/>
                <w:szCs w:val="22"/>
              </w:rPr>
              <w:t>逐一进行磋商，供应商至少应派法定代表人或其授权委托人准时参会。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磋商小组根据有效供应商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auto"/>
                <w:sz w:val="22"/>
                <w:u w:val="single"/>
              </w:rPr>
              <w:t>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w:t>
            </w:r>
            <w:r>
              <w:rPr>
                <w:rFonts w:hint="eastAsia" w:ascii="仿宋" w:hAnsi="仿宋" w:eastAsia="仿宋" w:cs="宋体"/>
                <w:color w:val="000000"/>
                <w:sz w:val="22"/>
              </w:rPr>
              <w:t>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w:t>
            </w:r>
            <w:r>
              <w:rPr>
                <w:rFonts w:hint="eastAsia" w:ascii="仿宋" w:hAnsi="仿宋" w:eastAsia="仿宋" w:cs="仿宋"/>
                <w:sz w:val="22"/>
                <w:szCs w:val="22"/>
              </w:rPr>
              <w:t>放弃成交、因不可抗力不能履行合同、</w:t>
            </w:r>
            <w:r>
              <w:rPr>
                <w:rFonts w:hint="eastAsia" w:ascii="仿宋" w:hAnsi="仿宋" w:eastAsia="仿宋" w:cs="宋体"/>
                <w:color w:val="000000"/>
                <w:sz w:val="22"/>
                <w:szCs w:val="22"/>
              </w:rPr>
              <w:t>不按照磋商文件要求提交履约保证金</w:t>
            </w:r>
            <w:r>
              <w:rPr>
                <w:rFonts w:hint="eastAsia" w:ascii="仿宋" w:hAnsi="仿宋" w:eastAsia="仿宋" w:cs="仿宋"/>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000000"/>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乐山市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乐山市</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517281816"/>
      <w:bookmarkStart w:id="18" w:name="_Toc19783313"/>
      <w:bookmarkStart w:id="19" w:name="_Toc6047"/>
      <w:bookmarkStart w:id="20" w:name="_Toc444891336"/>
      <w:bookmarkStart w:id="21" w:name="_Toc287600118"/>
      <w:bookmarkStart w:id="22" w:name="_Toc20514"/>
      <w:bookmarkStart w:id="23" w:name="_Toc11071"/>
      <w:bookmarkStart w:id="24" w:name="_Toc27232"/>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19783314"/>
      <w:bookmarkStart w:id="28" w:name="_Toc16441"/>
      <w:bookmarkStart w:id="29" w:name="_Toc11851"/>
      <w:bookmarkStart w:id="30" w:name="_Toc444891337"/>
      <w:bookmarkStart w:id="31" w:name="_Toc517281817"/>
      <w:bookmarkStart w:id="32" w:name="_Toc22969"/>
      <w:bookmarkStart w:id="33" w:name="_Toc431"/>
      <w:bookmarkStart w:id="34" w:name="_Toc3678"/>
      <w:bookmarkStart w:id="35" w:name="_Toc287600119"/>
      <w:bookmarkStart w:id="36" w:name="_Toc6681"/>
      <w:bookmarkStart w:id="37" w:name="_Toc186737800"/>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5"/>
        <w:spacing w:after="0" w:line="360" w:lineRule="auto"/>
        <w:ind w:firstLine="482"/>
        <w:rPr>
          <w:rFonts w:ascii="仿宋" w:hAnsi="仿宋" w:eastAsia="仿宋" w:cs="仿宋"/>
          <w:color w:val="000000"/>
          <w:sz w:val="24"/>
          <w:szCs w:val="24"/>
        </w:rPr>
      </w:pPr>
      <w:bookmarkStart w:id="38" w:name="_Toc10975"/>
      <w:bookmarkStart w:id="39" w:name="_Toc287600120"/>
      <w:bookmarkStart w:id="40" w:name="_Toc444891338"/>
      <w:bookmarkStart w:id="41" w:name="_Toc14164"/>
      <w:bookmarkStart w:id="42" w:name="_Toc25513"/>
      <w:bookmarkStart w:id="43" w:name="_Toc517281818"/>
      <w:bookmarkStart w:id="44" w:name="_Toc24246"/>
      <w:bookmarkStart w:id="45" w:name="_Toc19783315"/>
      <w:bookmarkStart w:id="46" w:name="_Toc5255"/>
      <w:bookmarkStart w:id="47" w:name="_Toc3016"/>
      <w:bookmarkStart w:id="48" w:name="_Toc186737801"/>
      <w:r>
        <w:rPr>
          <w:rFonts w:hint="eastAsia" w:ascii="仿宋" w:hAnsi="仿宋" w:eastAsia="仿宋" w:cs="仿宋"/>
          <w:color w:val="00000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在响应文件递交截止时间前，无论出于何种原因，采购人可主动地或在解答供应商要求澄清的问题时对磋商文件进行修改。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供应商有权要求采购人对磋商文件中的有关问题进行答疑、澄清。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供应商对磋商文件如有疑问,应在首次响应文件递交截止时间前按磋商文件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对于磋商文件的修改，如影响供应商响应文件编制的，</w:t>
      </w:r>
      <w:r>
        <w:rPr>
          <w:rFonts w:hint="eastAsia" w:ascii="仿宋_GB2312" w:hAnsi="宋体" w:eastAsia="仿宋_GB2312"/>
          <w:spacing w:val="-3"/>
        </w:rPr>
        <w:t>采购人应推迟响应文件递交截止日期，并以书面或邮件形式通知所有已获取磋商文件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任何对磋商文件的澄清均为磋商文件的组成部分，并具有同等的法律效力。如磋商文件的澄清与磋商文件有矛盾，以日期后的为准。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5"/>
        <w:spacing w:after="0" w:line="360" w:lineRule="auto"/>
        <w:jc w:val="center"/>
        <w:rPr>
          <w:rFonts w:ascii="仿宋" w:hAnsi="仿宋" w:eastAsia="仿宋" w:cs="仿宋"/>
          <w:color w:val="000000"/>
          <w:sz w:val="24"/>
          <w:szCs w:val="24"/>
        </w:rPr>
      </w:pPr>
      <w:bookmarkStart w:id="49" w:name="_Toc517281819"/>
      <w:bookmarkStart w:id="50" w:name="_Toc186737802"/>
      <w:bookmarkStart w:id="51" w:name="_Toc19783316"/>
      <w:bookmarkStart w:id="52" w:name="_Toc13691"/>
      <w:bookmarkStart w:id="53" w:name="_Toc31141"/>
      <w:bookmarkStart w:id="54" w:name="_Toc27563"/>
      <w:bookmarkStart w:id="55" w:name="_Toc444891339"/>
      <w:bookmarkStart w:id="56" w:name="_Toc27642"/>
      <w:bookmarkStart w:id="57" w:name="_Toc287600121"/>
      <w:bookmarkStart w:id="58" w:name="_Toc14308"/>
      <w:bookmarkStart w:id="59" w:name="_Toc16985"/>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ascii="仿宋" w:hAnsi="仿宋" w:eastAsia="仿宋" w:cs="仿宋"/>
          <w:color w:val="000000"/>
          <w:sz w:val="24"/>
          <w:szCs w:val="24"/>
        </w:rPr>
      </w:pPr>
      <w:bookmarkStart w:id="61" w:name="_Toc14726"/>
      <w:bookmarkStart w:id="62" w:name="_Toc21600"/>
      <w:bookmarkStart w:id="63" w:name="_Toc19783317"/>
      <w:bookmarkStart w:id="64" w:name="_Toc4155"/>
      <w:bookmarkStart w:id="65" w:name="_Toc517281820"/>
      <w:bookmarkStart w:id="66" w:name="_Toc18673"/>
      <w:bookmarkStart w:id="67" w:name="_Toc7129"/>
      <w:bookmarkStart w:id="68" w:name="_Toc287600122"/>
      <w:bookmarkStart w:id="69" w:name="_Toc444891340"/>
      <w:bookmarkStart w:id="70" w:name="_Toc186737803"/>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2"/>
        <w:spacing w:line="360" w:lineRule="auto"/>
      </w:pPr>
      <w:bookmarkStart w:id="72" w:name="_Toc144974526"/>
      <w:bookmarkStart w:id="73" w:name="_Toc179632576"/>
      <w:bookmarkStart w:id="74" w:name="_Toc332188194"/>
      <w:bookmarkStart w:id="75" w:name="_Toc152045558"/>
      <w:bookmarkStart w:id="76" w:name="_Toc247085716"/>
      <w:bookmarkStart w:id="77" w:name="_Toc326223561"/>
      <w:bookmarkStart w:id="78" w:name="_Toc334766948"/>
      <w:bookmarkStart w:id="79" w:name="_Toc246996945"/>
      <w:bookmarkStart w:id="80" w:name="_Toc152042334"/>
      <w:bookmarkStart w:id="81" w:name="_Toc246996202"/>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5"/>
        <w:spacing w:before="0" w:after="0" w:line="360" w:lineRule="auto"/>
        <w:ind w:firstLine="482"/>
        <w:rPr>
          <w:rFonts w:ascii="仿宋" w:hAnsi="仿宋" w:eastAsia="仿宋" w:cs="仿宋"/>
          <w:color w:val="000000"/>
          <w:sz w:val="24"/>
          <w:szCs w:val="24"/>
        </w:rPr>
      </w:pPr>
      <w:bookmarkStart w:id="82" w:name="_Toc444891341"/>
      <w:bookmarkStart w:id="83" w:name="_Toc20741"/>
      <w:bookmarkStart w:id="84" w:name="_Toc30466"/>
      <w:bookmarkStart w:id="85" w:name="_Toc2636"/>
      <w:bookmarkStart w:id="86" w:name="_Toc517281821"/>
      <w:bookmarkStart w:id="87" w:name="_Toc2055"/>
      <w:bookmarkStart w:id="88" w:name="_Toc186737804"/>
      <w:bookmarkStart w:id="89" w:name="_Toc287600123"/>
      <w:bookmarkStart w:id="90" w:name="_Toc11361"/>
      <w:bookmarkStart w:id="91" w:name="_Toc12797"/>
      <w:r>
        <w:rPr>
          <w:rFonts w:hint="eastAsia" w:ascii="仿宋" w:hAnsi="仿宋" w:eastAsia="仿宋" w:cs="仿宋"/>
          <w:color w:val="000000"/>
          <w:sz w:val="24"/>
          <w:szCs w:val="24"/>
        </w:rPr>
        <w:t>（五）竞争性磋商和评审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磋商小组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未在响应文件中提及和承诺，但又未明确书面提出异议的事项，按本磋商磋商邀请函的有关要求执行。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磋商文件及附件之著作权受中国法律保护，所有文件仅限于供应商参加本次采购磋商使用，任何用于其他目的之复制或引用均应事先获得采购方书面许可。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2322"/>
      <w:bookmarkStart w:id="96" w:name="_Toc186737805"/>
      <w:bookmarkStart w:id="97" w:name="_Toc19451"/>
      <w:bookmarkStart w:id="98" w:name="_Toc9911"/>
      <w:bookmarkStart w:id="99" w:name="_Toc287600124"/>
      <w:bookmarkStart w:id="100" w:name="_Toc444891342"/>
      <w:bookmarkStart w:id="101" w:name="_Toc517281822"/>
      <w:bookmarkStart w:id="102" w:name="_Toc28031"/>
      <w:bookmarkStart w:id="103" w:name="_Toc13936"/>
      <w:bookmarkStart w:id="104" w:name="_Toc16781"/>
      <w:bookmarkStart w:id="105" w:name="_Toc23422323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0670"/>
      <w:bookmarkStart w:id="108" w:name="_Toc186737806"/>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186737807"/>
      <w:bookmarkStart w:id="111" w:name="_Toc7201"/>
      <w:bookmarkStart w:id="112" w:name="_Toc444891344"/>
      <w:bookmarkStart w:id="113" w:name="_Toc517281825"/>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1.熟悉磋商文件；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spacing w:line="360" w:lineRule="auto"/>
        <w:ind w:firstLine="420" w:firstLineChars="175"/>
        <w:rPr>
          <w:rFonts w:ascii="仿宋" w:hAnsi="仿宋" w:eastAsia="仿宋" w:cs="仿宋"/>
        </w:rPr>
      </w:pPr>
      <w:r>
        <w:rPr>
          <w:rFonts w:hint="eastAsia" w:ascii="仿宋" w:hAnsi="仿宋" w:eastAsia="仿宋" w:cs="仿宋"/>
        </w:rPr>
        <w:t>（1）按照磋商公告要求已经递交电子响应文件，但未按要求递交纸质响应文件；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（4）不符合国家或者磋商文件规定的资格条件；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最终报价低于成本或者高于磋商文件设定的最高投标限价；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内容允许在磋商过程中按磋商小组规定的时间内补充，若未在规定时间内补充则将导致响应无效。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5.通过初步评审的供应商分别进行磋商；</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186737808"/>
      <w:bookmarkStart w:id="119" w:name="_Toc3201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7"/>
        <w:gridCol w:w="1169"/>
        <w:gridCol w:w="1950"/>
        <w:gridCol w:w="606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7"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7"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7"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7"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vAlign w:val="center"/>
          </w:tcPr>
          <w:p>
            <w:pPr>
              <w:spacing w:before="24" w:after="24" w:line="276" w:lineRule="auto"/>
              <w:jc w:val="center"/>
              <w:rPr>
                <w:rFonts w:ascii="仿宋" w:hAnsi="仿宋" w:eastAsia="仿宋" w:cs="仿宋"/>
                <w:color w:val="000000"/>
                <w:szCs w:val="21"/>
              </w:rPr>
            </w:pPr>
            <w:r>
              <w:rPr>
                <w:rFonts w:ascii="仿宋" w:hAnsi="仿宋" w:eastAsia="仿宋" w:cs="仿宋"/>
                <w:color w:val="000000"/>
                <w:szCs w:val="21"/>
              </w:rPr>
              <w:t>在中华人民共和国境内依法登记的法人或其他组织，具有独立承担民事责任的能力</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ascii="仿宋" w:hAnsi="仿宋" w:eastAsia="仿宋" w:cs="仿宋"/>
                <w:color w:val="000000"/>
                <w:szCs w:val="21"/>
              </w:rPr>
              <w:t>具有良好的商业信誉和健全的财务会计制度</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ascii="仿宋" w:hAnsi="仿宋" w:eastAsia="仿宋" w:cs="仿宋"/>
                <w:color w:val="000000"/>
                <w:szCs w:val="21"/>
              </w:rPr>
              <w:t>供应商应具有履行合同所必需的设备和专业技术能力</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ascii="仿宋" w:hAnsi="仿宋" w:eastAsia="仿宋" w:cs="仿宋"/>
                <w:color w:val="000000"/>
                <w:szCs w:val="21"/>
              </w:rPr>
              <w:t>具有依法缴纳税收和社会保障资金的良好记录</w:t>
            </w:r>
          </w:p>
        </w:tc>
        <w:tc>
          <w:tcPr>
            <w:tcW w:w="3077"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近三年内无违法违规记录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FF0000"/>
                <w:szCs w:val="21"/>
              </w:rPr>
            </w:pPr>
            <w:r>
              <w:rPr>
                <w:rFonts w:hint="eastAsia" w:ascii="仿宋" w:hAnsi="仿宋" w:eastAsia="仿宋" w:cs="仿宋"/>
                <w:color w:val="000000"/>
                <w:szCs w:val="21"/>
              </w:rPr>
              <w:t>未被纳入采购人及其所隶属的中国人民保险各级机构的供应商黑名单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077"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7"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0" w:name="_Toc25550"/>
      <w:bookmarkStart w:id="121" w:name="_Toc186737809"/>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lang w:val="en-US" w:eastAsia="zh-CN"/>
        </w:rPr>
        <w:t>商务部分、价格部分、技术/服务部分</w:t>
      </w:r>
      <w:r>
        <w:rPr>
          <w:rFonts w:hint="eastAsia" w:ascii="仿宋_GB2312" w:eastAsia="仿宋_GB2312"/>
        </w:rPr>
        <w:t>三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89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110"/>
        <w:gridCol w:w="5640"/>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nil"/>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内容</w:t>
            </w:r>
          </w:p>
        </w:tc>
        <w:tc>
          <w:tcPr>
            <w:tcW w:w="111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评审因素</w:t>
            </w:r>
          </w:p>
        </w:tc>
        <w:tc>
          <w:tcPr>
            <w:tcW w:w="564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评分说明</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价格部分(50分）</w:t>
            </w:r>
          </w:p>
        </w:tc>
        <w:tc>
          <w:tcPr>
            <w:tcW w:w="11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sz w:val="21"/>
                <w:szCs w:val="21"/>
                <w:u w:val="none"/>
              </w:rPr>
              <w:t>评分法中的价格分采用低价优先法计算，即满足招标文件要求且最低的评审价格为评标基准价，等于评标基准价得</w:t>
            </w:r>
            <w:r>
              <w:rPr>
                <w:rFonts w:hint="eastAsia" w:ascii="仿宋" w:hAnsi="仿宋" w:eastAsia="仿宋" w:cs="仿宋"/>
                <w:b w:val="0"/>
                <w:bCs w:val="0"/>
                <w:i w:val="0"/>
                <w:iCs w:val="0"/>
                <w:color w:val="000000"/>
                <w:sz w:val="21"/>
                <w:szCs w:val="21"/>
                <w:u w:val="none"/>
                <w:lang w:val="en-US" w:eastAsia="zh-CN"/>
              </w:rPr>
              <w:t>5</w:t>
            </w:r>
            <w:r>
              <w:rPr>
                <w:rFonts w:hint="eastAsia" w:ascii="仿宋" w:hAnsi="仿宋" w:eastAsia="仿宋" w:cs="仿宋"/>
                <w:b w:val="0"/>
                <w:bCs w:val="0"/>
                <w:i w:val="0"/>
                <w:iCs w:val="0"/>
                <w:color w:val="000000"/>
                <w:sz w:val="21"/>
                <w:szCs w:val="21"/>
                <w:u w:val="none"/>
              </w:rPr>
              <w:t>0分。其他供应商的价格分统一按照下列公式计算，精确到小数点后两位：</w:t>
            </w:r>
          </w:p>
          <w:p>
            <w:pPr>
              <w:keepNext w:val="0"/>
              <w:keepLines w:val="0"/>
              <w:widowControl/>
              <w:suppressLineNumbers w:val="0"/>
              <w:jc w:val="left"/>
              <w:textAlignment w:val="bottom"/>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sz w:val="21"/>
                <w:szCs w:val="21"/>
                <w:u w:val="none"/>
              </w:rPr>
              <w:t>供应商报价得分＝（评标基准价/评审价格）×</w:t>
            </w:r>
            <w:r>
              <w:rPr>
                <w:rFonts w:hint="eastAsia" w:ascii="仿宋" w:hAnsi="仿宋" w:eastAsia="仿宋" w:cs="仿宋"/>
                <w:b w:val="0"/>
                <w:bCs w:val="0"/>
                <w:i w:val="0"/>
                <w:iCs w:val="0"/>
                <w:color w:val="000000"/>
                <w:sz w:val="21"/>
                <w:szCs w:val="21"/>
                <w:u w:val="none"/>
                <w:lang w:val="en-US" w:eastAsia="zh-CN"/>
              </w:rPr>
              <w:t>5</w:t>
            </w:r>
            <w:r>
              <w:rPr>
                <w:rFonts w:hint="eastAsia" w:ascii="仿宋" w:hAnsi="仿宋" w:eastAsia="仿宋" w:cs="仿宋"/>
                <w:b w:val="0"/>
                <w:bCs w:val="0"/>
                <w:i w:val="0"/>
                <w:iCs w:val="0"/>
                <w:color w:val="000000"/>
                <w:sz w:val="21"/>
                <w:szCs w:val="21"/>
                <w:u w:val="none"/>
              </w:rPr>
              <w:t>0；</w:t>
            </w:r>
          </w:p>
          <w:p>
            <w:pPr>
              <w:keepNext w:val="0"/>
              <w:keepLines w:val="0"/>
              <w:widowControl/>
              <w:suppressLineNumbers w:val="0"/>
              <w:jc w:val="left"/>
              <w:textAlignment w:val="bottom"/>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sz w:val="21"/>
                <w:szCs w:val="21"/>
                <w:u w:val="none"/>
              </w:rPr>
              <w:t>评审价格按照如下方式定义：</w:t>
            </w:r>
          </w:p>
          <w:p>
            <w:pPr>
              <w:pStyle w:val="2"/>
              <w:rPr>
                <w:rFonts w:hint="eastAsia"/>
              </w:rPr>
            </w:pPr>
            <w:r>
              <w:rPr>
                <w:rFonts w:hint="eastAsia" w:ascii="仿宋" w:hAnsi="仿宋" w:eastAsia="仿宋" w:cs="仿宋"/>
                <w:b w:val="0"/>
                <w:bCs w:val="0"/>
                <w:i w:val="0"/>
                <w:iCs w:val="0"/>
                <w:color w:val="000000"/>
                <w:sz w:val="21"/>
                <w:szCs w:val="21"/>
                <w:u w:val="none"/>
                <w:lang w:val="en-US" w:eastAsia="zh-CN" w:bidi="ar-SA"/>
              </w:rPr>
              <w:t>由于该事项属于职工福利费项目，统一要求开具增值税普通发票，因此评审价格是含税的投标总价。如有其他情况不提供增值税普通发票，一律按报价含税总价进行评审。</w:t>
            </w:r>
          </w:p>
        </w:tc>
        <w:tc>
          <w:tcPr>
            <w:tcW w:w="10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0" w:hRule="atLeast"/>
        </w:trPr>
        <w:tc>
          <w:tcPr>
            <w:tcW w:w="10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商务部分（10分）</w:t>
            </w:r>
          </w:p>
        </w:tc>
        <w:tc>
          <w:tcPr>
            <w:tcW w:w="111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564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108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5" w:hRule="atLeast"/>
        </w:trPr>
        <w:tc>
          <w:tcPr>
            <w:tcW w:w="1080" w:type="dxa"/>
            <w:vMerge w:val="continue"/>
            <w:tcBorders>
              <w:top w:val="nil"/>
              <w:left w:val="single" w:color="000000" w:sz="8" w:space="0"/>
              <w:bottom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同类业绩</w:t>
            </w:r>
          </w:p>
        </w:tc>
        <w:tc>
          <w:tcPr>
            <w:tcW w:w="5640" w:type="dxa"/>
            <w:tcBorders>
              <w:top w:val="single" w:color="000000" w:sz="8" w:space="0"/>
              <w:left w:val="single" w:color="000000" w:sz="8" w:space="0"/>
              <w:bottom w:val="single" w:color="auto" w:sz="4" w:space="0"/>
              <w:right w:val="single" w:color="000000" w:sz="8" w:space="0"/>
            </w:tcBorders>
            <w:shd w:val="clear" w:color="auto" w:fill="auto"/>
            <w:vAlign w:val="bottom"/>
          </w:tcPr>
          <w:p>
            <w:pPr>
              <w:keepNext w:val="0"/>
              <w:keepLines w:val="0"/>
              <w:widowControl/>
              <w:suppressLineNumbers w:val="0"/>
              <w:jc w:val="both"/>
              <w:textAlignment w:val="bottom"/>
              <w:rPr>
                <w:rStyle w:val="85"/>
                <w:rFonts w:hint="eastAsia"/>
                <w:highlight w:val="none"/>
                <w:lang w:val="en-US" w:eastAsia="zh-CN" w:bidi="ar"/>
              </w:rPr>
            </w:pPr>
            <w:r>
              <w:rPr>
                <w:rStyle w:val="85"/>
                <w:rFonts w:hint="eastAsia"/>
                <w:highlight w:val="none"/>
                <w:lang w:val="en-US" w:eastAsia="zh-CN" w:bidi="ar"/>
              </w:rPr>
              <w:t>投标人近三年（2023年1月1日至开标日）应具有1个50万元（含）以上同类项目实施案例，并提供符合上述要求的合同关键页作为有效的业绩证明材料。合同关键页包含但不限于合同首页、合同标的页、签署日期页及盖章页等。在满足资格条件1个案例的基础上，每再增加1个有效案例得1分，最多得5分。</w:t>
            </w:r>
          </w:p>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Style w:val="85"/>
                <w:rFonts w:hint="eastAsia"/>
                <w:highlight w:val="none"/>
                <w:lang w:val="en-US" w:eastAsia="zh-CN" w:bidi="ar"/>
              </w:rPr>
              <w:t>说明：“三年内”是以餐饮管理服务合同签订时间为准，须提供复印件。“类似项目业绩”是指餐饮管理服务业绩。</w:t>
            </w:r>
          </w:p>
        </w:tc>
        <w:tc>
          <w:tcPr>
            <w:tcW w:w="108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restart"/>
            <w:tcBorders>
              <w:top w:val="single" w:color="auto" w:sz="4" w:space="0"/>
              <w:left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技术/服务部分（40分）</w:t>
            </w:r>
          </w:p>
        </w:tc>
        <w:tc>
          <w:tcPr>
            <w:tcW w:w="1110"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宋体"/>
                <w:color w:val="000000"/>
                <w:sz w:val="20"/>
                <w:szCs w:val="20"/>
                <w:highlight w:val="none"/>
              </w:rPr>
              <w:t>项目人员配置</w:t>
            </w:r>
          </w:p>
        </w:tc>
        <w:tc>
          <w:tcPr>
            <w:tcW w:w="5640" w:type="dxa"/>
            <w:tcBorders>
              <w:top w:val="single" w:color="auto" w:sz="4" w:space="0"/>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宋体"/>
                <w:color w:val="auto"/>
                <w:sz w:val="20"/>
                <w:szCs w:val="20"/>
                <w:highlight w:val="none"/>
                <w:lang w:val="en-US" w:eastAsia="zh-CN"/>
              </w:rPr>
            </w:pPr>
            <w:r>
              <w:rPr>
                <w:rFonts w:hint="eastAsia" w:ascii="仿宋" w:hAnsi="仿宋" w:eastAsia="仿宋" w:cs="宋体"/>
                <w:color w:val="auto"/>
                <w:sz w:val="20"/>
                <w:szCs w:val="20"/>
                <w:highlight w:val="none"/>
                <w:lang w:val="en-US" w:eastAsia="zh-CN"/>
              </w:rPr>
              <w:t>评分内容：需对所提供的人员配置情况进行评价。</w:t>
            </w:r>
            <w:r>
              <w:rPr>
                <w:rFonts w:hint="eastAsia" w:ascii="仿宋" w:hAnsi="仿宋" w:eastAsia="仿宋" w:cs="宋体"/>
                <w:color w:val="auto"/>
                <w:sz w:val="20"/>
                <w:szCs w:val="20"/>
                <w:highlight w:val="none"/>
                <w:lang w:val="en-US" w:eastAsia="zh-CN"/>
              </w:rPr>
              <w:br w:type="textWrapping"/>
            </w:r>
            <w:r>
              <w:rPr>
                <w:rFonts w:hint="eastAsia" w:ascii="仿宋" w:hAnsi="仿宋" w:eastAsia="仿宋" w:cs="宋体"/>
                <w:color w:val="auto"/>
                <w:sz w:val="20"/>
                <w:szCs w:val="20"/>
                <w:highlight w:val="none"/>
                <w:lang w:val="en-US" w:eastAsia="zh-CN"/>
              </w:rPr>
              <w:t>（1）人数方面：按照我司要求提供人员可得2分，在此基础上每增加一人加0.5分，满分3分。不满足要求或未明确人员人数不得分。</w:t>
            </w:r>
          </w:p>
          <w:p>
            <w:pPr>
              <w:pStyle w:val="2"/>
              <w:numPr>
                <w:ilvl w:val="0"/>
                <w:numId w:val="3"/>
              </w:numPr>
              <w:rPr>
                <w:rFonts w:hint="eastAsia" w:ascii="仿宋" w:hAnsi="仿宋" w:eastAsia="仿宋" w:cs="宋体"/>
                <w:color w:val="000000"/>
                <w:sz w:val="20"/>
                <w:szCs w:val="20"/>
                <w:highlight w:val="none"/>
                <w:lang w:val="en-US" w:eastAsia="zh-CN"/>
              </w:rPr>
            </w:pPr>
            <w:r>
              <w:rPr>
                <w:rFonts w:hint="eastAsia" w:ascii="仿宋" w:hAnsi="仿宋" w:eastAsia="仿宋" w:cs="宋体"/>
                <w:color w:val="auto"/>
                <w:sz w:val="20"/>
                <w:szCs w:val="20"/>
                <w:highlight w:val="none"/>
                <w:lang w:val="en-US" w:eastAsia="zh-CN"/>
              </w:rPr>
              <w:t>年龄方面</w:t>
            </w:r>
            <w:r>
              <w:rPr>
                <w:rFonts w:hint="eastAsia" w:ascii="仿宋" w:hAnsi="仿宋" w:eastAsia="仿宋" w:cs="宋体"/>
                <w:color w:val="auto"/>
                <w:sz w:val="20"/>
                <w:szCs w:val="20"/>
                <w:highlight w:val="none"/>
                <w:lang w:val="en-US" w:eastAsia="zh-CN" w:bidi="ar-SA"/>
              </w:rPr>
              <w:t>：满足我司的人员对应年龄基础要求得2分，针对向经营单位提供的服务人员，每提供1人年龄满足在40周岁（含）-50周岁（不含）加0.5分，每提供1人年龄满足在40周岁（不含）以下加1分，最多得6分。</w:t>
            </w:r>
          </w:p>
          <w:p>
            <w:pPr>
              <w:pStyle w:val="2"/>
              <w:numPr>
                <w:ilvl w:val="0"/>
                <w:numId w:val="0"/>
              </w:numPr>
              <w:rPr>
                <w:rFonts w:hint="eastAsia" w:ascii="仿宋" w:hAnsi="仿宋" w:eastAsia="仿宋" w:cs="宋体"/>
                <w:color w:val="000000"/>
                <w:sz w:val="20"/>
                <w:szCs w:val="20"/>
                <w:highlight w:val="none"/>
                <w:lang w:val="en-US" w:eastAsia="zh-CN"/>
              </w:rPr>
            </w:pPr>
            <w:r>
              <w:rPr>
                <w:rFonts w:hint="eastAsia" w:ascii="仿宋" w:hAnsi="仿宋" w:eastAsia="仿宋" w:cs="宋体"/>
                <w:color w:val="auto"/>
                <w:sz w:val="20"/>
                <w:szCs w:val="20"/>
                <w:highlight w:val="none"/>
                <w:lang w:val="en-US" w:eastAsia="zh-CN" w:bidi="ar-SA"/>
              </w:rPr>
              <w:t>（3）①项目团队人员配备合理，职责分工明确，经验丰富，资质实力强，得5-6分；②项目团队人员配备较合理，职责分工较明确，经验较丰富，资质实力较强，得3-4分； ③项目团队人员配备不太合理，职责分工不太明确，服务经验少，资质实力一般，得0-2分。</w:t>
            </w:r>
          </w:p>
        </w:tc>
        <w:tc>
          <w:tcPr>
            <w:tcW w:w="1080" w:type="dxa"/>
            <w:tcBorders>
              <w:top w:val="single" w:color="auto" w:sz="4" w:space="0"/>
              <w:left w:val="single" w:color="000000" w:sz="8" w:space="0"/>
              <w:bottom w:val="single" w:color="000000" w:sz="8"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r>
              <w:rPr>
                <w:rFonts w:hint="eastAsia" w:ascii="仿宋" w:hAnsi="仿宋" w:eastAsia="仿宋" w:cs="宋体"/>
                <w:color w:val="000000"/>
                <w:sz w:val="20"/>
                <w:szCs w:val="20"/>
                <w:lang w:eastAsia="zh-CN"/>
              </w:rPr>
              <w:t>设备设施管理方案</w:t>
            </w:r>
          </w:p>
        </w:tc>
        <w:tc>
          <w:tcPr>
            <w:tcW w:w="5640" w:type="dxa"/>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仿宋"/>
                <w:i w:val="0"/>
                <w:iCs w:val="0"/>
                <w:color w:val="000000"/>
                <w:sz w:val="21"/>
                <w:szCs w:val="21"/>
                <w:u w:val="none"/>
              </w:rPr>
            </w:pPr>
            <w:r>
              <w:rPr>
                <w:rFonts w:hint="eastAsia" w:ascii="仿宋" w:hAnsi="仿宋" w:eastAsia="仿宋" w:cs="宋体"/>
                <w:color w:val="000000"/>
                <w:sz w:val="20"/>
                <w:szCs w:val="20"/>
                <w:highlight w:val="none"/>
                <w:lang w:eastAsia="zh-CN"/>
              </w:rPr>
              <w:t>从食堂设备设施管理制度，卫生管理制度，安全管理制度，维护管理制度，厨房包装物品管理制度进行综合评价。满足</w:t>
            </w:r>
            <w:r>
              <w:rPr>
                <w:rFonts w:hint="eastAsia" w:ascii="仿宋" w:hAnsi="仿宋" w:eastAsia="仿宋" w:cs="宋体"/>
                <w:color w:val="000000"/>
                <w:sz w:val="20"/>
                <w:szCs w:val="20"/>
                <w:highlight w:val="none"/>
                <w:lang w:val="en-US" w:eastAsia="zh-CN"/>
              </w:rPr>
              <w:t>4项以上为优，满足2-3项为良，满足0-1项为差。优：4-5分，良：2-3分，差0-1分。</w:t>
            </w:r>
          </w:p>
        </w:tc>
        <w:tc>
          <w:tcPr>
            <w:tcW w:w="1080" w:type="dxa"/>
            <w:tcBorders>
              <w:top w:val="nil"/>
              <w:left w:val="single" w:color="000000" w:sz="8" w:space="0"/>
              <w:bottom w:val="single" w:color="000000" w:sz="8" w:space="0"/>
              <w:right w:val="single" w:color="auto" w:sz="4" w:space="0"/>
            </w:tcBorders>
            <w:shd w:val="clear" w:color="auto" w:fill="auto"/>
            <w:vAlign w:val="center"/>
          </w:tcPr>
          <w:p>
            <w:pPr>
              <w:jc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宋体"/>
                <w:color w:val="000000"/>
                <w:sz w:val="20"/>
                <w:szCs w:val="20"/>
                <w:lang w:eastAsia="zh-CN"/>
              </w:rPr>
            </w:pPr>
            <w:r>
              <w:rPr>
                <w:rFonts w:hint="eastAsia" w:ascii="仿宋" w:hAnsi="仿宋" w:eastAsia="仿宋" w:cs="宋体"/>
                <w:color w:val="000000"/>
                <w:sz w:val="20"/>
                <w:szCs w:val="20"/>
                <w:lang w:eastAsia="zh-CN"/>
              </w:rPr>
              <w:t>供餐管理方案</w:t>
            </w:r>
          </w:p>
        </w:tc>
        <w:tc>
          <w:tcPr>
            <w:tcW w:w="5640" w:type="dxa"/>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宋体"/>
                <w:color w:val="000000"/>
                <w:sz w:val="20"/>
                <w:szCs w:val="20"/>
                <w:highlight w:val="none"/>
                <w:lang w:eastAsia="zh-CN"/>
              </w:rPr>
            </w:pPr>
            <w:r>
              <w:rPr>
                <w:rFonts w:hint="eastAsia" w:ascii="仿宋" w:hAnsi="仿宋" w:eastAsia="仿宋" w:cs="宋体"/>
                <w:color w:val="000000"/>
                <w:sz w:val="20"/>
                <w:szCs w:val="20"/>
                <w:highlight w:val="none"/>
                <w:lang w:eastAsia="zh-CN"/>
              </w:rPr>
              <w:t>从菜谱制定，菜单设计变化，口味多样变化，季节性变化，满足员工意见的变化，花色品种变化，菜谱更新变化进行综合评价。满足</w:t>
            </w:r>
            <w:r>
              <w:rPr>
                <w:rFonts w:hint="eastAsia" w:ascii="仿宋" w:hAnsi="仿宋" w:eastAsia="仿宋" w:cs="宋体"/>
                <w:color w:val="000000"/>
                <w:sz w:val="20"/>
                <w:szCs w:val="20"/>
                <w:highlight w:val="none"/>
                <w:lang w:val="en-US" w:eastAsia="zh-CN"/>
              </w:rPr>
              <w:t>5项以上为优，满足2-4项为良，满足0-1项为差。优：4-5分，良：2-3分，差0-1分。</w:t>
            </w:r>
          </w:p>
        </w:tc>
        <w:tc>
          <w:tcPr>
            <w:tcW w:w="1080" w:type="dxa"/>
            <w:tcBorders>
              <w:top w:val="nil"/>
              <w:left w:val="single" w:color="000000" w:sz="8" w:space="0"/>
              <w:bottom w:val="single" w:color="000000" w:sz="8" w:space="0"/>
              <w:right w:val="single" w:color="auto" w:sz="4"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宋体"/>
                <w:color w:val="000000"/>
                <w:sz w:val="20"/>
                <w:szCs w:val="20"/>
                <w:lang w:eastAsia="zh-CN"/>
              </w:rPr>
            </w:pPr>
            <w:r>
              <w:rPr>
                <w:rFonts w:hint="eastAsia" w:ascii="仿宋" w:hAnsi="仿宋" w:eastAsia="仿宋" w:cs="宋体"/>
                <w:color w:val="000000"/>
                <w:sz w:val="20"/>
                <w:szCs w:val="20"/>
                <w:lang w:eastAsia="zh-CN"/>
              </w:rPr>
              <w:t>原材料管理方案</w:t>
            </w:r>
          </w:p>
        </w:tc>
        <w:tc>
          <w:tcPr>
            <w:tcW w:w="5640" w:type="dxa"/>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宋体"/>
                <w:color w:val="000000"/>
                <w:sz w:val="20"/>
                <w:szCs w:val="20"/>
                <w:highlight w:val="none"/>
                <w:lang w:eastAsia="zh-CN"/>
              </w:rPr>
            </w:pPr>
            <w:r>
              <w:rPr>
                <w:rFonts w:hint="eastAsia" w:ascii="仿宋" w:hAnsi="仿宋" w:eastAsia="仿宋" w:cs="宋体"/>
                <w:color w:val="000000"/>
                <w:sz w:val="20"/>
                <w:szCs w:val="20"/>
                <w:highlight w:val="none"/>
                <w:lang w:eastAsia="zh-CN"/>
              </w:rPr>
              <w:t>食堂验收管理，原材料保存管理，原材料出入库管理，验收人员管理，验收标准和要求，原材料加工流程，加工操作规程等进行综合评价。满足</w:t>
            </w:r>
            <w:r>
              <w:rPr>
                <w:rFonts w:hint="eastAsia" w:ascii="仿宋" w:hAnsi="仿宋" w:eastAsia="仿宋" w:cs="宋体"/>
                <w:color w:val="000000"/>
                <w:sz w:val="20"/>
                <w:szCs w:val="20"/>
                <w:highlight w:val="none"/>
                <w:lang w:val="en-US" w:eastAsia="zh-CN"/>
              </w:rPr>
              <w:t>5项以上为优，满足2-4项为良，满足0-1项为差。优：4-5分，良：2-3分，差0-1分</w:t>
            </w:r>
          </w:p>
        </w:tc>
        <w:tc>
          <w:tcPr>
            <w:tcW w:w="1080" w:type="dxa"/>
            <w:tcBorders>
              <w:top w:val="nil"/>
              <w:left w:val="single" w:color="000000" w:sz="8" w:space="0"/>
              <w:bottom w:val="single" w:color="000000" w:sz="8" w:space="0"/>
              <w:right w:val="single" w:color="auto" w:sz="4"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宋体"/>
                <w:color w:val="000000"/>
                <w:sz w:val="20"/>
                <w:szCs w:val="20"/>
                <w:lang w:eastAsia="zh-CN"/>
              </w:rPr>
              <w:t>食堂安全管理方案</w:t>
            </w: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FF"/>
                <w:sz w:val="21"/>
                <w:szCs w:val="21"/>
                <w:u w:val="none"/>
              </w:rPr>
            </w:pPr>
            <w:r>
              <w:rPr>
                <w:rFonts w:hint="eastAsia" w:ascii="仿宋" w:hAnsi="仿宋" w:eastAsia="仿宋" w:cs="宋体"/>
                <w:color w:val="000000"/>
                <w:sz w:val="20"/>
                <w:szCs w:val="20"/>
                <w:highlight w:val="none"/>
                <w:lang w:eastAsia="zh-CN"/>
              </w:rPr>
              <w:t>从食堂安全管理制度，食堂食品安全管理制度，厨房安全管理制度，消防安全管理制度，从业人员健康管理制度，废弃物管理制度，留样管理制度，食堂除四害管理制度，卫生管理制度等进行综合评价。满足</w:t>
            </w:r>
            <w:r>
              <w:rPr>
                <w:rFonts w:hint="eastAsia" w:ascii="仿宋" w:hAnsi="仿宋" w:eastAsia="仿宋" w:cs="宋体"/>
                <w:color w:val="000000"/>
                <w:sz w:val="20"/>
                <w:szCs w:val="20"/>
                <w:highlight w:val="none"/>
                <w:lang w:val="en-US" w:eastAsia="zh-CN"/>
              </w:rPr>
              <w:t>7项以上为优，满足3-6项为良，满足0-2项为差。优：4-5分，良：2-3分，差0-1分</w:t>
            </w:r>
          </w:p>
        </w:tc>
        <w:tc>
          <w:tcPr>
            <w:tcW w:w="1080" w:type="dxa"/>
            <w:tcBorders>
              <w:top w:val="nil"/>
              <w:left w:val="single" w:color="000000" w:sz="8" w:space="0"/>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640" w:type="dxa"/>
            <w:tcBorders>
              <w:top w:val="nil"/>
              <w:left w:val="single" w:color="000000" w:sz="8" w:space="0"/>
              <w:bottom w:val="single" w:color="auto" w:sz="4"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FF"/>
                <w:kern w:val="0"/>
                <w:sz w:val="21"/>
                <w:szCs w:val="21"/>
                <w:u w:val="none"/>
                <w:lang w:val="en-US" w:eastAsia="zh-CN" w:bidi="ar"/>
              </w:rPr>
            </w:pPr>
          </w:p>
        </w:tc>
        <w:tc>
          <w:tcPr>
            <w:tcW w:w="1080" w:type="dxa"/>
            <w:tcBorders>
              <w:top w:val="nil"/>
              <w:left w:val="single" w:color="000000" w:sz="8"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continue"/>
            <w:tcBorders>
              <w:left w:val="single" w:color="auto" w:sz="4" w:space="0"/>
              <w:bottom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宋体"/>
                <w:color w:val="000000"/>
                <w:sz w:val="20"/>
                <w:szCs w:val="20"/>
                <w:lang w:eastAsia="zh-CN"/>
              </w:rPr>
              <w:t>应急处理预案</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FF"/>
                <w:kern w:val="0"/>
                <w:sz w:val="21"/>
                <w:szCs w:val="21"/>
                <w:u w:val="none"/>
                <w:lang w:val="en-US" w:eastAsia="zh-CN" w:bidi="ar"/>
              </w:rPr>
            </w:pPr>
            <w:r>
              <w:rPr>
                <w:rFonts w:hint="eastAsia" w:ascii="仿宋" w:hAnsi="仿宋" w:eastAsia="仿宋" w:cs="宋体"/>
                <w:color w:val="000000"/>
                <w:sz w:val="20"/>
                <w:szCs w:val="20"/>
                <w:highlight w:val="none"/>
                <w:lang w:eastAsia="zh-CN"/>
              </w:rPr>
              <w:t>从食物中毒应急预案，停电停水停气应急预案，火灾应急预案，触电急救处理应急预案，天然气泄漏应急预案等进行综合评价。满足</w:t>
            </w:r>
            <w:r>
              <w:rPr>
                <w:rFonts w:hint="eastAsia" w:ascii="仿宋" w:hAnsi="仿宋" w:eastAsia="仿宋" w:cs="宋体"/>
                <w:color w:val="000000"/>
                <w:sz w:val="20"/>
                <w:szCs w:val="20"/>
                <w:highlight w:val="none"/>
                <w:lang w:val="en-US" w:eastAsia="zh-CN"/>
              </w:rPr>
              <w:t>4项以上为优，满足2-3项为良，满足0-1项为差。优：4-5分，良：2-3分，差0-1分。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r>
    </w:tbl>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numPr>
          <w:ilvl w:val="0"/>
          <w:numId w:val="4"/>
        </w:numPr>
        <w:spacing w:before="0" w:after="0"/>
        <w:jc w:val="left"/>
        <w:rPr>
          <w:rFonts w:hint="eastAsia" w:ascii="仿宋" w:hAnsi="仿宋" w:eastAsia="仿宋" w:cs="仿宋"/>
          <w:color w:val="auto"/>
          <w:sz w:val="28"/>
          <w:szCs w:val="28"/>
        </w:rPr>
      </w:pPr>
      <w:bookmarkStart w:id="122" w:name="_Toc15254"/>
      <w:bookmarkStart w:id="123" w:name="_Toc186737810"/>
      <w:r>
        <w:rPr>
          <w:rFonts w:hint="eastAsia" w:ascii="仿宋" w:hAnsi="仿宋" w:eastAsia="仿宋" w:cs="仿宋"/>
          <w:color w:val="auto"/>
          <w:sz w:val="28"/>
          <w:szCs w:val="28"/>
        </w:rPr>
        <w:t>合同条</w:t>
      </w:r>
      <w:bookmarkEnd w:id="122"/>
      <w:r>
        <w:rPr>
          <w:rFonts w:hint="eastAsia" w:ascii="仿宋" w:hAnsi="仿宋" w:eastAsia="仿宋" w:cs="仿宋"/>
          <w:color w:val="auto"/>
          <w:sz w:val="28"/>
          <w:szCs w:val="28"/>
        </w:rPr>
        <w:t>款</w:t>
      </w:r>
      <w:bookmarkEnd w:id="123"/>
    </w:p>
    <w:p>
      <w:pPr>
        <w:numPr>
          <w:ilvl w:val="0"/>
          <w:numId w:val="0"/>
        </w:numPr>
      </w:pPr>
    </w:p>
    <w:p>
      <w:pPr>
        <w:keepNext w:val="0"/>
        <w:keepLines w:val="0"/>
        <w:widowControl/>
        <w:suppressLineNumbers w:val="0"/>
        <w:jc w:val="left"/>
      </w:pPr>
      <w:r>
        <w:rPr>
          <w:rFonts w:ascii="宋体" w:hAnsi="宋体" w:eastAsia="宋体" w:cs="宋体"/>
          <w:vanish/>
          <w:sz w:val="24"/>
          <w:szCs w:val="24"/>
        </w:rPr>
        <mc:AlternateContent>
          <mc:Choice Requires="wps">
            <w:drawing>
              <wp:anchor distT="0" distB="0" distL="114300" distR="114300" simplePos="0" relativeHeight="251664384" behindDoc="0" locked="1" layoutInCell="1" allowOverlap="1">
                <wp:simplePos x="0" y="0"/>
                <wp:positionH relativeFrom="column">
                  <wp:posOffset>0</wp:posOffset>
                </wp:positionH>
                <wp:positionV relativeFrom="paragraph">
                  <wp:posOffset>0</wp:posOffset>
                </wp:positionV>
                <wp:extent cx="635" cy="0"/>
                <wp:effectExtent l="0" t="0" r="0" b="0"/>
                <wp:wrapNone/>
                <wp:docPr id="6"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wrap="square" upright="1"/>
                    </wps:wsp>
                  </a:graphicData>
                </a:graphic>
              </wp:anchor>
            </w:drawing>
          </mc:Choice>
          <mc:Fallback>
            <w:pict>
              <v:rect id="自选图形 1" o:spid="_x0000_s1026" o:spt="1" style="position:absolute;left:0pt;margin-left:0pt;margin-top:0pt;height:0pt;width:0.05pt;z-index:251664384;mso-width-relative:page;mso-height-relative:page;"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BlOQqc4AAAD/AAAADwAAAAAAAAABACAAAAAi&#10;AAAAZHJzL2Rvd25yZXYueG1sUEsBAhQAFAAAAAgAh07iQF/HkwgUAgAALAQAAA4AAAAAAAAAAQAg&#10;AAAAHQEAAGRycy9lMm9Eb2MueG1sUEsFBgAAAAAGAAYAWQEAAKMFAAAAAA==&#10;">
                <v:fill on="f" focussize="0,0"/>
                <v:stroke color="#000000" joinstyle="miter"/>
                <v:imagedata o:title=""/>
                <o:lock v:ext="edit" aspectratio="t"/>
                <w10:anchorlock/>
              </v:rect>
            </w:pict>
          </mc:Fallback>
        </mc:AlternateContent>
      </w:r>
      <w:r>
        <w:rPr>
          <w:rFonts w:ascii="宋体" w:hAnsi="宋体" w:eastAsia="宋体" w:cs="宋体"/>
          <w:vanish/>
          <w:sz w:val="24"/>
          <w:szCs w:val="24"/>
        </w:rPr>
        <mc:AlternateContent>
          <mc:Choice Requires="wps">
            <w:drawing>
              <wp:inline distT="0" distB="0" distL="114300" distR="114300">
                <wp:extent cx="635" cy="0"/>
                <wp:effectExtent l="0" t="0" r="0" b="0"/>
                <wp:docPr id="7" name="图片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wrap="square" upright="1"/>
                    </wps:wsp>
                  </a:graphicData>
                </a:graphic>
              </wp:inline>
            </w:drawing>
          </mc:Choice>
          <mc:Fallback>
            <w:pict>
              <v:rect id="图片 1"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Phwl/c8AAAD/&#10;AAAADwAAAAAAAAABACAAAAAiAAAAZHJzL2Rvd25yZXYueG1sUEsBAhQAFAAAAAgAh07iQFWdhsmz&#10;AQAAZwMAAA4AAAAAAAAAAQAgAAAAHgEAAGRycy9lMm9Eb2MueG1sUEsFBgAAAAAGAAYAWQEAAEMF&#10;AAAAAA==&#10;">
                <v:fill on="f" focussize="0,0"/>
                <v:stroke on="f"/>
                <v:imagedata o:title=""/>
                <o:lock v:ext="edit" aspectratio="t"/>
                <w10:wrap type="none"/>
                <w10:anchorlock/>
              </v:rect>
            </w:pict>
          </mc:Fallback>
        </mc:AlternateContent>
      </w:r>
    </w:p>
    <w:p>
      <w:pPr>
        <w:keepNext w:val="0"/>
        <w:keepLines w:val="0"/>
        <w:widowControl/>
        <w:suppressLineNumbers w:val="0"/>
        <w:spacing w:before="100" w:beforeAutospacing="1" w:after="10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本合同服务费用总额为_______元（大写_______）。合同价格明细见【附件】。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b/>
          <w:bCs/>
          <w:sz w:val="21"/>
          <w:szCs w:val="21"/>
        </w:rPr>
        <w:t>违约责任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保密义务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不可抗力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合同特别终止</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法律适用与争议解决</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合同生效及其他</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（七）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sz w:val="21"/>
          <w:szCs w:val="21"/>
        </w:rPr>
        <w:t>......</w:t>
      </w:r>
    </w:p>
    <w:p>
      <w:pPr>
        <w:keepNext w:val="0"/>
        <w:keepLines w:val="0"/>
        <w:pageBreakBefore w:val="0"/>
        <w:kinsoku/>
        <w:wordWrap/>
        <w:overflowPunct/>
        <w:topLinePunct w:val="0"/>
        <w:autoSpaceDE/>
        <w:autoSpaceDN/>
        <w:bidi w:val="0"/>
        <w:snapToGrid w:val="0"/>
        <w:spacing w:line="600" w:lineRule="exact"/>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eastAsia="zh-CN"/>
        </w:rPr>
        <w:t>附件一、</w:t>
      </w:r>
      <w:r>
        <w:rPr>
          <w:rFonts w:hint="eastAsia" w:ascii="仿宋_GB2312" w:hAnsi="仿宋_GB2312" w:eastAsia="仿宋_GB2312" w:cs="仿宋_GB2312"/>
          <w:b/>
          <w:sz w:val="32"/>
          <w:szCs w:val="32"/>
        </w:rPr>
        <w:t>服务内容及要求</w:t>
      </w:r>
    </w:p>
    <w:p>
      <w:pPr>
        <w:keepNext w:val="0"/>
        <w:keepLines w:val="0"/>
        <w:pageBreakBefore w:val="0"/>
        <w:kinsoku/>
        <w:wordWrap/>
        <w:overflowPunct/>
        <w:topLinePunct w:val="0"/>
        <w:autoSpaceDE/>
        <w:autoSpaceDN/>
        <w:bidi w:val="0"/>
        <w:snapToGrid w:val="0"/>
        <w:spacing w:line="600" w:lineRule="exact"/>
        <w:jc w:val="center"/>
        <w:rPr>
          <w:rFonts w:hint="eastAsia" w:ascii="仿宋_GB2312" w:hAnsi="仿宋_GB2312" w:eastAsia="仿宋_GB2312" w:cs="仿宋_GB2312"/>
          <w:b/>
          <w:sz w:val="32"/>
          <w:szCs w:val="32"/>
        </w:rPr>
      </w:pPr>
    </w:p>
    <w:p>
      <w:pPr>
        <w:keepNext w:val="0"/>
        <w:keepLines w:val="0"/>
        <w:pageBreakBefore w:val="0"/>
        <w:numPr>
          <w:ilvl w:val="0"/>
          <w:numId w:val="5"/>
        </w:numPr>
        <w:kinsoku/>
        <w:wordWrap/>
        <w:overflowPunct/>
        <w:topLinePunct w:val="0"/>
        <w:autoSpaceDE/>
        <w:autoSpaceDN/>
        <w:bidi w:val="0"/>
        <w:snapToGrid w:val="0"/>
        <w:spacing w:line="600" w:lineRule="exact"/>
        <w:rPr>
          <w:rFonts w:hint="eastAsia" w:ascii="仿宋_GB2312" w:hAnsi="仿宋_GB2312" w:eastAsia="仿宋_GB2312" w:cs="仿宋_GB2312"/>
          <w:b/>
          <w:sz w:val="32"/>
          <w:szCs w:val="32"/>
        </w:rPr>
      </w:pPr>
      <w:r>
        <w:rPr>
          <w:rFonts w:hint="eastAsia" w:ascii="仿宋_GB2312" w:hAnsi="仿宋_GB2312" w:eastAsia="仿宋_GB2312" w:cs="仿宋_GB2312"/>
          <w:kern w:val="0"/>
          <w:sz w:val="32"/>
          <w:szCs w:val="32"/>
        </w:rPr>
        <w:t>乙方提供食堂餐饮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rPr>
        <w:t>服务的区域范围为：</w:t>
      </w:r>
      <w:r>
        <w:rPr>
          <w:rFonts w:hint="eastAsia" w:ascii="仿宋_GB2312" w:hAnsi="仿宋_GB2312" w:eastAsia="仿宋_GB2312" w:cs="仿宋_GB2312"/>
          <w:sz w:val="32"/>
          <w:szCs w:val="32"/>
        </w:rPr>
        <w:t>沙湾支公司、沐川支公司、峨眉山支公司，马边营销服务部</w:t>
      </w:r>
      <w:r>
        <w:rPr>
          <w:rFonts w:hint="eastAsia" w:ascii="仿宋_GB2312" w:hAnsi="仿宋_GB2312" w:eastAsia="仿宋_GB2312" w:cs="仿宋_GB2312"/>
          <w:kern w:val="0"/>
          <w:sz w:val="32"/>
          <w:szCs w:val="32"/>
          <w:lang w:val="en-US" w:eastAsia="zh-CN"/>
        </w:rPr>
        <w:t>。</w:t>
      </w:r>
    </w:p>
    <w:p>
      <w:pPr>
        <w:keepNext w:val="0"/>
        <w:keepLines w:val="0"/>
        <w:pageBreakBefore w:val="0"/>
        <w:numPr>
          <w:ilvl w:val="0"/>
          <w:numId w:val="5"/>
        </w:numPr>
        <w:kinsoku/>
        <w:wordWrap/>
        <w:overflowPunct/>
        <w:topLinePunct w:val="0"/>
        <w:autoSpaceDE/>
        <w:autoSpaceDN/>
        <w:bidi w:val="0"/>
        <w:snapToGrid w:val="0"/>
        <w:spacing w:line="600" w:lineRule="exact"/>
        <w:rPr>
          <w:rFonts w:hint="eastAsia" w:ascii="仿宋_GB2312" w:hAnsi="仿宋_GB2312" w:eastAsia="仿宋_GB2312" w:cs="仿宋_GB2312"/>
          <w:b/>
          <w:sz w:val="32"/>
          <w:szCs w:val="32"/>
        </w:rPr>
      </w:pPr>
      <w:r>
        <w:rPr>
          <w:rFonts w:hint="eastAsia" w:ascii="仿宋_GB2312" w:hAnsi="仿宋_GB2312" w:eastAsia="仿宋_GB2312" w:cs="仿宋_GB2312"/>
          <w:kern w:val="0"/>
          <w:sz w:val="32"/>
          <w:szCs w:val="32"/>
        </w:rPr>
        <w:t>乙方提供食堂餐饮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rPr>
        <w:t xml:space="preserve">服务的内容： </w:t>
      </w:r>
      <w:r>
        <w:rPr>
          <w:rFonts w:hint="eastAsia" w:ascii="仿宋_GB2312" w:hAnsi="仿宋_GB2312" w:eastAsia="仿宋_GB2312" w:cs="仿宋_GB2312"/>
          <w:kern w:val="0"/>
          <w:sz w:val="32"/>
          <w:szCs w:val="32"/>
          <w:lang w:val="en-US" w:eastAsia="zh-CN"/>
        </w:rPr>
        <w:t xml:space="preserve"> </w:t>
      </w:r>
    </w:p>
    <w:p>
      <w:pPr>
        <w:keepNext w:val="0"/>
        <w:keepLines w:val="0"/>
        <w:pageBreakBefore w:val="0"/>
        <w:numPr>
          <w:ilvl w:val="0"/>
          <w:numId w:val="0"/>
        </w:numPr>
        <w:kinsoku/>
        <w:wordWrap/>
        <w:overflowPunct/>
        <w:topLinePunct w:val="0"/>
        <w:autoSpaceDE/>
        <w:autoSpaceDN/>
        <w:bidi w:val="0"/>
        <w:snapToGrid w:val="0"/>
        <w:spacing w:line="600" w:lineRule="exact"/>
        <w:rPr>
          <w:rFonts w:hint="eastAsia" w:ascii="仿宋_GB2312" w:hAnsi="仿宋_GB2312" w:eastAsia="仿宋_GB2312" w:cs="仿宋_GB2312"/>
          <w:b/>
          <w:sz w:val="32"/>
          <w:szCs w:val="32"/>
          <w:lang w:eastAsia="zh-CN"/>
        </w:rPr>
      </w:pPr>
      <w:r>
        <w:rPr>
          <w:rFonts w:hint="eastAsia" w:ascii="仿宋_GB2312" w:hAnsi="仿宋_GB2312" w:eastAsia="仿宋_GB2312" w:cs="仿宋_GB2312"/>
          <w:kern w:val="0"/>
          <w:sz w:val="32"/>
          <w:szCs w:val="32"/>
        </w:rPr>
        <w:t>（1）食堂餐饮服务，具体包括食堂人事、菜肴的搭配与制作、就餐环境卫生。</w:t>
      </w:r>
      <w:r>
        <w:rPr>
          <w:rFonts w:hint="eastAsia" w:ascii="仿宋_GB2312" w:hAnsi="仿宋_GB2312" w:eastAsia="仿宋_GB2312" w:cs="仿宋_GB2312"/>
          <w:kern w:val="0"/>
          <w:sz w:val="32"/>
          <w:szCs w:val="32"/>
        </w:rPr>
        <w:br w:type="textWrapping"/>
      </w:r>
      <w:r>
        <w:rPr>
          <w:rFonts w:hint="eastAsia" w:ascii="仿宋_GB2312" w:hAnsi="仿宋_GB2312" w:eastAsia="仿宋_GB2312" w:cs="仿宋_GB2312"/>
          <w:kern w:val="0"/>
          <w:sz w:val="32"/>
          <w:szCs w:val="32"/>
        </w:rPr>
        <w:t xml:space="preserve">（2）供应工作餐和接待餐 </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br w:type="textWrapping"/>
      </w:r>
      <w:r>
        <w:rPr>
          <w:rFonts w:hint="eastAsia" w:ascii="仿宋_GB2312" w:hAnsi="仿宋_GB2312" w:eastAsia="仿宋_GB2312" w:cs="仿宋_GB2312"/>
          <w:kern w:val="0"/>
          <w:sz w:val="32"/>
          <w:szCs w:val="32"/>
        </w:rPr>
        <w:t>（3）</w:t>
      </w:r>
      <w:r>
        <w:rPr>
          <w:rFonts w:hint="eastAsia" w:ascii="仿宋_GB2312" w:hAnsi="仿宋_GB2312" w:eastAsia="仿宋_GB2312" w:cs="仿宋_GB2312"/>
          <w:color w:val="000000"/>
          <w:kern w:val="0"/>
          <w:sz w:val="32"/>
          <w:szCs w:val="32"/>
        </w:rPr>
        <w:t>清洗餐具并消毒</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kern w:val="0"/>
          <w:sz w:val="32"/>
          <w:szCs w:val="32"/>
        </w:rPr>
        <w:br w:type="textWrapping"/>
      </w:r>
      <w:r>
        <w:rPr>
          <w:rFonts w:hint="eastAsia" w:ascii="仿宋_GB2312" w:hAnsi="仿宋_GB2312" w:eastAsia="仿宋_GB2312" w:cs="仿宋_GB2312"/>
          <w:kern w:val="0"/>
          <w:sz w:val="32"/>
          <w:szCs w:val="32"/>
        </w:rPr>
        <w:t>（4）建立健全食堂餐饮各项制度</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br w:type="textWrapping"/>
      </w:r>
      <w:r>
        <w:rPr>
          <w:rFonts w:hint="eastAsia" w:ascii="仿宋_GB2312" w:hAnsi="仿宋_GB2312" w:eastAsia="仿宋_GB2312" w:cs="仿宋_GB2312"/>
          <w:kern w:val="0"/>
          <w:sz w:val="32"/>
          <w:szCs w:val="32"/>
        </w:rPr>
        <w:t>（5）建立健全各项应急预案</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snapToGrid w:val="0"/>
        <w:spacing w:line="600" w:lineRule="exact"/>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附件二</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b/>
          <w:sz w:val="32"/>
          <w:szCs w:val="32"/>
        </w:rPr>
        <w:t>付款</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本合同使用货币种类为人民币。</w:t>
      </w:r>
    </w:p>
    <w:p>
      <w:pPr>
        <w:keepNext w:val="0"/>
        <w:keepLines w:val="0"/>
        <w:pageBreakBefore w:val="0"/>
        <w:kinsoku/>
        <w:wordWrap/>
        <w:overflowPunct/>
        <w:topLinePunct w:val="0"/>
        <w:autoSpaceDE/>
        <w:autoSpaceDN/>
        <w:bidi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 付款方式：转账。双方采用转账方式付款的，甲方应向乙方以下账户进行付费：</w:t>
      </w:r>
    </w:p>
    <w:p>
      <w:pPr>
        <w:keepNext w:val="0"/>
        <w:keepLines w:val="0"/>
        <w:pageBreakBefore w:val="0"/>
        <w:kinsoku/>
        <w:wordWrap/>
        <w:overflowPunct/>
        <w:topLinePunct w:val="0"/>
        <w:autoSpaceDE/>
        <w:autoSpaceDN/>
        <w:bidi w:val="0"/>
        <w:snapToGrid w:val="0"/>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乙方：</w:t>
      </w:r>
      <w:r>
        <w:rPr>
          <w:rFonts w:hint="eastAsia" w:ascii="仿宋_GB2312" w:hAnsi="仿宋_GB2312" w:eastAsia="仿宋_GB2312" w:cs="仿宋_GB2312"/>
          <w:kern w:val="0"/>
          <w:sz w:val="32"/>
          <w:szCs w:val="32"/>
          <w:lang w:val="en-US" w:eastAsia="zh-CN"/>
        </w:rPr>
        <w:t>XXXX</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 xml:space="preserve"> 开户行：</w:t>
      </w:r>
      <w:r>
        <w:rPr>
          <w:rFonts w:hint="eastAsia" w:ascii="仿宋_GB2312" w:hAnsi="仿宋_GB2312" w:eastAsia="仿宋_GB2312" w:cs="仿宋_GB2312"/>
          <w:kern w:val="0"/>
          <w:sz w:val="32"/>
          <w:szCs w:val="32"/>
          <w:lang w:val="en-US" w:eastAsia="zh-CN"/>
        </w:rPr>
        <w:t>XXXX</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 xml:space="preserve"> 账户名称：</w:t>
      </w:r>
      <w:r>
        <w:rPr>
          <w:rFonts w:hint="eastAsia" w:ascii="仿宋_GB2312" w:hAnsi="仿宋_GB2312" w:eastAsia="仿宋_GB2312" w:cs="仿宋_GB2312"/>
          <w:kern w:val="0"/>
          <w:sz w:val="32"/>
          <w:szCs w:val="32"/>
          <w:lang w:val="en-US" w:eastAsia="zh-CN"/>
        </w:rPr>
        <w:t>XXXX</w:t>
      </w:r>
    </w:p>
    <w:p>
      <w:pPr>
        <w:keepNext w:val="0"/>
        <w:keepLines w:val="0"/>
        <w:pageBreakBefore w:val="0"/>
        <w:kinsoku/>
        <w:wordWrap/>
        <w:overflowPunct/>
        <w:topLinePunct w:val="0"/>
        <w:autoSpaceDE/>
        <w:autoSpaceDN/>
        <w:bidi w:val="0"/>
        <w:snapToGrid w:val="0"/>
        <w:spacing w:line="60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 xml:space="preserve"> 账号：</w:t>
      </w:r>
      <w:r>
        <w:rPr>
          <w:rFonts w:hint="eastAsia" w:ascii="仿宋_GB2312" w:hAnsi="仿宋_GB2312" w:eastAsia="仿宋_GB2312" w:cs="仿宋_GB2312"/>
          <w:kern w:val="0"/>
          <w:sz w:val="32"/>
          <w:szCs w:val="32"/>
          <w:lang w:val="en-US" w:eastAsia="zh-CN"/>
        </w:rPr>
        <w:t>XXXX</w:t>
      </w:r>
    </w:p>
    <w:p>
      <w:pPr>
        <w:keepNext w:val="0"/>
        <w:keepLines w:val="0"/>
        <w:pageBreakBefore w:val="0"/>
        <w:kinsoku/>
        <w:wordWrap/>
        <w:overflowPunct/>
        <w:topLinePunct w:val="0"/>
        <w:autoSpaceDE/>
        <w:autoSpaceDN/>
        <w:bidi w:val="0"/>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乙方如需改变上述账户，应提前10日以书面通知甲方。</w:t>
      </w:r>
    </w:p>
    <w:p>
      <w:pPr>
        <w:keepNext w:val="0"/>
        <w:keepLines w:val="0"/>
        <w:pageBreakBefore w:val="0"/>
        <w:numPr>
          <w:ilvl w:val="0"/>
          <w:numId w:val="6"/>
        </w:numPr>
        <w:kinsoku/>
        <w:wordWrap/>
        <w:overflowPunct/>
        <w:topLinePunct w:val="0"/>
        <w:autoSpaceDE/>
        <w:autoSpaceDN/>
        <w:bidi w:val="0"/>
        <w:snapToGrid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付款安排</w:t>
      </w:r>
    </w:p>
    <w:p>
      <w:pPr>
        <w:keepNext w:val="0"/>
        <w:keepLines w:val="0"/>
        <w:pageBreakBefore w:val="0"/>
        <w:widowControl/>
        <w:kinsoku/>
        <w:wordWrap/>
        <w:overflowPunct/>
        <w:topLinePunct w:val="0"/>
        <w:autoSpaceDE/>
        <w:autoSpaceDN/>
        <w:bidi w:val="0"/>
        <w:spacing w:before="60" w:after="60" w:line="600" w:lineRule="exact"/>
        <w:ind w:right="18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在双方签订合同期限内，食堂餐饮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rPr>
        <w:t>服务</w:t>
      </w:r>
      <w:r>
        <w:rPr>
          <w:rStyle w:val="84"/>
          <w:rFonts w:hint="eastAsia" w:ascii="仿宋_GB2312" w:hAnsi="仿宋_GB2312" w:eastAsia="仿宋_GB2312" w:cs="仿宋_GB2312"/>
          <w:sz w:val="32"/>
          <w:szCs w:val="32"/>
          <w:lang w:eastAsia="zh-CN"/>
        </w:rPr>
        <w:t>每月</w:t>
      </w:r>
      <w:r>
        <w:rPr>
          <w:rStyle w:val="84"/>
          <w:rFonts w:hint="eastAsia" w:ascii="仿宋_GB2312" w:hAnsi="仿宋_GB2312" w:eastAsia="仿宋_GB2312" w:cs="仿宋_GB2312"/>
          <w:sz w:val="32"/>
          <w:szCs w:val="32"/>
          <w:lang w:val="en-US" w:eastAsia="zh-CN"/>
        </w:rPr>
        <w:t>支付一次</w:t>
      </w:r>
      <w:r>
        <w:rPr>
          <w:rStyle w:val="84"/>
          <w:rFonts w:hint="eastAsia" w:ascii="仿宋_GB2312" w:hAnsi="仿宋_GB2312" w:eastAsia="仿宋_GB2312" w:cs="仿宋_GB2312"/>
          <w:sz w:val="32"/>
          <w:szCs w:val="32"/>
        </w:rPr>
        <w:t>，</w:t>
      </w:r>
      <w:r>
        <w:rPr>
          <w:rStyle w:val="84"/>
          <w:rFonts w:hint="eastAsia" w:ascii="仿宋_GB2312" w:hAnsi="仿宋_GB2312" w:eastAsia="仿宋_GB2312" w:cs="仿宋_GB2312"/>
          <w:sz w:val="32"/>
          <w:szCs w:val="32"/>
          <w:lang w:val="en-US" w:eastAsia="zh-CN"/>
        </w:rPr>
        <w:t>甲乙双方在签订合同后甲方每月向乙方支付上月费</w:t>
      </w:r>
      <w:r>
        <w:rPr>
          <w:rStyle w:val="84"/>
          <w:rFonts w:hint="eastAsia" w:ascii="仿宋_GB2312" w:hAnsi="仿宋_GB2312" w:eastAsia="仿宋_GB2312" w:cs="仿宋_GB2312"/>
          <w:color w:val="auto"/>
          <w:sz w:val="32"/>
          <w:szCs w:val="32"/>
          <w:lang w:val="en-US" w:eastAsia="zh-CN"/>
        </w:rPr>
        <w:t>用XXXX元/月大写（XXXX），</w:t>
      </w:r>
      <w:r>
        <w:rPr>
          <w:rFonts w:hint="eastAsia" w:ascii="仿宋_GB2312" w:hAnsi="仿宋_GB2312" w:eastAsia="仿宋_GB2312" w:cs="仿宋_GB2312"/>
          <w:kern w:val="0"/>
          <w:sz w:val="32"/>
          <w:szCs w:val="32"/>
        </w:rPr>
        <w:t>乙方应在每月第3个工作日前，按合同约定总费用向甲方开具普通增值税</w:t>
      </w:r>
      <w:r>
        <w:rPr>
          <w:rFonts w:hint="eastAsia" w:ascii="仿宋_GB2312" w:hAnsi="仿宋_GB2312" w:eastAsia="仿宋_GB2312" w:cs="仿宋_GB2312"/>
          <w:kern w:val="0"/>
          <w:sz w:val="32"/>
          <w:szCs w:val="32"/>
          <w:lang w:val="en-US" w:eastAsia="zh-CN"/>
        </w:rPr>
        <w:t>普通</w:t>
      </w:r>
      <w:r>
        <w:rPr>
          <w:rFonts w:hint="eastAsia" w:ascii="仿宋_GB2312" w:hAnsi="仿宋_GB2312" w:eastAsia="仿宋_GB2312" w:cs="仿宋_GB2312"/>
          <w:kern w:val="0"/>
          <w:sz w:val="32"/>
          <w:szCs w:val="32"/>
        </w:rPr>
        <w:t>发票，甲方收到发票</w:t>
      </w:r>
      <w:r>
        <w:rPr>
          <w:rFonts w:hint="eastAsia" w:ascii="仿宋_GB2312" w:hAnsi="仿宋_GB2312" w:eastAsia="仿宋_GB2312" w:cs="仿宋_GB2312"/>
          <w:kern w:val="0"/>
          <w:sz w:val="32"/>
          <w:szCs w:val="32"/>
          <w:lang w:val="en-US" w:eastAsia="zh-CN"/>
        </w:rPr>
        <w:t>15</w:t>
      </w:r>
      <w:r>
        <w:rPr>
          <w:rFonts w:hint="eastAsia" w:ascii="仿宋_GB2312" w:hAnsi="仿宋_GB2312" w:eastAsia="仿宋_GB2312" w:cs="仿宋_GB2312"/>
          <w:kern w:val="0"/>
          <w:sz w:val="32"/>
          <w:szCs w:val="32"/>
        </w:rPr>
        <w:t>个工作日内，按照发票金额向乙方支付费用</w:t>
      </w:r>
      <w:r>
        <w:rPr>
          <w:rFonts w:hint="eastAsia" w:ascii="仿宋_GB2312" w:hAnsi="仿宋_GB2312" w:eastAsia="仿宋_GB2312" w:cs="仿宋_GB2312"/>
          <w:color w:val="000000"/>
          <w:kern w:val="0"/>
          <w:sz w:val="32"/>
          <w:szCs w:val="32"/>
        </w:rPr>
        <w:t>。</w:t>
      </w:r>
    </w:p>
    <w:p>
      <w:pPr>
        <w:keepNext w:val="0"/>
        <w:keepLines w:val="0"/>
        <w:pageBreakBefore w:val="0"/>
        <w:kinsoku/>
        <w:wordWrap/>
        <w:overflowPunct/>
        <w:topLinePunct w:val="0"/>
        <w:autoSpaceDE/>
        <w:autoSpaceDN/>
        <w:bidi w:val="0"/>
        <w:snapToGrid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4.增值税发票的相关约定</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（1）乙方应向甲方开具增值税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 xml:space="preserve">发票，甲方开票信息如下： </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公司名称：</w:t>
      </w:r>
      <w:r>
        <w:rPr>
          <w:rFonts w:hint="eastAsia" w:ascii="仿宋_GB2312" w:hAnsi="仿宋_GB2312" w:eastAsia="仿宋_GB2312" w:cs="仿宋_GB2312"/>
          <w:sz w:val="32"/>
          <w:szCs w:val="32"/>
          <w:u w:val="none"/>
        </w:rPr>
        <w:t xml:space="preserve"> 中国人民财产保险股份有限公司乐山市分公司</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纳税识别号： </w:t>
      </w:r>
      <w:r>
        <w:rPr>
          <w:rFonts w:hint="eastAsia" w:ascii="仿宋_GB2312" w:hAnsi="仿宋_GB2312" w:eastAsia="仿宋_GB2312" w:cs="仿宋_GB2312"/>
          <w:sz w:val="32"/>
          <w:szCs w:val="32"/>
          <w:u w:val="none"/>
        </w:rPr>
        <w:t>91511100906985678H</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银行账号： </w:t>
      </w:r>
      <w:r>
        <w:rPr>
          <w:rFonts w:hint="eastAsia" w:ascii="仿宋_GB2312" w:hAnsi="仿宋_GB2312" w:eastAsia="仿宋_GB2312" w:cs="仿宋_GB2312"/>
          <w:sz w:val="32"/>
          <w:szCs w:val="32"/>
          <w:u w:val="none"/>
        </w:rPr>
        <w:t>22364901040004185</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rPr>
        <w:t xml:space="preserve">开户银行： </w:t>
      </w:r>
      <w:r>
        <w:rPr>
          <w:rFonts w:hint="eastAsia" w:ascii="仿宋_GB2312" w:hAnsi="仿宋_GB2312" w:eastAsia="仿宋_GB2312" w:cs="仿宋_GB2312"/>
          <w:sz w:val="32"/>
          <w:szCs w:val="32"/>
          <w:u w:val="none"/>
        </w:rPr>
        <w:t>中国农业银行四川省乐山市分行直属支行</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开票地址：</w:t>
      </w:r>
      <w:r>
        <w:rPr>
          <w:rFonts w:hint="eastAsia" w:ascii="仿宋_GB2312" w:hAnsi="仿宋_GB2312" w:eastAsia="仿宋_GB2312" w:cs="仿宋_GB2312"/>
          <w:sz w:val="32"/>
          <w:szCs w:val="32"/>
          <w:u w:val="none"/>
        </w:rPr>
        <w:t>四川省乐山市市中区三苏路1431号2楼、1431号3楼、1435号</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u w:val="none"/>
        </w:rPr>
        <w:t>1437号、1439号</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开票电话： </w:t>
      </w:r>
      <w:r>
        <w:rPr>
          <w:rFonts w:hint="eastAsia" w:ascii="仿宋_GB2312" w:hAnsi="仿宋_GB2312" w:eastAsia="仿宋_GB2312" w:cs="仿宋_GB2312"/>
          <w:sz w:val="32"/>
          <w:szCs w:val="32"/>
          <w:u w:val="none"/>
        </w:rPr>
        <w:t>0833-6210975</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（2）乙方同时向甲方公司及其分支机构提供产品及服</w:t>
      </w: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rPr>
        <w:t>务的，双方应在合同中约定甲方的分支机构和对应的价款。乙方应分别对清单中的费用承担方开具相应金额的增值税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（3）乙方应在每次增值税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发票开具后的30个自然日内向甲方提交相应增值税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发票，否则甲方有权拒收发票。经多次分批的增值税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发票的开具、提交以及双方收付款，乙方开具并提交甲方的增值税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 xml:space="preserve">发票的价税合计金额应与甲方已经支付的价税合计款项保持一致； </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（4）乙方必须严格遵照相关税收法规和文件，开具合法的增值税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发票。因乙方开具的增值税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发票不符合税收法规与税务机关相关规定而给甲方造成经济损失的，乙方负责赔偿。即乙方如不能提供增值税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发票，则采购对应的进项税额由乙方承担；如提供的票面税率与承诺不一致，则差额由乙方承担；</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（5）乙方开具的增值税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（6）为保证取得的发票可以及时并成功获得抵扣，乙方开具的增值税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发票送达并经甲方签收后，若发生丢失，乙方应积极协助甲方，按照相关税收法规和文件的规定提供相应资料，并确保甲方顺利获得抵扣；</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(8)费用明细</w:t>
      </w:r>
    </w:p>
    <w:tbl>
      <w:tblPr>
        <w:tblStyle w:val="29"/>
        <w:tblW w:w="8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76"/>
        <w:gridCol w:w="2103"/>
        <w:gridCol w:w="24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4" w:hRule="atLeast"/>
        </w:trPr>
        <w:tc>
          <w:tcPr>
            <w:tcW w:w="8960" w:type="dxa"/>
            <w:gridSpan w:val="3"/>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b/>
                <w:bCs/>
                <w:i w:val="0"/>
                <w:iCs w:val="0"/>
                <w:color w:val="000000"/>
                <w:sz w:val="32"/>
                <w:szCs w:val="32"/>
                <w:u w:val="none"/>
              </w:rPr>
            </w:pPr>
            <w:r>
              <w:rPr>
                <w:rFonts w:hint="eastAsia" w:ascii="仿宋_GB2312" w:hAnsi="仿宋_GB2312" w:eastAsia="仿宋_GB2312" w:cs="仿宋_GB2312"/>
                <w:b/>
                <w:bCs/>
                <w:i w:val="0"/>
                <w:iCs w:val="0"/>
                <w:color w:val="000000"/>
                <w:kern w:val="0"/>
                <w:sz w:val="32"/>
                <w:szCs w:val="32"/>
                <w:u w:val="none"/>
                <w:lang w:val="en-US" w:eastAsia="zh-CN" w:bidi="ar"/>
              </w:rPr>
              <w:t>中国人民财产保险股份有限公司乐山市分公司</w:t>
            </w:r>
            <w:r>
              <w:rPr>
                <w:rFonts w:hint="eastAsia" w:ascii="仿宋_GB2312" w:hAnsi="仿宋_GB2312" w:eastAsia="仿宋_GB2312" w:cs="仿宋_GB2312"/>
                <w:b/>
                <w:bCs/>
                <w:i w:val="0"/>
                <w:iCs w:val="0"/>
                <w:color w:val="000000"/>
                <w:kern w:val="0"/>
                <w:sz w:val="32"/>
                <w:szCs w:val="32"/>
                <w:u w:val="none"/>
                <w:lang w:val="en-US" w:eastAsia="zh-CN" w:bidi="ar"/>
              </w:rPr>
              <w:br w:type="textWrapping"/>
            </w:r>
            <w:r>
              <w:rPr>
                <w:rFonts w:hint="eastAsia" w:ascii="仿宋_GB2312" w:hAnsi="仿宋_GB2312" w:eastAsia="仿宋_GB2312" w:cs="仿宋_GB2312"/>
                <w:b/>
                <w:bCs/>
                <w:i w:val="0"/>
                <w:iCs w:val="0"/>
                <w:color w:val="000000"/>
                <w:kern w:val="0"/>
                <w:sz w:val="32"/>
                <w:szCs w:val="32"/>
                <w:u w:val="none"/>
                <w:lang w:val="en-US" w:eastAsia="zh-CN" w:bidi="ar"/>
              </w:rPr>
              <w:t>区县支公司食堂餐饮管理服务费用明细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0" w:type="auto"/>
            <w:tcBorders>
              <w:top w:val="nil"/>
              <w:left w:val="single" w:color="000000" w:sz="4" w:space="0"/>
              <w:bottom w:val="nil"/>
              <w:right w:val="nil"/>
            </w:tcBorders>
            <w:noWrap/>
            <w:vAlign w:val="center"/>
          </w:tcPr>
          <w:p>
            <w:pPr>
              <w:keepNext w:val="0"/>
              <w:keepLines w:val="0"/>
              <w:pageBreakBefore w:val="0"/>
              <w:kinsoku/>
              <w:wordWrap/>
              <w:overflowPunct/>
              <w:topLinePunct w:val="0"/>
              <w:autoSpaceDE/>
              <w:autoSpaceDN/>
              <w:bidi w:val="0"/>
              <w:spacing w:line="600" w:lineRule="exact"/>
              <w:jc w:val="left"/>
              <w:rPr>
                <w:rFonts w:hint="eastAsia" w:ascii="仿宋_GB2312" w:hAnsi="仿宋_GB2312" w:eastAsia="仿宋_GB2312" w:cs="仿宋_GB2312"/>
                <w:i w:val="0"/>
                <w:iCs w:val="0"/>
                <w:color w:val="000000"/>
                <w:sz w:val="32"/>
                <w:szCs w:val="32"/>
                <w:u w:val="none"/>
              </w:rPr>
            </w:pPr>
          </w:p>
        </w:tc>
        <w:tc>
          <w:tcPr>
            <w:tcW w:w="0" w:type="auto"/>
            <w:tcBorders>
              <w:top w:val="nil"/>
              <w:left w:val="nil"/>
              <w:bottom w:val="nil"/>
              <w:right w:val="nil"/>
            </w:tcBorders>
            <w:noWrap/>
            <w:vAlign w:val="center"/>
          </w:tcPr>
          <w:p>
            <w:pPr>
              <w:keepNext w:val="0"/>
              <w:keepLines w:val="0"/>
              <w:pageBreakBefore w:val="0"/>
              <w:kinsoku/>
              <w:wordWrap/>
              <w:overflowPunct/>
              <w:topLinePunct w:val="0"/>
              <w:autoSpaceDE/>
              <w:autoSpaceDN/>
              <w:bidi w:val="0"/>
              <w:spacing w:line="600" w:lineRule="exact"/>
              <w:jc w:val="center"/>
              <w:rPr>
                <w:rFonts w:hint="eastAsia" w:ascii="仿宋_GB2312" w:hAnsi="仿宋_GB2312" w:eastAsia="仿宋_GB2312" w:cs="仿宋_GB2312"/>
                <w:i w:val="0"/>
                <w:iCs w:val="0"/>
                <w:color w:val="000000"/>
                <w:sz w:val="32"/>
                <w:szCs w:val="32"/>
                <w:u w:val="none"/>
              </w:rPr>
            </w:pPr>
          </w:p>
        </w:tc>
        <w:tc>
          <w:tcPr>
            <w:tcW w:w="0" w:type="auto"/>
            <w:tcBorders>
              <w:top w:val="nil"/>
              <w:left w:val="nil"/>
              <w:bottom w:val="nil"/>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 xml:space="preserve">  单位:元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43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区县名称</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每月金额</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合计金额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43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沙湾支公司</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_GB2312" w:hAnsi="仿宋_GB2312" w:eastAsia="仿宋_GB2312" w:cs="仿宋_GB2312"/>
                <w:i w:val="0"/>
                <w:iCs w:val="0"/>
                <w:color w:val="000000"/>
                <w:sz w:val="32"/>
                <w:szCs w:val="32"/>
                <w:u w:val="none"/>
                <w:lang w:val="en-US"/>
              </w:rPr>
            </w:pPr>
            <w:r>
              <w:rPr>
                <w:rFonts w:hint="eastAsia" w:ascii="仿宋_GB2312" w:hAnsi="仿宋_GB2312" w:eastAsia="仿宋_GB2312" w:cs="仿宋_GB2312"/>
                <w:i w:val="0"/>
                <w:iCs w:val="0"/>
                <w:color w:val="000000"/>
                <w:kern w:val="0"/>
                <w:sz w:val="32"/>
                <w:szCs w:val="32"/>
                <w:u w:val="none"/>
                <w:lang w:val="en-US" w:eastAsia="zh-CN" w:bidi="ar"/>
              </w:rPr>
              <w:t>XXXX</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_GB2312" w:hAnsi="仿宋_GB2312" w:eastAsia="仿宋_GB2312" w:cs="仿宋_GB2312"/>
                <w:i w:val="0"/>
                <w:iCs w:val="0"/>
                <w:color w:val="000000"/>
                <w:sz w:val="32"/>
                <w:szCs w:val="32"/>
                <w:u w:val="none"/>
                <w:lang w:val="en-US"/>
              </w:rPr>
            </w:pPr>
            <w:r>
              <w:rPr>
                <w:rFonts w:hint="eastAsia" w:ascii="仿宋_GB2312" w:hAnsi="仿宋_GB2312" w:eastAsia="仿宋_GB2312" w:cs="仿宋_GB2312"/>
                <w:i w:val="0"/>
                <w:iCs w:val="0"/>
                <w:color w:val="000000"/>
                <w:kern w:val="0"/>
                <w:sz w:val="32"/>
                <w:szCs w:val="32"/>
                <w:u w:val="none"/>
                <w:lang w:val="en-US" w:eastAsia="zh-CN" w:bidi="ar"/>
              </w:rPr>
              <w:t>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43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马边营销服务部</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_GB2312" w:hAnsi="仿宋_GB2312" w:eastAsia="仿宋_GB2312" w:cs="仿宋_GB2312"/>
                <w:i w:val="0"/>
                <w:iCs w:val="0"/>
                <w:color w:val="000000"/>
                <w:sz w:val="32"/>
                <w:szCs w:val="32"/>
                <w:u w:val="none"/>
                <w:lang w:val="en-US"/>
              </w:rPr>
            </w:pPr>
            <w:r>
              <w:rPr>
                <w:rFonts w:hint="eastAsia" w:ascii="仿宋_GB2312" w:hAnsi="仿宋_GB2312" w:eastAsia="仿宋_GB2312" w:cs="仿宋_GB2312"/>
                <w:i w:val="0"/>
                <w:iCs w:val="0"/>
                <w:color w:val="000000"/>
                <w:kern w:val="0"/>
                <w:sz w:val="32"/>
                <w:szCs w:val="32"/>
                <w:u w:val="none"/>
                <w:lang w:val="en-US" w:eastAsia="zh-CN" w:bidi="ar"/>
              </w:rPr>
              <w:t>XXXX</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spacing w:line="600" w:lineRule="exact"/>
              <w:jc w:val="center"/>
              <w:rPr>
                <w:rFonts w:hint="eastAsia" w:ascii="仿宋_GB2312" w:hAnsi="仿宋_GB2312" w:eastAsia="仿宋_GB2312" w:cs="仿宋_GB2312"/>
                <w:i w:val="0"/>
                <w:iCs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43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沐川支公司</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_GB2312" w:hAnsi="仿宋_GB2312" w:eastAsia="仿宋_GB2312" w:cs="仿宋_GB2312"/>
                <w:i w:val="0"/>
                <w:iCs w:val="0"/>
                <w:color w:val="000000"/>
                <w:sz w:val="32"/>
                <w:szCs w:val="32"/>
                <w:u w:val="none"/>
                <w:lang w:val="en-US"/>
              </w:rPr>
            </w:pPr>
            <w:r>
              <w:rPr>
                <w:rFonts w:hint="eastAsia" w:ascii="仿宋_GB2312" w:hAnsi="仿宋_GB2312" w:eastAsia="仿宋_GB2312" w:cs="仿宋_GB2312"/>
                <w:i w:val="0"/>
                <w:iCs w:val="0"/>
                <w:color w:val="000000"/>
                <w:kern w:val="0"/>
                <w:sz w:val="32"/>
                <w:szCs w:val="32"/>
                <w:u w:val="none"/>
                <w:lang w:val="en-US" w:eastAsia="zh-CN" w:bidi="ar"/>
              </w:rPr>
              <w:t>XXXX</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spacing w:line="600" w:lineRule="exact"/>
              <w:jc w:val="center"/>
              <w:rPr>
                <w:rFonts w:hint="eastAsia" w:ascii="仿宋_GB2312" w:hAnsi="仿宋_GB2312" w:eastAsia="仿宋_GB2312" w:cs="仿宋_GB2312"/>
                <w:i w:val="0"/>
                <w:iCs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43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峨眉山支公司</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_GB2312" w:hAnsi="仿宋_GB2312" w:eastAsia="仿宋_GB2312" w:cs="仿宋_GB2312"/>
                <w:i w:val="0"/>
                <w:iCs w:val="0"/>
                <w:color w:val="000000"/>
                <w:sz w:val="32"/>
                <w:szCs w:val="32"/>
                <w:u w:val="none"/>
                <w:lang w:val="en-US"/>
              </w:rPr>
            </w:pPr>
            <w:r>
              <w:rPr>
                <w:rFonts w:hint="eastAsia" w:ascii="仿宋_GB2312" w:hAnsi="仿宋_GB2312" w:eastAsia="仿宋_GB2312" w:cs="仿宋_GB2312"/>
                <w:i w:val="0"/>
                <w:iCs w:val="0"/>
                <w:color w:val="000000"/>
                <w:kern w:val="0"/>
                <w:sz w:val="32"/>
                <w:szCs w:val="32"/>
                <w:u w:val="none"/>
                <w:lang w:val="en-US" w:eastAsia="zh-CN" w:bidi="ar"/>
              </w:rPr>
              <w:t>XXXX</w:t>
            </w: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spacing w:line="600" w:lineRule="exact"/>
              <w:jc w:val="center"/>
              <w:rPr>
                <w:rFonts w:hint="eastAsia" w:ascii="仿宋_GB2312" w:hAnsi="仿宋_GB2312" w:eastAsia="仿宋_GB2312" w:cs="仿宋_GB2312"/>
                <w:i w:val="0"/>
                <w:iCs w:val="0"/>
                <w:color w:val="000000"/>
                <w:sz w:val="32"/>
                <w:szCs w:val="32"/>
                <w:u w:val="none"/>
              </w:rPr>
            </w:pPr>
          </w:p>
        </w:tc>
      </w:tr>
    </w:tbl>
    <w:p>
      <w:pPr>
        <w:keepNext w:val="0"/>
        <w:keepLines w:val="0"/>
        <w:pageBreakBefore w:val="0"/>
        <w:kinsoku/>
        <w:wordWrap/>
        <w:overflowPunct/>
        <w:topLinePunct w:val="0"/>
        <w:autoSpaceDE/>
        <w:autoSpaceDN/>
        <w:bidi w:val="0"/>
        <w:snapToGrid w:val="0"/>
        <w:spacing w:line="600" w:lineRule="exact"/>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E/>
        <w:autoSpaceDN/>
        <w:bidi w:val="0"/>
        <w:snapToGrid w:val="0"/>
        <w:spacing w:line="600" w:lineRule="exact"/>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附件三</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b/>
          <w:sz w:val="32"/>
          <w:szCs w:val="32"/>
        </w:rPr>
        <w:t>双方的权利和义务</w:t>
      </w:r>
    </w:p>
    <w:p>
      <w:pPr>
        <w:keepNext w:val="0"/>
        <w:keepLines w:val="0"/>
        <w:pageBreakBefore w:val="0"/>
        <w:widowControl/>
        <w:kinsoku/>
        <w:wordWrap/>
        <w:overflowPunct/>
        <w:topLinePunct w:val="0"/>
        <w:autoSpaceDE/>
        <w:autoSpaceDN/>
        <w:bidi w:val="0"/>
        <w:spacing w:before="60" w:after="60" w:line="600" w:lineRule="exact"/>
        <w:ind w:left="420" w:right="18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甲方权利及义务</w:t>
      </w:r>
    </w:p>
    <w:p>
      <w:pPr>
        <w:keepNext w:val="0"/>
        <w:keepLines w:val="0"/>
        <w:pageBreakBefore w:val="0"/>
        <w:widowControl/>
        <w:numPr>
          <w:ilvl w:val="0"/>
          <w:numId w:val="7"/>
        </w:numPr>
        <w:kinsoku/>
        <w:wordWrap/>
        <w:overflowPunct/>
        <w:topLinePunct w:val="0"/>
        <w:autoSpaceDE/>
        <w:autoSpaceDN/>
        <w:bidi w:val="0"/>
        <w:spacing w:before="60" w:after="60" w:line="600" w:lineRule="exact"/>
        <w:ind w:left="63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甲方按承包合同约定监督乙方依法合规开展服务经营活动、做好指导、协调和监督工作。</w:t>
      </w:r>
    </w:p>
    <w:p>
      <w:pPr>
        <w:keepNext w:val="0"/>
        <w:keepLines w:val="0"/>
        <w:pageBreakBefore w:val="0"/>
        <w:widowControl/>
        <w:numPr>
          <w:ilvl w:val="0"/>
          <w:numId w:val="7"/>
        </w:numPr>
        <w:kinsoku/>
        <w:wordWrap/>
        <w:overflowPunct/>
        <w:topLinePunct w:val="0"/>
        <w:autoSpaceDE/>
        <w:autoSpaceDN/>
        <w:bidi w:val="0"/>
        <w:spacing w:before="60" w:after="60" w:line="600" w:lineRule="exact"/>
        <w:ind w:left="63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甲方对乙方的工作内容进行监督管理，并有权要求乙方对不合规和不合要求的情况及时整改。</w:t>
      </w:r>
    </w:p>
    <w:p>
      <w:pPr>
        <w:keepNext w:val="0"/>
        <w:keepLines w:val="0"/>
        <w:pageBreakBefore w:val="0"/>
        <w:widowControl/>
        <w:numPr>
          <w:ilvl w:val="0"/>
          <w:numId w:val="7"/>
        </w:numPr>
        <w:kinsoku/>
        <w:wordWrap/>
        <w:overflowPunct/>
        <w:topLinePunct w:val="0"/>
        <w:autoSpaceDE/>
        <w:autoSpaceDN/>
        <w:bidi w:val="0"/>
        <w:spacing w:before="60" w:after="60" w:line="600" w:lineRule="exact"/>
        <w:ind w:left="63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color w:val="000000"/>
          <w:sz w:val="32"/>
          <w:szCs w:val="32"/>
        </w:rPr>
        <w:t>乙方</w:t>
      </w:r>
      <w:r>
        <w:rPr>
          <w:rFonts w:hint="eastAsia" w:ascii="仿宋_GB2312" w:hAnsi="仿宋_GB2312" w:eastAsia="仿宋_GB2312" w:cs="仿宋_GB2312"/>
          <w:color w:val="000000"/>
          <w:sz w:val="32"/>
          <w:szCs w:val="32"/>
          <w:lang w:eastAsia="zh-CN"/>
        </w:rPr>
        <w:t>餐饮</w:t>
      </w:r>
      <w:r>
        <w:rPr>
          <w:rFonts w:hint="eastAsia" w:ascii="仿宋_GB2312" w:hAnsi="仿宋_GB2312" w:eastAsia="仿宋_GB2312" w:cs="仿宋_GB2312"/>
          <w:color w:val="000000"/>
          <w:sz w:val="32"/>
          <w:szCs w:val="32"/>
          <w:lang w:val="en-US" w:eastAsia="zh-CN"/>
        </w:rPr>
        <w:t>管理</w:t>
      </w:r>
      <w:r>
        <w:rPr>
          <w:rFonts w:hint="eastAsia" w:ascii="仿宋_GB2312" w:hAnsi="仿宋_GB2312" w:eastAsia="仿宋_GB2312" w:cs="仿宋_GB2312"/>
          <w:color w:val="000000"/>
          <w:sz w:val="32"/>
          <w:szCs w:val="32"/>
          <w:lang w:eastAsia="zh-CN"/>
        </w:rPr>
        <w:t>服务</w:t>
      </w:r>
      <w:r>
        <w:rPr>
          <w:rFonts w:hint="eastAsia" w:ascii="仿宋_GB2312" w:hAnsi="仿宋_GB2312" w:eastAsia="仿宋_GB2312" w:cs="仿宋_GB2312"/>
          <w:kern w:val="0"/>
          <w:sz w:val="32"/>
          <w:szCs w:val="32"/>
        </w:rPr>
        <w:t>人员有以下情形之一的，甲方有权要求乙方更换</w:t>
      </w:r>
      <w:r>
        <w:rPr>
          <w:rFonts w:hint="eastAsia" w:ascii="仿宋_GB2312" w:hAnsi="仿宋_GB2312" w:eastAsia="仿宋_GB2312" w:cs="仿宋_GB2312"/>
          <w:kern w:val="0"/>
          <w:sz w:val="32"/>
          <w:szCs w:val="32"/>
          <w:lang w:eastAsia="zh-CN"/>
        </w:rPr>
        <w:t>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lang w:eastAsia="zh-CN"/>
        </w:rPr>
        <w:t>服务</w:t>
      </w:r>
      <w:r>
        <w:rPr>
          <w:rFonts w:hint="eastAsia" w:ascii="仿宋_GB2312" w:hAnsi="仿宋_GB2312" w:eastAsia="仿宋_GB2312" w:cs="仿宋_GB2312"/>
          <w:kern w:val="0"/>
          <w:sz w:val="32"/>
          <w:szCs w:val="32"/>
        </w:rPr>
        <w:t>人员（但应提前15个工作日书面通知乙方），并要求乙方在甲方指定时间内重新派遣符合条件的</w:t>
      </w:r>
      <w:r>
        <w:rPr>
          <w:rFonts w:hint="eastAsia" w:ascii="仿宋_GB2312" w:hAnsi="仿宋_GB2312" w:eastAsia="仿宋_GB2312" w:cs="仿宋_GB2312"/>
          <w:kern w:val="0"/>
          <w:sz w:val="32"/>
          <w:szCs w:val="32"/>
          <w:lang w:eastAsia="zh-CN"/>
        </w:rPr>
        <w:t>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lang w:eastAsia="zh-CN"/>
        </w:rPr>
        <w:t>服务</w:t>
      </w:r>
      <w:r>
        <w:rPr>
          <w:rFonts w:hint="eastAsia" w:ascii="仿宋_GB2312" w:hAnsi="仿宋_GB2312" w:eastAsia="仿宋_GB2312" w:cs="仿宋_GB2312"/>
          <w:kern w:val="0"/>
          <w:sz w:val="32"/>
          <w:szCs w:val="32"/>
        </w:rPr>
        <w:t>人员：</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1.不能胜任甲方工作要求的。</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2.不服从甲方工作安排，说服无效的。</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3.严重违反甲方劳动纪律、规章制度和工作定额任务管理的。</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4.工作严重失误，给甲方造成较大经济损失的。</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5.派遣期未满，被派遣</w:t>
      </w:r>
      <w:r>
        <w:rPr>
          <w:rFonts w:hint="eastAsia" w:ascii="仿宋_GB2312" w:hAnsi="仿宋_GB2312" w:eastAsia="仿宋_GB2312" w:cs="仿宋_GB2312"/>
          <w:color w:val="000000"/>
          <w:sz w:val="32"/>
          <w:szCs w:val="32"/>
          <w:lang w:eastAsia="zh-CN"/>
        </w:rPr>
        <w:t>餐饮</w:t>
      </w:r>
      <w:r>
        <w:rPr>
          <w:rFonts w:hint="eastAsia" w:ascii="仿宋_GB2312" w:hAnsi="仿宋_GB2312" w:eastAsia="仿宋_GB2312" w:cs="仿宋_GB2312"/>
          <w:color w:val="000000"/>
          <w:sz w:val="32"/>
          <w:szCs w:val="32"/>
          <w:lang w:val="en-US" w:eastAsia="zh-CN"/>
        </w:rPr>
        <w:t>管理</w:t>
      </w:r>
      <w:r>
        <w:rPr>
          <w:rFonts w:hint="eastAsia" w:ascii="仿宋_GB2312" w:hAnsi="仿宋_GB2312" w:eastAsia="仿宋_GB2312" w:cs="仿宋_GB2312"/>
          <w:color w:val="000000"/>
          <w:sz w:val="32"/>
          <w:szCs w:val="32"/>
          <w:lang w:eastAsia="zh-CN"/>
        </w:rPr>
        <w:t>服务</w:t>
      </w:r>
      <w:r>
        <w:rPr>
          <w:rFonts w:hint="eastAsia" w:ascii="仿宋_GB2312" w:hAnsi="仿宋_GB2312" w:eastAsia="仿宋_GB2312" w:cs="仿宋_GB2312"/>
          <w:color w:val="000000"/>
          <w:sz w:val="32"/>
          <w:szCs w:val="32"/>
        </w:rPr>
        <w:t>人员提出停止派遣或擅自离岗。</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6.派遣人员不符合甲方要求的派遣条件。</w:t>
      </w:r>
    </w:p>
    <w:p>
      <w:pPr>
        <w:keepNext w:val="0"/>
        <w:keepLines w:val="0"/>
        <w:pageBreakBefore w:val="0"/>
        <w:kinsoku/>
        <w:wordWrap/>
        <w:overflowPunct/>
        <w:topLinePunct w:val="0"/>
        <w:autoSpaceDE/>
        <w:autoSpaceDN/>
        <w:bidi w:val="0"/>
        <w:adjustRightInd w:val="0"/>
        <w:snapToGrid w:val="0"/>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7.被派遣人员被劳动教养或依法被追究刑事责任的。</w:t>
      </w:r>
    </w:p>
    <w:p>
      <w:pPr>
        <w:keepNext w:val="0"/>
        <w:keepLines w:val="0"/>
        <w:pageBreakBefore w:val="0"/>
        <w:widowControl/>
        <w:numPr>
          <w:ilvl w:val="0"/>
          <w:numId w:val="7"/>
        </w:numPr>
        <w:kinsoku/>
        <w:wordWrap/>
        <w:overflowPunct/>
        <w:topLinePunct w:val="0"/>
        <w:autoSpaceDE/>
        <w:autoSpaceDN/>
        <w:bidi w:val="0"/>
        <w:spacing w:before="60" w:after="60" w:line="600" w:lineRule="exact"/>
        <w:ind w:left="63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lang w:eastAsia="zh-CN"/>
        </w:rPr>
        <w:t>服务</w:t>
      </w:r>
      <w:r>
        <w:rPr>
          <w:rFonts w:hint="eastAsia" w:ascii="仿宋_GB2312" w:hAnsi="仿宋_GB2312" w:eastAsia="仿宋_GB2312" w:cs="仿宋_GB2312"/>
          <w:kern w:val="0"/>
          <w:sz w:val="32"/>
          <w:szCs w:val="32"/>
        </w:rPr>
        <w:t>人员在工作过程中发生受伤事故后，甲方应立即通知乙方，并负责做好医疗救护和现场处理工作，受伤人员符合办理工伤条件的,甲方应协助乙方按《工伤保险条例》的规定办理有关事项。</w:t>
      </w:r>
    </w:p>
    <w:p>
      <w:pPr>
        <w:keepNext w:val="0"/>
        <w:keepLines w:val="0"/>
        <w:pageBreakBefore w:val="0"/>
        <w:widowControl/>
        <w:numPr>
          <w:ilvl w:val="0"/>
          <w:numId w:val="7"/>
        </w:numPr>
        <w:kinsoku/>
        <w:wordWrap/>
        <w:overflowPunct/>
        <w:topLinePunct w:val="0"/>
        <w:autoSpaceDE/>
        <w:autoSpaceDN/>
        <w:bidi w:val="0"/>
        <w:spacing w:before="60" w:after="60" w:line="600" w:lineRule="exact"/>
        <w:ind w:left="63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负责对</w:t>
      </w:r>
      <w:r>
        <w:rPr>
          <w:rFonts w:hint="eastAsia" w:ascii="仿宋_GB2312" w:hAnsi="仿宋_GB2312" w:eastAsia="仿宋_GB2312" w:cs="仿宋_GB2312"/>
          <w:kern w:val="0"/>
          <w:sz w:val="32"/>
          <w:szCs w:val="32"/>
          <w:lang w:eastAsia="zh-CN"/>
        </w:rPr>
        <w:t>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lang w:eastAsia="zh-CN"/>
        </w:rPr>
        <w:t>服务</w:t>
      </w:r>
      <w:r>
        <w:rPr>
          <w:rFonts w:hint="eastAsia" w:ascii="仿宋_GB2312" w:hAnsi="仿宋_GB2312" w:eastAsia="仿宋_GB2312" w:cs="仿宋_GB2312"/>
          <w:kern w:val="0"/>
          <w:sz w:val="32"/>
          <w:szCs w:val="32"/>
        </w:rPr>
        <w:t>人员进行安全教育和管理，采取有效的安全保护措施，保证</w:t>
      </w:r>
      <w:r>
        <w:rPr>
          <w:rFonts w:hint="eastAsia" w:ascii="仿宋_GB2312" w:hAnsi="仿宋_GB2312" w:eastAsia="仿宋_GB2312" w:cs="仿宋_GB2312"/>
          <w:kern w:val="0"/>
          <w:sz w:val="32"/>
          <w:szCs w:val="32"/>
          <w:lang w:eastAsia="zh-CN"/>
        </w:rPr>
        <w:t>餐饮服务</w:t>
      </w:r>
      <w:r>
        <w:rPr>
          <w:rFonts w:hint="eastAsia" w:ascii="仿宋_GB2312" w:hAnsi="仿宋_GB2312" w:eastAsia="仿宋_GB2312" w:cs="仿宋_GB2312"/>
          <w:kern w:val="0"/>
          <w:sz w:val="32"/>
          <w:szCs w:val="32"/>
        </w:rPr>
        <w:t>人员的作业安全。</w:t>
      </w:r>
    </w:p>
    <w:p>
      <w:pPr>
        <w:keepNext w:val="0"/>
        <w:keepLines w:val="0"/>
        <w:pageBreakBefore w:val="0"/>
        <w:widowControl/>
        <w:numPr>
          <w:ilvl w:val="0"/>
          <w:numId w:val="7"/>
        </w:numPr>
        <w:kinsoku/>
        <w:wordWrap/>
        <w:overflowPunct/>
        <w:topLinePunct w:val="0"/>
        <w:autoSpaceDE/>
        <w:autoSpaceDN/>
        <w:bidi w:val="0"/>
        <w:spacing w:before="60" w:after="60" w:line="600" w:lineRule="exact"/>
        <w:ind w:left="63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甲方提供厨房、餐厅、餐具、用具和设备，并负责水电费和燃料费用。</w:t>
      </w:r>
    </w:p>
    <w:p>
      <w:pPr>
        <w:keepNext w:val="0"/>
        <w:keepLines w:val="0"/>
        <w:pageBreakBefore w:val="0"/>
        <w:widowControl/>
        <w:kinsoku/>
        <w:wordWrap/>
        <w:overflowPunct/>
        <w:topLinePunct w:val="0"/>
        <w:autoSpaceDE/>
        <w:autoSpaceDN/>
        <w:bidi w:val="0"/>
        <w:spacing w:before="60" w:after="60" w:line="600" w:lineRule="exact"/>
        <w:ind w:left="420"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2.乙方权利及义务：</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乙方负责食堂的</w:t>
      </w:r>
      <w:r>
        <w:rPr>
          <w:rFonts w:hint="eastAsia" w:ascii="仿宋_GB2312" w:hAnsi="仿宋_GB2312" w:eastAsia="仿宋_GB2312" w:cs="仿宋_GB2312"/>
          <w:kern w:val="0"/>
          <w:sz w:val="32"/>
          <w:szCs w:val="32"/>
          <w:lang w:eastAsia="zh-CN"/>
        </w:rPr>
        <w:t>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rPr>
        <w:t>服务，具体包括食堂人事、菜肴的搭配与制作、就餐环境卫生。</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乙方制作菜肴应本着不浪费的原则分批次少量制作。乙方应监督甲方员工在规定时间内刷(脸)卡就餐、维持就餐秩序、制止浪费行为。</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乙方必须遵守国家和地方设立的有关环境和食品卫生的标准。严禁供应过期变质的食品，保持菜肴的新鲜和卫生。</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乙方必须按甲方要求供应工作餐和接待餐，做到营养搭配、新鲜可口，并定期更新菜品。</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color w:val="000000"/>
          <w:kern w:val="0"/>
          <w:sz w:val="32"/>
          <w:szCs w:val="32"/>
        </w:rPr>
        <w:t>乙方必须在餐后认真清洗餐具并消毒，对厨房、用餐大厅环境卫生进行全面清洁整理；定期清理食堂内外水池、下水道、灶台及炊事用品污垢。</w:t>
      </w:r>
      <w:r>
        <w:rPr>
          <w:rFonts w:hint="eastAsia" w:ascii="仿宋_GB2312" w:hAnsi="仿宋_GB2312" w:eastAsia="仿宋_GB2312" w:cs="仿宋_GB2312"/>
          <w:color w:val="FF0000"/>
          <w:kern w:val="0"/>
          <w:sz w:val="32"/>
          <w:szCs w:val="32"/>
        </w:rPr>
        <w:t> </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kern w:val="0"/>
          <w:sz w:val="32"/>
          <w:szCs w:val="32"/>
        </w:rPr>
        <w:t>冰柜定期清理、除霜、消除异味、生熟物品分开存放。</w:t>
      </w:r>
    </w:p>
    <w:p>
      <w:pPr>
        <w:keepNext w:val="0"/>
        <w:keepLines w:val="0"/>
        <w:pageBreakBefore w:val="0"/>
        <w:widowControl/>
        <w:numPr>
          <w:ilvl w:val="0"/>
          <w:numId w:val="8"/>
        </w:numPr>
        <w:kinsoku/>
        <w:wordWrap/>
        <w:overflowPunct/>
        <w:topLinePunct w:val="0"/>
        <w:autoSpaceDE/>
        <w:autoSpaceDN/>
        <w:bidi w:val="0"/>
        <w:spacing w:before="60" w:after="60" w:line="600" w:lineRule="exact"/>
        <w:ind w:left="845" w:right="1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乙方食堂</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lang w:eastAsia="zh-CN"/>
        </w:rPr>
        <w:t>服务</w:t>
      </w:r>
      <w:r>
        <w:rPr>
          <w:rFonts w:hint="eastAsia" w:ascii="仿宋_GB2312" w:hAnsi="仿宋_GB2312" w:eastAsia="仿宋_GB2312" w:cs="仿宋_GB2312"/>
          <w:kern w:val="0"/>
          <w:sz w:val="32"/>
          <w:szCs w:val="32"/>
        </w:rPr>
        <w:t>人员必须持《健康证》上岗</w:t>
      </w:r>
      <w:r>
        <w:rPr>
          <w:rFonts w:hint="eastAsia" w:ascii="仿宋_GB2312" w:hAnsi="仿宋_GB2312" w:eastAsia="仿宋_GB2312" w:cs="仿宋_GB2312"/>
          <w:color w:val="000000"/>
          <w:kern w:val="0"/>
          <w:sz w:val="32"/>
          <w:szCs w:val="32"/>
        </w:rPr>
        <w:t>。</w:t>
      </w:r>
    </w:p>
    <w:p>
      <w:pPr>
        <w:keepNext w:val="0"/>
        <w:keepLines w:val="0"/>
        <w:pageBreakBefore w:val="0"/>
        <w:widowControl/>
        <w:numPr>
          <w:ilvl w:val="0"/>
          <w:numId w:val="0"/>
        </w:numPr>
        <w:kinsoku/>
        <w:wordWrap/>
        <w:overflowPunct/>
        <w:topLinePunct w:val="0"/>
        <w:autoSpaceDE/>
        <w:autoSpaceDN/>
        <w:bidi w:val="0"/>
        <w:spacing w:before="60" w:after="60" w:line="600" w:lineRule="exact"/>
        <w:ind w:right="180" w:rightChars="0"/>
        <w:jc w:val="center"/>
        <w:rPr>
          <w:rFonts w:hint="eastAsia" w:ascii="仿宋_GB2312" w:hAnsi="仿宋_GB2312" w:eastAsia="仿宋_GB2312" w:cs="仿宋_GB2312"/>
          <w:b/>
          <w:sz w:val="32"/>
          <w:szCs w:val="32"/>
          <w:lang w:val="en-US" w:eastAsia="zh-CN"/>
        </w:rPr>
      </w:pPr>
    </w:p>
    <w:p>
      <w:pPr>
        <w:keepNext w:val="0"/>
        <w:keepLines w:val="0"/>
        <w:pageBreakBefore w:val="0"/>
        <w:widowControl/>
        <w:numPr>
          <w:ilvl w:val="0"/>
          <w:numId w:val="0"/>
        </w:numPr>
        <w:kinsoku/>
        <w:wordWrap/>
        <w:overflowPunct/>
        <w:topLinePunct w:val="0"/>
        <w:autoSpaceDE/>
        <w:autoSpaceDN/>
        <w:bidi w:val="0"/>
        <w:spacing w:before="60" w:after="60" w:line="600" w:lineRule="exact"/>
        <w:ind w:right="180" w:rightChars="0"/>
        <w:jc w:val="center"/>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附件四</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b/>
          <w:sz w:val="32"/>
          <w:szCs w:val="32"/>
          <w:lang w:val="en-US" w:eastAsia="zh-CN"/>
        </w:rPr>
        <w:t>其它</w:t>
      </w:r>
    </w:p>
    <w:p>
      <w:pPr>
        <w:keepNext w:val="0"/>
        <w:keepLines w:val="0"/>
        <w:pageBreakBefore w:val="0"/>
        <w:widowControl/>
        <w:numPr>
          <w:ilvl w:val="0"/>
          <w:numId w:val="0"/>
        </w:numPr>
        <w:kinsoku/>
        <w:wordWrap/>
        <w:overflowPunct/>
        <w:topLinePunct w:val="0"/>
        <w:autoSpaceDE/>
        <w:autoSpaceDN/>
        <w:bidi w:val="0"/>
        <w:spacing w:before="60" w:after="60" w:line="600" w:lineRule="exact"/>
        <w:ind w:right="180" w:rightChars="0"/>
        <w:jc w:val="center"/>
        <w:rPr>
          <w:rFonts w:hint="eastAsia" w:ascii="仿宋_GB2312" w:hAnsi="仿宋_GB2312" w:eastAsia="仿宋_GB2312" w:cs="仿宋_GB2312"/>
          <w:b/>
          <w:sz w:val="32"/>
          <w:szCs w:val="32"/>
          <w:lang w:val="en-US" w:eastAsia="zh-CN"/>
        </w:rPr>
      </w:pP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本合同的有效期为</w:t>
      </w:r>
      <w:r>
        <w:rPr>
          <w:rFonts w:hint="eastAsia" w:ascii="仿宋_GB2312" w:hAnsi="仿宋_GB2312" w:eastAsia="仿宋_GB2312" w:cs="仿宋_GB2312"/>
          <w:sz w:val="32"/>
          <w:szCs w:val="32"/>
          <w:u w:val="single"/>
          <w:lang w:val="en-US" w:eastAsia="zh-CN"/>
        </w:rPr>
        <w:t>XXXX</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XX</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XX</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XXXX</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lang w:val="en-US" w:eastAsia="zh-CN"/>
        </w:rPr>
        <w:t>XX</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lang w:val="en-US" w:eastAsia="zh-CN"/>
        </w:rPr>
        <w:t>XX</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spacing w:line="600" w:lineRule="exact"/>
        <w:rPr>
          <w:rFonts w:hint="eastAsia" w:ascii="仿宋_GB2312" w:hAnsi="仿宋_GB2312" w:eastAsia="仿宋_GB2312" w:cs="仿宋_GB2312"/>
          <w:sz w:val="32"/>
          <w:szCs w:val="32"/>
          <w:lang w:eastAsia="zh-CN"/>
        </w:rPr>
      </w:pPr>
    </w:p>
    <w:p>
      <w:pPr>
        <w:keepNext w:val="0"/>
        <w:keepLines w:val="0"/>
        <w:pageBreakBefore w:val="0"/>
        <w:kinsoku/>
        <w:wordWrap/>
        <w:overflowPunct/>
        <w:topLinePunct w:val="0"/>
        <w:autoSpaceDE/>
        <w:autoSpaceDN/>
        <w:bidi w:val="0"/>
        <w:spacing w:line="600" w:lineRule="exact"/>
        <w:ind w:firstLine="643" w:firstLineChars="200"/>
        <w:jc w:val="center"/>
        <w:rPr>
          <w:rFonts w:hint="eastAsia" w:ascii="仿宋_GB2312" w:hAnsi="仿宋_GB2312" w:eastAsia="仿宋_GB2312" w:cs="仿宋_GB2312"/>
          <w:b/>
          <w:bCs/>
          <w:kern w:val="0"/>
          <w:sz w:val="32"/>
          <w:szCs w:val="32"/>
          <w:shd w:val="clear" w:color="auto" w:fill="FFFFFF"/>
          <w:lang w:val="en-US" w:eastAsia="zh-CN" w:bidi="ar"/>
        </w:rPr>
      </w:pPr>
      <w:r>
        <w:rPr>
          <w:rFonts w:hint="eastAsia" w:ascii="仿宋_GB2312" w:hAnsi="仿宋_GB2312" w:eastAsia="仿宋_GB2312" w:cs="仿宋_GB2312"/>
          <w:b/>
          <w:bCs/>
          <w:kern w:val="0"/>
          <w:sz w:val="32"/>
          <w:szCs w:val="32"/>
          <w:shd w:val="clear" w:color="auto" w:fill="FFFFFF"/>
          <w:lang w:val="en-US" w:eastAsia="zh-CN" w:bidi="ar"/>
        </w:rPr>
        <w:t>廉洁诚信协议</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第一条  总则</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1.3本协议所称相关主体，对任何一方而言，包括但不限于以下单位或者个人：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（1）一方或其关联方之工作人员；</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（2）受一方委托办理相关事务的单位或者个人；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（3）利用职权或者影响力影响交易的单位或者个人；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（4）前述相关人员的亲属；</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（5）与前述相关主体存在利害关系的其他单位或者人员。</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乙方相关主体实施违反本协议约定之行为的，均应视为乙方实施行为。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第二条  商业贿赂</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2.3本条第1款所称其他形式，包括但不限于：</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（1）以任何方式实施商业贿赂或违规提供回扣、折扣、宴请与游玩活动或其他不正当利益；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（2）为甲方或甲方相关主体安排有可能影响公平、公正交易的宴请、健身、娱乐等活动；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（3）为甲方或甲方相关主体投资入股、个人借款或买卖股票、债券等提供方便；</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（4）为甲方或甲方相关主体购买或装修住房、婚丧嫁娶、配偶子女上学或工作安排以及出国出境、旅游等提供方便；</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（5）违反规定为甲方或甲方相关主体在乙方相关企业工作、挂名兼职、合伙经营、介绍承揽业务等提供方便；</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（6）向甲方或甲方相关主体提供借款、融资、担保等；</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（7）给予或承诺给予其不正当利益的其他行为；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（8）其他违反国家法律法规或商业道德准则的影响公正交易的行为。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第三条  回扣</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3.3乙方在账外暗中给予甲方相关主体回扣的，视为实施商业贿赂行为。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第四条  折扣</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4.2乙方提供的商品或服务，可以以明示方式给予甲方折扣。乙方给予甲方折扣的，必须在采购协议中予以明确并如实入账。</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4.4乙方违反本条约定的，视为实施商业贿赂行为。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第五条  宴请与游玩活动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5.2乙方不得为甲方相关主体提供各种形式的旅游、健身、KTV、酒吧、按摩、赌博、色情等娱乐休闲活动。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5.3乙方违反本条约定的，视为实施商业贿赂行为。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第六条  禁止行为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双方一致同意双方或双方相关主体的如下行为是应当禁止的营私舞弊或腐败行为：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6.1甲方及甲方相关主体向乙方索要或收受财物或其他形式的财产性利益、非财产性利益。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6.2乙方及乙方相关主体向甲方或甲方相关主体提供财物或其他形式的财产性利益、非财产性利益，包括但不限于：</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（1）报销甲方相关主体的私人费用；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（2）提供超过宴请标准的宴请或娱乐活动；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（3）介绍甲方相关主体亲友到乙方处工作；</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（4）提出、邀请或事实上接受甲方相关主体在乙方参股或参与乙方经营活动；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（5）组织或向甲方相关主体提供旅游等代偿活动利益；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（6）向甲方相关主体提供借款、融资、担保等；</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（7）给予或承诺给予甲方相关主体不正当利益的其他行为；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（8）其他违反本协议约定、国家法律法规或商业道德准则的影响公正交易的行为。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第七条  乙方承诺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乙方承诺在双方的商务接洽、合同关系、交易过程中遵守如下要求：</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7.1 避免利害关系</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7.2 恪守廉洁自律原则</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 恪守诚实信用原则</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7.3.3严格遵守甲方的供应商行为准则、合作协议、保密承诺书等政策文件中的相关规定。</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7.3.4严格遵守甲方的品牌管理的相关规定，未经甲方授权不擅自使用甲方字样、授权合作伙伴等类似容易对外产生混淆的字样。</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7.3.5严格遵守国家相关法律法规及甲方的管理规定，不参与任何违法活动。</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7.3.6承诺实事求是，不对内部或社会传递任何虚假信息，严格遵守保密协议，不透露任何甲方的商业机密。</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7.3.7未经甲方同意，不向任何新闻媒体、第三方述及有关甲方工作人员恪守商业道德方面的评价、信息。</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7.4 确保信息公开透明</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7.4.1主动向甲方披露与采购项目相关的信息，包括乙方真实情况、产品价格、技术参数、服务团队信息、履约情况等。</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7.4.2不利用非法手段向甲方及甲方相关主体打探有关涉及甲方及甲方相关主体的商业秘密、人员信息、采购信息等。</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7.5 积极配合监督举报</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7.6 加强内部廉洁管理</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7.6.2设立监督机制：通过专门的监督机构或人员，对乙方的业务活动进行实时监督，确保员工行为的合规性。</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7.6.3建立举报制度：鼓励员工积极举报违规行为，对举报人予以保护并给予奖励。</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第八条  违约责任</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8.5乙方知悉并同意，对于上述情形的处理甲方有完全的判断权和自主权。</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第九条  附则</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9.1本协议的标题及各条款的标题仅为检索方便而设置，具体内容应当以各条款的具体规定为准，而不应参考该标题进行解释。</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kinsoku/>
        <w:wordWrap/>
        <w:overflowPunct/>
        <w:topLinePunct w:val="0"/>
        <w:autoSpaceDE/>
        <w:autoSpaceDN/>
        <w:bidi w:val="0"/>
        <w:spacing w:line="600" w:lineRule="exact"/>
        <w:ind w:firstLine="640" w:firstLineChars="200"/>
        <w:rPr>
          <w:rFonts w:hint="eastAsia" w:ascii="仿宋_GB2312" w:hAnsi="仿宋_GB2312" w:eastAsia="仿宋_GB2312" w:cs="仿宋_GB2312"/>
          <w:kern w:val="0"/>
          <w:sz w:val="32"/>
          <w:szCs w:val="32"/>
          <w:shd w:val="clear" w:color="auto" w:fill="FFFFFF"/>
          <w:lang w:val="en-US" w:eastAsia="zh-CN" w:bidi="ar"/>
        </w:rPr>
      </w:pPr>
      <w:r>
        <w:rPr>
          <w:rFonts w:hint="eastAsia" w:ascii="仿宋_GB2312" w:hAnsi="仿宋_GB2312" w:eastAsia="仿宋_GB2312" w:cs="仿宋_GB2312"/>
          <w:kern w:val="0"/>
          <w:sz w:val="32"/>
          <w:szCs w:val="32"/>
          <w:shd w:val="clear" w:color="auto" w:fill="FFFFFF"/>
          <w:lang w:val="en-US" w:eastAsia="zh-CN" w:bidi="ar"/>
        </w:rPr>
        <w:t>9.5本协议长期有效。</w:t>
      </w:r>
    </w:p>
    <w:p/>
    <w:p>
      <w:pPr>
        <w:pStyle w:val="2"/>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firstLine="3623" w:firstLineChars="1289"/>
        <w:jc w:val="left"/>
        <w:rPr>
          <w:rFonts w:ascii="仿宋_GB2312" w:hAnsi="宋体" w:eastAsia="仿宋_GB2312"/>
          <w:color w:val="auto"/>
          <w:sz w:val="28"/>
          <w:szCs w:val="28"/>
        </w:rPr>
      </w:pPr>
      <w:bookmarkStart w:id="124" w:name="_Toc4181"/>
      <w:bookmarkStart w:id="125" w:name="_Toc186737811"/>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一、采购项目背景</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ascii="楷体" w:hAnsi="楷体" w:eastAsia="楷体" w:cs="仿宋_GB2312"/>
          <w:i/>
          <w:color w:val="0000CC"/>
          <w:szCs w:val="32"/>
        </w:rPr>
      </w:pPr>
      <w:r>
        <w:rPr>
          <w:rFonts w:hint="eastAsia" w:ascii="仿宋_GB2312" w:hAnsi="宋体" w:eastAsia="仿宋_GB2312" w:cs="宋体"/>
          <w:kern w:val="0"/>
          <w:sz w:val="32"/>
          <w:szCs w:val="32"/>
          <w:lang w:val="en-US" w:eastAsia="zh-CN"/>
        </w:rPr>
        <w:t>随着生活品质的不断提高，为更好向员工提供营养美味的食物，本着让员工吃好吃饱和降本增效的原则，保证公司区县食堂正常运转，同时优质服务公司员工和不断研发新菜品。</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二、采购内容</w:t>
      </w:r>
    </w:p>
    <w:p>
      <w:pPr>
        <w:numPr>
          <w:ilvl w:val="0"/>
          <w:numId w:val="0"/>
        </w:numPr>
        <w:spacing w:line="600" w:lineRule="exact"/>
        <w:ind w:firstLine="640" w:firstLineChars="200"/>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1.需求内容：</w:t>
      </w:r>
    </w:p>
    <w:p>
      <w:pPr>
        <w:numPr>
          <w:ilvl w:val="0"/>
          <w:numId w:val="0"/>
        </w:numPr>
        <w:spacing w:line="600" w:lineRule="exact"/>
        <w:ind w:firstLine="640" w:firstLineChars="200"/>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（1）服务内容：</w:t>
      </w:r>
    </w:p>
    <w:p>
      <w:pPr>
        <w:numPr>
          <w:ilvl w:val="0"/>
          <w:numId w:val="0"/>
        </w:numPr>
        <w:spacing w:line="600" w:lineRule="exact"/>
        <w:ind w:firstLine="640" w:firstLineChars="200"/>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采购1家餐饮管理服务公司管理我公司4家经营单位自有食堂，结合单位需求对应提供早、午、晚餐的餐饮管理服务，涉及沐川支公司、沙湾支公司、峨眉山支公司、马边营销服务部，</w:t>
      </w:r>
      <w:r>
        <w:rPr>
          <w:rFonts w:hint="eastAsia" w:ascii="仿宋_GB2312" w:eastAsia="仿宋_GB2312"/>
          <w:sz w:val="32"/>
          <w:szCs w:val="32"/>
          <w:highlight w:val="none"/>
          <w:lang w:val="en-US" w:eastAsia="zh-CN" w:bidi="ar"/>
        </w:rPr>
        <w:t>其中沐川支公司涉及就餐员工15名、沙湾支公司15名、峨眉山支公司35名、马边营销服务部10名。</w:t>
      </w:r>
    </w:p>
    <w:p>
      <w:pPr>
        <w:numPr>
          <w:ilvl w:val="0"/>
          <w:numId w:val="9"/>
        </w:numPr>
        <w:spacing w:line="600" w:lineRule="exact"/>
        <w:ind w:firstLine="640" w:firstLineChars="200"/>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服务要求：</w:t>
      </w:r>
    </w:p>
    <w:p>
      <w:pPr>
        <w:numPr>
          <w:ilvl w:val="0"/>
          <w:numId w:val="0"/>
        </w:numPr>
        <w:spacing w:line="600" w:lineRule="exact"/>
        <w:ind w:firstLine="640"/>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熟练掌握烹饪技术、食材处理和菜品的多样性，制作以当季时令蔬菜为主的家常菜菜品，安排</w:t>
      </w:r>
      <w:r>
        <w:rPr>
          <w:rFonts w:hint="eastAsia" w:ascii="仿宋_GB2312" w:eastAsia="仿宋_GB2312"/>
          <w:sz w:val="32"/>
          <w:szCs w:val="32"/>
          <w:lang w:bidi="ar"/>
        </w:rPr>
        <w:t>每周菜品不重样</w:t>
      </w:r>
      <w:r>
        <w:rPr>
          <w:rFonts w:hint="eastAsia" w:ascii="仿宋_GB2312" w:eastAsia="仿宋_GB2312"/>
          <w:sz w:val="32"/>
          <w:szCs w:val="32"/>
          <w:lang w:eastAsia="zh-CN" w:bidi="ar"/>
        </w:rPr>
        <w:t>，</w:t>
      </w:r>
      <w:r>
        <w:rPr>
          <w:rFonts w:hint="eastAsia" w:ascii="仿宋_GB2312" w:eastAsia="仿宋_GB2312"/>
          <w:sz w:val="32"/>
          <w:szCs w:val="32"/>
          <w:lang w:val="en-US" w:eastAsia="zh-CN" w:bidi="ar"/>
        </w:rPr>
        <w:t>由经营单位员工自助取餐方式就餐，</w:t>
      </w:r>
      <w:r>
        <w:rPr>
          <w:rFonts w:hint="default" w:ascii="仿宋_GB2312" w:eastAsia="仿宋_GB2312"/>
          <w:sz w:val="32"/>
          <w:szCs w:val="32"/>
          <w:lang w:val="en-US" w:eastAsia="zh-CN" w:bidi="ar"/>
        </w:rPr>
        <w:t>对菜品进行严格把关，坚决杜绝有害，变质的菜品流入食堂</w:t>
      </w:r>
      <w:r>
        <w:rPr>
          <w:rFonts w:hint="eastAsia" w:ascii="仿宋_GB2312" w:eastAsia="仿宋_GB2312"/>
          <w:sz w:val="32"/>
          <w:szCs w:val="32"/>
          <w:lang w:val="en-US" w:eastAsia="zh-CN" w:bidi="ar"/>
        </w:rPr>
        <w:t>。</w:t>
      </w:r>
    </w:p>
    <w:p>
      <w:pPr>
        <w:numPr>
          <w:ilvl w:val="0"/>
          <w:numId w:val="0"/>
        </w:numPr>
        <w:spacing w:line="600" w:lineRule="exact"/>
        <w:ind w:firstLine="640"/>
        <w:rPr>
          <w:rFonts w:hint="default" w:ascii="仿宋_GB2312" w:eastAsia="仿宋_GB2312"/>
          <w:sz w:val="32"/>
          <w:szCs w:val="32"/>
          <w:lang w:val="en-US" w:eastAsia="zh-CN" w:bidi="ar"/>
        </w:rPr>
      </w:pPr>
      <w:r>
        <w:rPr>
          <w:rFonts w:hint="default" w:ascii="仿宋_GB2312" w:eastAsia="仿宋_GB2312"/>
          <w:sz w:val="32"/>
          <w:szCs w:val="32"/>
          <w:lang w:val="en-US" w:eastAsia="zh-CN" w:bidi="ar"/>
        </w:rPr>
        <w:t>工作日</w:t>
      </w:r>
      <w:r>
        <w:rPr>
          <w:rFonts w:hint="eastAsia" w:ascii="仿宋_GB2312" w:eastAsia="仿宋_GB2312"/>
          <w:sz w:val="32"/>
          <w:szCs w:val="32"/>
          <w:lang w:val="en-US" w:eastAsia="zh-CN" w:bidi="ar"/>
        </w:rPr>
        <w:t>内</w:t>
      </w:r>
      <w:r>
        <w:rPr>
          <w:rFonts w:hint="default" w:ascii="仿宋_GB2312" w:eastAsia="仿宋_GB2312"/>
          <w:sz w:val="32"/>
          <w:szCs w:val="32"/>
          <w:lang w:val="en-US" w:eastAsia="zh-CN" w:bidi="ar"/>
        </w:rPr>
        <w:t>完成沐川、沙湾、峨眉山、马边4家经营单位食堂就餐区域和后厨卫生整理，完成当日餐具清洗消毒工作以及清洁食堂桌椅、地面，餐具和调料的摆放，餐具的收集、清洗和消毒，食材的清洗、切配和烹饪，清理食堂垃圾和分类放置，每日菜品的留样工作。每周对后厨和就餐局域进行消毒处理，做好防虫防鼠工作。</w:t>
      </w:r>
    </w:p>
    <w:p>
      <w:pPr>
        <w:numPr>
          <w:ilvl w:val="0"/>
          <w:numId w:val="0"/>
        </w:numPr>
        <w:spacing w:line="600" w:lineRule="exact"/>
        <w:ind w:firstLine="640" w:firstLineChars="200"/>
        <w:rPr>
          <w:rFonts w:hint="default" w:ascii="仿宋_GB2312" w:eastAsia="仿宋_GB2312"/>
          <w:sz w:val="32"/>
          <w:szCs w:val="32"/>
          <w:lang w:val="en-US" w:eastAsia="zh-CN" w:bidi="ar"/>
        </w:rPr>
      </w:pPr>
      <w:r>
        <w:rPr>
          <w:rFonts w:hint="eastAsia" w:ascii="仿宋_GB2312" w:eastAsia="仿宋_GB2312"/>
          <w:sz w:val="32"/>
          <w:szCs w:val="32"/>
          <w:lang w:val="en-US" w:eastAsia="zh-CN" w:bidi="ar"/>
        </w:rPr>
        <w:t>（3）人员要求：</w:t>
      </w:r>
    </w:p>
    <w:p>
      <w:pPr>
        <w:numPr>
          <w:ilvl w:val="0"/>
          <w:numId w:val="0"/>
        </w:numPr>
        <w:spacing w:line="600" w:lineRule="exact"/>
        <w:ind w:firstLine="640" w:firstLineChars="200"/>
        <w:rPr>
          <w:rFonts w:hint="default" w:ascii="仿宋_GB2312" w:eastAsia="仿宋_GB2312"/>
          <w:sz w:val="32"/>
          <w:szCs w:val="32"/>
          <w:lang w:val="en-US" w:eastAsia="zh-CN" w:bidi="ar"/>
        </w:rPr>
      </w:pPr>
      <w:r>
        <w:rPr>
          <w:rFonts w:hint="eastAsia" w:ascii="仿宋_GB2312" w:eastAsia="仿宋_GB2312"/>
          <w:sz w:val="32"/>
          <w:szCs w:val="32"/>
          <w:lang w:val="en-US" w:eastAsia="zh-CN" w:bidi="ar"/>
        </w:rPr>
        <w:t>整体餐饮管理服务事项应提供至少一名管理对接人员，有相关工作经验5年以上，年龄应在45岁以下。</w:t>
      </w:r>
    </w:p>
    <w:p>
      <w:pPr>
        <w:numPr>
          <w:ilvl w:val="0"/>
          <w:numId w:val="0"/>
        </w:numPr>
        <w:spacing w:line="600" w:lineRule="exact"/>
        <w:ind w:firstLine="640" w:firstLineChars="200"/>
        <w:rPr>
          <w:rFonts w:hint="default" w:ascii="仿宋_GB2312" w:eastAsia="仿宋_GB2312"/>
          <w:sz w:val="32"/>
          <w:szCs w:val="32"/>
          <w:lang w:val="en-US" w:eastAsia="zh-CN" w:bidi="ar"/>
        </w:rPr>
      </w:pPr>
      <w:r>
        <w:rPr>
          <w:rFonts w:hint="eastAsia" w:ascii="仿宋_GB2312" w:eastAsia="仿宋_GB2312"/>
          <w:sz w:val="32"/>
          <w:szCs w:val="32"/>
          <w:lang w:val="en-US" w:eastAsia="zh-CN" w:bidi="ar"/>
        </w:rPr>
        <w:t>4家经营单位每家应至少提供一名服务人员，有相关工作经验5年以上和过硬的职业素养，</w:t>
      </w:r>
      <w:r>
        <w:rPr>
          <w:rFonts w:hint="eastAsia" w:ascii="仿宋_GB2312" w:eastAsia="仿宋_GB2312"/>
          <w:sz w:val="32"/>
          <w:szCs w:val="32"/>
          <w:highlight w:val="none"/>
          <w:lang w:val="en-US" w:eastAsia="zh-CN" w:bidi="ar"/>
        </w:rPr>
        <w:t>年龄应在55岁以下，应提供厨师证或健康证相关资料。</w:t>
      </w:r>
    </w:p>
    <w:p>
      <w:pPr>
        <w:spacing w:line="600" w:lineRule="exact"/>
        <w:ind w:firstLine="640" w:firstLineChars="200"/>
        <w:rPr>
          <w:rFonts w:hint="eastAsia" w:ascii="楷体" w:hAnsi="楷体" w:eastAsia="楷体" w:cs="仿宋_GB2312"/>
          <w:i/>
          <w:color w:val="0000CC"/>
          <w:szCs w:val="32"/>
        </w:rPr>
      </w:pPr>
      <w:r>
        <w:rPr>
          <w:rFonts w:hint="eastAsia" w:ascii="仿宋_GB2312" w:eastAsia="仿宋_GB2312"/>
          <w:sz w:val="32"/>
          <w:szCs w:val="32"/>
          <w:lang w:val="en-US" w:eastAsia="zh-CN" w:bidi="ar"/>
        </w:rPr>
        <w:t>2.服务期限：本项目</w:t>
      </w:r>
      <w:r>
        <w:rPr>
          <w:rFonts w:hint="eastAsia" w:ascii="仿宋_GB2312" w:eastAsia="仿宋_GB2312"/>
          <w:sz w:val="32"/>
          <w:szCs w:val="32"/>
          <w:lang w:bidi="ar"/>
        </w:rPr>
        <w:t>拟采购</w:t>
      </w:r>
      <w:r>
        <w:rPr>
          <w:rFonts w:hint="eastAsia" w:ascii="仿宋_GB2312" w:eastAsia="仿宋_GB2312"/>
          <w:sz w:val="32"/>
          <w:szCs w:val="32"/>
          <w:lang w:val="en-US" w:eastAsia="zh-CN" w:bidi="ar"/>
        </w:rPr>
        <w:t>3</w:t>
      </w:r>
      <w:r>
        <w:rPr>
          <w:rFonts w:hint="eastAsia" w:ascii="仿宋_GB2312" w:eastAsia="仿宋_GB2312"/>
          <w:sz w:val="32"/>
          <w:szCs w:val="32"/>
          <w:lang w:bidi="ar"/>
        </w:rPr>
        <w:t>年期</w:t>
      </w:r>
      <w:r>
        <w:rPr>
          <w:rFonts w:hint="eastAsia" w:ascii="仿宋_GB2312" w:eastAsia="仿宋_GB2312"/>
          <w:sz w:val="32"/>
          <w:szCs w:val="32"/>
          <w:lang w:val="en-US" w:eastAsia="zh-CN" w:bidi="ar"/>
        </w:rPr>
        <w:t>服务，到期后重新履行采购程序</w:t>
      </w:r>
      <w:r>
        <w:rPr>
          <w:rFonts w:hint="eastAsia" w:ascii="仿宋_GB2312" w:eastAsia="仿宋_GB2312"/>
          <w:sz w:val="32"/>
          <w:szCs w:val="32"/>
          <w:lang w:bidi="ar"/>
        </w:rPr>
        <w:t>。</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三、采购数量</w:t>
      </w:r>
    </w:p>
    <w:p>
      <w:pPr>
        <w:spacing w:line="360" w:lineRule="auto"/>
        <w:ind w:firstLine="640" w:firstLineChars="200"/>
        <w:rPr>
          <w:rFonts w:hint="default" w:ascii="楷体" w:hAnsi="楷体" w:eastAsia="楷体" w:cs="仿宋_GB2312"/>
          <w:i/>
          <w:color w:val="0000CC"/>
          <w:szCs w:val="32"/>
          <w:lang w:val="en-US"/>
        </w:rPr>
      </w:pPr>
      <w:r>
        <w:rPr>
          <w:rFonts w:hint="eastAsia" w:ascii="仿宋_GB2312" w:eastAsia="仿宋_GB2312"/>
          <w:sz w:val="32"/>
          <w:szCs w:val="32"/>
          <w:lang w:val="en-US" w:eastAsia="zh-CN" w:bidi="ar"/>
        </w:rPr>
        <w:t>采购1家餐饮管理服务公司。</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eastAsia="仿宋_GB2312"/>
          <w:sz w:val="32"/>
          <w:szCs w:val="32"/>
          <w:lang w:val="en-US" w:eastAsia="zh-CN" w:bidi="ar"/>
        </w:rPr>
      </w:pPr>
      <w:r>
        <w:rPr>
          <w:rFonts w:hint="eastAsia" w:ascii="仿宋_GB2312" w:eastAsia="仿宋_GB2312"/>
          <w:sz w:val="32"/>
          <w:szCs w:val="32"/>
          <w:lang w:val="en-US" w:eastAsia="zh-CN" w:bidi="ar"/>
        </w:rPr>
        <w:t>四、付款方式</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kern w:val="0"/>
          <w:sz w:val="32"/>
          <w:szCs w:val="32"/>
        </w:rPr>
        <w:t>在双方签订合同期限内，食堂餐饮</w:t>
      </w:r>
      <w:r>
        <w:rPr>
          <w:rFonts w:hint="eastAsia" w:ascii="仿宋_GB2312" w:hAnsi="仿宋_GB2312" w:eastAsia="仿宋_GB2312" w:cs="仿宋_GB2312"/>
          <w:kern w:val="0"/>
          <w:sz w:val="32"/>
          <w:szCs w:val="32"/>
          <w:lang w:val="en-US" w:eastAsia="zh-CN"/>
        </w:rPr>
        <w:t>管理</w:t>
      </w:r>
      <w:r>
        <w:rPr>
          <w:rFonts w:hint="eastAsia" w:ascii="仿宋_GB2312" w:hAnsi="仿宋_GB2312" w:eastAsia="仿宋_GB2312" w:cs="仿宋_GB2312"/>
          <w:kern w:val="0"/>
          <w:sz w:val="32"/>
          <w:szCs w:val="32"/>
        </w:rPr>
        <w:t>服务</w:t>
      </w:r>
      <w:r>
        <w:rPr>
          <w:rStyle w:val="84"/>
          <w:rFonts w:hint="eastAsia" w:ascii="仿宋_GB2312" w:hAnsi="仿宋_GB2312" w:eastAsia="仿宋_GB2312" w:cs="仿宋_GB2312"/>
          <w:sz w:val="32"/>
          <w:szCs w:val="32"/>
          <w:lang w:eastAsia="zh-CN"/>
        </w:rPr>
        <w:t>每月</w:t>
      </w:r>
      <w:r>
        <w:rPr>
          <w:rStyle w:val="84"/>
          <w:rFonts w:hint="eastAsia" w:ascii="仿宋_GB2312" w:hAnsi="仿宋_GB2312" w:eastAsia="仿宋_GB2312" w:cs="仿宋_GB2312"/>
          <w:sz w:val="32"/>
          <w:szCs w:val="32"/>
          <w:lang w:val="en-US" w:eastAsia="zh-CN"/>
        </w:rPr>
        <w:t>支付一次</w:t>
      </w:r>
      <w:r>
        <w:rPr>
          <w:rStyle w:val="84"/>
          <w:rFonts w:hint="eastAsia" w:ascii="仿宋_GB2312" w:hAnsi="仿宋_GB2312" w:eastAsia="仿宋_GB2312" w:cs="仿宋_GB2312"/>
          <w:sz w:val="32"/>
          <w:szCs w:val="32"/>
        </w:rPr>
        <w:t>，</w:t>
      </w:r>
      <w:r>
        <w:rPr>
          <w:rStyle w:val="84"/>
          <w:rFonts w:hint="eastAsia" w:ascii="仿宋_GB2312" w:hAnsi="仿宋_GB2312" w:eastAsia="仿宋_GB2312" w:cs="仿宋_GB2312"/>
          <w:sz w:val="32"/>
          <w:szCs w:val="32"/>
          <w:lang w:val="en-US" w:eastAsia="zh-CN"/>
        </w:rPr>
        <w:t>我司与供应商双方在签订合同后我司每月向供应商支付上月费</w:t>
      </w:r>
      <w:r>
        <w:rPr>
          <w:rStyle w:val="84"/>
          <w:rFonts w:hint="eastAsia" w:ascii="仿宋_GB2312" w:hAnsi="仿宋_GB2312" w:eastAsia="仿宋_GB2312" w:cs="仿宋_GB2312"/>
          <w:color w:val="auto"/>
          <w:sz w:val="32"/>
          <w:szCs w:val="32"/>
          <w:lang w:val="en-US" w:eastAsia="zh-CN"/>
        </w:rPr>
        <w:t>用XXXX元/月大写（XXXX），</w:t>
      </w:r>
      <w:r>
        <w:rPr>
          <w:rFonts w:hint="eastAsia" w:ascii="仿宋_GB2312" w:hAnsi="仿宋_GB2312" w:eastAsia="仿宋_GB2312" w:cs="仿宋_GB2312"/>
          <w:kern w:val="0"/>
          <w:sz w:val="32"/>
          <w:szCs w:val="32"/>
          <w:lang w:val="en-US" w:eastAsia="zh-CN"/>
        </w:rPr>
        <w:t>供应商</w:t>
      </w:r>
      <w:r>
        <w:rPr>
          <w:rFonts w:hint="eastAsia" w:ascii="仿宋_GB2312" w:hAnsi="仿宋_GB2312" w:eastAsia="仿宋_GB2312" w:cs="仿宋_GB2312"/>
          <w:kern w:val="0"/>
          <w:sz w:val="32"/>
          <w:szCs w:val="32"/>
        </w:rPr>
        <w:t>应在每月第3个工作日前，按合同约定总费用向</w:t>
      </w:r>
      <w:r>
        <w:rPr>
          <w:rFonts w:hint="eastAsia" w:ascii="仿宋_GB2312" w:hAnsi="仿宋_GB2312" w:eastAsia="仿宋_GB2312" w:cs="仿宋_GB2312"/>
          <w:kern w:val="0"/>
          <w:sz w:val="32"/>
          <w:szCs w:val="32"/>
          <w:lang w:val="en-US" w:eastAsia="zh-CN"/>
        </w:rPr>
        <w:t>我司</w:t>
      </w:r>
      <w:r>
        <w:rPr>
          <w:rFonts w:hint="eastAsia" w:ascii="仿宋_GB2312" w:hAnsi="仿宋_GB2312" w:eastAsia="仿宋_GB2312" w:cs="仿宋_GB2312"/>
          <w:kern w:val="0"/>
          <w:sz w:val="32"/>
          <w:szCs w:val="32"/>
        </w:rPr>
        <w:t>开具普通增值税</w:t>
      </w:r>
      <w:r>
        <w:rPr>
          <w:rFonts w:hint="eastAsia" w:ascii="仿宋_GB2312" w:hAnsi="仿宋_GB2312" w:eastAsia="仿宋_GB2312" w:cs="仿宋_GB2312"/>
          <w:kern w:val="0"/>
          <w:sz w:val="32"/>
          <w:szCs w:val="32"/>
          <w:lang w:val="en-US" w:eastAsia="zh-CN"/>
        </w:rPr>
        <w:t>普通</w:t>
      </w:r>
      <w:r>
        <w:rPr>
          <w:rFonts w:hint="eastAsia" w:ascii="仿宋_GB2312" w:hAnsi="仿宋_GB2312" w:eastAsia="仿宋_GB2312" w:cs="仿宋_GB2312"/>
          <w:kern w:val="0"/>
          <w:sz w:val="32"/>
          <w:szCs w:val="32"/>
        </w:rPr>
        <w:t>发票，</w:t>
      </w:r>
      <w:r>
        <w:rPr>
          <w:rFonts w:hint="eastAsia" w:ascii="仿宋_GB2312" w:hAnsi="仿宋_GB2312" w:eastAsia="仿宋_GB2312" w:cs="仿宋_GB2312"/>
          <w:kern w:val="0"/>
          <w:sz w:val="32"/>
          <w:szCs w:val="32"/>
          <w:lang w:val="en-US" w:eastAsia="zh-CN"/>
        </w:rPr>
        <w:t>我司</w:t>
      </w:r>
      <w:r>
        <w:rPr>
          <w:rFonts w:hint="eastAsia" w:ascii="仿宋_GB2312" w:hAnsi="仿宋_GB2312" w:eastAsia="仿宋_GB2312" w:cs="仿宋_GB2312"/>
          <w:kern w:val="0"/>
          <w:sz w:val="32"/>
          <w:szCs w:val="32"/>
        </w:rPr>
        <w:t>收到发票</w:t>
      </w:r>
      <w:r>
        <w:rPr>
          <w:rFonts w:hint="eastAsia" w:ascii="仿宋_GB2312" w:hAnsi="仿宋_GB2312" w:eastAsia="仿宋_GB2312" w:cs="仿宋_GB2312"/>
          <w:kern w:val="0"/>
          <w:sz w:val="32"/>
          <w:szCs w:val="32"/>
          <w:lang w:val="en-US" w:eastAsia="zh-CN"/>
        </w:rPr>
        <w:t>15</w:t>
      </w:r>
      <w:r>
        <w:rPr>
          <w:rFonts w:hint="eastAsia" w:ascii="仿宋_GB2312" w:hAnsi="仿宋_GB2312" w:eastAsia="仿宋_GB2312" w:cs="仿宋_GB2312"/>
          <w:kern w:val="0"/>
          <w:sz w:val="32"/>
          <w:szCs w:val="32"/>
        </w:rPr>
        <w:t>个工作日内，按照发票金额向</w:t>
      </w:r>
      <w:r>
        <w:rPr>
          <w:rFonts w:hint="eastAsia" w:ascii="仿宋_GB2312" w:hAnsi="仿宋_GB2312" w:eastAsia="仿宋_GB2312" w:cs="仿宋_GB2312"/>
          <w:kern w:val="0"/>
          <w:sz w:val="32"/>
          <w:szCs w:val="32"/>
          <w:lang w:val="en-US" w:eastAsia="zh-CN"/>
        </w:rPr>
        <w:t>供应商</w:t>
      </w:r>
      <w:r>
        <w:rPr>
          <w:rFonts w:hint="eastAsia" w:ascii="仿宋_GB2312" w:hAnsi="仿宋_GB2312" w:eastAsia="仿宋_GB2312" w:cs="仿宋_GB2312"/>
          <w:kern w:val="0"/>
          <w:sz w:val="32"/>
          <w:szCs w:val="32"/>
        </w:rPr>
        <w:t>支付费用</w:t>
      </w:r>
      <w:r>
        <w:rPr>
          <w:rFonts w:hint="eastAsia" w:ascii="仿宋_GB2312" w:hAnsi="仿宋_GB2312" w:eastAsia="仿宋_GB2312" w:cs="仿宋_GB2312"/>
          <w:color w:val="000000"/>
          <w:kern w:val="0"/>
          <w:sz w:val="32"/>
          <w:szCs w:val="32"/>
        </w:rPr>
        <w:t>。</w:t>
      </w:r>
    </w:p>
    <w:p>
      <w:pPr>
        <w:pStyle w:val="2"/>
        <w:keepNext w:val="0"/>
        <w:keepLines w:val="0"/>
        <w:pageBreakBefore w:val="0"/>
        <w:widowControl/>
        <w:numPr>
          <w:ilvl w:val="0"/>
          <w:numId w:val="1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验收/考核标准</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1）食堂餐饮服务，具体包括食堂人事、菜肴的搭配与制作、就餐环境卫生。菜品的搭配是否合理、健康，是否和员工口味，在员工提出意见的时候是否能及时改进。加餐环境是否干净卫生，餐桌是否干净无油污，地面是否整洁无垃圾。</w:t>
      </w:r>
      <w:r>
        <w:rPr>
          <w:rFonts w:hint="eastAsia" w:ascii="仿宋_GB2312" w:hAnsi="仿宋_GB2312" w:eastAsia="仿宋_GB2312" w:cs="仿宋_GB2312"/>
          <w:kern w:val="0"/>
          <w:sz w:val="32"/>
          <w:szCs w:val="32"/>
          <w:lang w:val="en-US" w:eastAsia="zh-CN"/>
        </w:rPr>
        <w:br w:type="textWrapping"/>
      </w:r>
      <w:r>
        <w:rPr>
          <w:rFonts w:hint="eastAsia" w:ascii="仿宋_GB2312" w:hAnsi="仿宋_GB2312" w:eastAsia="仿宋_GB2312" w:cs="仿宋_GB2312"/>
          <w:kern w:val="0"/>
          <w:sz w:val="32"/>
          <w:szCs w:val="32"/>
          <w:lang w:val="en-US" w:eastAsia="zh-CN"/>
        </w:rPr>
        <w:t xml:space="preserve">    （2）供应工作餐和接待餐；是否能根据公司要求制作工作餐和接待用餐，是否能根据就餐人数临时性的变化安排合适的食材数量并按要求制作。</w:t>
      </w:r>
      <w:r>
        <w:rPr>
          <w:rFonts w:hint="eastAsia" w:ascii="仿宋_GB2312" w:hAnsi="仿宋_GB2312" w:eastAsia="仿宋_GB2312" w:cs="仿宋_GB2312"/>
          <w:kern w:val="0"/>
          <w:sz w:val="32"/>
          <w:szCs w:val="32"/>
          <w:lang w:val="en-US" w:eastAsia="zh-CN"/>
        </w:rPr>
        <w:br w:type="textWrapping"/>
      </w:r>
      <w:r>
        <w:rPr>
          <w:rFonts w:hint="eastAsia" w:ascii="仿宋_GB2312" w:hAnsi="仿宋_GB2312" w:eastAsia="仿宋_GB2312" w:cs="仿宋_GB2312"/>
          <w:kern w:val="0"/>
          <w:sz w:val="32"/>
          <w:szCs w:val="32"/>
          <w:lang w:val="en-US" w:eastAsia="zh-CN"/>
        </w:rPr>
        <w:t xml:space="preserve">    （3）清洗餐具并消毒；餐具清洗是否彻底，清洗后餐具是否有水渍残留，消毒过程是否符合规范。</w:t>
      </w:r>
      <w:r>
        <w:rPr>
          <w:rFonts w:hint="eastAsia" w:ascii="仿宋_GB2312" w:hAnsi="仿宋_GB2312" w:eastAsia="仿宋_GB2312" w:cs="仿宋_GB2312"/>
          <w:kern w:val="0"/>
          <w:sz w:val="32"/>
          <w:szCs w:val="32"/>
          <w:lang w:val="en-US" w:eastAsia="zh-CN"/>
        </w:rPr>
        <w:br w:type="textWrapping"/>
      </w:r>
      <w:r>
        <w:rPr>
          <w:rFonts w:hint="eastAsia" w:ascii="仿宋_GB2312" w:hAnsi="仿宋_GB2312" w:eastAsia="仿宋_GB2312" w:cs="仿宋_GB2312"/>
          <w:kern w:val="0"/>
          <w:sz w:val="32"/>
          <w:szCs w:val="32"/>
          <w:lang w:val="en-US" w:eastAsia="zh-CN"/>
        </w:rPr>
        <w:t xml:space="preserve">    （4）建立健全食堂餐饮各项制度；检查各项制度是否健全，是否落实到位。包括但不限于食堂岗位责任制度、从业人员健康与卫生制度、食材采购与验收制度、食材储存管理制度、食品加工操作制度、餐具环境清洁消毒制度、食品安全与留样制度、用餐秩序与就餐管理制度、燃气水电设备安全制度、台账记录管理制度、应急管理制度。</w:t>
      </w:r>
      <w:r>
        <w:rPr>
          <w:rFonts w:hint="eastAsia" w:ascii="仿宋_GB2312" w:hAnsi="仿宋_GB2312" w:eastAsia="仿宋_GB2312" w:cs="仿宋_GB2312"/>
          <w:kern w:val="0"/>
          <w:sz w:val="32"/>
          <w:szCs w:val="32"/>
          <w:lang w:val="en-US" w:eastAsia="zh-CN"/>
        </w:rPr>
        <w:br w:type="textWrapping"/>
      </w:r>
      <w:r>
        <w:rPr>
          <w:rFonts w:hint="eastAsia" w:ascii="仿宋_GB2312" w:hAnsi="仿宋_GB2312" w:eastAsia="仿宋_GB2312" w:cs="仿宋_GB2312"/>
          <w:kern w:val="0"/>
          <w:sz w:val="32"/>
          <w:szCs w:val="32"/>
          <w:lang w:val="en-US" w:eastAsia="zh-CN"/>
        </w:rPr>
        <w:t xml:space="preserve">    （5）建立健全各项应急预案。检查预案是否健全，是否定期进行演练。预案包括但不限于食品安全突发事件应急预案、火灾事故应急预案、燃气泄漏应急预案、停水停电应急预案、恶劣天气应急预案、人员意外伤害应急预案、虫害鼠患应急处置预案。</w:t>
      </w:r>
    </w:p>
    <w:p>
      <w:pPr>
        <w:spacing w:line="360" w:lineRule="auto"/>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6）上述5项验收/考核事项内容经使用的4家经营单位每季度末最后一个工作日开展满意度调查，由经营单位全体员工对上述事项打分评价，平均评价得分若低于70分，进行第一次整改提示，若第二次打分评价仍低于70分，则更换相关服务人员至经营单位满意为止。</w:t>
      </w:r>
    </w:p>
    <w:p>
      <w:pPr>
        <w:pStyle w:val="2"/>
        <w:numPr>
          <w:ilvl w:val="0"/>
          <w:numId w:val="0"/>
        </w:numPr>
        <w:rPr>
          <w:rFonts w:hint="default" w:ascii="仿宋_GB2312" w:hAnsi="仿宋_GB2312" w:eastAsia="仿宋_GB2312" w:cs="仿宋_GB2312"/>
          <w:color w:val="000000"/>
          <w:kern w:val="0"/>
          <w:sz w:val="32"/>
          <w:szCs w:val="32"/>
          <w:lang w:val="en-US" w:eastAsia="zh-CN"/>
        </w:rPr>
      </w:pPr>
    </w:p>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26" w:name="_Toc3675"/>
      <w:bookmarkStart w:id="127" w:name="_Toc186737812"/>
      <w:bookmarkStart w:id="128" w:name="_Toc9891"/>
      <w:r>
        <w:rPr>
          <w:rFonts w:hint="eastAsia" w:ascii="仿宋" w:hAnsi="仿宋" w:eastAsia="仿宋" w:cs="仿宋"/>
          <w:sz w:val="28"/>
          <w:szCs w:val="28"/>
        </w:rPr>
        <w:t>第六章 响应文件格式</w:t>
      </w:r>
      <w:bookmarkEnd w:id="126"/>
      <w:bookmarkEnd w:id="12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9" w:name="_Toc3936"/>
      <w:bookmarkStart w:id="130" w:name="_Toc21280"/>
      <w:bookmarkStart w:id="131" w:name="_Toc19783362"/>
      <w:bookmarkStart w:id="132" w:name="_Toc517281836"/>
      <w:bookmarkStart w:id="133" w:name="_Toc25957"/>
      <w:bookmarkStart w:id="134" w:name="_Toc444891353"/>
      <w:bookmarkStart w:id="135" w:name="_Toc287600131"/>
      <w:bookmarkStart w:id="136" w:name="_Toc11783"/>
      <w:bookmarkStart w:id="137" w:name="_Toc19910"/>
      <w:bookmarkStart w:id="138" w:name="_Toc19783360"/>
      <w:bookmarkStart w:id="139" w:name="_Toc287600129"/>
      <w:r>
        <w:rPr>
          <w:rFonts w:ascii="仿宋" w:hAnsi="仿宋" w:eastAsia="仿宋" w:cs="仿宋"/>
          <w:color w:val="000000"/>
          <w:sz w:val="24"/>
          <w:szCs w:val="24"/>
        </w:rPr>
        <w:br w:type="page"/>
      </w:r>
      <w:bookmarkStart w:id="140" w:name="_Toc186737813"/>
      <w:bookmarkStart w:id="141" w:name="_Toc17191"/>
      <w:r>
        <w:rPr>
          <w:rFonts w:hint="eastAsia" w:ascii="仿宋" w:hAnsi="仿宋" w:eastAsia="仿宋" w:cs="仿宋"/>
          <w:color w:val="000000"/>
          <w:sz w:val="24"/>
          <w:szCs w:val="24"/>
        </w:rPr>
        <w:t>一、商务文件</w:t>
      </w:r>
      <w:bookmarkEnd w:id="129"/>
      <w:bookmarkEnd w:id="140"/>
      <w:bookmarkEnd w:id="141"/>
    </w:p>
    <w:p>
      <w:pPr>
        <w:jc w:val="center"/>
      </w:pPr>
      <w:bookmarkStart w:id="142" w:name="_Toc26744"/>
      <w:r>
        <w:rPr>
          <w:rFonts w:hint="eastAsia" w:ascii="仿宋" w:hAnsi="仿宋" w:eastAsia="仿宋" w:cs="仿宋"/>
          <w:b/>
          <w:bCs/>
        </w:rPr>
        <w:t>初步评审索引表</w:t>
      </w:r>
      <w:bookmarkEnd w:id="142"/>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1704"/>
        <w:gridCol w:w="3297"/>
        <w:gridCol w:w="420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4"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8"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08"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8"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08"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08"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08"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08"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8" w:type="dxa"/>
            <w:vAlign w:val="center"/>
          </w:tcPr>
          <w:p>
            <w:pPr>
              <w:spacing w:before="24" w:after="24"/>
              <w:jc w:val="center"/>
              <w:rPr>
                <w:rFonts w:ascii="仿宋" w:hAnsi="仿宋" w:eastAsia="仿宋" w:cs="仿宋"/>
                <w:color w:val="000000"/>
                <w:szCs w:val="21"/>
              </w:rPr>
            </w:pPr>
            <w:r>
              <w:rPr>
                <w:rFonts w:ascii="仿宋" w:hAnsi="仿宋" w:eastAsia="仿宋" w:cs="仿宋"/>
                <w:color w:val="000000"/>
                <w:szCs w:val="21"/>
              </w:rPr>
              <w:t>在中华人民共和国境内依法登记的法人或其他组织，具有独立承担民事责任的能力</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000000"/>
                <w:szCs w:val="21"/>
              </w:rPr>
            </w:pPr>
            <w:r>
              <w:rPr>
                <w:rFonts w:ascii="仿宋" w:hAnsi="仿宋" w:eastAsia="仿宋" w:cs="仿宋"/>
                <w:color w:val="000000"/>
                <w:szCs w:val="21"/>
              </w:rPr>
              <w:t>具有良好的商业信誉和健全的财务会计制度</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000000"/>
                <w:szCs w:val="21"/>
              </w:rPr>
            </w:pPr>
            <w:r>
              <w:rPr>
                <w:rFonts w:ascii="仿宋" w:hAnsi="仿宋" w:eastAsia="仿宋" w:cs="仿宋"/>
                <w:color w:val="000000"/>
                <w:szCs w:val="21"/>
              </w:rPr>
              <w:t>供应商应具有履行合同所必需的设备和专业技术能力</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仿宋"/>
                <w:color w:val="000000"/>
                <w:szCs w:val="21"/>
              </w:rPr>
              <w:t>具有依法缴纳税收和社会保障资金的良好记录</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近三年内无违法违规记录</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FF0000"/>
                <w:szCs w:val="21"/>
              </w:rPr>
            </w:pPr>
            <w:r>
              <w:rPr>
                <w:rFonts w:hint="eastAsia" w:ascii="仿宋" w:hAnsi="仿宋" w:eastAsia="仿宋" w:cs="仿宋"/>
                <w:color w:val="000000"/>
                <w:szCs w:val="21"/>
              </w:rPr>
              <w:t>未被纳入采购人及其所隶属的中国人民保险各级机构的供应商黑名单</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FF0000"/>
                <w:szCs w:val="21"/>
              </w:rPr>
            </w:pPr>
            <w:r>
              <w:rPr>
                <w:rFonts w:hint="eastAsia" w:ascii="仿宋" w:hAnsi="仿宋" w:eastAsia="仿宋" w:cs="仿宋"/>
                <w:color w:val="000000"/>
                <w:szCs w:val="21"/>
              </w:rPr>
              <w:t>控股管理关系</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FF0000"/>
                <w:szCs w:val="21"/>
              </w:rPr>
            </w:pPr>
            <w:r>
              <w:rPr>
                <w:rFonts w:hint="eastAsia" w:ascii="仿宋" w:hAnsi="仿宋" w:eastAsia="仿宋" w:cs="仿宋"/>
                <w:color w:val="000000"/>
                <w:szCs w:val="21"/>
              </w:rPr>
              <w:t>非联合体投标</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8"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08" w:type="dxa"/>
            <w:vAlign w:val="center"/>
          </w:tcPr>
          <w:p>
            <w:pPr>
              <w:spacing w:before="24" w:after="24" w:line="276" w:lineRule="auto"/>
              <w:rPr>
                <w:rFonts w:ascii="仿宋" w:hAnsi="仿宋" w:eastAsia="仿宋" w:cs="仿宋"/>
                <w:color w:val="auto"/>
                <w:szCs w:val="21"/>
              </w:rPr>
            </w:pPr>
          </w:p>
        </w:tc>
      </w:tr>
    </w:tbl>
    <w:p>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30"/>
    <w:bookmarkEnd w:id="131"/>
    <w:bookmarkEnd w:id="132"/>
    <w:bookmarkEnd w:id="133"/>
    <w:bookmarkEnd w:id="134"/>
    <w:bookmarkEnd w:id="135"/>
    <w:bookmarkEnd w:id="136"/>
    <w:bookmarkEnd w:id="137"/>
    <w:p>
      <w:pPr>
        <w:jc w:val="center"/>
        <w:rPr>
          <w:rFonts w:ascii="仿宋" w:hAnsi="仿宋" w:eastAsia="仿宋" w:cs="仿宋"/>
          <w:b/>
          <w:bCs/>
        </w:rPr>
      </w:pPr>
      <w:bookmarkStart w:id="143" w:name="_Toc25121"/>
      <w:bookmarkStart w:id="144" w:name="_Toc27799"/>
      <w:bookmarkStart w:id="145" w:name="_Toc517281837"/>
      <w:bookmarkStart w:id="146" w:name="_Toc12140"/>
      <w:bookmarkStart w:id="147" w:name="_Toc7202"/>
      <w:bookmarkStart w:id="148" w:name="_Toc444891354"/>
      <w:r>
        <w:rPr>
          <w:rFonts w:hint="eastAsia" w:ascii="仿宋" w:hAnsi="仿宋" w:eastAsia="仿宋" w:cs="仿宋"/>
          <w:b/>
          <w:bCs/>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10</w:t>
            </w:r>
            <w:r>
              <w:rPr>
                <w:rFonts w:hint="eastAsia" w:ascii="仿宋" w:hAnsi="仿宋" w:eastAsia="仿宋" w:cs="宋体"/>
                <w:color w:val="000000"/>
                <w:szCs w:val="21"/>
                <w:lang w:bidi="ar"/>
              </w:rPr>
              <w:t>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综合实力</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5"/>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lang w:bidi="ar"/>
              </w:rPr>
            </w:pP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5"/>
        <w:spacing w:before="0" w:line="440" w:lineRule="exact"/>
        <w:rPr>
          <w:rFonts w:ascii="仿宋" w:hAnsi="仿宋" w:eastAsia="仿宋" w:cs="仿宋"/>
          <w:color w:val="000000"/>
          <w:sz w:val="24"/>
          <w:szCs w:val="24"/>
        </w:rPr>
      </w:pPr>
      <w:bookmarkStart w:id="149" w:name="_Toc27958"/>
      <w:bookmarkStart w:id="150" w:name="_Toc186737814"/>
      <w:r>
        <w:rPr>
          <w:rFonts w:hint="eastAsia" w:ascii="仿宋" w:hAnsi="仿宋" w:eastAsia="仿宋" w:cs="仿宋"/>
          <w:color w:val="000000"/>
          <w:sz w:val="24"/>
          <w:szCs w:val="24"/>
        </w:rPr>
        <w:t>（一）响应函</w:t>
      </w:r>
      <w:bookmarkEnd w:id="149"/>
      <w:bookmarkEnd w:id="150"/>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本响应函及磋商响应文件自磋商响应文件提交截止日起有效期为</w:t>
      </w:r>
      <w:r>
        <w:rPr>
          <w:rFonts w:ascii="仿宋" w:hAnsi="仿宋" w:eastAsia="仿宋" w:cs="Cambria Math"/>
          <w:color w:val="auto"/>
          <w:u w:val="single"/>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w:t>
      </w:r>
      <w:r>
        <w:rPr>
          <w:rFonts w:hint="eastAsia" w:ascii="仿宋" w:hAnsi="仿宋" w:eastAsia="仿宋" w:cs="Cambria Math"/>
          <w:color w:val="000000"/>
          <w:lang w:val="en-US" w:eastAsia="zh-CN"/>
        </w:rPr>
        <w:t>普通</w:t>
      </w:r>
      <w:r>
        <w:rPr>
          <w:rFonts w:hint="eastAsia" w:ascii="仿宋" w:hAnsi="仿宋" w:eastAsia="仿宋" w:cs="Cambria Math"/>
          <w:color w:val="000000"/>
        </w:rPr>
        <w:t>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3"/>
      <w:bookmarkEnd w:id="144"/>
      <w:bookmarkEnd w:id="145"/>
      <w:bookmarkEnd w:id="146"/>
      <w:bookmarkEnd w:id="147"/>
      <w:bookmarkEnd w:id="148"/>
      <w:bookmarkStart w:id="151" w:name="_Toc186737815"/>
      <w:bookmarkStart w:id="152" w:name="_Toc13983"/>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186737816"/>
      <w:bookmarkStart w:id="154" w:name="_Toc26267"/>
      <w:bookmarkStart w:id="155" w:name="_Toc287600130"/>
      <w:bookmarkStart w:id="156" w:name="_Toc20707"/>
      <w:bookmarkStart w:id="157" w:name="_Toc19783361"/>
      <w:bookmarkStart w:id="158" w:name="_Toc4426"/>
      <w:bookmarkStart w:id="159" w:name="_Toc5582"/>
      <w:bookmarkStart w:id="160" w:name="_Toc444891355"/>
      <w:bookmarkStart w:id="161" w:name="_Toc517281838"/>
      <w:bookmarkStart w:id="162" w:name="_Toc24788"/>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3" w:name="_Toc30551"/>
      <w:bookmarkStart w:id="164" w:name="_Toc186737817"/>
      <w:bookmarkStart w:id="165" w:name="_Toc517281841"/>
      <w:r>
        <w:rPr>
          <w:rFonts w:hint="eastAsia" w:ascii="仿宋" w:hAnsi="仿宋" w:eastAsia="仿宋" w:cs="仿宋"/>
          <w:color w:val="000000"/>
          <w:sz w:val="24"/>
          <w:szCs w:val="24"/>
        </w:rPr>
        <w:t>（四）资格证明文件</w:t>
      </w:r>
      <w:bookmarkEnd w:id="163"/>
      <w:bookmarkEnd w:id="16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pPr>
      <w:r>
        <w:rPr>
          <w:rFonts w:hint="eastAsia" w:ascii="仿宋" w:hAnsi="仿宋" w:eastAsia="仿宋" w:cs="仿宋"/>
          <w:color w:val="000000"/>
        </w:rPr>
        <w:t>提供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w:t>
      </w:r>
      <w:r>
        <w:rPr>
          <w:rFonts w:hint="eastAsia" w:ascii="仿宋" w:hAnsi="仿宋" w:eastAsia="仿宋" w:cs="仿宋"/>
          <w:color w:val="000000"/>
        </w:rPr>
        <w:t>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28"/>
        <w:gridCol w:w="1337"/>
        <w:gridCol w:w="1270"/>
        <w:gridCol w:w="1264"/>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8"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9"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2"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8、非联合体磋商响应声明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非联合体磋商响应声明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65683009"/>
      <w:bookmarkStart w:id="169" w:name="_Toc186737818"/>
      <w:bookmarkStart w:id="170" w:name="_Toc144139212"/>
      <w:bookmarkStart w:id="171" w:name="_Toc15130"/>
      <w:bookmarkStart w:id="172" w:name="_Toc112068411"/>
      <w:bookmarkStart w:id="173" w:name="_Toc1820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注：所有偏离须在本表中列出，未在本偏离表中列出偏离，将视为供应商已完全接受磋商文件要求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注：所有偏离必须在本表中列出，未在本偏离表中列出偏离，将视为供应商已完全接受竞争性磋商文件要求；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4" w:name="_Toc186737819"/>
      <w:bookmarkStart w:id="175" w:name="_Toc17890"/>
      <w:r>
        <w:rPr>
          <w:rFonts w:hint="eastAsia" w:ascii="仿宋" w:hAnsi="仿宋" w:eastAsia="仿宋" w:cs="仿宋"/>
          <w:color w:val="000000"/>
          <w:sz w:val="24"/>
          <w:szCs w:val="24"/>
        </w:rPr>
        <w:t>（七）供应商行为准则承诺书</w:t>
      </w:r>
      <w:bookmarkEnd w:id="174"/>
      <w:bookmarkEnd w:id="175"/>
    </w:p>
    <w:p>
      <w:pPr>
        <w:jc w:val="center"/>
        <w:rPr>
          <w:rFonts w:ascii="仿宋" w:hAnsi="仿宋" w:eastAsia="仿宋" w:cs="宋体"/>
          <w:b/>
          <w:bCs/>
          <w:color w:val="000000"/>
          <w:sz w:val="28"/>
          <w:szCs w:val="28"/>
        </w:rPr>
      </w:pPr>
      <w:bookmarkStart w:id="176"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7" w:name="_Toc186737820"/>
      <w:bookmarkStart w:id="178" w:name="_Toc8068"/>
      <w:r>
        <w:rPr>
          <w:rFonts w:hint="eastAsia" w:ascii="仿宋" w:hAnsi="仿宋" w:eastAsia="仿宋" w:cs="宋体"/>
          <w:bCs w:val="0"/>
          <w:color w:val="000000"/>
          <w:sz w:val="24"/>
          <w:szCs w:val="24"/>
        </w:rPr>
        <w:t>（八）供应商廉洁诚信承诺书</w:t>
      </w:r>
      <w:bookmarkEnd w:id="176"/>
      <w:bookmarkEnd w:id="177"/>
      <w:bookmarkEnd w:id="17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cs="宋体"/>
          <w:color w:val="000000"/>
          <w:szCs w:val="24"/>
        </w:rPr>
      </w:pPr>
      <w:bookmarkStart w:id="179" w:name="_Toc186737821"/>
      <w:r>
        <w:rPr>
          <w:rFonts w:hint="eastAsia" w:ascii="仿宋" w:hAnsi="仿宋" w:eastAsia="仿宋" w:cs="宋体"/>
          <w:bCs w:val="0"/>
          <w:color w:val="000000"/>
          <w:sz w:val="24"/>
          <w:szCs w:val="24"/>
        </w:rPr>
        <w:t>（九）信息安全采购要求承诺函</w:t>
      </w:r>
      <w:bookmarkEnd w:id="179"/>
    </w:p>
    <w:p>
      <w:pPr>
        <w:jc w:val="center"/>
        <w:rPr>
          <w:b/>
        </w:rPr>
      </w:pPr>
    </w:p>
    <w:p>
      <w:pPr>
        <w:jc w:val="center"/>
        <w:rPr>
          <w:b/>
        </w:rPr>
      </w:pPr>
      <w:r>
        <w:rPr>
          <w:rFonts w:hint="eastAsia"/>
          <w:b/>
        </w:rPr>
        <w:t>信息安全采购要求承诺函</w:t>
      </w:r>
    </w:p>
    <w:p/>
    <w:p>
      <w:pPr>
        <w:adjustRightInd w:val="0"/>
        <w:snapToGrid w:val="0"/>
        <w:spacing w:line="360" w:lineRule="auto"/>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致：中国人民财产保险股份有限公司X</w:t>
      </w:r>
      <w:r>
        <w:rPr>
          <w:rFonts w:ascii="仿宋_GB2312" w:hAnsi="宋体" w:eastAsia="仿宋_GB2312"/>
          <w:color w:val="000000" w:themeColor="text1"/>
          <w14:textFill>
            <w14:solidFill>
              <w14:schemeClr w14:val="tx1"/>
            </w14:solidFill>
          </w14:textFill>
        </w:rPr>
        <w:t>X分公司</w:t>
      </w:r>
      <w:r>
        <w:rPr>
          <w:rFonts w:hint="eastAsia" w:ascii="仿宋_GB2312" w:hAnsi="宋体" w:eastAsia="仿宋_GB2312"/>
          <w:color w:val="000000" w:themeColor="text1"/>
          <w14:textFill>
            <w14:solidFill>
              <w14:schemeClr w14:val="tx1"/>
            </w14:solidFill>
          </w14:textFill>
        </w:rPr>
        <w:t>（）</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A投标人向招标人提供的产品或服务，不需要任何外国实体提供技术支持。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000000" w:themeColor="text1"/>
          <w14:textFill>
            <w14:solidFill>
              <w14:schemeClr w14:val="tx1"/>
            </w14:solidFill>
          </w14:textFill>
        </w:rPr>
      </w:pPr>
    </w:p>
    <w:p>
      <w:pPr>
        <w:spacing w:line="360" w:lineRule="auto"/>
        <w:rPr>
          <w:rFonts w:ascii="仿宋_GB2312" w:hAnsi="宋体" w:eastAsia="仿宋_GB2312"/>
          <w:color w:val="000000" w:themeColor="text1"/>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pPr>
        <w:spacing w:line="360" w:lineRule="auto"/>
        <w:rPr>
          <w:rFonts w:ascii="仿宋" w:hAnsi="仿宋" w:eastAsia="仿宋" w:cs="仿宋"/>
          <w:color w:val="000000"/>
        </w:rPr>
      </w:pPr>
      <w:r>
        <w:rPr>
          <w:rFonts w:hint="eastAsia" w:ascii="仿宋_GB2312" w:hAnsi="宋体" w:eastAsia="仿宋_GB2312"/>
          <w:color w:val="000000" w:themeColor="text1"/>
          <w14:textFill>
            <w14:solidFill>
              <w14:schemeClr w14:val="tx1"/>
            </w14:solidFill>
          </w14:textFill>
        </w:rPr>
        <w:t>日期：</w:t>
      </w: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pStyle w:val="5"/>
        <w:spacing w:before="0" w:after="0" w:line="360" w:lineRule="auto"/>
        <w:rPr>
          <w:rFonts w:ascii="仿宋" w:hAnsi="仿宋" w:eastAsia="仿宋" w:cs="宋体"/>
          <w:bCs w:val="0"/>
          <w:color w:val="000000"/>
          <w:sz w:val="21"/>
          <w:szCs w:val="24"/>
        </w:rPr>
      </w:pPr>
      <w:bookmarkStart w:id="180" w:name="_Toc186737822"/>
      <w:r>
        <w:rPr>
          <w:rFonts w:hint="eastAsia" w:ascii="仿宋" w:hAnsi="仿宋" w:eastAsia="仿宋" w:cs="宋体"/>
          <w:color w:val="000000"/>
          <w:sz w:val="24"/>
        </w:rPr>
        <w:t>（十）其他材料</w:t>
      </w:r>
      <w:bookmarkEnd w:id="180"/>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4"/>
        <w:jc w:val="both"/>
        <w:rPr>
          <w:rFonts w:ascii="仿宋" w:hAnsi="仿宋" w:eastAsia="仿宋" w:cs="仿宋"/>
          <w:color w:val="000000"/>
          <w:sz w:val="24"/>
          <w:szCs w:val="24"/>
        </w:rPr>
      </w:pPr>
      <w:bookmarkStart w:id="181" w:name="_Toc28698"/>
      <w:bookmarkStart w:id="182" w:name="_Toc186737823"/>
      <w:r>
        <w:rPr>
          <w:rFonts w:hint="eastAsia" w:ascii="仿宋" w:hAnsi="仿宋" w:eastAsia="仿宋" w:cs="仿宋"/>
          <w:color w:val="000000"/>
          <w:sz w:val="24"/>
          <w:szCs w:val="24"/>
        </w:rPr>
        <w:t>二、技术文件</w:t>
      </w:r>
      <w:bookmarkEnd w:id="181"/>
      <w:bookmarkEnd w:id="182"/>
    </w:p>
    <w:p>
      <w:pPr>
        <w:jc w:val="center"/>
        <w:rPr>
          <w:rFonts w:ascii="仿宋" w:hAnsi="仿宋" w:eastAsia="仿宋" w:cs="仿宋"/>
          <w:b/>
          <w:bCs/>
          <w:highlight w:val="none"/>
        </w:rPr>
      </w:pPr>
      <w:bookmarkStart w:id="183" w:name="_Toc30870"/>
      <w:bookmarkStart w:id="184" w:name="_Toc23108"/>
      <w:r>
        <w:rPr>
          <w:rFonts w:hint="eastAsia" w:ascii="仿宋" w:hAnsi="仿宋" w:eastAsia="仿宋" w:cs="仿宋"/>
          <w:b/>
          <w:bCs/>
          <w:highlight w:val="none"/>
        </w:rPr>
        <w:t>详细评审索引表</w:t>
      </w:r>
      <w:bookmarkEnd w:id="183"/>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40</w:t>
            </w:r>
            <w:r>
              <w:rPr>
                <w:rFonts w:hint="eastAsia" w:ascii="仿宋" w:hAnsi="仿宋" w:eastAsia="仿宋" w:cs="宋体"/>
                <w:color w:val="000000"/>
                <w:szCs w:val="21"/>
              </w:rPr>
              <w:t>分）</w:t>
            </w:r>
          </w:p>
        </w:tc>
        <w:tc>
          <w:tcPr>
            <w:tcW w:w="2268" w:type="dxa"/>
            <w:vAlign w:val="center"/>
          </w:tcPr>
          <w:p>
            <w:pPr>
              <w:jc w:val="center"/>
              <w:rPr>
                <w:rFonts w:ascii="仿宋" w:hAnsi="仿宋" w:eastAsia="仿宋" w:cs="宋体"/>
                <w:color w:val="000000"/>
                <w:szCs w:val="21"/>
              </w:rPr>
            </w:pPr>
            <w:r>
              <w:rPr>
                <w:rFonts w:ascii="仿宋" w:hAnsi="仿宋" w:eastAsia="仿宋" w:cs="宋体"/>
                <w:color w:val="000000"/>
                <w:szCs w:val="21"/>
              </w:rPr>
              <w:t>项目人员配置</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ascii="仿宋" w:hAnsi="仿宋" w:eastAsia="仿宋" w:cs="宋体"/>
                <w:color w:val="000000"/>
                <w:szCs w:val="21"/>
              </w:rPr>
              <w:t>设备设施管理方案</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ascii="仿宋" w:hAnsi="仿宋" w:eastAsia="仿宋" w:cs="宋体"/>
                <w:color w:val="000000"/>
                <w:szCs w:val="21"/>
              </w:rPr>
              <w:t>供餐管理方案</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val="en-US" w:eastAsia="zh-CN" w:bidi="ar"/>
              </w:rPr>
            </w:pPr>
            <w:r>
              <w:rPr>
                <w:rFonts w:hint="eastAsia" w:ascii="仿宋" w:hAnsi="仿宋" w:eastAsia="仿宋" w:cs="宋体"/>
                <w:color w:val="000000"/>
                <w:szCs w:val="21"/>
                <w:lang w:val="en-US" w:eastAsia="zh-CN"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ascii="仿宋" w:hAnsi="仿宋" w:eastAsia="仿宋" w:cs="宋体"/>
                <w:color w:val="000000"/>
                <w:szCs w:val="21"/>
              </w:rPr>
              <w:t>原材料管理方案</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val="en-US" w:eastAsia="zh-CN" w:bidi="ar"/>
              </w:rPr>
            </w:pPr>
            <w:r>
              <w:rPr>
                <w:rFonts w:hint="eastAsia" w:ascii="仿宋" w:hAnsi="仿宋" w:eastAsia="仿宋" w:cs="宋体"/>
                <w:color w:val="000000"/>
                <w:szCs w:val="21"/>
                <w:lang w:val="en-US" w:eastAsia="zh-CN" w:bidi="ar"/>
              </w:rPr>
              <w:t>7</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ascii="仿宋" w:hAnsi="仿宋" w:eastAsia="仿宋" w:cs="宋体"/>
                <w:color w:val="000000"/>
                <w:szCs w:val="21"/>
              </w:rPr>
              <w:t>食堂安全管理方案</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val="en-US" w:eastAsia="zh-CN" w:bidi="ar"/>
              </w:rPr>
            </w:pPr>
            <w:r>
              <w:rPr>
                <w:rFonts w:hint="eastAsia" w:ascii="仿宋" w:hAnsi="仿宋" w:eastAsia="仿宋" w:cs="宋体"/>
                <w:color w:val="000000"/>
                <w:szCs w:val="21"/>
                <w:lang w:val="en-US" w:eastAsia="zh-CN" w:bidi="ar"/>
              </w:rPr>
              <w:t>8</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ascii="仿宋" w:hAnsi="仿宋" w:eastAsia="仿宋" w:cs="宋体"/>
                <w:color w:val="000000"/>
                <w:szCs w:val="21"/>
              </w:rPr>
              <w:t>应急处理预案</w:t>
            </w: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85" w:name="_Toc186737824"/>
      <w:bookmarkStart w:id="186" w:name="_Toc17302"/>
      <w:r>
        <w:rPr>
          <w:rFonts w:hint="eastAsia" w:ascii="仿宋" w:hAnsi="仿宋" w:eastAsia="仿宋" w:cs="仿宋"/>
          <w:color w:val="000000"/>
          <w:sz w:val="24"/>
          <w:szCs w:val="24"/>
        </w:rPr>
        <w:t>（一）采购需求应答偏离表</w:t>
      </w:r>
      <w:bookmarkEnd w:id="184"/>
      <w:bookmarkEnd w:id="185"/>
      <w:bookmarkEnd w:id="186"/>
    </w:p>
    <w:p>
      <w:pPr>
        <w:spacing w:line="360" w:lineRule="auto"/>
        <w:jc w:val="center"/>
        <w:rPr>
          <w:rFonts w:ascii="仿宋" w:hAnsi="仿宋" w:eastAsia="仿宋" w:cs="仿宋"/>
          <w:b/>
          <w:bCs/>
          <w:color w:val="000000"/>
        </w:rPr>
      </w:pPr>
      <w:bookmarkStart w:id="187" w:name="_Toc293297544"/>
      <w:bookmarkStart w:id="188" w:name="_Toc125771198"/>
      <w:bookmarkStart w:id="189" w:name="_Toc125561188"/>
      <w:r>
        <w:rPr>
          <w:rFonts w:hint="eastAsia" w:ascii="仿宋" w:hAnsi="仿宋" w:eastAsia="仿宋" w:cs="仿宋"/>
          <w:b/>
          <w:bCs/>
          <w:color w:val="000000"/>
        </w:rPr>
        <w:t>采购需求应答偏离表</w:t>
      </w:r>
      <w:bookmarkEnd w:id="187"/>
      <w:bookmarkEnd w:id="188"/>
      <w:bookmarkEnd w:id="189"/>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对于未列出的偏离内容视同供应商已完全接受竞争性磋商文件的要求，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90" w:name="_Toc186737825"/>
      <w:bookmarkStart w:id="191" w:name="_Toc8284"/>
      <w:r>
        <w:rPr>
          <w:rFonts w:hint="eastAsia" w:ascii="仿宋" w:hAnsi="仿宋" w:eastAsia="仿宋" w:cs="仿宋"/>
          <w:color w:val="000000"/>
          <w:sz w:val="24"/>
          <w:szCs w:val="24"/>
        </w:rPr>
        <w:t>（二）技术方案</w:t>
      </w:r>
      <w:bookmarkEnd w:id="190"/>
      <w:bookmarkEnd w:id="191"/>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2" w:name="_Toc517281860"/>
      <w:bookmarkStart w:id="193" w:name="_Toc444891358"/>
      <w:r>
        <w:rPr>
          <w:rFonts w:hint="eastAsia" w:ascii="仿宋" w:hAnsi="仿宋" w:eastAsia="仿宋" w:cs="仿宋"/>
          <w:color w:val="000000"/>
        </w:rPr>
        <w:br w:type="page"/>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bl>
    <w:p>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jc w:val="center"/>
              <w:rPr>
                <w:rFonts w:ascii="仿宋" w:hAnsi="仿宋" w:eastAsia="仿宋" w:cs="仿宋"/>
                <w:color w:val="000000"/>
              </w:rPr>
            </w:pPr>
          </w:p>
        </w:tc>
        <w:tc>
          <w:tcPr>
            <w:tcW w:w="945" w:type="dxa"/>
            <w:gridSpan w:val="2"/>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pPr>
              <w:rPr>
                <w:rFonts w:ascii="仿宋" w:hAnsi="仿宋" w:eastAsia="仿宋" w:cs="仿宋"/>
                <w:color w:val="000000"/>
              </w:rPr>
            </w:pPr>
          </w:p>
        </w:tc>
        <w:tc>
          <w:tcPr>
            <w:tcW w:w="1854" w:type="dxa"/>
            <w:gridSpan w:val="2"/>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rPr>
                <w:rFonts w:ascii="仿宋" w:hAnsi="仿宋" w:eastAsia="仿宋" w:cs="仿宋"/>
                <w:color w:val="000000"/>
              </w:rPr>
            </w:pPr>
          </w:p>
        </w:tc>
        <w:tc>
          <w:tcPr>
            <w:tcW w:w="1854" w:type="dxa"/>
            <w:gridSpan w:val="2"/>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94" w:name="_Toc20365"/>
      <w:bookmarkStart w:id="195" w:name="_Toc186737826"/>
      <w:r>
        <w:rPr>
          <w:rFonts w:hint="eastAsia" w:ascii="仿宋" w:hAnsi="仿宋" w:eastAsia="仿宋" w:cs="仿宋"/>
          <w:color w:val="000000"/>
          <w:sz w:val="24"/>
          <w:szCs w:val="24"/>
        </w:rPr>
        <w:t>（三）</w:t>
      </w:r>
      <w:bookmarkEnd w:id="192"/>
      <w:bookmarkEnd w:id="193"/>
      <w:r>
        <w:rPr>
          <w:rFonts w:hint="eastAsia" w:ascii="仿宋" w:hAnsi="仿宋" w:eastAsia="仿宋" w:cs="仿宋"/>
          <w:color w:val="000000"/>
          <w:sz w:val="24"/>
          <w:szCs w:val="24"/>
        </w:rPr>
        <w:t>其他材料</w:t>
      </w:r>
      <w:bookmarkEnd w:id="194"/>
      <w:bookmarkEnd w:id="195"/>
    </w:p>
    <w:p>
      <w:pPr>
        <w:spacing w:line="360" w:lineRule="auto"/>
        <w:rPr>
          <w:rFonts w:ascii="仿宋" w:hAnsi="仿宋" w:eastAsia="仿宋" w:cs="仿宋"/>
          <w:color w:val="000000"/>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pStyle w:val="4"/>
        <w:jc w:val="both"/>
        <w:rPr>
          <w:rFonts w:ascii="仿宋" w:hAnsi="仿宋" w:eastAsia="仿宋" w:cs="仿宋"/>
          <w:color w:val="000000"/>
          <w:sz w:val="24"/>
          <w:szCs w:val="24"/>
        </w:rPr>
      </w:pPr>
      <w:bookmarkStart w:id="196" w:name="_Toc20443"/>
      <w:bookmarkStart w:id="197" w:name="_Toc186737827"/>
      <w:r>
        <w:rPr>
          <w:rFonts w:hint="eastAsia" w:ascii="仿宋" w:hAnsi="仿宋" w:eastAsia="仿宋" w:cs="仿宋"/>
          <w:color w:val="000000"/>
          <w:sz w:val="24"/>
          <w:szCs w:val="24"/>
        </w:rPr>
        <w:t>三、报价文件</w:t>
      </w:r>
      <w:bookmarkEnd w:id="196"/>
      <w:bookmarkEnd w:id="197"/>
    </w:p>
    <w:p>
      <w:pPr>
        <w:pStyle w:val="5"/>
        <w:spacing w:before="0" w:after="0" w:line="360" w:lineRule="auto"/>
        <w:ind w:firstLine="482"/>
        <w:rPr>
          <w:rFonts w:ascii="仿宋" w:hAnsi="仿宋" w:eastAsia="仿宋" w:cs="仿宋"/>
          <w:color w:val="000000"/>
          <w:sz w:val="24"/>
          <w:szCs w:val="24"/>
        </w:rPr>
      </w:pPr>
      <w:bookmarkStart w:id="198" w:name="_Toc511726864"/>
      <w:bookmarkStart w:id="199" w:name="_Toc186737828"/>
      <w:bookmarkStart w:id="200" w:name="_Toc18942"/>
      <w:r>
        <w:rPr>
          <w:rFonts w:hint="eastAsia" w:ascii="仿宋" w:hAnsi="仿宋" w:eastAsia="仿宋" w:cs="仿宋"/>
          <w:color w:val="000000"/>
          <w:sz w:val="24"/>
          <w:szCs w:val="24"/>
        </w:rPr>
        <w:t>（一）报价</w:t>
      </w:r>
      <w:bookmarkEnd w:id="198"/>
      <w:r>
        <w:rPr>
          <w:rFonts w:hint="eastAsia" w:ascii="仿宋" w:hAnsi="仿宋" w:eastAsia="仿宋" w:cs="仿宋"/>
          <w:color w:val="000000"/>
          <w:sz w:val="24"/>
          <w:szCs w:val="24"/>
        </w:rPr>
        <w:t>一览表</w:t>
      </w:r>
      <w:bookmarkEnd w:id="199"/>
      <w:bookmarkEnd w:id="200"/>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4998" w:type="pct"/>
        <w:jc w:val="center"/>
        <w:tblLayout w:type="autofit"/>
        <w:tblCellMar>
          <w:top w:w="0" w:type="dxa"/>
          <w:left w:w="108" w:type="dxa"/>
          <w:bottom w:w="0" w:type="dxa"/>
          <w:right w:w="108" w:type="dxa"/>
        </w:tblCellMar>
      </w:tblPr>
      <w:tblGrid>
        <w:gridCol w:w="1256"/>
        <w:gridCol w:w="1816"/>
        <w:gridCol w:w="1444"/>
        <w:gridCol w:w="1666"/>
        <w:gridCol w:w="1425"/>
        <w:gridCol w:w="1425"/>
      </w:tblGrid>
      <w:tr>
        <w:tblPrEx>
          <w:tblCellMar>
            <w:top w:w="0" w:type="dxa"/>
            <w:left w:w="108" w:type="dxa"/>
            <w:bottom w:w="0" w:type="dxa"/>
            <w:right w:w="108" w:type="dxa"/>
          </w:tblCellMar>
        </w:tblPrEx>
        <w:trPr>
          <w:trHeight w:val="927" w:hRule="atLeast"/>
          <w:jc w:val="center"/>
        </w:trPr>
        <w:tc>
          <w:tcPr>
            <w:tcW w:w="6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1005"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9"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2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
                <w:bCs/>
                <w:color w:val="000000"/>
                <w:szCs w:val="21"/>
                <w:lang w:val="en-US" w:eastAsia="zh-CN"/>
              </w:rPr>
            </w:pPr>
            <w:r>
              <w:rPr>
                <w:rFonts w:hint="eastAsia" w:ascii="仿宋" w:hAnsi="仿宋" w:eastAsia="仿宋" w:cs="宋体"/>
                <w:b/>
                <w:bCs/>
                <w:color w:val="000000"/>
                <w:szCs w:val="21"/>
              </w:rPr>
              <w:t>增值发票类型</w:t>
            </w:r>
            <w:r>
              <w:rPr>
                <w:rFonts w:hint="eastAsia" w:ascii="仿宋" w:hAnsi="仿宋" w:eastAsia="仿宋" w:cs="宋体"/>
                <w:b/>
                <w:bCs/>
                <w:color w:val="000000"/>
                <w:szCs w:val="21"/>
                <w:lang w:eastAsia="zh-CN"/>
              </w:rPr>
              <w:t>（</w:t>
            </w:r>
            <w:r>
              <w:rPr>
                <w:rFonts w:hint="eastAsia" w:ascii="仿宋" w:hAnsi="仿宋" w:eastAsia="仿宋" w:cs="宋体"/>
                <w:b/>
                <w:bCs/>
                <w:color w:val="000000"/>
                <w:szCs w:val="21"/>
                <w:lang w:val="en-US" w:eastAsia="zh-CN"/>
              </w:rPr>
              <w:t>普票</w:t>
            </w:r>
            <w:r>
              <w:rPr>
                <w:rFonts w:hint="eastAsia" w:ascii="仿宋" w:hAnsi="仿宋" w:eastAsia="仿宋" w:cs="宋体"/>
                <w:b/>
                <w:bCs/>
                <w:color w:val="000000"/>
                <w:szCs w:val="21"/>
                <w:lang w:eastAsia="zh-CN"/>
              </w:rPr>
              <w:t>）</w:t>
            </w:r>
          </w:p>
        </w:tc>
        <w:tc>
          <w:tcPr>
            <w:tcW w:w="78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8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备注</w:t>
            </w:r>
          </w:p>
        </w:tc>
      </w:tr>
      <w:tr>
        <w:tblPrEx>
          <w:tblCellMar>
            <w:top w:w="0" w:type="dxa"/>
            <w:left w:w="108" w:type="dxa"/>
            <w:bottom w:w="0" w:type="dxa"/>
            <w:right w:w="108" w:type="dxa"/>
          </w:tblCellMar>
        </w:tblPrEx>
        <w:trPr>
          <w:trHeight w:val="1409" w:hRule="atLeast"/>
          <w:jc w:val="center"/>
        </w:trPr>
        <w:tc>
          <w:tcPr>
            <w:tcW w:w="695"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1005"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人保财险四川省乐山市分公司区县食堂餐饮管理服务采购项目</w:t>
            </w:r>
          </w:p>
        </w:tc>
        <w:tc>
          <w:tcPr>
            <w:tcW w:w="799"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22" w:type="pct"/>
            <w:tcBorders>
              <w:top w:val="single" w:color="auto" w:sz="4" w:space="0"/>
              <w:left w:val="single" w:color="auto" w:sz="4" w:space="0"/>
              <w:bottom w:val="single" w:color="auto" w:sz="4" w:space="0"/>
              <w:right w:val="single" w:color="auto" w:sz="4" w:space="0"/>
            </w:tcBorders>
          </w:tcPr>
          <w:p>
            <w:pPr>
              <w:jc w:val="center"/>
            </w:pPr>
          </w:p>
          <w:p>
            <w:pPr>
              <w:pStyle w:val="2"/>
              <w:rPr>
                <w:rFonts w:ascii="仿宋" w:hAnsi="仿宋" w:eastAsia="仿宋" w:cs="宋体"/>
                <w:color w:val="000000"/>
                <w:szCs w:val="21"/>
              </w:rPr>
            </w:pPr>
          </w:p>
          <w:p>
            <w:pPr>
              <w:pStyle w:val="2"/>
              <w:rPr>
                <w:rFonts w:ascii="仿宋" w:hAnsi="仿宋" w:eastAsia="仿宋" w:cs="宋体"/>
                <w:color w:val="000000"/>
                <w:szCs w:val="21"/>
              </w:rPr>
            </w:pPr>
          </w:p>
        </w:tc>
        <w:tc>
          <w:tcPr>
            <w:tcW w:w="78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8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hint="default" w:ascii="仿宋" w:hAnsi="仿宋" w:eastAsia="仿宋" w:cs="宋体"/>
          <w:bCs/>
          <w:color w:val="000000"/>
          <w:lang w:val="en-US"/>
        </w:rPr>
      </w:pPr>
      <w:r>
        <w:rPr>
          <w:rFonts w:hint="eastAsia" w:ascii="仿宋" w:hAnsi="仿宋" w:eastAsia="仿宋" w:cs="宋体"/>
          <w:bCs/>
          <w:color w:val="000000"/>
        </w:rPr>
        <w:t>2.</w:t>
      </w:r>
      <w:r>
        <w:rPr>
          <w:rFonts w:hint="eastAsia" w:ascii="仿宋" w:hAnsi="仿宋" w:eastAsia="仿宋" w:cs="宋体"/>
          <w:bCs/>
          <w:color w:val="000000"/>
          <w:lang w:val="en-US" w:eastAsia="zh-CN"/>
        </w:rPr>
        <w:t>由于该事项属于职工福利费项目，我司统一要求供应商开具增值税普通发票。如有其他情况不提供增值税普通发票，一律按报价含税总价进行评审。</w:t>
      </w:r>
    </w:p>
    <w:p>
      <w:pPr>
        <w:spacing w:line="360" w:lineRule="auto"/>
        <w:rPr>
          <w:rFonts w:hint="default" w:ascii="仿宋" w:hAnsi="仿宋" w:eastAsia="仿宋" w:cs="仿宋"/>
          <w:color w:val="000000"/>
          <w:lang w:val="en-US" w:eastAsia="zh-CN"/>
        </w:rPr>
      </w:pPr>
    </w:p>
    <w:p>
      <w:pPr>
        <w:widowControl w:val="0"/>
        <w:numPr>
          <w:ilvl w:val="0"/>
          <w:numId w:val="1"/>
        </w:numPr>
        <w:spacing w:line="440" w:lineRule="exact"/>
        <w:jc w:val="right"/>
        <w:rPr>
          <w:rFonts w:ascii="仿宋" w:hAnsi="仿宋" w:eastAsia="仿宋" w:cs="宋体"/>
          <w:color w:val="000000"/>
        </w:rPr>
      </w:pPr>
      <w:bookmarkStart w:id="201" w:name="_Toc16591840"/>
      <w:bookmarkStart w:id="202" w:name="_Toc518302646"/>
      <w:bookmarkStart w:id="203" w:name="_Toc530319762"/>
      <w:bookmarkStart w:id="204" w:name="_Toc517281864"/>
      <w:bookmarkStart w:id="205" w:name="_Toc2267055"/>
      <w:bookmarkStart w:id="206" w:name="_Toc482180015"/>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8"/>
    <w:bookmarkEnd w:id="201"/>
    <w:bookmarkEnd w:id="202"/>
    <w:bookmarkEnd w:id="203"/>
    <w:bookmarkEnd w:id="204"/>
    <w:bookmarkEnd w:id="205"/>
    <w:bookmarkEnd w:id="206"/>
    <w:p>
      <w:pPr>
        <w:adjustRightInd w:val="0"/>
        <w:snapToGrid w:val="0"/>
        <w:spacing w:line="360" w:lineRule="auto"/>
      </w:pPr>
      <w:bookmarkStart w:id="207" w:name="_Toc125183170"/>
      <w:bookmarkEnd w:id="207"/>
      <w:bookmarkStart w:id="208" w:name="_Toc104714659"/>
      <w:bookmarkEnd w:id="208"/>
      <w:bookmarkStart w:id="209" w:name="_Toc127761806"/>
      <w:bookmarkEnd w:id="209"/>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6860774"/>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5880848"/>
      <w:docPartObj>
        <w:docPartGallery w:val="autotext"/>
      </w:docPartObj>
    </w:sdtPr>
    <w:sdtContent>
      <w:sdt>
        <w:sdtPr>
          <w:id w:val="1950508492"/>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1B40DB"/>
    <w:multiLevelType w:val="singleLevel"/>
    <w:tmpl w:val="A01B40DB"/>
    <w:lvl w:ilvl="0" w:tentative="0">
      <w:start w:val="2"/>
      <w:numFmt w:val="decimal"/>
      <w:suff w:val="nothing"/>
      <w:lvlText w:val="（%1）"/>
      <w:lvlJc w:val="left"/>
    </w:lvl>
  </w:abstractNum>
  <w:abstractNum w:abstractNumId="1">
    <w:nsid w:val="A482ADD1"/>
    <w:multiLevelType w:val="singleLevel"/>
    <w:tmpl w:val="A482ADD1"/>
    <w:lvl w:ilvl="0" w:tentative="0">
      <w:start w:val="1"/>
      <w:numFmt w:val="decimal"/>
      <w:lvlText w:val="(%1)"/>
      <w:lvlJc w:val="left"/>
      <w:pPr>
        <w:ind w:left="215" w:hanging="425"/>
      </w:pPr>
      <w:rPr>
        <w:rFonts w:hint="default"/>
      </w:rPr>
    </w:lvl>
  </w:abstractNum>
  <w:abstractNum w:abstractNumId="2">
    <w:nsid w:val="C251AC75"/>
    <w:multiLevelType w:val="singleLevel"/>
    <w:tmpl w:val="C251AC75"/>
    <w:lvl w:ilvl="0" w:tentative="0">
      <w:start w:val="1"/>
      <w:numFmt w:val="decimal"/>
      <w:lvlText w:val="(%1)"/>
      <w:lvlJc w:val="left"/>
      <w:pPr>
        <w:ind w:left="425" w:hanging="425"/>
      </w:pPr>
      <w:rPr>
        <w:rFonts w:hint="default"/>
      </w:rPr>
    </w:lvl>
  </w:abstractNum>
  <w:abstractNum w:abstractNumId="3">
    <w:nsid w:val="C9879EBF"/>
    <w:multiLevelType w:val="singleLevel"/>
    <w:tmpl w:val="C9879EBF"/>
    <w:lvl w:ilvl="0" w:tentative="0">
      <w:start w:val="5"/>
      <w:numFmt w:val="chineseCounting"/>
      <w:suff w:val="nothing"/>
      <w:lvlText w:val="%1、"/>
      <w:lvlJc w:val="left"/>
      <w:rPr>
        <w:rFonts w:hint="eastAsia"/>
      </w:rPr>
    </w:lvl>
  </w:abstractNum>
  <w:abstractNum w:abstractNumId="4">
    <w:nsid w:val="EFED9AD0"/>
    <w:multiLevelType w:val="singleLevel"/>
    <w:tmpl w:val="EFED9AD0"/>
    <w:lvl w:ilvl="0" w:tentative="0">
      <w:start w:val="2"/>
      <w:numFmt w:val="decimal"/>
      <w:suff w:val="nothing"/>
      <w:lvlText w:val="（%1）"/>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6">
    <w:nsid w:val="421DDE6C"/>
    <w:multiLevelType w:val="singleLevel"/>
    <w:tmpl w:val="421DDE6C"/>
    <w:lvl w:ilvl="0" w:tentative="0">
      <w:start w:val="1"/>
      <w:numFmt w:val="decimal"/>
      <w:lvlText w:val="%1."/>
      <w:lvlJc w:val="left"/>
      <w:pPr>
        <w:tabs>
          <w:tab w:val="left" w:pos="312"/>
        </w:tabs>
      </w:pPr>
    </w:lvl>
  </w:abstractNum>
  <w:abstractNum w:abstractNumId="7">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8">
    <w:nsid w:val="5EF8F1ED"/>
    <w:multiLevelType w:val="singleLevel"/>
    <w:tmpl w:val="5EF8F1ED"/>
    <w:lvl w:ilvl="0" w:tentative="0">
      <w:start w:val="3"/>
      <w:numFmt w:val="decimal"/>
      <w:suff w:val="space"/>
      <w:lvlText w:val="%1."/>
      <w:lvlJc w:val="left"/>
    </w:lvl>
  </w:abstractNum>
  <w:abstractNum w:abstractNumId="9">
    <w:nsid w:val="6C00C53E"/>
    <w:multiLevelType w:val="singleLevel"/>
    <w:tmpl w:val="6C00C53E"/>
    <w:lvl w:ilvl="0" w:tentative="0">
      <w:start w:val="4"/>
      <w:numFmt w:val="chineseCounting"/>
      <w:suff w:val="space"/>
      <w:lvlText w:val="第%1章"/>
      <w:lvlJc w:val="left"/>
      <w:rPr>
        <w:rFonts w:hint="eastAsia"/>
      </w:rPr>
    </w:lvl>
  </w:abstractNum>
  <w:num w:numId="1">
    <w:abstractNumId w:val="5"/>
  </w:num>
  <w:num w:numId="2">
    <w:abstractNumId w:val="7"/>
  </w:num>
  <w:num w:numId="3">
    <w:abstractNumId w:val="4"/>
  </w:num>
  <w:num w:numId="4">
    <w:abstractNumId w:val="9"/>
  </w:num>
  <w:num w:numId="5">
    <w:abstractNumId w:val="6"/>
  </w:num>
  <w:num w:numId="6">
    <w:abstractNumId w:val="8"/>
  </w:num>
  <w:num w:numId="7">
    <w:abstractNumId w:val="1"/>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5409E3"/>
    <w:rsid w:val="03CA6EF6"/>
    <w:rsid w:val="0569312B"/>
    <w:rsid w:val="0A141145"/>
    <w:rsid w:val="0ACB4877"/>
    <w:rsid w:val="0D433CEF"/>
    <w:rsid w:val="11B61B63"/>
    <w:rsid w:val="12026876"/>
    <w:rsid w:val="13B40768"/>
    <w:rsid w:val="16E32F27"/>
    <w:rsid w:val="17334565"/>
    <w:rsid w:val="178772D7"/>
    <w:rsid w:val="18146217"/>
    <w:rsid w:val="18215304"/>
    <w:rsid w:val="19332BB1"/>
    <w:rsid w:val="19405FC3"/>
    <w:rsid w:val="1AD676E9"/>
    <w:rsid w:val="1D237383"/>
    <w:rsid w:val="1DA60A6C"/>
    <w:rsid w:val="1F445DC3"/>
    <w:rsid w:val="1F5171F9"/>
    <w:rsid w:val="219E492A"/>
    <w:rsid w:val="232457F5"/>
    <w:rsid w:val="24CF4FC0"/>
    <w:rsid w:val="25626CCB"/>
    <w:rsid w:val="28C3463C"/>
    <w:rsid w:val="292532D4"/>
    <w:rsid w:val="2AD469C2"/>
    <w:rsid w:val="2B15087E"/>
    <w:rsid w:val="2BE94E44"/>
    <w:rsid w:val="2DF81ACA"/>
    <w:rsid w:val="2E3461D7"/>
    <w:rsid w:val="2FE10F66"/>
    <w:rsid w:val="34425E22"/>
    <w:rsid w:val="362C1207"/>
    <w:rsid w:val="37915A99"/>
    <w:rsid w:val="38831968"/>
    <w:rsid w:val="397D76E1"/>
    <w:rsid w:val="44144799"/>
    <w:rsid w:val="44C0653F"/>
    <w:rsid w:val="4532679A"/>
    <w:rsid w:val="495A0EC9"/>
    <w:rsid w:val="4B8270B7"/>
    <w:rsid w:val="4BD21AAA"/>
    <w:rsid w:val="4E4D4338"/>
    <w:rsid w:val="55FE463F"/>
    <w:rsid w:val="56257777"/>
    <w:rsid w:val="595958B9"/>
    <w:rsid w:val="59653685"/>
    <w:rsid w:val="5AE1183E"/>
    <w:rsid w:val="5B5207D8"/>
    <w:rsid w:val="5B7D6727"/>
    <w:rsid w:val="5B9A01BB"/>
    <w:rsid w:val="5BA876ED"/>
    <w:rsid w:val="5BB70D0D"/>
    <w:rsid w:val="5C5D0552"/>
    <w:rsid w:val="5F07503B"/>
    <w:rsid w:val="63936F88"/>
    <w:rsid w:val="64417A15"/>
    <w:rsid w:val="64D051A2"/>
    <w:rsid w:val="65B936A6"/>
    <w:rsid w:val="6829107C"/>
    <w:rsid w:val="6936651F"/>
    <w:rsid w:val="6AD513D0"/>
    <w:rsid w:val="6D535020"/>
    <w:rsid w:val="746305B1"/>
    <w:rsid w:val="74862811"/>
    <w:rsid w:val="772B54F6"/>
    <w:rsid w:val="7913570D"/>
    <w:rsid w:val="7C713C50"/>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p1411"/>
    <w:qFormat/>
    <w:uiPriority w:val="0"/>
    <w:rPr>
      <w:sz w:val="21"/>
      <w:szCs w:val="21"/>
    </w:rPr>
  </w:style>
  <w:style w:type="character" w:customStyle="1" w:styleId="85">
    <w:name w:val="font41"/>
    <w:basedOn w:val="31"/>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FAE10A-019C-4616-8DE5-5C70FD268F03}">
  <ds:schemaRefs/>
</ds:datastoreItem>
</file>

<file path=docProps/app.xml><?xml version="1.0" encoding="utf-8"?>
<Properties xmlns="http://schemas.openxmlformats.org/officeDocument/2006/extended-properties" xmlns:vt="http://schemas.openxmlformats.org/officeDocument/2006/docPropsVTypes">
  <Template>0</Template>
  <Company>Lenovo</Company>
  <Pages>57</Pages>
  <Words>3940</Words>
  <Characters>22464</Characters>
  <Lines>187</Lines>
  <Paragraphs>52</Paragraphs>
  <TotalTime>5</TotalTime>
  <ScaleCrop>false</ScaleCrop>
  <LinksUpToDate>false</LinksUpToDate>
  <CharactersWithSpaces>26352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2025-10-15T02:43:00Z</dcterms:created>
  <dc:creator>Administrator</dc:creator>
  <cp:lastModifiedBy>王珏慧</cp:lastModifiedBy>
  <cp:lastPrinted>2019-12-03T09:03:00Z</cp:lastPrinted>
  <dcterms:modified xsi:type="dcterms:W3CDTF">2026-07-14T00:51:10Z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9D51D5DE874D45BF8DD94706CE2CF9D2_12</vt:lpwstr>
  </property>
</Properties>
</file>