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7CCDF" w14:textId="77777777" w:rsidR="006605AE" w:rsidRDefault="006605AE">
      <w:pPr>
        <w:tabs>
          <w:tab w:val="left" w:pos="720"/>
        </w:tabs>
        <w:spacing w:line="360" w:lineRule="auto"/>
        <w:jc w:val="center"/>
        <w:rPr>
          <w:rFonts w:ascii="楷体" w:eastAsia="楷体" w:hAnsi="楷体" w:cs="楷体" w:hint="eastAsia"/>
          <w:b/>
          <w:sz w:val="30"/>
          <w:szCs w:val="30"/>
        </w:rPr>
      </w:pPr>
      <w:bookmarkStart w:id="0" w:name="_Toc4489_WPSOffice_Level1"/>
    </w:p>
    <w:p w14:paraId="2A8B6220" w14:textId="77777777" w:rsidR="006605AE" w:rsidRDefault="006605AE">
      <w:pPr>
        <w:spacing w:line="360" w:lineRule="auto"/>
        <w:jc w:val="center"/>
        <w:rPr>
          <w:rFonts w:ascii="楷体" w:eastAsia="楷体" w:hAnsi="楷体" w:hint="eastAsia"/>
          <w:sz w:val="44"/>
          <w:szCs w:val="44"/>
        </w:rPr>
      </w:pPr>
    </w:p>
    <w:p w14:paraId="40403AAB" w14:textId="77777777" w:rsidR="006605AE" w:rsidRDefault="006605AE">
      <w:pPr>
        <w:spacing w:line="360" w:lineRule="auto"/>
        <w:jc w:val="center"/>
        <w:rPr>
          <w:rFonts w:ascii="楷体" w:eastAsia="楷体" w:hAnsi="楷体" w:hint="eastAsia"/>
          <w:sz w:val="44"/>
          <w:szCs w:val="44"/>
        </w:rPr>
      </w:pPr>
    </w:p>
    <w:p w14:paraId="7B17922D" w14:textId="77777777" w:rsidR="006605AE" w:rsidRDefault="00000000">
      <w:pPr>
        <w:pStyle w:val="a5"/>
        <w:spacing w:after="0" w:line="360" w:lineRule="auto"/>
        <w:jc w:val="center"/>
        <w:rPr>
          <w:rFonts w:ascii="楷体" w:eastAsia="楷体" w:hAnsi="楷体" w:hint="eastAsia"/>
          <w:b/>
          <w:bCs/>
          <w:sz w:val="44"/>
          <w:szCs w:val="44"/>
        </w:rPr>
      </w:pPr>
      <w:r>
        <w:rPr>
          <w:rFonts w:ascii="楷体" w:eastAsia="楷体" w:hAnsi="楷体" w:hint="eastAsia"/>
          <w:b/>
          <w:sz w:val="44"/>
          <w:szCs w:val="44"/>
        </w:rPr>
        <w:t>既有幕墙结构安全检测鉴定合同</w:t>
      </w:r>
    </w:p>
    <w:p w14:paraId="524FC34E" w14:textId="77777777" w:rsidR="006605AE" w:rsidRDefault="006605AE">
      <w:pPr>
        <w:adjustRightInd w:val="0"/>
        <w:snapToGrid w:val="0"/>
        <w:spacing w:line="360" w:lineRule="auto"/>
        <w:jc w:val="center"/>
        <w:rPr>
          <w:rFonts w:ascii="楷体" w:eastAsia="楷体" w:hAnsi="楷体" w:hint="eastAsia"/>
          <w:b/>
          <w:bCs/>
          <w:sz w:val="44"/>
          <w:szCs w:val="44"/>
        </w:rPr>
      </w:pPr>
    </w:p>
    <w:p w14:paraId="59046405" w14:textId="77777777" w:rsidR="006605AE" w:rsidRDefault="006605AE">
      <w:pPr>
        <w:spacing w:line="360" w:lineRule="auto"/>
        <w:jc w:val="center"/>
        <w:rPr>
          <w:rFonts w:ascii="楷体" w:eastAsia="楷体" w:hAnsi="楷体" w:hint="eastAsia"/>
          <w:sz w:val="44"/>
          <w:szCs w:val="44"/>
        </w:rPr>
      </w:pPr>
    </w:p>
    <w:p w14:paraId="187E081C" w14:textId="77777777" w:rsidR="006605AE" w:rsidRDefault="006605AE">
      <w:pPr>
        <w:adjustRightInd w:val="0"/>
        <w:snapToGrid w:val="0"/>
        <w:spacing w:line="360" w:lineRule="auto"/>
        <w:jc w:val="center"/>
        <w:rPr>
          <w:rFonts w:ascii="楷体" w:eastAsia="楷体" w:hAnsi="楷体" w:hint="eastAsia"/>
          <w:b/>
          <w:bCs/>
          <w:sz w:val="44"/>
          <w:szCs w:val="44"/>
        </w:rPr>
      </w:pPr>
    </w:p>
    <w:p w14:paraId="3609CA0D" w14:textId="77777777" w:rsidR="006605AE" w:rsidRDefault="006605AE">
      <w:pPr>
        <w:pStyle w:val="a5"/>
        <w:spacing w:line="360" w:lineRule="auto"/>
        <w:rPr>
          <w:rFonts w:ascii="楷体" w:eastAsia="楷体" w:hAnsi="楷体" w:hint="eastAsia"/>
          <w:b/>
          <w:bCs/>
          <w:sz w:val="44"/>
          <w:szCs w:val="44"/>
        </w:rPr>
      </w:pPr>
    </w:p>
    <w:p w14:paraId="3099312F" w14:textId="77777777" w:rsidR="006605AE" w:rsidRDefault="006605AE">
      <w:pPr>
        <w:spacing w:line="360" w:lineRule="auto"/>
        <w:rPr>
          <w:rFonts w:ascii="楷体" w:eastAsia="楷体" w:hAnsi="楷体" w:hint="eastAsia"/>
          <w:b/>
          <w:bCs/>
          <w:sz w:val="44"/>
          <w:szCs w:val="44"/>
        </w:rPr>
      </w:pPr>
    </w:p>
    <w:p w14:paraId="0000B776" w14:textId="77777777" w:rsidR="006605AE" w:rsidRDefault="006605AE">
      <w:pPr>
        <w:pStyle w:val="a5"/>
        <w:spacing w:line="360" w:lineRule="auto"/>
        <w:rPr>
          <w:rFonts w:ascii="楷体" w:eastAsia="楷体" w:hAnsi="楷体" w:hint="eastAsia"/>
          <w:b/>
          <w:bCs/>
          <w:sz w:val="44"/>
          <w:szCs w:val="44"/>
        </w:rPr>
      </w:pPr>
    </w:p>
    <w:p w14:paraId="368AE61C" w14:textId="77777777" w:rsidR="006605AE" w:rsidRDefault="006605AE">
      <w:pPr>
        <w:spacing w:line="360" w:lineRule="auto"/>
        <w:rPr>
          <w:rFonts w:ascii="楷体" w:eastAsia="楷体" w:hAnsi="楷体" w:hint="eastAsia"/>
          <w:b/>
          <w:bCs/>
          <w:sz w:val="44"/>
          <w:szCs w:val="44"/>
        </w:rPr>
      </w:pPr>
    </w:p>
    <w:p w14:paraId="09AA9B84" w14:textId="77777777" w:rsidR="006605AE" w:rsidRDefault="006605AE">
      <w:pPr>
        <w:pStyle w:val="a5"/>
        <w:spacing w:line="360" w:lineRule="auto"/>
        <w:rPr>
          <w:rFonts w:ascii="楷体" w:eastAsia="楷体" w:hAnsi="楷体" w:hint="eastAsia"/>
        </w:rPr>
      </w:pPr>
    </w:p>
    <w:p w14:paraId="711CC1F6" w14:textId="77777777" w:rsidR="006605AE" w:rsidRDefault="00000000">
      <w:pPr>
        <w:pStyle w:val="a5"/>
        <w:spacing w:after="0" w:line="360" w:lineRule="auto"/>
        <w:rPr>
          <w:rFonts w:ascii="楷体" w:eastAsia="楷体" w:hAnsi="楷体" w:hint="eastAsia"/>
          <w:b/>
          <w:sz w:val="30"/>
          <w:szCs w:val="30"/>
        </w:rPr>
      </w:pPr>
      <w:r>
        <w:rPr>
          <w:rFonts w:ascii="楷体" w:eastAsia="楷体" w:hAnsi="楷体" w:cs="宋体" w:hint="eastAsia"/>
          <w:b/>
          <w:bCs/>
          <w:sz w:val="30"/>
          <w:szCs w:val="30"/>
        </w:rPr>
        <w:t>项目名称：</w:t>
      </w:r>
      <w:r>
        <w:rPr>
          <w:rFonts w:ascii="楷体" w:eastAsia="楷体" w:hAnsi="楷体" w:cs="宋体" w:hint="eastAsia"/>
          <w:b/>
          <w:bCs/>
          <w:sz w:val="30"/>
          <w:szCs w:val="30"/>
          <w:u w:val="single"/>
        </w:rPr>
        <w:t xml:space="preserve"> </w:t>
      </w:r>
      <w:r>
        <w:rPr>
          <w:rFonts w:ascii="楷体" w:eastAsia="楷体" w:hAnsi="楷体" w:hint="eastAsia"/>
          <w:b/>
          <w:sz w:val="30"/>
          <w:szCs w:val="30"/>
          <w:u w:val="single"/>
        </w:rPr>
        <w:t>宝安人保综合大楼</w:t>
      </w:r>
      <w:r>
        <w:rPr>
          <w:rFonts w:ascii="楷体" w:eastAsia="楷体" w:hAnsi="楷体" w:cs="宋体" w:hint="eastAsia"/>
          <w:b/>
          <w:bCs/>
          <w:spacing w:val="-8"/>
          <w:sz w:val="30"/>
          <w:szCs w:val="30"/>
          <w:u w:val="single"/>
        </w:rPr>
        <w:t xml:space="preserve">                       </w:t>
      </w:r>
    </w:p>
    <w:p w14:paraId="7749DE3E" w14:textId="77777777" w:rsidR="006605AE" w:rsidRDefault="00000000">
      <w:pPr>
        <w:spacing w:line="360" w:lineRule="auto"/>
        <w:rPr>
          <w:rFonts w:ascii="楷体" w:eastAsia="楷体" w:hAnsi="楷体" w:hint="eastAsia"/>
          <w:b/>
          <w:bCs/>
          <w:sz w:val="30"/>
          <w:szCs w:val="30"/>
          <w:u w:val="single"/>
        </w:rPr>
      </w:pPr>
      <w:r>
        <w:rPr>
          <w:rFonts w:ascii="楷体" w:eastAsia="楷体" w:hAnsi="楷体" w:cs="宋体" w:hint="eastAsia"/>
          <w:b/>
          <w:bCs/>
          <w:sz w:val="30"/>
          <w:szCs w:val="30"/>
        </w:rPr>
        <w:t xml:space="preserve">委托方（甲方）： </w:t>
      </w:r>
      <w:r>
        <w:rPr>
          <w:rFonts w:ascii="楷体" w:eastAsia="楷体" w:hAnsi="楷体" w:cs="宋体" w:hint="eastAsia"/>
          <w:b/>
          <w:bCs/>
          <w:spacing w:val="-2"/>
          <w:sz w:val="30"/>
          <w:szCs w:val="30"/>
          <w:u w:val="single"/>
        </w:rPr>
        <w:t xml:space="preserve"> 人保投资控股有限公司           </w:t>
      </w:r>
    </w:p>
    <w:p w14:paraId="67DFF5AB" w14:textId="77777777" w:rsidR="006605AE" w:rsidRDefault="00000000">
      <w:pPr>
        <w:spacing w:line="360" w:lineRule="auto"/>
        <w:rPr>
          <w:rFonts w:ascii="楷体" w:eastAsia="楷体" w:hAnsi="楷体" w:hint="eastAsia"/>
          <w:b/>
          <w:bCs/>
          <w:spacing w:val="-2"/>
          <w:sz w:val="30"/>
          <w:szCs w:val="30"/>
          <w:u w:val="single"/>
        </w:rPr>
      </w:pPr>
      <w:r>
        <w:rPr>
          <w:rFonts w:ascii="楷体" w:eastAsia="楷体" w:hAnsi="楷体" w:cs="宋体" w:hint="eastAsia"/>
          <w:b/>
          <w:bCs/>
          <w:sz w:val="30"/>
          <w:szCs w:val="30"/>
        </w:rPr>
        <w:t>受托方（乙方 ）：</w:t>
      </w:r>
      <w:r>
        <w:rPr>
          <w:rFonts w:ascii="楷体" w:eastAsia="楷体" w:hAnsi="楷体" w:cs="宋体" w:hint="eastAsia"/>
          <w:b/>
          <w:bCs/>
          <w:sz w:val="30"/>
          <w:szCs w:val="30"/>
          <w:u w:val="single"/>
        </w:rPr>
        <w:t xml:space="preserve">                            </w:t>
      </w:r>
    </w:p>
    <w:p w14:paraId="15E098C9" w14:textId="77777777" w:rsidR="006605AE" w:rsidRDefault="00000000">
      <w:pPr>
        <w:spacing w:line="360" w:lineRule="auto"/>
        <w:jc w:val="left"/>
        <w:rPr>
          <w:rFonts w:ascii="楷体" w:eastAsia="楷体" w:hAnsi="楷体" w:hint="eastAsia"/>
          <w:b/>
          <w:bCs/>
          <w:sz w:val="30"/>
          <w:szCs w:val="30"/>
          <w:u w:val="single"/>
        </w:rPr>
      </w:pPr>
      <w:r>
        <w:rPr>
          <w:rFonts w:ascii="楷体" w:eastAsia="楷体" w:hAnsi="楷体" w:cs="宋体" w:hint="eastAsia"/>
          <w:b/>
          <w:bCs/>
          <w:sz w:val="30"/>
          <w:szCs w:val="30"/>
        </w:rPr>
        <w:t>签订时间：</w:t>
      </w:r>
      <w:r>
        <w:rPr>
          <w:rFonts w:ascii="楷体" w:eastAsia="楷体" w:hAnsi="楷体" w:cs="宋体" w:hint="eastAsia"/>
          <w:b/>
          <w:bCs/>
          <w:sz w:val="30"/>
          <w:szCs w:val="30"/>
          <w:u w:val="single"/>
        </w:rPr>
        <w:t xml:space="preserve">     年     月     日</w:t>
      </w:r>
    </w:p>
    <w:p w14:paraId="64520D91" w14:textId="77777777" w:rsidR="006605AE" w:rsidRDefault="00000000">
      <w:pPr>
        <w:spacing w:line="360" w:lineRule="auto"/>
        <w:jc w:val="left"/>
        <w:rPr>
          <w:rFonts w:ascii="楷体" w:eastAsia="楷体" w:hAnsi="楷体" w:hint="eastAsia"/>
          <w:b/>
          <w:sz w:val="30"/>
          <w:szCs w:val="30"/>
        </w:rPr>
      </w:pPr>
      <w:r>
        <w:rPr>
          <w:rFonts w:ascii="楷体" w:eastAsia="楷体" w:hAnsi="楷体" w:cs="宋体" w:hint="eastAsia"/>
          <w:b/>
          <w:bCs/>
          <w:sz w:val="30"/>
          <w:szCs w:val="30"/>
        </w:rPr>
        <w:t>签订地点：</w:t>
      </w:r>
      <w:r>
        <w:rPr>
          <w:rFonts w:ascii="楷体" w:eastAsia="楷体" w:hAnsi="楷体" w:cs="宋体" w:hint="eastAsia"/>
          <w:b/>
          <w:bCs/>
          <w:sz w:val="30"/>
          <w:szCs w:val="30"/>
          <w:u w:val="single"/>
        </w:rPr>
        <w:t xml:space="preserve">                    </w:t>
      </w:r>
    </w:p>
    <w:bookmarkEnd w:id="0"/>
    <w:p w14:paraId="3ADF5682" w14:textId="77777777" w:rsidR="006605AE" w:rsidRDefault="006605AE">
      <w:pPr>
        <w:pStyle w:val="a3"/>
        <w:spacing w:line="360" w:lineRule="auto"/>
        <w:rPr>
          <w:rFonts w:ascii="楷体" w:eastAsia="楷体" w:hAnsi="楷体" w:hint="eastAsia"/>
        </w:rPr>
      </w:pPr>
    </w:p>
    <w:p w14:paraId="2506831C" w14:textId="77777777" w:rsidR="006605AE" w:rsidRDefault="00000000">
      <w:pPr>
        <w:widowControl/>
        <w:spacing w:line="360" w:lineRule="auto"/>
        <w:jc w:val="left"/>
        <w:rPr>
          <w:rFonts w:ascii="楷体" w:eastAsia="楷体" w:hAnsi="楷体" w:hint="eastAsia"/>
          <w:kern w:val="0"/>
          <w:sz w:val="24"/>
        </w:rPr>
      </w:pPr>
      <w:bookmarkStart w:id="1" w:name="_Toc23844_WPSOffice_Level1"/>
      <w:r>
        <w:rPr>
          <w:rFonts w:ascii="楷体" w:eastAsia="楷体" w:hAnsi="楷体"/>
          <w:kern w:val="0"/>
          <w:sz w:val="24"/>
        </w:rPr>
        <w:br w:type="page"/>
      </w:r>
    </w:p>
    <w:p w14:paraId="05E08066" w14:textId="77777777" w:rsidR="006605AE" w:rsidRDefault="00000000">
      <w:pPr>
        <w:spacing w:line="360" w:lineRule="auto"/>
        <w:rPr>
          <w:rFonts w:ascii="楷体" w:eastAsia="楷体" w:hAnsi="楷体" w:cs="宋体" w:hint="eastAsia"/>
          <w:spacing w:val="-2"/>
          <w:sz w:val="24"/>
          <w:u w:val="single"/>
        </w:rPr>
      </w:pPr>
      <w:r>
        <w:rPr>
          <w:rFonts w:ascii="楷体" w:eastAsia="楷体" w:hAnsi="楷体" w:hint="eastAsia"/>
          <w:kern w:val="0"/>
          <w:sz w:val="24"/>
        </w:rPr>
        <w:lastRenderedPageBreak/>
        <w:t>甲    方（采购人）：</w:t>
      </w:r>
      <w:bookmarkStart w:id="2" w:name="_Toc24303_WPSOffice_Level1"/>
      <w:bookmarkEnd w:id="1"/>
      <w:r>
        <w:rPr>
          <w:rFonts w:ascii="楷体" w:eastAsia="楷体" w:hAnsi="楷体" w:cs="宋体" w:hint="eastAsia"/>
          <w:spacing w:val="-2"/>
          <w:sz w:val="24"/>
          <w:u w:val="single"/>
        </w:rPr>
        <w:t>人保投资控股有限公司</w:t>
      </w:r>
      <w:r>
        <w:rPr>
          <w:rFonts w:ascii="楷体" w:eastAsia="楷体" w:hAnsi="楷体" w:hint="eastAsia"/>
          <w:kern w:val="0"/>
          <w:sz w:val="24"/>
          <w:u w:val="single"/>
        </w:rPr>
        <w:t xml:space="preserve">        </w:t>
      </w:r>
      <w:r>
        <w:rPr>
          <w:rFonts w:ascii="楷体" w:eastAsia="楷体" w:hAnsi="楷体" w:cs="宋体" w:hint="eastAsia"/>
          <w:spacing w:val="-2"/>
          <w:sz w:val="24"/>
          <w:u w:val="single"/>
        </w:rPr>
        <w:t xml:space="preserve"> </w:t>
      </w:r>
    </w:p>
    <w:p w14:paraId="10AA7783" w14:textId="77777777" w:rsidR="006605AE" w:rsidRDefault="00000000">
      <w:pPr>
        <w:spacing w:line="360" w:lineRule="auto"/>
        <w:rPr>
          <w:rFonts w:ascii="楷体" w:eastAsia="楷体" w:hAnsi="楷体" w:hint="eastAsia"/>
          <w:kern w:val="0"/>
          <w:sz w:val="24"/>
          <w:u w:val="single"/>
        </w:rPr>
      </w:pPr>
      <w:r>
        <w:rPr>
          <w:rFonts w:ascii="楷体" w:eastAsia="楷体" w:hAnsi="楷体" w:hint="eastAsia"/>
          <w:kern w:val="0"/>
          <w:sz w:val="24"/>
        </w:rPr>
        <w:t>乙    方（中标人）：</w:t>
      </w:r>
      <w:r>
        <w:rPr>
          <w:rFonts w:ascii="楷体" w:eastAsia="楷体" w:hAnsi="楷体" w:cs="宋体" w:hint="eastAsia"/>
          <w:spacing w:val="-2"/>
          <w:sz w:val="24"/>
          <w:u w:val="single"/>
        </w:rPr>
        <w:t xml:space="preserve">                             </w:t>
      </w:r>
    </w:p>
    <w:bookmarkEnd w:id="2"/>
    <w:p w14:paraId="76B7A7BD" w14:textId="77777777" w:rsidR="006605AE" w:rsidRDefault="00000000">
      <w:pPr>
        <w:spacing w:line="360" w:lineRule="auto"/>
        <w:rPr>
          <w:rFonts w:ascii="楷体" w:eastAsia="楷体" w:hAnsi="楷体" w:hint="eastAsia"/>
          <w:kern w:val="0"/>
          <w:sz w:val="24"/>
        </w:rPr>
      </w:pPr>
      <w:r>
        <w:rPr>
          <w:rFonts w:ascii="楷体" w:eastAsia="楷体" w:hAnsi="楷体" w:hint="eastAsia"/>
          <w:kern w:val="0"/>
          <w:sz w:val="24"/>
        </w:rPr>
        <w:t>项目名称：</w:t>
      </w:r>
      <w:r>
        <w:rPr>
          <w:rFonts w:ascii="楷体" w:eastAsia="楷体" w:hAnsi="楷体" w:hint="eastAsia"/>
          <w:b/>
          <w:sz w:val="24"/>
          <w:u w:val="single"/>
        </w:rPr>
        <w:t xml:space="preserve"> </w:t>
      </w:r>
      <w:r>
        <w:rPr>
          <w:rFonts w:ascii="楷体" w:eastAsia="楷体" w:hAnsi="楷体" w:hint="eastAsia"/>
          <w:bCs/>
          <w:sz w:val="24"/>
          <w:u w:val="single"/>
        </w:rPr>
        <w:t>宝安人保综合大楼</w:t>
      </w:r>
      <w:r>
        <w:rPr>
          <w:rFonts w:ascii="楷体" w:eastAsia="楷体" w:hAnsi="楷体" w:hint="eastAsia"/>
          <w:b/>
          <w:sz w:val="24"/>
          <w:u w:val="single"/>
        </w:rPr>
        <w:t xml:space="preserve">                </w:t>
      </w:r>
    </w:p>
    <w:p w14:paraId="7EAB04FA" w14:textId="77777777" w:rsidR="006605AE" w:rsidRDefault="00000000">
      <w:pPr>
        <w:spacing w:line="360" w:lineRule="auto"/>
        <w:ind w:firstLineChars="200" w:firstLine="480"/>
        <w:rPr>
          <w:rFonts w:ascii="楷体" w:eastAsia="楷体" w:hAnsi="楷体" w:hint="eastAsia"/>
          <w:kern w:val="0"/>
          <w:sz w:val="24"/>
        </w:rPr>
      </w:pPr>
      <w:r>
        <w:rPr>
          <w:rFonts w:ascii="楷体" w:eastAsia="楷体" w:hAnsi="楷体"/>
          <w:kern w:val="0"/>
          <w:sz w:val="24"/>
        </w:rPr>
        <w:t>根据《中华人民共和国</w:t>
      </w:r>
      <w:r>
        <w:rPr>
          <w:rFonts w:ascii="楷体" w:eastAsia="楷体" w:hAnsi="楷体" w:hint="eastAsia"/>
          <w:kern w:val="0"/>
          <w:sz w:val="24"/>
        </w:rPr>
        <w:t>民法典</w:t>
      </w:r>
      <w:r>
        <w:rPr>
          <w:rFonts w:ascii="楷体" w:eastAsia="楷体" w:hAnsi="楷体"/>
          <w:kern w:val="0"/>
          <w:sz w:val="24"/>
        </w:rPr>
        <w:t>》及其他有关法律、法规规章</w:t>
      </w:r>
      <w:r>
        <w:rPr>
          <w:rFonts w:ascii="楷体" w:eastAsia="楷体" w:hAnsi="楷体" w:hint="eastAsia"/>
          <w:kern w:val="0"/>
          <w:sz w:val="24"/>
        </w:rPr>
        <w:t>，</w:t>
      </w:r>
      <w:r>
        <w:rPr>
          <w:rFonts w:ascii="楷体" w:eastAsia="楷体" w:hAnsi="楷体"/>
          <w:kern w:val="0"/>
          <w:sz w:val="24"/>
        </w:rPr>
        <w:t>甲、乙双方在遵循平等、自愿、公平和诚实信用原则的基础上，经过充分的协商，就</w:t>
      </w:r>
      <w:r>
        <w:rPr>
          <w:rFonts w:ascii="楷体" w:eastAsia="楷体" w:hAnsi="楷体" w:hint="eastAsia"/>
          <w:sz w:val="24"/>
          <w:u w:val="single"/>
        </w:rPr>
        <w:t xml:space="preserve"> </w:t>
      </w:r>
      <w:r>
        <w:rPr>
          <w:rFonts w:ascii="楷体" w:eastAsia="楷体" w:hAnsi="楷体" w:hint="eastAsia"/>
          <w:bCs/>
          <w:sz w:val="24"/>
          <w:u w:val="single"/>
        </w:rPr>
        <w:t>宝安人保综合大楼</w:t>
      </w:r>
      <w:r>
        <w:rPr>
          <w:rFonts w:ascii="楷体" w:eastAsia="楷体" w:hAnsi="楷体" w:hint="eastAsia"/>
          <w:b/>
          <w:sz w:val="24"/>
          <w:u w:val="single"/>
        </w:rPr>
        <w:t xml:space="preserve"> </w:t>
      </w:r>
      <w:r>
        <w:rPr>
          <w:rFonts w:ascii="楷体" w:eastAsia="楷体" w:hAnsi="楷体" w:hint="eastAsia"/>
          <w:sz w:val="24"/>
          <w:u w:val="single"/>
        </w:rPr>
        <w:t xml:space="preserve"> </w:t>
      </w:r>
      <w:r>
        <w:rPr>
          <w:rFonts w:ascii="楷体" w:eastAsia="楷体" w:hAnsi="楷体"/>
          <w:kern w:val="0"/>
          <w:sz w:val="24"/>
        </w:rPr>
        <w:t>（以下简称本</w:t>
      </w:r>
      <w:r>
        <w:rPr>
          <w:rFonts w:ascii="楷体" w:eastAsia="楷体" w:hAnsi="楷体" w:hint="eastAsia"/>
          <w:kern w:val="0"/>
          <w:sz w:val="24"/>
        </w:rPr>
        <w:t>项目</w:t>
      </w:r>
      <w:r>
        <w:rPr>
          <w:rFonts w:ascii="楷体" w:eastAsia="楷体" w:hAnsi="楷体"/>
          <w:kern w:val="0"/>
          <w:sz w:val="24"/>
        </w:rPr>
        <w:t>）事宜，达成如下协议，供双方共同遵守履行。</w:t>
      </w:r>
    </w:p>
    <w:p w14:paraId="01EAECD3"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3" w:name="_Toc28004"/>
      <w:r>
        <w:rPr>
          <w:rFonts w:ascii="楷体" w:eastAsia="楷体" w:hAnsi="楷体" w:cs="楷体" w:hint="eastAsia"/>
          <w:b/>
          <w:sz w:val="24"/>
        </w:rPr>
        <w:t>采购项目、数量</w:t>
      </w:r>
      <w:bookmarkEnd w:id="3"/>
    </w:p>
    <w:tbl>
      <w:tblPr>
        <w:tblStyle w:val="ac"/>
        <w:tblW w:w="8466" w:type="dxa"/>
        <w:tblInd w:w="145" w:type="dxa"/>
        <w:tblLayout w:type="fixed"/>
        <w:tblLook w:val="04A0" w:firstRow="1" w:lastRow="0" w:firstColumn="1" w:lastColumn="0" w:noHBand="0" w:noVBand="1"/>
      </w:tblPr>
      <w:tblGrid>
        <w:gridCol w:w="814"/>
        <w:gridCol w:w="1236"/>
        <w:gridCol w:w="1766"/>
        <w:gridCol w:w="1084"/>
        <w:gridCol w:w="1366"/>
        <w:gridCol w:w="767"/>
        <w:gridCol w:w="1433"/>
      </w:tblGrid>
      <w:tr w:rsidR="006605AE" w14:paraId="2E95F76B" w14:textId="77777777">
        <w:trPr>
          <w:trHeight w:val="727"/>
        </w:trPr>
        <w:tc>
          <w:tcPr>
            <w:tcW w:w="814" w:type="dxa"/>
            <w:vAlign w:val="center"/>
          </w:tcPr>
          <w:p w14:paraId="2C8C13D3"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bookmarkStart w:id="4" w:name="_Toc30376"/>
            <w:r>
              <w:rPr>
                <w:rFonts w:ascii="楷体" w:eastAsia="楷体" w:hAnsi="楷体" w:cs="楷体" w:hint="eastAsia"/>
                <w:b/>
                <w:kern w:val="0"/>
                <w:sz w:val="24"/>
              </w:rPr>
              <w:t>序号</w:t>
            </w:r>
            <w:bookmarkEnd w:id="4"/>
          </w:p>
        </w:tc>
        <w:tc>
          <w:tcPr>
            <w:tcW w:w="1236" w:type="dxa"/>
            <w:vAlign w:val="center"/>
          </w:tcPr>
          <w:p w14:paraId="14E14FD6"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幕墙类型</w:t>
            </w:r>
          </w:p>
        </w:tc>
        <w:tc>
          <w:tcPr>
            <w:tcW w:w="1766" w:type="dxa"/>
            <w:vAlign w:val="center"/>
          </w:tcPr>
          <w:p w14:paraId="22C0887B"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检测项目</w:t>
            </w:r>
          </w:p>
        </w:tc>
        <w:tc>
          <w:tcPr>
            <w:tcW w:w="1084" w:type="dxa"/>
            <w:vAlign w:val="center"/>
          </w:tcPr>
          <w:p w14:paraId="4F4091F4"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幕墙面积</w:t>
            </w:r>
          </w:p>
        </w:tc>
        <w:tc>
          <w:tcPr>
            <w:tcW w:w="1366" w:type="dxa"/>
            <w:vAlign w:val="center"/>
          </w:tcPr>
          <w:p w14:paraId="7B2C0B1D"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单价/单栋（元）</w:t>
            </w:r>
          </w:p>
        </w:tc>
        <w:tc>
          <w:tcPr>
            <w:tcW w:w="767" w:type="dxa"/>
            <w:vAlign w:val="center"/>
          </w:tcPr>
          <w:p w14:paraId="63B350B1"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栋数</w:t>
            </w:r>
          </w:p>
        </w:tc>
        <w:tc>
          <w:tcPr>
            <w:tcW w:w="1433" w:type="dxa"/>
            <w:vAlign w:val="center"/>
          </w:tcPr>
          <w:p w14:paraId="712B8B90"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b/>
                <w:kern w:val="0"/>
                <w:sz w:val="24"/>
              </w:rPr>
            </w:pPr>
            <w:r>
              <w:rPr>
                <w:rFonts w:ascii="楷体" w:eastAsia="楷体" w:hAnsi="楷体" w:cs="楷体" w:hint="eastAsia"/>
                <w:b/>
                <w:kern w:val="0"/>
                <w:sz w:val="24"/>
              </w:rPr>
              <w:t>价格（元）</w:t>
            </w:r>
          </w:p>
        </w:tc>
      </w:tr>
      <w:tr w:rsidR="006605AE" w14:paraId="6FB98BFE" w14:textId="77777777">
        <w:trPr>
          <w:trHeight w:val="660"/>
        </w:trPr>
        <w:tc>
          <w:tcPr>
            <w:tcW w:w="814" w:type="dxa"/>
            <w:vAlign w:val="center"/>
          </w:tcPr>
          <w:p w14:paraId="4A41911F"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bookmarkStart w:id="5" w:name="_Toc18061"/>
            <w:r>
              <w:rPr>
                <w:rFonts w:ascii="楷体" w:eastAsia="楷体" w:hAnsi="楷体" w:cs="楷体" w:hint="eastAsia"/>
                <w:kern w:val="0"/>
                <w:sz w:val="24"/>
              </w:rPr>
              <w:t>1</w:t>
            </w:r>
            <w:bookmarkEnd w:id="5"/>
          </w:p>
        </w:tc>
        <w:tc>
          <w:tcPr>
            <w:tcW w:w="1236" w:type="dxa"/>
            <w:vAlign w:val="center"/>
          </w:tcPr>
          <w:p w14:paraId="50693684"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r>
              <w:rPr>
                <w:rFonts w:ascii="楷体" w:eastAsia="楷体" w:hAnsi="楷体" w:cs="楷体" w:hint="eastAsia"/>
                <w:spacing w:val="2"/>
                <w:sz w:val="24"/>
              </w:rPr>
              <w:t>玻璃幕墙</w:t>
            </w:r>
          </w:p>
        </w:tc>
        <w:tc>
          <w:tcPr>
            <w:tcW w:w="1766" w:type="dxa"/>
            <w:vAlign w:val="center"/>
          </w:tcPr>
          <w:p w14:paraId="6F5D4123"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r>
              <w:rPr>
                <w:rFonts w:ascii="楷体" w:eastAsia="楷体" w:hAnsi="楷体" w:cs="楷体" w:hint="eastAsia"/>
                <w:spacing w:val="2"/>
                <w:sz w:val="24"/>
              </w:rPr>
              <w:t>幕墙安全鉴定</w:t>
            </w:r>
          </w:p>
        </w:tc>
        <w:tc>
          <w:tcPr>
            <w:tcW w:w="1084" w:type="dxa"/>
            <w:vAlign w:val="center"/>
          </w:tcPr>
          <w:p w14:paraId="6798DE17"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r>
              <w:rPr>
                <w:rFonts w:ascii="楷体" w:eastAsia="楷体" w:hAnsi="楷体" w:cs="楷体" w:hint="eastAsia"/>
                <w:kern w:val="0"/>
                <w:sz w:val="24"/>
              </w:rPr>
              <w:t>300</w:t>
            </w:r>
          </w:p>
        </w:tc>
        <w:tc>
          <w:tcPr>
            <w:tcW w:w="1366" w:type="dxa"/>
            <w:vAlign w:val="center"/>
          </w:tcPr>
          <w:p w14:paraId="6E8CF44A" w14:textId="77777777" w:rsidR="006605AE" w:rsidRDefault="006605AE">
            <w:pPr>
              <w:pStyle w:val="TableText"/>
              <w:widowControl/>
              <w:kinsoku w:val="0"/>
              <w:autoSpaceDE w:val="0"/>
              <w:autoSpaceDN w:val="0"/>
              <w:adjustRightInd w:val="0"/>
              <w:snapToGrid w:val="0"/>
              <w:spacing w:before="78"/>
              <w:jc w:val="center"/>
              <w:textAlignment w:val="baseline"/>
              <w:rPr>
                <w:rFonts w:ascii="楷体" w:eastAsia="楷体" w:hAnsi="楷体" w:cs="楷体" w:hint="eastAsia"/>
                <w:kern w:val="0"/>
                <w:lang w:eastAsia="zh-CN"/>
              </w:rPr>
            </w:pPr>
          </w:p>
        </w:tc>
        <w:tc>
          <w:tcPr>
            <w:tcW w:w="767" w:type="dxa"/>
            <w:vAlign w:val="center"/>
          </w:tcPr>
          <w:p w14:paraId="3084B637"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r>
              <w:rPr>
                <w:rFonts w:ascii="楷体" w:eastAsia="楷体" w:hAnsi="楷体" w:cs="楷体" w:hint="eastAsia"/>
                <w:kern w:val="0"/>
                <w:sz w:val="24"/>
              </w:rPr>
              <w:t>1</w:t>
            </w:r>
          </w:p>
        </w:tc>
        <w:tc>
          <w:tcPr>
            <w:tcW w:w="1433" w:type="dxa"/>
            <w:vAlign w:val="center"/>
          </w:tcPr>
          <w:p w14:paraId="6E4F3538" w14:textId="77777777" w:rsidR="006605AE" w:rsidRDefault="006605AE">
            <w:pPr>
              <w:pStyle w:val="TableText"/>
              <w:widowControl/>
              <w:kinsoku w:val="0"/>
              <w:autoSpaceDE w:val="0"/>
              <w:autoSpaceDN w:val="0"/>
              <w:adjustRightInd w:val="0"/>
              <w:snapToGrid w:val="0"/>
              <w:spacing w:before="78"/>
              <w:jc w:val="center"/>
              <w:textAlignment w:val="baseline"/>
              <w:rPr>
                <w:rFonts w:ascii="楷体" w:eastAsia="楷体" w:hAnsi="楷体" w:cs="楷体" w:hint="eastAsia"/>
                <w:kern w:val="0"/>
                <w:lang w:eastAsia="zh-CN"/>
              </w:rPr>
            </w:pPr>
          </w:p>
        </w:tc>
      </w:tr>
      <w:tr w:rsidR="006605AE" w14:paraId="409FF39D" w14:textId="77777777">
        <w:trPr>
          <w:trHeight w:val="727"/>
        </w:trPr>
        <w:tc>
          <w:tcPr>
            <w:tcW w:w="814" w:type="dxa"/>
            <w:vAlign w:val="center"/>
          </w:tcPr>
          <w:p w14:paraId="3C3C89C8" w14:textId="77777777" w:rsidR="006605AE" w:rsidRDefault="00000000">
            <w:pPr>
              <w:tabs>
                <w:tab w:val="left" w:pos="426"/>
              </w:tabs>
              <w:autoSpaceDE w:val="0"/>
              <w:autoSpaceDN w:val="0"/>
              <w:adjustRightInd w:val="0"/>
              <w:spacing w:line="360" w:lineRule="auto"/>
              <w:jc w:val="center"/>
              <w:outlineLvl w:val="2"/>
              <w:rPr>
                <w:rFonts w:ascii="楷体" w:eastAsia="楷体" w:hAnsi="楷体" w:cs="楷体" w:hint="eastAsia"/>
                <w:kern w:val="0"/>
                <w:sz w:val="24"/>
              </w:rPr>
            </w:pPr>
            <w:bookmarkStart w:id="6" w:name="_Toc18079"/>
            <w:bookmarkStart w:id="7" w:name="_Toc435540759"/>
            <w:r>
              <w:rPr>
                <w:rFonts w:ascii="楷体" w:eastAsia="楷体" w:hAnsi="楷体" w:cs="楷体" w:hint="eastAsia"/>
                <w:kern w:val="0"/>
                <w:sz w:val="24"/>
              </w:rPr>
              <w:t>合计</w:t>
            </w:r>
          </w:p>
        </w:tc>
        <w:tc>
          <w:tcPr>
            <w:tcW w:w="4086" w:type="dxa"/>
            <w:gridSpan w:val="3"/>
            <w:vAlign w:val="center"/>
          </w:tcPr>
          <w:p w14:paraId="797E96E5" w14:textId="77777777" w:rsidR="006605AE" w:rsidRDefault="006605AE">
            <w:pPr>
              <w:tabs>
                <w:tab w:val="left" w:pos="426"/>
              </w:tabs>
              <w:autoSpaceDE w:val="0"/>
              <w:autoSpaceDN w:val="0"/>
              <w:adjustRightInd w:val="0"/>
              <w:spacing w:line="360" w:lineRule="auto"/>
              <w:jc w:val="center"/>
              <w:outlineLvl w:val="2"/>
              <w:rPr>
                <w:rFonts w:ascii="楷体" w:eastAsia="楷体" w:hAnsi="楷体" w:cs="楷体" w:hint="eastAsia"/>
                <w:kern w:val="0"/>
                <w:sz w:val="24"/>
              </w:rPr>
            </w:pPr>
          </w:p>
        </w:tc>
        <w:tc>
          <w:tcPr>
            <w:tcW w:w="3566" w:type="dxa"/>
            <w:gridSpan w:val="3"/>
            <w:vAlign w:val="center"/>
          </w:tcPr>
          <w:p w14:paraId="086FB5D9" w14:textId="77777777" w:rsidR="006605AE" w:rsidRDefault="006605AE">
            <w:pPr>
              <w:tabs>
                <w:tab w:val="left" w:pos="426"/>
              </w:tabs>
              <w:autoSpaceDE w:val="0"/>
              <w:autoSpaceDN w:val="0"/>
              <w:adjustRightInd w:val="0"/>
              <w:spacing w:line="360" w:lineRule="auto"/>
              <w:jc w:val="center"/>
              <w:outlineLvl w:val="2"/>
              <w:rPr>
                <w:rFonts w:ascii="楷体" w:eastAsia="楷体" w:hAnsi="楷体" w:cs="楷体" w:hint="eastAsia"/>
                <w:kern w:val="0"/>
                <w:sz w:val="24"/>
              </w:rPr>
            </w:pPr>
          </w:p>
        </w:tc>
      </w:tr>
    </w:tbl>
    <w:p w14:paraId="5351A733"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r>
        <w:rPr>
          <w:rFonts w:ascii="楷体" w:eastAsia="楷体" w:hAnsi="楷体" w:cs="楷体" w:hint="eastAsia"/>
          <w:b/>
          <w:sz w:val="24"/>
        </w:rPr>
        <w:t>合同金额</w:t>
      </w:r>
      <w:bookmarkEnd w:id="6"/>
      <w:bookmarkEnd w:id="7"/>
    </w:p>
    <w:p w14:paraId="7E882F35"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合同金额为（大写）：</w:t>
      </w:r>
      <w:r>
        <w:rPr>
          <w:rFonts w:ascii="楷体" w:eastAsia="楷体" w:hAnsi="楷体" w:cs="楷体" w:hint="eastAsia"/>
          <w:sz w:val="24"/>
          <w:u w:val="single"/>
        </w:rPr>
        <w:t xml:space="preserve">              </w:t>
      </w:r>
      <w:r>
        <w:rPr>
          <w:rFonts w:ascii="楷体" w:eastAsia="楷体" w:hAnsi="楷体" w:cs="楷体" w:hint="eastAsia"/>
          <w:sz w:val="24"/>
        </w:rPr>
        <w:t>（</w:t>
      </w:r>
      <w:r>
        <w:rPr>
          <w:rFonts w:hAnsi="宋体" w:cs="宋体" w:hint="eastAsia"/>
          <w:sz w:val="24"/>
        </w:rPr>
        <w:t>¥</w:t>
      </w:r>
      <w:r>
        <w:rPr>
          <w:rFonts w:ascii="楷体" w:eastAsia="楷体" w:hAnsi="楷体" w:cs="楷体" w:hint="eastAsia"/>
          <w:sz w:val="24"/>
          <w:u w:val="single"/>
        </w:rPr>
        <w:t xml:space="preserve">       </w:t>
      </w:r>
      <w:r>
        <w:rPr>
          <w:rFonts w:ascii="楷体" w:eastAsia="楷体" w:hAnsi="楷体" w:cs="楷体" w:hint="eastAsia"/>
          <w:sz w:val="24"/>
        </w:rPr>
        <w:t>）。</w:t>
      </w:r>
    </w:p>
    <w:p w14:paraId="498802BC"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8" w:name="_Toc435540760"/>
      <w:bookmarkStart w:id="9" w:name="_Toc28847"/>
      <w:r>
        <w:rPr>
          <w:rFonts w:ascii="楷体" w:eastAsia="楷体" w:hAnsi="楷体" w:cs="楷体" w:hint="eastAsia"/>
          <w:b/>
          <w:sz w:val="24"/>
        </w:rPr>
        <w:t>服务范围</w:t>
      </w:r>
      <w:bookmarkEnd w:id="8"/>
      <w:bookmarkEnd w:id="9"/>
    </w:p>
    <w:p w14:paraId="01DDB128"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甲方聘请乙方提供以下服务：</w:t>
      </w:r>
    </w:p>
    <w:p w14:paraId="30E1EA41"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既有幕墙结构安全检测鉴定服务，</w:t>
      </w:r>
      <w:r>
        <w:rPr>
          <w:rFonts w:ascii="楷体" w:eastAsia="楷体" w:hAnsi="楷体" w:cs="楷体" w:hint="eastAsia"/>
          <w:sz w:val="24"/>
          <w:u w:val="single"/>
        </w:rPr>
        <w:t>出具鉴定报告</w:t>
      </w:r>
      <w:r>
        <w:rPr>
          <w:rFonts w:ascii="楷体" w:eastAsia="楷体" w:hAnsi="楷体" w:cs="楷体" w:hint="eastAsia"/>
          <w:sz w:val="24"/>
        </w:rPr>
        <w:t>。</w:t>
      </w:r>
    </w:p>
    <w:p w14:paraId="65E48539"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0" w:name="_Toc13367"/>
      <w:r>
        <w:rPr>
          <w:rFonts w:ascii="楷体" w:eastAsia="楷体" w:hAnsi="楷体" w:cs="楷体" w:hint="eastAsia"/>
          <w:b/>
          <w:sz w:val="24"/>
        </w:rPr>
        <w:t>质量要求：</w:t>
      </w:r>
      <w:bookmarkEnd w:id="10"/>
    </w:p>
    <w:p w14:paraId="0AD7C2BD"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根据甲方的委托，并结合本项目实际情况，按照幕墙检测的相关标准进行初步调查、现场检查、结构核算和安全性鉴定。乙方科学地采集和分析相关数据，对幕墙的结构安全性作出客观、公正的检测报告，并提出相应的建议。</w:t>
      </w:r>
    </w:p>
    <w:p w14:paraId="125676C6"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质量要求：乙方在接到甲方通知后按规定的内容、数量及时进行检测，交付报告、成果、文件，并对其质量负责；保证结果的可靠性；检查项目、单元划分、评定规则、抽样数量、检划方法等均应符合深圳市住房和建设局颁布的《既有建筑幕墙安全检查技术标准》；</w:t>
      </w:r>
    </w:p>
    <w:p w14:paraId="1A17408E"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检查鉴定依据：</w:t>
      </w:r>
    </w:p>
    <w:p w14:paraId="09144B06"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（1）《深圳市既有建筑幕墙安全性鉴定技术标准》（SJG 112-2022）；</w:t>
      </w:r>
    </w:p>
    <w:p w14:paraId="6A8EEAF0" w14:textId="5633A234"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（2）《深圳市既有建筑幕墙安全检查技术标准》（SJG43 -</w:t>
      </w:r>
      <w:r w:rsidR="004413D8">
        <w:rPr>
          <w:rFonts w:ascii="楷体" w:eastAsia="楷体" w:hAnsi="楷体" w:cs="楷体" w:hint="eastAsia"/>
          <w:sz w:val="24"/>
        </w:rPr>
        <w:t>20</w:t>
      </w:r>
      <w:r w:rsidR="004413D8">
        <w:rPr>
          <w:rFonts w:ascii="楷体" w:eastAsia="楷体" w:hAnsi="楷体" w:cs="楷体" w:hint="eastAsia"/>
          <w:sz w:val="24"/>
        </w:rPr>
        <w:t>22</w:t>
      </w:r>
      <w:r>
        <w:rPr>
          <w:rFonts w:ascii="楷体" w:eastAsia="楷体" w:hAnsi="楷体" w:cs="楷体" w:hint="eastAsia"/>
          <w:sz w:val="24"/>
        </w:rPr>
        <w:t xml:space="preserve">）； </w:t>
      </w:r>
    </w:p>
    <w:p w14:paraId="07D7D727"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（3）《玻璃幕墙工程质量检验标准》(JGJ/T 139-2020)；</w:t>
      </w:r>
    </w:p>
    <w:p w14:paraId="7E659E19"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lastRenderedPageBreak/>
        <w:t>（4）《玻璃幕墙工程技术规范》（JGJ 102-2003）；</w:t>
      </w:r>
    </w:p>
    <w:p w14:paraId="1B6F285C"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（5）《金属与石材幕墙工程技术规范》(JGJ133-2001)；</w:t>
      </w:r>
    </w:p>
    <w:p w14:paraId="126C0DE4"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（6）其它相关规范、标准和委托单位提供的相关资料；</w:t>
      </w:r>
    </w:p>
    <w:p w14:paraId="565DADB5"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1" w:name="_Toc15148"/>
      <w:bookmarkStart w:id="12" w:name="_Toc435540761"/>
      <w:r>
        <w:rPr>
          <w:rFonts w:ascii="楷体" w:eastAsia="楷体" w:hAnsi="楷体" w:cs="楷体" w:hint="eastAsia"/>
          <w:b/>
          <w:sz w:val="24"/>
        </w:rPr>
        <w:t>甲方乙方的权利和义务</w:t>
      </w:r>
      <w:bookmarkEnd w:id="11"/>
      <w:bookmarkEnd w:id="12"/>
    </w:p>
    <w:p w14:paraId="62DDD656" w14:textId="77777777" w:rsidR="006605AE" w:rsidRDefault="00000000">
      <w:pPr>
        <w:spacing w:line="360" w:lineRule="auto"/>
        <w:ind w:firstLineChars="200" w:firstLine="480"/>
        <w:rPr>
          <w:rFonts w:ascii="楷体" w:eastAsia="楷体" w:hAnsi="楷体" w:cs="楷体" w:hint="eastAsia"/>
          <w:sz w:val="24"/>
        </w:rPr>
      </w:pPr>
      <w:r>
        <w:rPr>
          <w:rFonts w:ascii="楷体" w:eastAsia="楷体" w:hAnsi="楷体" w:cs="楷体" w:hint="eastAsia"/>
          <w:sz w:val="24"/>
        </w:rPr>
        <w:t>1、甲方不得要求乙方违反国家法律、法规及相关检测规程出具不真实的鉴定报告。</w:t>
      </w:r>
    </w:p>
    <w:p w14:paraId="73749C6C"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2、甲方协助提供本项目建筑幕墙的设计图纸、设计说明、结构计算书、材料选用表、施工与安装记录及过程检测资料等相关的文件资料。</w:t>
      </w:r>
    </w:p>
    <w:p w14:paraId="5BA1CCC0"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3、乙方进行现场检测工作时，甲方应委派1名以上工作人员协助乙方工作并免费提供现场检测用的电源、水源、照明等。</w:t>
      </w:r>
    </w:p>
    <w:p w14:paraId="6938C2C8"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4、现场检测之后，建筑物的原状恢复工作由甲方负责。</w:t>
      </w:r>
    </w:p>
    <w:p w14:paraId="4195551D"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5、乙方负责检测前期工作准备，并于完成检测后出具鉴定报告。</w:t>
      </w:r>
    </w:p>
    <w:p w14:paraId="18EF06F0"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6、对于检测相关的技术和专业性问题，乙方为甲方提供免费技术咨询服务。</w:t>
      </w:r>
    </w:p>
    <w:p w14:paraId="24E9F104"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3" w:name="_Toc11665"/>
      <w:r>
        <w:rPr>
          <w:rFonts w:ascii="楷体" w:eastAsia="楷体" w:hAnsi="楷体" w:cs="楷体" w:hint="eastAsia"/>
          <w:b/>
          <w:sz w:val="24"/>
        </w:rPr>
        <w:t>履行期限及地点：</w:t>
      </w:r>
      <w:bookmarkEnd w:id="13"/>
    </w:p>
    <w:p w14:paraId="3DCFF966"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履行期限：委托服务期间自合同签订后进行现场之日起</w:t>
      </w:r>
      <w:r>
        <w:rPr>
          <w:rFonts w:ascii="楷体" w:eastAsia="楷体" w:hAnsi="楷体" w:cs="楷体" w:hint="eastAsia"/>
          <w:sz w:val="24"/>
          <w:szCs w:val="24"/>
          <w:u w:val="single"/>
        </w:rPr>
        <w:t xml:space="preserve">  45  </w:t>
      </w:r>
      <w:r>
        <w:rPr>
          <w:rFonts w:ascii="楷体" w:eastAsia="楷体" w:hAnsi="楷体" w:cs="楷体" w:hint="eastAsia"/>
          <w:sz w:val="24"/>
          <w:szCs w:val="24"/>
        </w:rPr>
        <w:t>日历天。</w:t>
      </w:r>
    </w:p>
    <w:p w14:paraId="6E9F9AD0" w14:textId="77777777" w:rsidR="006605AE" w:rsidRDefault="00000000">
      <w:pPr>
        <w:pStyle w:val="a6"/>
        <w:spacing w:line="360" w:lineRule="auto"/>
        <w:ind w:firstLineChars="200" w:firstLine="480"/>
        <w:rPr>
          <w:rFonts w:ascii="楷体" w:eastAsia="楷体" w:hAnsi="楷体" w:cs="楷体" w:hint="eastAsia"/>
          <w:sz w:val="24"/>
          <w:szCs w:val="24"/>
          <w:u w:val="single"/>
        </w:rPr>
      </w:pPr>
      <w:r>
        <w:rPr>
          <w:rFonts w:ascii="楷体" w:eastAsia="楷体" w:hAnsi="楷体" w:cs="楷体" w:hint="eastAsia"/>
          <w:sz w:val="24"/>
          <w:szCs w:val="24"/>
        </w:rPr>
        <w:t>履约地点：</w:t>
      </w:r>
      <w:r>
        <w:rPr>
          <w:rFonts w:ascii="楷体" w:eastAsia="楷体" w:hAnsi="楷体" w:cs="楷体" w:hint="eastAsia"/>
          <w:sz w:val="24"/>
          <w:szCs w:val="24"/>
          <w:u w:val="single"/>
        </w:rPr>
        <w:t xml:space="preserve"> 宝安区建安一路52号     </w:t>
      </w:r>
    </w:p>
    <w:p w14:paraId="7C0318D1"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4" w:name="_Toc3267"/>
      <w:bookmarkStart w:id="15" w:name="_Toc435540763"/>
      <w:r>
        <w:rPr>
          <w:rFonts w:ascii="楷体" w:eastAsia="楷体" w:hAnsi="楷体" w:cs="楷体" w:hint="eastAsia"/>
          <w:b/>
          <w:sz w:val="24"/>
        </w:rPr>
        <w:t>付款方式</w:t>
      </w:r>
      <w:bookmarkEnd w:id="14"/>
      <w:bookmarkEnd w:id="15"/>
    </w:p>
    <w:p w14:paraId="1DDC027D" w14:textId="77777777" w:rsidR="006605AE" w:rsidRDefault="00000000">
      <w:pPr>
        <w:pStyle w:val="a6"/>
        <w:spacing w:line="360" w:lineRule="auto"/>
        <w:ind w:firstLineChars="200" w:firstLine="480"/>
        <w:rPr>
          <w:rFonts w:ascii="楷体" w:eastAsia="楷体" w:hAnsi="楷体" w:cs="楷体" w:hint="eastAsia"/>
          <w:sz w:val="24"/>
          <w:szCs w:val="24"/>
        </w:rPr>
      </w:pPr>
      <w:bookmarkStart w:id="16" w:name="_Toc435540764"/>
      <w:r>
        <w:rPr>
          <w:rFonts w:ascii="楷体" w:eastAsia="楷体" w:hAnsi="楷体" w:cs="楷体" w:hint="eastAsia"/>
          <w:sz w:val="24"/>
          <w:szCs w:val="24"/>
        </w:rPr>
        <w:t>1、甲乙双方签定本合同后，甲方支付预付款为</w:t>
      </w:r>
      <w:r>
        <w:rPr>
          <w:rFonts w:ascii="楷体" w:eastAsia="楷体" w:hAnsi="楷体" w:cs="楷体" w:hint="eastAsia"/>
          <w:sz w:val="24"/>
          <w:szCs w:val="24"/>
          <w:u w:val="single"/>
        </w:rPr>
        <w:t>合同金额</w:t>
      </w:r>
      <w:r>
        <w:rPr>
          <w:rFonts w:ascii="楷体" w:eastAsia="楷体" w:hAnsi="楷体" w:cs="楷体" w:hint="eastAsia"/>
          <w:sz w:val="24"/>
          <w:szCs w:val="24"/>
        </w:rPr>
        <w:t>的</w:t>
      </w:r>
      <w:r>
        <w:rPr>
          <w:rFonts w:ascii="楷体" w:eastAsia="楷体" w:hAnsi="楷体" w:cs="楷体" w:hint="eastAsia"/>
          <w:sz w:val="24"/>
          <w:szCs w:val="24"/>
          <w:u w:val="single"/>
        </w:rPr>
        <w:t>50%，</w:t>
      </w:r>
      <w:r>
        <w:rPr>
          <w:rFonts w:ascii="楷体" w:eastAsia="楷体" w:hAnsi="楷体" w:cs="楷体" w:hint="eastAsia"/>
          <w:sz w:val="24"/>
          <w:szCs w:val="24"/>
        </w:rPr>
        <w:t>即</w:t>
      </w:r>
      <w:r>
        <w:rPr>
          <w:rFonts w:hAnsi="宋体" w:cs="宋体" w:hint="eastAsia"/>
          <w:sz w:val="24"/>
          <w:szCs w:val="24"/>
          <w:u w:val="single"/>
        </w:rPr>
        <w:t>¥</w:t>
      </w:r>
      <w:r>
        <w:rPr>
          <w:rFonts w:eastAsia="楷体" w:hAnsi="宋体" w:cs="宋体" w:hint="eastAsia"/>
          <w:sz w:val="24"/>
          <w:szCs w:val="24"/>
          <w:u w:val="single"/>
        </w:rPr>
        <w:t xml:space="preserve">    </w:t>
      </w:r>
      <w:r>
        <w:rPr>
          <w:rFonts w:ascii="楷体" w:eastAsia="楷体" w:hAnsi="楷体" w:cs="楷体" w:hint="eastAsia"/>
          <w:sz w:val="24"/>
          <w:szCs w:val="24"/>
          <w:u w:val="single"/>
        </w:rPr>
        <w:t>元</w:t>
      </w:r>
      <w:r>
        <w:rPr>
          <w:rFonts w:ascii="楷体" w:eastAsia="楷体" w:hAnsi="楷体" w:cs="楷体" w:hint="eastAsia"/>
          <w:sz w:val="24"/>
          <w:szCs w:val="24"/>
        </w:rPr>
        <w:t>给乙方，乙方开始进行现场检测工作。</w:t>
      </w:r>
    </w:p>
    <w:p w14:paraId="1C5832EE"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2、乙方出具鉴定报告后，提供等额正式发票，甲方收到发票后7个工作日内一次性付清合同余款为项目</w:t>
      </w:r>
      <w:r>
        <w:rPr>
          <w:rFonts w:ascii="楷体" w:eastAsia="楷体" w:hAnsi="楷体" w:cs="楷体" w:hint="eastAsia"/>
          <w:sz w:val="24"/>
          <w:szCs w:val="24"/>
          <w:u w:val="single"/>
        </w:rPr>
        <w:t>合同金额</w:t>
      </w:r>
      <w:r>
        <w:rPr>
          <w:rFonts w:ascii="楷体" w:eastAsia="楷体" w:hAnsi="楷体" w:cs="楷体" w:hint="eastAsia"/>
          <w:sz w:val="24"/>
          <w:szCs w:val="24"/>
        </w:rPr>
        <w:t>的</w:t>
      </w:r>
      <w:r>
        <w:rPr>
          <w:rFonts w:ascii="楷体" w:eastAsia="楷体" w:hAnsi="楷体" w:cs="楷体" w:hint="eastAsia"/>
          <w:sz w:val="24"/>
          <w:szCs w:val="24"/>
          <w:u w:val="single"/>
        </w:rPr>
        <w:t>50%，</w:t>
      </w:r>
      <w:r>
        <w:rPr>
          <w:rFonts w:ascii="楷体" w:eastAsia="楷体" w:hAnsi="楷体" w:cs="楷体" w:hint="eastAsia"/>
          <w:sz w:val="24"/>
          <w:szCs w:val="24"/>
        </w:rPr>
        <w:t>即</w:t>
      </w:r>
      <w:r>
        <w:rPr>
          <w:rFonts w:hAnsi="宋体" w:cs="宋体" w:hint="eastAsia"/>
          <w:sz w:val="24"/>
          <w:szCs w:val="24"/>
          <w:u w:val="single"/>
        </w:rPr>
        <w:t>¥</w:t>
      </w:r>
      <w:r>
        <w:rPr>
          <w:rFonts w:ascii="楷体" w:eastAsia="楷体" w:hAnsi="楷体" w:cs="楷体" w:hint="eastAsia"/>
          <w:sz w:val="24"/>
          <w:szCs w:val="24"/>
          <w:u w:val="single"/>
        </w:rPr>
        <w:t xml:space="preserve">     元</w:t>
      </w:r>
      <w:r>
        <w:rPr>
          <w:rFonts w:ascii="楷体" w:eastAsia="楷体" w:hAnsi="楷体" w:cs="楷体" w:hint="eastAsia"/>
          <w:sz w:val="24"/>
          <w:szCs w:val="24"/>
        </w:rPr>
        <w:t>给乙方。</w:t>
      </w:r>
    </w:p>
    <w:p w14:paraId="7EA68CCE"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3、乙方收款账号信息</w:t>
      </w:r>
    </w:p>
    <w:p w14:paraId="5674AB74"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开户名称：</w:t>
      </w:r>
    </w:p>
    <w:p w14:paraId="54E25B47"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银行账号：</w:t>
      </w:r>
    </w:p>
    <w:p w14:paraId="0AD4A057"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开 户 行：</w:t>
      </w:r>
    </w:p>
    <w:p w14:paraId="1A17F283"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sz w:val="24"/>
        </w:rPr>
      </w:pPr>
      <w:bookmarkStart w:id="17" w:name="_Toc10107"/>
      <w:r>
        <w:rPr>
          <w:rFonts w:ascii="楷体" w:eastAsia="楷体" w:hAnsi="楷体" w:cs="楷体" w:hint="eastAsia"/>
          <w:b/>
          <w:sz w:val="24"/>
        </w:rPr>
        <w:t>验收要求：</w:t>
      </w:r>
      <w:bookmarkEnd w:id="17"/>
      <w:r>
        <w:rPr>
          <w:rFonts w:ascii="楷体" w:eastAsia="楷体" w:hAnsi="楷体" w:cs="楷体" w:hint="eastAsia"/>
          <w:sz w:val="24"/>
        </w:rPr>
        <w:t>由</w:t>
      </w:r>
      <w:r>
        <w:rPr>
          <w:rFonts w:ascii="楷体" w:eastAsia="楷体" w:hAnsi="楷体" w:cs="楷体" w:hint="eastAsia"/>
          <w:sz w:val="24"/>
          <w:u w:val="single"/>
        </w:rPr>
        <w:t xml:space="preserve"> 乙 </w:t>
      </w:r>
      <w:r>
        <w:rPr>
          <w:rFonts w:ascii="楷体" w:eastAsia="楷体" w:hAnsi="楷体" w:cs="楷体" w:hint="eastAsia"/>
          <w:sz w:val="24"/>
        </w:rPr>
        <w:t>方出具鉴定报告。</w:t>
      </w:r>
    </w:p>
    <w:p w14:paraId="23BF5B51"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8" w:name="_Toc23573"/>
      <w:r>
        <w:rPr>
          <w:rFonts w:ascii="楷体" w:eastAsia="楷体" w:hAnsi="楷体" w:cs="楷体" w:hint="eastAsia"/>
          <w:b/>
          <w:sz w:val="24"/>
        </w:rPr>
        <w:t>知识产权归属</w:t>
      </w:r>
      <w:bookmarkEnd w:id="16"/>
      <w:bookmarkEnd w:id="18"/>
    </w:p>
    <w:p w14:paraId="7F1EF017"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乙方应保证本项目的投标技术、服务或其任何一部分不会产生因第三方提出侵犯其专利权、商标权或其他知识产权而引起的法律和经济纠纷；如因第三方提</w:t>
      </w:r>
      <w:r>
        <w:rPr>
          <w:rFonts w:ascii="楷体" w:eastAsia="楷体" w:hAnsi="楷体" w:cs="楷体" w:hint="eastAsia"/>
          <w:sz w:val="24"/>
          <w:szCs w:val="24"/>
        </w:rPr>
        <w:lastRenderedPageBreak/>
        <w:t>出其专利权、商标权或其他知识产权的侵权之诉，则一切法律责任由乙方承担。</w:t>
      </w:r>
    </w:p>
    <w:p w14:paraId="60ED8F00"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19" w:name="_Toc435540765"/>
      <w:bookmarkStart w:id="20" w:name="_Toc26358"/>
      <w:r>
        <w:rPr>
          <w:rFonts w:ascii="楷体" w:eastAsia="楷体" w:hAnsi="楷体" w:cs="楷体" w:hint="eastAsia"/>
          <w:b/>
          <w:sz w:val="24"/>
        </w:rPr>
        <w:t>保密</w:t>
      </w:r>
      <w:bookmarkEnd w:id="19"/>
      <w:bookmarkEnd w:id="20"/>
    </w:p>
    <w:p w14:paraId="1493DB87"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p>
    <w:p w14:paraId="07598C6F" w14:textId="77777777" w:rsidR="006605AE" w:rsidRDefault="00000000">
      <w:pPr>
        <w:pStyle w:val="a6"/>
        <w:spacing w:line="360" w:lineRule="auto"/>
        <w:ind w:firstLineChars="200" w:firstLine="480"/>
        <w:rPr>
          <w:rFonts w:ascii="楷体" w:eastAsia="楷体" w:hAnsi="楷体" w:cs="楷体" w:hint="eastAsia"/>
          <w:sz w:val="24"/>
          <w:szCs w:val="24"/>
        </w:rPr>
      </w:pPr>
      <w:bookmarkStart w:id="21" w:name="_Toc26491"/>
      <w:bookmarkStart w:id="22" w:name="_Toc435540766"/>
      <w:r>
        <w:rPr>
          <w:rFonts w:ascii="楷体" w:eastAsia="楷体" w:hAnsi="楷体" w:cs="楷体" w:hint="eastAsia"/>
          <w:sz w:val="24"/>
          <w:szCs w:val="24"/>
        </w:rPr>
        <w:t>1、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bookmarkEnd w:id="21"/>
    </w:p>
    <w:p w14:paraId="116D2F41" w14:textId="77777777" w:rsidR="006605AE" w:rsidRDefault="00000000">
      <w:pPr>
        <w:pStyle w:val="a6"/>
        <w:spacing w:line="360" w:lineRule="auto"/>
        <w:ind w:firstLineChars="200" w:firstLine="480"/>
        <w:rPr>
          <w:rFonts w:ascii="楷体" w:eastAsia="楷体" w:hAnsi="楷体" w:cs="楷体" w:hint="eastAsia"/>
          <w:sz w:val="24"/>
          <w:szCs w:val="24"/>
        </w:rPr>
      </w:pPr>
      <w:bookmarkStart w:id="23" w:name="_Toc28896"/>
      <w:r>
        <w:rPr>
          <w:rFonts w:ascii="楷体" w:eastAsia="楷体" w:hAnsi="楷体" w:cs="楷体" w:hint="eastAsia"/>
          <w:sz w:val="24"/>
          <w:szCs w:val="24"/>
        </w:rPr>
        <w:t>2、除了合同本身之外，上款所列举的任何物件均是甲方的财产。如果甲方有要求，乙方在完成合同后应将这些物件及全部复制件还给甲方。</w:t>
      </w:r>
      <w:bookmarkEnd w:id="22"/>
      <w:bookmarkEnd w:id="23"/>
    </w:p>
    <w:p w14:paraId="24BA9B8B"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24" w:name="_Toc10369"/>
      <w:bookmarkStart w:id="25" w:name="_Toc435540767"/>
      <w:r>
        <w:rPr>
          <w:rFonts w:ascii="楷体" w:eastAsia="楷体" w:hAnsi="楷体" w:cs="楷体" w:hint="eastAsia"/>
          <w:b/>
          <w:sz w:val="24"/>
        </w:rPr>
        <w:t>违约责任与赔偿损失</w:t>
      </w:r>
      <w:bookmarkEnd w:id="24"/>
    </w:p>
    <w:p w14:paraId="25EDEF8D"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1、乙方提供的服务不符合采购文件、响应文件或本合同规定的，甲方有权拒收，并且乙方须向甲方支付本合同总价5%的违约金。</w:t>
      </w:r>
    </w:p>
    <w:p w14:paraId="340BB5B6"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2、乙方未能按本合同规定的交货时间交付货物的/提供服务，从逾期之日起每日按本合同总价3‰的数额向甲方支付违约金；逾期15天以上（含15天）的，甲方有权终止合同，要求乙方支付违约金，并且给甲方造成的经济损失由乙方承担赔偿责任。</w:t>
      </w:r>
    </w:p>
    <w:p w14:paraId="4046D784"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3、甲方无正当理由拒收接受服务，到期拒付服务款项的，甲方向乙方偿付本合同总价5%的违约金。甲方逾期付款，则每日按本合同总价的3‰向乙方偿付违约金。</w:t>
      </w:r>
    </w:p>
    <w:p w14:paraId="78C6B8F8"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4、其它违约责任按《中华人民共和国民法典》处理。</w:t>
      </w:r>
    </w:p>
    <w:p w14:paraId="7AB2F003"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26" w:name="_Toc26655"/>
      <w:r>
        <w:rPr>
          <w:rFonts w:ascii="楷体" w:eastAsia="楷体" w:hAnsi="楷体" w:cs="楷体" w:hint="eastAsia"/>
          <w:b/>
          <w:sz w:val="24"/>
        </w:rPr>
        <w:t>争端的解决</w:t>
      </w:r>
      <w:bookmarkEnd w:id="25"/>
      <w:bookmarkEnd w:id="26"/>
    </w:p>
    <w:p w14:paraId="3DAE8EEA" w14:textId="15E279DD"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合同执行过程中发生的任何争议，如双方不能通过友好协商解决，甲、乙双方一致同意向</w:t>
      </w:r>
      <w:r w:rsidR="001F7AB7">
        <w:rPr>
          <w:rFonts w:ascii="楷体" w:eastAsia="楷体" w:hAnsi="楷体" w:cs="楷体" w:hint="eastAsia"/>
          <w:sz w:val="24"/>
          <w:szCs w:val="24"/>
        </w:rPr>
        <w:t>深圳市罗湖区</w:t>
      </w:r>
      <w:r>
        <w:rPr>
          <w:rFonts w:ascii="楷体" w:eastAsia="楷体" w:hAnsi="楷体" w:cs="楷体" w:hint="eastAsia"/>
          <w:sz w:val="24"/>
          <w:szCs w:val="24"/>
        </w:rPr>
        <w:t>人民法院提起诉讼。</w:t>
      </w:r>
    </w:p>
    <w:p w14:paraId="6CAD692B"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27" w:name="_Toc4084"/>
      <w:bookmarkStart w:id="28" w:name="_Toc435540768"/>
      <w:r>
        <w:rPr>
          <w:rFonts w:ascii="楷体" w:eastAsia="楷体" w:hAnsi="楷体" w:cs="楷体" w:hint="eastAsia"/>
          <w:b/>
          <w:sz w:val="24"/>
        </w:rPr>
        <w:t>不可抗力</w:t>
      </w:r>
      <w:bookmarkEnd w:id="27"/>
      <w:bookmarkEnd w:id="28"/>
    </w:p>
    <w:p w14:paraId="53A87F5F"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任何一方由于不可抗力原因不能履行合同时，应在不可抗力事件结束后1日内向对方通报，以减轻可能给对方造成的损失，在取得有关机构的不可抗力证</w:t>
      </w:r>
      <w:r>
        <w:rPr>
          <w:rFonts w:ascii="楷体" w:eastAsia="楷体" w:hAnsi="楷体" w:cs="楷体" w:hint="eastAsia"/>
          <w:sz w:val="24"/>
          <w:szCs w:val="24"/>
        </w:rPr>
        <w:lastRenderedPageBreak/>
        <w:t>明或双方谅解确认后，允许延期履行或修订合同，并根据情况可部分或全部免于承担违约责任。</w:t>
      </w:r>
    </w:p>
    <w:p w14:paraId="022B36F5"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29" w:name="_Toc21978"/>
      <w:bookmarkStart w:id="30" w:name="_Toc435540769"/>
      <w:r>
        <w:rPr>
          <w:rFonts w:ascii="楷体" w:eastAsia="楷体" w:hAnsi="楷体" w:cs="楷体" w:hint="eastAsia"/>
          <w:b/>
          <w:sz w:val="24"/>
        </w:rPr>
        <w:t>税费</w:t>
      </w:r>
      <w:bookmarkEnd w:id="29"/>
      <w:bookmarkEnd w:id="30"/>
    </w:p>
    <w:p w14:paraId="4EE80781"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在中国境内、外发生的与本合同执行有关的一切税费均由乙方负担。</w:t>
      </w:r>
    </w:p>
    <w:p w14:paraId="3674CA0A"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31" w:name="_Toc435540770"/>
      <w:bookmarkStart w:id="32" w:name="_Toc14244"/>
      <w:r>
        <w:rPr>
          <w:rFonts w:ascii="楷体" w:eastAsia="楷体" w:hAnsi="楷体" w:cs="楷体" w:hint="eastAsia"/>
          <w:b/>
          <w:sz w:val="24"/>
        </w:rPr>
        <w:t>其它</w:t>
      </w:r>
      <w:bookmarkEnd w:id="31"/>
      <w:bookmarkEnd w:id="32"/>
    </w:p>
    <w:p w14:paraId="3977BAE0"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1、在执行本合同的过程中，所有经双方签署确认的文件（包括会议纪要、补充协议、往来信函）即成为本合同的有效组成部分。</w:t>
      </w:r>
    </w:p>
    <w:p w14:paraId="4148E3AA"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2、除甲方事先书面同意外，乙方不得部分或全部转让其应履行的合同项下的义务。</w:t>
      </w:r>
    </w:p>
    <w:p w14:paraId="2452C4C1" w14:textId="77777777" w:rsidR="006605AE" w:rsidRDefault="00000000">
      <w:pPr>
        <w:numPr>
          <w:ilvl w:val="0"/>
          <w:numId w:val="1"/>
        </w:numPr>
        <w:autoSpaceDE w:val="0"/>
        <w:autoSpaceDN w:val="0"/>
        <w:adjustRightInd w:val="0"/>
        <w:spacing w:line="360" w:lineRule="auto"/>
        <w:ind w:left="506" w:hangingChars="210" w:hanging="506"/>
        <w:jc w:val="left"/>
        <w:outlineLvl w:val="2"/>
        <w:rPr>
          <w:rFonts w:ascii="楷体" w:eastAsia="楷体" w:hAnsi="楷体" w:cs="楷体" w:hint="eastAsia"/>
          <w:b/>
          <w:sz w:val="24"/>
        </w:rPr>
      </w:pPr>
      <w:bookmarkStart w:id="33" w:name="_Toc29893"/>
      <w:bookmarkStart w:id="34" w:name="_Toc435540771"/>
      <w:r>
        <w:rPr>
          <w:rFonts w:ascii="楷体" w:eastAsia="楷体" w:hAnsi="楷体" w:cs="楷体" w:hint="eastAsia"/>
          <w:b/>
          <w:sz w:val="24"/>
        </w:rPr>
        <w:t>合同生效</w:t>
      </w:r>
      <w:bookmarkEnd w:id="33"/>
      <w:bookmarkEnd w:id="34"/>
    </w:p>
    <w:p w14:paraId="1652EB58"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1、合同自甲乙双方法人代表或其授权代表签字盖章之日起生效。</w:t>
      </w:r>
    </w:p>
    <w:p w14:paraId="061B5089" w14:textId="77777777" w:rsidR="006605AE" w:rsidRDefault="00000000">
      <w:pPr>
        <w:pStyle w:val="a6"/>
        <w:spacing w:line="360" w:lineRule="auto"/>
        <w:ind w:firstLineChars="200" w:firstLine="480"/>
        <w:rPr>
          <w:rFonts w:ascii="楷体" w:eastAsia="楷体" w:hAnsi="楷体" w:cs="楷体" w:hint="eastAsia"/>
          <w:sz w:val="24"/>
          <w:szCs w:val="24"/>
        </w:rPr>
      </w:pPr>
      <w:r>
        <w:rPr>
          <w:rFonts w:ascii="楷体" w:eastAsia="楷体" w:hAnsi="楷体" w:cs="楷体" w:hint="eastAsia"/>
          <w:sz w:val="24"/>
          <w:szCs w:val="24"/>
        </w:rPr>
        <w:t>2、合同壹式</w:t>
      </w:r>
      <w:r>
        <w:rPr>
          <w:rFonts w:ascii="楷体" w:eastAsia="楷体" w:hAnsi="楷体" w:cs="楷体" w:hint="eastAsia"/>
          <w:sz w:val="24"/>
          <w:szCs w:val="24"/>
          <w:u w:val="single"/>
        </w:rPr>
        <w:t>肆</w:t>
      </w:r>
      <w:r>
        <w:rPr>
          <w:rFonts w:ascii="楷体" w:eastAsia="楷体" w:hAnsi="楷体" w:cs="楷体" w:hint="eastAsia"/>
          <w:sz w:val="24"/>
          <w:szCs w:val="24"/>
        </w:rPr>
        <w:t>份，其中甲乙双方各执</w:t>
      </w:r>
      <w:r>
        <w:rPr>
          <w:rFonts w:ascii="楷体" w:eastAsia="楷体" w:hAnsi="楷体" w:cs="楷体" w:hint="eastAsia"/>
          <w:sz w:val="24"/>
          <w:szCs w:val="24"/>
          <w:u w:val="single"/>
        </w:rPr>
        <w:t>贰</w:t>
      </w:r>
      <w:r>
        <w:rPr>
          <w:rFonts w:ascii="楷体" w:eastAsia="楷体" w:hAnsi="楷体" w:cs="楷体" w:hint="eastAsia"/>
          <w:sz w:val="24"/>
          <w:szCs w:val="24"/>
        </w:rPr>
        <w:t>份。</w:t>
      </w:r>
    </w:p>
    <w:p w14:paraId="60ED48C5" w14:textId="77777777" w:rsidR="006605AE" w:rsidRDefault="006605AE">
      <w:pPr>
        <w:tabs>
          <w:tab w:val="left" w:pos="720"/>
        </w:tabs>
        <w:spacing w:line="360" w:lineRule="auto"/>
        <w:rPr>
          <w:rFonts w:ascii="楷体" w:eastAsia="楷体" w:hAnsi="楷体" w:cs="楷体" w:hint="eastAsia"/>
          <w:sz w:val="24"/>
        </w:rPr>
      </w:pPr>
    </w:p>
    <w:p w14:paraId="0A0DA5D4" w14:textId="77777777" w:rsidR="006605AE" w:rsidRDefault="00000000">
      <w:pPr>
        <w:snapToGrid w:val="0"/>
        <w:spacing w:line="360" w:lineRule="auto"/>
        <w:rPr>
          <w:rFonts w:ascii="楷体" w:eastAsia="楷体" w:hAnsi="楷体" w:cs="楷体" w:hint="eastAsia"/>
          <w:sz w:val="24"/>
        </w:rPr>
      </w:pPr>
      <w:r>
        <w:rPr>
          <w:rFonts w:ascii="楷体" w:eastAsia="楷体" w:hAnsi="楷体" w:cs="楷体" w:hint="eastAsia"/>
          <w:sz w:val="24"/>
        </w:rPr>
        <w:t>甲方（盖章）：                       乙方（盖章）：</w:t>
      </w:r>
    </w:p>
    <w:p w14:paraId="489F7DF2" w14:textId="77777777" w:rsidR="006605AE" w:rsidRDefault="00000000">
      <w:pPr>
        <w:snapToGrid w:val="0"/>
        <w:spacing w:line="360" w:lineRule="auto"/>
        <w:rPr>
          <w:rFonts w:ascii="楷体" w:eastAsia="楷体" w:hAnsi="楷体" w:cs="楷体" w:hint="eastAsia"/>
          <w:sz w:val="24"/>
        </w:rPr>
      </w:pPr>
      <w:r>
        <w:rPr>
          <w:rFonts w:ascii="楷体" w:eastAsia="楷体" w:hAnsi="楷体" w:cs="楷体" w:hint="eastAsia"/>
          <w:sz w:val="24"/>
        </w:rPr>
        <w:t>法定代表人或                        法定代表人或</w:t>
      </w:r>
    </w:p>
    <w:p w14:paraId="29AF9524" w14:textId="77777777" w:rsidR="006605AE" w:rsidRDefault="00000000">
      <w:pPr>
        <w:snapToGrid w:val="0"/>
        <w:spacing w:line="360" w:lineRule="auto"/>
        <w:rPr>
          <w:rFonts w:ascii="楷体" w:eastAsia="楷体" w:hAnsi="楷体" w:cs="楷体"/>
          <w:sz w:val="24"/>
        </w:rPr>
      </w:pPr>
      <w:r>
        <w:rPr>
          <w:rFonts w:ascii="楷体" w:eastAsia="楷体" w:hAnsi="楷体" w:cs="楷体" w:hint="eastAsia"/>
          <w:sz w:val="24"/>
        </w:rPr>
        <w:t>授权代表人（签字）：                 授权代表人（签字）：</w:t>
      </w:r>
    </w:p>
    <w:p w14:paraId="6479A6B6" w14:textId="29FD6F62" w:rsidR="004413D8" w:rsidRDefault="004413D8">
      <w:pPr>
        <w:widowControl/>
        <w:jc w:val="left"/>
        <w:rPr>
          <w:rFonts w:ascii="楷体" w:eastAsia="楷体" w:hAnsi="楷体" w:cs="楷体" w:hint="eastAsia"/>
          <w:sz w:val="24"/>
        </w:rPr>
      </w:pPr>
      <w:r>
        <w:rPr>
          <w:rFonts w:ascii="楷体" w:eastAsia="楷体" w:hAnsi="楷体" w:cs="楷体" w:hint="eastAsia"/>
          <w:sz w:val="24"/>
        </w:rPr>
        <w:br w:type="page"/>
      </w:r>
    </w:p>
    <w:p w14:paraId="6A029F28" w14:textId="77777777" w:rsidR="004413D8" w:rsidRDefault="004413D8" w:rsidP="004413D8">
      <w:pPr>
        <w:tabs>
          <w:tab w:val="center" w:pos="5512"/>
        </w:tabs>
        <w:spacing w:line="460" w:lineRule="exact"/>
        <w:ind w:firstLineChars="786" w:firstLine="3472"/>
        <w:rPr>
          <w:rFonts w:ascii="楷体" w:eastAsia="楷体" w:hAnsi="楷体" w:cs="宋体"/>
          <w:b/>
          <w:color w:val="000000"/>
          <w:kern w:val="0"/>
          <w:sz w:val="44"/>
          <w:szCs w:val="44"/>
        </w:rPr>
      </w:pPr>
      <w:r>
        <w:rPr>
          <w:rFonts w:ascii="楷体" w:eastAsia="楷体" w:hAnsi="楷体" w:cs="宋体" w:hint="eastAsia"/>
          <w:b/>
          <w:color w:val="000000"/>
          <w:kern w:val="0"/>
          <w:sz w:val="44"/>
          <w:szCs w:val="44"/>
        </w:rPr>
        <w:lastRenderedPageBreak/>
        <w:t>廉洁协议书</w:t>
      </w:r>
    </w:p>
    <w:p w14:paraId="01A0BD3E" w14:textId="5DE8BDA3" w:rsidR="004413D8" w:rsidRDefault="004413D8" w:rsidP="004413D8">
      <w:pPr>
        <w:spacing w:line="560" w:lineRule="exact"/>
        <w:rPr>
          <w:rFonts w:ascii="楷体" w:eastAsia="楷体" w:hAnsi="楷体" w:hint="eastAsia"/>
          <w:b/>
          <w:color w:val="000000"/>
          <w:sz w:val="24"/>
        </w:rPr>
      </w:pPr>
      <w:r>
        <w:rPr>
          <w:rFonts w:ascii="楷体" w:eastAsia="楷体" w:hAnsi="楷体" w:hint="eastAsia"/>
          <w:b/>
          <w:color w:val="000000"/>
          <w:sz w:val="24"/>
        </w:rPr>
        <w:t>主合同名称：《</w:t>
      </w:r>
      <w:r w:rsidRPr="004413D8">
        <w:rPr>
          <w:rFonts w:ascii="楷体" w:eastAsia="楷体" w:hAnsi="楷体" w:hint="eastAsia"/>
          <w:b/>
          <w:color w:val="000000"/>
          <w:sz w:val="24"/>
        </w:rPr>
        <w:t>既有幕墙结构安全检测鉴定合同</w:t>
      </w:r>
      <w:r>
        <w:rPr>
          <w:rFonts w:ascii="楷体" w:eastAsia="楷体" w:hAnsi="楷体" w:hint="eastAsia"/>
          <w:b/>
          <w:color w:val="000000"/>
          <w:sz w:val="24"/>
        </w:rPr>
        <w:t>》</w:t>
      </w:r>
    </w:p>
    <w:p w14:paraId="0E88A2BB" w14:textId="77777777" w:rsidR="004413D8" w:rsidRDefault="004413D8" w:rsidP="004413D8">
      <w:pPr>
        <w:spacing w:line="560" w:lineRule="exact"/>
        <w:rPr>
          <w:rFonts w:ascii="楷体" w:eastAsia="楷体" w:hAnsi="楷体" w:hint="eastAsia"/>
          <w:b/>
          <w:color w:val="000000"/>
          <w:sz w:val="24"/>
        </w:rPr>
      </w:pPr>
      <w:r>
        <w:rPr>
          <w:rFonts w:ascii="楷体" w:eastAsia="楷体" w:hAnsi="楷体" w:hint="eastAsia"/>
          <w:b/>
          <w:color w:val="000000"/>
          <w:sz w:val="24"/>
        </w:rPr>
        <w:t xml:space="preserve">甲方： 人保投资控股有限公司 </w:t>
      </w:r>
    </w:p>
    <w:p w14:paraId="2AD7A40C" w14:textId="77777777" w:rsidR="004413D8" w:rsidRDefault="004413D8" w:rsidP="004413D8">
      <w:pPr>
        <w:spacing w:line="560" w:lineRule="exact"/>
        <w:rPr>
          <w:rFonts w:ascii="楷体" w:eastAsia="楷体" w:hAnsi="楷体" w:hint="eastAsia"/>
          <w:b/>
          <w:color w:val="000000"/>
          <w:sz w:val="24"/>
        </w:rPr>
      </w:pPr>
      <w:r>
        <w:rPr>
          <w:rFonts w:ascii="楷体" w:eastAsia="楷体" w:hAnsi="楷体" w:hint="eastAsia"/>
          <w:b/>
          <w:color w:val="000000"/>
          <w:sz w:val="24"/>
        </w:rPr>
        <w:t xml:space="preserve">乙方： </w:t>
      </w:r>
    </w:p>
    <w:p w14:paraId="2DBD239C" w14:textId="77777777" w:rsidR="004413D8" w:rsidRDefault="004413D8" w:rsidP="004413D8">
      <w:pPr>
        <w:spacing w:line="560" w:lineRule="exact"/>
        <w:ind w:firstLineChars="200" w:firstLine="560"/>
        <w:rPr>
          <w:rFonts w:ascii="仿宋_GB2312" w:eastAsia="仿宋_GB2312" w:hAnsi="楷体" w:hint="eastAsia"/>
          <w:color w:val="000000"/>
          <w:sz w:val="28"/>
          <w:szCs w:val="28"/>
        </w:rPr>
      </w:pPr>
    </w:p>
    <w:p w14:paraId="4C0BDF31"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为保证双方在公平、公正、公开和诚信的原则下开展经济活动，抵制商业贿赂和不正当竞争，防止甲乙双方的合法利益受到侵害，建立长期的合作关系，甲乙双方经过充分、友好、平等的协商，特签订此廉洁协议书，以便共同遵守，具体如下：</w:t>
      </w:r>
    </w:p>
    <w:p w14:paraId="7E7E2FE1"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第一条 甲乙双方在确立经济（合作）业务关系时应当签署本协议书。</w:t>
      </w:r>
    </w:p>
    <w:p w14:paraId="49FFC16D"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第二条 甲乙双方应遵守以下条款：</w:t>
      </w:r>
    </w:p>
    <w:p w14:paraId="73AC41A5"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（一）甲乙双方应遵守国家法律法规，遵守相关行业管理的有关规定。</w:t>
      </w:r>
    </w:p>
    <w:p w14:paraId="325F48FC"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（二）甲乙双方应坚持公平、公正、公开和诚信，不得损害甲乙双方的利益。</w:t>
      </w:r>
    </w:p>
    <w:p w14:paraId="0C7FB0B6"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（三）甲乙双方应对其工作人员进行廉洁从业教育，使其诚信守法、行为规范。</w:t>
      </w:r>
    </w:p>
    <w:p w14:paraId="19AADC55"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第三条 甲乙双方应遵守以下条款：</w:t>
      </w:r>
    </w:p>
    <w:p w14:paraId="4AD374C8"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（一）甲方的责任</w:t>
      </w:r>
    </w:p>
    <w:p w14:paraId="2D33F692"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1.不准向乙方和相关单位索要或接受包括但不限于回扣、礼金、有价证券、贵重物品和好处费、感谢费等任何费用和物品。</w:t>
      </w:r>
    </w:p>
    <w:p w14:paraId="3D8717AE"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2.不准在乙方和相关单位报销任何应由甲方或个人支付的费用。</w:t>
      </w:r>
    </w:p>
    <w:p w14:paraId="02A4437C"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3.不准要求、暗示和接受乙方和相关单位为个人装修住房、婚丧嫁娶、配偶子女的工作安排以及出国（境）、旅游等提供方便。</w:t>
      </w:r>
    </w:p>
    <w:p w14:paraId="72BD9448"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4.不准参加有可能影响合同履行的乙方和相关单位的宴请、健身、娱乐等活动。</w:t>
      </w:r>
    </w:p>
    <w:p w14:paraId="6DEE7CC0"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（二）乙方的责任</w:t>
      </w:r>
    </w:p>
    <w:p w14:paraId="7134C68F"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1.不准以任何理由向甲方、相关单位及其工作人员索要、接受或赠送礼金、有价证券、贵重物品和回扣、好处费、感谢费等。</w:t>
      </w:r>
    </w:p>
    <w:p w14:paraId="10B2630C"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2.不准以任何理由为甲方和相关单位报销应由对方或个人支付的费用。</w:t>
      </w:r>
    </w:p>
    <w:p w14:paraId="268E8A05"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3.不准接受或暗示为甲方、相关单位或个人装修住房、婚丧嫁娶、配偶子女</w:t>
      </w:r>
      <w:r>
        <w:rPr>
          <w:rFonts w:ascii="楷体" w:eastAsia="楷体" w:hAnsi="楷体" w:hint="eastAsia"/>
          <w:color w:val="000000"/>
          <w:sz w:val="24"/>
        </w:rPr>
        <w:lastRenderedPageBreak/>
        <w:t>的工作安排以及出国（境）、旅游等提供方便。</w:t>
      </w:r>
    </w:p>
    <w:p w14:paraId="4551A04E"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4.不准以任何理由为甲方、相关单位或个人组织有可能影响合同履行的宴请、健身、娱乐等活动。</w:t>
      </w:r>
    </w:p>
    <w:p w14:paraId="677FBCE8"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5.不得接收甲方介绍的亲属或朋友作为本公司员工。</w:t>
      </w:r>
    </w:p>
    <w:p w14:paraId="2A7EF1B1"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6.不得就标底、其他单位的投标书等商业秘密及合同中的业务条款进行私下商谈或者达成默契。</w:t>
      </w:r>
    </w:p>
    <w:p w14:paraId="630ACBDF"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7.不得与其它单位串通投标，不采取恶性竞争等不正当手段竞争业务。</w:t>
      </w:r>
    </w:p>
    <w:p w14:paraId="303C092C"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8.甲方和乙方不得对合作项目弄虚作假、虚报或谎报工程量。</w:t>
      </w:r>
    </w:p>
    <w:p w14:paraId="0A38AAB0"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第四条 乙方如发现甲方工作人员有违反本协议所述行为的，应及时向甲方监督部门举报。</w:t>
      </w:r>
    </w:p>
    <w:p w14:paraId="3AF8E347"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第五条 甲方工作人员违反本协议书规定，经甲方监督部门认定违约事实的，依据甲方有关规定追究甲方当事人的责任，对严重的违纪违法问题，移交司法部门查处，追究刑事责任。</w:t>
      </w:r>
    </w:p>
    <w:p w14:paraId="7933DD40"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第六条 乙方违反本协议书规定，经甲方监督部门认定违约事实的，乙方自愿接受下列处罚规定：</w:t>
      </w:r>
    </w:p>
    <w:p w14:paraId="55BBE4DF"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（一）同意按照主合同总金额的5%支付违约罚金。</w:t>
      </w:r>
    </w:p>
    <w:p w14:paraId="24482C56"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（二）乙方的行为致使甲方工作人员违规的，甲方有权按照供应商管理办法的有关规定执行。</w:t>
      </w:r>
    </w:p>
    <w:p w14:paraId="7FD9933D"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（三）乙方的行为致使甲方工作人员违法的，甲方将长期中止与乙方的所有经济（合作）业务关系。</w:t>
      </w:r>
    </w:p>
    <w:p w14:paraId="58F28D9C"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第七条 甲乙双方经济（合作）业务关系的变更或解除，不影响按本协议书规定要求追究责任及赔偿损失的权利。</w:t>
      </w:r>
    </w:p>
    <w:p w14:paraId="6C2F7CA6"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第八条 本协议书一式叁份，甲方执贰份，乙方执壹份，自盖公章日起生效。</w:t>
      </w:r>
    </w:p>
    <w:p w14:paraId="74CDEA7B"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第九条 本协议书作为甲乙双方签订合同、协议、框架协议之必备附件，与合同（协议、框架协议）正文具有同等法律效力。</w:t>
      </w:r>
    </w:p>
    <w:p w14:paraId="1AA96C65" w14:textId="77777777" w:rsidR="004413D8" w:rsidRDefault="004413D8" w:rsidP="004413D8">
      <w:pPr>
        <w:spacing w:line="460" w:lineRule="exact"/>
        <w:ind w:firstLineChars="200" w:firstLine="480"/>
        <w:rPr>
          <w:rFonts w:ascii="楷体" w:eastAsia="楷体" w:hAnsi="楷体" w:hint="eastAsia"/>
          <w:color w:val="000000"/>
          <w:sz w:val="24"/>
        </w:rPr>
      </w:pPr>
    </w:p>
    <w:p w14:paraId="70B00DF8" w14:textId="77777777" w:rsidR="004413D8" w:rsidRDefault="004413D8" w:rsidP="004413D8">
      <w:pPr>
        <w:spacing w:line="460" w:lineRule="exact"/>
        <w:ind w:firstLineChars="200" w:firstLine="480"/>
        <w:rPr>
          <w:rFonts w:ascii="楷体" w:eastAsia="楷体" w:hAnsi="楷体" w:hint="eastAsia"/>
          <w:color w:val="000000"/>
          <w:sz w:val="24"/>
        </w:rPr>
      </w:pPr>
      <w:r>
        <w:rPr>
          <w:rFonts w:ascii="楷体" w:eastAsia="楷体" w:hAnsi="楷体" w:hint="eastAsia"/>
          <w:color w:val="000000"/>
          <w:sz w:val="24"/>
        </w:rPr>
        <w:t xml:space="preserve">甲方（盖章）：                   乙方（盖章）:                              </w:t>
      </w:r>
    </w:p>
    <w:p w14:paraId="2D14D489" w14:textId="77777777" w:rsidR="004413D8" w:rsidRDefault="004413D8" w:rsidP="004413D8">
      <w:pPr>
        <w:spacing w:line="460" w:lineRule="exact"/>
        <w:ind w:firstLineChars="200" w:firstLine="480"/>
        <w:rPr>
          <w:rFonts w:ascii="楷体" w:eastAsia="楷体" w:hAnsi="楷体" w:hint="eastAsia"/>
          <w:color w:val="000000"/>
          <w:sz w:val="24"/>
        </w:rPr>
      </w:pPr>
    </w:p>
    <w:p w14:paraId="132A65E9" w14:textId="77777777" w:rsidR="004413D8" w:rsidRDefault="004413D8" w:rsidP="004413D8">
      <w:pPr>
        <w:spacing w:line="460" w:lineRule="exact"/>
        <w:ind w:firstLineChars="200" w:firstLine="480"/>
        <w:rPr>
          <w:rFonts w:ascii="楷体" w:eastAsia="楷体" w:hAnsi="楷体"/>
          <w:color w:val="000000"/>
          <w:sz w:val="24"/>
        </w:rPr>
      </w:pPr>
      <w:r>
        <w:rPr>
          <w:rFonts w:ascii="楷体" w:eastAsia="楷体" w:hAnsi="楷体" w:hint="eastAsia"/>
          <w:color w:val="000000"/>
          <w:sz w:val="24"/>
        </w:rPr>
        <w:t xml:space="preserve">日期：   年   月   日           </w:t>
      </w:r>
    </w:p>
    <w:p w14:paraId="5C9462D3" w14:textId="77777777" w:rsidR="004413D8" w:rsidRDefault="004413D8" w:rsidP="004413D8">
      <w:pPr>
        <w:spacing w:line="460" w:lineRule="exact"/>
        <w:ind w:firstLineChars="200" w:firstLine="480"/>
        <w:rPr>
          <w:rFonts w:ascii="楷体" w:eastAsia="楷体" w:hAnsi="楷体"/>
          <w:color w:val="000000"/>
          <w:sz w:val="24"/>
        </w:rPr>
      </w:pPr>
    </w:p>
    <w:p w14:paraId="10D66489" w14:textId="77777777" w:rsidR="004413D8" w:rsidRDefault="004413D8" w:rsidP="004413D8">
      <w:pPr>
        <w:adjustRightInd w:val="0"/>
        <w:snapToGrid w:val="0"/>
        <w:jc w:val="center"/>
        <w:rPr>
          <w:rFonts w:ascii="方正小标宋简体" w:eastAsia="方正小标宋简体" w:hAnsi="方正小标宋简体" w:cs="KaiTi_GB2312,Bold" w:hint="eastAsia"/>
          <w:color w:val="000000"/>
          <w:sz w:val="36"/>
          <w:szCs w:val="32"/>
        </w:rPr>
      </w:pPr>
      <w:r>
        <w:rPr>
          <w:rFonts w:ascii="方正小标宋简体" w:eastAsia="方正小标宋简体" w:hAnsi="方正小标宋简体" w:cs="¿¬Ìå_GB2312" w:hint="eastAsia"/>
          <w:color w:val="000000"/>
          <w:sz w:val="36"/>
          <w:szCs w:val="32"/>
        </w:rPr>
        <w:br w:type="page"/>
      </w:r>
      <w:r>
        <w:rPr>
          <w:rFonts w:ascii="方正小标宋简体" w:eastAsia="方正小标宋简体" w:hAnsi="方正小标宋简体" w:cs="¿¬Ìå_GB2312" w:hint="eastAsia"/>
          <w:color w:val="000000"/>
          <w:sz w:val="36"/>
          <w:szCs w:val="32"/>
        </w:rPr>
        <w:lastRenderedPageBreak/>
        <w:t>施工</w:t>
      </w:r>
      <w:r>
        <w:rPr>
          <w:rFonts w:ascii="方正小标宋简体" w:eastAsia="方正小标宋简体" w:hAnsi="方正小标宋简体" w:cs="¿¬Ìå_GB2312"/>
          <w:color w:val="000000"/>
          <w:sz w:val="36"/>
          <w:szCs w:val="32"/>
        </w:rPr>
        <w:t>安全</w:t>
      </w:r>
      <w:r>
        <w:rPr>
          <w:rFonts w:ascii="方正小标宋简体" w:eastAsia="方正小标宋简体" w:hAnsi="方正小标宋简体" w:cs="KaiTi_GB2312,Bold" w:hint="eastAsia"/>
          <w:color w:val="000000"/>
          <w:sz w:val="36"/>
          <w:szCs w:val="32"/>
        </w:rPr>
        <w:t>协议</w:t>
      </w:r>
    </w:p>
    <w:p w14:paraId="0BDBA221" w14:textId="77777777" w:rsidR="004413D8" w:rsidRDefault="004413D8" w:rsidP="004413D8">
      <w:pPr>
        <w:autoSpaceDE w:val="0"/>
        <w:autoSpaceDN w:val="0"/>
        <w:adjustRightInd w:val="0"/>
        <w:snapToGrid w:val="0"/>
        <w:spacing w:beforeLines="25" w:before="78"/>
        <w:jc w:val="left"/>
        <w:rPr>
          <w:rFonts w:cs="楷体_GB2312"/>
          <w:color w:val="000000"/>
          <w:sz w:val="15"/>
          <w:szCs w:val="15"/>
        </w:rPr>
      </w:pPr>
    </w:p>
    <w:p w14:paraId="03E794F9" w14:textId="77777777" w:rsidR="004413D8" w:rsidRDefault="004413D8" w:rsidP="004413D8">
      <w:pPr>
        <w:autoSpaceDE w:val="0"/>
        <w:autoSpaceDN w:val="0"/>
        <w:adjustRightInd w:val="0"/>
        <w:snapToGrid w:val="0"/>
        <w:spacing w:beforeLines="25" w:before="78"/>
        <w:jc w:val="left"/>
        <w:rPr>
          <w:rFonts w:cs="楷体_GB2312"/>
          <w:color w:val="000000"/>
          <w:szCs w:val="21"/>
        </w:rPr>
      </w:pPr>
    </w:p>
    <w:p w14:paraId="664AC4C9" w14:textId="77777777" w:rsidR="004413D8" w:rsidRDefault="004413D8" w:rsidP="004413D8">
      <w:pPr>
        <w:autoSpaceDE w:val="0"/>
        <w:autoSpaceDN w:val="0"/>
        <w:adjustRightInd w:val="0"/>
        <w:snapToGrid w:val="0"/>
        <w:spacing w:beforeLines="25" w:before="78"/>
        <w:jc w:val="left"/>
        <w:rPr>
          <w:rFonts w:cs="楷体_GB2312" w:hint="eastAsia"/>
          <w:color w:val="000000"/>
          <w:szCs w:val="21"/>
        </w:rPr>
      </w:pPr>
      <w:r>
        <w:rPr>
          <w:rFonts w:cs="楷体_GB2312" w:hint="eastAsia"/>
          <w:color w:val="000000"/>
          <w:szCs w:val="21"/>
        </w:rPr>
        <w:t>甲方：人保投资控股有限公司</w:t>
      </w:r>
    </w:p>
    <w:p w14:paraId="5D6C32ED" w14:textId="77777777" w:rsidR="004413D8" w:rsidRDefault="004413D8" w:rsidP="004413D8">
      <w:pPr>
        <w:autoSpaceDE w:val="0"/>
        <w:autoSpaceDN w:val="0"/>
        <w:adjustRightInd w:val="0"/>
        <w:snapToGrid w:val="0"/>
        <w:spacing w:beforeLines="25" w:before="78"/>
        <w:jc w:val="left"/>
        <w:rPr>
          <w:rFonts w:cs="楷体_GB2312" w:hint="eastAsia"/>
          <w:color w:val="000000"/>
          <w:szCs w:val="21"/>
        </w:rPr>
      </w:pPr>
    </w:p>
    <w:p w14:paraId="1AEA9B1F" w14:textId="77777777" w:rsidR="004413D8" w:rsidRDefault="004413D8" w:rsidP="004413D8">
      <w:pPr>
        <w:autoSpaceDE w:val="0"/>
        <w:autoSpaceDN w:val="0"/>
        <w:adjustRightInd w:val="0"/>
        <w:snapToGrid w:val="0"/>
        <w:spacing w:beforeLines="25" w:before="78"/>
        <w:jc w:val="left"/>
        <w:rPr>
          <w:rFonts w:cs="楷体_GB2312" w:hint="eastAsia"/>
          <w:color w:val="000000"/>
          <w:szCs w:val="21"/>
        </w:rPr>
      </w:pPr>
      <w:r>
        <w:rPr>
          <w:rFonts w:cs="楷体_GB2312" w:hint="eastAsia"/>
          <w:color w:val="000000"/>
          <w:szCs w:val="21"/>
        </w:rPr>
        <w:t>乙方：</w:t>
      </w:r>
      <w:r>
        <w:rPr>
          <w:rFonts w:cs="楷体_GB2312" w:hint="eastAsia"/>
          <w:color w:val="000000"/>
          <w:szCs w:val="21"/>
        </w:rPr>
        <w:t xml:space="preserve"> </w:t>
      </w:r>
    </w:p>
    <w:p w14:paraId="354DB2C1" w14:textId="77777777" w:rsidR="004413D8" w:rsidRDefault="004413D8" w:rsidP="004413D8">
      <w:pPr>
        <w:autoSpaceDE w:val="0"/>
        <w:autoSpaceDN w:val="0"/>
        <w:adjustRightInd w:val="0"/>
        <w:snapToGrid w:val="0"/>
        <w:spacing w:beforeLines="25" w:before="78"/>
        <w:ind w:firstLineChars="200" w:firstLine="420"/>
        <w:jc w:val="left"/>
        <w:rPr>
          <w:rFonts w:ascii="黑体" w:eastAsia="黑体" w:hAnsi="黑体"/>
          <w:color w:val="000000"/>
          <w:szCs w:val="21"/>
        </w:rPr>
      </w:pPr>
    </w:p>
    <w:p w14:paraId="00CF5C53" w14:textId="77777777" w:rsidR="004413D8" w:rsidRDefault="004413D8" w:rsidP="004413D8">
      <w:pPr>
        <w:autoSpaceDE w:val="0"/>
        <w:autoSpaceDN w:val="0"/>
        <w:adjustRightInd w:val="0"/>
        <w:snapToGrid w:val="0"/>
        <w:spacing w:beforeLines="25" w:before="78" w:line="600" w:lineRule="exact"/>
        <w:ind w:firstLineChars="200" w:firstLine="440"/>
        <w:jc w:val="left"/>
        <w:rPr>
          <w:rFonts w:ascii="黑体" w:eastAsia="黑体" w:hAnsi="黑体"/>
          <w:color w:val="000000"/>
          <w:sz w:val="22"/>
          <w:szCs w:val="21"/>
        </w:rPr>
      </w:pPr>
      <w:r>
        <w:rPr>
          <w:rFonts w:ascii="黑体" w:eastAsia="黑体" w:hAnsi="黑体" w:hint="eastAsia"/>
          <w:color w:val="000000"/>
          <w:sz w:val="22"/>
          <w:szCs w:val="21"/>
        </w:rPr>
        <w:t>一、甲方</w:t>
      </w:r>
      <w:r>
        <w:rPr>
          <w:rFonts w:ascii="黑体" w:eastAsia="黑体" w:hAnsi="黑体"/>
          <w:color w:val="000000"/>
          <w:sz w:val="22"/>
          <w:szCs w:val="21"/>
        </w:rPr>
        <w:t>安全</w:t>
      </w:r>
      <w:r>
        <w:rPr>
          <w:rFonts w:ascii="黑体" w:eastAsia="黑体" w:hAnsi="黑体" w:hint="eastAsia"/>
          <w:color w:val="000000"/>
          <w:sz w:val="22"/>
          <w:szCs w:val="21"/>
        </w:rPr>
        <w:t>工作的权利、义务</w:t>
      </w:r>
    </w:p>
    <w:p w14:paraId="2E159732"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1、有权对乙方安全资质进行审查。</w:t>
      </w:r>
    </w:p>
    <w:p w14:paraId="0D56381A"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2、开工前对乙方的项目负责人、工程技术人员和</w:t>
      </w:r>
      <w:r>
        <w:rPr>
          <w:rFonts w:ascii="宋体" w:hAnsi="宋体"/>
          <w:color w:val="000000"/>
          <w:szCs w:val="21"/>
        </w:rPr>
        <w:t>安全</w:t>
      </w:r>
      <w:r>
        <w:rPr>
          <w:rFonts w:ascii="宋体" w:hAnsi="宋体" w:hint="eastAsia"/>
          <w:color w:val="000000"/>
          <w:szCs w:val="21"/>
        </w:rPr>
        <w:t>人员进行涉及合同约定工作项目的安全技术交底，并作相关的记录。</w:t>
      </w:r>
    </w:p>
    <w:p w14:paraId="3FB301BE"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3、在有危险性的生产区域（指存在触电、高处坠落、爆炸、起重伤害、中毒和窒息、机械伤害、火灾、灼烫等危险可能引起人身伤亡和设备事故的场所）内作业时，甲方有权审查乙方采取的</w:t>
      </w:r>
      <w:r>
        <w:rPr>
          <w:rFonts w:ascii="宋体" w:hAnsi="宋体"/>
          <w:color w:val="000000"/>
          <w:szCs w:val="21"/>
        </w:rPr>
        <w:t>安全</w:t>
      </w:r>
      <w:r>
        <w:rPr>
          <w:rFonts w:ascii="宋体" w:hAnsi="宋体" w:hint="eastAsia"/>
          <w:color w:val="000000"/>
          <w:szCs w:val="21"/>
        </w:rPr>
        <w:t>技术措施是否符合现场要求并监督乙方实施。按国家有关规定，要求乙方设专职监护人，必要时甲方派人到现场监督，乙方应积极配合。</w:t>
      </w:r>
    </w:p>
    <w:p w14:paraId="5156B25F"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4、落实合同中规定由甲方承担的有关健康安全环保、劳动保护等事宜。</w:t>
      </w:r>
    </w:p>
    <w:p w14:paraId="0605CEAA"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5、对特殊作业、危险作业的施工项目，甲方有权监督乙方编制</w:t>
      </w:r>
      <w:r>
        <w:rPr>
          <w:rFonts w:ascii="宋体" w:hAnsi="宋体"/>
          <w:color w:val="000000"/>
          <w:szCs w:val="21"/>
        </w:rPr>
        <w:t>安全</w:t>
      </w:r>
      <w:r>
        <w:rPr>
          <w:rFonts w:ascii="宋体" w:hAnsi="宋体" w:hint="eastAsia"/>
          <w:color w:val="000000"/>
          <w:szCs w:val="21"/>
        </w:rPr>
        <w:t>施工措施、填写安全施工作业票并监督其实施。</w:t>
      </w:r>
    </w:p>
    <w:p w14:paraId="27D615AB"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hint="eastAsia"/>
          <w:color w:val="000000"/>
          <w:szCs w:val="21"/>
        </w:rPr>
      </w:pPr>
      <w:r>
        <w:rPr>
          <w:rFonts w:ascii="宋体" w:hAnsi="宋体" w:hint="eastAsia"/>
          <w:color w:val="000000"/>
          <w:szCs w:val="21"/>
        </w:rPr>
        <w:t>6、甲方工程管理部门人员有权按照管生产必须管安全的原则，根据岗位职责随时监督乙方</w:t>
      </w:r>
      <w:r>
        <w:rPr>
          <w:rFonts w:ascii="宋体" w:hAnsi="宋体"/>
          <w:color w:val="000000"/>
          <w:szCs w:val="21"/>
        </w:rPr>
        <w:t>安全</w:t>
      </w:r>
      <w:r>
        <w:rPr>
          <w:rFonts w:ascii="宋体" w:hAnsi="宋体" w:hint="eastAsia"/>
          <w:color w:val="000000"/>
          <w:szCs w:val="21"/>
        </w:rPr>
        <w:t>技术措施的落实情况，并对甲方负责。</w:t>
      </w:r>
    </w:p>
    <w:p w14:paraId="5B0A06A7"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7、甲方负责组织的</w:t>
      </w:r>
      <w:r>
        <w:rPr>
          <w:rFonts w:ascii="宋体" w:hAnsi="宋体"/>
          <w:color w:val="000000"/>
          <w:szCs w:val="21"/>
        </w:rPr>
        <w:t>安全</w:t>
      </w:r>
      <w:r>
        <w:rPr>
          <w:rFonts w:ascii="宋体" w:hAnsi="宋体" w:hint="eastAsia"/>
          <w:color w:val="000000"/>
          <w:szCs w:val="21"/>
        </w:rPr>
        <w:t>检查活动，乙方应派有关人员参加，对查出的问题，乙方应及时做好整改落实工作。</w:t>
      </w:r>
    </w:p>
    <w:p w14:paraId="2AAE2417"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8、甲方的</w:t>
      </w:r>
      <w:r>
        <w:rPr>
          <w:rFonts w:ascii="宋体" w:hAnsi="宋体"/>
          <w:color w:val="000000"/>
          <w:szCs w:val="21"/>
        </w:rPr>
        <w:t>安全</w:t>
      </w:r>
      <w:r>
        <w:rPr>
          <w:rFonts w:ascii="宋体" w:hAnsi="宋体" w:hint="eastAsia"/>
          <w:color w:val="000000"/>
          <w:szCs w:val="21"/>
        </w:rPr>
        <w:t>人员可随时深入施工现场，检查、指导、监督乙方的</w:t>
      </w:r>
      <w:r>
        <w:rPr>
          <w:rFonts w:ascii="宋体" w:hAnsi="宋体"/>
          <w:color w:val="000000"/>
          <w:szCs w:val="21"/>
        </w:rPr>
        <w:t>安全</w:t>
      </w:r>
      <w:r>
        <w:rPr>
          <w:rFonts w:ascii="宋体" w:hAnsi="宋体" w:hint="eastAsia"/>
          <w:color w:val="000000"/>
          <w:szCs w:val="21"/>
        </w:rPr>
        <w:t>工作，纠正违章行为。对乙方人员在施工中的任何不安全行为有权责令其立即停止工作，有权扣留其上岗</w:t>
      </w:r>
      <w:r>
        <w:rPr>
          <w:rFonts w:ascii="宋体" w:hAnsi="宋体" w:hint="eastAsia"/>
          <w:color w:val="000000"/>
          <w:szCs w:val="21"/>
        </w:rPr>
        <w:lastRenderedPageBreak/>
        <w:t>证，并按甲方的有关规定进行处罚。</w:t>
      </w:r>
    </w:p>
    <w:p w14:paraId="75AB3DA6"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9、有关乙方提供的书面材料、各种有效资质副本、证件复印件、考试成绩单、安全文明施工保证金清算等资料，甲方负责保存至工程完工后六个月。</w:t>
      </w:r>
    </w:p>
    <w:p w14:paraId="45690B75" w14:textId="77777777" w:rsidR="004413D8" w:rsidRDefault="004413D8" w:rsidP="004413D8">
      <w:pPr>
        <w:autoSpaceDE w:val="0"/>
        <w:autoSpaceDN w:val="0"/>
        <w:adjustRightInd w:val="0"/>
        <w:snapToGrid w:val="0"/>
        <w:spacing w:beforeLines="25" w:before="78" w:line="600" w:lineRule="exact"/>
        <w:ind w:firstLineChars="200" w:firstLine="440"/>
        <w:jc w:val="left"/>
        <w:rPr>
          <w:rFonts w:ascii="黑体" w:eastAsia="黑体" w:hAnsi="黑体"/>
          <w:color w:val="000000"/>
          <w:sz w:val="22"/>
          <w:szCs w:val="21"/>
        </w:rPr>
      </w:pPr>
      <w:r>
        <w:rPr>
          <w:rFonts w:ascii="黑体" w:eastAsia="黑体" w:hAnsi="黑体" w:hint="eastAsia"/>
          <w:color w:val="000000"/>
          <w:sz w:val="22"/>
          <w:szCs w:val="21"/>
        </w:rPr>
        <w:t>二、乙方</w:t>
      </w:r>
      <w:r>
        <w:rPr>
          <w:rFonts w:ascii="黑体" w:eastAsia="黑体" w:hAnsi="黑体"/>
          <w:color w:val="000000"/>
          <w:sz w:val="22"/>
          <w:szCs w:val="21"/>
        </w:rPr>
        <w:t>安全</w:t>
      </w:r>
      <w:r>
        <w:rPr>
          <w:rFonts w:ascii="黑体" w:eastAsia="黑体" w:hAnsi="黑体" w:hint="eastAsia"/>
          <w:color w:val="000000"/>
          <w:sz w:val="22"/>
          <w:szCs w:val="21"/>
        </w:rPr>
        <w:t>工作的权利、义务</w:t>
      </w:r>
    </w:p>
    <w:p w14:paraId="69E94E9C"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1、乙方作为工程项目的承包商，对承包工程施工全过程的</w:t>
      </w:r>
      <w:r>
        <w:rPr>
          <w:rFonts w:ascii="宋体" w:hAnsi="宋体"/>
          <w:color w:val="000000"/>
          <w:szCs w:val="21"/>
        </w:rPr>
        <w:t>安全</w:t>
      </w:r>
      <w:r>
        <w:rPr>
          <w:rFonts w:ascii="宋体" w:hAnsi="宋体" w:hint="eastAsia"/>
          <w:color w:val="000000"/>
          <w:szCs w:val="21"/>
        </w:rPr>
        <w:t>工作负全面责任，承担包括但不限于由于自身管理不善、或因乙方施工人员过错所造成的人身伤亡、设备和工程质量事故、火灾以及一切责任事故的全部责任，且不应为此增加甲方费用或延迟施工进度。乙方必须切实履行以下</w:t>
      </w:r>
      <w:r>
        <w:rPr>
          <w:rFonts w:ascii="宋体" w:hAnsi="宋体"/>
          <w:color w:val="000000"/>
          <w:szCs w:val="21"/>
        </w:rPr>
        <w:t>安全</w:t>
      </w:r>
      <w:r>
        <w:rPr>
          <w:rFonts w:ascii="宋体" w:hAnsi="宋体" w:hint="eastAsia"/>
          <w:color w:val="000000"/>
          <w:szCs w:val="21"/>
        </w:rPr>
        <w:t>责任。乙方必须具备下列条件：</w:t>
      </w:r>
    </w:p>
    <w:p w14:paraId="36799EF9"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2、乙方应针对项目内容，制订</w:t>
      </w:r>
      <w:r>
        <w:rPr>
          <w:rFonts w:ascii="宋体" w:hAnsi="宋体"/>
          <w:color w:val="000000"/>
          <w:szCs w:val="21"/>
        </w:rPr>
        <w:t>安全</w:t>
      </w:r>
      <w:r>
        <w:rPr>
          <w:rFonts w:ascii="宋体" w:hAnsi="宋体" w:hint="eastAsia"/>
          <w:color w:val="000000"/>
          <w:szCs w:val="21"/>
        </w:rPr>
        <w:t>体系、标准、管理程序和</w:t>
      </w:r>
      <w:r>
        <w:rPr>
          <w:rFonts w:ascii="宋体" w:hAnsi="宋体"/>
          <w:color w:val="000000"/>
          <w:szCs w:val="21"/>
        </w:rPr>
        <w:t>安全</w:t>
      </w:r>
      <w:r>
        <w:rPr>
          <w:rFonts w:ascii="宋体" w:hAnsi="宋体" w:hint="eastAsia"/>
          <w:color w:val="000000"/>
          <w:szCs w:val="21"/>
        </w:rPr>
        <w:t>计划，并在项目实施过程中对执行情况进行检查，如有变更，必须把变更内容书面报甲方</w:t>
      </w:r>
      <w:r>
        <w:rPr>
          <w:rFonts w:ascii="宋体" w:hAnsi="宋体"/>
          <w:color w:val="000000"/>
          <w:szCs w:val="21"/>
        </w:rPr>
        <w:t>安全</w:t>
      </w:r>
      <w:r>
        <w:rPr>
          <w:rFonts w:ascii="宋体" w:hAnsi="宋体" w:hint="eastAsia"/>
          <w:color w:val="000000"/>
          <w:szCs w:val="21"/>
        </w:rPr>
        <w:t>部门审查备案。</w:t>
      </w:r>
    </w:p>
    <w:p w14:paraId="72D48A4D"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hint="eastAsia"/>
          <w:color w:val="000000"/>
          <w:szCs w:val="21"/>
        </w:rPr>
      </w:pPr>
      <w:r>
        <w:rPr>
          <w:rFonts w:ascii="宋体" w:hAnsi="宋体" w:hint="eastAsia"/>
          <w:color w:val="000000"/>
          <w:szCs w:val="21"/>
        </w:rPr>
        <w:t>3、乙方应定期召开</w:t>
      </w:r>
      <w:r>
        <w:rPr>
          <w:rFonts w:ascii="宋体" w:hAnsi="宋体"/>
          <w:color w:val="000000"/>
          <w:szCs w:val="21"/>
        </w:rPr>
        <w:t>安全</w:t>
      </w:r>
      <w:r>
        <w:rPr>
          <w:rFonts w:ascii="宋体" w:hAnsi="宋体" w:hint="eastAsia"/>
          <w:color w:val="000000"/>
          <w:szCs w:val="21"/>
        </w:rPr>
        <w:t>会议，并向甲方通报会议、文件等内容。</w:t>
      </w:r>
    </w:p>
    <w:p w14:paraId="5ECA8FA0"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4、乙方必须在该项目运作过程中应用适当的安全管理体系并实现“零伤害、零污染、零事故”的</w:t>
      </w:r>
      <w:r>
        <w:rPr>
          <w:rFonts w:ascii="宋体" w:hAnsi="宋体"/>
          <w:color w:val="000000"/>
          <w:szCs w:val="21"/>
        </w:rPr>
        <w:t>安全</w:t>
      </w:r>
      <w:r>
        <w:rPr>
          <w:rFonts w:ascii="宋体" w:hAnsi="宋体" w:hint="eastAsia"/>
          <w:color w:val="000000"/>
          <w:szCs w:val="21"/>
        </w:rPr>
        <w:t>目标。</w:t>
      </w:r>
    </w:p>
    <w:p w14:paraId="1BF4DD72"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5、乙方必须认真贯彻执行国家有关</w:t>
      </w:r>
      <w:r>
        <w:rPr>
          <w:rFonts w:ascii="宋体" w:hAnsi="宋体"/>
          <w:color w:val="000000"/>
          <w:szCs w:val="21"/>
        </w:rPr>
        <w:t>安全</w:t>
      </w:r>
      <w:r>
        <w:rPr>
          <w:rFonts w:ascii="宋体" w:hAnsi="宋体" w:hint="eastAsia"/>
          <w:color w:val="000000"/>
          <w:szCs w:val="21"/>
        </w:rPr>
        <w:t>的方针、政策、法律、法规、规定，遵守甲方有关</w:t>
      </w:r>
      <w:r>
        <w:rPr>
          <w:rFonts w:ascii="宋体" w:hAnsi="宋体"/>
          <w:color w:val="000000"/>
          <w:szCs w:val="21"/>
        </w:rPr>
        <w:t>安全</w:t>
      </w:r>
      <w:r>
        <w:rPr>
          <w:rFonts w:ascii="宋体" w:hAnsi="宋体" w:hint="eastAsia"/>
          <w:color w:val="000000"/>
          <w:szCs w:val="21"/>
        </w:rPr>
        <w:t>管理的规章制度，服从甲方管理、监督和指导，对甲方提出的整改意见必须及时整改，实行闭环管理。</w:t>
      </w:r>
    </w:p>
    <w:p w14:paraId="1BE01C9B" w14:textId="77777777" w:rsidR="004413D8" w:rsidRDefault="004413D8" w:rsidP="004413D8">
      <w:pPr>
        <w:autoSpaceDE w:val="0"/>
        <w:autoSpaceDN w:val="0"/>
        <w:adjustRightInd w:val="0"/>
        <w:snapToGrid w:val="0"/>
        <w:spacing w:beforeLines="25" w:before="78" w:line="600" w:lineRule="exact"/>
        <w:ind w:firstLineChars="200" w:firstLine="420"/>
        <w:jc w:val="left"/>
        <w:rPr>
          <w:rFonts w:ascii="宋体" w:hAnsi="宋体"/>
          <w:color w:val="000000"/>
          <w:szCs w:val="21"/>
        </w:rPr>
      </w:pPr>
      <w:r>
        <w:rPr>
          <w:rFonts w:ascii="宋体" w:hAnsi="宋体" w:hint="eastAsia"/>
          <w:color w:val="000000"/>
          <w:szCs w:val="21"/>
        </w:rPr>
        <w:t>6、施工现场的</w:t>
      </w:r>
      <w:r>
        <w:rPr>
          <w:rFonts w:ascii="宋体" w:hAnsi="宋体"/>
          <w:color w:val="000000"/>
          <w:szCs w:val="21"/>
        </w:rPr>
        <w:t>安全</w:t>
      </w:r>
      <w:r>
        <w:rPr>
          <w:rFonts w:ascii="宋体" w:hAnsi="宋体" w:hint="eastAsia"/>
          <w:color w:val="000000"/>
          <w:szCs w:val="21"/>
        </w:rPr>
        <w:t>工作由乙方负责，凡由乙方自身原因与过错造成的事故，由乙方承担全部责任及经济损失，对发生的事故按“四不放过”的原则进行调查处理，发生人身、设备等事故，应立即用电话等方式报甲方，严禁弄虚作假、隐瞒不报。对特殊作业、危险作业的施工项目，乙方必须编制</w:t>
      </w:r>
      <w:r>
        <w:rPr>
          <w:rFonts w:ascii="宋体" w:hAnsi="宋体"/>
          <w:color w:val="000000"/>
          <w:szCs w:val="21"/>
        </w:rPr>
        <w:t>安全</w:t>
      </w:r>
      <w:r>
        <w:rPr>
          <w:rFonts w:ascii="宋体" w:hAnsi="宋体" w:hint="eastAsia"/>
          <w:color w:val="000000"/>
          <w:szCs w:val="21"/>
        </w:rPr>
        <w:t>施工措施、填写安全施工作业票并交甲方审批备案，甲方有权监督其实施。</w:t>
      </w:r>
    </w:p>
    <w:p w14:paraId="7FB63701" w14:textId="77777777" w:rsidR="004413D8" w:rsidRDefault="004413D8" w:rsidP="004413D8">
      <w:pPr>
        <w:autoSpaceDE w:val="0"/>
        <w:autoSpaceDN w:val="0"/>
        <w:adjustRightInd w:val="0"/>
        <w:snapToGrid w:val="0"/>
        <w:spacing w:beforeLines="25" w:before="78" w:line="600" w:lineRule="exact"/>
        <w:jc w:val="left"/>
        <w:rPr>
          <w:rFonts w:ascii="宋体" w:hAnsi="宋体"/>
          <w:color w:val="000000"/>
          <w:szCs w:val="21"/>
        </w:rPr>
      </w:pPr>
      <w:r>
        <w:rPr>
          <w:rFonts w:ascii="宋体" w:hAnsi="宋体" w:hint="eastAsia"/>
          <w:color w:val="000000"/>
          <w:szCs w:val="21"/>
        </w:rPr>
        <w:t xml:space="preserve">    7、遵守国家和地方关于生产安全、劳动用工、劳动保护法律法规及规章制度，保证其</w:t>
      </w:r>
      <w:r>
        <w:rPr>
          <w:rFonts w:ascii="宋体" w:hAnsi="宋体" w:hint="eastAsia"/>
          <w:color w:val="000000"/>
          <w:szCs w:val="21"/>
        </w:rPr>
        <w:lastRenderedPageBreak/>
        <w:t>用工的合法性。不得雇佣童工、未成年工和老弱病残人员，所有人员入场前必须到卫生部门办理健康证，复印件报甲方</w:t>
      </w:r>
      <w:r>
        <w:rPr>
          <w:rFonts w:ascii="宋体" w:hAnsi="宋体"/>
          <w:color w:val="000000"/>
          <w:szCs w:val="21"/>
        </w:rPr>
        <w:t>安全</w:t>
      </w:r>
      <w:r>
        <w:rPr>
          <w:rFonts w:ascii="宋体" w:hAnsi="宋体" w:hint="eastAsia"/>
          <w:color w:val="000000"/>
          <w:szCs w:val="21"/>
        </w:rPr>
        <w:t>部门审查备案。</w:t>
      </w:r>
    </w:p>
    <w:p w14:paraId="0C691342" w14:textId="77777777" w:rsidR="004413D8" w:rsidRDefault="004413D8" w:rsidP="004413D8">
      <w:pPr>
        <w:autoSpaceDE w:val="0"/>
        <w:autoSpaceDN w:val="0"/>
        <w:adjustRightInd w:val="0"/>
        <w:snapToGrid w:val="0"/>
        <w:spacing w:beforeLines="25" w:before="78" w:line="600" w:lineRule="exact"/>
        <w:jc w:val="left"/>
        <w:rPr>
          <w:rFonts w:ascii="宋体" w:hAnsi="宋体"/>
          <w:color w:val="000000"/>
          <w:szCs w:val="21"/>
        </w:rPr>
      </w:pPr>
      <w:r>
        <w:rPr>
          <w:rFonts w:ascii="宋体" w:hAnsi="宋体" w:hint="eastAsia"/>
          <w:color w:val="000000"/>
          <w:szCs w:val="21"/>
        </w:rPr>
        <w:t xml:space="preserve">    8、掌握相应的安全生产理论知识和实际操作技能，并持有效的《特种作业人员操作资格证书》上岗，并将证书复印件报甲方备案。</w:t>
      </w:r>
    </w:p>
    <w:p w14:paraId="3614820D" w14:textId="77777777" w:rsidR="004413D8" w:rsidRDefault="004413D8" w:rsidP="004413D8">
      <w:pPr>
        <w:autoSpaceDE w:val="0"/>
        <w:autoSpaceDN w:val="0"/>
        <w:adjustRightInd w:val="0"/>
        <w:snapToGrid w:val="0"/>
        <w:spacing w:beforeLines="25" w:before="78" w:line="600" w:lineRule="exact"/>
        <w:jc w:val="left"/>
        <w:rPr>
          <w:rFonts w:ascii="宋体" w:hAnsi="宋体"/>
          <w:color w:val="000000"/>
          <w:szCs w:val="21"/>
        </w:rPr>
      </w:pPr>
      <w:r>
        <w:rPr>
          <w:rFonts w:ascii="宋体" w:hAnsi="宋体" w:hint="eastAsia"/>
          <w:color w:val="000000"/>
          <w:szCs w:val="21"/>
        </w:rPr>
        <w:t xml:space="preserve">   </w:t>
      </w:r>
    </w:p>
    <w:p w14:paraId="4BCDF39B" w14:textId="77777777" w:rsidR="004413D8" w:rsidRDefault="004413D8" w:rsidP="004413D8">
      <w:pPr>
        <w:autoSpaceDE w:val="0"/>
        <w:autoSpaceDN w:val="0"/>
        <w:adjustRightInd w:val="0"/>
        <w:snapToGrid w:val="0"/>
        <w:spacing w:beforeLines="25" w:before="78" w:line="600" w:lineRule="exact"/>
        <w:jc w:val="left"/>
        <w:rPr>
          <w:rFonts w:ascii="宋体" w:hAnsi="宋体" w:hint="eastAsia"/>
          <w:color w:val="000000"/>
          <w:szCs w:val="21"/>
        </w:rPr>
      </w:pPr>
      <w:r>
        <w:rPr>
          <w:rFonts w:ascii="宋体" w:hAnsi="宋体" w:hint="eastAsia"/>
          <w:color w:val="000000"/>
          <w:szCs w:val="21"/>
        </w:rPr>
        <w:t xml:space="preserve"> 甲方： （签章）                                  乙方：（签章）</w:t>
      </w:r>
    </w:p>
    <w:p w14:paraId="370754B4" w14:textId="77777777" w:rsidR="004413D8" w:rsidRDefault="004413D8" w:rsidP="004413D8">
      <w:pPr>
        <w:spacing w:line="600" w:lineRule="exact"/>
        <w:ind w:firstLineChars="650" w:firstLine="1365"/>
        <w:rPr>
          <w:rFonts w:ascii="宋体" w:hAnsi="宋体" w:hint="eastAsia"/>
          <w:color w:val="000000"/>
          <w:szCs w:val="21"/>
        </w:rPr>
      </w:pPr>
      <w:r>
        <w:rPr>
          <w:rFonts w:ascii="宋体" w:hAnsi="宋体" w:hint="eastAsia"/>
          <w:color w:val="000000"/>
          <w:szCs w:val="21"/>
        </w:rPr>
        <w:t>年    月     日                            年    月    日</w:t>
      </w:r>
    </w:p>
    <w:p w14:paraId="7AA6BF37" w14:textId="77777777" w:rsidR="004413D8" w:rsidRDefault="004413D8">
      <w:pPr>
        <w:snapToGrid w:val="0"/>
        <w:spacing w:line="360" w:lineRule="auto"/>
        <w:rPr>
          <w:rFonts w:ascii="楷体" w:eastAsia="楷体" w:hAnsi="楷体" w:cs="楷体" w:hint="eastAsia"/>
          <w:sz w:val="24"/>
        </w:rPr>
      </w:pPr>
    </w:p>
    <w:sectPr w:rsidR="004413D8">
      <w:footerReference w:type="default" r:id="rId7"/>
      <w:pgSz w:w="11906" w:h="16838"/>
      <w:pgMar w:top="1440" w:right="1800" w:bottom="1440" w:left="1800" w:header="851" w:footer="850"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DEA5C" w14:textId="77777777" w:rsidR="00FB4E3F" w:rsidRDefault="00FB4E3F">
      <w:r>
        <w:separator/>
      </w:r>
    </w:p>
  </w:endnote>
  <w:endnote w:type="continuationSeparator" w:id="0">
    <w:p w14:paraId="249FF13A" w14:textId="77777777" w:rsidR="00FB4E3F" w:rsidRDefault="00FB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Ìå_GB2312">
    <w:altName w:val="苹方-简"/>
    <w:charset w:val="00"/>
    <w:family w:val="auto"/>
    <w:pitch w:val="default"/>
    <w:sig w:usb0="00000000" w:usb1="00000000" w:usb2="00000000" w:usb3="00000000" w:csb0="00040001" w:csb1="00000000"/>
  </w:font>
  <w:font w:name="KaiTi_GB2312,Bold">
    <w:altName w:val="苹方-简"/>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293579"/>
    </w:sdtPr>
    <w:sdtContent>
      <w:p w14:paraId="29B44545" w14:textId="77777777" w:rsidR="006605AE" w:rsidRDefault="00000000">
        <w:pPr>
          <w:pStyle w:val="a8"/>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7B430" w14:textId="77777777" w:rsidR="00FB4E3F" w:rsidRDefault="00FB4E3F">
      <w:r>
        <w:separator/>
      </w:r>
    </w:p>
  </w:footnote>
  <w:footnote w:type="continuationSeparator" w:id="0">
    <w:p w14:paraId="6803DF69" w14:textId="77777777" w:rsidR="00FB4E3F" w:rsidRDefault="00FB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00000011"/>
    <w:lvl w:ilvl="0">
      <w:start w:val="1"/>
      <w:numFmt w:val="chineseCountingThousand"/>
      <w:lvlText w:val="%1、"/>
      <w:lvlJc w:val="left"/>
      <w:pPr>
        <w:tabs>
          <w:tab w:val="left" w:pos="420"/>
        </w:tabs>
        <w:ind w:left="420" w:hanging="420"/>
      </w:pPr>
    </w:lvl>
    <w:lvl w:ilvl="1">
      <w:start w:val="1"/>
      <w:numFmt w:val="lowerLetter"/>
      <w:lvlText w:val="%2)"/>
      <w:lvlJc w:val="left"/>
      <w:pPr>
        <w:tabs>
          <w:tab w:val="left" w:pos="420"/>
        </w:tabs>
        <w:ind w:left="420" w:hanging="420"/>
      </w:p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num w:numId="1" w16cid:durableId="372434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mM3ZmE1MjU3YzNlNjdhODBiNzAxOGNlYmFmNDljOTEifQ=="/>
  </w:docVars>
  <w:rsids>
    <w:rsidRoot w:val="73485136"/>
    <w:rsid w:val="00085450"/>
    <w:rsid w:val="000A6EDE"/>
    <w:rsid w:val="00161085"/>
    <w:rsid w:val="001802ED"/>
    <w:rsid w:val="00191ACF"/>
    <w:rsid w:val="001B73BE"/>
    <w:rsid w:val="001F752E"/>
    <w:rsid w:val="001F7AB7"/>
    <w:rsid w:val="0027622D"/>
    <w:rsid w:val="00286788"/>
    <w:rsid w:val="002E4A8F"/>
    <w:rsid w:val="003850E3"/>
    <w:rsid w:val="003B3E7B"/>
    <w:rsid w:val="00413ADA"/>
    <w:rsid w:val="004413D8"/>
    <w:rsid w:val="004460B4"/>
    <w:rsid w:val="0054125B"/>
    <w:rsid w:val="00545EAC"/>
    <w:rsid w:val="00573F86"/>
    <w:rsid w:val="006605AE"/>
    <w:rsid w:val="00662784"/>
    <w:rsid w:val="007011C2"/>
    <w:rsid w:val="00712EDB"/>
    <w:rsid w:val="00761E18"/>
    <w:rsid w:val="00792CAC"/>
    <w:rsid w:val="007A5B95"/>
    <w:rsid w:val="007F4B7E"/>
    <w:rsid w:val="008955D6"/>
    <w:rsid w:val="008B6CF3"/>
    <w:rsid w:val="0094571E"/>
    <w:rsid w:val="009A23EC"/>
    <w:rsid w:val="009A7457"/>
    <w:rsid w:val="00A46332"/>
    <w:rsid w:val="00A67E7A"/>
    <w:rsid w:val="00A969FD"/>
    <w:rsid w:val="00AA14BD"/>
    <w:rsid w:val="00AD00A7"/>
    <w:rsid w:val="00BC00D7"/>
    <w:rsid w:val="00C445E4"/>
    <w:rsid w:val="00C7462D"/>
    <w:rsid w:val="00C777E3"/>
    <w:rsid w:val="00CF0737"/>
    <w:rsid w:val="00D22FCF"/>
    <w:rsid w:val="00D74855"/>
    <w:rsid w:val="00D95CC2"/>
    <w:rsid w:val="00DF26DA"/>
    <w:rsid w:val="00E72E56"/>
    <w:rsid w:val="00F5351E"/>
    <w:rsid w:val="00FB4E3F"/>
    <w:rsid w:val="00FC14F6"/>
    <w:rsid w:val="0E2C7524"/>
    <w:rsid w:val="13B97469"/>
    <w:rsid w:val="15DE0E9C"/>
    <w:rsid w:val="15E54909"/>
    <w:rsid w:val="164D04C8"/>
    <w:rsid w:val="176A03D0"/>
    <w:rsid w:val="18DA75C8"/>
    <w:rsid w:val="1ADE1A7B"/>
    <w:rsid w:val="1DB573D4"/>
    <w:rsid w:val="1E8D1E1D"/>
    <w:rsid w:val="1E953487"/>
    <w:rsid w:val="1FEA1406"/>
    <w:rsid w:val="203B6F16"/>
    <w:rsid w:val="25A329AF"/>
    <w:rsid w:val="25AE26A6"/>
    <w:rsid w:val="26E85D74"/>
    <w:rsid w:val="2AD27817"/>
    <w:rsid w:val="2B8E173D"/>
    <w:rsid w:val="2BAD608C"/>
    <w:rsid w:val="2C190ACA"/>
    <w:rsid w:val="2E343BEB"/>
    <w:rsid w:val="31621140"/>
    <w:rsid w:val="34D21F7A"/>
    <w:rsid w:val="37D16521"/>
    <w:rsid w:val="3986014B"/>
    <w:rsid w:val="3D9D2C3B"/>
    <w:rsid w:val="42D65F34"/>
    <w:rsid w:val="45136224"/>
    <w:rsid w:val="472A34D6"/>
    <w:rsid w:val="474F692F"/>
    <w:rsid w:val="49C97B1D"/>
    <w:rsid w:val="4A166998"/>
    <w:rsid w:val="4F9B5B7A"/>
    <w:rsid w:val="51122BC3"/>
    <w:rsid w:val="512C7ED2"/>
    <w:rsid w:val="521103BF"/>
    <w:rsid w:val="565020BD"/>
    <w:rsid w:val="584E7DAD"/>
    <w:rsid w:val="59613428"/>
    <w:rsid w:val="647D4563"/>
    <w:rsid w:val="659F7D1B"/>
    <w:rsid w:val="68052120"/>
    <w:rsid w:val="6BEC77B9"/>
    <w:rsid w:val="6D8F3580"/>
    <w:rsid w:val="70DF36C1"/>
    <w:rsid w:val="73053557"/>
    <w:rsid w:val="73485136"/>
    <w:rsid w:val="7480369B"/>
    <w:rsid w:val="767608B6"/>
    <w:rsid w:val="77335F32"/>
    <w:rsid w:val="787331E2"/>
    <w:rsid w:val="79733810"/>
    <w:rsid w:val="7AEF4E49"/>
    <w:rsid w:val="7EC3036F"/>
    <w:rsid w:val="7F4D7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814A0"/>
  <w15:docId w15:val="{03B83D79-7CBE-4D22-9208-1CD4FEA34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uiPriority="99"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Subtitle" w:qFormat="1"/>
    <w:lsdException w:name="Dat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8">
    <w:name w:val="index 8"/>
    <w:basedOn w:val="a"/>
    <w:next w:val="a"/>
    <w:uiPriority w:val="99"/>
    <w:unhideWhenUsed/>
    <w:qFormat/>
    <w:pPr>
      <w:ind w:leftChars="1400" w:left="1400"/>
    </w:pPr>
  </w:style>
  <w:style w:type="paragraph" w:styleId="a3">
    <w:name w:val="Normal Indent"/>
    <w:basedOn w:val="a"/>
    <w:qFormat/>
  </w:style>
  <w:style w:type="paragraph" w:styleId="a4">
    <w:name w:val="annotation text"/>
    <w:basedOn w:val="a"/>
    <w:qFormat/>
    <w:pPr>
      <w:jc w:val="left"/>
    </w:pPr>
  </w:style>
  <w:style w:type="paragraph" w:styleId="a5">
    <w:name w:val="Body Text"/>
    <w:basedOn w:val="a"/>
    <w:next w:val="a"/>
    <w:uiPriority w:val="99"/>
    <w:unhideWhenUsed/>
    <w:qFormat/>
    <w:pPr>
      <w:spacing w:after="120"/>
    </w:pPr>
  </w:style>
  <w:style w:type="paragraph" w:styleId="a6">
    <w:name w:val="Plain Text"/>
    <w:basedOn w:val="a"/>
    <w:next w:val="8"/>
    <w:qFormat/>
    <w:rPr>
      <w:rFonts w:ascii="宋体" w:hAnsi="Courier New" w:cs="Courier New"/>
      <w:szCs w:val="21"/>
    </w:rPr>
  </w:style>
  <w:style w:type="paragraph" w:styleId="a7">
    <w:name w:val="Date"/>
    <w:basedOn w:val="a"/>
    <w:next w:val="a"/>
    <w:qFormat/>
    <w:pPr>
      <w:ind w:leftChars="2500" w:left="100"/>
    </w:pPr>
    <w:rPr>
      <w:sz w:val="24"/>
    </w:rPr>
  </w:style>
  <w:style w:type="paragraph" w:styleId="a8">
    <w:name w:val="footer"/>
    <w:basedOn w:val="a"/>
    <w:link w:val="a9"/>
    <w:uiPriority w:val="99"/>
    <w:qFormat/>
    <w:pPr>
      <w:tabs>
        <w:tab w:val="center" w:pos="4153"/>
        <w:tab w:val="right" w:pos="8306"/>
      </w:tabs>
      <w:snapToGrid w:val="0"/>
      <w:jc w:val="left"/>
    </w:pPr>
    <w:rPr>
      <w:sz w:val="18"/>
      <w:szCs w:val="18"/>
    </w:rPr>
  </w:style>
  <w:style w:type="paragraph" w:styleId="aa">
    <w:name w:val="header"/>
    <w:basedOn w:val="a"/>
    <w:link w:val="ab"/>
    <w:qFormat/>
    <w:pPr>
      <w:pBdr>
        <w:bottom w:val="single" w:sz="6" w:space="1" w:color="auto"/>
      </w:pBdr>
      <w:tabs>
        <w:tab w:val="center" w:pos="4153"/>
        <w:tab w:val="right" w:pos="8306"/>
      </w:tabs>
      <w:snapToGrid w:val="0"/>
      <w:jc w:val="center"/>
    </w:pPr>
    <w:rPr>
      <w:sz w:val="18"/>
      <w:szCs w:val="18"/>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uiPriority w:val="34"/>
    <w:qFormat/>
    <w:pPr>
      <w:ind w:firstLineChars="200" w:firstLine="420"/>
    </w:pPr>
  </w:style>
  <w:style w:type="character" w:customStyle="1" w:styleId="ab">
    <w:name w:val="页眉 字符"/>
    <w:basedOn w:val="a0"/>
    <w:link w:val="aa"/>
    <w:qFormat/>
    <w:rPr>
      <w:rFonts w:ascii="Times New Roman" w:eastAsia="宋体" w:hAnsi="Times New Roman" w:cs="Times New Roman"/>
      <w:kern w:val="2"/>
      <w:sz w:val="18"/>
      <w:szCs w:val="18"/>
    </w:rPr>
  </w:style>
  <w:style w:type="character" w:customStyle="1" w:styleId="a9">
    <w:name w:val="页脚 字符"/>
    <w:basedOn w:val="a0"/>
    <w:link w:val="a8"/>
    <w:uiPriority w:val="99"/>
    <w:qFormat/>
    <w:rPr>
      <w:rFonts w:ascii="Times New Roman" w:eastAsia="宋体" w:hAnsi="Times New Roman" w:cs="Times New Roman"/>
      <w:kern w:val="2"/>
      <w:sz w:val="18"/>
      <w:szCs w:val="18"/>
    </w:rPr>
  </w:style>
  <w:style w:type="paragraph" w:customStyle="1" w:styleId="TableText">
    <w:name w:val="Table Text"/>
    <w:basedOn w:val="a"/>
    <w:semiHidden/>
    <w:qFormat/>
    <w:rPr>
      <w:rFonts w:ascii="宋体" w:hAnsi="宋体" w:cs="宋体"/>
      <w:sz w:val="24"/>
      <w:lang w:eastAsia="en-US"/>
    </w:rPr>
  </w:style>
  <w:style w:type="table" w:customStyle="1" w:styleId="TableNormal">
    <w:name w:val="Table Normal"/>
    <w:unhideWhenUsed/>
    <w:qFormat/>
    <w:tblPr>
      <w:tblCellMar>
        <w:top w:w="0" w:type="dxa"/>
        <w:left w:w="0" w:type="dxa"/>
        <w:bottom w:w="0" w:type="dxa"/>
        <w:right w:w="0" w:type="dxa"/>
      </w:tblCellMar>
    </w:tblPr>
  </w:style>
  <w:style w:type="character" w:styleId="ad">
    <w:name w:val="annotation reference"/>
    <w:basedOn w:val="a0"/>
    <w:rPr>
      <w:sz w:val="21"/>
      <w:szCs w:val="21"/>
    </w:rPr>
  </w:style>
  <w:style w:type="paragraph" w:styleId="ae">
    <w:name w:val="Revision"/>
    <w:hidden/>
    <w:uiPriority w:val="99"/>
    <w:unhideWhenUsed/>
    <w:rsid w:val="001F7AB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820</Words>
  <Characters>4677</Characters>
  <Application>Microsoft Office Word</Application>
  <DocSecurity>0</DocSecurity>
  <Lines>38</Lines>
  <Paragraphs>10</Paragraphs>
  <ScaleCrop>false</ScaleCrop>
  <Company>微软中国</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蓝韵依旧</dc:creator>
  <cp:lastModifiedBy>俊华 陈</cp:lastModifiedBy>
  <cp:revision>14</cp:revision>
  <dcterms:created xsi:type="dcterms:W3CDTF">2025-12-18T06:45:00Z</dcterms:created>
  <dcterms:modified xsi:type="dcterms:W3CDTF">2026-07-20T06:10:00Z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CE1AD858BF104F69906ACAD013C94214_13</vt:lpwstr>
  </property>
  <property fmtid="{D5CDD505-2E9C-101B-9397-08002B2CF9AE}" pid="4" name="KSOTemplateDocerSaveRecord">
    <vt:lpwstr>eyJoZGlkIjoiYmE0ODI3ZjgyNmM2NGQxZDZlNWY3N2IyMGNlZjM0YTQiLCJ1c2VySWQiOiI5Njg2NjA4ODUifQ==</vt:lpwstr>
  </property>
</Properties>
</file>