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宋体" w:hAnsi="宋体" w:eastAsia="宋体" w:cs="宋体"/>
          <w:b/>
          <w:bCs/>
          <w:sz w:val="36"/>
          <w:szCs w:val="36"/>
        </w:rPr>
      </w:pPr>
      <w:r>
        <w:rPr>
          <w:rFonts w:hint="eastAsia" w:ascii="宋体" w:hAnsi="宋体" w:eastAsia="宋体" w:cs="宋体"/>
          <w:b/>
          <w:bCs/>
          <w:sz w:val="36"/>
          <w:szCs w:val="36"/>
        </w:rPr>
        <w:t>人保财险湖北省武汉市经济技术开发区支公司东风日产家用车专属安全检测服务采购项目比选公告</w:t>
      </w:r>
    </w:p>
    <w:p>
      <w:pPr>
        <w:spacing w:line="600" w:lineRule="exact"/>
        <w:ind w:firstLine="643" w:firstLineChars="200"/>
        <w:jc w:val="left"/>
        <w:rPr>
          <w:rFonts w:ascii="仿宋_GB2312" w:hAnsi="仿宋_GB2312" w:eastAsia="仿宋_GB2312" w:cs="仿宋_GB2312"/>
          <w:b/>
          <w:bCs/>
          <w:sz w:val="32"/>
          <w:szCs w:val="32"/>
        </w:rPr>
      </w:pPr>
    </w:p>
    <w:p>
      <w:pPr>
        <w:spacing w:line="60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eastAsia="zh-CN"/>
        </w:rPr>
        <w:t>一、</w:t>
      </w:r>
      <w:r>
        <w:rPr>
          <w:rFonts w:hint="eastAsia" w:ascii="仿宋_GB2312" w:hAnsi="仿宋_GB2312" w:eastAsia="仿宋_GB2312" w:cs="仿宋_GB2312"/>
          <w:b/>
          <w:bCs/>
          <w:sz w:val="32"/>
          <w:szCs w:val="32"/>
        </w:rPr>
        <w:t>采购项目名称：</w:t>
      </w:r>
      <w:r>
        <w:rPr>
          <w:rFonts w:hint="eastAsia" w:ascii="仿宋_GB2312" w:eastAsia="仿宋_GB2312"/>
          <w:sz w:val="32"/>
          <w:szCs w:val="32"/>
        </w:rPr>
        <w:t>人保财险湖北省武汉市经济技术开发区支公司东风日产家用车专属安全检测服务采购项目</w:t>
      </w:r>
    </w:p>
    <w:p>
      <w:pPr>
        <w:spacing w:line="600" w:lineRule="exact"/>
        <w:ind w:firstLine="643" w:firstLineChars="200"/>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二、</w:t>
      </w:r>
      <w:r>
        <w:rPr>
          <w:rFonts w:hint="eastAsia" w:ascii="仿宋_GB2312" w:hAnsi="仿宋_GB2312" w:eastAsia="仿宋_GB2312" w:cs="仿宋_GB2312"/>
          <w:b/>
          <w:bCs/>
          <w:sz w:val="32"/>
          <w:szCs w:val="32"/>
        </w:rPr>
        <w:t>采购内容</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（一）项目概况</w:t>
      </w:r>
    </w:p>
    <w:p>
      <w:pPr>
        <w:spacing w:line="600" w:lineRule="exact"/>
        <w:ind w:firstLine="640" w:firstLineChars="200"/>
        <w:jc w:val="left"/>
        <w:rPr>
          <w:rFonts w:hint="eastAsia" w:ascii="仿宋_GB2312" w:hAnsi="Calibri" w:eastAsia="仿宋_GB2312" w:cs="Times New Roman"/>
          <w:b w:val="0"/>
          <w:bCs w:val="0"/>
          <w:kern w:val="2"/>
          <w:sz w:val="32"/>
          <w:szCs w:val="32"/>
          <w:lang w:val="en-US" w:eastAsia="zh-CN" w:bidi="ar-SA"/>
        </w:rPr>
      </w:pPr>
      <w:r>
        <w:rPr>
          <w:rFonts w:hint="eastAsia" w:ascii="仿宋_GB2312" w:hAnsi="Calibri" w:eastAsia="仿宋_GB2312" w:cs="Times New Roman"/>
          <w:b w:val="0"/>
          <w:bCs w:val="0"/>
          <w:kern w:val="2"/>
          <w:sz w:val="32"/>
          <w:szCs w:val="32"/>
          <w:lang w:val="en-US" w:eastAsia="zh-CN" w:bidi="ar-SA"/>
        </w:rPr>
        <w:t>为加强业务发展，我司拟定开展人保财险湖北省武汉市经济技术开发区支公司东风日产家用车专属安全检测服务采购项目，通过专属检测打通车企车辆数据、保险风控数据双向互通，实现风险精准管控、客户深度绑定已成行业标准化操作模式，建立标准化、常态化、可溯源的东风日产车型风险减量服务体系，提前消除道路安全隐患，减少人员伤亡与财产损失，同时大幅提升东风日产车系车主服务体验，提高续保率和客户粘性，具备显著业务价值。</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（二）主要需求</w:t>
      </w:r>
    </w:p>
    <w:p>
      <w:pPr>
        <w:spacing w:line="600" w:lineRule="exact"/>
        <w:ind w:firstLine="640" w:firstLineChars="200"/>
        <w:jc w:val="left"/>
        <w:rPr>
          <w:rFonts w:hint="eastAsia" w:ascii="仿宋_GB2312" w:eastAsia="仿宋_GB2312" w:cs="Times New Roman"/>
          <w:b w:val="0"/>
          <w:bCs w:val="0"/>
          <w:kern w:val="2"/>
          <w:sz w:val="32"/>
          <w:szCs w:val="32"/>
          <w:lang w:val="en-US" w:eastAsia="zh-CN" w:bidi="ar-SA"/>
        </w:rPr>
      </w:pPr>
      <w:r>
        <w:rPr>
          <w:rFonts w:hint="eastAsia" w:ascii="仿宋_GB2312" w:eastAsia="仿宋_GB2312" w:cs="Times New Roman"/>
          <w:b w:val="0"/>
          <w:bCs w:val="0"/>
          <w:kern w:val="2"/>
          <w:sz w:val="32"/>
          <w:szCs w:val="32"/>
          <w:lang w:val="en-US" w:eastAsia="zh-CN" w:bidi="ar-SA"/>
        </w:rPr>
        <w:t>1、采购范围：</w:t>
      </w:r>
      <w:r>
        <w:rPr>
          <w:rFonts w:hint="eastAsia" w:ascii="仿宋_GB2312" w:hAnsi="Calibri" w:eastAsia="仿宋_GB2312" w:cs="Times New Roman"/>
          <w:b w:val="0"/>
          <w:bCs w:val="0"/>
          <w:kern w:val="2"/>
          <w:sz w:val="32"/>
          <w:szCs w:val="32"/>
          <w:lang w:val="en-US" w:eastAsia="zh-CN" w:bidi="ar-SA"/>
        </w:rPr>
        <w:t>本项目拟采购</w:t>
      </w:r>
      <w:r>
        <w:rPr>
          <w:rFonts w:hint="eastAsia" w:ascii="仿宋_GB2312" w:eastAsia="仿宋_GB2312" w:cs="Times New Roman"/>
          <w:b w:val="0"/>
          <w:bCs w:val="0"/>
          <w:kern w:val="2"/>
          <w:sz w:val="32"/>
          <w:szCs w:val="32"/>
          <w:lang w:val="en-US" w:eastAsia="zh-CN" w:bidi="ar-SA"/>
        </w:rPr>
        <w:t>1</w:t>
      </w:r>
      <w:r>
        <w:rPr>
          <w:rFonts w:hint="eastAsia" w:ascii="仿宋_GB2312" w:hAnsi="Calibri" w:eastAsia="仿宋_GB2312" w:cs="Times New Roman"/>
          <w:b w:val="0"/>
          <w:bCs w:val="0"/>
          <w:kern w:val="2"/>
          <w:sz w:val="32"/>
          <w:szCs w:val="32"/>
          <w:lang w:val="en-US" w:eastAsia="zh-CN" w:bidi="ar-SA"/>
        </w:rPr>
        <w:t>家供应商为招标人提供东风日产家用车专属安全检测服务。</w:t>
      </w:r>
      <w:r>
        <w:rPr>
          <w:rFonts w:hint="eastAsia" w:ascii="仿宋_GB2312" w:eastAsia="仿宋_GB2312" w:cs="Times New Roman"/>
          <w:b w:val="0"/>
          <w:bCs w:val="0"/>
          <w:kern w:val="2"/>
          <w:sz w:val="32"/>
          <w:szCs w:val="32"/>
          <w:lang w:val="en-US" w:eastAsia="zh-CN" w:bidi="ar-SA"/>
        </w:rPr>
        <w:t>（</w:t>
      </w:r>
      <w:bookmarkStart w:id="0" w:name="_GoBack"/>
      <w:bookmarkEnd w:id="0"/>
      <w:r>
        <w:rPr>
          <w:rFonts w:hint="eastAsia" w:ascii="仿宋_GB2312" w:hAnsi="Calibri" w:eastAsia="仿宋_GB2312" w:cs="Times New Roman"/>
          <w:b w:val="0"/>
          <w:bCs w:val="0"/>
          <w:kern w:val="2"/>
          <w:sz w:val="32"/>
          <w:szCs w:val="32"/>
          <w:lang w:val="en-US" w:eastAsia="zh-CN" w:bidi="ar-SA"/>
        </w:rPr>
        <w:t>具体内容及要求见比选邀请文件</w:t>
      </w:r>
      <w:r>
        <w:rPr>
          <w:rFonts w:hint="eastAsia" w:ascii="仿宋_GB2312" w:eastAsia="仿宋_GB2312" w:cs="Times New Roman"/>
          <w:b w:val="0"/>
          <w:bCs w:val="0"/>
          <w:kern w:val="2"/>
          <w:sz w:val="32"/>
          <w:szCs w:val="32"/>
          <w:lang w:val="en-US" w:eastAsia="zh-CN" w:bidi="ar-SA"/>
        </w:rPr>
        <w:t>）</w:t>
      </w:r>
    </w:p>
    <w:p>
      <w:pPr>
        <w:spacing w:line="600" w:lineRule="exact"/>
        <w:ind w:firstLine="640" w:firstLineChars="200"/>
        <w:jc w:val="left"/>
        <w:rPr>
          <w:rFonts w:hint="default" w:ascii="仿宋_GB2312" w:eastAsia="仿宋_GB2312" w:cs="Times New Roman"/>
          <w:b w:val="0"/>
          <w:bCs w:val="0"/>
          <w:kern w:val="2"/>
          <w:sz w:val="32"/>
          <w:szCs w:val="32"/>
          <w:lang w:val="en-US" w:eastAsia="zh-CN" w:bidi="ar-SA"/>
        </w:rPr>
      </w:pPr>
      <w:r>
        <w:rPr>
          <w:rFonts w:hint="eastAsia" w:ascii="仿宋_GB2312" w:eastAsia="仿宋_GB2312" w:cs="Times New Roman"/>
          <w:b w:val="0"/>
          <w:bCs w:val="0"/>
          <w:kern w:val="2"/>
          <w:sz w:val="32"/>
          <w:szCs w:val="32"/>
          <w:lang w:val="en-US" w:eastAsia="zh-CN" w:bidi="ar-SA"/>
        </w:rPr>
        <w:t>2、服务期限：自合同签订之日起6个月。</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三、供应商资格要求</w:t>
      </w:r>
    </w:p>
    <w:p>
      <w:pPr>
        <w:spacing w:line="600" w:lineRule="exact"/>
        <w:ind w:left="638" w:leftChars="304" w:firstLine="0" w:firstLineChars="0"/>
        <w:rPr>
          <w:rFonts w:hint="eastAsia" w:ascii="仿宋_GB2312" w:eastAsia="仿宋_GB2312"/>
          <w:color w:val="000000"/>
          <w:sz w:val="32"/>
          <w:szCs w:val="32"/>
        </w:rPr>
      </w:pPr>
      <w:r>
        <w:rPr>
          <w:rFonts w:hint="eastAsia" w:ascii="仿宋_GB2312" w:eastAsia="仿宋_GB2312"/>
          <w:color w:val="000000"/>
          <w:sz w:val="32"/>
          <w:szCs w:val="32"/>
        </w:rPr>
        <w:t>1.具有独立承担民事责任的能力；</w:t>
      </w:r>
      <w:r>
        <w:rPr>
          <w:rFonts w:hint="eastAsia" w:ascii="仿宋_GB2312" w:eastAsia="仿宋_GB2312"/>
          <w:color w:val="000000"/>
          <w:sz w:val="32"/>
          <w:szCs w:val="32"/>
        </w:rPr>
        <w:br w:type="textWrapping"/>
      </w:r>
      <w:r>
        <w:rPr>
          <w:rFonts w:hint="eastAsia" w:ascii="仿宋_GB2312" w:eastAsia="仿宋_GB2312"/>
          <w:color w:val="000000"/>
          <w:sz w:val="32"/>
          <w:szCs w:val="32"/>
        </w:rPr>
        <w:t>2.具有良好的商业信誉和健全的财务会计制度； </w:t>
      </w:r>
      <w:r>
        <w:rPr>
          <w:rFonts w:hint="eastAsia" w:ascii="仿宋_GB2312" w:eastAsia="仿宋_GB2312"/>
          <w:color w:val="000000"/>
          <w:sz w:val="32"/>
          <w:szCs w:val="32"/>
        </w:rPr>
        <w:br w:type="textWrapping"/>
      </w:r>
      <w:r>
        <w:rPr>
          <w:rFonts w:hint="eastAsia" w:ascii="仿宋_GB2312" w:eastAsia="仿宋_GB2312"/>
          <w:color w:val="000000"/>
          <w:sz w:val="32"/>
          <w:szCs w:val="32"/>
        </w:rPr>
        <w:t>3.具有履行合同所必需的设备和专业技术能力；</w:t>
      </w:r>
      <w:r>
        <w:rPr>
          <w:rFonts w:hint="eastAsia" w:ascii="仿宋_GB2312" w:eastAsia="仿宋_GB2312"/>
          <w:color w:val="000000"/>
          <w:sz w:val="32"/>
          <w:szCs w:val="32"/>
        </w:rPr>
        <w:br w:type="textWrapping"/>
      </w:r>
      <w:r>
        <w:rPr>
          <w:rFonts w:hint="eastAsia" w:ascii="仿宋_GB2312" w:eastAsia="仿宋_GB2312"/>
          <w:color w:val="000000"/>
          <w:sz w:val="32"/>
          <w:szCs w:val="32"/>
        </w:rPr>
        <w:t>4.有依法缴纳税收和社会保障资金的良好记录；</w:t>
      </w:r>
      <w:r>
        <w:rPr>
          <w:rFonts w:hint="eastAsia" w:ascii="仿宋_GB2312" w:eastAsia="仿宋_GB2312"/>
          <w:color w:val="000000"/>
          <w:sz w:val="32"/>
          <w:szCs w:val="32"/>
        </w:rPr>
        <w:br w:type="textWrapping"/>
      </w:r>
      <w:r>
        <w:rPr>
          <w:rFonts w:hint="eastAsia" w:ascii="仿宋_GB2312" w:eastAsia="仿宋_GB2312"/>
          <w:color w:val="000000"/>
          <w:sz w:val="32"/>
          <w:szCs w:val="32"/>
        </w:rPr>
        <w:t>5.经营状况良好，且参加此项采购活动最近三年没有出现违法违规或失信行为，没有骗取中标和严重违约的行为；</w:t>
      </w:r>
      <w:r>
        <w:rPr>
          <w:rFonts w:hint="eastAsia" w:ascii="仿宋_GB2312" w:eastAsia="仿宋_GB2312"/>
          <w:color w:val="000000"/>
          <w:sz w:val="32"/>
          <w:szCs w:val="32"/>
        </w:rPr>
        <w:br w:type="textWrapping"/>
      </w:r>
      <w:r>
        <w:rPr>
          <w:rFonts w:hint="eastAsia" w:ascii="仿宋_GB2312" w:eastAsia="仿宋_GB2312"/>
          <w:color w:val="000000"/>
          <w:sz w:val="32"/>
          <w:szCs w:val="32"/>
        </w:rPr>
        <w:t>6.单位负责人为同一人或存在控股、管理关系的不同单位，不得参加同一采购项目；</w:t>
      </w:r>
      <w:r>
        <w:rPr>
          <w:rFonts w:hint="eastAsia" w:ascii="仿宋_GB2312" w:eastAsia="仿宋_GB2312"/>
          <w:color w:val="000000"/>
          <w:sz w:val="32"/>
          <w:szCs w:val="32"/>
        </w:rPr>
        <w:br w:type="textWrapping"/>
      </w:r>
      <w:r>
        <w:rPr>
          <w:rFonts w:hint="eastAsia" w:ascii="仿宋_GB2312" w:eastAsia="仿宋_GB2312"/>
          <w:color w:val="000000"/>
          <w:sz w:val="32"/>
          <w:szCs w:val="32"/>
        </w:rPr>
        <w:t>7.本项目不接受联合体。</w:t>
      </w:r>
      <w:r>
        <w:rPr>
          <w:rFonts w:hint="eastAsia" w:ascii="仿宋_GB2312" w:eastAsia="仿宋_GB2312"/>
          <w:color w:val="000000"/>
          <w:sz w:val="32"/>
          <w:szCs w:val="32"/>
        </w:rPr>
        <w:br w:type="textWrapping"/>
      </w:r>
      <w:r>
        <w:rPr>
          <w:rFonts w:hint="eastAsia" w:ascii="仿宋_GB2312" w:eastAsia="仿宋_GB2312"/>
          <w:color w:val="000000"/>
          <w:sz w:val="32"/>
          <w:szCs w:val="32"/>
        </w:rPr>
        <w:t>8.该项目不得转包、分包。</w:t>
      </w:r>
      <w:r>
        <w:rPr>
          <w:rFonts w:hint="eastAsia" w:ascii="仿宋_GB2312" w:eastAsia="仿宋_GB2312"/>
          <w:color w:val="000000"/>
          <w:sz w:val="32"/>
          <w:szCs w:val="32"/>
        </w:rPr>
        <w:br w:type="textWrapping"/>
      </w:r>
      <w:r>
        <w:rPr>
          <w:rFonts w:hint="eastAsia" w:ascii="仿宋_GB2312" w:eastAsia="仿宋_GB2312"/>
          <w:color w:val="000000"/>
          <w:sz w:val="32"/>
          <w:szCs w:val="32"/>
        </w:rPr>
        <w:t>9.未被列入公司供应商黑名单或已不在禁入期内。</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四、采购文件的获取</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1、获取时间：2026年7月25日至2026年7月27日，上午9时至12时，下午13时至17时（北京时间、下同）</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2、获取方式：“人保e采”门户网站</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供应商须通过“人保e采”门户网站（https://ec.picc.com/）系统注册入库（仅注册即可），完成报名后即可下载获取采购文件。（注册流程可在人保e采”门户网站查阅《人保e采管理系统供应商入库操作指南》）</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五、采购文件的递交</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1、采购文件递交截止时间：2026年7月31日（即征集截止时间）。</w:t>
      </w:r>
    </w:p>
    <w:p>
      <w:pPr>
        <w:numPr>
          <w:ilvl w:val="0"/>
          <w:numId w:val="0"/>
        </w:numPr>
        <w:ind w:firstLine="640" w:firstLineChars="200"/>
        <w:rPr>
          <w:rFonts w:hint="default"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2、采购文件递交地点:湖北省武汉市武汉经济技术开发区创业路61号201室。</w:t>
      </w:r>
    </w:p>
    <w:p>
      <w:pPr>
        <w:spacing w:line="600" w:lineRule="exact"/>
        <w:ind w:firstLine="640" w:firstLineChars="200"/>
        <w:jc w:val="left"/>
        <w:rPr>
          <w:rFonts w:hint="default"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3、本项目将于上述同一时间、地点进行开标，请参与报名的供应商</w:t>
      </w:r>
      <w:r>
        <w:rPr>
          <w:rFonts w:hint="default" w:ascii="仿宋_GB2312" w:eastAsia="仿宋_GB2312" w:cs="Times New Roman"/>
          <w:color w:val="000000"/>
          <w:sz w:val="32"/>
          <w:szCs w:val="32"/>
          <w:lang w:val="en-US" w:eastAsia="zh-CN"/>
        </w:rPr>
        <w:t>法定代表人或者其委托代理人准时参加</w:t>
      </w:r>
      <w:r>
        <w:rPr>
          <w:rFonts w:hint="eastAsia" w:ascii="仿宋_GB2312" w:eastAsia="仿宋_GB2312" w:cs="Times New Roman"/>
          <w:color w:val="000000"/>
          <w:sz w:val="32"/>
          <w:szCs w:val="32"/>
          <w:lang w:val="en-US" w:eastAsia="zh-CN"/>
        </w:rPr>
        <w:t>。</w:t>
      </w:r>
    </w:p>
    <w:p>
      <w:pPr>
        <w:spacing w:line="600" w:lineRule="exact"/>
        <w:ind w:firstLine="643" w:firstLineChars="200"/>
        <w:rPr>
          <w:rFonts w:hint="eastAsia" w:ascii="仿宋_GB2312" w:eastAsia="仿宋_GB2312"/>
          <w:sz w:val="32"/>
          <w:szCs w:val="32"/>
          <w:lang w:eastAsia="zh-CN"/>
        </w:rPr>
      </w:pPr>
      <w:r>
        <w:rPr>
          <w:rFonts w:hint="eastAsia" w:ascii="仿宋_GB2312" w:hAnsi="仿宋_GB2312" w:eastAsia="仿宋_GB2312" w:cs="仿宋_GB2312"/>
          <w:b/>
          <w:bCs/>
          <w:sz w:val="32"/>
          <w:szCs w:val="32"/>
          <w:lang w:eastAsia="zh-CN"/>
        </w:rPr>
        <w:t>六、公告发布媒介</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本公告仅通过“人保e采”门户网站（https://ec.picc.com/）发布，其他媒介转载无效。</w:t>
      </w:r>
    </w:p>
    <w:p>
      <w:pPr>
        <w:spacing w:line="600" w:lineRule="exact"/>
        <w:ind w:firstLine="643" w:firstLineChars="200"/>
        <w:rPr>
          <w:rFonts w:hint="eastAsia" w:ascii="仿宋_GB2312" w:eastAsia="仿宋_GB2312"/>
          <w:sz w:val="32"/>
          <w:szCs w:val="32"/>
          <w:lang w:eastAsia="zh-CN"/>
        </w:rPr>
      </w:pPr>
      <w:r>
        <w:rPr>
          <w:rFonts w:hint="eastAsia" w:ascii="仿宋_GB2312" w:hAnsi="仿宋_GB2312" w:eastAsia="仿宋_GB2312" w:cs="仿宋_GB2312"/>
          <w:b/>
          <w:bCs/>
          <w:sz w:val="32"/>
          <w:szCs w:val="32"/>
          <w:lang w:eastAsia="zh-CN"/>
        </w:rPr>
        <w:t>七、联系方式</w:t>
      </w:r>
    </w:p>
    <w:p>
      <w:pPr>
        <w:numPr>
          <w:ilvl w:val="0"/>
          <w:numId w:val="0"/>
        </w:numPr>
        <w:ind w:firstLine="640" w:firstLineChars="200"/>
        <w:rPr>
          <w:rFonts w:hint="eastAsia" w:ascii="仿宋_GB2312" w:eastAsia="仿宋_GB2312" w:cs="Times New Roman"/>
          <w:sz w:val="32"/>
          <w:szCs w:val="32"/>
          <w:lang w:eastAsia="zh-CN"/>
        </w:rPr>
      </w:pPr>
      <w:r>
        <w:rPr>
          <w:rFonts w:hint="eastAsia" w:ascii="仿宋_GB2312" w:eastAsia="仿宋_GB2312"/>
          <w:sz w:val="32"/>
          <w:szCs w:val="32"/>
          <w:lang w:eastAsia="zh-CN"/>
        </w:rPr>
        <w:t>采购人：</w:t>
      </w:r>
      <w:r>
        <w:rPr>
          <w:rFonts w:hint="default" w:ascii="仿宋_GB2312" w:eastAsia="仿宋_GB2312" w:cs="Times New Roman"/>
          <w:sz w:val="32"/>
          <w:szCs w:val="32"/>
          <w:lang w:eastAsia="zh-CN"/>
        </w:rPr>
        <w:t>中国人民财产保险股份有限公司武汉经济技术开发区支公司</w:t>
      </w:r>
    </w:p>
    <w:p>
      <w:pPr>
        <w:spacing w:line="600" w:lineRule="exact"/>
        <w:ind w:left="638" w:leftChars="304" w:firstLine="0" w:firstLineChars="0"/>
        <w:rPr>
          <w:rFonts w:hint="default" w:ascii="仿宋_GB2312" w:eastAsia="仿宋_GB2312"/>
          <w:sz w:val="32"/>
          <w:szCs w:val="32"/>
          <w:lang w:val="en-US" w:eastAsia="zh-CN"/>
        </w:rPr>
      </w:pPr>
      <w:r>
        <w:rPr>
          <w:rFonts w:hint="eastAsia" w:ascii="仿宋_GB2312" w:eastAsia="仿宋_GB2312"/>
          <w:sz w:val="32"/>
          <w:szCs w:val="32"/>
        </w:rPr>
        <w:t>联系人：</w:t>
      </w:r>
      <w:r>
        <w:rPr>
          <w:rFonts w:hint="eastAsia" w:ascii="仿宋_GB2312" w:eastAsia="仿宋_GB2312"/>
          <w:sz w:val="32"/>
          <w:szCs w:val="32"/>
          <w:lang w:val="en-US" w:eastAsia="zh-CN"/>
        </w:rPr>
        <w:t>构虎</w:t>
      </w:r>
      <w:r>
        <w:rPr>
          <w:rFonts w:hint="eastAsia" w:ascii="仿宋_GB2312" w:eastAsia="仿宋_GB2312"/>
          <w:sz w:val="32"/>
          <w:szCs w:val="32"/>
          <w:lang w:val="en-US" w:eastAsia="zh-CN"/>
        </w:rPr>
        <w:br w:type="textWrapping"/>
      </w:r>
      <w:r>
        <w:rPr>
          <w:rFonts w:hint="eastAsia" w:ascii="仿宋_GB2312" w:eastAsia="仿宋_GB2312"/>
          <w:sz w:val="32"/>
          <w:szCs w:val="32"/>
        </w:rPr>
        <w:t>联系电话：</w:t>
      </w:r>
      <w:r>
        <w:rPr>
          <w:rFonts w:hint="eastAsia" w:ascii="仿宋_GB2312" w:eastAsia="仿宋_GB2312"/>
          <w:sz w:val="32"/>
          <w:szCs w:val="32"/>
          <w:lang w:val="en-US" w:eastAsia="zh-CN"/>
        </w:rPr>
        <w:t>18971691906</w:t>
      </w:r>
    </w:p>
    <w:p>
      <w:pPr>
        <w:spacing w:line="60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rPr>
        <w:t>电子邮箱：</w:t>
      </w:r>
      <w:r>
        <w:rPr>
          <w:rFonts w:hint="eastAsia" w:ascii="仿宋_GB2312" w:eastAsia="仿宋_GB2312"/>
          <w:sz w:val="32"/>
          <w:szCs w:val="32"/>
          <w:lang w:val="en-US" w:eastAsia="zh-CN"/>
        </w:rPr>
        <w:t>1071012745@qq.com</w:t>
      </w:r>
    </w:p>
    <w:p>
      <w:pPr>
        <w:spacing w:line="600" w:lineRule="exact"/>
        <w:ind w:firstLine="640" w:firstLineChars="200"/>
        <w:jc w:val="left"/>
        <w:rPr>
          <w:rFonts w:hint="eastAsia" w:ascii="仿宋_GB2312" w:hAnsi="仿宋_GB2312" w:eastAsia="仿宋_GB2312" w:cs="仿宋_GB2312"/>
          <w:sz w:val="32"/>
          <w:szCs w:val="32"/>
        </w:rPr>
      </w:pPr>
    </w:p>
    <w:p>
      <w:pPr>
        <w:spacing w:line="60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特此公告 </w:t>
      </w:r>
    </w:p>
    <w:p>
      <w:pPr>
        <w:spacing w:line="600" w:lineRule="exact"/>
        <w:jc w:val="left"/>
        <w:rPr>
          <w:rFonts w:ascii="仿宋_GB2312" w:hAnsi="仿宋_GB2312" w:eastAsia="仿宋_GB2312" w:cs="仿宋_GB2312"/>
          <w:sz w:val="32"/>
          <w:szCs w:val="32"/>
        </w:rPr>
      </w:pPr>
    </w:p>
    <w:p>
      <w:pPr>
        <w:numPr>
          <w:ilvl w:val="0"/>
          <w:numId w:val="0"/>
        </w:numPr>
        <w:ind w:firstLine="640" w:firstLineChars="200"/>
        <w:jc w:val="right"/>
        <w:rPr>
          <w:rFonts w:ascii="仿宋_GB2312" w:eastAsia="仿宋_GB2312"/>
          <w:sz w:val="32"/>
          <w:szCs w:val="32"/>
        </w:rPr>
      </w:pPr>
      <w:r>
        <w:rPr>
          <w:rFonts w:hint="default" w:ascii="仿宋_GB2312" w:eastAsia="仿宋_GB2312" w:cs="Times New Roman"/>
          <w:sz w:val="32"/>
          <w:szCs w:val="32"/>
          <w:lang w:eastAsia="zh-CN"/>
        </w:rPr>
        <w:t>中国人民财产保险股份有限公司</w:t>
      </w:r>
      <w:r>
        <w:rPr>
          <w:rFonts w:hint="default" w:ascii="仿宋_GB2312" w:eastAsia="仿宋_GB2312" w:cs="Times New Roman"/>
          <w:sz w:val="32"/>
          <w:szCs w:val="32"/>
          <w:lang w:eastAsia="zh-CN"/>
        </w:rPr>
        <w:br w:type="textWrapping"/>
      </w:r>
      <w:r>
        <w:rPr>
          <w:rFonts w:hint="default" w:ascii="仿宋_GB2312" w:eastAsia="仿宋_GB2312" w:cs="Times New Roman"/>
          <w:sz w:val="32"/>
          <w:szCs w:val="32"/>
          <w:lang w:eastAsia="zh-CN"/>
        </w:rPr>
        <w:t>武汉经济技术开发区支公司</w:t>
      </w:r>
    </w:p>
    <w:p>
      <w:pPr>
        <w:spacing w:line="600" w:lineRule="exact"/>
        <w:ind w:firstLine="4160" w:firstLineChars="1300"/>
        <w:jc w:val="both"/>
        <w:rPr>
          <w:rFonts w:hint="eastAsia" w:ascii="仿宋_GB2312" w:eastAsia="仿宋_GB2312"/>
          <w:sz w:val="32"/>
          <w:szCs w:val="32"/>
        </w:rPr>
      </w:pPr>
      <w:r>
        <w:rPr>
          <w:rFonts w:hint="eastAsia" w:ascii="仿宋_GB2312" w:eastAsia="仿宋_GB2312"/>
          <w:sz w:val="32"/>
          <w:szCs w:val="32"/>
        </w:rPr>
        <w:t>2026年</w:t>
      </w:r>
      <w:r>
        <w:rPr>
          <w:rFonts w:hint="eastAsia" w:ascii="仿宋_GB2312" w:eastAsia="仿宋_GB2312"/>
          <w:sz w:val="32"/>
          <w:szCs w:val="32"/>
          <w:lang w:val="en-US" w:eastAsia="zh-CN"/>
        </w:rPr>
        <w:t>7</w:t>
      </w:r>
      <w:r>
        <w:rPr>
          <w:rFonts w:hint="eastAsia" w:ascii="仿宋_GB2312" w:eastAsia="仿宋_GB2312"/>
          <w:sz w:val="32"/>
          <w:szCs w:val="32"/>
        </w:rPr>
        <w:t>月</w:t>
      </w:r>
      <w:r>
        <w:rPr>
          <w:rFonts w:hint="eastAsia" w:ascii="仿宋_GB2312" w:eastAsia="仿宋_GB2312"/>
          <w:sz w:val="32"/>
          <w:szCs w:val="32"/>
          <w:lang w:val="en-US" w:eastAsia="zh-CN"/>
        </w:rPr>
        <w:t>24</w:t>
      </w:r>
      <w:r>
        <w:rPr>
          <w:rFonts w:hint="eastAsia" w:ascii="仿宋_GB2312" w:eastAsia="仿宋_GB2312"/>
          <w:sz w:val="32"/>
          <w:szCs w:val="32"/>
        </w:rPr>
        <w:t>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9A6384"/>
    <w:multiLevelType w:val="multilevel"/>
    <w:tmpl w:val="2B9A6384"/>
    <w:lvl w:ilvl="0" w:tentative="0">
      <w:start w:val="1"/>
      <w:numFmt w:val="chineseCountingThousand"/>
      <w:suff w:val="space"/>
      <w:lvlText w:val="%1、"/>
      <w:lvlJc w:val="left"/>
      <w:pPr>
        <w:ind w:left="0" w:firstLine="0"/>
      </w:pPr>
      <w:rPr>
        <w:rFonts w:hint="eastAsia"/>
        <w:b/>
        <w:i w:val="0"/>
      </w:rPr>
    </w:lvl>
    <w:lvl w:ilvl="1" w:tentative="0">
      <w:start w:val="1"/>
      <w:numFmt w:val="decimal"/>
      <w:pStyle w:val="2"/>
      <w:suff w:val="space"/>
      <w:lvlText w:val="%2."/>
      <w:lvlJc w:val="left"/>
      <w:pPr>
        <w:ind w:left="0" w:firstLine="0"/>
      </w:pPr>
      <w:rPr>
        <w:rFonts w:hint="eastAsia"/>
        <w:b/>
        <w:i w:val="0"/>
      </w:rPr>
    </w:lvl>
    <w:lvl w:ilvl="2" w:tentative="0">
      <w:start w:val="1"/>
      <w:numFmt w:val="decimal"/>
      <w:suff w:val="space"/>
      <w:lvlText w:val="%2.%3"/>
      <w:lvlJc w:val="left"/>
      <w:pPr>
        <w:ind w:left="141" w:firstLine="0"/>
      </w:pPr>
      <w:rPr>
        <w:rFonts w:hint="eastAsia"/>
        <w:b/>
        <w:i w:val="0"/>
      </w:rPr>
    </w:lvl>
    <w:lvl w:ilvl="3" w:tentative="0">
      <w:start w:val="1"/>
      <w:numFmt w:val="decimal"/>
      <w:suff w:val="space"/>
      <w:lvlText w:val="%2.%3.%4"/>
      <w:lvlJc w:val="left"/>
      <w:pPr>
        <w:ind w:left="284" w:firstLine="0"/>
      </w:pPr>
      <w:rPr>
        <w:b/>
        <w:bCs w:val="0"/>
        <w:i w:val="0"/>
        <w:iCs w:val="0"/>
        <w:caps w:val="0"/>
        <w:smallCaps w:val="0"/>
        <w:strike w:val="0"/>
        <w:dstrike w:val="0"/>
        <w:vanish w:val="0"/>
        <w:spacing w:val="0"/>
        <w:position w:val="0"/>
        <w:u w:val="none"/>
        <w:vertAlign w:val="baseline"/>
      </w:rPr>
    </w:lvl>
    <w:lvl w:ilvl="4" w:tentative="0">
      <w:start w:val="1"/>
      <w:numFmt w:val="decimal"/>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3C1911"/>
    <w:rsid w:val="07B6433B"/>
    <w:rsid w:val="15750836"/>
    <w:rsid w:val="15B07DDF"/>
    <w:rsid w:val="1A01287F"/>
    <w:rsid w:val="1C67556F"/>
    <w:rsid w:val="2250000D"/>
    <w:rsid w:val="23B655AC"/>
    <w:rsid w:val="38DC0A74"/>
    <w:rsid w:val="455F1D47"/>
    <w:rsid w:val="45D524D2"/>
    <w:rsid w:val="48421C2F"/>
    <w:rsid w:val="525B5D9B"/>
    <w:rsid w:val="543C1911"/>
    <w:rsid w:val="5DA44ACC"/>
    <w:rsid w:val="6398463D"/>
    <w:rsid w:val="6E3D184C"/>
    <w:rsid w:val="799833EB"/>
    <w:rsid w:val="7B0A66EE"/>
    <w:rsid w:val="7C6359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15</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2026-03-10T01:02:00Z</dcterms:created>
  <dc:creator>vip</dc:creator>
  <cp:lastModifiedBy>Administrator</cp:lastModifiedBy>
  <dcterms:modified xsi:type="dcterms:W3CDTF">2026-07-24T08:32:13Z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24CC7958EEC541D9900ED34093518237_13</vt:lpwstr>
  </property>
</Properties>
</file>