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rPr>
      </w:pPr>
    </w:p>
    <w:p>
      <w:pPr>
        <w:jc w:val="center"/>
        <w:rPr>
          <w:rFonts w:hint="eastAsia" w:ascii="仿宋_GB2312" w:eastAsia="仿宋_GB2312"/>
          <w:color w:val="auto"/>
          <w:sz w:val="72"/>
          <w:szCs w:val="72"/>
          <w:lang w:eastAsia="zh-CN"/>
        </w:rPr>
      </w:pPr>
      <w:r>
        <w:rPr>
          <w:rFonts w:hint="eastAsia" w:ascii="仿宋_GB2312" w:hAnsi="宋体" w:eastAsia="仿宋_GB2312"/>
          <w:b/>
          <w:color w:val="auto"/>
          <w:sz w:val="36"/>
          <w:szCs w:val="36"/>
          <w:lang w:eastAsia="zh-CN"/>
        </w:rPr>
        <w:t>人保财险四川省泸州市分公司立柱宣传采购项目</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16"/>
        <w:ind w:left="113" w:leftChars="47"/>
        <w:jc w:val="center"/>
        <w:rPr>
          <w:rFonts w:ascii="仿宋_GB2312" w:hAnsi="宋体" w:eastAsia="仿宋_GB2312"/>
          <w:b/>
          <w:color w:val="auto"/>
          <w:sz w:val="28"/>
          <w:szCs w:val="28"/>
        </w:rPr>
      </w:pPr>
      <w:r>
        <w:rPr>
          <w:rFonts w:ascii="仿宋_GB2312" w:hAnsi="宋体" w:eastAsia="仿宋_GB2312"/>
          <w:b/>
          <w:color w:val="auto"/>
          <w:sz w:val="28"/>
          <w:szCs w:val="28"/>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7</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1"/>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_Toc26167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_Toc26167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_Toc15784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_Toc15784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_Toc8936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_Toc8936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_Toc25502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_Toc25502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_Toc30346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_Toc30346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_Toc2899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_Toc2899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_Toc15934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_Toc15934 \h </w:instrText>
      </w:r>
      <w:r>
        <w:fldChar w:fldCharType="separate"/>
      </w:r>
      <w:r>
        <w:t>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_Toc984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_Toc984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_Toc16744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_Toc16744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_Toc8529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_Toc8529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_Toc11453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_Toc11453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_Toc27188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_Toc27188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_Toc12043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_Toc12043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_Toc21379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_Toc21379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_Toc3342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_Toc3342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_Toc11205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_Toc11205 \h </w:instrText>
      </w:r>
      <w:r>
        <w:fldChar w:fldCharType="separate"/>
      </w:r>
      <w:r>
        <w:t>15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_Toc27909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_Toc27909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_Toc4807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_Toc4807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_Toc24556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_Toc24556 \h </w:instrText>
      </w:r>
      <w:r>
        <w:fldChar w:fldCharType="separate"/>
      </w:r>
      <w:r>
        <w:t>17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_Toc3182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_Toc3182 \h </w:instrText>
      </w:r>
      <w:r>
        <w:fldChar w:fldCharType="separate"/>
      </w:r>
      <w:r>
        <w:t>18</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_Toc7554 </w:instrText>
      </w:r>
      <w:r>
        <w:rPr>
          <w:rFonts w:hint="eastAsia" w:ascii="仿宋_GB2312" w:hAnsi="宋体" w:eastAsia="仿宋_GB2312"/>
          <w:bCs w:val="0"/>
        </w:rPr>
        <w:fldChar w:fldCharType="separate"/>
      </w:r>
      <w:r>
        <w:rPr>
          <w:rFonts w:hint="eastAsia" w:ascii="仿宋" w:hAnsi="仿宋" w:eastAsia="仿宋" w:cs="仿宋"/>
          <w:bCs/>
          <w:szCs w:val="28"/>
        </w:rPr>
        <w:t xml:space="preserve">第四章 </w:t>
      </w:r>
      <w:r>
        <w:rPr>
          <w:rFonts w:hint="eastAsia" w:ascii="仿宋" w:hAnsi="仿宋" w:eastAsia="仿宋" w:cs="仿宋"/>
          <w:bCs/>
          <w:szCs w:val="28"/>
          <w:highlight w:val="none"/>
        </w:rPr>
        <w:t>合同条款</w:t>
      </w:r>
      <w:r>
        <w:tab/>
      </w:r>
      <w:r>
        <w:fldChar w:fldCharType="begin"/>
      </w:r>
      <w:r>
        <w:instrText xml:space="preserve"> PAGEREF _Toc7554 \h </w:instrText>
      </w:r>
      <w:r>
        <w:fldChar w:fldCharType="separate"/>
      </w:r>
      <w:r>
        <w:t>20</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_Toc28455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_Toc28455 \h </w:instrText>
      </w:r>
      <w:r>
        <w:fldChar w:fldCharType="separate"/>
      </w:r>
      <w:r>
        <w:t>32</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_Toc20870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_Toc20870 \h </w:instrText>
      </w:r>
      <w:r>
        <w:fldChar w:fldCharType="separate"/>
      </w:r>
      <w:r>
        <w:t>33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_Toc12976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_Toc12976 \h </w:instrText>
      </w:r>
      <w:r>
        <w:fldChar w:fldCharType="separate"/>
      </w:r>
      <w:r>
        <w:t>34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_Toc3022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_Toc3022 \h </w:instrText>
      </w:r>
      <w:r>
        <w:fldChar w:fldCharType="separate"/>
      </w:r>
      <w:r>
        <w:t>35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_Toc2641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_Toc2641 \h </w:instrText>
      </w:r>
      <w:r>
        <w:fldChar w:fldCharType="separate"/>
      </w:r>
      <w:r>
        <w:t>36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_Toc12837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_Toc12837 \h </w:instrText>
      </w:r>
      <w:r>
        <w:fldChar w:fldCharType="separate"/>
      </w:r>
      <w:r>
        <w:t>37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_Toc19905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_Toc19905 \h </w:instrText>
      </w:r>
      <w:r>
        <w:fldChar w:fldCharType="separate"/>
      </w:r>
      <w:r>
        <w:t>38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_Toc2583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_Toc2583 \h </w:instrText>
      </w:r>
      <w:r>
        <w:fldChar w:fldCharType="separate"/>
      </w:r>
      <w:r>
        <w:t>45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_Toc3655 </w:instrText>
      </w:r>
      <w:r>
        <w:rPr>
          <w:rFonts w:hint="eastAsia" w:ascii="仿宋_GB2312" w:hAnsi="宋体" w:eastAsia="仿宋_GB2312"/>
          <w:bCs w:val="0"/>
        </w:rPr>
        <w:fldChar w:fldCharType="separate"/>
      </w:r>
      <w:r>
        <w:rPr>
          <w:rFonts w:hint="eastAsia" w:ascii="仿宋" w:hAnsi="仿宋" w:eastAsia="仿宋" w:cs="仿宋"/>
          <w:szCs w:val="24"/>
        </w:rPr>
        <w:t>（六）合同条款应答偏</w:t>
      </w:r>
      <w:r>
        <w:rPr>
          <w:rFonts w:ascii="仿宋" w:hAnsi="仿宋" w:eastAsia="仿宋" w:cs="仿宋"/>
          <w:szCs w:val="24"/>
        </w:rPr>
        <w:t>离表</w:t>
      </w:r>
      <w:r>
        <w:tab/>
      </w:r>
      <w:r>
        <w:fldChar w:fldCharType="begin"/>
      </w:r>
      <w:r>
        <w:instrText xml:space="preserve"> PAGEREF _Toc3655 \h </w:instrText>
      </w:r>
      <w:r>
        <w:fldChar w:fldCharType="separate"/>
      </w:r>
      <w:r>
        <w:t>46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_Toc25102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_Toc25102 \h </w:instrText>
      </w:r>
      <w:r>
        <w:fldChar w:fldCharType="separate"/>
      </w:r>
      <w:r>
        <w:t>47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_Toc25054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_Toc25054 \h </w:instrText>
      </w:r>
      <w:r>
        <w:fldChar w:fldCharType="separate"/>
      </w:r>
      <w:r>
        <w:t>49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_Toc23667 </w:instrText>
      </w:r>
      <w:r>
        <w:rPr>
          <w:rFonts w:hint="eastAsia" w:ascii="仿宋_GB2312" w:hAnsi="宋体" w:eastAsia="仿宋_GB2312"/>
          <w:bCs w:val="0"/>
        </w:rPr>
        <w:fldChar w:fldCharType="separate"/>
      </w:r>
      <w:r>
        <w:rPr>
          <w:rFonts w:hint="eastAsia" w:ascii="仿宋" w:hAnsi="仿宋" w:eastAsia="仿宋" w:cs="宋体"/>
          <w:bCs w:val="0"/>
          <w:szCs w:val="24"/>
        </w:rPr>
        <w:t>（九）</w:t>
      </w:r>
      <w:r>
        <w:rPr>
          <w:rFonts w:hint="eastAsia" w:ascii="仿宋" w:hAnsi="仿宋" w:eastAsia="仿宋" w:cs="宋体"/>
        </w:rPr>
        <w:t>其他材料</w:t>
      </w:r>
      <w:r>
        <w:tab/>
      </w:r>
      <w:r>
        <w:fldChar w:fldCharType="begin"/>
      </w:r>
      <w:r>
        <w:instrText xml:space="preserve"> PAGEREF _Toc23667 \h </w:instrText>
      </w:r>
      <w:r>
        <w:fldChar w:fldCharType="separate"/>
      </w:r>
      <w:r>
        <w:t>52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_Toc31832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_Toc31832 \h </w:instrText>
      </w:r>
      <w:r>
        <w:fldChar w:fldCharType="separate"/>
      </w:r>
      <w:r>
        <w:t>53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_Toc13482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_Toc13482 \h </w:instrText>
      </w:r>
      <w:r>
        <w:fldChar w:fldCharType="separate"/>
      </w:r>
      <w:r>
        <w:t>53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_Toc12001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_Toc12001 \h </w:instrText>
      </w:r>
      <w:r>
        <w:fldChar w:fldCharType="separate"/>
      </w:r>
      <w:r>
        <w:t>54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_Toc21797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_Toc21797 \h </w:instrText>
      </w:r>
      <w:r>
        <w:fldChar w:fldCharType="separate"/>
      </w:r>
      <w:r>
        <w:t>55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_Toc26703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三</w:t>
      </w:r>
      <w:r>
        <w:rPr>
          <w:rFonts w:hint="eastAsia" w:ascii="仿宋" w:hAnsi="仿宋" w:eastAsia="仿宋" w:cs="仿宋"/>
          <w:szCs w:val="24"/>
        </w:rPr>
        <w:t>、</w:t>
      </w:r>
      <w:r>
        <w:rPr>
          <w:rFonts w:hint="eastAsia" w:ascii="仿宋" w:hAnsi="仿宋" w:eastAsia="仿宋" w:cs="仿宋"/>
          <w:szCs w:val="24"/>
          <w:lang w:val="en-US" w:eastAsia="zh-CN"/>
        </w:rPr>
        <w:t>报价</w:t>
      </w:r>
      <w:r>
        <w:rPr>
          <w:rFonts w:hint="eastAsia" w:ascii="仿宋" w:hAnsi="仿宋" w:eastAsia="仿宋" w:cs="仿宋"/>
          <w:szCs w:val="24"/>
        </w:rPr>
        <w:t>文件</w:t>
      </w:r>
      <w:r>
        <w:tab/>
      </w:r>
      <w:r>
        <w:fldChar w:fldCharType="begin"/>
      </w:r>
      <w:r>
        <w:instrText xml:space="preserve"> PAGEREF _Toc26703 \h </w:instrText>
      </w:r>
      <w:r>
        <w:fldChar w:fldCharType="separate"/>
      </w:r>
      <w:r>
        <w:t>56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_Toc3812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_Toc3812 \h </w:instrText>
      </w:r>
      <w:r>
        <w:fldChar w:fldCharType="separate"/>
      </w:r>
      <w:r>
        <w:t>56</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26167"/>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lang w:eastAsia="zh-CN"/>
        </w:rPr>
        <w:t>人保财险四川省泸州市分公司立柱宣传采购项目</w:t>
      </w:r>
      <w:r>
        <w:rPr>
          <w:rFonts w:hint="eastAsia" w:ascii="仿宋" w:hAnsi="仿宋" w:eastAsia="仿宋" w:cs="仿宋"/>
          <w:color w:val="auto"/>
        </w:rPr>
        <w:t>（采购项目编号：XM26FSPC002391）由</w:t>
      </w:r>
      <w:r>
        <w:rPr>
          <w:rFonts w:hint="eastAsia" w:ascii="仿宋" w:hAnsi="仿宋" w:eastAsia="仿宋" w:cs="仿宋"/>
          <w:color w:val="auto"/>
          <w:u w:val="single"/>
        </w:rPr>
        <w:t>中国人民财产保险股份有限公司泸州市分公司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中国人民财产保险股份有限公司泸州市分公司</w:t>
      </w:r>
      <w:r>
        <w:rPr>
          <w:rFonts w:hint="eastAsia" w:ascii="仿宋" w:hAnsi="仿宋" w:eastAsia="仿宋" w:cs="宋体"/>
          <w:color w:val="auto"/>
        </w:rPr>
        <w:t>（以下简称“人保财险泸州市分公司”）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2" w:name="_Toc15784"/>
      <w:bookmarkStart w:id="3" w:name="_Toc21237"/>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lang w:eastAsia="zh-CN"/>
        </w:rPr>
        <w:t>人保财险四川省泸州市分公司立柱宣传采购项目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采购范围：拟采购两家供应商，分别负责泸县县域内和隆纳高速路收费站（泸州站）的立柱宣传，具体技术要求详见第五章采购需求。</w:t>
      </w:r>
    </w:p>
    <w:p>
      <w:pPr>
        <w:adjustRightInd w:val="0"/>
        <w:snapToGrid w:val="0"/>
        <w:spacing w:line="360" w:lineRule="auto"/>
        <w:ind w:firstLine="480" w:firstLineChars="200"/>
        <w:rPr>
          <w:rFonts w:hint="eastAsia" w:ascii="仿宋" w:hAnsi="仿宋" w:eastAsia="仿宋" w:cs="宋体"/>
          <w:color w:val="auto"/>
        </w:rPr>
      </w:pPr>
      <w:r>
        <w:rPr>
          <w:rFonts w:hint="eastAsia" w:ascii="仿宋" w:hAnsi="仿宋" w:eastAsia="仿宋" w:cs="仿宋"/>
          <w:color w:val="auto"/>
        </w:rPr>
        <w:t>1.3 标包划分：</w:t>
      </w:r>
      <w:r>
        <w:rPr>
          <w:rFonts w:hint="eastAsia" w:ascii="仿宋" w:hAnsi="仿宋" w:eastAsia="仿宋" w:cs="宋体"/>
          <w:color w:val="auto"/>
        </w:rPr>
        <w:t>本项目划分为2个标包，情况如下</w:t>
      </w:r>
    </w:p>
    <w:tbl>
      <w:tblPr>
        <w:tblStyle w:val="29"/>
        <w:tblW w:w="4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4"/>
        <w:gridCol w:w="2434"/>
        <w:gridCol w:w="3287"/>
        <w:gridCol w:w="1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39" w:type="pct"/>
            <w:noWrap w:val="0"/>
            <w:vAlign w:val="center"/>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标包号</w:t>
            </w:r>
          </w:p>
        </w:tc>
        <w:tc>
          <w:tcPr>
            <w:tcW w:w="1474" w:type="pct"/>
            <w:noWrap w:val="0"/>
            <w:vAlign w:val="center"/>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标包名称</w:t>
            </w:r>
          </w:p>
        </w:tc>
        <w:tc>
          <w:tcPr>
            <w:tcW w:w="1991" w:type="pct"/>
            <w:noWrap w:val="0"/>
            <w:vAlign w:val="center"/>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采购内容/数量</w:t>
            </w:r>
          </w:p>
        </w:tc>
        <w:tc>
          <w:tcPr>
            <w:tcW w:w="895" w:type="pct"/>
            <w:noWrap w:val="0"/>
            <w:vAlign w:val="center"/>
          </w:tcPr>
          <w:p>
            <w:pPr>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pct"/>
            <w:noWrap w:val="0"/>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标包1</w:t>
            </w:r>
          </w:p>
        </w:tc>
        <w:tc>
          <w:tcPr>
            <w:tcW w:w="1474" w:type="pct"/>
            <w:noWrap w:val="0"/>
            <w:vAlign w:val="center"/>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泸县镇街立柱宣传</w:t>
            </w:r>
          </w:p>
        </w:tc>
        <w:tc>
          <w:tcPr>
            <w:tcW w:w="1991" w:type="pct"/>
            <w:noWrap w:val="0"/>
            <w:vAlign w:val="center"/>
          </w:tcPr>
          <w:p>
            <w:pPr>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负责泸县县域内20个镇街立柱宣传的制作安装投放及后期维护，宣传期3个月</w:t>
            </w:r>
          </w:p>
        </w:tc>
        <w:tc>
          <w:tcPr>
            <w:tcW w:w="895" w:type="pct"/>
            <w:noWrap w:val="0"/>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9" w:type="pct"/>
            <w:noWrap w:val="0"/>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标包2</w:t>
            </w:r>
          </w:p>
        </w:tc>
        <w:tc>
          <w:tcPr>
            <w:tcW w:w="1474" w:type="pct"/>
            <w:noWrap w:val="0"/>
            <w:vAlign w:val="center"/>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隆纳高速泸州收费站</w:t>
            </w:r>
          </w:p>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立柱宣传</w:t>
            </w:r>
          </w:p>
        </w:tc>
        <w:tc>
          <w:tcPr>
            <w:tcW w:w="1991" w:type="pct"/>
            <w:noWrap w:val="0"/>
            <w:vAlign w:val="center"/>
          </w:tcPr>
          <w:p>
            <w:pPr>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负责</w:t>
            </w:r>
            <w:r>
              <w:rPr>
                <w:rFonts w:hint="eastAsia" w:ascii="仿宋_GB2312" w:hAnsi="宋体" w:eastAsia="仿宋_GB2312" w:cs="宋体"/>
                <w:kern w:val="0"/>
                <w:sz w:val="24"/>
                <w:szCs w:val="24"/>
                <w:vertAlign w:val="baseline"/>
                <w:lang w:val="en-US" w:eastAsia="zh-CN"/>
              </w:rPr>
              <w:t>隆纳高速泸州收费站</w:t>
            </w:r>
            <w:r>
              <w:rPr>
                <w:rFonts w:hint="eastAsia" w:ascii="仿宋" w:hAnsi="仿宋" w:eastAsia="仿宋" w:cs="仿宋"/>
                <w:color w:val="auto"/>
                <w:sz w:val="24"/>
                <w:szCs w:val="24"/>
                <w:lang w:val="en-US" w:eastAsia="zh-CN"/>
              </w:rPr>
              <w:t>1个立柱宣传的制作安装投放及后期维护，宣传期6个月</w:t>
            </w:r>
          </w:p>
        </w:tc>
        <w:tc>
          <w:tcPr>
            <w:tcW w:w="895" w:type="pct"/>
            <w:noWrap w:val="0"/>
            <w:vAlign w:val="center"/>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个</w:t>
            </w:r>
          </w:p>
        </w:tc>
      </w:tr>
    </w:tbl>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3个月/6个月</w:t>
      </w:r>
      <w:r>
        <w:rPr>
          <w:rFonts w:hint="eastAsia" w:ascii="仿宋" w:hAnsi="仿宋" w:eastAsia="仿宋" w:cs="宋体"/>
          <w:color w:val="auto"/>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宋体"/>
          <w:color w:val="auto"/>
          <w:lang w:val="en-US" w:eastAsia="zh-CN"/>
        </w:rPr>
        <w:t>泸县、泸州市</w:t>
      </w:r>
      <w:r>
        <w:rPr>
          <w:rFonts w:hint="eastAsia" w:ascii="仿宋" w:hAnsi="仿宋" w:eastAsia="仿宋" w:cs="宋体"/>
          <w:color w:val="auto"/>
        </w:rPr>
        <w:t>。</w:t>
      </w:r>
    </w:p>
    <w:p>
      <w:pPr>
        <w:pStyle w:val="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：项目设置单价最高限价，即供应商报价标包1不得高于</w:t>
      </w:r>
      <w:r>
        <w:rPr>
          <w:rFonts w:hint="eastAsia" w:ascii="仿宋" w:hAnsi="仿宋" w:eastAsia="仿宋" w:cs="仿宋"/>
          <w:color w:val="auto"/>
          <w:lang w:val="en-US" w:eastAsia="zh-CN"/>
        </w:rPr>
        <w:t>32</w:t>
      </w:r>
      <w:r>
        <w:rPr>
          <w:rFonts w:hint="eastAsia" w:ascii="仿宋" w:hAnsi="仿宋" w:eastAsia="仿宋" w:cs="仿宋"/>
          <w:color w:val="auto"/>
        </w:rPr>
        <w:t>00元</w:t>
      </w:r>
      <w:r>
        <w:rPr>
          <w:rFonts w:hint="eastAsia" w:ascii="仿宋" w:hAnsi="仿宋" w:eastAsia="仿宋" w:cs="仿宋"/>
          <w:color w:val="auto"/>
          <w:lang w:eastAsia="zh-CN"/>
        </w:rPr>
        <w:t>、</w:t>
      </w:r>
      <w:r>
        <w:rPr>
          <w:rFonts w:hint="eastAsia" w:ascii="仿宋" w:hAnsi="仿宋" w:eastAsia="仿宋" w:cs="仿宋"/>
          <w:color w:val="auto"/>
        </w:rPr>
        <w:t>标包</w:t>
      </w:r>
      <w:r>
        <w:rPr>
          <w:rFonts w:hint="eastAsia" w:ascii="仿宋" w:hAnsi="仿宋" w:eastAsia="仿宋" w:cs="仿宋"/>
          <w:color w:val="auto"/>
          <w:lang w:val="en-US" w:eastAsia="zh-CN"/>
        </w:rPr>
        <w:t>2</w:t>
      </w:r>
      <w:r>
        <w:rPr>
          <w:rFonts w:hint="eastAsia" w:ascii="仿宋" w:hAnsi="仿宋" w:eastAsia="仿宋" w:cs="仿宋"/>
          <w:color w:val="auto"/>
        </w:rPr>
        <w:t>不得高于</w:t>
      </w:r>
      <w:r>
        <w:rPr>
          <w:rFonts w:hint="eastAsia" w:ascii="仿宋" w:hAnsi="仿宋" w:eastAsia="仿宋" w:cs="仿宋"/>
          <w:color w:val="auto"/>
          <w:lang w:val="en-US" w:eastAsia="zh-CN"/>
        </w:rPr>
        <w:t>170</w:t>
      </w:r>
      <w:r>
        <w:rPr>
          <w:rFonts w:hint="eastAsia" w:ascii="仿宋" w:hAnsi="仿宋" w:eastAsia="仿宋" w:cs="仿宋"/>
          <w:color w:val="auto"/>
        </w:rPr>
        <w:t>00元。</w:t>
      </w:r>
    </w:p>
    <w:p>
      <w:pPr>
        <w:pStyle w:val="4"/>
        <w:jc w:val="left"/>
        <w:rPr>
          <w:rFonts w:ascii="仿宋" w:hAnsi="仿宋" w:eastAsia="仿宋" w:cs="仿宋"/>
          <w:color w:val="auto"/>
          <w:sz w:val="24"/>
          <w:szCs w:val="24"/>
        </w:rPr>
      </w:pPr>
      <w:bookmarkStart w:id="4" w:name="_Toc8936"/>
      <w:bookmarkStart w:id="5" w:name="_Toc17569"/>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2</w:t>
      </w:r>
      <w:r>
        <w:rPr>
          <w:rFonts w:hint="eastAsia" w:ascii="仿宋" w:hAnsi="仿宋" w:eastAsia="仿宋" w:cs="宋体"/>
          <w:color w:val="auto"/>
        </w:rPr>
        <w:t xml:space="preserve">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ascii="仿宋" w:hAnsi="仿宋" w:eastAsia="仿宋" w:cs="宋体"/>
          <w:color w:val="auto"/>
        </w:rPr>
        <w:t>23</w:t>
      </w:r>
      <w:r>
        <w:rPr>
          <w:rFonts w:hint="eastAsia" w:ascii="仿宋" w:hAnsi="仿宋" w:eastAsia="仿宋" w:cs="宋体"/>
          <w:color w:val="auto"/>
        </w:rPr>
        <w:t>年1月1日至今）应具有</w:t>
      </w:r>
      <w:r>
        <w:rPr>
          <w:rFonts w:ascii="仿宋" w:hAnsi="仿宋" w:eastAsia="仿宋" w:cs="宋体"/>
          <w:color w:val="auto"/>
        </w:rPr>
        <w:t>1</w:t>
      </w:r>
      <w:r>
        <w:rPr>
          <w:rFonts w:hint="eastAsia" w:ascii="仿宋" w:hAnsi="仿宋" w:eastAsia="仿宋" w:cs="宋体"/>
          <w:color w:val="auto"/>
        </w:rPr>
        <w:t>个（含）以上同类项目实施案例，并提供符合上述要求的合同关键页作为有效的业绩证明材料。合同关键页包含但不限于合同首页、合同标的页、签署日期页及盖章页等。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b/>
          <w:bCs/>
          <w:color w:val="auto"/>
        </w:rPr>
        <w:t>供应商应经营状况良好，且近三年内（</w:t>
      </w:r>
      <w:r>
        <w:rPr>
          <w:rFonts w:ascii="仿宋" w:hAnsi="仿宋" w:eastAsia="仿宋" w:cs="宋体"/>
          <w:b/>
          <w:bCs/>
          <w:color w:val="auto"/>
        </w:rPr>
        <w:t>2023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color w:val="auto"/>
        </w:rPr>
        <w:t xml:space="preserve">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color w:val="auto"/>
        </w:rPr>
        <w:t>本项目不接受联合体比选响应。提供承诺函，格式详见第六章响应文件格式。</w:t>
      </w:r>
    </w:p>
    <w:p>
      <w:pPr>
        <w:pStyle w:val="4"/>
        <w:spacing w:after="240"/>
        <w:jc w:val="left"/>
        <w:rPr>
          <w:rFonts w:ascii="仿宋" w:hAnsi="仿宋" w:eastAsia="仿宋" w:cs="仿宋"/>
          <w:color w:val="auto"/>
          <w:sz w:val="24"/>
          <w:szCs w:val="24"/>
        </w:rPr>
      </w:pPr>
      <w:bookmarkStart w:id="6" w:name="_Toc25502"/>
      <w:bookmarkStart w:id="7" w:name="_Toc2019"/>
      <w:r>
        <w:rPr>
          <w:rFonts w:hint="eastAsia" w:ascii="仿宋" w:hAnsi="仿宋" w:eastAsia="仿宋" w:cs="仿宋"/>
          <w:color w:val="auto"/>
          <w:sz w:val="24"/>
          <w:szCs w:val="24"/>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29</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31</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w:t>
      </w:r>
      <w:r>
        <w:rPr>
          <w:rFonts w:hint="eastAsia" w:ascii="仿宋" w:hAnsi="仿宋" w:eastAsia="仿宋" w:cs="宋体"/>
          <w:color w:val="auto"/>
          <w:sz w:val="24"/>
          <w:lang w:eastAsia="zh-CN"/>
        </w:rPr>
        <w:t>、金采网</w:t>
      </w:r>
      <w:r>
        <w:rPr>
          <w:rFonts w:hint="eastAsia" w:ascii="仿宋" w:hAnsi="仿宋" w:eastAsia="仿宋" w:cs="宋体"/>
          <w:color w:val="auto"/>
          <w:sz w:val="24"/>
        </w:rPr>
        <w:t>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auto"/>
          <w:sz w:val="24"/>
          <w:szCs w:val="24"/>
        </w:rPr>
      </w:pPr>
      <w:bookmarkStart w:id="8" w:name="_Toc30346"/>
      <w:bookmarkStart w:id="9" w:name="_Toc32115"/>
      <w:r>
        <w:rPr>
          <w:rFonts w:hint="eastAsia" w:ascii="仿宋" w:hAnsi="仿宋" w:eastAsia="仿宋" w:cs="仿宋"/>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4</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15</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.2响应文件的递交：须现场递交至泸州市江阳区江阳西路段163号1栋保险大厦，</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4"/>
        <w:jc w:val="left"/>
        <w:rPr>
          <w:rFonts w:ascii="仿宋" w:hAnsi="仿宋" w:eastAsia="仿宋" w:cs="仿宋"/>
          <w:color w:val="auto"/>
          <w:sz w:val="24"/>
          <w:szCs w:val="24"/>
        </w:rPr>
      </w:pPr>
      <w:bookmarkStart w:id="10" w:name="_Toc2899"/>
      <w:bookmarkStart w:id="11" w:name="_Toc874"/>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30596"/>
      <w:bookmarkStart w:id="13" w:name="_Toc15934"/>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auto"/>
          <w:lang w:eastAsia="zh-CN"/>
        </w:rPr>
      </w:pPr>
      <w:r>
        <w:rPr>
          <w:rFonts w:hint="eastAsia" w:ascii="仿宋" w:hAnsi="仿宋" w:eastAsia="仿宋" w:cs="仿宋"/>
          <w:b/>
          <w:bCs/>
          <w:color w:val="auto"/>
        </w:rPr>
        <w:t>采购人：</w:t>
      </w:r>
      <w:r>
        <w:rPr>
          <w:rFonts w:hint="eastAsia" w:ascii="仿宋" w:hAnsi="仿宋" w:eastAsia="仿宋" w:cs="仿宋"/>
          <w:b/>
          <w:bCs/>
          <w:color w:val="auto"/>
          <w:lang w:eastAsia="zh-CN"/>
        </w:rPr>
        <w:t>中国人民财产保险股份有限公司泸州市分公司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w:t>
      </w:r>
      <w:r>
        <w:rPr>
          <w:rFonts w:hint="eastAsia" w:ascii="仿宋" w:hAnsi="仿宋" w:eastAsia="仿宋" w:cs="宋体"/>
          <w:color w:val="auto"/>
          <w:lang w:eastAsia="zh-CN"/>
        </w:rPr>
        <w:t>泸州市江阳区江阳西路段163号1栋保险大厦901办公室</w:t>
      </w:r>
      <w:r>
        <w:rPr>
          <w:rFonts w:ascii="仿宋" w:hAnsi="仿宋" w:eastAsia="仿宋" w:cs="宋体"/>
          <w:color w:val="auto"/>
        </w:rPr>
        <w:t xml:space="preserve"> </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eastAsia="zh-CN"/>
        </w:rPr>
        <w:t>牟艳、</w:t>
      </w:r>
      <w:r>
        <w:rPr>
          <w:rFonts w:hint="eastAsia" w:ascii="仿宋" w:hAnsi="仿宋" w:eastAsia="仿宋" w:cs="宋体"/>
          <w:color w:val="auto"/>
          <w:lang w:val="en-US" w:eastAsia="zh-CN"/>
        </w:rPr>
        <w:t>施雨廷</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电话：0830-3129155</w:t>
      </w:r>
      <w:r>
        <w:rPr>
          <w:rFonts w:hint="eastAsia" w:ascii="仿宋" w:hAnsi="仿宋" w:eastAsia="仿宋" w:cs="宋体"/>
          <w:color w:val="auto"/>
          <w:lang w:eastAsia="zh-CN"/>
        </w:rPr>
        <w:t>、</w:t>
      </w:r>
      <w:r>
        <w:rPr>
          <w:rFonts w:hint="eastAsia" w:ascii="仿宋" w:hAnsi="仿宋" w:eastAsia="仿宋" w:cs="宋体"/>
          <w:color w:val="auto"/>
          <w:lang w:val="en-US" w:eastAsia="zh-CN"/>
        </w:rPr>
        <w:t>0830-3198350</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电子邮件：mouyan@sic.picc.com.cn</w:t>
      </w:r>
      <w:r>
        <w:rPr>
          <w:rFonts w:hint="eastAsia" w:ascii="仿宋" w:hAnsi="仿宋" w:eastAsia="仿宋" w:cs="宋体"/>
          <w:color w:val="auto"/>
          <w:lang w:eastAsia="zh-CN"/>
        </w:rPr>
        <w:t>、shiyuting@sic.picc.com.cn</w:t>
      </w:r>
    </w:p>
    <w:p>
      <w:pPr>
        <w:spacing w:line="360" w:lineRule="auto"/>
        <w:ind w:firstLine="480" w:firstLineChars="200"/>
        <w:jc w:val="right"/>
        <w:textAlignment w:val="baseline"/>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spacing w:line="360" w:lineRule="auto"/>
        <w:ind w:firstLine="480" w:firstLineChars="200"/>
        <w:jc w:val="right"/>
        <w:textAlignment w:val="baseline"/>
        <w:rPr>
          <w:rFonts w:hint="eastAsia" w:ascii="仿宋" w:hAnsi="仿宋" w:eastAsia="仿宋" w:cs="宋体"/>
          <w:color w:val="auto"/>
          <w:lang w:eastAsia="zh-CN"/>
        </w:rPr>
      </w:pPr>
      <w:r>
        <w:rPr>
          <w:rFonts w:hint="eastAsia" w:ascii="仿宋" w:hAnsi="仿宋" w:eastAsia="仿宋" w:cs="宋体"/>
          <w:color w:val="auto"/>
        </w:rPr>
        <w:t>采购人：</w:t>
      </w:r>
      <w:r>
        <w:rPr>
          <w:rFonts w:hint="eastAsia" w:ascii="仿宋" w:hAnsi="仿宋" w:eastAsia="仿宋" w:cs="宋体"/>
          <w:color w:val="auto"/>
          <w:lang w:eastAsia="zh-CN"/>
        </w:rPr>
        <w:t>中国人民财产保险股份有限公司泸州市分公司</w:t>
      </w:r>
    </w:p>
    <w:p>
      <w:pPr>
        <w:spacing w:line="360" w:lineRule="auto"/>
        <w:jc w:val="right"/>
        <w:rPr>
          <w:rFonts w:hint="eastAsia" w:ascii="楷体" w:hAnsi="楷体" w:eastAsia="楷体" w:cs="仿宋_GB2312"/>
          <w:i/>
          <w:color w:val="auto"/>
          <w:szCs w:val="32"/>
          <w:lang w:eastAsia="zh-CN"/>
        </w:rPr>
      </w:pPr>
      <w:r>
        <w:rPr>
          <w:rFonts w:hint="eastAsia" w:ascii="仿宋" w:hAnsi="仿宋" w:eastAsia="仿宋" w:cs="宋体"/>
          <w:color w:val="auto"/>
          <w:lang w:eastAsia="zh-CN"/>
        </w:rPr>
        <w:t>2026年</w:t>
      </w:r>
      <w:r>
        <w:rPr>
          <w:rFonts w:hint="eastAsia" w:ascii="仿宋" w:hAnsi="仿宋" w:eastAsia="仿宋" w:cs="宋体"/>
          <w:color w:val="auto"/>
          <w:lang w:val="en-US" w:eastAsia="zh-CN"/>
        </w:rPr>
        <w:t>7</w:t>
      </w:r>
      <w:r>
        <w:rPr>
          <w:rFonts w:hint="eastAsia" w:ascii="仿宋" w:hAnsi="仿宋" w:eastAsia="仿宋" w:cs="宋体"/>
          <w:color w:val="auto"/>
          <w:lang w:eastAsia="zh-CN"/>
        </w:rPr>
        <w:t>月</w:t>
      </w:r>
      <w:r>
        <w:rPr>
          <w:rFonts w:hint="eastAsia" w:ascii="仿宋" w:hAnsi="仿宋" w:eastAsia="仿宋" w:cs="宋体"/>
          <w:color w:val="auto"/>
          <w:lang w:val="en-US" w:eastAsia="zh-CN"/>
        </w:rPr>
        <w:t>28</w:t>
      </w:r>
      <w:bookmarkStart w:id="203" w:name="_GoBack"/>
      <w:bookmarkEnd w:id="203"/>
      <w:r>
        <w:rPr>
          <w:rFonts w:hint="eastAsia" w:ascii="仿宋" w:hAnsi="仿宋" w:eastAsia="仿宋" w:cs="宋体"/>
          <w:color w:val="auto"/>
          <w:lang w:eastAsia="zh-CN"/>
        </w:rPr>
        <w:t>日</w:t>
      </w:r>
    </w:p>
    <w:p>
      <w:pPr>
        <w:spacing w:line="360" w:lineRule="auto"/>
        <w:jc w:val="right"/>
        <w:rPr>
          <w:rFonts w:ascii="楷体" w:hAnsi="楷体" w:eastAsia="楷体" w:cs="仿宋_GB2312"/>
          <w:i/>
          <w:color w:val="auto"/>
          <w:szCs w:val="32"/>
        </w:rPr>
      </w:pPr>
    </w:p>
    <w:p>
      <w:pPr>
        <w:rPr>
          <w:rFonts w:hint="eastAsia" w:ascii="仿宋_GB2312" w:hAnsi="宋体" w:eastAsia="仿宋_GB2312"/>
          <w:color w:val="auto"/>
          <w:sz w:val="28"/>
          <w:szCs w:val="28"/>
        </w:rPr>
      </w:pPr>
      <w:bookmarkStart w:id="14" w:name="_Toc16027"/>
      <w:bookmarkStart w:id="15" w:name="_Toc984"/>
      <w:r>
        <w:rPr>
          <w:rFonts w:hint="eastAsia" w:ascii="仿宋_GB2312" w:hAnsi="宋体" w:eastAsia="仿宋_GB2312"/>
          <w:color w:val="auto"/>
          <w:sz w:val="28"/>
          <w:szCs w:val="28"/>
        </w:rPr>
        <w:br w:type="page"/>
      </w:r>
    </w:p>
    <w:p>
      <w:pPr>
        <w:pStyle w:val="3"/>
        <w:ind w:left="0" w:firstLine="0"/>
        <w:jc w:val="center"/>
        <w:rPr>
          <w:rFonts w:ascii="仿宋_GB2312" w:hAnsi="宋体" w:eastAsia="仿宋_GB2312"/>
          <w:color w:val="auto"/>
          <w:sz w:val="28"/>
          <w:szCs w:val="28"/>
        </w:rPr>
      </w:pPr>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color w:val="auto"/>
          <w:sz w:val="24"/>
          <w:szCs w:val="24"/>
        </w:rPr>
      </w:pPr>
      <w:bookmarkStart w:id="16" w:name="_Toc16744"/>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ascii="仿宋" w:hAnsi="仿宋" w:eastAsia="仿宋" w:cs="仿宋"/>
                <w:color w:val="auto"/>
                <w:u w:val="single"/>
                <w:lang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电子文件1份（U盘，注：电子文档内容应包括投标文件所有内容，签字盖章后的PDF扫描版文件）；纸质文件正本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2）比选小组要求供应商两轮报价，供应商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rPr>
            </w:pPr>
            <w:r>
              <w:rPr>
                <w:rFonts w:hint="eastAsia" w:ascii="仿宋" w:hAnsi="仿宋" w:eastAsia="仿宋" w:cs="仿宋"/>
                <w:color w:val="auto"/>
                <w:szCs w:val="21"/>
              </w:rPr>
              <w:t>比选程序</w:t>
            </w:r>
          </w:p>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lang w:val="en-US" w:eastAsia="zh-CN"/>
              </w:rPr>
              <w:t>响应文件递交顺序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rPr>
            </w:pPr>
            <w:r>
              <w:rPr>
                <w:rFonts w:hint="eastAsia" w:ascii="仿宋" w:hAnsi="仿宋" w:eastAsia="仿宋" w:cs="仿宋"/>
                <w:color w:val="auto"/>
              </w:rPr>
              <w:t>成交候选人</w:t>
            </w:r>
          </w:p>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hint="eastAsia" w:ascii="仿宋" w:hAnsi="仿宋" w:eastAsia="仿宋" w:cs="仿宋"/>
                <w:color w:val="auto"/>
                <w:sz w:val="22"/>
                <w:szCs w:val="22"/>
              </w:rPr>
            </w:pPr>
            <w:r>
              <w:rPr>
                <w:rFonts w:hint="eastAsia" w:ascii="仿宋" w:hAnsi="仿宋" w:eastAsia="仿宋" w:cs="仿宋"/>
                <w:color w:val="auto"/>
                <w:sz w:val="22"/>
                <w:szCs w:val="22"/>
              </w:rPr>
              <w:t>每个标包成交人数量：</w:t>
            </w:r>
            <w:r>
              <w:rPr>
                <w:rFonts w:hint="eastAsia" w:ascii="仿宋" w:hAnsi="仿宋" w:eastAsia="仿宋" w:cs="仿宋"/>
                <w:color w:val="auto"/>
                <w:sz w:val="22"/>
                <w:szCs w:val="22"/>
                <w:u w:val="single"/>
              </w:rPr>
              <w:t>1家</w:t>
            </w:r>
            <w:r>
              <w:rPr>
                <w:rFonts w:hint="eastAsia" w:ascii="仿宋" w:hAnsi="仿宋" w:eastAsia="仿宋" w:cs="仿宋"/>
                <w:color w:val="auto"/>
                <w:sz w:val="22"/>
                <w:szCs w:val="22"/>
              </w:rPr>
              <w:t>（同一单位若投标两个标包，且综合排名均为第一，仅能按标包顺序中标一个标包）</w:t>
            </w:r>
          </w:p>
          <w:p>
            <w:pPr>
              <w:autoSpaceDE w:val="0"/>
              <w:autoSpaceDN w:val="0"/>
              <w:adjustRightInd w:val="0"/>
              <w:spacing w:line="400" w:lineRule="exact"/>
              <w:rPr>
                <w:rFonts w:hint="eastAsia" w:ascii="仿宋" w:hAnsi="仿宋" w:eastAsia="仿宋" w:cs="仿宋"/>
                <w:color w:val="auto"/>
                <w:lang w:eastAsia="zh-CN"/>
              </w:rPr>
            </w:pPr>
            <w:r>
              <w:rPr>
                <w:rFonts w:hint="eastAsia" w:ascii="仿宋" w:hAnsi="仿宋" w:eastAsia="仿宋" w:cs="仿宋"/>
                <w:color w:val="auto"/>
                <w:sz w:val="22"/>
                <w:szCs w:val="22"/>
              </w:rPr>
              <w:t>每个标包</w:t>
            </w:r>
            <w:r>
              <w:rPr>
                <w:rFonts w:hint="eastAsia" w:ascii="仿宋" w:hAnsi="仿宋" w:eastAsia="仿宋" w:cs="仿宋"/>
                <w:color w:val="auto"/>
                <w:sz w:val="22"/>
                <w:szCs w:val="22"/>
                <w:u w:val="single"/>
              </w:rPr>
              <w:t>综合排名第一</w:t>
            </w:r>
            <w:r>
              <w:rPr>
                <w:rFonts w:hint="eastAsia" w:ascii="仿宋" w:hAnsi="仿宋" w:eastAsia="仿宋" w:cs="仿宋"/>
                <w:color w:val="auto"/>
                <w:sz w:val="22"/>
                <w:szCs w:val="22"/>
              </w:rPr>
              <w:t>成交候选人放弃成交、因不可抗力不能履行合同、不按照磋商文件要求提交履约保证金、存在重大经营或法律风险、被查实存在影响采购结果的违法行为等情形，采购人按照磋商小组提出的成交候选人名单排序依次确定其他成交候选人为成交人，或者重新采购</w:t>
            </w:r>
            <w:r>
              <w:rPr>
                <w:rFonts w:hint="eastAsia" w:ascii="仿宋" w:hAnsi="仿宋" w:eastAsia="仿宋" w:cs="仿宋"/>
                <w:color w:val="auto"/>
                <w:sz w:val="22"/>
                <w:szCs w:val="22"/>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s="仿宋"/>
                <w:color w:val="auto"/>
              </w:rPr>
            </w:pP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rPr>
              <w:t>泸州市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center"/>
        <w:rPr>
          <w:rFonts w:ascii="仿宋" w:hAnsi="仿宋" w:eastAsia="仿宋" w:cs="仿宋"/>
          <w:color w:val="auto"/>
          <w:sz w:val="24"/>
          <w:szCs w:val="24"/>
        </w:rPr>
      </w:pPr>
      <w:bookmarkStart w:id="17" w:name="_Toc6047"/>
      <w:bookmarkStart w:id="18" w:name="_Toc11071"/>
      <w:bookmarkStart w:id="19" w:name="_Toc444891336"/>
      <w:bookmarkStart w:id="20" w:name="_Toc19783313"/>
      <w:bookmarkStart w:id="21" w:name="_Toc517281816"/>
      <w:bookmarkStart w:id="22" w:name="_Toc20514"/>
      <w:bookmarkStart w:id="23" w:name="_Toc27232"/>
      <w:bookmarkStart w:id="24" w:name="_Toc287600118"/>
      <w:bookmarkStart w:id="25" w:name="_Toc27220"/>
      <w:bookmarkStart w:id="26" w:name="_Toc8529"/>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11453"/>
      <w:bookmarkStart w:id="28" w:name="_Toc6681"/>
      <w:bookmarkStart w:id="29" w:name="_Toc287600119"/>
      <w:bookmarkStart w:id="30" w:name="_Toc431"/>
      <w:bookmarkStart w:id="31" w:name="_Toc19783314"/>
      <w:bookmarkStart w:id="32" w:name="_Toc16441"/>
      <w:bookmarkStart w:id="33" w:name="_Toc22969"/>
      <w:bookmarkStart w:id="34" w:name="_Toc517281817"/>
      <w:bookmarkStart w:id="35" w:name="_Toc3678"/>
      <w:bookmarkStart w:id="36" w:name="_Toc444891337"/>
      <w:bookmarkStart w:id="37" w:name="_Toc11851"/>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38" w:name="_Toc14164"/>
      <w:bookmarkStart w:id="39" w:name="_Toc25513"/>
      <w:bookmarkStart w:id="40" w:name="_Toc27188"/>
      <w:bookmarkStart w:id="41" w:name="_Toc19783315"/>
      <w:bookmarkStart w:id="42" w:name="_Toc24246"/>
      <w:bookmarkStart w:id="43" w:name="_Toc10975"/>
      <w:bookmarkStart w:id="44" w:name="_Toc517281818"/>
      <w:bookmarkStart w:id="45" w:name="_Toc444891338"/>
      <w:bookmarkStart w:id="46" w:name="_Toc287600120"/>
      <w:bookmarkStart w:id="47" w:name="_Toc3016"/>
      <w:bookmarkStart w:id="48" w:name="_Toc5255"/>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eastAsia="zh-CN"/>
        </w:rPr>
        <w:t>比选</w:t>
      </w:r>
      <w:r>
        <w:rPr>
          <w:rFonts w:hint="eastAsia" w:ascii="仿宋" w:hAnsi="仿宋" w:eastAsia="仿宋" w:cs="仿宋"/>
          <w:color w:val="auto"/>
          <w:sz w:val="24"/>
        </w:rPr>
        <w:t>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rPr>
        <w:t>第四章 合同</w:t>
      </w:r>
      <w:r>
        <w:rPr>
          <w:rFonts w:hint="eastAsia" w:ascii="仿宋" w:hAnsi="仿宋" w:eastAsia="仿宋" w:cs="仿宋"/>
          <w:color w:val="auto"/>
          <w:sz w:val="24"/>
          <w:lang w:val="en-US" w:eastAsia="zh-CN"/>
        </w:rPr>
        <w:t>条款</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auto"/>
          <w:sz w:val="24"/>
          <w:szCs w:val="24"/>
        </w:rPr>
      </w:pPr>
      <w:bookmarkStart w:id="49" w:name="_Toc12043"/>
      <w:bookmarkStart w:id="50" w:name="_Toc27642"/>
      <w:bookmarkStart w:id="51" w:name="_Toc517281819"/>
      <w:bookmarkStart w:id="52" w:name="_Toc16985"/>
      <w:bookmarkStart w:id="53" w:name="_Toc444891339"/>
      <w:bookmarkStart w:id="54" w:name="_Toc31141"/>
      <w:bookmarkStart w:id="55" w:name="_Toc19783316"/>
      <w:bookmarkStart w:id="56" w:name="_Toc287600121"/>
      <w:bookmarkStart w:id="57" w:name="_Toc14308"/>
      <w:bookmarkStart w:id="58" w:name="_Toc13691"/>
      <w:bookmarkStart w:id="59" w:name="_Toc27563"/>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61" w:name="_Toc517281820"/>
      <w:bookmarkStart w:id="62" w:name="_Toc287600122"/>
      <w:bookmarkStart w:id="63" w:name="_Toc7129"/>
      <w:bookmarkStart w:id="64" w:name="_Toc21600"/>
      <w:bookmarkStart w:id="65" w:name="_Toc19783317"/>
      <w:bookmarkStart w:id="66" w:name="_Toc4155"/>
      <w:bookmarkStart w:id="67" w:name="_Toc14726"/>
      <w:bookmarkStart w:id="68" w:name="_Toc18673"/>
      <w:bookmarkStart w:id="69" w:name="_Toc444891340"/>
      <w:bookmarkStart w:id="70" w:name="_Toc17865"/>
      <w:bookmarkStart w:id="71" w:name="_Toc21379"/>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72" w:name="_Toc247085716"/>
      <w:bookmarkStart w:id="73" w:name="_Toc144974526"/>
      <w:bookmarkStart w:id="74" w:name="_Toc326223561"/>
      <w:bookmarkStart w:id="75" w:name="_Toc332188194"/>
      <w:bookmarkStart w:id="76" w:name="_Toc246996945"/>
      <w:bookmarkStart w:id="77" w:name="_Toc334766948"/>
      <w:bookmarkStart w:id="78" w:name="_Toc152042334"/>
      <w:bookmarkStart w:id="79" w:name="_Toc152045558"/>
      <w:bookmarkStart w:id="80" w:name="_Toc179632576"/>
      <w:bookmarkStart w:id="81" w:name="_Toc246996202"/>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82" w:name="_Toc11361"/>
      <w:bookmarkStart w:id="83" w:name="_Toc444891341"/>
      <w:bookmarkStart w:id="84" w:name="_Toc30466"/>
      <w:bookmarkStart w:id="85" w:name="_Toc2055"/>
      <w:bookmarkStart w:id="86" w:name="_Toc287600123"/>
      <w:bookmarkStart w:id="87" w:name="_Toc12797"/>
      <w:bookmarkStart w:id="88" w:name="_Toc2636"/>
      <w:bookmarkStart w:id="89" w:name="_Toc20741"/>
      <w:bookmarkStart w:id="90" w:name="_Toc517281821"/>
      <w:bookmarkStart w:id="91" w:name="_Toc3342"/>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w:t>
      </w:r>
      <w:r>
        <w:rPr>
          <w:rFonts w:hint="eastAsia" w:ascii="仿宋" w:hAnsi="仿宋" w:eastAsia="仿宋" w:cs="仿宋"/>
          <w:color w:val="auto"/>
          <w:lang w:val="en-US" w:eastAsia="zh-CN"/>
        </w:rPr>
        <w:t>4</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w:t>
      </w:r>
      <w:r>
        <w:rPr>
          <w:rFonts w:hint="eastAsia" w:ascii="仿宋" w:hAnsi="仿宋" w:eastAsia="仿宋" w:cs="仿宋"/>
          <w:color w:val="auto"/>
          <w:lang w:val="en-US" w:eastAsia="zh-CN"/>
        </w:rPr>
        <w:t>5</w:t>
      </w:r>
      <w:r>
        <w:rPr>
          <w:rFonts w:hint="eastAsia" w:ascii="仿宋" w:hAnsi="仿宋" w:eastAsia="仿宋" w:cs="仿宋"/>
          <w:color w:val="auto"/>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95" w:name="_Toc9911"/>
      <w:bookmarkStart w:id="96" w:name="_Toc444891342"/>
      <w:bookmarkStart w:id="97" w:name="_Toc517281822"/>
      <w:bookmarkStart w:id="98" w:name="_Toc16781"/>
      <w:bookmarkStart w:id="99" w:name="_Toc28031"/>
      <w:bookmarkStart w:id="100" w:name="_Toc11205"/>
      <w:bookmarkStart w:id="101" w:name="_Toc13936"/>
      <w:bookmarkStart w:id="102" w:name="_Toc19451"/>
      <w:bookmarkStart w:id="103" w:name="_Toc2322"/>
      <w:bookmarkStart w:id="104" w:name="_Toc234223231"/>
      <w:bookmarkStart w:id="105" w:name="_Toc287600124"/>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w:t>
      </w:r>
      <w:r>
        <w:rPr>
          <w:rFonts w:hint="eastAsia" w:ascii="仿宋" w:hAnsi="仿宋" w:eastAsia="仿宋" w:cs="仿宋"/>
          <w:color w:val="auto"/>
          <w:lang w:val="en-US" w:eastAsia="zh-CN"/>
        </w:rPr>
        <w:t>2</w:t>
      </w:r>
      <w:r>
        <w:rPr>
          <w:rFonts w:ascii="仿宋" w:hAnsi="仿宋" w:eastAsia="仿宋" w:cs="仿宋"/>
          <w:color w:val="auto"/>
        </w:rPr>
        <w:t>.1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w:t>
      </w:r>
      <w:r>
        <w:rPr>
          <w:rFonts w:hint="eastAsia" w:ascii="仿宋" w:hAnsi="仿宋" w:eastAsia="仿宋" w:cs="宋体"/>
          <w:color w:val="auto"/>
          <w:lang w:val="en-US" w:eastAsia="zh-CN"/>
        </w:rPr>
        <w:t>2</w:t>
      </w:r>
      <w:r>
        <w:rPr>
          <w:rFonts w:ascii="仿宋" w:hAnsi="仿宋" w:eastAsia="仿宋" w:cs="宋体"/>
          <w:color w:val="auto"/>
        </w:rPr>
        <w:t>.</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7" w:name="_Toc27909"/>
      <w:bookmarkStart w:id="108" w:name="_Toc10670"/>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4807"/>
      <w:bookmarkStart w:id="111" w:name="_Toc444891344"/>
      <w:bookmarkStart w:id="112" w:name="_Toc7201"/>
      <w:bookmarkStart w:id="113" w:name="_Toc517281825"/>
      <w:bookmarkStart w:id="114" w:name="_Toc226969358"/>
      <w:bookmarkStart w:id="115" w:name="_Toc227057964"/>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16" w:name="_Toc444891345"/>
      <w:bookmarkStart w:id="117" w:name="_Toc517281826"/>
      <w:r>
        <w:rPr>
          <w:rFonts w:hint="eastAsia" w:ascii="仿宋" w:hAnsi="仿宋" w:eastAsia="仿宋" w:cs="仿宋"/>
          <w:color w:val="auto"/>
          <w:sz w:val="24"/>
          <w:szCs w:val="24"/>
        </w:rPr>
        <w:br w:type="page"/>
      </w:r>
      <w:bookmarkStart w:id="118" w:name="_Toc24556"/>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53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18"/>
        <w:gridCol w:w="1260"/>
        <w:gridCol w:w="2267"/>
        <w:gridCol w:w="604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612"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101"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2935"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612"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2935"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2935"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2935"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612"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101" w:type="pct"/>
            <w:vAlign w:val="center"/>
          </w:tcPr>
          <w:p>
            <w:pPr>
              <w:spacing w:before="24" w:after="24" w:line="276" w:lineRule="auto"/>
              <w:jc w:val="center"/>
              <w:rPr>
                <w:rFonts w:hint="eastAsia" w:ascii="仿宋" w:hAnsi="仿宋" w:eastAsia="仿宋" w:cs="仿宋"/>
                <w:color w:val="auto"/>
                <w:sz w:val="22"/>
                <w:szCs w:val="21"/>
              </w:rPr>
            </w:pPr>
            <w:r>
              <w:rPr>
                <w:rFonts w:hint="eastAsia" w:ascii="仿宋" w:hAnsi="仿宋" w:eastAsia="仿宋" w:cs="仿宋"/>
                <w:color w:val="auto"/>
                <w:sz w:val="22"/>
                <w:szCs w:val="21"/>
              </w:rPr>
              <w:t>具有独立承担</w:t>
            </w:r>
          </w:p>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民事责任的能力</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供应商应具有履行合同所必需的设备和专业技术能力</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近三年内</w:t>
            </w:r>
          </w:p>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无违法违规记录</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612" w:type="pct"/>
            <w:vMerge w:val="restart"/>
            <w:vAlign w:val="center"/>
          </w:tcPr>
          <w:p>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响应性</w:t>
            </w:r>
          </w:p>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评审标准</w:t>
            </w: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供应商行为</w:t>
            </w:r>
          </w:p>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准则承诺书</w:t>
            </w:r>
          </w:p>
        </w:tc>
        <w:tc>
          <w:tcPr>
            <w:tcW w:w="2935"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供应商廉洁诚信</w:t>
            </w:r>
          </w:p>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承诺书</w:t>
            </w:r>
          </w:p>
        </w:tc>
        <w:tc>
          <w:tcPr>
            <w:tcW w:w="2935"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 w:val="24"/>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auto"/>
          <w:sz w:val="24"/>
          <w:szCs w:val="24"/>
        </w:rPr>
      </w:pPr>
      <w:bookmarkStart w:id="120" w:name="_Toc25550"/>
      <w:bookmarkStart w:id="121" w:name="_Toc3182"/>
      <w:r>
        <w:rPr>
          <w:rFonts w:hint="eastAsia" w:ascii="仿宋" w:hAnsi="仿宋" w:eastAsia="仿宋" w:cs="仿宋"/>
          <w:color w:val="auto"/>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2"/>
        <w:snapToGrid w:val="0"/>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采购评审标准由项目价格评审</w:t>
      </w:r>
      <w:r>
        <w:rPr>
          <w:rFonts w:hint="eastAsia" w:ascii="仿宋_GB2312" w:eastAsia="仿宋_GB2312"/>
          <w:color w:val="auto"/>
          <w:lang w:eastAsia="zh-CN"/>
        </w:rPr>
        <w:t>、</w:t>
      </w:r>
      <w:r>
        <w:rPr>
          <w:rFonts w:hint="eastAsia" w:ascii="仿宋_GB2312" w:eastAsia="仿宋_GB2312"/>
          <w:color w:val="auto"/>
          <w:lang w:val="en-US" w:eastAsia="zh-CN"/>
        </w:rPr>
        <w:t>服务评审、商务评审三</w:t>
      </w:r>
      <w:r>
        <w:rPr>
          <w:rFonts w:hint="eastAsia" w:ascii="仿宋_GB2312" w:eastAsia="仿宋_GB2312"/>
          <w:color w:val="auto"/>
        </w:rPr>
        <w:t>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707"/>
        <w:gridCol w:w="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项 目</w:t>
            </w:r>
          </w:p>
        </w:tc>
        <w:tc>
          <w:tcPr>
            <w:tcW w:w="6707"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评分内容</w:t>
            </w:r>
          </w:p>
        </w:tc>
        <w:tc>
          <w:tcPr>
            <w:tcW w:w="835"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价格得分（60）</w:t>
            </w:r>
          </w:p>
        </w:tc>
        <w:tc>
          <w:tcPr>
            <w:tcW w:w="6707" w:type="dxa"/>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评分法中的价格分采用低价优先法计算，即满足</w:t>
            </w:r>
            <w:r>
              <w:rPr>
                <w:rFonts w:hint="eastAsia" w:ascii="仿宋" w:hAnsi="仿宋" w:eastAsia="仿宋" w:cs="仿宋"/>
                <w:color w:val="auto"/>
                <w:szCs w:val="32"/>
                <w:lang w:val="en-US" w:eastAsia="zh-CN"/>
              </w:rPr>
              <w:t>比选</w:t>
            </w:r>
            <w:r>
              <w:rPr>
                <w:rFonts w:hint="eastAsia" w:ascii="仿宋" w:hAnsi="仿宋" w:eastAsia="仿宋" w:cs="仿宋"/>
                <w:color w:val="auto"/>
                <w:szCs w:val="32"/>
              </w:rPr>
              <w:t>文件要求且最低的评审价格为评标基准价，等于评标基准价得60分。其他供应商的价格分统一按照下列公式计算，精确到小数点后两位：</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供应商报价得分＝（评标基准价/评审价格）×60；</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评审价格按照如下方式定义：</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对于承诺提供增值税专用发票的供应商，评审价格即不含税的投标总价净价；</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对于不能提供增值税专用发票的供应商，评审价格是含税的投标总价。</w:t>
            </w:r>
          </w:p>
        </w:tc>
        <w:tc>
          <w:tcPr>
            <w:tcW w:w="835"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二、</w:t>
            </w:r>
            <w:r>
              <w:rPr>
                <w:rFonts w:hint="eastAsia" w:ascii="仿宋" w:hAnsi="仿宋" w:eastAsia="仿宋" w:cs="仿宋"/>
                <w:color w:val="auto"/>
                <w:szCs w:val="32"/>
                <w:lang w:val="en-US" w:eastAsia="zh-CN"/>
              </w:rPr>
              <w:t>服务</w:t>
            </w:r>
            <w:r>
              <w:rPr>
                <w:rFonts w:hint="eastAsia" w:ascii="仿宋" w:hAnsi="仿宋" w:eastAsia="仿宋" w:cs="仿宋"/>
                <w:color w:val="auto"/>
                <w:szCs w:val="32"/>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lang w:val="en-US" w:eastAsia="zh-CN"/>
              </w:rPr>
            </w:pPr>
            <w:r>
              <w:rPr>
                <w:rFonts w:hint="eastAsia" w:ascii="仿宋" w:hAnsi="仿宋" w:eastAsia="仿宋" w:cs="仿宋"/>
                <w:color w:val="auto"/>
                <w:szCs w:val="32"/>
                <w:lang w:val="en-US" w:eastAsia="zh-CN"/>
              </w:rPr>
              <w:t>服务团队</w:t>
            </w:r>
          </w:p>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根据供应商提供的项目服务小组的人员数量及岗位设置，对人员配置进行评分，供应商未提供则此项不得分。</w:t>
            </w:r>
          </w:p>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1.团队人员配备、职责分工模糊不足，团队人员的工作经验、技术能力能满足项目少部分要求，得0（含）-4分（含）；</w:t>
            </w:r>
          </w:p>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2.团队人员配备、职责分工较合理，团队人员的工作经验、技术能力能满足项目大部分要求，得4</w:t>
            </w:r>
            <w:r>
              <w:rPr>
                <w:rFonts w:hint="eastAsia" w:ascii="仿宋" w:hAnsi="仿宋" w:eastAsia="仿宋" w:cs="仿宋"/>
                <w:i w:val="0"/>
                <w:iCs/>
                <w:color w:val="auto"/>
                <w:sz w:val="24"/>
                <w:szCs w:val="24"/>
                <w:lang w:val="en-US" w:eastAsia="zh-CN"/>
              </w:rPr>
              <w:t>（不含）</w:t>
            </w:r>
            <w:r>
              <w:rPr>
                <w:rFonts w:hint="eastAsia" w:ascii="仿宋" w:hAnsi="仿宋" w:eastAsia="仿宋" w:cs="仿宋"/>
                <w:b w:val="0"/>
                <w:bCs w:val="0"/>
                <w:color w:val="auto"/>
                <w:sz w:val="24"/>
                <w:szCs w:val="24"/>
                <w:lang w:val="en-US" w:eastAsia="zh-CN"/>
              </w:rPr>
              <w:t>-8分（含）；</w:t>
            </w:r>
          </w:p>
          <w:p>
            <w:pPr>
              <w:spacing w:line="320" w:lineRule="exact"/>
              <w:rPr>
                <w:rFonts w:hint="eastAsia" w:ascii="仿宋" w:hAnsi="仿宋" w:eastAsia="仿宋" w:cs="仿宋"/>
                <w:color w:val="auto"/>
                <w:szCs w:val="32"/>
              </w:rPr>
            </w:pPr>
            <w:r>
              <w:rPr>
                <w:rFonts w:hint="eastAsia" w:ascii="仿宋" w:hAnsi="仿宋" w:eastAsia="仿宋" w:cs="仿宋"/>
                <w:b w:val="0"/>
                <w:bCs w:val="0"/>
                <w:color w:val="auto"/>
                <w:sz w:val="24"/>
                <w:szCs w:val="24"/>
                <w:lang w:val="en-US" w:eastAsia="zh-CN"/>
              </w:rPr>
              <w:t>3.团队人员配备、职责分工合理，团队人员的工作经验、技术能力能完全满足项目要求，得8</w:t>
            </w:r>
            <w:r>
              <w:rPr>
                <w:rFonts w:hint="eastAsia" w:ascii="仿宋" w:hAnsi="仿宋" w:eastAsia="仿宋" w:cs="仿宋"/>
                <w:i w:val="0"/>
                <w:iCs/>
                <w:color w:val="auto"/>
                <w:sz w:val="24"/>
                <w:szCs w:val="24"/>
                <w:lang w:val="en-US" w:eastAsia="zh-CN"/>
              </w:rPr>
              <w:t>（不含）</w:t>
            </w:r>
            <w:r>
              <w:rPr>
                <w:rFonts w:hint="eastAsia" w:ascii="仿宋" w:hAnsi="仿宋" w:eastAsia="仿宋" w:cs="仿宋"/>
                <w:b w:val="0"/>
                <w:bCs w:val="0"/>
                <w:color w:val="auto"/>
                <w:sz w:val="24"/>
                <w:szCs w:val="24"/>
                <w:lang w:val="en-US" w:eastAsia="zh-CN"/>
              </w:rPr>
              <w:t>-10分（含）。</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jc w:val="center"/>
        </w:trPr>
        <w:tc>
          <w:tcPr>
            <w:tcW w:w="1340" w:type="dxa"/>
            <w:shd w:val="clear" w:color="auto" w:fill="auto"/>
            <w:vAlign w:val="center"/>
          </w:tcPr>
          <w:p>
            <w:pPr>
              <w:snapToGrid w:val="0"/>
              <w:spacing w:line="320" w:lineRule="exact"/>
              <w:jc w:val="center"/>
              <w:rPr>
                <w:rFonts w:hint="default" w:ascii="仿宋" w:hAnsi="仿宋" w:eastAsia="仿宋" w:cs="仿宋"/>
                <w:color w:val="auto"/>
                <w:szCs w:val="32"/>
                <w:lang w:val="en-US" w:eastAsia="zh-CN"/>
              </w:rPr>
            </w:pPr>
            <w:r>
              <w:rPr>
                <w:rFonts w:hint="eastAsia" w:ascii="仿宋" w:hAnsi="仿宋" w:eastAsia="仿宋" w:cs="仿宋"/>
                <w:color w:val="auto"/>
                <w:szCs w:val="32"/>
                <w:lang w:val="en-US" w:eastAsia="zh-CN"/>
              </w:rPr>
              <w:t>服务方案</w:t>
            </w: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 w:val="24"/>
                <w:szCs w:val="24"/>
                <w:lang w:val="en-US" w:eastAsia="zh-CN" w:bidi="ar-SA"/>
              </w:rPr>
              <w:t>根据供应商提供的宣传方案、流程节点、实施计划等，对服务方案进行评分，</w:t>
            </w:r>
            <w:r>
              <w:rPr>
                <w:rFonts w:hint="eastAsia" w:ascii="仿宋" w:hAnsi="仿宋" w:eastAsia="仿宋" w:cs="仿宋"/>
                <w:i w:val="0"/>
                <w:iCs/>
                <w:color w:val="000000" w:themeColor="text1"/>
                <w:sz w:val="24"/>
                <w:szCs w:val="24"/>
                <w:highlight w:val="none"/>
                <w:lang w:val="en-US" w:eastAsia="zh-CN"/>
                <w14:textFill>
                  <w14:solidFill>
                    <w14:schemeClr w14:val="tx1"/>
                  </w14:solidFill>
                </w14:textFill>
              </w:rPr>
              <w:t>供应商未提供则此项不得分。</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1.服务方案全面、针对性一般、可行性低，得0（含）-4分（含）；</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2.服务方案较全面、较有针对性、可行性较高，得4</w:t>
            </w:r>
            <w:r>
              <w:rPr>
                <w:rFonts w:hint="eastAsia" w:ascii="仿宋" w:hAnsi="仿宋" w:eastAsia="仿宋" w:cs="仿宋"/>
                <w:i w:val="0"/>
                <w:iCs/>
                <w:color w:val="auto"/>
                <w:sz w:val="24"/>
                <w:szCs w:val="24"/>
                <w:lang w:val="en-US" w:eastAsia="zh-CN"/>
              </w:rPr>
              <w:t>（不含）</w:t>
            </w:r>
            <w:r>
              <w:rPr>
                <w:rFonts w:hint="eastAsia" w:ascii="仿宋" w:hAnsi="仿宋" w:eastAsia="仿宋" w:cs="仿宋"/>
                <w:color w:val="auto"/>
                <w:sz w:val="24"/>
                <w:szCs w:val="24"/>
                <w:lang w:val="en-US" w:eastAsia="zh-CN" w:bidi="ar-SA"/>
              </w:rPr>
              <w:t>-8分（含）；</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3.服务方案全面、有针对性、可行性高，得8</w:t>
            </w:r>
            <w:r>
              <w:rPr>
                <w:rFonts w:hint="eastAsia" w:ascii="仿宋" w:hAnsi="仿宋" w:eastAsia="仿宋" w:cs="仿宋"/>
                <w:i w:val="0"/>
                <w:iCs/>
                <w:color w:val="auto"/>
                <w:sz w:val="24"/>
                <w:szCs w:val="24"/>
                <w:lang w:val="en-US" w:eastAsia="zh-CN"/>
              </w:rPr>
              <w:t>（不含）</w:t>
            </w:r>
            <w:r>
              <w:rPr>
                <w:rFonts w:hint="eastAsia" w:ascii="仿宋" w:hAnsi="仿宋" w:eastAsia="仿宋" w:cs="仿宋"/>
                <w:color w:val="auto"/>
                <w:sz w:val="24"/>
                <w:szCs w:val="24"/>
                <w:lang w:val="en-US" w:eastAsia="zh-CN" w:bidi="ar-SA"/>
              </w:rPr>
              <w:t>-10分（含）。</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lang w:val="en-US" w:eastAsia="zh-CN"/>
              </w:rPr>
              <w:t>售后服务</w:t>
            </w: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keepNext w:val="0"/>
              <w:keepLines w:val="0"/>
              <w:widowControl/>
              <w:suppressLineNumbers w:val="0"/>
              <w:jc w:val="left"/>
              <w:textAlignment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根据供应商提供的宣传期间日常维护等方面的售后服务方案和承诺的售后响应速度等进行评分，</w:t>
            </w:r>
            <w:r>
              <w:rPr>
                <w:rFonts w:hint="eastAsia" w:ascii="仿宋" w:hAnsi="仿宋" w:eastAsia="仿宋" w:cs="仿宋"/>
                <w:i w:val="0"/>
                <w:iCs/>
                <w:color w:val="000000" w:themeColor="text1"/>
                <w:sz w:val="24"/>
                <w:szCs w:val="24"/>
                <w:highlight w:val="none"/>
                <w:lang w:val="en-US" w:eastAsia="zh-CN"/>
                <w14:textFill>
                  <w14:solidFill>
                    <w14:schemeClr w14:val="tx1"/>
                  </w14:solidFill>
                </w14:textFill>
              </w:rPr>
              <w:t>供应商未提供则此项不得分。</w:t>
            </w:r>
          </w:p>
          <w:p>
            <w:pPr>
              <w:keepNext w:val="0"/>
              <w:keepLines w:val="0"/>
              <w:widowControl/>
              <w:suppressLineNumbers w:val="0"/>
              <w:jc w:val="left"/>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1.方案全面性、有效性一般，售后响应速度一般，得0（含）-4分（含）；</w:t>
            </w:r>
          </w:p>
          <w:p>
            <w:pPr>
              <w:keepNext w:val="0"/>
              <w:keepLines w:val="0"/>
              <w:widowControl/>
              <w:suppressLineNumbers w:val="0"/>
              <w:jc w:val="left"/>
              <w:textAlignment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2.方案较全面、有效，售后响应速度较快，得4（不含）-8分（含）；</w:t>
            </w:r>
          </w:p>
          <w:p>
            <w:pPr>
              <w:spacing w:line="320" w:lineRule="exact"/>
              <w:rPr>
                <w:rFonts w:hint="eastAsia" w:ascii="仿宋" w:hAnsi="仿宋" w:eastAsia="仿宋" w:cs="仿宋"/>
                <w:color w:val="auto"/>
                <w:szCs w:val="32"/>
                <w:lang w:val="en-US" w:eastAsia="zh-CN"/>
              </w:rPr>
            </w:pPr>
            <w:r>
              <w:rPr>
                <w:rFonts w:hint="eastAsia" w:ascii="仿宋" w:hAnsi="仿宋" w:eastAsia="仿宋" w:cs="仿宋"/>
                <w:color w:val="auto"/>
                <w:sz w:val="24"/>
                <w:szCs w:val="24"/>
                <w:lang w:val="en-US" w:eastAsia="zh-CN" w:bidi="ar-SA"/>
              </w:rPr>
              <w:t>3.方案很全面、有效，售后响应速度快，得8（不含）-10分（含）。</w:t>
            </w:r>
          </w:p>
        </w:tc>
        <w:tc>
          <w:tcPr>
            <w:tcW w:w="835" w:type="dxa"/>
            <w:vAlign w:val="center"/>
          </w:tcPr>
          <w:p>
            <w:pPr>
              <w:snapToGrid w:val="0"/>
              <w:spacing w:line="320" w:lineRule="exact"/>
              <w:jc w:val="center"/>
              <w:rPr>
                <w:rFonts w:hint="default" w:ascii="仿宋" w:hAnsi="仿宋" w:eastAsia="仿宋" w:cs="仿宋"/>
                <w:color w:val="auto"/>
                <w:szCs w:val="32"/>
                <w:lang w:val="en-US" w:eastAsia="zh-CN"/>
              </w:rPr>
            </w:pPr>
            <w:r>
              <w:rPr>
                <w:rFonts w:hint="eastAsia" w:ascii="仿宋" w:hAnsi="仿宋" w:eastAsia="仿宋" w:cs="仿宋"/>
                <w:color w:val="auto"/>
                <w:szCs w:val="3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82" w:type="dxa"/>
            <w:gridSpan w:val="3"/>
            <w:shd w:val="clear" w:color="auto" w:fill="auto"/>
            <w:vAlign w:val="center"/>
          </w:tcPr>
          <w:p>
            <w:pPr>
              <w:snapToGrid w:val="0"/>
              <w:spacing w:line="320" w:lineRule="exact"/>
              <w:jc w:val="left"/>
              <w:rPr>
                <w:rFonts w:hint="default" w:ascii="仿宋" w:hAnsi="仿宋" w:eastAsia="仿宋" w:cs="仿宋"/>
                <w:color w:val="auto"/>
                <w:szCs w:val="32"/>
                <w:lang w:val="en-US" w:eastAsia="zh-CN"/>
              </w:rPr>
            </w:pPr>
            <w:r>
              <w:rPr>
                <w:rFonts w:hint="eastAsia" w:ascii="仿宋" w:hAnsi="仿宋" w:eastAsia="仿宋" w:cs="仿宋"/>
                <w:color w:val="auto"/>
                <w:szCs w:val="32"/>
                <w:lang w:val="en-US" w:eastAsia="zh-CN"/>
              </w:rPr>
              <w:t>三、商务评审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商务</w:t>
            </w:r>
            <w:r>
              <w:rPr>
                <w:rFonts w:hint="eastAsia" w:ascii="仿宋" w:hAnsi="仿宋" w:eastAsia="仿宋" w:cs="仿宋"/>
                <w:color w:val="auto"/>
                <w:szCs w:val="32"/>
                <w:lang w:val="en-US" w:eastAsia="zh-CN"/>
              </w:rPr>
              <w:t>评分</w:t>
            </w:r>
            <w:r>
              <w:rPr>
                <w:rFonts w:hint="eastAsia" w:ascii="仿宋" w:hAnsi="仿宋" w:eastAsia="仿宋" w:cs="仿宋"/>
                <w:color w:val="auto"/>
                <w:szCs w:val="32"/>
              </w:rPr>
              <w:t xml:space="preserve"> </w:t>
            </w:r>
          </w:p>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 xml:space="preserve"> （10）</w:t>
            </w:r>
          </w:p>
        </w:tc>
        <w:tc>
          <w:tcPr>
            <w:tcW w:w="6707" w:type="dxa"/>
            <w:vAlign w:val="center"/>
          </w:tcPr>
          <w:p>
            <w:pPr>
              <w:spacing w:line="3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根据供应商提供的近三年</w:t>
            </w:r>
            <w:r>
              <w:rPr>
                <w:rFonts w:hint="eastAsia" w:ascii="仿宋" w:hAnsi="仿宋" w:eastAsia="仿宋" w:cs="仿宋"/>
                <w:color w:val="000000" w:themeColor="text1"/>
                <w:sz w:val="24"/>
                <w:szCs w:val="24"/>
                <w:lang w:eastAsia="zh-CN"/>
                <w14:textFill>
                  <w14:solidFill>
                    <w14:schemeClr w14:val="tx1"/>
                  </w14:solidFill>
                </w14:textFill>
              </w:rPr>
              <w:t>（（2023年1月1日</w:t>
            </w:r>
            <w:r>
              <w:rPr>
                <w:rFonts w:hint="eastAsia" w:ascii="仿宋" w:hAnsi="仿宋" w:eastAsia="仿宋" w:cs="仿宋"/>
                <w:color w:val="000000" w:themeColor="text1"/>
                <w:sz w:val="24"/>
                <w:szCs w:val="24"/>
                <w:lang w:val="en-US" w:eastAsia="zh-CN"/>
                <w14:textFill>
                  <w14:solidFill>
                    <w14:schemeClr w14:val="tx1"/>
                  </w14:solidFill>
                </w14:textFill>
              </w:rPr>
              <w:t>至今</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同类似项目的业绩情况进行评分，在满足资格条件要求的1个案例基础上，每增加1个得2分</w:t>
            </w:r>
            <w:r>
              <w:rPr>
                <w:rFonts w:hint="eastAsia" w:ascii="仿宋" w:hAnsi="仿宋" w:eastAsia="仿宋" w:cs="仿宋"/>
                <w:color w:val="000000" w:themeColor="text1"/>
                <w:sz w:val="24"/>
                <w:szCs w:val="24"/>
                <w:lang w:eastAsia="zh-CN"/>
                <w14:textFill>
                  <w14:solidFill>
                    <w14:schemeClr w14:val="tx1"/>
                  </w14:solidFill>
                </w14:textFill>
              </w:rPr>
              <w:t>，最多得10分。</w:t>
            </w:r>
            <w:r>
              <w:rPr>
                <w:rFonts w:hint="eastAsia" w:ascii="仿宋" w:hAnsi="仿宋" w:eastAsia="仿宋" w:cs="仿宋"/>
                <w:color w:val="000000" w:themeColor="text1"/>
                <w:sz w:val="24"/>
                <w:szCs w:val="24"/>
                <w:lang w:val="en-US"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未提供</w:t>
            </w:r>
            <w:r>
              <w:rPr>
                <w:rFonts w:hint="eastAsia" w:ascii="仿宋" w:hAnsi="仿宋" w:eastAsia="仿宋" w:cs="仿宋"/>
                <w:color w:val="000000" w:themeColor="text1"/>
                <w:sz w:val="24"/>
                <w:szCs w:val="24"/>
                <w:lang w:val="en-US" w:eastAsia="zh-CN"/>
                <w14:textFill>
                  <w14:solidFill>
                    <w14:schemeClr w14:val="tx1"/>
                  </w14:solidFill>
                </w14:textFill>
              </w:rPr>
              <w:t>则此项</w:t>
            </w:r>
            <w:r>
              <w:rPr>
                <w:rFonts w:hint="eastAsia" w:ascii="仿宋" w:hAnsi="仿宋" w:eastAsia="仿宋" w:cs="仿宋"/>
                <w:color w:val="000000" w:themeColor="text1"/>
                <w:sz w:val="24"/>
                <w:szCs w:val="24"/>
                <w14:textFill>
                  <w14:solidFill>
                    <w14:schemeClr w14:val="tx1"/>
                  </w14:solidFill>
                </w14:textFill>
              </w:rPr>
              <w:t>不得分。</w:t>
            </w:r>
          </w:p>
          <w:p>
            <w:pPr>
              <w:spacing w:line="320" w:lineRule="exact"/>
              <w:rPr>
                <w:rFonts w:hint="eastAsia" w:ascii="仿宋" w:hAnsi="仿宋" w:eastAsia="仿宋" w:cs="仿宋"/>
                <w:color w:val="auto"/>
                <w:szCs w:val="32"/>
              </w:rPr>
            </w:pPr>
            <w:r>
              <w:rPr>
                <w:rFonts w:hint="eastAsia" w:ascii="仿宋" w:hAnsi="仿宋" w:eastAsia="仿宋" w:cs="仿宋"/>
                <w:color w:val="000000" w:themeColor="text1"/>
                <w:sz w:val="24"/>
                <w:szCs w:val="24"/>
                <w14:textFill>
                  <w14:solidFill>
                    <w14:schemeClr w14:val="tx1"/>
                  </w14:solidFill>
                </w14:textFill>
              </w:rPr>
              <w:t>说明：案例须提供合同（包括合同首页、体现项目内容页、签署日期页及盖章页）或中标通知书</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“三年内”是以签订时间为准，须提供复印件作为有效证明文件</w:t>
            </w:r>
            <w:r>
              <w:rPr>
                <w:rFonts w:hint="eastAsia" w:ascii="仿宋" w:hAnsi="仿宋" w:eastAsia="仿宋" w:cs="仿宋"/>
                <w:color w:val="000000" w:themeColor="text1"/>
                <w:sz w:val="24"/>
                <w:szCs w:val="24"/>
                <w:lang w:eastAsia="zh-CN"/>
                <w14:textFill>
                  <w14:solidFill>
                    <w14:schemeClr w14:val="tx1"/>
                  </w14:solidFill>
                </w14:textFill>
              </w:rPr>
              <w:t>。</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47" w:type="dxa"/>
            <w:gridSpan w:val="2"/>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合计</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100</w:t>
            </w:r>
          </w:p>
        </w:tc>
      </w:tr>
    </w:tbl>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rPr>
          <w:color w:val="auto"/>
        </w:rPr>
      </w:pPr>
      <w:r>
        <w:rPr>
          <w:color w:val="auto"/>
        </w:rPr>
        <w:br w:type="page"/>
      </w:r>
    </w:p>
    <w:bookmarkEnd w:id="109"/>
    <w:p>
      <w:pPr>
        <w:pStyle w:val="3"/>
        <w:numPr>
          <w:ilvl w:val="0"/>
          <w:numId w:val="3"/>
        </w:numPr>
        <w:spacing w:before="0" w:after="0"/>
        <w:jc w:val="left"/>
        <w:rPr>
          <w:rFonts w:hint="eastAsia" w:ascii="仿宋" w:hAnsi="仿宋" w:eastAsia="仿宋" w:cs="仿宋"/>
          <w:b/>
          <w:bCs/>
          <w:color w:val="auto"/>
          <w:sz w:val="28"/>
          <w:szCs w:val="28"/>
          <w:highlight w:val="none"/>
        </w:rPr>
      </w:pPr>
      <w:bookmarkStart w:id="122" w:name="_Toc186737810"/>
      <w:bookmarkStart w:id="123" w:name="_Toc7554"/>
      <w:bookmarkStart w:id="124" w:name="_Toc4181"/>
      <w:r>
        <w:rPr>
          <w:rFonts w:hint="eastAsia" w:ascii="仿宋" w:hAnsi="仿宋" w:eastAsia="仿宋" w:cs="仿宋"/>
          <w:b/>
          <w:bCs/>
          <w:color w:val="auto"/>
          <w:sz w:val="28"/>
          <w:szCs w:val="28"/>
          <w:highlight w:val="none"/>
        </w:rPr>
        <w:t>合同条款</w:t>
      </w:r>
      <w:bookmarkEnd w:id="122"/>
      <w:bookmarkEnd w:id="123"/>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甲方:</w:t>
      </w:r>
      <w:r>
        <w:rPr>
          <w:rFonts w:hint="eastAsia" w:ascii="仿宋" w:hAnsi="仿宋" w:eastAsia="仿宋" w:cs="仿宋"/>
          <w:color w:val="auto"/>
          <w:highlight w:val="none"/>
        </w:rPr>
        <w:t xml:space="preserve"> 中国人民财产保险股份有限公司</w:t>
      </w:r>
      <w:r>
        <w:rPr>
          <w:rFonts w:hint="eastAsia" w:ascii="仿宋" w:hAnsi="仿宋" w:eastAsia="仿宋" w:cs="仿宋"/>
          <w:color w:val="auto"/>
          <w:highlight w:val="none"/>
          <w:lang w:val="en-US" w:eastAsia="zh-CN"/>
        </w:rPr>
        <w:t>泸州</w:t>
      </w:r>
      <w:r>
        <w:rPr>
          <w:rFonts w:hint="eastAsia" w:ascii="仿宋" w:hAnsi="仿宋" w:eastAsia="仿宋" w:cs="仿宋"/>
          <w:color w:val="auto"/>
          <w:highlight w:val="none"/>
        </w:rPr>
        <w:t>市分公司</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地址:</w:t>
      </w:r>
      <w:r>
        <w:rPr>
          <w:rFonts w:hint="eastAsia" w:ascii="仿宋" w:hAnsi="仿宋" w:eastAsia="仿宋" w:cs="仿宋"/>
          <w:color w:val="auto"/>
          <w:highlight w:val="none"/>
        </w:rPr>
        <w:t xml:space="preserve">  四川省泸州市江阳区江阳西路段163号1栋</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乙方:</w:t>
      </w:r>
      <w:r>
        <w:rPr>
          <w:rFonts w:hint="eastAsia" w:ascii="仿宋" w:hAnsi="仿宋" w:eastAsia="仿宋" w:cs="仿宋"/>
          <w:color w:val="auto"/>
          <w:highlight w:val="none"/>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b/>
          <w:color w:val="auto"/>
          <w:highlight w:val="none"/>
        </w:rPr>
      </w:pPr>
      <w:r>
        <w:rPr>
          <w:rFonts w:hint="eastAsia" w:ascii="仿宋" w:hAnsi="仿宋" w:eastAsia="仿宋" w:cs="仿宋"/>
          <w:b/>
          <w:color w:val="auto"/>
          <w:highlight w:val="none"/>
        </w:rPr>
        <w:t xml:space="preserve">地址: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鉴于</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本合同双方当事人（1）均为依照中华人民共和国法律成立并有效存续的独立民事主体，（2）并且已经获得签署本合同的相应授权，（3）具备履行本合同所必须的资质和条件。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highlight w:val="none"/>
        </w:rPr>
        <w:t>为保障双方的合法权益，根据《中华人民共和国合同法》及相关法律法规的规定,</w:t>
      </w:r>
      <w:r>
        <w:rPr>
          <w:rFonts w:hint="eastAsia" w:ascii="仿宋" w:hAnsi="仿宋" w:eastAsia="仿宋" w:cs="仿宋"/>
          <w:color w:val="auto"/>
          <w:highlight w:val="none"/>
        </w:rPr>
        <w:t xml:space="preserve"> 甲、乙双方在平等互利、协商一致的基础上，达成协议如下，以资共同遵照执行。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商务部分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第一条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项目内容及要求</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本合同项下甲乙双方约定的项目内容及要求见本合同【附件】。</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第二条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合同价格</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（一）本合同服务费用含税总额为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)，不含税总额为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)。合同价格明细见【附件】。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 本合同付款安排见【附件】。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eastAsia="仿宋"/>
          <w:color w:val="auto"/>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 由于乙方未提供或未及时提供足额有效的增值税专用发票，或乙方变更账户信息但未提前通知甲方而导致的付款迟延，甲方不承担任何责任。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80" w:leftChars="200" w:firstLine="0" w:firstLineChars="0"/>
        <w:jc w:val="both"/>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第三条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双方的权利和义务</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除本合同约定的双方的权利义务外，甲乙双方在本合同项下的其他权利和义务见【附件】的约定。</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240" w:leftChars="100" w:firstLine="241" w:firstLineChars="1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第四条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24"/>
          <w:szCs w:val="24"/>
          <w:highlight w:val="none"/>
        </w:rPr>
        <w:t>违约责任</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甲、乙任一方或双方违约的，违约一方应当向相对方承担相应的违约责任。违约责任</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具体约定见【附件】。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通用部分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第五条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双方的权利和义务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甲方的权利和义务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（1）甲方有权获得本合同项下乙方应提供的全部合格的服务；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（2）甲方有权在合同期内对乙方的产品及服务进行监督；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（3）乙方未按照合同约定履行义务的，甲方有权采取相应的措施；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（4）甲方应按照合同约定向乙方支付合同价款；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（1）乙方有权获得甲方支付的合同价款；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（2）乙方应按照合同约定向甲方提供全部合格的服务；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（3）乙方应当按照合同约定的期限及要求完成项目内容；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第六条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禁止转让</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未经甲方事先书面同意，乙方不得将其本合同项下之全部义务或其中一部分义务转让给第三方执行。</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权利保证</w:t>
      </w:r>
      <w:r>
        <w:rPr>
          <w:rFonts w:hint="eastAsia" w:ascii="仿宋" w:hAnsi="仿宋" w:eastAsia="仿宋" w:cs="仿宋"/>
          <w:color w:val="auto"/>
          <w:sz w:val="24"/>
          <w:szCs w:val="24"/>
          <w:highlight w:val="none"/>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第八条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违约责任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由于甲方原因不能按合同约定时间付款的，每延迟10个工作日，甲方按合同应付金额的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向乙方支付违约金。</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乙方延迟交付的违约责任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（1）由于乙方原因造成项目延迟的，每延迟10个工作日，乙方向甲方支付违约金为合同服务费用总额的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（2）由于乙方原因造成项目迟延，经甲方催促后乙方继续延误的，甲方有权单方面解除合同，乙方应按照合同服务费用总额的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验收不合格并且乙方在甲方指定期限内无法完成整改、提交合格的工作成果的，乙方应向甲方支付合同服务费用总额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如果乙方违反本合同约定的保密义务，乙方应向甲方支付相当于合同服务费用总额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 除本合同的约定外，因乙方的违约行为给甲方造成损失的，乙方应向甲方支付相当于合同服务费用总额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第九条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保密义务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无论本合同因何种原因终止，本保密条款依然有效。</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不可抗力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合同一方迟延履行后发生不可抗力的，不能免除其责任。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第十一条</w:t>
      </w:r>
      <w:r>
        <w:rPr>
          <w:rFonts w:hint="eastAsia" w:ascii="仿宋" w:hAnsi="仿宋" w:eastAsia="仿宋" w:cs="仿宋"/>
          <w:color w:val="auto"/>
          <w:sz w:val="24"/>
          <w:szCs w:val="24"/>
          <w:highlight w:val="none"/>
        </w:rPr>
        <w:t xml:space="preserve"> 合同变更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第十二条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合同特别终止</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甲乙双方同意在乙方出现下列情形时，甲方可以书面形式通知乙方（或者乙方的破产清算组或相关管理人）提出终止合同而不向其提供任何补偿：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（1）乙方破产、解散（包括但不限于乙方股东会决议解散、乙方被吊销营业执照、被责令关闭、被撤销、被司法机关裁决解散等情形）；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第十三条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法律适用与争议解决</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w:t>
      </w:r>
      <w:r>
        <w:rPr>
          <w:rFonts w:hint="eastAsia" w:ascii="仿宋" w:hAnsi="仿宋" w:eastAsia="仿宋" w:cs="仿宋"/>
          <w:b/>
          <w:bCs/>
          <w:color w:val="auto"/>
          <w:sz w:val="24"/>
          <w:szCs w:val="24"/>
          <w:highlight w:val="none"/>
        </w:rPr>
        <w:t>争议解决</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凡因本合同引起的或与本合同有关的任何争议，双方首先应友好协商解决。协商不成的，任何一方均可向甲方所在地有管辖权的法院提起诉讼。</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第十四条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合同生效及其他</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 本合同经甲乙双方法定代表人或授权代表签字并加盖公章后生效。</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 合同期限自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日始，至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日止。</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（三） 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份，其中正本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份副本；乙方执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（六）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33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第十五条</w:t>
      </w:r>
      <w:r>
        <w:rPr>
          <w:rFonts w:hint="eastAsia" w:ascii="仿宋" w:hAnsi="仿宋" w:eastAsia="仿宋" w:cs="仿宋"/>
          <w:color w:val="auto"/>
          <w:sz w:val="24"/>
          <w:szCs w:val="24"/>
          <w:highlight w:val="none"/>
        </w:rPr>
        <w:t xml:space="preserve"> 附件的组成</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附件一、服务内容及要求</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附件二、</w:t>
      </w:r>
      <w:r>
        <w:rPr>
          <w:rFonts w:hint="eastAsia" w:ascii="仿宋" w:hAnsi="仿宋" w:eastAsia="仿宋" w:cs="仿宋"/>
          <w:color w:val="auto"/>
          <w:sz w:val="24"/>
          <w:szCs w:val="24"/>
          <w:highlight w:val="none"/>
          <w:lang w:val="en-US" w:eastAsia="zh-CN"/>
        </w:rPr>
        <w:t>付款</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附件三、</w:t>
      </w:r>
      <w:r>
        <w:rPr>
          <w:rFonts w:hint="eastAsia" w:ascii="仿宋" w:hAnsi="仿宋" w:eastAsia="仿宋" w:cs="仿宋"/>
          <w:color w:val="auto"/>
          <w:sz w:val="24"/>
          <w:szCs w:val="24"/>
          <w:highlight w:val="none"/>
        </w:rPr>
        <w:t>廉洁诚信协议</w:t>
      </w:r>
    </w:p>
    <w:p>
      <w:pPr>
        <w:rPr>
          <w:rFonts w:hint="eastAsia" w:ascii="仿宋" w:hAnsi="仿宋" w:eastAsia="仿宋" w:cs="仿宋"/>
          <w:color w:val="auto"/>
          <w:sz w:val="28"/>
          <w:szCs w:val="28"/>
          <w:highlight w:val="none"/>
          <w:lang w:eastAsia="zh-CN"/>
        </w:rPr>
      </w:pP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协议签字页</w:t>
      </w:r>
      <w:r>
        <w:rPr>
          <w:rFonts w:hint="eastAsia" w:ascii="仿宋" w:hAnsi="仿宋" w:eastAsia="仿宋" w:cs="仿宋"/>
          <w:color w:val="auto"/>
          <w:sz w:val="28"/>
          <w:szCs w:val="28"/>
          <w:highlight w:val="none"/>
          <w:lang w:eastAsia="zh-CN"/>
        </w:rPr>
        <w:t>）</w:t>
      </w:r>
    </w:p>
    <w:p>
      <w:pPr>
        <w:pStyle w:val="2"/>
        <w:rPr>
          <w:rFonts w:hint="eastAsia" w:ascii="仿宋" w:hAnsi="仿宋" w:eastAsia="仿宋" w:cs="仿宋"/>
          <w:color w:val="auto"/>
          <w:sz w:val="28"/>
          <w:szCs w:val="28"/>
          <w:highlight w:val="none"/>
        </w:rPr>
      </w:pPr>
    </w:p>
    <w:p>
      <w:pP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兹证明，各方于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签订本合同。</w:t>
      </w:r>
    </w:p>
    <w:p>
      <w:pPr>
        <w:pStyle w:val="2"/>
        <w:rPr>
          <w:rFonts w:hint="eastAsia" w:ascii="仿宋" w:hAnsi="仿宋" w:eastAsia="仿宋" w:cs="仿宋"/>
          <w:color w:val="auto"/>
          <w:sz w:val="28"/>
          <w:szCs w:val="28"/>
          <w:highlight w:val="none"/>
          <w:lang w:val="en-US" w:eastAsia="zh-CN"/>
        </w:rPr>
      </w:pPr>
    </w:p>
    <w:p>
      <w:pPr>
        <w:pStyle w:val="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甲方（盖章）：中国人民财产保险股份有限公司泸州市分公司</w:t>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法定代表人/授权代表（签字）：</w:t>
      </w:r>
    </w:p>
    <w:p>
      <w:pPr>
        <w:pStyle w:val="2"/>
        <w:rPr>
          <w:rFonts w:hint="eastAsia" w:ascii="仿宋" w:hAnsi="仿宋" w:eastAsia="仿宋" w:cs="仿宋"/>
          <w:color w:val="auto"/>
          <w:sz w:val="28"/>
          <w:szCs w:val="28"/>
          <w:highlight w:val="none"/>
          <w:lang w:val="en-US" w:eastAsia="zh-CN"/>
        </w:rPr>
      </w:pPr>
    </w:p>
    <w:p>
      <w:pPr>
        <w:pStyle w:val="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乙方（盖章）：</w:t>
      </w:r>
    </w:p>
    <w:p>
      <w:pPr>
        <w:rPr>
          <w:rFonts w:hint="default"/>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法定代表人/授权代表（签字）：</w:t>
      </w:r>
    </w:p>
    <w:p>
      <w:pP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br w:type="page"/>
      </w:r>
    </w:p>
    <w:p>
      <w:pPr>
        <w:bidi w:val="0"/>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w:t>
      </w:r>
      <w:r>
        <w:rPr>
          <w:rFonts w:hint="eastAsia" w:ascii="仿宋" w:hAnsi="仿宋" w:eastAsia="仿宋" w:cs="仿宋"/>
          <w:b/>
          <w:bCs/>
          <w:color w:val="auto"/>
          <w:sz w:val="24"/>
          <w:szCs w:val="24"/>
          <w:lang w:eastAsia="zh-CN"/>
        </w:rPr>
        <w:t>一</w:t>
      </w:r>
      <w:r>
        <w:rPr>
          <w:rFonts w:hint="eastAsia" w:ascii="仿宋" w:hAnsi="仿宋" w:eastAsia="仿宋" w:cs="仿宋"/>
          <w:b/>
          <w:bCs/>
          <w:color w:val="auto"/>
          <w:sz w:val="24"/>
          <w:szCs w:val="24"/>
        </w:rPr>
        <w:tab/>
      </w:r>
    </w:p>
    <w:p>
      <w:pPr>
        <w:keepNext w:val="0"/>
        <w:keepLines w:val="0"/>
        <w:pageBreakBefore w:val="0"/>
        <w:widowControl w:val="0"/>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服务内容及要求</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1.项目名称</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项目名称：人保财险四川省泸州市分公司立柱宣传采购项目</w:t>
      </w:r>
    </w:p>
    <w:p>
      <w:pPr>
        <w:pStyle w:val="51"/>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2.项目内容及要求</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（1）乙方向甲方提供服务的内容：负责XX个立柱宣传画面（含制作、安装及日常维护)，投放于XXX立柱，进行为期3/6个月的宣传。含税单价为</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color w:val="3A3A3A"/>
          <w:sz w:val="24"/>
          <w:szCs w:val="24"/>
          <w:shd w:val="clear" w:color="auto" w:fill="FFFFFF"/>
        </w:rPr>
        <w:t>元/月/</w:t>
      </w:r>
      <w:r>
        <w:rPr>
          <w:rFonts w:hint="eastAsia" w:ascii="仿宋" w:hAnsi="仿宋" w:eastAsia="仿宋" w:cs="仿宋"/>
          <w:color w:val="3A3A3A"/>
          <w:sz w:val="24"/>
          <w:szCs w:val="24"/>
          <w:shd w:val="clear" w:color="auto" w:fill="FFFFFF"/>
          <w:lang w:val="en-US" w:eastAsia="zh-CN"/>
        </w:rPr>
        <w:t>个</w:t>
      </w:r>
      <w:r>
        <w:rPr>
          <w:rFonts w:hint="eastAsia" w:ascii="仿宋" w:hAnsi="仿宋" w:eastAsia="仿宋" w:cs="仿宋"/>
          <w:b w:val="0"/>
          <w:bCs w:val="0"/>
          <w:color w:val="auto"/>
          <w:kern w:val="0"/>
          <w:sz w:val="24"/>
          <w:szCs w:val="24"/>
          <w:lang w:val="en-US" w:eastAsia="zh-CN" w:bidi="ar"/>
        </w:rPr>
        <w:t>（含制作、投放及后期维护），含税总金额共</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），不含税总金额</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 xml:space="preserve">）。             </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（2）服务期限：</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日至</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日</w:t>
      </w:r>
      <w:r>
        <w:rPr>
          <w:rFonts w:hint="eastAsia" w:ascii="仿宋" w:hAnsi="仿宋" w:eastAsia="仿宋" w:cs="仿宋"/>
          <w:b w:val="0"/>
          <w:bCs w:val="0"/>
          <w:color w:val="auto"/>
          <w:kern w:val="0"/>
          <w:sz w:val="24"/>
          <w:szCs w:val="24"/>
          <w:lang w:val="en-US" w:eastAsia="zh-CN" w:bidi="ar"/>
        </w:rPr>
        <w:t>。</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highlight w:val="none"/>
          <w:lang w:val="en-US" w:eastAsia="zh-CN" w:bidi="ar"/>
        </w:rPr>
        <w:t>（3）</w:t>
      </w:r>
      <w:r>
        <w:rPr>
          <w:rFonts w:hint="eastAsia" w:ascii="仿宋" w:hAnsi="仿宋" w:eastAsia="仿宋" w:cs="仿宋"/>
          <w:b w:val="0"/>
          <w:bCs w:val="0"/>
          <w:color w:val="auto"/>
          <w:kern w:val="0"/>
          <w:sz w:val="24"/>
          <w:szCs w:val="24"/>
          <w:lang w:val="en-US" w:eastAsia="zh-CN" w:bidi="ar"/>
        </w:rPr>
        <w:t>服务活动过程中使用第三方物权过程中发生的法律纠纷和经济责任由合同乙方负责。</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（4）立柱宣传点位明细如下图，共X个。</w:t>
      </w:r>
    </w:p>
    <w:tbl>
      <w:tblPr>
        <w:tblStyle w:val="30"/>
        <w:tblW w:w="6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3969"/>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序号</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宣传地点</w:t>
            </w: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1</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2</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34"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default" w:ascii="仿宋" w:hAnsi="仿宋" w:eastAsia="仿宋" w:cs="仿宋"/>
                <w:b w:val="0"/>
                <w:bCs w:val="0"/>
                <w:color w:val="auto"/>
                <w:kern w:val="0"/>
                <w:sz w:val="24"/>
                <w:szCs w:val="24"/>
                <w:vertAlign w:val="baseline"/>
                <w:lang w:val="en-US" w:eastAsia="zh-CN" w:bidi="ar"/>
              </w:rPr>
            </w:pPr>
            <w:r>
              <w:rPr>
                <w:rFonts w:hint="eastAsia" w:ascii="仿宋" w:hAnsi="仿宋" w:eastAsia="仿宋" w:cs="仿宋"/>
                <w:b w:val="0"/>
                <w:bCs w:val="0"/>
                <w:color w:val="auto"/>
                <w:kern w:val="0"/>
                <w:sz w:val="24"/>
                <w:szCs w:val="24"/>
                <w:vertAlign w:val="baseline"/>
                <w:lang w:val="en-US" w:eastAsia="zh-CN" w:bidi="ar"/>
              </w:rPr>
              <w:t>20</w:t>
            </w:r>
          </w:p>
        </w:tc>
        <w:tc>
          <w:tcPr>
            <w:tcW w:w="3969"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c>
          <w:tcPr>
            <w:tcW w:w="1417" w:type="dxa"/>
            <w:vAlign w:val="center"/>
          </w:tcPr>
          <w:p>
            <w:pPr>
              <w:pStyle w:val="51"/>
              <w:keepNext w:val="0"/>
              <w:keepLines w:val="0"/>
              <w:pageBreakBefore w:val="0"/>
              <w:widowControl w:val="0"/>
              <w:numPr>
                <w:ilvl w:val="0"/>
                <w:numId w:val="0"/>
              </w:numPr>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vertAlign w:val="baseline"/>
                <w:lang w:val="en-US" w:eastAsia="zh-CN" w:bidi="ar"/>
              </w:rPr>
            </w:pPr>
          </w:p>
        </w:tc>
      </w:tr>
    </w:tbl>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3.告知</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甲乙双方同意涉及本合同的一切事宜均以书面形式提交，双方应及时响应。</w:t>
      </w:r>
    </w:p>
    <w:p>
      <w:pPr>
        <w:keepNext w:val="0"/>
        <w:keepLines w:val="0"/>
        <w:pageBreakBefore w:val="0"/>
        <w:widowControl w:val="0"/>
        <w:tabs>
          <w:tab w:val="left" w:pos="315"/>
        </w:tabs>
        <w:kinsoku/>
        <w:wordWrap/>
        <w:overflowPunct/>
        <w:topLinePunct w:val="0"/>
        <w:autoSpaceDE w:val="0"/>
        <w:autoSpaceDN w:val="0"/>
        <w:bidi w:val="0"/>
        <w:adjustRightInd/>
        <w:snapToGrid/>
        <w:spacing w:line="460" w:lineRule="exact"/>
        <w:ind w:firstLine="468" w:firstLineChars="195"/>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4.问题项目处理</w:t>
      </w:r>
    </w:p>
    <w:p>
      <w:pPr>
        <w:keepNext w:val="0"/>
        <w:keepLines w:val="0"/>
        <w:pageBreakBefore w:val="0"/>
        <w:widowControl w:val="0"/>
        <w:kinsoku/>
        <w:wordWrap/>
        <w:overflowPunct/>
        <w:topLinePunct w:val="0"/>
        <w:bidi w:val="0"/>
        <w:adjustRightInd/>
        <w:snapToGrid/>
        <w:spacing w:line="460" w:lineRule="exact"/>
        <w:textAlignment w:val="auto"/>
        <w:rPr>
          <w:rFonts w:hint="default" w:ascii="仿宋" w:hAnsi="仿宋" w:eastAsia="仿宋" w:cs="仿宋"/>
          <w:color w:val="auto"/>
          <w:sz w:val="24"/>
          <w:szCs w:val="24"/>
          <w:lang w:val="en-US" w:eastAsia="zh-CN"/>
        </w:rPr>
        <w:sectPr>
          <w:footerReference r:id="rId7" w:type="default"/>
          <w:pgSz w:w="11906" w:h="16838"/>
          <w:pgMar w:top="1361" w:right="1418" w:bottom="1361" w:left="1418" w:header="851" w:footer="992" w:gutter="0"/>
          <w:pgNumType w:fmt="decimal"/>
          <w:cols w:space="720" w:num="1"/>
          <w:docGrid w:type="lines" w:linePitch="312" w:charSpace="0"/>
        </w:sectPr>
      </w:pPr>
      <w:r>
        <w:rPr>
          <w:rFonts w:hint="eastAsia" w:ascii="仿宋" w:hAnsi="仿宋" w:eastAsia="仿宋" w:cs="仿宋"/>
          <w:b w:val="0"/>
          <w:bCs w:val="0"/>
          <w:color w:val="auto"/>
          <w:kern w:val="0"/>
          <w:sz w:val="24"/>
          <w:szCs w:val="24"/>
          <w:lang w:val="en-US" w:eastAsia="zh-CN" w:bidi="ar"/>
        </w:rPr>
        <w:t xml:space="preserve">    问题项目的处理应按照甲方项目管理规范的要求进行。在项目实施过程中，如因乙方原因造成项目出现异常且在1天内乙方未改变问题项目现状，则甲方有权终止该项目，并拒绝支付全部款项，甲方有权要求乙方退回已收取的合同费用，并保留向乙方追偿损失的权利。</w:t>
      </w: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300" w:lineRule="auto"/>
        <w:ind w:right="0"/>
        <w:jc w:val="both"/>
        <w:textAlignment w:val="baseline"/>
        <w:rPr>
          <w:rFonts w:hint="eastAsia" w:ascii="楷体" w:hAnsi="楷体" w:eastAsia="楷体" w:cs="楷体"/>
          <w:b/>
          <w:bCs/>
          <w:color w:val="auto"/>
          <w:kern w:val="2"/>
          <w:sz w:val="24"/>
          <w:szCs w:val="24"/>
          <w:highlight w:val="none"/>
          <w:lang w:val="en-US" w:eastAsia="zh-CN" w:bidi="ar"/>
        </w:rPr>
      </w:pPr>
      <w:r>
        <w:rPr>
          <w:rFonts w:hint="eastAsia" w:ascii="楷体" w:hAnsi="楷体" w:eastAsia="楷体" w:cs="楷体"/>
          <w:b/>
          <w:bCs/>
          <w:color w:val="auto"/>
          <w:kern w:val="2"/>
          <w:sz w:val="24"/>
          <w:szCs w:val="24"/>
          <w:highlight w:val="none"/>
          <w:lang w:val="en-US" w:eastAsia="zh-CN" w:bidi="ar"/>
        </w:rPr>
        <w:t>附件二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080" w:firstLineChars="17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付款</w:t>
      </w:r>
    </w:p>
    <w:p>
      <w:pPr>
        <w:pStyle w:val="2"/>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lang w:val="en-US" w:eastAsia="zh-CN"/>
        </w:rPr>
      </w:pP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1.本合同使用货币种类为人民币。</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2.付款方式：双方采用转账方式付款，甲方应向乙方以下账户进行支付：</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乙方：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开户行：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账户名称：</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账号：</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乙方如需改变上述账户，应提前10日以书面通知甲方。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3.付款安排</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本合同服务费用一次性结算，乙方制作完成投放后，甲方根据项目约定的服务内容、数量及规格验收无误后，乙方向甲方提供合规有效的增值税专用发票，甲方在收到合格发票后，支付总费用的100%，对应金额______元。</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4.增值税专用发票的相关约定</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（1）乙方应向甲方开具增值税专用发票，甲方开票信息如下：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公司名称：中国人民财产保险股份有限公司泸州市分公司</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纳税识别号：915105009047030323</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银行账号：2304342109023100136</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开户银行：中国工商银行泸州市大山坪支行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开票地址：四川省泸州市江阳区江阳西路段163号1栋</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开票电话： 0830-3198644</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（3）多次分批的增值税专用发票的开具、提交以及双方收付款，乙方开具并提交甲方的增值税专用发票的价税合计金额应与甲方已经支付的价税合计款项保持一致；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b w:val="0"/>
          <w:bCs w:val="0"/>
          <w:color w:val="auto"/>
          <w:kern w:val="0"/>
          <w:sz w:val="24"/>
          <w:szCs w:val="24"/>
          <w:lang w:val="en-US" w:eastAsia="zh-CN" w:bidi="ar"/>
        </w:rPr>
        <w:t xml:space="preserve">   （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rPr>
      </w:pPr>
      <w:r>
        <w:rPr>
          <w:rFonts w:hint="eastAsia" w:ascii="楷体" w:hAnsi="楷体" w:eastAsia="楷体" w:cs="楷体"/>
          <w:sz w:val="24"/>
          <w:szCs w:val="24"/>
        </w:rPr>
        <w:br w:type="page"/>
      </w: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300" w:lineRule="auto"/>
        <w:ind w:right="0"/>
        <w:jc w:val="both"/>
        <w:textAlignment w:val="baseline"/>
        <w:rPr>
          <w:rFonts w:hint="default" w:eastAsia="楷体"/>
          <w:color w:val="auto"/>
          <w:highlight w:val="none"/>
          <w:lang w:val="en-US" w:eastAsia="zh-CN"/>
        </w:rPr>
      </w:pPr>
      <w:r>
        <w:rPr>
          <w:rFonts w:hint="eastAsia" w:ascii="楷体" w:hAnsi="楷体" w:eastAsia="楷体" w:cs="楷体"/>
          <w:b/>
          <w:color w:val="auto"/>
          <w:sz w:val="28"/>
          <w:szCs w:val="28"/>
          <w:highlight w:val="none"/>
          <w:lang w:val="en-US" w:eastAsia="zh-CN"/>
        </w:rPr>
        <w:t>附件三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left="0" w:right="0"/>
        <w:jc w:val="center"/>
        <w:outlineLvl w:val="9"/>
        <w:rPr>
          <w:rFonts w:hint="eastAsia" w:ascii="仿宋" w:hAnsi="仿宋" w:eastAsia="仿宋" w:cs="仿宋"/>
          <w:b/>
          <w:bCs/>
          <w:spacing w:val="20"/>
          <w:sz w:val="28"/>
          <w:szCs w:val="28"/>
          <w:lang w:val="en-US"/>
        </w:rPr>
      </w:pPr>
      <w:r>
        <w:rPr>
          <w:rFonts w:hint="eastAsia" w:ascii="仿宋" w:hAnsi="仿宋" w:eastAsia="仿宋" w:cs="仿宋"/>
          <w:b/>
          <w:bCs/>
          <w:spacing w:val="20"/>
          <w:kern w:val="2"/>
          <w:sz w:val="28"/>
          <w:szCs w:val="28"/>
          <w:lang w:val="en-US" w:eastAsia="zh-CN" w:bidi="ar"/>
        </w:rPr>
        <w:t>廉洁诚信协议</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right="0" w:firstLine="480" w:firstLineChars="200"/>
        <w:jc w:val="both"/>
        <w:textAlignment w:val="baseline"/>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第一条  总则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（1）一方或其关联方之工作人员；</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（2）受一方委托办理相关事务的单位或者个人；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（4）前述相关人员的亲属；</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第二条  商业贿赂</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2.3本条第1款所称其他形式，包括但不限于：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（6）向甲方或甲方相关主体提供借款、融资、担保等；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（7）给予或承诺给予其不正当利益的其他行为；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（8）其他违反国家法律法规或商业道德准则的影响公正交易的行为。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第三条  回扣</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3.3乙方在账外暗中给予甲方相关主体回扣的，视为实施商业贿赂行为。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第四条  折扣</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4.4乙方违反本条约定的，视为实施商业贿赂行为。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第五条  宴请与游玩活动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5.3乙方违反本条约定的，视为实施商业贿赂行为。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第六条  禁止行为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（1）报销甲方相关主体的私人费用；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（2）提供超过宴请标准的宴请或娱乐活动；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（3）介绍甲方相关主体亲友到乙方处工作；</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（6）向甲方相关主体提供借款、融资、担保等；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第七条  乙方承诺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乙方承诺在双方的商务接洽、合同关系、交易过程中遵守如下要求：</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7.1 避免利害关系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7.2 恪守廉洁自律原则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7.3 恪守诚实信用原则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7.4 确保信息公开透明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7.5 积极配合监督举报</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7.6 加强内部廉洁管理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第八条  违约责任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8.3 如乙方违反本协议任何约定或承诺，</w:t>
      </w:r>
      <w:r>
        <w:rPr>
          <w:rFonts w:hint="eastAsia" w:ascii="仿宋" w:hAnsi="仿宋" w:eastAsia="仿宋" w:cs="仿宋"/>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8.4</w:t>
      </w:r>
      <w:r>
        <w:rPr>
          <w:rFonts w:hint="eastAsia" w:ascii="仿宋" w:hAnsi="仿宋" w:eastAsia="仿宋" w:cs="仿宋"/>
          <w:b/>
          <w:bCs/>
          <w:kern w:val="2"/>
          <w:sz w:val="24"/>
          <w:szCs w:val="24"/>
          <w:lang w:val="en-US" w:eastAsia="zh-CN" w:bidi="ar"/>
        </w:rPr>
        <w:t>甲方及甲方子公司按照前述条款要求乙方承担赔偿责任的，</w:t>
      </w:r>
      <w:r>
        <w:rPr>
          <w:rFonts w:hint="eastAsia" w:ascii="仿宋" w:hAnsi="仿宋" w:eastAsia="仿宋" w:cs="仿宋"/>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第九条  附则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
        </w:rPr>
        <w:t>9.5本协议长期有效。</w:t>
      </w:r>
    </w:p>
    <w:p>
      <w:pPr>
        <w:rPr>
          <w:rFonts w:hint="eastAsia"/>
        </w:rPr>
      </w:pPr>
    </w:p>
    <w:p>
      <w:pPr>
        <w:pStyle w:val="3"/>
        <w:pageBreakBefore/>
        <w:ind w:left="0" w:firstLine="3064" w:firstLineChars="1090"/>
        <w:jc w:val="left"/>
        <w:rPr>
          <w:rFonts w:ascii="仿宋_GB2312" w:hAnsi="宋体" w:eastAsia="仿宋_GB2312"/>
          <w:color w:val="auto"/>
          <w:sz w:val="28"/>
          <w:szCs w:val="28"/>
        </w:rPr>
      </w:pPr>
      <w:bookmarkStart w:id="125" w:name="_Toc28455"/>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一、采购项目背景</w:t>
      </w:r>
    </w:p>
    <w:p>
      <w:pPr>
        <w:spacing w:line="360" w:lineRule="auto"/>
        <w:ind w:firstLine="480" w:firstLineChars="200"/>
        <w:rPr>
          <w:rFonts w:hint="eastAsia" w:ascii="仿宋" w:hAnsi="仿宋" w:eastAsia="仿宋" w:cs="仿宋"/>
          <w:color w:val="auto"/>
          <w:szCs w:val="32"/>
        </w:rPr>
      </w:pPr>
      <w:r>
        <w:rPr>
          <w:rFonts w:hint="eastAsia" w:ascii="仿宋" w:hAnsi="仿宋" w:eastAsia="仿宋" w:cs="仿宋"/>
          <w:color w:val="auto"/>
          <w:szCs w:val="32"/>
        </w:rPr>
        <w:t>为促进业务发展，加大我司车险和企业财产保险产品宣传，提高大众对我司保险产品的关注度和认可度，拓展新客户资源，助力业务发展,泸州市分公司拟在泸县县域内和隆纳高速泸州收费站的立柱投放产品宣传。</w:t>
      </w:r>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二、采购内容</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拟采购两家供应商，分别负责泸县县域内和隆纳高速路收费站（泸州站）的立柱宣传。</w:t>
      </w:r>
    </w:p>
    <w:p>
      <w:pPr>
        <w:spacing w:line="360" w:lineRule="auto"/>
        <w:ind w:firstLine="480" w:firstLineChars="200"/>
        <w:rPr>
          <w:rFonts w:hint="default"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项目分为两个标包进行采购，</w:t>
      </w:r>
      <w:r>
        <w:rPr>
          <w:rFonts w:hint="eastAsia" w:ascii="仿宋" w:hAnsi="仿宋" w:eastAsia="仿宋" w:cs="仿宋"/>
          <w:b w:val="0"/>
          <w:bCs w:val="0"/>
          <w:color w:val="000000" w:themeColor="text1"/>
          <w:szCs w:val="32"/>
          <w:lang w:val="en-US" w:eastAsia="zh-CN"/>
          <w14:textFill>
            <w14:solidFill>
              <w14:schemeClr w14:val="tx1"/>
            </w14:solidFill>
          </w14:textFill>
        </w:rPr>
        <w:t>情况如下：</w:t>
      </w:r>
    </w:p>
    <w:p>
      <w:pPr>
        <w:spacing w:line="360" w:lineRule="auto"/>
        <w:ind w:firstLine="482" w:firstLineChars="200"/>
        <w:rPr>
          <w:rFonts w:hint="default" w:ascii="仿宋" w:hAnsi="仿宋" w:eastAsia="仿宋" w:cs="仿宋"/>
          <w:b/>
          <w:bCs/>
          <w:color w:val="000000" w:themeColor="text1"/>
          <w:szCs w:val="32"/>
          <w:lang w:val="en-US" w:eastAsia="zh-CN"/>
          <w14:textFill>
            <w14:solidFill>
              <w14:schemeClr w14:val="tx1"/>
            </w14:solidFill>
          </w14:textFill>
        </w:rPr>
      </w:pPr>
      <w:r>
        <w:rPr>
          <w:rFonts w:hint="eastAsia" w:ascii="仿宋" w:hAnsi="仿宋" w:eastAsia="仿宋" w:cs="仿宋"/>
          <w:b/>
          <w:bCs/>
          <w:color w:val="000000" w:themeColor="text1"/>
          <w:szCs w:val="32"/>
          <w:lang w:eastAsia="zh-CN"/>
          <w14:textFill>
            <w14:solidFill>
              <w14:schemeClr w14:val="tx1"/>
            </w14:solidFill>
          </w14:textFill>
        </w:rPr>
        <w:t>（</w:t>
      </w:r>
      <w:r>
        <w:rPr>
          <w:rFonts w:hint="eastAsia" w:ascii="仿宋" w:hAnsi="仿宋" w:eastAsia="仿宋" w:cs="仿宋"/>
          <w:b/>
          <w:bCs/>
          <w:color w:val="000000" w:themeColor="text1"/>
          <w:szCs w:val="32"/>
          <w:lang w:val="en-US" w:eastAsia="zh-CN"/>
          <w14:textFill>
            <w14:solidFill>
              <w14:schemeClr w14:val="tx1"/>
            </w14:solidFill>
          </w14:textFill>
        </w:rPr>
        <w:t>一</w:t>
      </w:r>
      <w:r>
        <w:rPr>
          <w:rFonts w:hint="eastAsia" w:ascii="仿宋" w:hAnsi="仿宋" w:eastAsia="仿宋" w:cs="仿宋"/>
          <w:b/>
          <w:bCs/>
          <w:color w:val="000000" w:themeColor="text1"/>
          <w:szCs w:val="32"/>
          <w:lang w:eastAsia="zh-CN"/>
          <w14:textFill>
            <w14:solidFill>
              <w14:schemeClr w14:val="tx1"/>
            </w14:solidFill>
          </w14:textFill>
        </w:rPr>
        <w:t>）</w:t>
      </w:r>
      <w:r>
        <w:rPr>
          <w:rFonts w:hint="eastAsia" w:ascii="仿宋" w:hAnsi="仿宋" w:eastAsia="仿宋" w:cs="仿宋"/>
          <w:b/>
          <w:bCs/>
          <w:color w:val="000000" w:themeColor="text1"/>
          <w:szCs w:val="32"/>
          <w:lang w:val="en-US" w:eastAsia="zh-CN"/>
          <w14:textFill>
            <w14:solidFill>
              <w14:schemeClr w14:val="tx1"/>
            </w14:solidFill>
          </w14:textFill>
        </w:rPr>
        <w:t>标包1采购内容</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拟采购一家有资质的供应商，为我公司提供泸县县域内立柱宣传制作和宣传发布，采购预算为</w:t>
      </w:r>
      <w:r>
        <w:rPr>
          <w:rFonts w:hint="eastAsia" w:ascii="仿宋" w:hAnsi="仿宋" w:eastAsia="仿宋" w:cs="仿宋"/>
          <w:b w:val="0"/>
          <w:bCs w:val="0"/>
          <w:color w:val="000000" w:themeColor="text1"/>
          <w:szCs w:val="32"/>
          <w:lang w:val="en-US" w:eastAsia="zh-CN"/>
          <w14:textFill>
            <w14:solidFill>
              <w14:schemeClr w14:val="tx1"/>
            </w14:solidFill>
          </w14:textFill>
        </w:rPr>
        <w:t>19.2</w:t>
      </w:r>
      <w:r>
        <w:rPr>
          <w:rFonts w:hint="eastAsia" w:ascii="仿宋" w:hAnsi="仿宋" w:eastAsia="仿宋" w:cs="仿宋"/>
          <w:b w:val="0"/>
          <w:bCs w:val="0"/>
          <w:color w:val="000000" w:themeColor="text1"/>
          <w:szCs w:val="32"/>
          <w14:textFill>
            <w14:solidFill>
              <w14:schemeClr w14:val="tx1"/>
            </w14:solidFill>
          </w14:textFill>
        </w:rPr>
        <w:t>万。</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投放地点及数量：玉蟾街道1个、福集镇1个、嘉明镇1个、 喻寺镇1个、 得胜镇1个、 牛滩镇1个、 兆雅镇1个、 玄滩镇1个、太伏镇1个、云龙镇1个、石桥镇1个、毗卢镇1个、奇峰镇1个、潮河镇1个、云锦镇1个、立石镇1个、百和镇1个、天兴镇1个、方洞镇1个和海潮镇1个。</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投放规格：3米*9米，双面</w:t>
      </w:r>
    </w:p>
    <w:p>
      <w:pPr>
        <w:spacing w:line="360" w:lineRule="auto"/>
        <w:ind w:firstLine="480" w:firstLineChars="200"/>
        <w:rPr>
          <w:rFonts w:hint="eastAsia"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lang w:val="en-US" w:eastAsia="zh-CN"/>
          <w14:textFill>
            <w14:solidFill>
              <w14:schemeClr w14:val="tx1"/>
            </w14:solidFill>
          </w14:textFill>
        </w:rPr>
        <w:t>画面材质：高清写真画</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投放周期：3个月</w:t>
      </w:r>
    </w:p>
    <w:p>
      <w:pPr>
        <w:spacing w:line="360" w:lineRule="auto"/>
        <w:ind w:firstLine="482" w:firstLineChars="200"/>
        <w:rPr>
          <w:rFonts w:hint="default" w:ascii="仿宋" w:hAnsi="仿宋" w:eastAsia="仿宋" w:cs="仿宋"/>
          <w:b/>
          <w:bCs/>
          <w:color w:val="000000" w:themeColor="text1"/>
          <w:szCs w:val="32"/>
          <w:lang w:val="en-US" w:eastAsia="zh-CN"/>
          <w14:textFill>
            <w14:solidFill>
              <w14:schemeClr w14:val="tx1"/>
            </w14:solidFill>
          </w14:textFill>
        </w:rPr>
      </w:pPr>
      <w:r>
        <w:rPr>
          <w:rFonts w:hint="eastAsia" w:ascii="仿宋" w:hAnsi="仿宋" w:eastAsia="仿宋" w:cs="仿宋"/>
          <w:b/>
          <w:bCs/>
          <w:color w:val="000000" w:themeColor="text1"/>
          <w:szCs w:val="32"/>
          <w:lang w:eastAsia="zh-CN"/>
          <w14:textFill>
            <w14:solidFill>
              <w14:schemeClr w14:val="tx1"/>
            </w14:solidFill>
          </w14:textFill>
        </w:rPr>
        <w:t>（</w:t>
      </w:r>
      <w:r>
        <w:rPr>
          <w:rFonts w:hint="eastAsia" w:ascii="仿宋" w:hAnsi="仿宋" w:eastAsia="仿宋" w:cs="仿宋"/>
          <w:b/>
          <w:bCs/>
          <w:color w:val="000000" w:themeColor="text1"/>
          <w:szCs w:val="32"/>
          <w:lang w:val="en-US" w:eastAsia="zh-CN"/>
          <w14:textFill>
            <w14:solidFill>
              <w14:schemeClr w14:val="tx1"/>
            </w14:solidFill>
          </w14:textFill>
        </w:rPr>
        <w:t>二</w:t>
      </w:r>
      <w:r>
        <w:rPr>
          <w:rFonts w:hint="eastAsia" w:ascii="仿宋" w:hAnsi="仿宋" w:eastAsia="仿宋" w:cs="仿宋"/>
          <w:b/>
          <w:bCs/>
          <w:color w:val="000000" w:themeColor="text1"/>
          <w:szCs w:val="32"/>
          <w:lang w:eastAsia="zh-CN"/>
          <w14:textFill>
            <w14:solidFill>
              <w14:schemeClr w14:val="tx1"/>
            </w14:solidFill>
          </w14:textFill>
        </w:rPr>
        <w:t>）</w:t>
      </w:r>
      <w:r>
        <w:rPr>
          <w:rFonts w:hint="eastAsia" w:ascii="仿宋" w:hAnsi="仿宋" w:eastAsia="仿宋" w:cs="仿宋"/>
          <w:b/>
          <w:bCs/>
          <w:color w:val="000000" w:themeColor="text1"/>
          <w:szCs w:val="32"/>
          <w:lang w:val="en-US" w:eastAsia="zh-CN"/>
          <w14:textFill>
            <w14:solidFill>
              <w14:schemeClr w14:val="tx1"/>
            </w14:solidFill>
          </w14:textFill>
        </w:rPr>
        <w:t>标包2采购内容</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拟采购一家有资质的供应商，为我公司提供隆纳高速泸州收费站立柱宣传制作和宣传发布，采购预算为</w:t>
      </w:r>
      <w:r>
        <w:rPr>
          <w:rFonts w:hint="eastAsia" w:ascii="仿宋" w:hAnsi="仿宋" w:eastAsia="仿宋" w:cs="仿宋"/>
          <w:b w:val="0"/>
          <w:bCs w:val="0"/>
          <w:color w:val="000000" w:themeColor="text1"/>
          <w:szCs w:val="32"/>
          <w:lang w:val="en-US" w:eastAsia="zh-CN"/>
          <w14:textFill>
            <w14:solidFill>
              <w14:schemeClr w14:val="tx1"/>
            </w14:solidFill>
          </w14:textFill>
        </w:rPr>
        <w:t>10.2</w:t>
      </w:r>
      <w:r>
        <w:rPr>
          <w:rFonts w:hint="eastAsia" w:ascii="仿宋" w:hAnsi="仿宋" w:eastAsia="仿宋" w:cs="仿宋"/>
          <w:b w:val="0"/>
          <w:bCs w:val="0"/>
          <w:color w:val="000000" w:themeColor="text1"/>
          <w:szCs w:val="32"/>
          <w14:textFill>
            <w14:solidFill>
              <w14:schemeClr w14:val="tx1"/>
            </w14:solidFill>
          </w14:textFill>
        </w:rPr>
        <w:t>万。</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投放地点及数量：隆纳高速泸州收费站1个。</w:t>
      </w:r>
    </w:p>
    <w:p>
      <w:pPr>
        <w:spacing w:line="360" w:lineRule="auto"/>
        <w:ind w:firstLine="480" w:firstLineChars="200"/>
        <w:rPr>
          <w:rFonts w:hint="eastAsia" w:ascii="仿宋" w:hAnsi="仿宋" w:eastAsia="仿宋" w:cs="仿宋"/>
          <w:b w:val="0"/>
          <w:bCs w:val="0"/>
          <w:color w:val="000000" w:themeColor="text1"/>
          <w:szCs w:val="32"/>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投放规格：</w:t>
      </w:r>
      <w:r>
        <w:rPr>
          <w:rFonts w:hint="eastAsia" w:ascii="仿宋" w:hAnsi="仿宋" w:eastAsia="仿宋" w:cs="仿宋"/>
          <w:b w:val="0"/>
          <w:bCs w:val="0"/>
          <w:color w:val="000000" w:themeColor="text1"/>
          <w:szCs w:val="32"/>
          <w:lang w:val="en-US" w:eastAsia="zh-CN"/>
          <w14:textFill>
            <w14:solidFill>
              <w14:schemeClr w14:val="tx1"/>
            </w14:solidFill>
          </w14:textFill>
        </w:rPr>
        <w:t>21</w:t>
      </w:r>
      <w:r>
        <w:rPr>
          <w:rFonts w:hint="eastAsia" w:ascii="仿宋" w:hAnsi="仿宋" w:eastAsia="仿宋" w:cs="仿宋"/>
          <w:b w:val="0"/>
          <w:bCs w:val="0"/>
          <w:color w:val="000000" w:themeColor="text1"/>
          <w:szCs w:val="32"/>
          <w14:textFill>
            <w14:solidFill>
              <w14:schemeClr w14:val="tx1"/>
            </w14:solidFill>
          </w14:textFill>
        </w:rPr>
        <w:t>米*</w:t>
      </w:r>
      <w:r>
        <w:rPr>
          <w:rFonts w:hint="eastAsia" w:ascii="仿宋" w:hAnsi="仿宋" w:eastAsia="仿宋" w:cs="仿宋"/>
          <w:b w:val="0"/>
          <w:bCs w:val="0"/>
          <w:color w:val="000000" w:themeColor="text1"/>
          <w:szCs w:val="32"/>
          <w:lang w:val="en-US" w:eastAsia="zh-CN"/>
          <w14:textFill>
            <w14:solidFill>
              <w14:schemeClr w14:val="tx1"/>
            </w14:solidFill>
          </w14:textFill>
        </w:rPr>
        <w:t>7</w:t>
      </w:r>
      <w:r>
        <w:rPr>
          <w:rFonts w:hint="eastAsia" w:ascii="仿宋" w:hAnsi="仿宋" w:eastAsia="仿宋" w:cs="仿宋"/>
          <w:b w:val="0"/>
          <w:bCs w:val="0"/>
          <w:color w:val="000000" w:themeColor="text1"/>
          <w:szCs w:val="32"/>
          <w14:textFill>
            <w14:solidFill>
              <w14:schemeClr w14:val="tx1"/>
            </w14:solidFill>
          </w14:textFill>
        </w:rPr>
        <w:t>米，双面</w:t>
      </w:r>
    </w:p>
    <w:p>
      <w:pPr>
        <w:spacing w:line="360" w:lineRule="auto"/>
        <w:ind w:firstLine="480" w:firstLineChars="200"/>
        <w:rPr>
          <w:rFonts w:hint="eastAsia"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lang w:val="en-US" w:eastAsia="zh-CN"/>
          <w14:textFill>
            <w14:solidFill>
              <w14:schemeClr w14:val="tx1"/>
            </w14:solidFill>
          </w14:textFill>
        </w:rPr>
        <w:t>画面材质：高清黑白布（双面）</w:t>
      </w:r>
    </w:p>
    <w:p>
      <w:pPr>
        <w:spacing w:line="360" w:lineRule="auto"/>
        <w:ind w:firstLine="480" w:firstLineChars="200"/>
        <w:rPr>
          <w:rFonts w:hint="eastAsia" w:ascii="仿宋" w:hAnsi="仿宋" w:eastAsia="仿宋" w:cs="仿宋"/>
          <w:b/>
          <w:bCs/>
          <w:color w:val="auto"/>
          <w:szCs w:val="32"/>
        </w:rPr>
      </w:pPr>
      <w:r>
        <w:rPr>
          <w:rFonts w:hint="eastAsia" w:ascii="仿宋" w:hAnsi="仿宋" w:eastAsia="仿宋" w:cs="仿宋"/>
          <w:b w:val="0"/>
          <w:bCs w:val="0"/>
          <w:color w:val="000000" w:themeColor="text1"/>
          <w:szCs w:val="32"/>
          <w14:textFill>
            <w14:solidFill>
              <w14:schemeClr w14:val="tx1"/>
            </w14:solidFill>
          </w14:textFill>
        </w:rPr>
        <w:t>投放周期：</w:t>
      </w:r>
      <w:r>
        <w:rPr>
          <w:rFonts w:hint="eastAsia" w:ascii="仿宋" w:hAnsi="仿宋" w:eastAsia="仿宋" w:cs="仿宋"/>
          <w:b w:val="0"/>
          <w:bCs w:val="0"/>
          <w:color w:val="000000" w:themeColor="text1"/>
          <w:szCs w:val="32"/>
          <w:lang w:val="en-US" w:eastAsia="zh-CN"/>
          <w14:textFill>
            <w14:solidFill>
              <w14:schemeClr w14:val="tx1"/>
            </w14:solidFill>
          </w14:textFill>
        </w:rPr>
        <w:t>6</w:t>
      </w:r>
      <w:r>
        <w:rPr>
          <w:rFonts w:hint="eastAsia" w:ascii="仿宋" w:hAnsi="仿宋" w:eastAsia="仿宋" w:cs="仿宋"/>
          <w:b w:val="0"/>
          <w:bCs w:val="0"/>
          <w:color w:val="000000" w:themeColor="text1"/>
          <w:szCs w:val="32"/>
          <w14:textFill>
            <w14:solidFill>
              <w14:schemeClr w14:val="tx1"/>
            </w14:solidFill>
          </w14:textFill>
        </w:rPr>
        <w:t>个月</w:t>
      </w:r>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三、采购数量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textAlignment w:val="auto"/>
        <w:rPr>
          <w:rFonts w:hint="eastAsia" w:ascii="仿宋_GB2312" w:eastAsia="仿宋_GB2312" w:hAnsiTheme="minorHAnsi" w:cstheme="minorBidi"/>
          <w:color w:val="auto"/>
          <w:sz w:val="24"/>
          <w:szCs w:val="24"/>
          <w:lang w:val="en-US" w:eastAsia="zh-CN" w:bidi="ar-SA"/>
        </w:rPr>
      </w:pPr>
      <w:r>
        <w:rPr>
          <w:rFonts w:hint="eastAsia" w:ascii="仿宋_GB2312" w:eastAsia="仿宋_GB2312" w:cstheme="minorBidi"/>
          <w:color w:val="auto"/>
          <w:sz w:val="24"/>
          <w:szCs w:val="24"/>
          <w:lang w:val="en-US" w:eastAsia="zh-CN" w:bidi="ar-SA"/>
        </w:rPr>
        <w:t>本次采购立柱宣传的制作及发布服务（泸县县域20个、隆纳高速泸州收费站1个），投放地点、投放规格、周期、材质按第二条约定执行。</w:t>
      </w:r>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四、付款方式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_GB2312" w:eastAsia="仿宋_GB2312" w:cstheme="minorBidi"/>
          <w:color w:val="auto"/>
          <w:sz w:val="24"/>
          <w:szCs w:val="24"/>
          <w:highlight w:val="none"/>
          <w:lang w:val="en-US" w:eastAsia="zh-CN" w:bidi="ar-SA"/>
        </w:rPr>
      </w:pPr>
      <w:r>
        <w:rPr>
          <w:rFonts w:hint="eastAsia" w:ascii="仿宋_GB2312" w:eastAsia="仿宋_GB2312" w:cstheme="minorBidi"/>
          <w:color w:val="auto"/>
          <w:sz w:val="24"/>
          <w:szCs w:val="24"/>
          <w:highlight w:val="none"/>
          <w:lang w:val="en-US" w:eastAsia="zh-CN" w:bidi="ar-SA"/>
        </w:rPr>
        <w:t>本合同服务费用一次性结算，供应商制作完成投放后，采购人根据项目约定的服务内容、数量及规格验收无误后，供应商向采购人提供合规有效的增值税专用发票，采购人在收到合格发票后，支付总费用的100%，对应金额______元。</w:t>
      </w:r>
    </w:p>
    <w:p>
      <w:pPr>
        <w:spacing w:line="360" w:lineRule="auto"/>
        <w:ind w:firstLine="482" w:firstLineChars="200"/>
        <w:rPr>
          <w:rFonts w:hint="eastAsia" w:ascii="仿宋" w:hAnsi="仿宋" w:eastAsia="仿宋" w:cs="仿宋"/>
          <w:b/>
          <w:bCs/>
          <w:i w:val="0"/>
          <w:i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i w:val="0"/>
          <w:iCs/>
          <w:color w:val="000000" w:themeColor="text1"/>
          <w:sz w:val="24"/>
          <w:szCs w:val="24"/>
          <w:highlight w:val="none"/>
          <w:lang w:val="en-US" w:eastAsia="zh-CN"/>
          <w14:textFill>
            <w14:solidFill>
              <w14:schemeClr w14:val="tx1"/>
            </w14:solidFill>
          </w14:textFill>
        </w:rPr>
        <w:t>五、采购要求</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color w:val="000000" w:themeColor="text1"/>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★供应商可选择其中一个或多个标包进行投标，每个标包成交人数量：1家（同一单位若投标两个标包，且综合排名均为第一，仅能按标包顺序中标一个标包）。</w:t>
      </w:r>
    </w:p>
    <w:p>
      <w:pPr>
        <w:rPr>
          <w:color w:val="auto"/>
        </w:rPr>
      </w:pPr>
      <w:r>
        <w:rPr>
          <w:color w:val="auto"/>
        </w:rPr>
        <w:br w:type="page"/>
      </w:r>
    </w:p>
    <w:p>
      <w:pPr>
        <w:pStyle w:val="3"/>
        <w:spacing w:before="0" w:after="0"/>
        <w:jc w:val="left"/>
        <w:rPr>
          <w:rFonts w:ascii="仿宋" w:hAnsi="仿宋" w:eastAsia="仿宋" w:cs="仿宋"/>
          <w:color w:val="auto"/>
          <w:sz w:val="28"/>
          <w:szCs w:val="28"/>
        </w:rPr>
      </w:pPr>
      <w:bookmarkStart w:id="126" w:name="_Toc20870"/>
      <w:bookmarkStart w:id="127" w:name="_Toc3675"/>
      <w:bookmarkStart w:id="128" w:name="_Toc9891"/>
      <w:r>
        <w:rPr>
          <w:rFonts w:hint="eastAsia" w:ascii="仿宋" w:hAnsi="仿宋" w:eastAsia="仿宋" w:cs="仿宋"/>
          <w:color w:val="auto"/>
          <w:sz w:val="28"/>
          <w:szCs w:val="28"/>
        </w:rPr>
        <w:t>第六章 响应文件格式</w:t>
      </w:r>
      <w:bookmarkEnd w:id="126"/>
      <w:bookmarkEnd w:id="127"/>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lang w:eastAsia="zh-CN"/>
              </w:rPr>
              <w:t>人保财险四川省泸州市分公司立柱宣传采购项目</w:t>
            </w:r>
          </w:p>
          <w:p>
            <w:pPr>
              <w:pStyle w:val="61"/>
              <w:ind w:right="-284" w:firstLine="2240"/>
              <w:rPr>
                <w:rFonts w:ascii="仿宋" w:hAnsi="仿宋" w:eastAsia="仿宋" w:cs="仿宋"/>
                <w:color w:val="auto"/>
                <w:sz w:val="28"/>
                <w:u w:val="single"/>
              </w:rPr>
            </w:pP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pStyle w:val="4"/>
        <w:jc w:val="both"/>
        <w:rPr>
          <w:rFonts w:ascii="仿宋" w:hAnsi="仿宋" w:eastAsia="仿宋" w:cs="仿宋"/>
          <w:color w:val="auto"/>
          <w:sz w:val="24"/>
          <w:szCs w:val="24"/>
        </w:rPr>
      </w:pPr>
      <w:bookmarkStart w:id="129" w:name="_Toc3936"/>
      <w:bookmarkStart w:id="130" w:name="_Toc19783362"/>
      <w:bookmarkStart w:id="131" w:name="_Toc287600131"/>
      <w:bookmarkStart w:id="132" w:name="_Toc517281836"/>
      <w:bookmarkStart w:id="133" w:name="_Toc19910"/>
      <w:bookmarkStart w:id="134" w:name="_Toc21280"/>
      <w:bookmarkStart w:id="135" w:name="_Toc444891353"/>
      <w:bookmarkStart w:id="136" w:name="_Toc11783"/>
      <w:bookmarkStart w:id="137" w:name="_Toc25957"/>
      <w:bookmarkStart w:id="138" w:name="_Toc19783360"/>
      <w:bookmarkStart w:id="139" w:name="_Toc287600129"/>
      <w:r>
        <w:rPr>
          <w:rFonts w:ascii="仿宋" w:hAnsi="仿宋" w:eastAsia="仿宋" w:cs="仿宋"/>
          <w:color w:val="auto"/>
          <w:sz w:val="24"/>
          <w:szCs w:val="24"/>
        </w:rPr>
        <w:br w:type="page"/>
      </w:r>
      <w:bookmarkStart w:id="140" w:name="_Toc17191"/>
      <w:bookmarkStart w:id="141" w:name="_Toc12976"/>
      <w:r>
        <w:rPr>
          <w:rFonts w:hint="eastAsia" w:ascii="仿宋" w:hAnsi="仿宋" w:eastAsia="仿宋" w:cs="仿宋"/>
          <w:color w:val="auto"/>
          <w:sz w:val="24"/>
          <w:szCs w:val="24"/>
        </w:rPr>
        <w:t>一、商务文件</w:t>
      </w:r>
      <w:bookmarkEnd w:id="129"/>
      <w:bookmarkEnd w:id="140"/>
      <w:bookmarkEnd w:id="141"/>
    </w:p>
    <w:p>
      <w:pPr>
        <w:jc w:val="center"/>
        <w:rPr>
          <w:color w:val="auto"/>
        </w:rPr>
      </w:pPr>
      <w:bookmarkStart w:id="142" w:name="_Toc26744"/>
      <w:r>
        <w:rPr>
          <w:rFonts w:hint="eastAsia" w:ascii="仿宋" w:hAnsi="仿宋" w:eastAsia="仿宋" w:cs="仿宋"/>
          <w:b/>
          <w:bCs/>
          <w:color w:val="auto"/>
        </w:rPr>
        <w:t>初步评审索引表</w:t>
      </w:r>
      <w:bookmarkEnd w:id="142"/>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573"/>
        <w:gridCol w:w="394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574"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3941"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941"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rPr>
              <w:t>法定代表人（负责人）</w:t>
            </w:r>
          </w:p>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身份证明</w:t>
            </w:r>
          </w:p>
        </w:tc>
        <w:tc>
          <w:tcPr>
            <w:tcW w:w="3941"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rPr>
              <w:t>法定代表人（负责人）</w:t>
            </w:r>
          </w:p>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授权委托书</w:t>
            </w:r>
          </w:p>
        </w:tc>
        <w:tc>
          <w:tcPr>
            <w:tcW w:w="3941"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3941" w:type="dxa"/>
            <w:vAlign w:val="center"/>
          </w:tcPr>
          <w:p>
            <w:pPr>
              <w:pStyle w:val="61"/>
              <w:spacing w:before="48" w:beforeLines="20" w:after="48" w:afterLines="20"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941" w:type="dxa"/>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8"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pStyle w:val="5"/>
        <w:spacing w:before="0" w:line="440" w:lineRule="exact"/>
        <w:rPr>
          <w:rFonts w:ascii="仿宋" w:hAnsi="仿宋" w:eastAsia="仿宋" w:cs="仿宋"/>
          <w:color w:val="auto"/>
          <w:sz w:val="24"/>
          <w:szCs w:val="24"/>
        </w:rPr>
      </w:pPr>
      <w:bookmarkStart w:id="143" w:name="_Toc3022"/>
      <w:bookmarkStart w:id="144" w:name="_Toc27958"/>
      <w:bookmarkStart w:id="145" w:name="_Toc7202"/>
      <w:bookmarkStart w:id="146" w:name="_Toc517281837"/>
      <w:bookmarkStart w:id="147" w:name="_Toc444891354"/>
      <w:bookmarkStart w:id="148" w:name="_Toc25121"/>
      <w:bookmarkStart w:id="149" w:name="_Toc12140"/>
      <w:bookmarkStart w:id="150" w:name="_Toc27799"/>
      <w:r>
        <w:rPr>
          <w:rFonts w:hint="eastAsia" w:ascii="仿宋" w:hAnsi="仿宋" w:eastAsia="仿宋" w:cs="仿宋"/>
          <w:color w:val="auto"/>
          <w:sz w:val="24"/>
          <w:szCs w:val="24"/>
        </w:rPr>
        <w:t>（一）响应函</w:t>
      </w:r>
      <w:bookmarkEnd w:id="143"/>
      <w:bookmarkEnd w:id="144"/>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eastAsia="zh-CN"/>
        </w:rPr>
        <w:t>中国人民财产保险股份有限公司泸州市分公司</w:t>
      </w:r>
      <w:r>
        <w:rPr>
          <w:rFonts w:hint="eastAsia" w:ascii="仿宋" w:hAnsi="仿宋" w:eastAsia="仿宋" w:cs="Cambria Math"/>
          <w:color w:val="auto"/>
          <w:sz w:val="24"/>
          <w:szCs w:val="24"/>
          <w:u w:val="single"/>
        </w:rPr>
        <w:t xml:space="preserve">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人保财险四川省泸州市分公司立柱宣传采购项目</w:t>
      </w:r>
      <w:r>
        <w:rPr>
          <w:rFonts w:hint="eastAsia" w:ascii="仿宋" w:hAnsi="仿宋" w:eastAsia="仿宋" w:cs="Cambria Math"/>
          <w:color w:val="auto"/>
          <w:u w:val="single"/>
        </w:rPr>
        <w:t xml:space="preserve">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38"/>
      <w:bookmarkEnd w:id="139"/>
      <w:bookmarkEnd w:id="145"/>
      <w:bookmarkEnd w:id="146"/>
      <w:bookmarkEnd w:id="147"/>
      <w:bookmarkEnd w:id="148"/>
      <w:bookmarkEnd w:id="149"/>
      <w:bookmarkEnd w:id="150"/>
      <w:bookmarkStart w:id="151" w:name="_Toc2641"/>
      <w:bookmarkStart w:id="152" w:name="_Toc13983"/>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5582"/>
      <w:bookmarkStart w:id="154" w:name="_Toc444891355"/>
      <w:bookmarkStart w:id="155" w:name="_Toc24788"/>
      <w:bookmarkStart w:id="156" w:name="_Toc19783361"/>
      <w:bookmarkStart w:id="157" w:name="_Toc12837"/>
      <w:bookmarkStart w:id="158" w:name="_Toc20707"/>
      <w:bookmarkStart w:id="159" w:name="_Toc26267"/>
      <w:bookmarkStart w:id="160" w:name="_Toc517281838"/>
      <w:bookmarkStart w:id="161" w:name="_Toc287600130"/>
      <w:bookmarkStart w:id="162" w:name="_Toc4426"/>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lang w:val="en-US" w:eastAsia="zh-CN"/>
        </w:rPr>
        <w:t xml:space="preserve"> </w:t>
      </w:r>
      <w:r>
        <w:rPr>
          <w:rFonts w:hint="eastAsia" w:ascii="仿宋" w:hAnsi="仿宋" w:eastAsia="仿宋" w:cs="Cambria Math"/>
          <w:color w:val="auto"/>
          <w:sz w:val="24"/>
          <w:szCs w:val="24"/>
          <w:u w:val="single"/>
          <w:lang w:eastAsia="zh-CN"/>
        </w:rPr>
        <w:t>人保财险四川省泸州市分公司立柱宣传采购项目</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auto"/>
          <w:sz w:val="24"/>
          <w:szCs w:val="24"/>
        </w:rPr>
      </w:pPr>
      <w:bookmarkStart w:id="163" w:name="_Toc30551"/>
      <w:bookmarkStart w:id="164" w:name="_Toc19905"/>
      <w:bookmarkStart w:id="165" w:name="_Toc517281841"/>
      <w:r>
        <w:rPr>
          <w:rFonts w:hint="eastAsia" w:ascii="仿宋" w:hAnsi="仿宋" w:eastAsia="仿宋" w:cs="仿宋"/>
          <w:color w:val="auto"/>
          <w:sz w:val="24"/>
          <w:szCs w:val="24"/>
        </w:rPr>
        <w:t>（四）资格证明文件</w:t>
      </w:r>
      <w:bookmarkEnd w:id="163"/>
      <w:bookmarkEnd w:id="164"/>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spacing w:line="360" w:lineRule="auto"/>
        <w:ind w:firstLine="480" w:firstLineChars="200"/>
        <w:textAlignment w:val="baseline"/>
        <w:rPr>
          <w:rFonts w:ascii="仿宋" w:hAnsi="仿宋" w:eastAsia="仿宋" w:cs="仿宋"/>
          <w:color w:val="auto"/>
        </w:rPr>
      </w:pPr>
      <w:r>
        <w:rPr>
          <w:rFonts w:hint="eastAsia" w:ascii="仿宋" w:hAnsi="仿宋" w:cs="仿宋"/>
          <w:color w:val="auto"/>
        </w:rPr>
        <w:br w:type="page"/>
      </w:r>
    </w:p>
    <w:p>
      <w:pPr>
        <w:pStyle w:val="6"/>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、同类项目实施经验</w:t>
      </w:r>
      <w:r>
        <w:rPr>
          <w:rFonts w:hint="eastAsia" w:ascii="仿宋" w:hAnsi="仿宋" w:eastAsia="仿宋" w:cs="仿宋"/>
          <w:b w:val="0"/>
          <w:bCs w:val="0"/>
          <w:color w:val="auto"/>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合同</w:t>
            </w:r>
          </w:p>
          <w:p>
            <w:pPr>
              <w:jc w:val="center"/>
              <w:rPr>
                <w:rFonts w:ascii="仿宋" w:hAnsi="仿宋" w:eastAsia="仿宋" w:cs="仿宋"/>
                <w:b/>
                <w:color w:val="auto"/>
                <w:szCs w:val="21"/>
              </w:rPr>
            </w:pPr>
            <w:r>
              <w:rPr>
                <w:rFonts w:hint="eastAsia" w:ascii="仿宋" w:hAnsi="仿宋" w:eastAsia="仿宋" w:cs="仿宋"/>
                <w:b/>
                <w:color w:val="auto"/>
                <w:szCs w:val="21"/>
              </w:rPr>
              <w:t>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color w:val="auto"/>
        </w:rPr>
        <w:br w:type="page"/>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hint="eastAsia" w:ascii="仿宋" w:hAnsi="仿宋" w:eastAsia="仿宋" w:cs="仿宋"/>
          <w:b/>
          <w:bCs/>
          <w:color w:val="auto"/>
          <w:sz w:val="24"/>
          <w:szCs w:val="24"/>
          <w:lang w:val="en-US" w:eastAsia="zh-CN" w:bidi="ar-SA"/>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hint="eastAsia" w:ascii="仿宋" w:hAnsi="仿宋" w:eastAsia="仿宋" w:cs="仿宋"/>
          <w:color w:val="auto"/>
          <w:lang w:val="en-US" w:eastAsia="zh-CN"/>
        </w:rPr>
        <w:t>4</w:t>
      </w:r>
      <w:r>
        <w:rPr>
          <w:rFonts w:hint="eastAsia" w:ascii="仿宋" w:hAnsi="仿宋" w:eastAsia="仿宋" w:cs="仿宋"/>
          <w:b/>
          <w:bCs/>
          <w:color w:val="auto"/>
          <w:sz w:val="24"/>
          <w:szCs w:val="24"/>
          <w:lang w:val="en-US" w:eastAsia="zh-CN" w:bidi="ar-SA"/>
        </w:rPr>
        <w:t>、未列入供应商黑名单且未在禁入期承诺函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166" w:name="_Hlk69983040"/>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中国人民财产保险股份有限公司泸州市分公司 </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u w:val="single"/>
          <w:lang w:eastAsia="zh-CN"/>
        </w:rPr>
        <w:t>人保财险四川省泸州市分公司立柱宣传采购项目</w:t>
      </w:r>
      <w:r>
        <w:rPr>
          <w:rFonts w:hint="eastAsia" w:ascii="仿宋" w:hAnsi="仿宋" w:eastAsia="仿宋" w:cs="宋体"/>
          <w:color w:val="auto"/>
        </w:rPr>
        <w:t>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hint="eastAsia"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p>
    <w:p>
      <w:pPr>
        <w:pStyle w:val="6"/>
        <w:spacing w:before="0" w:after="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6、非联合体比选响应声明</w:t>
      </w:r>
    </w:p>
    <w:bookmarkEnd w:id="165"/>
    <w:bookmarkEnd w:id="166"/>
    <w:p>
      <w:pPr>
        <w:pStyle w:val="2"/>
        <w:spacing w:before="240"/>
        <w:rPr>
          <w:rFonts w:ascii="仿宋" w:hAnsi="仿宋" w:eastAsia="仿宋" w:cs="Cambria Math"/>
          <w:b/>
          <w:bCs/>
          <w:color w:val="auto"/>
        </w:rPr>
      </w:pPr>
      <w:bookmarkStart w:id="167"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人保财险四川省泸州市分公司立柱宣传采购项目</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168" w:name="_Toc112068411"/>
      <w:bookmarkStart w:id="169" w:name="_Toc18208"/>
      <w:bookmarkStart w:id="170" w:name="_Toc65683009"/>
      <w:bookmarkStart w:id="171" w:name="_Toc2583"/>
      <w:bookmarkStart w:id="172" w:name="_Toc144139212"/>
      <w:bookmarkStart w:id="173" w:name="_Toc15130"/>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5"/>
        <w:spacing w:before="0" w:after="0" w:line="360" w:lineRule="auto"/>
        <w:rPr>
          <w:rFonts w:ascii="仿宋" w:hAnsi="仿宋" w:eastAsia="仿宋" w:cs="仿宋"/>
          <w:color w:val="auto"/>
          <w:sz w:val="24"/>
          <w:szCs w:val="24"/>
        </w:rPr>
      </w:pPr>
      <w:bookmarkStart w:id="174" w:name="_Toc3655"/>
      <w:r>
        <w:rPr>
          <w:rFonts w:hint="eastAsia" w:ascii="仿宋" w:hAnsi="仿宋" w:eastAsia="仿宋" w:cs="仿宋"/>
          <w:color w:val="auto"/>
          <w:sz w:val="24"/>
          <w:szCs w:val="24"/>
        </w:rPr>
        <w:t>（六）合同条款应答偏</w:t>
      </w:r>
      <w:r>
        <w:rPr>
          <w:rFonts w:ascii="仿宋" w:hAnsi="仿宋" w:eastAsia="仿宋" w:cs="仿宋"/>
          <w:color w:val="auto"/>
          <w:sz w:val="24"/>
          <w:szCs w:val="24"/>
        </w:rPr>
        <w:t>离表</w:t>
      </w:r>
      <w:bookmarkEnd w:id="174"/>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rPr>
        <w:br w:type="page"/>
      </w:r>
    </w:p>
    <w:p>
      <w:pPr>
        <w:pStyle w:val="5"/>
        <w:spacing w:before="0" w:after="0" w:line="360" w:lineRule="auto"/>
        <w:rPr>
          <w:rFonts w:ascii="仿宋" w:hAnsi="仿宋" w:eastAsia="仿宋" w:cs="仿宋"/>
          <w:color w:val="auto"/>
          <w:sz w:val="24"/>
          <w:szCs w:val="24"/>
        </w:rPr>
      </w:pPr>
      <w:bookmarkStart w:id="175" w:name="_Toc17890"/>
      <w:bookmarkStart w:id="176" w:name="_Toc25102"/>
      <w:r>
        <w:rPr>
          <w:rFonts w:hint="eastAsia" w:ascii="仿宋" w:hAnsi="仿宋" w:eastAsia="仿宋" w:cs="仿宋"/>
          <w:color w:val="auto"/>
          <w:sz w:val="24"/>
          <w:szCs w:val="24"/>
        </w:rPr>
        <w:t>（七）供应商行为准则承诺书</w:t>
      </w:r>
      <w:bookmarkEnd w:id="175"/>
      <w:bookmarkEnd w:id="176"/>
    </w:p>
    <w:p>
      <w:pPr>
        <w:jc w:val="center"/>
        <w:rPr>
          <w:rFonts w:ascii="仿宋" w:hAnsi="仿宋" w:eastAsia="仿宋" w:cs="宋体"/>
          <w:b/>
          <w:bCs/>
          <w:color w:val="auto"/>
          <w:sz w:val="28"/>
          <w:szCs w:val="28"/>
        </w:rPr>
      </w:pPr>
      <w:bookmarkStart w:id="177"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78" w:name="_Toc25054"/>
      <w:bookmarkStart w:id="179" w:name="_Toc8068"/>
      <w:r>
        <w:rPr>
          <w:rFonts w:hint="eastAsia" w:ascii="仿宋" w:hAnsi="仿宋" w:eastAsia="仿宋" w:cs="宋体"/>
          <w:bCs w:val="0"/>
          <w:color w:val="auto"/>
          <w:sz w:val="24"/>
          <w:szCs w:val="24"/>
        </w:rPr>
        <w:t>（八）供应商廉洁诚信承诺书</w:t>
      </w:r>
      <w:bookmarkEnd w:id="177"/>
      <w:bookmarkEnd w:id="178"/>
      <w:bookmarkEnd w:id="179"/>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5"/>
        <w:spacing w:before="0" w:after="0" w:line="360" w:lineRule="auto"/>
        <w:rPr>
          <w:rFonts w:ascii="仿宋" w:hAnsi="仿宋" w:eastAsia="仿宋" w:cs="宋体"/>
          <w:bCs w:val="0"/>
          <w:color w:val="auto"/>
          <w:sz w:val="21"/>
          <w:szCs w:val="24"/>
        </w:rPr>
      </w:pPr>
      <w:bookmarkStart w:id="180" w:name="_Toc23667"/>
      <w:r>
        <w:rPr>
          <w:rFonts w:hint="eastAsia" w:ascii="仿宋" w:hAnsi="仿宋" w:eastAsia="仿宋" w:cs="宋体"/>
          <w:bCs w:val="0"/>
          <w:color w:val="auto"/>
          <w:sz w:val="24"/>
          <w:szCs w:val="24"/>
        </w:rPr>
        <w:t>（九）</w:t>
      </w:r>
      <w:r>
        <w:rPr>
          <w:rFonts w:hint="eastAsia" w:ascii="仿宋" w:hAnsi="仿宋" w:eastAsia="仿宋" w:cs="宋体"/>
          <w:color w:val="auto"/>
          <w:sz w:val="24"/>
        </w:rPr>
        <w:t>其他材料</w:t>
      </w:r>
      <w:bookmarkEnd w:id="180"/>
    </w:p>
    <w:p>
      <w:pPr>
        <w:spacing w:line="360" w:lineRule="auto"/>
        <w:rPr>
          <w:rFonts w:ascii="宋体" w:hAnsi="宋体"/>
          <w:color w:val="auto"/>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7"/>
    <w:p>
      <w:pPr>
        <w:pStyle w:val="4"/>
        <w:jc w:val="both"/>
        <w:rPr>
          <w:rFonts w:ascii="仿宋" w:hAnsi="仿宋" w:eastAsia="仿宋" w:cs="仿宋"/>
          <w:color w:val="auto"/>
          <w:sz w:val="24"/>
          <w:szCs w:val="24"/>
        </w:rPr>
      </w:pPr>
      <w:bookmarkStart w:id="181" w:name="_Toc28698"/>
      <w:bookmarkStart w:id="182" w:name="_Toc31832"/>
      <w:r>
        <w:rPr>
          <w:rFonts w:hint="eastAsia" w:ascii="仿宋" w:hAnsi="仿宋" w:eastAsia="仿宋" w:cs="仿宋"/>
          <w:color w:val="auto"/>
          <w:sz w:val="24"/>
          <w:szCs w:val="24"/>
        </w:rPr>
        <w:t>二、技术文件</w:t>
      </w:r>
      <w:bookmarkEnd w:id="181"/>
      <w:bookmarkEnd w:id="182"/>
    </w:p>
    <w:p>
      <w:pPr>
        <w:pStyle w:val="5"/>
        <w:spacing w:before="0" w:after="0" w:line="360" w:lineRule="auto"/>
        <w:rPr>
          <w:rFonts w:ascii="仿宋" w:hAnsi="仿宋" w:eastAsia="仿宋" w:cs="仿宋"/>
          <w:color w:val="auto"/>
          <w:sz w:val="24"/>
          <w:szCs w:val="24"/>
        </w:rPr>
      </w:pPr>
      <w:bookmarkStart w:id="183" w:name="_Toc13482"/>
      <w:bookmarkStart w:id="184" w:name="_Toc23108"/>
      <w:bookmarkStart w:id="185" w:name="_Toc17302"/>
      <w:r>
        <w:rPr>
          <w:rFonts w:hint="eastAsia" w:ascii="仿宋" w:hAnsi="仿宋" w:eastAsia="仿宋" w:cs="仿宋"/>
          <w:color w:val="auto"/>
          <w:sz w:val="24"/>
          <w:szCs w:val="24"/>
        </w:rPr>
        <w:t>（一）采购需求应答偏离表</w:t>
      </w:r>
      <w:bookmarkEnd w:id="183"/>
      <w:bookmarkEnd w:id="184"/>
      <w:bookmarkEnd w:id="185"/>
    </w:p>
    <w:p>
      <w:pPr>
        <w:spacing w:line="360" w:lineRule="auto"/>
        <w:jc w:val="center"/>
        <w:rPr>
          <w:rFonts w:ascii="仿宋" w:hAnsi="仿宋" w:eastAsia="仿宋" w:cs="仿宋"/>
          <w:b/>
          <w:bCs/>
          <w:color w:val="auto"/>
        </w:rPr>
      </w:pPr>
      <w:bookmarkStart w:id="186" w:name="_Toc125561188"/>
      <w:bookmarkStart w:id="187" w:name="_Toc125771198"/>
      <w:bookmarkStart w:id="188" w:name="_Toc293297544"/>
      <w:r>
        <w:rPr>
          <w:rFonts w:hint="eastAsia" w:ascii="仿宋" w:hAnsi="仿宋" w:eastAsia="仿宋" w:cs="仿宋"/>
          <w:b/>
          <w:bCs/>
          <w:color w:val="auto"/>
        </w:rPr>
        <w:t>采购需求应答偏离表</w:t>
      </w:r>
      <w:bookmarkEnd w:id="186"/>
      <w:bookmarkEnd w:id="187"/>
      <w:bookmarkEnd w:id="188"/>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89" w:name="_Toc12001"/>
      <w:bookmarkStart w:id="190" w:name="_Toc8284"/>
      <w:r>
        <w:rPr>
          <w:rFonts w:hint="eastAsia" w:ascii="仿宋" w:hAnsi="仿宋" w:eastAsia="仿宋" w:cs="仿宋"/>
          <w:color w:val="auto"/>
          <w:sz w:val="24"/>
          <w:szCs w:val="24"/>
        </w:rPr>
        <w:t>（二）技术方案</w:t>
      </w:r>
      <w:bookmarkEnd w:id="189"/>
      <w:bookmarkEnd w:id="190"/>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1" w:name="_Toc444891358"/>
      <w:bookmarkStart w:id="192" w:name="_Toc517281860"/>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bookmarkStart w:id="193" w:name="_Toc21797"/>
      <w:bookmarkStart w:id="194" w:name="_Toc20365"/>
      <w:r>
        <w:rPr>
          <w:rFonts w:hint="eastAsia" w:ascii="仿宋" w:hAnsi="仿宋" w:eastAsia="仿宋" w:cs="仿宋"/>
          <w:color w:val="auto"/>
          <w:sz w:val="24"/>
          <w:szCs w:val="24"/>
        </w:rPr>
        <w:t>（三）</w:t>
      </w:r>
      <w:bookmarkEnd w:id="191"/>
      <w:bookmarkEnd w:id="192"/>
      <w:r>
        <w:rPr>
          <w:rFonts w:hint="eastAsia" w:ascii="仿宋" w:hAnsi="仿宋" w:eastAsia="仿宋" w:cs="仿宋"/>
          <w:color w:val="auto"/>
          <w:sz w:val="24"/>
          <w:szCs w:val="24"/>
        </w:rPr>
        <w:t>其他材料</w:t>
      </w:r>
      <w:bookmarkEnd w:id="193"/>
      <w:bookmarkEnd w:id="194"/>
    </w:p>
    <w:p>
      <w:pPr>
        <w:rPr>
          <w:rFonts w:hint="eastAsia"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bookmarkStart w:id="195" w:name="_Toc20443"/>
      <w:r>
        <w:rPr>
          <w:rFonts w:hint="eastAsia" w:ascii="仿宋" w:hAnsi="仿宋" w:eastAsia="仿宋" w:cs="仿宋"/>
          <w:color w:val="auto"/>
        </w:rPr>
        <w:br w:type="page"/>
      </w:r>
    </w:p>
    <w:p>
      <w:pPr>
        <w:pStyle w:val="4"/>
        <w:jc w:val="both"/>
        <w:rPr>
          <w:rFonts w:ascii="仿宋" w:hAnsi="仿宋" w:eastAsia="仿宋" w:cs="仿宋"/>
          <w:color w:val="auto"/>
          <w:sz w:val="24"/>
          <w:szCs w:val="24"/>
        </w:rPr>
      </w:pPr>
      <w:bookmarkStart w:id="196" w:name="_Toc26703"/>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报价</w:t>
      </w:r>
      <w:r>
        <w:rPr>
          <w:rFonts w:hint="eastAsia" w:ascii="仿宋" w:hAnsi="仿宋" w:eastAsia="仿宋" w:cs="仿宋"/>
          <w:color w:val="auto"/>
          <w:sz w:val="24"/>
          <w:szCs w:val="24"/>
        </w:rPr>
        <w:t>文件</w:t>
      </w:r>
      <w:bookmarkEnd w:id="196"/>
    </w:p>
    <w:bookmarkEnd w:id="195"/>
    <w:p>
      <w:pPr>
        <w:pStyle w:val="11"/>
        <w:spacing w:line="360" w:lineRule="auto"/>
        <w:ind w:hanging="142"/>
        <w:jc w:val="center"/>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分包报价表</w:t>
      </w:r>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人保财险四川省泸州市分公司立柱宣传采购项目</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1"/>
        <w:spacing w:line="360" w:lineRule="auto"/>
        <w:ind w:hanging="142"/>
        <w:rPr>
          <w:rFonts w:ascii="仿宋" w:hAnsi="仿宋" w:eastAsia="仿宋" w:cs="仿宋"/>
          <w:color w:val="auto"/>
          <w:szCs w:val="21"/>
          <w:lang w:bidi="ar"/>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tbl>
      <w:tblPr>
        <w:tblStyle w:val="29"/>
        <w:tblpPr w:leftFromText="180" w:rightFromText="180" w:vertAnchor="text" w:horzAnchor="page" w:tblpXSpec="center" w:tblpY="782"/>
        <w:tblOverlap w:val="never"/>
        <w:tblW w:w="8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7"/>
        <w:gridCol w:w="4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szCs w:val="21"/>
                <w:lang w:eastAsia="zh-CN"/>
              </w:rPr>
              <w:t>名称</w:t>
            </w:r>
          </w:p>
        </w:tc>
        <w:tc>
          <w:tcPr>
            <w:tcW w:w="4928"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val="0"/>
                <w:color w:val="auto"/>
                <w:szCs w:val="21"/>
                <w:lang w:val="en-US" w:eastAsia="zh-CN"/>
              </w:rPr>
              <w:t>泸县县域立柱宣传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Cs/>
                <w:color w:val="000000"/>
                <w:szCs w:val="21"/>
                <w:lang w:eastAsia="zh-CN"/>
              </w:rPr>
            </w:pPr>
            <w:r>
              <w:rPr>
                <w:rFonts w:hint="eastAsia" w:ascii="仿宋" w:hAnsi="仿宋" w:eastAsia="仿宋" w:cs="宋体"/>
                <w:b/>
                <w:bCs/>
                <w:color w:val="000000"/>
                <w:szCs w:val="21"/>
                <w:lang w:val="en-US" w:eastAsia="zh-CN"/>
              </w:rPr>
              <w:t>数量（个）</w:t>
            </w:r>
          </w:p>
        </w:tc>
        <w:tc>
          <w:tcPr>
            <w:tcW w:w="4928" w:type="dxa"/>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eastAsia="zh-CN"/>
              </w:rPr>
              <w:t>宣传期</w:t>
            </w:r>
          </w:p>
        </w:tc>
        <w:tc>
          <w:tcPr>
            <w:tcW w:w="4928" w:type="dxa"/>
            <w:vAlign w:val="center"/>
          </w:tcPr>
          <w:p>
            <w:pPr>
              <w:jc w:val="center"/>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3个月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themeColor="text1"/>
                <w:szCs w:val="21"/>
                <w:highlight w:val="none"/>
                <w:lang w:val="en-US" w:eastAsia="zh-CN"/>
                <w14:textFill>
                  <w14:solidFill>
                    <w14:schemeClr w14:val="tx1"/>
                  </w14:solidFill>
                </w14:textFill>
              </w:rPr>
              <w:t>含税价</w:t>
            </w:r>
            <w:r>
              <w:rPr>
                <w:rFonts w:hint="default" w:ascii="仿宋" w:hAnsi="仿宋" w:eastAsia="仿宋" w:cs="宋体"/>
                <w:b/>
                <w:bCs/>
                <w:color w:val="000000" w:themeColor="text1"/>
                <w:szCs w:val="21"/>
                <w:highlight w:val="none"/>
                <w:lang w:val="en-US" w:eastAsia="zh-CN"/>
                <w14:textFill>
                  <w14:solidFill>
                    <w14:schemeClr w14:val="tx1"/>
                  </w14:solidFill>
                </w14:textFill>
              </w:rPr>
              <w:t>（元/月</w:t>
            </w:r>
            <w:r>
              <w:rPr>
                <w:rFonts w:hint="eastAsia" w:ascii="仿宋" w:hAnsi="仿宋" w:eastAsia="仿宋" w:cs="宋体"/>
                <w:b/>
                <w:bCs/>
                <w:color w:val="000000" w:themeColor="text1"/>
                <w:szCs w:val="21"/>
                <w:highlight w:val="none"/>
                <w:lang w:val="en-US" w:eastAsia="zh-CN"/>
                <w14:textFill>
                  <w14:solidFill>
                    <w14:schemeClr w14:val="tx1"/>
                  </w14:solidFill>
                </w14:textFill>
              </w:rPr>
              <w:t>/个</w:t>
            </w:r>
            <w:r>
              <w:rPr>
                <w:rFonts w:hint="default" w:ascii="仿宋" w:hAnsi="仿宋" w:eastAsia="仿宋" w:cs="宋体"/>
                <w:b/>
                <w:bCs/>
                <w:color w:val="000000" w:themeColor="text1"/>
                <w:szCs w:val="21"/>
                <w:highlight w:val="none"/>
                <w:lang w:val="en-US" w:eastAsia="zh-CN"/>
                <w14:textFill>
                  <w14:solidFill>
                    <w14:schemeClr w14:val="tx1"/>
                  </w14:solidFill>
                </w14:textFill>
              </w:rPr>
              <w:t>）</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税率（%）</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lang w:val="en-US" w:eastAsia="zh-CN"/>
              </w:rPr>
              <w:t>不</w:t>
            </w:r>
            <w:r>
              <w:rPr>
                <w:rFonts w:hint="eastAsia" w:ascii="仿宋" w:hAnsi="仿宋" w:eastAsia="仿宋" w:cs="宋体"/>
                <w:b/>
                <w:bCs/>
                <w:color w:val="000000"/>
                <w:szCs w:val="21"/>
              </w:rPr>
              <w:t>含税价（元/月/个）</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备注</w:t>
            </w:r>
          </w:p>
        </w:tc>
        <w:tc>
          <w:tcPr>
            <w:tcW w:w="4928" w:type="dxa"/>
            <w:vAlign w:val="center"/>
          </w:tcPr>
          <w:p>
            <w:pPr>
              <w:jc w:val="center"/>
              <w:rPr>
                <w:rFonts w:hint="eastAsia" w:ascii="仿宋" w:hAnsi="仿宋" w:eastAsia="仿宋" w:cs="宋体"/>
                <w:color w:val="000000"/>
                <w:szCs w:val="21"/>
                <w:lang w:val="en-US" w:eastAsia="zh-CN"/>
              </w:rPr>
            </w:pPr>
            <w:r>
              <w:rPr>
                <w:rFonts w:hint="default" w:ascii="仿宋_GB2312" w:hAnsi="等线" w:eastAsia="仿宋_GB2312" w:cs="仿宋_GB2312"/>
                <w:i w:val="0"/>
                <w:iCs w:val="0"/>
                <w:color w:val="000000"/>
                <w:kern w:val="0"/>
                <w:sz w:val="24"/>
                <w:szCs w:val="24"/>
                <w:u w:val="none"/>
                <w:lang w:val="en-US" w:eastAsia="zh-CN" w:bidi="ar"/>
              </w:rPr>
              <w:t>含制作、安装、投放及后期维护</w:t>
            </w:r>
          </w:p>
        </w:tc>
      </w:tr>
    </w:tbl>
    <w:p>
      <w:pPr>
        <w:pStyle w:val="2"/>
        <w:rPr>
          <w:rFonts w:hint="default"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（一）标包1</w:t>
      </w:r>
    </w:p>
    <w:p>
      <w:pPr>
        <w:spacing w:line="360" w:lineRule="auto"/>
        <w:rPr>
          <w:rFonts w:hint="default" w:ascii="仿宋" w:hAnsi="仿宋" w:eastAsia="仿宋" w:cs="仿宋"/>
          <w:b/>
          <w:bCs w:val="0"/>
          <w:color w:val="auto"/>
          <w:lang w:val="en-US" w:eastAsia="zh-CN"/>
        </w:rPr>
      </w:pPr>
    </w:p>
    <w:tbl>
      <w:tblPr>
        <w:tblStyle w:val="29"/>
        <w:tblpPr w:leftFromText="180" w:rightFromText="180" w:vertAnchor="text" w:horzAnchor="page" w:tblpXSpec="center" w:tblpY="782"/>
        <w:tblOverlap w:val="never"/>
        <w:tblW w:w="8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7"/>
        <w:gridCol w:w="4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szCs w:val="21"/>
                <w:lang w:eastAsia="zh-CN"/>
              </w:rPr>
              <w:t>名称</w:t>
            </w:r>
          </w:p>
        </w:tc>
        <w:tc>
          <w:tcPr>
            <w:tcW w:w="4928"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val="0"/>
                <w:color w:val="auto"/>
                <w:szCs w:val="21"/>
                <w:lang w:val="en-US" w:eastAsia="zh-CN"/>
              </w:rPr>
              <w:t>隆纳高速泸州收费站立柱宣传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Cs/>
                <w:color w:val="000000"/>
                <w:szCs w:val="21"/>
                <w:lang w:eastAsia="zh-CN"/>
              </w:rPr>
            </w:pPr>
            <w:r>
              <w:rPr>
                <w:rFonts w:hint="eastAsia" w:ascii="仿宋" w:hAnsi="仿宋" w:eastAsia="仿宋" w:cs="宋体"/>
                <w:b/>
                <w:bCs/>
                <w:color w:val="000000"/>
                <w:szCs w:val="21"/>
                <w:lang w:val="en-US" w:eastAsia="zh-CN"/>
              </w:rPr>
              <w:t>数量（个）</w:t>
            </w:r>
          </w:p>
        </w:tc>
        <w:tc>
          <w:tcPr>
            <w:tcW w:w="4928" w:type="dxa"/>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eastAsia="zh-CN"/>
              </w:rPr>
              <w:t>宣传期</w:t>
            </w:r>
          </w:p>
        </w:tc>
        <w:tc>
          <w:tcPr>
            <w:tcW w:w="4928" w:type="dxa"/>
            <w:vAlign w:val="center"/>
          </w:tcPr>
          <w:p>
            <w:pPr>
              <w:jc w:val="center"/>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themeColor="text1"/>
                <w:szCs w:val="21"/>
                <w:highlight w:val="none"/>
                <w:lang w:val="en-US" w:eastAsia="zh-CN"/>
                <w14:textFill>
                  <w14:solidFill>
                    <w14:schemeClr w14:val="tx1"/>
                  </w14:solidFill>
                </w14:textFill>
              </w:rPr>
              <w:t>含税价</w:t>
            </w:r>
            <w:r>
              <w:rPr>
                <w:rFonts w:hint="default" w:ascii="仿宋" w:hAnsi="仿宋" w:eastAsia="仿宋" w:cs="宋体"/>
                <w:b/>
                <w:bCs/>
                <w:color w:val="000000" w:themeColor="text1"/>
                <w:szCs w:val="21"/>
                <w:highlight w:val="none"/>
                <w:lang w:val="en-US" w:eastAsia="zh-CN"/>
                <w14:textFill>
                  <w14:solidFill>
                    <w14:schemeClr w14:val="tx1"/>
                  </w14:solidFill>
                </w14:textFill>
              </w:rPr>
              <w:t>（元/月</w:t>
            </w:r>
            <w:r>
              <w:rPr>
                <w:rFonts w:hint="eastAsia" w:ascii="仿宋" w:hAnsi="仿宋" w:eastAsia="仿宋" w:cs="宋体"/>
                <w:b/>
                <w:bCs/>
                <w:color w:val="000000" w:themeColor="text1"/>
                <w:szCs w:val="21"/>
                <w:highlight w:val="none"/>
                <w:lang w:val="en-US" w:eastAsia="zh-CN"/>
                <w14:textFill>
                  <w14:solidFill>
                    <w14:schemeClr w14:val="tx1"/>
                  </w14:solidFill>
                </w14:textFill>
              </w:rPr>
              <w:t>/个</w:t>
            </w:r>
            <w:r>
              <w:rPr>
                <w:rFonts w:hint="default" w:ascii="仿宋" w:hAnsi="仿宋" w:eastAsia="仿宋" w:cs="宋体"/>
                <w:b/>
                <w:bCs/>
                <w:color w:val="000000" w:themeColor="text1"/>
                <w:szCs w:val="21"/>
                <w:highlight w:val="none"/>
                <w:lang w:val="en-US" w:eastAsia="zh-CN"/>
                <w14:textFill>
                  <w14:solidFill>
                    <w14:schemeClr w14:val="tx1"/>
                  </w14:solidFill>
                </w14:textFill>
              </w:rPr>
              <w:t>）</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税率（%）</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lang w:val="en-US" w:eastAsia="zh-CN"/>
              </w:rPr>
              <w:t>不</w:t>
            </w:r>
            <w:r>
              <w:rPr>
                <w:rFonts w:hint="eastAsia" w:ascii="仿宋" w:hAnsi="仿宋" w:eastAsia="仿宋" w:cs="宋体"/>
                <w:b/>
                <w:bCs/>
                <w:color w:val="000000"/>
                <w:szCs w:val="21"/>
              </w:rPr>
              <w:t>含税价（元/月/个）</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备注</w:t>
            </w:r>
          </w:p>
        </w:tc>
        <w:tc>
          <w:tcPr>
            <w:tcW w:w="4928" w:type="dxa"/>
            <w:vAlign w:val="center"/>
          </w:tcPr>
          <w:p>
            <w:pPr>
              <w:jc w:val="center"/>
              <w:rPr>
                <w:rFonts w:hint="eastAsia" w:ascii="仿宋" w:hAnsi="仿宋" w:eastAsia="仿宋" w:cs="宋体"/>
                <w:color w:val="000000"/>
                <w:szCs w:val="21"/>
                <w:lang w:val="en-US" w:eastAsia="zh-CN"/>
              </w:rPr>
            </w:pPr>
            <w:r>
              <w:rPr>
                <w:rFonts w:hint="default" w:ascii="仿宋_GB2312" w:hAnsi="等线" w:eastAsia="仿宋_GB2312" w:cs="仿宋_GB2312"/>
                <w:i w:val="0"/>
                <w:iCs w:val="0"/>
                <w:color w:val="000000"/>
                <w:kern w:val="0"/>
                <w:sz w:val="24"/>
                <w:szCs w:val="24"/>
                <w:u w:val="none"/>
                <w:lang w:val="en-US" w:eastAsia="zh-CN" w:bidi="ar"/>
              </w:rPr>
              <w:t>含制作、安装、投放及后期维护</w:t>
            </w:r>
          </w:p>
        </w:tc>
      </w:tr>
    </w:tbl>
    <w:p>
      <w:pPr>
        <w:spacing w:line="360" w:lineRule="auto"/>
        <w:rPr>
          <w:rFonts w:hint="default" w:ascii="仿宋" w:hAnsi="仿宋" w:eastAsia="仿宋" w:cs="仿宋"/>
          <w:b/>
          <w:bCs w:val="0"/>
          <w:color w:val="auto"/>
          <w:lang w:val="en-US" w:eastAsia="zh-CN"/>
        </w:rPr>
      </w:pPr>
      <w:r>
        <w:rPr>
          <w:rFonts w:hint="eastAsia" w:ascii="仿宋" w:hAnsi="仿宋" w:eastAsia="仿宋" w:cs="仿宋"/>
          <w:b/>
          <w:bCs w:val="0"/>
          <w:color w:val="auto"/>
          <w:lang w:eastAsia="zh-CN"/>
        </w:rPr>
        <w:t>（</w:t>
      </w:r>
      <w:r>
        <w:rPr>
          <w:rFonts w:hint="eastAsia" w:ascii="仿宋" w:hAnsi="仿宋" w:eastAsia="仿宋" w:cs="仿宋"/>
          <w:b/>
          <w:bCs w:val="0"/>
          <w:color w:val="auto"/>
          <w:lang w:val="en-US" w:eastAsia="zh-CN"/>
        </w:rPr>
        <w:t>二</w:t>
      </w:r>
      <w:r>
        <w:rPr>
          <w:rFonts w:hint="eastAsia" w:ascii="仿宋" w:hAnsi="仿宋" w:eastAsia="仿宋" w:cs="仿宋"/>
          <w:b/>
          <w:bCs w:val="0"/>
          <w:color w:val="auto"/>
          <w:lang w:eastAsia="zh-CN"/>
        </w:rPr>
        <w:t>）</w:t>
      </w:r>
      <w:r>
        <w:rPr>
          <w:rFonts w:hint="eastAsia" w:ascii="仿宋" w:hAnsi="仿宋" w:eastAsia="仿宋" w:cs="仿宋"/>
          <w:b/>
          <w:bCs w:val="0"/>
          <w:color w:val="auto"/>
          <w:lang w:val="en-US" w:eastAsia="zh-CN"/>
        </w:rPr>
        <w:t>标包2</w:t>
      </w:r>
    </w:p>
    <w:p>
      <w:pPr>
        <w:spacing w:line="360" w:lineRule="auto"/>
        <w:rPr>
          <w:rFonts w:hint="eastAsia" w:ascii="仿宋" w:hAnsi="仿宋" w:eastAsia="仿宋" w:cs="仿宋"/>
          <w:bCs/>
          <w:color w:val="auto"/>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pPr>
        <w:spacing w:line="360" w:lineRule="auto"/>
        <w:rPr>
          <w:rFonts w:ascii="仿宋" w:hAnsi="仿宋" w:eastAsia="仿宋" w:cs="仿宋"/>
          <w:color w:val="auto"/>
        </w:rPr>
      </w:pPr>
    </w:p>
    <w:p>
      <w:pPr>
        <w:widowControl w:val="0"/>
        <w:numPr>
          <w:ilvl w:val="0"/>
          <w:numId w:val="1"/>
        </w:numPr>
        <w:spacing w:line="440" w:lineRule="exact"/>
        <w:jc w:val="right"/>
        <w:rPr>
          <w:rFonts w:ascii="仿宋" w:hAnsi="仿宋" w:eastAsia="仿宋" w:cs="宋体"/>
          <w:color w:val="auto"/>
        </w:rPr>
      </w:pPr>
      <w:bookmarkStart w:id="197" w:name="_Toc16591840"/>
      <w:bookmarkStart w:id="198" w:name="_Toc2267055"/>
      <w:bookmarkStart w:id="199" w:name="_Toc517281864"/>
      <w:bookmarkStart w:id="200" w:name="_Toc518302646"/>
      <w:bookmarkStart w:id="201" w:name="_Toc482180015"/>
      <w:bookmarkStart w:id="202" w:name="_Toc530319762"/>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28"/>
    <w:bookmarkEnd w:id="197"/>
    <w:bookmarkEnd w:id="198"/>
    <w:bookmarkEnd w:id="199"/>
    <w:bookmarkEnd w:id="200"/>
    <w:bookmarkEnd w:id="201"/>
    <w:bookmarkEnd w:id="202"/>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D3464"/>
    <w:multiLevelType w:val="singleLevel"/>
    <w:tmpl w:val="D1BD3464"/>
    <w:lvl w:ilvl="0" w:tentative="0">
      <w:start w:val="4"/>
      <w:numFmt w:val="chineseCounting"/>
      <w:suff w:val="space"/>
      <w:lvlText w:val="第%1章"/>
      <w:lvlJc w:val="left"/>
      <w:rPr>
        <w:rFonts w:hint="eastAsia"/>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04E7"/>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1F6F"/>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0669"/>
    <w:rsid w:val="004057C3"/>
    <w:rsid w:val="00405876"/>
    <w:rsid w:val="004104D4"/>
    <w:rsid w:val="004105E1"/>
    <w:rsid w:val="00415084"/>
    <w:rsid w:val="00420EFC"/>
    <w:rsid w:val="004217B3"/>
    <w:rsid w:val="004220A2"/>
    <w:rsid w:val="00422902"/>
    <w:rsid w:val="00426605"/>
    <w:rsid w:val="00430A81"/>
    <w:rsid w:val="004312EF"/>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2429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05A9"/>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5880"/>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111B"/>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148A"/>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0B7"/>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C54E8C"/>
    <w:rsid w:val="03CA6EF6"/>
    <w:rsid w:val="04057377"/>
    <w:rsid w:val="051536FE"/>
    <w:rsid w:val="0569312B"/>
    <w:rsid w:val="05A144CF"/>
    <w:rsid w:val="05AF3AE1"/>
    <w:rsid w:val="05B33E5D"/>
    <w:rsid w:val="05F17C52"/>
    <w:rsid w:val="061A3190"/>
    <w:rsid w:val="07C37441"/>
    <w:rsid w:val="08FE7A50"/>
    <w:rsid w:val="095D6137"/>
    <w:rsid w:val="0A141145"/>
    <w:rsid w:val="0AA81BE6"/>
    <w:rsid w:val="0ACB4877"/>
    <w:rsid w:val="0B006570"/>
    <w:rsid w:val="0D955FC2"/>
    <w:rsid w:val="0E3F58D0"/>
    <w:rsid w:val="0EFE3DDE"/>
    <w:rsid w:val="0F6D0FDF"/>
    <w:rsid w:val="0F933B9D"/>
    <w:rsid w:val="10EB52C0"/>
    <w:rsid w:val="1176034E"/>
    <w:rsid w:val="122D5237"/>
    <w:rsid w:val="13B40768"/>
    <w:rsid w:val="13CB07BF"/>
    <w:rsid w:val="16247C45"/>
    <w:rsid w:val="16267D55"/>
    <w:rsid w:val="16716816"/>
    <w:rsid w:val="17334565"/>
    <w:rsid w:val="178772D7"/>
    <w:rsid w:val="18146217"/>
    <w:rsid w:val="18215304"/>
    <w:rsid w:val="19100DAA"/>
    <w:rsid w:val="19150956"/>
    <w:rsid w:val="19332BB1"/>
    <w:rsid w:val="1B797027"/>
    <w:rsid w:val="1CD95535"/>
    <w:rsid w:val="1D237383"/>
    <w:rsid w:val="1D667ACB"/>
    <w:rsid w:val="1E7C1811"/>
    <w:rsid w:val="1F5171F9"/>
    <w:rsid w:val="215757C2"/>
    <w:rsid w:val="232457F5"/>
    <w:rsid w:val="237B355B"/>
    <w:rsid w:val="24CF4FC0"/>
    <w:rsid w:val="24EB4DA5"/>
    <w:rsid w:val="257871D4"/>
    <w:rsid w:val="25D32D3D"/>
    <w:rsid w:val="266E2F3F"/>
    <w:rsid w:val="28370309"/>
    <w:rsid w:val="292532D4"/>
    <w:rsid w:val="2A1E01A9"/>
    <w:rsid w:val="2A704DAF"/>
    <w:rsid w:val="2B51295E"/>
    <w:rsid w:val="2BDF2388"/>
    <w:rsid w:val="2DF81ACA"/>
    <w:rsid w:val="2E3461D7"/>
    <w:rsid w:val="2EFB1C2C"/>
    <w:rsid w:val="30F14702"/>
    <w:rsid w:val="31C27C9C"/>
    <w:rsid w:val="31E267E6"/>
    <w:rsid w:val="336131D4"/>
    <w:rsid w:val="3375117B"/>
    <w:rsid w:val="343A1773"/>
    <w:rsid w:val="34425E22"/>
    <w:rsid w:val="362C1207"/>
    <w:rsid w:val="36C204FE"/>
    <w:rsid w:val="37915A99"/>
    <w:rsid w:val="386D4572"/>
    <w:rsid w:val="397D76E1"/>
    <w:rsid w:val="3B640915"/>
    <w:rsid w:val="3CD3535A"/>
    <w:rsid w:val="3D0347B0"/>
    <w:rsid w:val="3F784C99"/>
    <w:rsid w:val="3FB97A42"/>
    <w:rsid w:val="3FF03A4F"/>
    <w:rsid w:val="40270893"/>
    <w:rsid w:val="42BA4E55"/>
    <w:rsid w:val="435B1476"/>
    <w:rsid w:val="43F63800"/>
    <w:rsid w:val="46151C09"/>
    <w:rsid w:val="47357AE2"/>
    <w:rsid w:val="4737172E"/>
    <w:rsid w:val="4774202F"/>
    <w:rsid w:val="48A84141"/>
    <w:rsid w:val="49A01536"/>
    <w:rsid w:val="4BF722AF"/>
    <w:rsid w:val="4C7D699E"/>
    <w:rsid w:val="4E3C1EF9"/>
    <w:rsid w:val="4EAD53BA"/>
    <w:rsid w:val="4EC01F5C"/>
    <w:rsid w:val="50661509"/>
    <w:rsid w:val="50877AFA"/>
    <w:rsid w:val="51C72A0F"/>
    <w:rsid w:val="525C0D2F"/>
    <w:rsid w:val="536F35A6"/>
    <w:rsid w:val="54814026"/>
    <w:rsid w:val="55950731"/>
    <w:rsid w:val="55FE463F"/>
    <w:rsid w:val="56257777"/>
    <w:rsid w:val="56A92B92"/>
    <w:rsid w:val="56E26F1A"/>
    <w:rsid w:val="57212A9F"/>
    <w:rsid w:val="588A360F"/>
    <w:rsid w:val="593C3876"/>
    <w:rsid w:val="5AE1183E"/>
    <w:rsid w:val="5B7D6727"/>
    <w:rsid w:val="5B991157"/>
    <w:rsid w:val="5B9A01BB"/>
    <w:rsid w:val="5C5B6D71"/>
    <w:rsid w:val="5C5D0552"/>
    <w:rsid w:val="5D1734B0"/>
    <w:rsid w:val="5D3665F9"/>
    <w:rsid w:val="5E822BB8"/>
    <w:rsid w:val="5EF33228"/>
    <w:rsid w:val="5F7D6063"/>
    <w:rsid w:val="5F916509"/>
    <w:rsid w:val="605E26A9"/>
    <w:rsid w:val="62127F1E"/>
    <w:rsid w:val="627952A0"/>
    <w:rsid w:val="630801AF"/>
    <w:rsid w:val="63936F88"/>
    <w:rsid w:val="63A66B70"/>
    <w:rsid w:val="655B03AC"/>
    <w:rsid w:val="65910921"/>
    <w:rsid w:val="666F001B"/>
    <w:rsid w:val="67FF1A2B"/>
    <w:rsid w:val="6936651F"/>
    <w:rsid w:val="69495B5F"/>
    <w:rsid w:val="6960616F"/>
    <w:rsid w:val="69951D9C"/>
    <w:rsid w:val="6AFA16F9"/>
    <w:rsid w:val="6CE25851"/>
    <w:rsid w:val="6D535020"/>
    <w:rsid w:val="6D8765CC"/>
    <w:rsid w:val="6E002B70"/>
    <w:rsid w:val="6F94661F"/>
    <w:rsid w:val="71124891"/>
    <w:rsid w:val="711D243B"/>
    <w:rsid w:val="71BA65EF"/>
    <w:rsid w:val="71F57420"/>
    <w:rsid w:val="72303F46"/>
    <w:rsid w:val="73AA3435"/>
    <w:rsid w:val="746305B1"/>
    <w:rsid w:val="74862811"/>
    <w:rsid w:val="74EE7CCA"/>
    <w:rsid w:val="772B54F6"/>
    <w:rsid w:val="7913570D"/>
    <w:rsid w:val="792D3B95"/>
    <w:rsid w:val="79FF03B2"/>
    <w:rsid w:val="7A2C3F6F"/>
    <w:rsid w:val="7D3A5CA3"/>
    <w:rsid w:val="7E1E7F1F"/>
    <w:rsid w:val="7E3B6528"/>
    <w:rsid w:val="7E611BB9"/>
    <w:rsid w:val="7E6D10D6"/>
    <w:rsid w:val="7F17164A"/>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615B34-C342-41A6-9F4B-B790FCB4BD2C}">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60</Pages>
  <Words>4433</Words>
  <Characters>25270</Characters>
  <Lines>210</Lines>
  <Paragraphs>59</Paragraphs>
  <TotalTime>9</TotalTime>
  <ScaleCrop>false</ScaleCrop>
  <LinksUpToDate>false</LinksUpToDate>
  <CharactersWithSpaces>29644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2026-01-20T09:37:00Z</dcterms:created>
  <dc:creator>Administrator</dc:creator>
  <cp:lastModifiedBy>牟艳</cp:lastModifiedBy>
  <cp:lastPrinted>2019-12-03T09:03:00Z</cp:lastPrinted>
  <dcterms:modified xsi:type="dcterms:W3CDTF">2026-07-28T12:33:38Z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4CB8D9F4E91D4CBBA437B1F0CFC47102</vt:lpwstr>
  </property>
</Properties>
</file>