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right"/>
        <w:rPr>
          <w:rFonts w:ascii="仿宋_GB2312" w:hAnsi="宋体" w:eastAsia="仿宋_GB2312"/>
          <w:b/>
          <w:color w:val="auto"/>
          <w:sz w:val="28"/>
          <w:szCs w:val="28"/>
        </w:rPr>
      </w:pPr>
    </w:p>
    <w:p>
      <w:pPr>
        <w:jc w:val="center"/>
        <w:rPr>
          <w:rFonts w:hint="eastAsia" w:ascii="仿宋_GB2312" w:eastAsia="仿宋_GB2312"/>
          <w:color w:val="auto"/>
          <w:sz w:val="72"/>
          <w:szCs w:val="72"/>
          <w:lang w:eastAsia="zh-CN"/>
        </w:rPr>
      </w:pPr>
      <w:r>
        <w:rPr>
          <w:rFonts w:hint="eastAsia" w:ascii="仿宋_GB2312" w:hAnsi="宋体" w:eastAsia="仿宋_GB2312"/>
          <w:b/>
          <w:color w:val="auto"/>
          <w:sz w:val="36"/>
          <w:szCs w:val="36"/>
          <w:lang w:eastAsia="zh-CN"/>
        </w:rPr>
        <w:t>人保财险四川省泸州市分公司立柱宣传采购项目</w:t>
      </w:r>
    </w:p>
    <w:p>
      <w:pPr>
        <w:jc w:val="center"/>
        <w:rPr>
          <w:rFonts w:ascii="仿宋_GB2312" w:eastAsia="仿宋_GB2312"/>
          <w:color w:val="auto"/>
          <w:sz w:val="72"/>
          <w:szCs w:val="72"/>
        </w:rPr>
      </w:pPr>
    </w:p>
    <w:p>
      <w:pPr>
        <w:jc w:val="center"/>
        <w:rPr>
          <w:rFonts w:ascii="仿宋_GB2312" w:eastAsia="仿宋_GB2312"/>
          <w:color w:val="auto"/>
          <w:sz w:val="72"/>
          <w:szCs w:val="72"/>
        </w:rPr>
      </w:pPr>
      <w:r>
        <w:rPr>
          <w:rFonts w:hint="eastAsia" w:ascii="仿宋_GB2312" w:eastAsia="仿宋_GB2312"/>
          <w:color w:val="auto"/>
          <w:sz w:val="72"/>
          <w:szCs w:val="72"/>
        </w:rPr>
        <w:t>比</w:t>
      </w:r>
    </w:p>
    <w:p>
      <w:pPr>
        <w:pStyle w:val="2"/>
        <w:rPr>
          <w:color w:val="auto"/>
        </w:rPr>
      </w:pPr>
    </w:p>
    <w:p>
      <w:pPr>
        <w:jc w:val="center"/>
        <w:rPr>
          <w:rFonts w:ascii="仿宋_GB2312" w:eastAsia="仿宋_GB2312"/>
          <w:color w:val="auto"/>
          <w:sz w:val="72"/>
          <w:szCs w:val="72"/>
        </w:rPr>
      </w:pPr>
      <w:r>
        <w:rPr>
          <w:rFonts w:hint="eastAsia" w:ascii="仿宋_GB2312" w:eastAsia="仿宋_GB2312"/>
          <w:color w:val="auto"/>
          <w:sz w:val="72"/>
          <w:szCs w:val="72"/>
        </w:rPr>
        <w:t>选</w:t>
      </w:r>
    </w:p>
    <w:p>
      <w:pPr>
        <w:pStyle w:val="2"/>
        <w:rPr>
          <w:color w:val="auto"/>
        </w:rPr>
      </w:pPr>
    </w:p>
    <w:p>
      <w:pPr>
        <w:jc w:val="center"/>
        <w:rPr>
          <w:rFonts w:ascii="仿宋_GB2312" w:eastAsia="仿宋_GB2312"/>
          <w:color w:val="auto"/>
          <w:sz w:val="72"/>
          <w:szCs w:val="72"/>
        </w:rPr>
      </w:pPr>
      <w:r>
        <w:rPr>
          <w:rFonts w:hint="eastAsia" w:ascii="仿宋_GB2312" w:eastAsia="仿宋_GB2312"/>
          <w:color w:val="auto"/>
          <w:sz w:val="72"/>
          <w:szCs w:val="72"/>
        </w:rPr>
        <w:t>文</w:t>
      </w:r>
    </w:p>
    <w:p>
      <w:pPr>
        <w:pStyle w:val="2"/>
        <w:rPr>
          <w:color w:val="auto"/>
        </w:rPr>
      </w:pPr>
    </w:p>
    <w:p>
      <w:pPr>
        <w:jc w:val="center"/>
        <w:rPr>
          <w:rFonts w:ascii="仿宋_GB2312" w:eastAsia="仿宋_GB2312"/>
          <w:color w:val="auto"/>
          <w:sz w:val="72"/>
          <w:szCs w:val="72"/>
        </w:rPr>
      </w:pPr>
      <w:r>
        <w:rPr>
          <w:rFonts w:hint="eastAsia" w:ascii="仿宋_GB2312" w:eastAsia="仿宋_GB2312"/>
          <w:color w:val="auto"/>
          <w:sz w:val="72"/>
          <w:szCs w:val="72"/>
        </w:rPr>
        <w:t>件</w:t>
      </w:r>
    </w:p>
    <w:p>
      <w:pPr>
        <w:pStyle w:val="2"/>
        <w:rPr>
          <w:color w:val="auto"/>
        </w:rPr>
      </w:pPr>
    </w:p>
    <w:p>
      <w:pPr>
        <w:jc w:val="center"/>
        <w:rPr>
          <w:rFonts w:ascii="仿宋_GB2312" w:hAnsi="宋体" w:eastAsia="仿宋_GB2312"/>
          <w:color w:val="auto"/>
          <w:sz w:val="28"/>
          <w:szCs w:val="28"/>
        </w:rPr>
      </w:pPr>
    </w:p>
    <w:p>
      <w:pPr>
        <w:jc w:val="center"/>
        <w:rPr>
          <w:rFonts w:ascii="仿宋_GB2312" w:hAnsi="宋体" w:eastAsia="仿宋_GB2312"/>
          <w:color w:val="auto"/>
          <w:sz w:val="28"/>
          <w:szCs w:val="28"/>
        </w:rPr>
      </w:pPr>
    </w:p>
    <w:p>
      <w:pPr>
        <w:pStyle w:val="16"/>
        <w:ind w:left="113" w:leftChars="47"/>
        <w:jc w:val="center"/>
        <w:rPr>
          <w:rFonts w:ascii="仿宋_GB2312" w:hAnsi="宋体" w:eastAsia="仿宋_GB2312"/>
          <w:b/>
          <w:color w:val="auto"/>
          <w:sz w:val="28"/>
          <w:szCs w:val="28"/>
        </w:rPr>
      </w:pPr>
    </w:p>
    <w:p>
      <w:pPr>
        <w:pStyle w:val="16"/>
        <w:ind w:left="113" w:leftChars="47"/>
        <w:jc w:val="center"/>
        <w:rPr>
          <w:rFonts w:ascii="仿宋_GB2312" w:hAnsi="宋体" w:eastAsia="仿宋_GB2312"/>
          <w:b/>
          <w:color w:val="auto"/>
          <w:sz w:val="28"/>
          <w:szCs w:val="28"/>
        </w:rPr>
      </w:pPr>
    </w:p>
    <w:p>
      <w:pPr>
        <w:pStyle w:val="16"/>
        <w:ind w:left="113" w:leftChars="47"/>
        <w:jc w:val="center"/>
        <w:rPr>
          <w:rFonts w:ascii="仿宋_GB2312" w:hAnsi="宋体" w:eastAsia="仿宋_GB2312"/>
          <w:b/>
          <w:color w:val="auto"/>
          <w:sz w:val="28"/>
          <w:szCs w:val="28"/>
        </w:rPr>
      </w:pPr>
    </w:p>
    <w:p>
      <w:pPr>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16"/>
        <w:ind w:left="113" w:leftChars="47"/>
        <w:jc w:val="center"/>
        <w:rPr>
          <w:rFonts w:ascii="仿宋_GB2312" w:hAnsi="宋体" w:eastAsia="仿宋_GB2312"/>
          <w:b/>
          <w:color w:val="auto"/>
          <w:sz w:val="28"/>
          <w:szCs w:val="28"/>
        </w:rPr>
      </w:pPr>
      <w:r>
        <w:rPr>
          <w:rFonts w:ascii="仿宋_GB2312" w:hAnsi="宋体" w:eastAsia="仿宋_GB2312"/>
          <w:b/>
          <w:color w:val="auto"/>
          <w:sz w:val="28"/>
          <w:szCs w:val="28"/>
        </w:rPr>
        <w:t>2026</w:t>
      </w:r>
      <w:r>
        <w:rPr>
          <w:rFonts w:hint="eastAsia" w:ascii="仿宋_GB2312" w:hAnsi="宋体" w:eastAsia="仿宋_GB2312"/>
          <w:b/>
          <w:color w:val="auto"/>
          <w:sz w:val="28"/>
          <w:szCs w:val="28"/>
        </w:rPr>
        <w:t>年</w:t>
      </w:r>
      <w:r>
        <w:rPr>
          <w:rFonts w:hint="eastAsia" w:ascii="仿宋_GB2312" w:hAnsi="宋体" w:eastAsia="仿宋_GB2312"/>
          <w:b/>
          <w:color w:val="auto"/>
          <w:sz w:val="28"/>
          <w:szCs w:val="28"/>
          <w:lang w:val="en-US" w:eastAsia="zh-CN"/>
        </w:rPr>
        <w:t>7</w:t>
      </w:r>
      <w:r>
        <w:rPr>
          <w:rFonts w:hint="eastAsia" w:ascii="仿宋_GB2312" w:hAnsi="宋体" w:eastAsia="仿宋_GB2312"/>
          <w:b/>
          <w:color w:val="auto"/>
          <w:sz w:val="28"/>
          <w:szCs w:val="28"/>
        </w:rPr>
        <w:t>月</w:t>
      </w:r>
    </w:p>
    <w:p>
      <w:pPr>
        <w:spacing w:line="360" w:lineRule="auto"/>
        <w:jc w:val="center"/>
        <w:rPr>
          <w:rFonts w:ascii="仿宋_GB2312" w:hAnsi="宋体" w:eastAsia="仿宋_GB2312"/>
          <w:b/>
          <w:color w:val="auto"/>
          <w:sz w:val="36"/>
          <w:szCs w:val="28"/>
        </w:rPr>
        <w:sectPr>
          <w:footerReference r:id="rId3" w:type="even"/>
          <w:pgSz w:w="11906" w:h="16838"/>
          <w:pgMar w:top="1440" w:right="1134" w:bottom="1440" w:left="1134" w:header="851" w:footer="992" w:gutter="0"/>
          <w:cols w:space="720" w:num="1"/>
          <w:docGrid w:linePitch="326" w:charSpace="0"/>
        </w:sectPr>
      </w:pPr>
    </w:p>
    <w:p>
      <w:pPr>
        <w:spacing w:line="360" w:lineRule="auto"/>
        <w:jc w:val="center"/>
        <w:rPr>
          <w:rFonts w:ascii="仿宋_GB2312" w:hAnsi="宋体" w:eastAsia="仿宋_GB2312"/>
          <w:b/>
          <w:color w:val="auto"/>
          <w:sz w:val="36"/>
          <w:szCs w:val="28"/>
        </w:rPr>
      </w:pPr>
      <w:r>
        <w:rPr>
          <w:rFonts w:hint="eastAsia" w:ascii="仿宋_GB2312" w:hAnsi="宋体" w:eastAsia="仿宋_GB2312"/>
          <w:b/>
          <w:color w:val="auto"/>
          <w:sz w:val="36"/>
          <w:szCs w:val="28"/>
        </w:rPr>
        <w:t>目     录</w:t>
      </w:r>
    </w:p>
    <w:p>
      <w:pPr>
        <w:pStyle w:val="21"/>
        <w:tabs>
          <w:tab w:val="right" w:leader="dot" w:pos="9638"/>
        </w:tabs>
      </w:pPr>
      <w:r>
        <w:rPr>
          <w:rFonts w:hint="eastAsia" w:ascii="仿宋_GB2312" w:hAnsi="宋体" w:eastAsia="仿宋_GB2312"/>
          <w:b w:val="0"/>
          <w:bCs w:val="0"/>
          <w:color w:val="auto"/>
        </w:rPr>
        <w:fldChar w:fldCharType="begin"/>
      </w:r>
      <w:r>
        <w:rPr>
          <w:rFonts w:hint="eastAsia" w:ascii="仿宋_GB2312" w:hAnsi="宋体" w:eastAsia="仿宋_GB2312"/>
          <w:b w:val="0"/>
          <w:bCs w:val="0"/>
          <w:color w:val="auto"/>
        </w:rPr>
        <w:instrText xml:space="preserve">TOC \o "1-3" \h \u </w:instrText>
      </w:r>
      <w:r>
        <w:rPr>
          <w:rFonts w:hint="eastAsia" w:ascii="仿宋_GB2312" w:hAnsi="宋体" w:eastAsia="仿宋_GB2312"/>
          <w:b w:val="0"/>
          <w:bCs w:val="0"/>
          <w:color w:val="auto"/>
        </w:rPr>
        <w:fldChar w:fldCharType="separate"/>
      </w: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_Toc26167 </w:instrText>
      </w:r>
      <w:r>
        <w:rPr>
          <w:rFonts w:hint="eastAsia" w:ascii="仿宋_GB2312" w:hAnsi="宋体" w:eastAsia="仿宋_GB2312"/>
          <w:bCs w:val="0"/>
        </w:rPr>
        <w:fldChar w:fldCharType="separate"/>
      </w:r>
      <w:r>
        <w:rPr>
          <w:rFonts w:hint="eastAsia" w:ascii="仿宋_GB2312" w:hAnsi="宋体" w:eastAsia="仿宋_GB2312"/>
          <w:szCs w:val="28"/>
        </w:rPr>
        <w:t>第一章 比选邀请</w:t>
      </w:r>
      <w:r>
        <w:tab/>
      </w:r>
      <w:r>
        <w:fldChar w:fldCharType="begin"/>
      </w:r>
      <w:r>
        <w:instrText xml:space="preserve"> PAGEREF _Toc26167 \h </w:instrText>
      </w:r>
      <w:r>
        <w:fldChar w:fldCharType="separate"/>
      </w:r>
      <w:r>
        <w:t>3</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_Toc15784 </w:instrText>
      </w:r>
      <w:r>
        <w:rPr>
          <w:rFonts w:hint="eastAsia" w:ascii="仿宋_GB2312" w:hAnsi="宋体" w:eastAsia="仿宋_GB2312"/>
          <w:bCs w:val="0"/>
        </w:rPr>
        <w:fldChar w:fldCharType="separate"/>
      </w:r>
      <w:r>
        <w:rPr>
          <w:rFonts w:hint="eastAsia" w:ascii="仿宋" w:hAnsi="仿宋" w:eastAsia="仿宋" w:cs="仿宋"/>
          <w:szCs w:val="24"/>
        </w:rPr>
        <w:t>一、项目概况与采购范围</w:t>
      </w:r>
      <w:r>
        <w:tab/>
      </w:r>
      <w:r>
        <w:fldChar w:fldCharType="begin"/>
      </w:r>
      <w:r>
        <w:instrText xml:space="preserve"> PAGEREF _Toc15784 \h </w:instrText>
      </w:r>
      <w:r>
        <w:fldChar w:fldCharType="separate"/>
      </w:r>
      <w:r>
        <w:t>3</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_Toc8936 </w:instrText>
      </w:r>
      <w:r>
        <w:rPr>
          <w:rFonts w:hint="eastAsia" w:ascii="仿宋_GB2312" w:hAnsi="宋体" w:eastAsia="仿宋_GB2312"/>
          <w:bCs w:val="0"/>
        </w:rPr>
        <w:fldChar w:fldCharType="separate"/>
      </w:r>
      <w:r>
        <w:rPr>
          <w:rFonts w:hint="eastAsia" w:ascii="仿宋" w:hAnsi="仿宋" w:eastAsia="仿宋" w:cs="仿宋"/>
          <w:szCs w:val="24"/>
        </w:rPr>
        <w:t>二、供应商资格要求</w:t>
      </w:r>
      <w:r>
        <w:tab/>
      </w:r>
      <w:r>
        <w:fldChar w:fldCharType="begin"/>
      </w:r>
      <w:r>
        <w:instrText xml:space="preserve"> PAGEREF _Toc8936 \h </w:instrText>
      </w:r>
      <w:r>
        <w:fldChar w:fldCharType="separate"/>
      </w:r>
      <w:r>
        <w:t>3</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_Toc25502 </w:instrText>
      </w:r>
      <w:r>
        <w:rPr>
          <w:rFonts w:hint="eastAsia" w:ascii="仿宋_GB2312" w:hAnsi="宋体" w:eastAsia="仿宋_GB2312"/>
          <w:bCs w:val="0"/>
        </w:rPr>
        <w:fldChar w:fldCharType="separate"/>
      </w:r>
      <w:r>
        <w:rPr>
          <w:rFonts w:hint="eastAsia" w:ascii="仿宋" w:hAnsi="仿宋" w:eastAsia="仿宋" w:cs="仿宋"/>
          <w:szCs w:val="24"/>
        </w:rPr>
        <w:t>三、比选文件的获取</w:t>
      </w:r>
      <w:r>
        <w:tab/>
      </w:r>
      <w:r>
        <w:fldChar w:fldCharType="begin"/>
      </w:r>
      <w:r>
        <w:instrText xml:space="preserve"> PAGEREF _Toc25502 \h </w:instrText>
      </w:r>
      <w:r>
        <w:fldChar w:fldCharType="separate"/>
      </w:r>
      <w:r>
        <w:t>4</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_Toc30346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_Toc30346 \h </w:instrText>
      </w:r>
      <w:r>
        <w:fldChar w:fldCharType="separate"/>
      </w:r>
      <w:r>
        <w:t>4</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_Toc2899 </w:instrText>
      </w:r>
      <w:r>
        <w:rPr>
          <w:rFonts w:hint="eastAsia" w:ascii="仿宋_GB2312" w:hAnsi="宋体" w:eastAsia="仿宋_GB2312"/>
          <w:bCs w:val="0"/>
        </w:rPr>
        <w:fldChar w:fldCharType="separate"/>
      </w:r>
      <w:r>
        <w:rPr>
          <w:rFonts w:hint="eastAsia" w:ascii="仿宋" w:hAnsi="仿宋" w:eastAsia="仿宋" w:cs="仿宋"/>
          <w:szCs w:val="24"/>
        </w:rPr>
        <w:t>五、发布公告的媒介</w:t>
      </w:r>
      <w:r>
        <w:tab/>
      </w:r>
      <w:r>
        <w:fldChar w:fldCharType="begin"/>
      </w:r>
      <w:r>
        <w:instrText xml:space="preserve"> PAGEREF _Toc2899 \h </w:instrText>
      </w:r>
      <w:r>
        <w:fldChar w:fldCharType="separate"/>
      </w:r>
      <w:r>
        <w:t>5</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_Toc15934 </w:instrText>
      </w:r>
      <w:r>
        <w:rPr>
          <w:rFonts w:hint="eastAsia" w:ascii="仿宋_GB2312" w:hAnsi="宋体" w:eastAsia="仿宋_GB2312"/>
          <w:bCs w:val="0"/>
        </w:rPr>
        <w:fldChar w:fldCharType="separate"/>
      </w:r>
      <w:r>
        <w:rPr>
          <w:rFonts w:hint="eastAsia" w:ascii="仿宋" w:hAnsi="仿宋" w:eastAsia="仿宋" w:cs="仿宋"/>
          <w:szCs w:val="24"/>
        </w:rPr>
        <w:t>六、联系方式</w:t>
      </w:r>
      <w:r>
        <w:tab/>
      </w:r>
      <w:r>
        <w:fldChar w:fldCharType="begin"/>
      </w:r>
      <w:r>
        <w:instrText xml:space="preserve"> PAGEREF _Toc15934 \h </w:instrText>
      </w:r>
      <w:r>
        <w:fldChar w:fldCharType="separate"/>
      </w:r>
      <w:r>
        <w:t>5</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_Toc984 </w:instrText>
      </w:r>
      <w:r>
        <w:rPr>
          <w:rFonts w:hint="eastAsia" w:ascii="仿宋_GB2312" w:hAnsi="宋体" w:eastAsia="仿宋_GB2312"/>
          <w:bCs w:val="0"/>
        </w:rPr>
        <w:fldChar w:fldCharType="separate"/>
      </w:r>
      <w:r>
        <w:rPr>
          <w:rFonts w:hint="eastAsia" w:ascii="仿宋_GB2312" w:hAnsi="宋体" w:eastAsia="仿宋_GB2312"/>
          <w:szCs w:val="28"/>
        </w:rPr>
        <w:t>第二章 供应商须知</w:t>
      </w:r>
      <w:r>
        <w:tab/>
      </w:r>
      <w:r>
        <w:fldChar w:fldCharType="begin"/>
      </w:r>
      <w:r>
        <w:instrText xml:space="preserve"> PAGEREF _Toc984 \h </w:instrText>
      </w:r>
      <w:r>
        <w:fldChar w:fldCharType="separate"/>
      </w:r>
      <w:r>
        <w:t>6</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_Toc16744 </w:instrText>
      </w:r>
      <w:r>
        <w:rPr>
          <w:rFonts w:hint="eastAsia" w:ascii="仿宋_GB2312" w:hAnsi="宋体" w:eastAsia="仿宋_GB2312"/>
          <w:bCs w:val="0"/>
        </w:rPr>
        <w:fldChar w:fldCharType="separate"/>
      </w:r>
      <w:r>
        <w:rPr>
          <w:rFonts w:hint="eastAsia" w:ascii="仿宋" w:hAnsi="仿宋" w:eastAsia="仿宋" w:cs="仿宋"/>
          <w:szCs w:val="24"/>
        </w:rPr>
        <w:t>一、供应商须知前附表</w:t>
      </w:r>
      <w:r>
        <w:tab/>
      </w:r>
      <w:r>
        <w:fldChar w:fldCharType="begin"/>
      </w:r>
      <w:r>
        <w:instrText xml:space="preserve"> PAGEREF _Toc16744 \h </w:instrText>
      </w:r>
      <w:r>
        <w:fldChar w:fldCharType="separate"/>
      </w:r>
      <w:r>
        <w:t>6</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_Toc8529 </w:instrText>
      </w:r>
      <w:r>
        <w:rPr>
          <w:rFonts w:hint="eastAsia" w:ascii="仿宋_GB2312" w:hAnsi="宋体" w:eastAsia="仿宋_GB2312"/>
          <w:bCs w:val="0"/>
        </w:rPr>
        <w:fldChar w:fldCharType="separate"/>
      </w:r>
      <w:r>
        <w:rPr>
          <w:rFonts w:hint="eastAsia" w:ascii="仿宋" w:hAnsi="仿宋" w:eastAsia="仿宋" w:cs="仿宋"/>
          <w:szCs w:val="24"/>
        </w:rPr>
        <w:t>二、供应商须知正文</w:t>
      </w:r>
      <w:r>
        <w:tab/>
      </w:r>
      <w:r>
        <w:fldChar w:fldCharType="begin"/>
      </w:r>
      <w:r>
        <w:instrText xml:space="preserve"> PAGEREF _Toc8529 \h </w:instrText>
      </w:r>
      <w:r>
        <w:fldChar w:fldCharType="separate"/>
      </w:r>
      <w:r>
        <w:t>9</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_Toc11453 </w:instrText>
      </w:r>
      <w:r>
        <w:rPr>
          <w:rFonts w:hint="eastAsia" w:ascii="仿宋_GB2312" w:hAnsi="宋体" w:eastAsia="仿宋_GB2312"/>
          <w:bCs w:val="0"/>
        </w:rPr>
        <w:fldChar w:fldCharType="separate"/>
      </w:r>
      <w:r>
        <w:rPr>
          <w:rFonts w:hint="eastAsia" w:ascii="仿宋" w:hAnsi="仿宋" w:eastAsia="仿宋" w:cs="仿宋"/>
          <w:szCs w:val="24"/>
        </w:rPr>
        <w:t>（一）总 则</w:t>
      </w:r>
      <w:r>
        <w:tab/>
      </w:r>
      <w:r>
        <w:fldChar w:fldCharType="begin"/>
      </w:r>
      <w:r>
        <w:instrText xml:space="preserve"> PAGEREF _Toc11453 \h </w:instrText>
      </w:r>
      <w:r>
        <w:fldChar w:fldCharType="separate"/>
      </w:r>
      <w:r>
        <w:t>9</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_Toc27188 </w:instrText>
      </w:r>
      <w:r>
        <w:rPr>
          <w:rFonts w:hint="eastAsia" w:ascii="仿宋_GB2312" w:hAnsi="宋体" w:eastAsia="仿宋_GB2312"/>
          <w:bCs w:val="0"/>
        </w:rPr>
        <w:fldChar w:fldCharType="separate"/>
      </w:r>
      <w:r>
        <w:rPr>
          <w:rFonts w:hint="eastAsia" w:ascii="仿宋" w:hAnsi="仿宋" w:eastAsia="仿宋" w:cs="仿宋"/>
          <w:szCs w:val="24"/>
        </w:rPr>
        <w:t>（二）比选文件</w:t>
      </w:r>
      <w:r>
        <w:tab/>
      </w:r>
      <w:r>
        <w:fldChar w:fldCharType="begin"/>
      </w:r>
      <w:r>
        <w:instrText xml:space="preserve"> PAGEREF _Toc27188 \h </w:instrText>
      </w:r>
      <w:r>
        <w:fldChar w:fldCharType="separate"/>
      </w:r>
      <w:r>
        <w:t>9</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_Toc12043 </w:instrText>
      </w:r>
      <w:r>
        <w:rPr>
          <w:rFonts w:hint="eastAsia" w:ascii="仿宋_GB2312" w:hAnsi="宋体" w:eastAsia="仿宋_GB2312"/>
          <w:bCs w:val="0"/>
        </w:rPr>
        <w:fldChar w:fldCharType="separate"/>
      </w:r>
      <w:r>
        <w:rPr>
          <w:rFonts w:hint="eastAsia" w:ascii="仿宋" w:hAnsi="仿宋" w:eastAsia="仿宋" w:cs="仿宋"/>
          <w:szCs w:val="24"/>
        </w:rPr>
        <w:t>（三）响应文件</w:t>
      </w:r>
      <w:r>
        <w:tab/>
      </w:r>
      <w:r>
        <w:fldChar w:fldCharType="begin"/>
      </w:r>
      <w:r>
        <w:instrText xml:space="preserve"> PAGEREF _Toc12043 \h </w:instrText>
      </w:r>
      <w:r>
        <w:fldChar w:fldCharType="separate"/>
      </w:r>
      <w:r>
        <w:t>10</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_Toc21379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_Toc21379 \h </w:instrText>
      </w:r>
      <w:r>
        <w:fldChar w:fldCharType="separate"/>
      </w:r>
      <w:r>
        <w:t>12</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_Toc3342 </w:instrText>
      </w:r>
      <w:r>
        <w:rPr>
          <w:rFonts w:hint="eastAsia" w:ascii="仿宋_GB2312" w:hAnsi="宋体" w:eastAsia="仿宋_GB2312"/>
          <w:bCs w:val="0"/>
        </w:rPr>
        <w:fldChar w:fldCharType="separate"/>
      </w:r>
      <w:r>
        <w:rPr>
          <w:rFonts w:hint="eastAsia" w:ascii="仿宋" w:hAnsi="仿宋" w:eastAsia="仿宋" w:cs="仿宋"/>
          <w:szCs w:val="24"/>
        </w:rPr>
        <w:t>（五）比选和评审</w:t>
      </w:r>
      <w:r>
        <w:tab/>
      </w:r>
      <w:r>
        <w:fldChar w:fldCharType="begin"/>
      </w:r>
      <w:r>
        <w:instrText xml:space="preserve"> PAGEREF _Toc3342 \h </w:instrText>
      </w:r>
      <w:r>
        <w:fldChar w:fldCharType="separate"/>
      </w:r>
      <w:r>
        <w:t>12</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_Toc11205 </w:instrText>
      </w:r>
      <w:r>
        <w:rPr>
          <w:rFonts w:hint="eastAsia" w:ascii="仿宋_GB2312" w:hAnsi="宋体" w:eastAsia="仿宋_GB2312"/>
          <w:bCs w:val="0"/>
        </w:rPr>
        <w:fldChar w:fldCharType="separate"/>
      </w:r>
      <w:r>
        <w:rPr>
          <w:rFonts w:hint="eastAsia" w:ascii="仿宋" w:hAnsi="仿宋" w:eastAsia="仿宋" w:cs="仿宋"/>
          <w:szCs w:val="24"/>
        </w:rPr>
        <w:t>（六）授予合同</w:t>
      </w:r>
      <w:r>
        <w:tab/>
      </w:r>
      <w:r>
        <w:fldChar w:fldCharType="begin"/>
      </w:r>
      <w:r>
        <w:instrText xml:space="preserve"> PAGEREF _Toc11205 \h </w:instrText>
      </w:r>
      <w:r>
        <w:fldChar w:fldCharType="separate"/>
      </w:r>
      <w:r>
        <w:t>15</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_Toc27909 </w:instrText>
      </w:r>
      <w:r>
        <w:rPr>
          <w:rFonts w:hint="eastAsia" w:ascii="仿宋_GB2312" w:hAnsi="宋体" w:eastAsia="仿宋_GB2312"/>
          <w:bCs w:val="0"/>
        </w:rPr>
        <w:fldChar w:fldCharType="separate"/>
      </w:r>
      <w:r>
        <w:rPr>
          <w:rFonts w:hint="eastAsia" w:ascii="仿宋" w:hAnsi="仿宋" w:eastAsia="仿宋" w:cs="仿宋"/>
          <w:szCs w:val="28"/>
        </w:rPr>
        <w:t>第三章 评审办法</w:t>
      </w:r>
      <w:r>
        <w:tab/>
      </w:r>
      <w:r>
        <w:fldChar w:fldCharType="begin"/>
      </w:r>
      <w:r>
        <w:instrText xml:space="preserve"> PAGEREF _Toc27909 \h </w:instrText>
      </w:r>
      <w:r>
        <w:fldChar w:fldCharType="separate"/>
      </w:r>
      <w:r>
        <w:t>16</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_Toc4807 </w:instrText>
      </w:r>
      <w:r>
        <w:rPr>
          <w:rFonts w:hint="eastAsia" w:ascii="仿宋_GB2312" w:hAnsi="宋体" w:eastAsia="仿宋_GB2312"/>
          <w:bCs w:val="0"/>
        </w:rPr>
        <w:fldChar w:fldCharType="separate"/>
      </w:r>
      <w:r>
        <w:rPr>
          <w:rFonts w:hint="eastAsia" w:ascii="仿宋" w:hAnsi="仿宋" w:eastAsia="仿宋" w:cs="仿宋"/>
          <w:szCs w:val="24"/>
        </w:rPr>
        <w:t>一、评审程序</w:t>
      </w:r>
      <w:r>
        <w:tab/>
      </w:r>
      <w:r>
        <w:fldChar w:fldCharType="begin"/>
      </w:r>
      <w:r>
        <w:instrText xml:space="preserve"> PAGEREF _Toc4807 \h </w:instrText>
      </w:r>
      <w:r>
        <w:fldChar w:fldCharType="separate"/>
      </w:r>
      <w:r>
        <w:t>16</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_Toc24556 </w:instrText>
      </w:r>
      <w:r>
        <w:rPr>
          <w:rFonts w:hint="eastAsia" w:ascii="仿宋_GB2312" w:hAnsi="宋体" w:eastAsia="仿宋_GB2312"/>
          <w:bCs w:val="0"/>
        </w:rPr>
        <w:fldChar w:fldCharType="separate"/>
      </w:r>
      <w:r>
        <w:rPr>
          <w:rFonts w:hint="eastAsia" w:ascii="仿宋" w:hAnsi="仿宋" w:eastAsia="仿宋" w:cs="仿宋"/>
          <w:szCs w:val="24"/>
        </w:rPr>
        <w:t>二、初步评审</w:t>
      </w:r>
      <w:r>
        <w:tab/>
      </w:r>
      <w:r>
        <w:fldChar w:fldCharType="begin"/>
      </w:r>
      <w:r>
        <w:instrText xml:space="preserve"> PAGEREF _Toc24556 \h </w:instrText>
      </w:r>
      <w:r>
        <w:fldChar w:fldCharType="separate"/>
      </w:r>
      <w:r>
        <w:t>17</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_Toc3182 </w:instrText>
      </w:r>
      <w:r>
        <w:rPr>
          <w:rFonts w:hint="eastAsia" w:ascii="仿宋_GB2312" w:hAnsi="宋体" w:eastAsia="仿宋_GB2312"/>
          <w:bCs w:val="0"/>
        </w:rPr>
        <w:fldChar w:fldCharType="separate"/>
      </w:r>
      <w:r>
        <w:rPr>
          <w:rFonts w:hint="eastAsia" w:ascii="仿宋" w:hAnsi="仿宋" w:eastAsia="仿宋" w:cs="仿宋"/>
          <w:szCs w:val="24"/>
        </w:rPr>
        <w:t>三、详细评审</w:t>
      </w:r>
      <w:r>
        <w:tab/>
      </w:r>
      <w:r>
        <w:fldChar w:fldCharType="begin"/>
      </w:r>
      <w:r>
        <w:instrText xml:space="preserve"> PAGEREF _Toc3182 \h </w:instrText>
      </w:r>
      <w:r>
        <w:fldChar w:fldCharType="separate"/>
      </w:r>
      <w:r>
        <w:t>18</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_Toc7554 </w:instrText>
      </w:r>
      <w:r>
        <w:rPr>
          <w:rFonts w:hint="eastAsia" w:ascii="仿宋_GB2312" w:hAnsi="宋体" w:eastAsia="仿宋_GB2312"/>
          <w:bCs w:val="0"/>
        </w:rPr>
        <w:fldChar w:fldCharType="separate"/>
      </w:r>
      <w:r>
        <w:rPr>
          <w:rFonts w:hint="eastAsia" w:ascii="仿宋" w:hAnsi="仿宋" w:eastAsia="仿宋" w:cs="仿宋"/>
          <w:bCs/>
          <w:szCs w:val="28"/>
        </w:rPr>
        <w:t xml:space="preserve">第四章 </w:t>
      </w:r>
      <w:r>
        <w:rPr>
          <w:rFonts w:hint="eastAsia" w:ascii="仿宋" w:hAnsi="仿宋" w:eastAsia="仿宋" w:cs="仿宋"/>
          <w:bCs/>
          <w:szCs w:val="28"/>
          <w:highlight w:val="none"/>
        </w:rPr>
        <w:t>合同条款</w:t>
      </w:r>
      <w:r>
        <w:tab/>
      </w:r>
      <w:r>
        <w:fldChar w:fldCharType="begin"/>
      </w:r>
      <w:r>
        <w:instrText xml:space="preserve"> PAGEREF _Toc7554 \h </w:instrText>
      </w:r>
      <w:r>
        <w:fldChar w:fldCharType="separate"/>
      </w:r>
      <w:r>
        <w:t>20</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_Toc28455 </w:instrText>
      </w:r>
      <w:r>
        <w:rPr>
          <w:rFonts w:hint="eastAsia" w:ascii="仿宋_GB2312" w:hAnsi="宋体" w:eastAsia="仿宋_GB2312"/>
          <w:bCs w:val="0"/>
        </w:rPr>
        <w:fldChar w:fldCharType="separate"/>
      </w:r>
      <w:r>
        <w:rPr>
          <w:rFonts w:hint="eastAsia" w:ascii="仿宋_GB2312" w:hAnsi="宋体" w:eastAsia="仿宋_GB2312"/>
          <w:szCs w:val="28"/>
        </w:rPr>
        <w:t>第五章 采购需求</w:t>
      </w:r>
      <w:r>
        <w:tab/>
      </w:r>
      <w:r>
        <w:fldChar w:fldCharType="begin"/>
      </w:r>
      <w:r>
        <w:instrText xml:space="preserve"> PAGEREF _Toc28455 \h </w:instrText>
      </w:r>
      <w:r>
        <w:fldChar w:fldCharType="separate"/>
      </w:r>
      <w:r>
        <w:t>32</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_Toc20870 </w:instrText>
      </w:r>
      <w:r>
        <w:rPr>
          <w:rFonts w:hint="eastAsia" w:ascii="仿宋_GB2312" w:hAnsi="宋体" w:eastAsia="仿宋_GB2312"/>
          <w:bCs w:val="0"/>
        </w:rPr>
        <w:fldChar w:fldCharType="separate"/>
      </w:r>
      <w:r>
        <w:rPr>
          <w:rFonts w:hint="eastAsia" w:ascii="仿宋" w:hAnsi="仿宋" w:eastAsia="仿宋" w:cs="仿宋"/>
          <w:szCs w:val="28"/>
        </w:rPr>
        <w:t>第六章 响应文件格式</w:t>
      </w:r>
      <w:r>
        <w:tab/>
      </w:r>
      <w:r>
        <w:fldChar w:fldCharType="begin"/>
      </w:r>
      <w:r>
        <w:instrText xml:space="preserve"> PAGEREF _Toc20870 \h </w:instrText>
      </w:r>
      <w:r>
        <w:fldChar w:fldCharType="separate"/>
      </w:r>
      <w:r>
        <w:t>33</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_Toc12976 </w:instrText>
      </w:r>
      <w:r>
        <w:rPr>
          <w:rFonts w:hint="eastAsia" w:ascii="仿宋_GB2312" w:hAnsi="宋体" w:eastAsia="仿宋_GB2312"/>
          <w:bCs w:val="0"/>
        </w:rPr>
        <w:fldChar w:fldCharType="separate"/>
      </w:r>
      <w:r>
        <w:rPr>
          <w:rFonts w:hint="eastAsia" w:ascii="仿宋" w:hAnsi="仿宋" w:eastAsia="仿宋" w:cs="仿宋"/>
          <w:szCs w:val="24"/>
        </w:rPr>
        <w:t>一、商务文件</w:t>
      </w:r>
      <w:r>
        <w:tab/>
      </w:r>
      <w:r>
        <w:fldChar w:fldCharType="begin"/>
      </w:r>
      <w:r>
        <w:instrText xml:space="preserve"> PAGEREF _Toc12976 \h </w:instrText>
      </w:r>
      <w:r>
        <w:fldChar w:fldCharType="separate"/>
      </w:r>
      <w:r>
        <w:t>34</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_Toc3022 </w:instrText>
      </w:r>
      <w:r>
        <w:rPr>
          <w:rFonts w:hint="eastAsia" w:ascii="仿宋_GB2312" w:hAnsi="宋体" w:eastAsia="仿宋_GB2312"/>
          <w:bCs w:val="0"/>
        </w:rPr>
        <w:fldChar w:fldCharType="separate"/>
      </w:r>
      <w:r>
        <w:rPr>
          <w:rFonts w:hint="eastAsia" w:ascii="仿宋" w:hAnsi="仿宋" w:eastAsia="仿宋" w:cs="仿宋"/>
          <w:szCs w:val="24"/>
        </w:rPr>
        <w:t>（一）响应函</w:t>
      </w:r>
      <w:r>
        <w:tab/>
      </w:r>
      <w:r>
        <w:fldChar w:fldCharType="begin"/>
      </w:r>
      <w:r>
        <w:instrText xml:space="preserve"> PAGEREF _Toc3022 \h </w:instrText>
      </w:r>
      <w:r>
        <w:fldChar w:fldCharType="separate"/>
      </w:r>
      <w:r>
        <w:t>35</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_Toc2641 </w:instrText>
      </w:r>
      <w:r>
        <w:rPr>
          <w:rFonts w:hint="eastAsia" w:ascii="仿宋_GB2312" w:hAnsi="宋体" w:eastAsia="仿宋_GB2312"/>
          <w:bCs w:val="0"/>
        </w:rPr>
        <w:fldChar w:fldCharType="separate"/>
      </w:r>
      <w:r>
        <w:rPr>
          <w:rFonts w:hint="eastAsia" w:ascii="仿宋" w:hAnsi="仿宋" w:eastAsia="仿宋" w:cs="仿宋"/>
          <w:szCs w:val="24"/>
        </w:rPr>
        <w:t>（二）法定代表人（负责人）身份证明书</w:t>
      </w:r>
      <w:r>
        <w:tab/>
      </w:r>
      <w:r>
        <w:fldChar w:fldCharType="begin"/>
      </w:r>
      <w:r>
        <w:instrText xml:space="preserve"> PAGEREF _Toc2641 \h </w:instrText>
      </w:r>
      <w:r>
        <w:fldChar w:fldCharType="separate"/>
      </w:r>
      <w:r>
        <w:t>36</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_Toc12837 </w:instrText>
      </w:r>
      <w:r>
        <w:rPr>
          <w:rFonts w:hint="eastAsia" w:ascii="仿宋_GB2312" w:hAnsi="宋体" w:eastAsia="仿宋_GB2312"/>
          <w:bCs w:val="0"/>
        </w:rPr>
        <w:fldChar w:fldCharType="separate"/>
      </w:r>
      <w:r>
        <w:rPr>
          <w:rFonts w:hint="eastAsia" w:ascii="仿宋" w:hAnsi="仿宋" w:eastAsia="仿宋" w:cs="仿宋"/>
          <w:szCs w:val="24"/>
        </w:rPr>
        <w:t>（三）法定代表人（负责人）授权委托书</w:t>
      </w:r>
      <w:r>
        <w:tab/>
      </w:r>
      <w:r>
        <w:fldChar w:fldCharType="begin"/>
      </w:r>
      <w:r>
        <w:instrText xml:space="preserve"> PAGEREF _Toc12837 \h </w:instrText>
      </w:r>
      <w:r>
        <w:fldChar w:fldCharType="separate"/>
      </w:r>
      <w:r>
        <w:t>37</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_Toc19905 </w:instrText>
      </w:r>
      <w:r>
        <w:rPr>
          <w:rFonts w:hint="eastAsia" w:ascii="仿宋_GB2312" w:hAnsi="宋体" w:eastAsia="仿宋_GB2312"/>
          <w:bCs w:val="0"/>
        </w:rPr>
        <w:fldChar w:fldCharType="separate"/>
      </w:r>
      <w:r>
        <w:rPr>
          <w:rFonts w:hint="eastAsia" w:ascii="仿宋" w:hAnsi="仿宋" w:eastAsia="仿宋" w:cs="仿宋"/>
          <w:szCs w:val="24"/>
        </w:rPr>
        <w:t>（四）资格证明文件</w:t>
      </w:r>
      <w:r>
        <w:tab/>
      </w:r>
      <w:r>
        <w:fldChar w:fldCharType="begin"/>
      </w:r>
      <w:r>
        <w:instrText xml:space="preserve"> PAGEREF _Toc19905 \h </w:instrText>
      </w:r>
      <w:r>
        <w:fldChar w:fldCharType="separate"/>
      </w:r>
      <w:r>
        <w:t>38</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_Toc2583 </w:instrText>
      </w:r>
      <w:r>
        <w:rPr>
          <w:rFonts w:hint="eastAsia" w:ascii="仿宋_GB2312" w:hAnsi="宋体" w:eastAsia="仿宋_GB2312"/>
          <w:bCs w:val="0"/>
        </w:rPr>
        <w:fldChar w:fldCharType="separate"/>
      </w:r>
      <w:r>
        <w:rPr>
          <w:rFonts w:ascii="仿宋" w:hAnsi="仿宋" w:eastAsia="仿宋" w:cs="仿宋"/>
          <w:szCs w:val="24"/>
        </w:rPr>
        <w:t>（</w:t>
      </w:r>
      <w:r>
        <w:rPr>
          <w:rFonts w:hint="eastAsia" w:ascii="仿宋" w:hAnsi="仿宋" w:eastAsia="仿宋" w:cs="仿宋"/>
          <w:szCs w:val="24"/>
        </w:rPr>
        <w:t>五</w:t>
      </w:r>
      <w:r>
        <w:rPr>
          <w:rFonts w:ascii="仿宋" w:hAnsi="仿宋" w:eastAsia="仿宋" w:cs="仿宋"/>
          <w:szCs w:val="24"/>
        </w:rPr>
        <w:t>）</w:t>
      </w:r>
      <w:r>
        <w:rPr>
          <w:rFonts w:hint="eastAsia" w:ascii="仿宋" w:hAnsi="仿宋" w:eastAsia="仿宋" w:cs="仿宋"/>
          <w:szCs w:val="24"/>
        </w:rPr>
        <w:t>供应商</w:t>
      </w:r>
      <w:r>
        <w:rPr>
          <w:rFonts w:ascii="仿宋" w:hAnsi="仿宋" w:eastAsia="仿宋" w:cs="仿宋"/>
          <w:szCs w:val="24"/>
        </w:rPr>
        <w:t>须知应答偏离表</w:t>
      </w:r>
      <w:r>
        <w:tab/>
      </w:r>
      <w:r>
        <w:fldChar w:fldCharType="begin"/>
      </w:r>
      <w:r>
        <w:instrText xml:space="preserve"> PAGEREF _Toc2583 \h </w:instrText>
      </w:r>
      <w:r>
        <w:fldChar w:fldCharType="separate"/>
      </w:r>
      <w:r>
        <w:t>45</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_Toc3655 </w:instrText>
      </w:r>
      <w:r>
        <w:rPr>
          <w:rFonts w:hint="eastAsia" w:ascii="仿宋_GB2312" w:hAnsi="宋体" w:eastAsia="仿宋_GB2312"/>
          <w:bCs w:val="0"/>
        </w:rPr>
        <w:fldChar w:fldCharType="separate"/>
      </w:r>
      <w:r>
        <w:rPr>
          <w:rFonts w:hint="eastAsia" w:ascii="仿宋" w:hAnsi="仿宋" w:eastAsia="仿宋" w:cs="仿宋"/>
          <w:szCs w:val="24"/>
        </w:rPr>
        <w:t>（六）合同条款应答偏</w:t>
      </w:r>
      <w:r>
        <w:rPr>
          <w:rFonts w:ascii="仿宋" w:hAnsi="仿宋" w:eastAsia="仿宋" w:cs="仿宋"/>
          <w:szCs w:val="24"/>
        </w:rPr>
        <w:t>离表</w:t>
      </w:r>
      <w:r>
        <w:tab/>
      </w:r>
      <w:r>
        <w:fldChar w:fldCharType="begin"/>
      </w:r>
      <w:r>
        <w:instrText xml:space="preserve"> PAGEREF _Toc3655 \h </w:instrText>
      </w:r>
      <w:r>
        <w:fldChar w:fldCharType="separate"/>
      </w:r>
      <w:r>
        <w:t>46</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_Toc25102 </w:instrText>
      </w:r>
      <w:r>
        <w:rPr>
          <w:rFonts w:hint="eastAsia" w:ascii="仿宋_GB2312" w:hAnsi="宋体" w:eastAsia="仿宋_GB2312"/>
          <w:bCs w:val="0"/>
        </w:rPr>
        <w:fldChar w:fldCharType="separate"/>
      </w:r>
      <w:r>
        <w:rPr>
          <w:rFonts w:hint="eastAsia" w:ascii="仿宋" w:hAnsi="仿宋" w:eastAsia="仿宋" w:cs="仿宋"/>
          <w:szCs w:val="24"/>
        </w:rPr>
        <w:t>（七）供应商行为准则承诺书</w:t>
      </w:r>
      <w:r>
        <w:tab/>
      </w:r>
      <w:r>
        <w:fldChar w:fldCharType="begin"/>
      </w:r>
      <w:r>
        <w:instrText xml:space="preserve"> PAGEREF _Toc25102 \h </w:instrText>
      </w:r>
      <w:r>
        <w:fldChar w:fldCharType="separate"/>
      </w:r>
      <w:r>
        <w:t>47</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_Toc25054 </w:instrText>
      </w:r>
      <w:r>
        <w:rPr>
          <w:rFonts w:hint="eastAsia" w:ascii="仿宋_GB2312" w:hAnsi="宋体" w:eastAsia="仿宋_GB2312"/>
          <w:bCs w:val="0"/>
        </w:rPr>
        <w:fldChar w:fldCharType="separate"/>
      </w:r>
      <w:r>
        <w:rPr>
          <w:rFonts w:hint="eastAsia" w:ascii="仿宋" w:hAnsi="仿宋" w:eastAsia="仿宋" w:cs="宋体"/>
          <w:bCs w:val="0"/>
          <w:szCs w:val="24"/>
        </w:rPr>
        <w:t>（八）供应商廉洁诚信承诺书</w:t>
      </w:r>
      <w:r>
        <w:tab/>
      </w:r>
      <w:r>
        <w:fldChar w:fldCharType="begin"/>
      </w:r>
      <w:r>
        <w:instrText xml:space="preserve"> PAGEREF _Toc25054 \h </w:instrText>
      </w:r>
      <w:r>
        <w:fldChar w:fldCharType="separate"/>
      </w:r>
      <w:r>
        <w:t>49</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_Toc23667 </w:instrText>
      </w:r>
      <w:r>
        <w:rPr>
          <w:rFonts w:hint="eastAsia" w:ascii="仿宋_GB2312" w:hAnsi="宋体" w:eastAsia="仿宋_GB2312"/>
          <w:bCs w:val="0"/>
        </w:rPr>
        <w:fldChar w:fldCharType="separate"/>
      </w:r>
      <w:r>
        <w:rPr>
          <w:rFonts w:hint="eastAsia" w:ascii="仿宋" w:hAnsi="仿宋" w:eastAsia="仿宋" w:cs="宋体"/>
          <w:bCs w:val="0"/>
          <w:szCs w:val="24"/>
        </w:rPr>
        <w:t>（九）</w:t>
      </w:r>
      <w:r>
        <w:rPr>
          <w:rFonts w:hint="eastAsia" w:ascii="仿宋" w:hAnsi="仿宋" w:eastAsia="仿宋" w:cs="宋体"/>
        </w:rPr>
        <w:t>其他材料</w:t>
      </w:r>
      <w:r>
        <w:tab/>
      </w:r>
      <w:r>
        <w:fldChar w:fldCharType="begin"/>
      </w:r>
      <w:r>
        <w:instrText xml:space="preserve"> PAGEREF _Toc23667 \h </w:instrText>
      </w:r>
      <w:r>
        <w:fldChar w:fldCharType="separate"/>
      </w:r>
      <w:r>
        <w:t>52</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_Toc31832 </w:instrText>
      </w:r>
      <w:r>
        <w:rPr>
          <w:rFonts w:hint="eastAsia" w:ascii="仿宋_GB2312" w:hAnsi="宋体" w:eastAsia="仿宋_GB2312"/>
          <w:bCs w:val="0"/>
        </w:rPr>
        <w:fldChar w:fldCharType="separate"/>
      </w:r>
      <w:r>
        <w:rPr>
          <w:rFonts w:hint="eastAsia" w:ascii="仿宋" w:hAnsi="仿宋" w:eastAsia="仿宋" w:cs="仿宋"/>
          <w:szCs w:val="24"/>
        </w:rPr>
        <w:t>二、技术文件</w:t>
      </w:r>
      <w:r>
        <w:tab/>
      </w:r>
      <w:r>
        <w:fldChar w:fldCharType="begin"/>
      </w:r>
      <w:r>
        <w:instrText xml:space="preserve"> PAGEREF _Toc31832 \h </w:instrText>
      </w:r>
      <w:r>
        <w:fldChar w:fldCharType="separate"/>
      </w:r>
      <w:r>
        <w:t>53</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_Toc13482 </w:instrText>
      </w:r>
      <w:r>
        <w:rPr>
          <w:rFonts w:hint="eastAsia" w:ascii="仿宋_GB2312" w:hAnsi="宋体" w:eastAsia="仿宋_GB2312"/>
          <w:bCs w:val="0"/>
        </w:rPr>
        <w:fldChar w:fldCharType="separate"/>
      </w:r>
      <w:r>
        <w:rPr>
          <w:rFonts w:hint="eastAsia" w:ascii="仿宋" w:hAnsi="仿宋" w:eastAsia="仿宋" w:cs="仿宋"/>
          <w:szCs w:val="24"/>
        </w:rPr>
        <w:t>（一）采购需求应答偏离表</w:t>
      </w:r>
      <w:r>
        <w:tab/>
      </w:r>
      <w:r>
        <w:fldChar w:fldCharType="begin"/>
      </w:r>
      <w:r>
        <w:instrText xml:space="preserve"> PAGEREF _Toc13482 \h </w:instrText>
      </w:r>
      <w:r>
        <w:fldChar w:fldCharType="separate"/>
      </w:r>
      <w:r>
        <w:t>53</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_Toc12001 </w:instrText>
      </w:r>
      <w:r>
        <w:rPr>
          <w:rFonts w:hint="eastAsia" w:ascii="仿宋_GB2312" w:hAnsi="宋体" w:eastAsia="仿宋_GB2312"/>
          <w:bCs w:val="0"/>
        </w:rPr>
        <w:fldChar w:fldCharType="separate"/>
      </w:r>
      <w:r>
        <w:rPr>
          <w:rFonts w:hint="eastAsia" w:ascii="仿宋" w:hAnsi="仿宋" w:eastAsia="仿宋" w:cs="仿宋"/>
          <w:szCs w:val="24"/>
        </w:rPr>
        <w:t>（二）技术方案</w:t>
      </w:r>
      <w:r>
        <w:tab/>
      </w:r>
      <w:r>
        <w:fldChar w:fldCharType="begin"/>
      </w:r>
      <w:r>
        <w:instrText xml:space="preserve"> PAGEREF _Toc12001 \h </w:instrText>
      </w:r>
      <w:r>
        <w:fldChar w:fldCharType="separate"/>
      </w:r>
      <w:r>
        <w:t>54</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_Toc21797 </w:instrText>
      </w:r>
      <w:r>
        <w:rPr>
          <w:rFonts w:hint="eastAsia" w:ascii="仿宋_GB2312" w:hAnsi="宋体" w:eastAsia="仿宋_GB2312"/>
          <w:bCs w:val="0"/>
        </w:rPr>
        <w:fldChar w:fldCharType="separate"/>
      </w:r>
      <w:r>
        <w:rPr>
          <w:rFonts w:hint="eastAsia" w:ascii="仿宋" w:hAnsi="仿宋" w:eastAsia="仿宋" w:cs="仿宋"/>
          <w:szCs w:val="24"/>
        </w:rPr>
        <w:t>（三）其他材料</w:t>
      </w:r>
      <w:r>
        <w:tab/>
      </w:r>
      <w:r>
        <w:fldChar w:fldCharType="begin"/>
      </w:r>
      <w:r>
        <w:instrText xml:space="preserve"> PAGEREF _Toc21797 \h </w:instrText>
      </w:r>
      <w:r>
        <w:fldChar w:fldCharType="separate"/>
      </w:r>
      <w:r>
        <w:t>55</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_Toc26703 </w:instrText>
      </w:r>
      <w:r>
        <w:rPr>
          <w:rFonts w:hint="eastAsia" w:ascii="仿宋_GB2312" w:hAnsi="宋体" w:eastAsia="仿宋_GB2312"/>
          <w:bCs w:val="0"/>
        </w:rPr>
        <w:fldChar w:fldCharType="separate"/>
      </w:r>
      <w:r>
        <w:rPr>
          <w:rFonts w:hint="eastAsia" w:ascii="仿宋" w:hAnsi="仿宋" w:eastAsia="仿宋" w:cs="仿宋"/>
          <w:szCs w:val="24"/>
          <w:lang w:val="en-US" w:eastAsia="zh-CN"/>
        </w:rPr>
        <w:t>三</w:t>
      </w:r>
      <w:r>
        <w:rPr>
          <w:rFonts w:hint="eastAsia" w:ascii="仿宋" w:hAnsi="仿宋" w:eastAsia="仿宋" w:cs="仿宋"/>
          <w:szCs w:val="24"/>
        </w:rPr>
        <w:t>、</w:t>
      </w:r>
      <w:r>
        <w:rPr>
          <w:rFonts w:hint="eastAsia" w:ascii="仿宋" w:hAnsi="仿宋" w:eastAsia="仿宋" w:cs="仿宋"/>
          <w:szCs w:val="24"/>
          <w:lang w:val="en-US" w:eastAsia="zh-CN"/>
        </w:rPr>
        <w:t>报价</w:t>
      </w:r>
      <w:r>
        <w:rPr>
          <w:rFonts w:hint="eastAsia" w:ascii="仿宋" w:hAnsi="仿宋" w:eastAsia="仿宋" w:cs="仿宋"/>
          <w:szCs w:val="24"/>
        </w:rPr>
        <w:t>文件</w:t>
      </w:r>
      <w:r>
        <w:tab/>
      </w:r>
      <w:r>
        <w:fldChar w:fldCharType="begin"/>
      </w:r>
      <w:r>
        <w:instrText xml:space="preserve"> PAGEREF _Toc26703 \h </w:instrText>
      </w:r>
      <w:r>
        <w:fldChar w:fldCharType="separate"/>
      </w:r>
      <w:r>
        <w:t>56</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_Toc3812 </w:instrText>
      </w:r>
      <w:r>
        <w:rPr>
          <w:rFonts w:hint="eastAsia" w:ascii="仿宋_GB2312" w:hAnsi="宋体" w:eastAsia="仿宋_GB2312"/>
          <w:bCs w:val="0"/>
        </w:rPr>
        <w:fldChar w:fldCharType="separate"/>
      </w:r>
      <w:r>
        <w:rPr>
          <w:rFonts w:hint="eastAsia" w:ascii="仿宋" w:hAnsi="仿宋" w:eastAsia="仿宋" w:cs="仿宋"/>
          <w:szCs w:val="24"/>
        </w:rPr>
        <w:t>（一）报价一览表</w:t>
      </w:r>
      <w:r>
        <w:tab/>
      </w:r>
      <w:r>
        <w:fldChar w:fldCharType="begin"/>
      </w:r>
      <w:r>
        <w:instrText xml:space="preserve"> PAGEREF _Toc3812 \h </w:instrText>
      </w:r>
      <w:r>
        <w:fldChar w:fldCharType="separate"/>
      </w:r>
      <w:r>
        <w:t>56</w:t>
      </w:r>
      <w:r>
        <w:fldChar w:fldCharType="end"/>
      </w:r>
      <w:r>
        <w:rPr>
          <w:rFonts w:hint="eastAsia" w:ascii="仿宋_GB2312" w:hAnsi="宋体" w:eastAsia="仿宋_GB2312"/>
          <w:bCs w:val="0"/>
          <w:color w:val="auto"/>
        </w:rPr>
        <w:fldChar w:fldCharType="end"/>
      </w:r>
    </w:p>
    <w:p>
      <w:pPr>
        <w:pStyle w:val="3"/>
        <w:ind w:left="0" w:firstLine="0"/>
        <w:rPr>
          <w:rFonts w:ascii="仿宋_GB2312" w:hAnsi="宋体" w:eastAsia="仿宋_GB2312"/>
          <w:b w:val="0"/>
          <w:bCs w:val="0"/>
          <w:color w:val="auto"/>
        </w:rPr>
        <w:sectPr>
          <w:footerReference r:id="rId4" w:type="default"/>
          <w:pgSz w:w="11906" w:h="16838"/>
          <w:pgMar w:top="1440" w:right="1134" w:bottom="1440" w:left="1134" w:header="851" w:footer="992" w:gutter="0"/>
          <w:pgNumType w:fmt="decimal" w:start="1"/>
          <w:cols w:space="720" w:num="1"/>
          <w:docGrid w:linePitch="326" w:charSpace="0"/>
        </w:sectPr>
      </w:pPr>
      <w:r>
        <w:rPr>
          <w:rFonts w:hint="eastAsia" w:ascii="仿宋_GB2312" w:hAnsi="宋体" w:eastAsia="仿宋_GB2312"/>
          <w:bCs w:val="0"/>
          <w:color w:val="auto"/>
        </w:rPr>
        <w:fldChar w:fldCharType="end"/>
      </w:r>
    </w:p>
    <w:p>
      <w:pPr>
        <w:pStyle w:val="3"/>
        <w:ind w:left="0" w:firstLine="0"/>
        <w:rPr>
          <w:rFonts w:ascii="仿宋" w:hAnsi="仿宋" w:eastAsia="仿宋" w:cs="Cambria Math"/>
          <w:b w:val="0"/>
          <w:bCs w:val="0"/>
          <w:color w:val="auto"/>
          <w:kern w:val="0"/>
          <w:sz w:val="24"/>
          <w:szCs w:val="24"/>
        </w:rPr>
        <w:sectPr>
          <w:headerReference r:id="rId5" w:type="default"/>
          <w:footerReference r:id="rId6" w:type="default"/>
          <w:type w:val="continuous"/>
          <w:pgSz w:w="11906" w:h="16838"/>
          <w:pgMar w:top="1440" w:right="1134" w:bottom="1440" w:left="1134" w:header="851" w:footer="992" w:gutter="0"/>
          <w:pgNumType w:fmt="decimal"/>
          <w:cols w:space="720" w:num="1"/>
          <w:docGrid w:linePitch="326" w:charSpace="0"/>
        </w:sectPr>
      </w:pPr>
    </w:p>
    <w:p>
      <w:pPr>
        <w:pStyle w:val="3"/>
        <w:ind w:left="0" w:firstLine="0"/>
        <w:rPr>
          <w:rFonts w:ascii="仿宋_GB2312" w:hAnsi="宋体" w:eastAsia="仿宋_GB2312"/>
          <w:color w:val="auto"/>
          <w:sz w:val="28"/>
          <w:szCs w:val="28"/>
        </w:rPr>
      </w:pPr>
      <w:bookmarkStart w:id="0" w:name="_Toc21360"/>
      <w:bookmarkStart w:id="1" w:name="_Toc26167"/>
      <w:r>
        <w:rPr>
          <w:rFonts w:hint="eastAsia" w:ascii="仿宋_GB2312" w:hAnsi="宋体" w:eastAsia="仿宋_GB2312"/>
          <w:color w:val="auto"/>
          <w:sz w:val="28"/>
          <w:szCs w:val="28"/>
        </w:rPr>
        <w:t>第一章 比选邀请</w:t>
      </w:r>
      <w:bookmarkEnd w:id="0"/>
      <w:bookmarkEnd w:id="1"/>
    </w:p>
    <w:p>
      <w:pPr>
        <w:wordWrap w:val="0"/>
        <w:spacing w:line="360" w:lineRule="auto"/>
        <w:ind w:firstLine="480" w:firstLineChars="200"/>
        <w:textAlignment w:val="baseline"/>
        <w:rPr>
          <w:rFonts w:ascii="仿宋" w:hAnsi="仿宋" w:eastAsia="仿宋" w:cs="Cambria Math"/>
          <w:color w:val="auto"/>
        </w:rPr>
      </w:pPr>
      <w:r>
        <w:rPr>
          <w:rFonts w:hint="eastAsia" w:ascii="仿宋_GB2312" w:hAnsi="宋体" w:eastAsia="仿宋_GB2312"/>
          <w:color w:val="auto"/>
        </w:rPr>
        <w:t xml:space="preserve">   </w:t>
      </w:r>
      <w:r>
        <w:rPr>
          <w:rFonts w:hint="eastAsia" w:ascii="仿宋" w:hAnsi="仿宋" w:eastAsia="仿宋" w:cs="仿宋"/>
          <w:color w:val="auto"/>
        </w:rPr>
        <w:t>本项目</w:t>
      </w:r>
      <w:r>
        <w:rPr>
          <w:rFonts w:hint="eastAsia" w:ascii="仿宋" w:hAnsi="仿宋" w:eastAsia="仿宋" w:cs="仿宋"/>
          <w:color w:val="auto"/>
          <w:u w:val="single"/>
          <w:lang w:eastAsia="zh-CN"/>
        </w:rPr>
        <w:t>人保财险四川省泸州市分公司立柱宣传采购项目</w:t>
      </w:r>
      <w:r>
        <w:rPr>
          <w:rFonts w:hint="eastAsia" w:ascii="仿宋" w:hAnsi="仿宋" w:eastAsia="仿宋" w:cs="仿宋"/>
          <w:color w:val="auto"/>
        </w:rPr>
        <w:t>（采购项目编号：XM26FSPC002390）由</w:t>
      </w:r>
      <w:r>
        <w:rPr>
          <w:rFonts w:hint="eastAsia" w:ascii="仿宋" w:hAnsi="仿宋" w:eastAsia="仿宋" w:cs="仿宋"/>
          <w:color w:val="auto"/>
          <w:u w:val="single"/>
        </w:rPr>
        <w:t>中国人民财产保险股份有限公司泸州市分公司</w:t>
      </w:r>
      <w:r>
        <w:rPr>
          <w:rFonts w:hint="eastAsia" w:ascii="仿宋" w:hAnsi="仿宋" w:eastAsia="仿宋" w:cs="仿宋"/>
          <w:color w:val="auto"/>
        </w:rPr>
        <w:t>（以下简称“采购人”）</w:t>
      </w:r>
      <w:r>
        <w:rPr>
          <w:rFonts w:hint="eastAsia" w:ascii="仿宋" w:hAnsi="仿宋" w:eastAsia="仿宋" w:cs="Cambria Math"/>
          <w:color w:val="auto"/>
        </w:rPr>
        <w:t>批准并落实资金，组织本项目的比选工作</w:t>
      </w:r>
      <w:r>
        <w:rPr>
          <w:rFonts w:hint="eastAsia" w:ascii="仿宋" w:hAnsi="仿宋" w:eastAsia="仿宋" w:cs="仿宋"/>
          <w:color w:val="auto"/>
        </w:rPr>
        <w:t>，采购合同由</w:t>
      </w:r>
      <w:r>
        <w:rPr>
          <w:rFonts w:hint="eastAsia" w:ascii="仿宋" w:hAnsi="仿宋" w:eastAsia="仿宋" w:cs="宋体"/>
          <w:color w:val="auto"/>
          <w:u w:val="single"/>
        </w:rPr>
        <w:t>中国人民财产保险股份有限公司泸州市分公司</w:t>
      </w:r>
      <w:r>
        <w:rPr>
          <w:rFonts w:hint="eastAsia" w:ascii="仿宋" w:hAnsi="仿宋" w:eastAsia="仿宋" w:cs="宋体"/>
          <w:color w:val="auto"/>
        </w:rPr>
        <w:t>（以下简称“人保财险泸州市分公司”）</w:t>
      </w:r>
      <w:r>
        <w:rPr>
          <w:rFonts w:hint="eastAsia" w:ascii="仿宋" w:hAnsi="仿宋" w:eastAsia="仿宋" w:cs="仿宋"/>
          <w:color w:val="auto"/>
        </w:rPr>
        <w:t>根据成交结果与成交人签署。现通过比选方式实施，</w:t>
      </w:r>
      <w:r>
        <w:rPr>
          <w:rFonts w:hint="eastAsia" w:ascii="仿宋" w:hAnsi="仿宋" w:eastAsia="仿宋" w:cs="Cambria Math"/>
          <w:color w:val="auto"/>
        </w:rPr>
        <w:t xml:space="preserve">有意向且具有提供标的物能力的潜在供应商（以下简称“供应商”）可前来参与比选响应。 </w:t>
      </w:r>
    </w:p>
    <w:p>
      <w:pPr>
        <w:pStyle w:val="4"/>
        <w:jc w:val="left"/>
        <w:rPr>
          <w:rFonts w:ascii="仿宋" w:hAnsi="仿宋" w:eastAsia="仿宋" w:cs="仿宋"/>
          <w:color w:val="auto"/>
          <w:sz w:val="24"/>
          <w:szCs w:val="24"/>
        </w:rPr>
      </w:pPr>
      <w:bookmarkStart w:id="2" w:name="_Toc21237"/>
      <w:bookmarkStart w:id="3" w:name="_Toc15784"/>
      <w:r>
        <w:rPr>
          <w:rFonts w:hint="eastAsia" w:ascii="仿宋" w:hAnsi="仿宋" w:eastAsia="仿宋" w:cs="仿宋"/>
          <w:color w:val="auto"/>
          <w:sz w:val="24"/>
          <w:szCs w:val="24"/>
        </w:rPr>
        <w:t>一、项目概况与采购范围</w:t>
      </w:r>
      <w:bookmarkEnd w:id="2"/>
      <w:bookmarkEnd w:id="3"/>
    </w:p>
    <w:p>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rPr>
        <w:t>1.1 项目名称：</w:t>
      </w:r>
      <w:r>
        <w:rPr>
          <w:rFonts w:hint="eastAsia" w:ascii="仿宋" w:hAnsi="仿宋" w:eastAsia="仿宋" w:cs="仿宋"/>
          <w:color w:val="auto"/>
          <w:u w:val="single"/>
          <w:lang w:eastAsia="zh-CN"/>
        </w:rPr>
        <w:t>人保财险四川省泸州市分公司立柱宣传采购项目</w:t>
      </w:r>
      <w:r>
        <w:rPr>
          <w:rFonts w:hint="eastAsia" w:ascii="仿宋" w:hAnsi="仿宋" w:eastAsia="仿宋" w:cs="仿宋"/>
          <w:color w:val="auto"/>
        </w:rPr>
        <w:t>。</w:t>
      </w:r>
    </w:p>
    <w:p>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rPr>
        <w:t>1.2 采购范围：拟采购两家供应商，分别负责泸县县域内和隆纳高速路收费站（泸州站）的立柱宣传，具体技术要求详见第五章采购需求。</w:t>
      </w:r>
    </w:p>
    <w:p>
      <w:pPr>
        <w:adjustRightInd w:val="0"/>
        <w:snapToGrid w:val="0"/>
        <w:spacing w:line="360" w:lineRule="auto"/>
        <w:ind w:firstLine="480" w:firstLineChars="200"/>
        <w:rPr>
          <w:rFonts w:hint="eastAsia" w:ascii="仿宋" w:hAnsi="仿宋" w:eastAsia="仿宋" w:cs="宋体"/>
          <w:color w:val="auto"/>
        </w:rPr>
      </w:pPr>
      <w:r>
        <w:rPr>
          <w:rFonts w:hint="eastAsia" w:ascii="仿宋" w:hAnsi="仿宋" w:eastAsia="仿宋" w:cs="仿宋"/>
          <w:color w:val="auto"/>
        </w:rPr>
        <w:t>1.3 标包划分：</w:t>
      </w:r>
      <w:r>
        <w:rPr>
          <w:rFonts w:hint="eastAsia" w:ascii="仿宋" w:hAnsi="仿宋" w:eastAsia="仿宋" w:cs="宋体"/>
          <w:color w:val="auto"/>
        </w:rPr>
        <w:t>本项目划分为2个标包，情况如下</w:t>
      </w:r>
    </w:p>
    <w:tbl>
      <w:tblPr>
        <w:tblStyle w:val="29"/>
        <w:tblW w:w="44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4"/>
        <w:gridCol w:w="2434"/>
        <w:gridCol w:w="3287"/>
        <w:gridCol w:w="14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9" w:type="pct"/>
            <w:noWrap w:val="0"/>
            <w:vAlign w:val="center"/>
          </w:tcPr>
          <w:p>
            <w:pPr>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标包号</w:t>
            </w:r>
          </w:p>
        </w:tc>
        <w:tc>
          <w:tcPr>
            <w:tcW w:w="1474" w:type="pct"/>
            <w:noWrap w:val="0"/>
            <w:vAlign w:val="center"/>
          </w:tcPr>
          <w:p>
            <w:pPr>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标包名称</w:t>
            </w:r>
          </w:p>
        </w:tc>
        <w:tc>
          <w:tcPr>
            <w:tcW w:w="1991" w:type="pct"/>
            <w:noWrap w:val="0"/>
            <w:vAlign w:val="center"/>
          </w:tcPr>
          <w:p>
            <w:pPr>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采购内容/数量</w:t>
            </w:r>
          </w:p>
        </w:tc>
        <w:tc>
          <w:tcPr>
            <w:tcW w:w="895" w:type="pct"/>
            <w:noWrap w:val="0"/>
            <w:vAlign w:val="center"/>
          </w:tcPr>
          <w:p>
            <w:pPr>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中标人数量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9" w:type="pct"/>
            <w:noWrap w:val="0"/>
            <w:vAlign w:val="center"/>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标包1</w:t>
            </w:r>
          </w:p>
        </w:tc>
        <w:tc>
          <w:tcPr>
            <w:tcW w:w="1474" w:type="pct"/>
            <w:noWrap w:val="0"/>
            <w:vAlign w:val="center"/>
          </w:tcPr>
          <w:p>
            <w:p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泸县镇街立柱宣传</w:t>
            </w:r>
          </w:p>
        </w:tc>
        <w:tc>
          <w:tcPr>
            <w:tcW w:w="1991" w:type="pct"/>
            <w:noWrap w:val="0"/>
            <w:vAlign w:val="center"/>
          </w:tcPr>
          <w:p>
            <w:pPr>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负责泸县县域内20个镇街立柱宣传的制作安装投放及后期维护，宣传期3个月</w:t>
            </w:r>
          </w:p>
        </w:tc>
        <w:tc>
          <w:tcPr>
            <w:tcW w:w="895" w:type="pct"/>
            <w:noWrap w:val="0"/>
            <w:vAlign w:val="center"/>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9" w:type="pct"/>
            <w:noWrap w:val="0"/>
            <w:vAlign w:val="center"/>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标包2</w:t>
            </w:r>
          </w:p>
        </w:tc>
        <w:tc>
          <w:tcPr>
            <w:tcW w:w="1474" w:type="pct"/>
            <w:noWrap w:val="0"/>
            <w:vAlign w:val="center"/>
          </w:tcPr>
          <w:p>
            <w:p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隆纳高速泸州收费站</w:t>
            </w:r>
          </w:p>
          <w:p>
            <w:p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立柱宣传</w:t>
            </w:r>
          </w:p>
        </w:tc>
        <w:tc>
          <w:tcPr>
            <w:tcW w:w="1991" w:type="pct"/>
            <w:noWrap w:val="0"/>
            <w:vAlign w:val="center"/>
          </w:tcPr>
          <w:p>
            <w:pPr>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负责</w:t>
            </w:r>
            <w:r>
              <w:rPr>
                <w:rFonts w:hint="eastAsia" w:ascii="仿宋_GB2312" w:hAnsi="宋体" w:eastAsia="仿宋_GB2312" w:cs="宋体"/>
                <w:kern w:val="0"/>
                <w:sz w:val="24"/>
                <w:szCs w:val="24"/>
                <w:vertAlign w:val="baseline"/>
                <w:lang w:val="en-US" w:eastAsia="zh-CN"/>
              </w:rPr>
              <w:t>隆纳高速泸州收费站</w:t>
            </w:r>
            <w:r>
              <w:rPr>
                <w:rFonts w:hint="eastAsia" w:ascii="仿宋" w:hAnsi="仿宋" w:eastAsia="仿宋" w:cs="仿宋"/>
                <w:color w:val="auto"/>
                <w:sz w:val="24"/>
                <w:szCs w:val="24"/>
                <w:lang w:val="en-US" w:eastAsia="zh-CN"/>
              </w:rPr>
              <w:t>1个立柱宣传的制作安装投放及后期维护，宣传期6个月</w:t>
            </w:r>
          </w:p>
        </w:tc>
        <w:tc>
          <w:tcPr>
            <w:tcW w:w="895" w:type="pct"/>
            <w:noWrap w:val="0"/>
            <w:vAlign w:val="center"/>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个</w:t>
            </w:r>
          </w:p>
        </w:tc>
      </w:tr>
    </w:tbl>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ascii="仿宋" w:hAnsi="仿宋" w:eastAsia="仿宋" w:cs="仿宋"/>
          <w:color w:val="auto"/>
        </w:rPr>
      </w:pPr>
      <w:r>
        <w:rPr>
          <w:rFonts w:ascii="仿宋" w:hAnsi="仿宋" w:eastAsia="仿宋" w:cs="仿宋"/>
          <w:color w:val="auto"/>
        </w:rPr>
        <w:t>1.4</w:t>
      </w:r>
      <w:r>
        <w:rPr>
          <w:rFonts w:ascii="仿宋" w:hAnsi="仿宋" w:cs="仿宋"/>
          <w:color w:val="auto"/>
        </w:rPr>
        <w:t xml:space="preserve"> </w:t>
      </w:r>
      <w:r>
        <w:rPr>
          <w:rFonts w:hint="eastAsia" w:ascii="仿宋" w:hAnsi="仿宋" w:eastAsia="仿宋" w:cs="仿宋"/>
          <w:color w:val="auto"/>
        </w:rPr>
        <w:t>项目性质：</w:t>
      </w:r>
      <w:r>
        <w:rPr>
          <w:rFonts w:hint="eastAsia" w:ascii="仿宋" w:hAnsi="仿宋" w:eastAsia="仿宋" w:cs="宋体"/>
          <w:color w:val="auto"/>
        </w:rPr>
        <w:t>服务</w:t>
      </w:r>
      <w:r>
        <w:rPr>
          <w:rFonts w:hint="eastAsia" w:ascii="仿宋" w:hAnsi="仿宋" w:eastAsia="仿宋" w:cs="仿宋"/>
          <w:color w:val="auto"/>
        </w:rPr>
        <w:t>。</w:t>
      </w:r>
    </w:p>
    <w:p>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5</w:t>
      </w:r>
      <w:r>
        <w:rPr>
          <w:rFonts w:hint="eastAsia" w:ascii="仿宋" w:hAnsi="仿宋" w:eastAsia="仿宋" w:cs="仿宋"/>
          <w:color w:val="auto"/>
        </w:rPr>
        <w:t>服务期限：</w:t>
      </w:r>
      <w:r>
        <w:rPr>
          <w:rFonts w:hint="eastAsia" w:ascii="仿宋" w:hAnsi="仿宋" w:eastAsia="仿宋" w:cs="宋体"/>
          <w:color w:val="auto"/>
        </w:rPr>
        <w:t>自合同签订之日起</w:t>
      </w:r>
      <w:r>
        <w:rPr>
          <w:rFonts w:hint="eastAsia" w:ascii="仿宋" w:hAnsi="仿宋" w:eastAsia="仿宋" w:cs="宋体"/>
          <w:color w:val="auto"/>
          <w:lang w:val="en-US" w:eastAsia="zh-CN"/>
        </w:rPr>
        <w:t>3个月/6个月</w:t>
      </w:r>
      <w:r>
        <w:rPr>
          <w:rFonts w:hint="eastAsia" w:ascii="仿宋" w:hAnsi="仿宋" w:eastAsia="仿宋" w:cs="宋体"/>
          <w:color w:val="auto"/>
        </w:rPr>
        <w:t>。</w:t>
      </w:r>
    </w:p>
    <w:p>
      <w:pPr>
        <w:adjustRightInd w:val="0"/>
        <w:snapToGrid w:val="0"/>
        <w:spacing w:line="360" w:lineRule="auto"/>
        <w:ind w:firstLine="480" w:firstLineChars="200"/>
        <w:rPr>
          <w:rFonts w:ascii="仿宋" w:hAnsi="仿宋" w:eastAsia="仿宋" w:cs="宋体"/>
          <w:color w:val="auto"/>
        </w:rPr>
      </w:pPr>
      <w:r>
        <w:rPr>
          <w:rFonts w:hint="eastAsia" w:ascii="仿宋" w:hAnsi="仿宋" w:eastAsia="仿宋" w:cs="仿宋"/>
          <w:color w:val="auto"/>
        </w:rPr>
        <w:t>1.</w:t>
      </w:r>
      <w:r>
        <w:rPr>
          <w:rFonts w:ascii="仿宋" w:hAnsi="仿宋" w:eastAsia="仿宋" w:cs="仿宋"/>
          <w:color w:val="auto"/>
        </w:rPr>
        <w:t>6</w:t>
      </w:r>
      <w:r>
        <w:rPr>
          <w:rFonts w:hint="eastAsia" w:ascii="仿宋" w:hAnsi="仿宋" w:eastAsia="仿宋" w:cs="宋体"/>
          <w:color w:val="auto"/>
        </w:rPr>
        <w:t>服务地点：</w:t>
      </w:r>
      <w:r>
        <w:rPr>
          <w:rFonts w:hint="eastAsia" w:ascii="仿宋" w:hAnsi="仿宋" w:eastAsia="仿宋" w:cs="宋体"/>
          <w:color w:val="auto"/>
          <w:lang w:val="en-US" w:eastAsia="zh-CN"/>
        </w:rPr>
        <w:t>泸县、泸州市</w:t>
      </w:r>
      <w:r>
        <w:rPr>
          <w:rFonts w:hint="eastAsia" w:ascii="仿宋" w:hAnsi="仿宋" w:eastAsia="仿宋" w:cs="宋体"/>
          <w:color w:val="auto"/>
        </w:rPr>
        <w:t>。</w:t>
      </w:r>
    </w:p>
    <w:p>
      <w:pPr>
        <w:pStyle w:val="2"/>
        <w:rPr>
          <w:color w:val="auto"/>
        </w:rPr>
      </w:pPr>
      <w:r>
        <w:rPr>
          <w:rFonts w:hint="eastAsia"/>
          <w:color w:val="auto"/>
        </w:rPr>
        <w:t xml:space="preserve"> </w:t>
      </w:r>
      <w:r>
        <w:rPr>
          <w:color w:val="auto"/>
        </w:rPr>
        <w:t xml:space="preserve">   </w:t>
      </w:r>
      <w:r>
        <w:rPr>
          <w:rFonts w:ascii="仿宋" w:hAnsi="仿宋" w:eastAsia="仿宋" w:cs="仿宋"/>
          <w:color w:val="auto"/>
        </w:rPr>
        <w:t>1.7 项目限价</w:t>
      </w:r>
      <w:r>
        <w:rPr>
          <w:rFonts w:hint="eastAsia" w:ascii="仿宋" w:hAnsi="仿宋" w:eastAsia="仿宋" w:cs="仿宋"/>
          <w:color w:val="auto"/>
        </w:rPr>
        <w:t>：项目设置单价最高限价，即供应商报价标包1不得高于</w:t>
      </w:r>
      <w:r>
        <w:rPr>
          <w:rFonts w:hint="eastAsia" w:ascii="仿宋" w:hAnsi="仿宋" w:eastAsia="仿宋" w:cs="仿宋"/>
          <w:color w:val="auto"/>
          <w:lang w:val="en-US" w:eastAsia="zh-CN"/>
        </w:rPr>
        <w:t>32</w:t>
      </w:r>
      <w:r>
        <w:rPr>
          <w:rFonts w:hint="eastAsia" w:ascii="仿宋" w:hAnsi="仿宋" w:eastAsia="仿宋" w:cs="仿宋"/>
          <w:color w:val="auto"/>
        </w:rPr>
        <w:t>00元</w:t>
      </w:r>
      <w:r>
        <w:rPr>
          <w:rFonts w:hint="eastAsia" w:ascii="仿宋" w:hAnsi="仿宋" w:eastAsia="仿宋" w:cs="仿宋"/>
          <w:color w:val="auto"/>
          <w:lang w:eastAsia="zh-CN"/>
        </w:rPr>
        <w:t>、</w:t>
      </w:r>
      <w:r>
        <w:rPr>
          <w:rFonts w:hint="eastAsia" w:ascii="仿宋" w:hAnsi="仿宋" w:eastAsia="仿宋" w:cs="仿宋"/>
          <w:color w:val="auto"/>
        </w:rPr>
        <w:t>标包</w:t>
      </w:r>
      <w:r>
        <w:rPr>
          <w:rFonts w:hint="eastAsia" w:ascii="仿宋" w:hAnsi="仿宋" w:eastAsia="仿宋" w:cs="仿宋"/>
          <w:color w:val="auto"/>
          <w:lang w:val="en-US" w:eastAsia="zh-CN"/>
        </w:rPr>
        <w:t>2</w:t>
      </w:r>
      <w:r>
        <w:rPr>
          <w:rFonts w:hint="eastAsia" w:ascii="仿宋" w:hAnsi="仿宋" w:eastAsia="仿宋" w:cs="仿宋"/>
          <w:color w:val="auto"/>
        </w:rPr>
        <w:t>不得高于</w:t>
      </w:r>
      <w:r>
        <w:rPr>
          <w:rFonts w:hint="eastAsia" w:ascii="仿宋" w:hAnsi="仿宋" w:eastAsia="仿宋" w:cs="仿宋"/>
          <w:color w:val="auto"/>
          <w:lang w:val="en-US" w:eastAsia="zh-CN"/>
        </w:rPr>
        <w:t>170</w:t>
      </w:r>
      <w:r>
        <w:rPr>
          <w:rFonts w:hint="eastAsia" w:ascii="仿宋" w:hAnsi="仿宋" w:eastAsia="仿宋" w:cs="仿宋"/>
          <w:color w:val="auto"/>
        </w:rPr>
        <w:t>00元。</w:t>
      </w:r>
    </w:p>
    <w:p>
      <w:pPr>
        <w:pStyle w:val="4"/>
        <w:jc w:val="left"/>
        <w:rPr>
          <w:rFonts w:ascii="仿宋" w:hAnsi="仿宋" w:eastAsia="仿宋" w:cs="仿宋"/>
          <w:color w:val="auto"/>
          <w:sz w:val="24"/>
          <w:szCs w:val="24"/>
        </w:rPr>
      </w:pPr>
      <w:bookmarkStart w:id="4" w:name="_Toc17569"/>
      <w:bookmarkStart w:id="5" w:name="_Toc8936"/>
      <w:r>
        <w:rPr>
          <w:rFonts w:hint="eastAsia" w:ascii="仿宋" w:hAnsi="仿宋" w:eastAsia="仿宋" w:cs="仿宋"/>
          <w:color w:val="auto"/>
          <w:sz w:val="24"/>
          <w:szCs w:val="24"/>
        </w:rPr>
        <w:t>二、供应商资格要求</w:t>
      </w:r>
      <w:bookmarkEnd w:id="4"/>
      <w:bookmarkEnd w:id="5"/>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2.1</w:t>
      </w:r>
      <w:r>
        <w:rPr>
          <w:rFonts w:hint="eastAsia" w:ascii="仿宋" w:hAnsi="仿宋" w:eastAsia="仿宋" w:cs="宋体"/>
          <w:b/>
          <w:bCs/>
          <w:color w:val="auto"/>
        </w:rPr>
        <w:t>在中华人民共和国境内依法登记的法人或其他组织，具有独立承担民事责任的能力，</w:t>
      </w:r>
      <w:r>
        <w:rPr>
          <w:rFonts w:hint="eastAsia" w:ascii="仿宋" w:hAnsi="仿宋" w:eastAsia="仿宋" w:cs="宋体"/>
          <w:color w:val="auto"/>
        </w:rPr>
        <w:t>供应商如为企业法人，须提供企业法人营业执照</w:t>
      </w:r>
      <w:r>
        <w:rPr>
          <w:rFonts w:hint="eastAsia" w:ascii="仿宋" w:hAnsi="仿宋" w:eastAsia="仿宋" w:cs="Monaco"/>
          <w:color w:val="auto"/>
        </w:rPr>
        <w:t>（复印件）</w:t>
      </w:r>
      <w:r>
        <w:rPr>
          <w:rFonts w:hint="eastAsia" w:ascii="仿宋" w:hAnsi="仿宋" w:eastAsia="仿宋" w:cs="宋体"/>
          <w:color w:val="auto"/>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w:t>
      </w:r>
      <w:r>
        <w:rPr>
          <w:rFonts w:ascii="仿宋" w:hAnsi="仿宋" w:eastAsia="仿宋" w:cs="宋体"/>
          <w:color w:val="auto"/>
        </w:rPr>
        <w:t>2</w:t>
      </w:r>
      <w:r>
        <w:rPr>
          <w:rFonts w:hint="eastAsia" w:ascii="仿宋" w:hAnsi="仿宋" w:eastAsia="仿宋" w:cs="宋体"/>
          <w:color w:val="auto"/>
        </w:rPr>
        <w:t xml:space="preserve"> </w:t>
      </w:r>
      <w:r>
        <w:rPr>
          <w:rFonts w:hint="eastAsia" w:ascii="仿宋" w:hAnsi="仿宋" w:eastAsia="仿宋" w:cs="宋体"/>
          <w:b/>
          <w:bCs/>
          <w:color w:val="auto"/>
        </w:rPr>
        <w:t>供应商应具有履行合同所必需的设备和专业技术能力</w:t>
      </w:r>
      <w:r>
        <w:rPr>
          <w:rFonts w:hint="eastAsia" w:ascii="仿宋" w:hAnsi="仿宋" w:eastAsia="仿宋" w:cs="宋体"/>
          <w:color w:val="auto"/>
        </w:rPr>
        <w:t>，近三年（20</w:t>
      </w:r>
      <w:r>
        <w:rPr>
          <w:rFonts w:ascii="仿宋" w:hAnsi="仿宋" w:eastAsia="仿宋" w:cs="宋体"/>
          <w:color w:val="auto"/>
        </w:rPr>
        <w:t>23</w:t>
      </w:r>
      <w:r>
        <w:rPr>
          <w:rFonts w:hint="eastAsia" w:ascii="仿宋" w:hAnsi="仿宋" w:eastAsia="仿宋" w:cs="宋体"/>
          <w:color w:val="auto"/>
        </w:rPr>
        <w:t>年1月1日至今）应具有</w:t>
      </w:r>
      <w:r>
        <w:rPr>
          <w:rFonts w:ascii="仿宋" w:hAnsi="仿宋" w:eastAsia="仿宋" w:cs="宋体"/>
          <w:color w:val="auto"/>
        </w:rPr>
        <w:t>1</w:t>
      </w:r>
      <w:r>
        <w:rPr>
          <w:rFonts w:hint="eastAsia" w:ascii="仿宋" w:hAnsi="仿宋" w:eastAsia="仿宋" w:cs="宋体"/>
          <w:color w:val="auto"/>
        </w:rPr>
        <w:t>个（含）以上同类项目实施案例，并提供符合上述要求的合同关键页作为有效的业绩证明材料。合同关键页包含但不限于合同首页、合同标的页、签署日期页及盖章页等。</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w:t>
      </w:r>
      <w:r>
        <w:rPr>
          <w:rFonts w:ascii="仿宋" w:hAnsi="仿宋" w:eastAsia="仿宋" w:cs="宋体"/>
          <w:color w:val="auto"/>
        </w:rPr>
        <w:t>3</w:t>
      </w:r>
      <w:r>
        <w:rPr>
          <w:rFonts w:hint="eastAsia" w:ascii="仿宋" w:hAnsi="仿宋" w:eastAsia="仿宋" w:cs="宋体"/>
          <w:b/>
          <w:bCs/>
          <w:color w:val="auto"/>
        </w:rPr>
        <w:t>供应商应经营状况良好，且近三年内（</w:t>
      </w:r>
      <w:r>
        <w:rPr>
          <w:rFonts w:ascii="仿宋" w:hAnsi="仿宋" w:eastAsia="仿宋" w:cs="宋体"/>
          <w:b/>
          <w:bCs/>
          <w:color w:val="auto"/>
        </w:rPr>
        <w:t>2023</w:t>
      </w:r>
      <w:r>
        <w:rPr>
          <w:rFonts w:hint="eastAsia" w:ascii="仿宋" w:hAnsi="仿宋" w:eastAsia="仿宋" w:cs="宋体"/>
          <w:b/>
          <w:bCs/>
          <w:color w:val="auto"/>
        </w:rPr>
        <w:t>年1月1日至今）无违法违规记录。</w:t>
      </w:r>
      <w:r>
        <w:rPr>
          <w:rFonts w:hint="eastAsia" w:ascii="仿宋" w:hAnsi="仿宋" w:eastAsia="仿宋" w:cs="宋体"/>
          <w:color w:val="auto"/>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信用中国查询网址：https://www.creditchina.gov.cn/xinxigongshi/</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政府采购严重违法失信行为记录名单查询网址：</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https://www.creditchina.gov.cn/zhuanxiangchaxun/zhengfucaigouyanzhongweifashixinmingdan/</w:t>
      </w:r>
    </w:p>
    <w:p>
      <w:pPr>
        <w:spacing w:line="360" w:lineRule="auto"/>
        <w:ind w:firstLine="480" w:firstLineChars="200"/>
        <w:textAlignment w:val="baseline"/>
        <w:rPr>
          <w:rFonts w:ascii="仿宋" w:hAnsi="仿宋" w:eastAsia="仿宋" w:cs="宋体"/>
          <w:b/>
          <w:bCs/>
          <w:color w:val="auto"/>
        </w:rPr>
      </w:pPr>
      <w:r>
        <w:rPr>
          <w:rFonts w:hint="eastAsia" w:ascii="仿宋" w:hAnsi="仿宋" w:eastAsia="仿宋" w:cs="宋体"/>
          <w:color w:val="auto"/>
        </w:rPr>
        <w:t>2.</w:t>
      </w:r>
      <w:r>
        <w:rPr>
          <w:rFonts w:hint="eastAsia" w:ascii="仿宋" w:hAnsi="仿宋" w:eastAsia="仿宋" w:cs="宋体"/>
          <w:color w:val="auto"/>
          <w:lang w:val="en-US" w:eastAsia="zh-CN"/>
        </w:rPr>
        <w:t>4</w:t>
      </w:r>
      <w:r>
        <w:rPr>
          <w:rFonts w:hint="eastAsia" w:ascii="仿宋" w:hAnsi="仿宋" w:eastAsia="仿宋" w:cs="宋体"/>
          <w:color w:val="auto"/>
        </w:rPr>
        <w:t xml:space="preserve"> </w:t>
      </w:r>
      <w:r>
        <w:rPr>
          <w:rFonts w:hint="eastAsia" w:ascii="仿宋" w:hAnsi="仿宋" w:eastAsia="仿宋" w:cs="宋体"/>
          <w:b/>
          <w:bCs/>
          <w:color w:val="auto"/>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w:t>
      </w:r>
      <w:r>
        <w:rPr>
          <w:rFonts w:hint="eastAsia" w:ascii="仿宋" w:hAnsi="仿宋" w:eastAsia="仿宋" w:cs="宋体"/>
          <w:color w:val="auto"/>
          <w:lang w:val="en-US" w:eastAsia="zh-CN"/>
        </w:rPr>
        <w:t>5</w:t>
      </w:r>
      <w:r>
        <w:rPr>
          <w:rFonts w:hint="eastAsia" w:ascii="仿宋" w:hAnsi="仿宋" w:eastAsia="仿宋" w:cs="宋体"/>
          <w:color w:val="auto"/>
        </w:rPr>
        <w:t>单位负责人为同一人或存在控股、管理关系的不同单位，不得参加同一标段/标包比选响应或未划分标段/标包的同一采购项目的比选响应，需填写《供应商控股及管理关系情况申报表》。</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w:t>
      </w:r>
      <w:r>
        <w:rPr>
          <w:rFonts w:hint="eastAsia" w:ascii="仿宋" w:hAnsi="仿宋" w:eastAsia="仿宋" w:cs="宋体"/>
          <w:color w:val="auto"/>
          <w:lang w:val="en-US" w:eastAsia="zh-CN"/>
        </w:rPr>
        <w:t>6</w:t>
      </w:r>
      <w:r>
        <w:rPr>
          <w:rFonts w:hint="eastAsia" w:ascii="仿宋" w:hAnsi="仿宋" w:eastAsia="仿宋" w:cs="宋体"/>
          <w:color w:val="auto"/>
        </w:rPr>
        <w:t>本项目不接受联合体比选响应。提供承诺函，格式详见第六章响应文件格式。</w:t>
      </w:r>
    </w:p>
    <w:p>
      <w:pPr>
        <w:pStyle w:val="4"/>
        <w:spacing w:after="240"/>
        <w:jc w:val="left"/>
        <w:rPr>
          <w:rFonts w:ascii="仿宋" w:hAnsi="仿宋" w:eastAsia="仿宋" w:cs="仿宋"/>
          <w:color w:val="auto"/>
          <w:sz w:val="24"/>
          <w:szCs w:val="24"/>
        </w:rPr>
      </w:pPr>
      <w:bookmarkStart w:id="6" w:name="_Toc25502"/>
      <w:bookmarkStart w:id="7" w:name="_Toc2019"/>
      <w:r>
        <w:rPr>
          <w:rFonts w:hint="eastAsia" w:ascii="仿宋" w:hAnsi="仿宋" w:eastAsia="仿宋" w:cs="仿宋"/>
          <w:color w:val="auto"/>
          <w:sz w:val="24"/>
          <w:szCs w:val="24"/>
        </w:rPr>
        <w:t>三、比选文件的获取</w:t>
      </w:r>
      <w:bookmarkEnd w:id="6"/>
      <w:bookmarkEnd w:id="7"/>
    </w:p>
    <w:p>
      <w:pPr>
        <w:pStyle w:val="65"/>
        <w:adjustRightInd w:val="0"/>
        <w:snapToGrid w:val="0"/>
        <w:ind w:firstLineChars="175"/>
        <w:jc w:val="left"/>
        <w:rPr>
          <w:rFonts w:ascii="仿宋" w:hAnsi="仿宋" w:eastAsia="仿宋" w:cs="仿宋"/>
          <w:color w:val="auto"/>
          <w:sz w:val="24"/>
          <w:szCs w:val="24"/>
        </w:rPr>
      </w:pPr>
      <w:r>
        <w:rPr>
          <w:rFonts w:ascii="仿宋" w:hAnsi="仿宋" w:eastAsia="仿宋" w:cs="仿宋"/>
          <w:color w:val="auto"/>
          <w:sz w:val="24"/>
          <w:szCs w:val="24"/>
        </w:rPr>
        <w:t>3</w:t>
      </w:r>
      <w:r>
        <w:rPr>
          <w:rFonts w:hint="eastAsia" w:ascii="仿宋" w:hAnsi="仿宋" w:eastAsia="仿宋" w:cs="仿宋"/>
          <w:color w:val="auto"/>
          <w:sz w:val="24"/>
          <w:szCs w:val="24"/>
        </w:rPr>
        <w:t>.1比选文件</w:t>
      </w:r>
      <w:r>
        <w:rPr>
          <w:rFonts w:hint="eastAsia" w:ascii="仿宋" w:hAnsi="仿宋" w:eastAsia="仿宋" w:cs="宋体"/>
          <w:color w:val="auto"/>
          <w:sz w:val="24"/>
          <w:szCs w:val="24"/>
        </w:rPr>
        <w:t>获取</w:t>
      </w:r>
      <w:r>
        <w:rPr>
          <w:rFonts w:hint="eastAsia" w:ascii="仿宋" w:hAnsi="仿宋" w:eastAsia="仿宋" w:cs="仿宋"/>
          <w:color w:val="auto"/>
          <w:sz w:val="24"/>
          <w:szCs w:val="24"/>
        </w:rPr>
        <w:t>时间：</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7</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29</w:t>
      </w:r>
      <w:r>
        <w:rPr>
          <w:rFonts w:hint="eastAsia" w:ascii="仿宋" w:hAnsi="仿宋" w:eastAsia="仿宋" w:cs="宋体"/>
          <w:b/>
          <w:color w:val="auto"/>
          <w:sz w:val="24"/>
          <w:szCs w:val="24"/>
          <w:u w:val="single"/>
        </w:rPr>
        <w:t>日</w:t>
      </w:r>
      <w:r>
        <w:rPr>
          <w:rFonts w:hint="eastAsia" w:ascii="仿宋" w:hAnsi="仿宋" w:eastAsia="仿宋" w:cs="宋体"/>
          <w:b/>
          <w:color w:val="auto"/>
          <w:sz w:val="24"/>
          <w:szCs w:val="24"/>
        </w:rPr>
        <w:t>至</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7</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31</w:t>
      </w:r>
      <w:r>
        <w:rPr>
          <w:rFonts w:hint="eastAsia" w:ascii="仿宋" w:hAnsi="仿宋" w:eastAsia="仿宋" w:cs="宋体"/>
          <w:b/>
          <w:color w:val="auto"/>
          <w:sz w:val="24"/>
          <w:szCs w:val="24"/>
          <w:u w:val="single"/>
        </w:rPr>
        <w:t>日，</w:t>
      </w:r>
      <w:r>
        <w:rPr>
          <w:rFonts w:hint="eastAsia" w:ascii="仿宋" w:hAnsi="仿宋" w:eastAsia="仿宋" w:cs="宋体"/>
          <w:color w:val="auto"/>
          <w:sz w:val="24"/>
          <w:szCs w:val="24"/>
        </w:rPr>
        <w:t>上午</w:t>
      </w:r>
      <w:r>
        <w:rPr>
          <w:rFonts w:hint="eastAsia" w:ascii="仿宋" w:hAnsi="仿宋" w:eastAsia="仿宋" w:cs="宋体"/>
          <w:color w:val="auto"/>
          <w:sz w:val="24"/>
          <w:szCs w:val="24"/>
          <w:lang w:val="en-US" w:eastAsia="zh-CN"/>
        </w:rPr>
        <w:t>9</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12</w:t>
      </w:r>
      <w:r>
        <w:rPr>
          <w:rFonts w:hint="eastAsia" w:ascii="仿宋" w:hAnsi="仿宋" w:eastAsia="仿宋" w:cs="宋体"/>
          <w:color w:val="auto"/>
          <w:sz w:val="24"/>
          <w:szCs w:val="24"/>
        </w:rPr>
        <w:t>时，下午</w:t>
      </w:r>
      <w:r>
        <w:rPr>
          <w:rFonts w:hint="eastAsia" w:ascii="仿宋" w:hAnsi="仿宋" w:eastAsia="仿宋" w:cs="宋体"/>
          <w:color w:val="auto"/>
          <w:sz w:val="24"/>
          <w:szCs w:val="24"/>
          <w:lang w:val="en-US" w:eastAsia="zh-CN"/>
        </w:rPr>
        <w:t>12</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17</w:t>
      </w:r>
      <w:r>
        <w:rPr>
          <w:rFonts w:hint="eastAsia" w:ascii="仿宋" w:hAnsi="仿宋" w:eastAsia="仿宋" w:cs="宋体"/>
          <w:color w:val="auto"/>
          <w:sz w:val="24"/>
          <w:szCs w:val="24"/>
        </w:rPr>
        <w:t>时（北京时间，下同）。</w:t>
      </w:r>
    </w:p>
    <w:p>
      <w:pPr>
        <w:pStyle w:val="11"/>
        <w:spacing w:line="360" w:lineRule="auto"/>
        <w:ind w:firstLine="480" w:firstLineChars="200"/>
        <w:rPr>
          <w:rFonts w:ascii="仿宋" w:hAnsi="仿宋" w:eastAsia="仿宋" w:cs="仿宋_GB2312"/>
          <w:color w:val="auto"/>
          <w:sz w:val="24"/>
          <w:szCs w:val="24"/>
        </w:rPr>
      </w:pPr>
      <w:r>
        <w:rPr>
          <w:rFonts w:ascii="仿宋" w:hAnsi="仿宋" w:eastAsia="仿宋" w:cs="宋体"/>
          <w:color w:val="auto"/>
          <w:sz w:val="24"/>
        </w:rPr>
        <w:t>3</w:t>
      </w:r>
      <w:r>
        <w:rPr>
          <w:rFonts w:hint="eastAsia" w:ascii="仿宋" w:hAnsi="仿宋" w:eastAsia="仿宋" w:cs="宋体"/>
          <w:color w:val="auto"/>
          <w:sz w:val="24"/>
        </w:rPr>
        <w:t>.2拟报名参加本项目的供应商，请通过“人保e采”</w:t>
      </w:r>
      <w:r>
        <w:rPr>
          <w:rFonts w:hint="eastAsia" w:ascii="仿宋" w:hAnsi="仿宋" w:eastAsia="仿宋" w:cs="宋体"/>
          <w:color w:val="auto"/>
          <w:sz w:val="24"/>
          <w:lang w:eastAsia="zh-CN"/>
        </w:rPr>
        <w:t>、金采网</w:t>
      </w:r>
      <w:r>
        <w:rPr>
          <w:rFonts w:hint="eastAsia" w:ascii="仿宋" w:hAnsi="仿宋" w:eastAsia="仿宋" w:cs="宋体"/>
          <w:color w:val="auto"/>
          <w:sz w:val="24"/>
        </w:rPr>
        <w:t>外网门户获取比选文件</w:t>
      </w:r>
      <w:r>
        <w:rPr>
          <w:rFonts w:hint="eastAsia" w:ascii="仿宋" w:hAnsi="仿宋" w:eastAsia="仿宋" w:cs="仿宋_GB2312"/>
          <w:color w:val="auto"/>
          <w:sz w:val="24"/>
          <w:szCs w:val="24"/>
        </w:rPr>
        <w:t>。</w:t>
      </w:r>
    </w:p>
    <w:p>
      <w:pPr>
        <w:pStyle w:val="4"/>
        <w:jc w:val="left"/>
        <w:rPr>
          <w:rFonts w:ascii="仿宋" w:hAnsi="仿宋" w:eastAsia="仿宋" w:cs="仿宋"/>
          <w:color w:val="auto"/>
          <w:sz w:val="24"/>
          <w:szCs w:val="24"/>
        </w:rPr>
      </w:pPr>
      <w:bookmarkStart w:id="8" w:name="_Toc30346"/>
      <w:bookmarkStart w:id="9" w:name="_Toc32115"/>
      <w:r>
        <w:rPr>
          <w:rFonts w:hint="eastAsia" w:ascii="仿宋" w:hAnsi="仿宋" w:eastAsia="仿宋" w:cs="仿宋"/>
          <w:color w:val="auto"/>
          <w:sz w:val="24"/>
          <w:szCs w:val="24"/>
        </w:rPr>
        <w:t>四、响应文件的递交</w:t>
      </w:r>
      <w:bookmarkEnd w:id="8"/>
      <w:bookmarkEnd w:id="9"/>
      <w:bookmarkStart w:id="203" w:name="_GoBack"/>
      <w:bookmarkEnd w:id="203"/>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rPr>
        <w:t>.1响应文件递交截止时间：</w:t>
      </w:r>
      <w:r>
        <w:rPr>
          <w:rFonts w:hint="eastAsia" w:ascii="仿宋" w:hAnsi="仿宋" w:eastAsia="仿宋" w:cs="宋体"/>
          <w:color w:val="auto"/>
          <w:u w:val="single"/>
        </w:rPr>
        <w:t>20</w:t>
      </w:r>
      <w:r>
        <w:rPr>
          <w:rFonts w:hint="eastAsia" w:ascii="仿宋" w:hAnsi="仿宋" w:eastAsia="仿宋" w:cs="宋体"/>
          <w:color w:val="auto"/>
          <w:u w:val="single"/>
          <w:lang w:val="en-US" w:eastAsia="zh-CN"/>
        </w:rPr>
        <w:t>26</w:t>
      </w:r>
      <w:r>
        <w:rPr>
          <w:rFonts w:hint="eastAsia" w:ascii="仿宋" w:hAnsi="仿宋" w:eastAsia="仿宋" w:cs="宋体"/>
          <w:color w:val="auto"/>
          <w:u w:val="single"/>
        </w:rPr>
        <w:t>年</w:t>
      </w:r>
      <w:r>
        <w:rPr>
          <w:rFonts w:hint="eastAsia" w:ascii="仿宋" w:hAnsi="仿宋" w:eastAsia="仿宋" w:cs="宋体"/>
          <w:color w:val="auto"/>
          <w:u w:val="single"/>
          <w:lang w:val="en-US" w:eastAsia="zh-CN"/>
        </w:rPr>
        <w:t>8</w:t>
      </w:r>
      <w:r>
        <w:rPr>
          <w:rFonts w:hint="eastAsia" w:ascii="仿宋" w:hAnsi="仿宋" w:eastAsia="仿宋" w:cs="宋体"/>
          <w:color w:val="auto"/>
          <w:u w:val="single"/>
        </w:rPr>
        <w:t>月</w:t>
      </w:r>
      <w:r>
        <w:rPr>
          <w:rFonts w:hint="eastAsia" w:ascii="仿宋" w:hAnsi="仿宋" w:eastAsia="仿宋" w:cs="宋体"/>
          <w:color w:val="auto"/>
          <w:u w:val="single"/>
          <w:lang w:val="en-US" w:eastAsia="zh-CN"/>
        </w:rPr>
        <w:t>4</w:t>
      </w:r>
      <w:r>
        <w:rPr>
          <w:rFonts w:hint="eastAsia" w:ascii="仿宋" w:hAnsi="仿宋" w:eastAsia="仿宋" w:cs="宋体"/>
          <w:color w:val="auto"/>
          <w:u w:val="single"/>
        </w:rPr>
        <w:t>日</w:t>
      </w:r>
      <w:r>
        <w:rPr>
          <w:rFonts w:hint="eastAsia" w:ascii="仿宋" w:hAnsi="仿宋" w:eastAsia="仿宋" w:cs="宋体"/>
          <w:color w:val="auto"/>
          <w:u w:val="single"/>
          <w:lang w:val="en-US" w:eastAsia="zh-CN"/>
        </w:rPr>
        <w:t>15</w:t>
      </w:r>
      <w:r>
        <w:rPr>
          <w:rFonts w:hint="eastAsia" w:ascii="仿宋" w:hAnsi="仿宋" w:eastAsia="仿宋" w:cs="宋体"/>
          <w:color w:val="auto"/>
          <w:u w:val="single"/>
        </w:rPr>
        <w:t>时</w:t>
      </w:r>
      <w:r>
        <w:rPr>
          <w:rFonts w:hint="eastAsia" w:ascii="仿宋" w:hAnsi="仿宋" w:eastAsia="仿宋" w:cs="宋体"/>
          <w:color w:val="auto"/>
          <w:u w:val="single"/>
          <w:lang w:val="en-US" w:eastAsia="zh-CN"/>
        </w:rPr>
        <w:t>00</w:t>
      </w:r>
      <w:r>
        <w:rPr>
          <w:rFonts w:hint="eastAsia" w:ascii="仿宋" w:hAnsi="仿宋" w:eastAsia="仿宋" w:cs="宋体"/>
          <w:color w:val="auto"/>
          <w:u w:val="single"/>
        </w:rPr>
        <w:t>分00秒</w:t>
      </w:r>
      <w:r>
        <w:rPr>
          <w:rFonts w:hint="eastAsia" w:ascii="仿宋" w:hAnsi="仿宋" w:eastAsia="仿宋" w:cs="宋体"/>
          <w:color w:val="auto"/>
        </w:rPr>
        <w:t>。</w:t>
      </w:r>
    </w:p>
    <w:p>
      <w:pPr>
        <w:spacing w:line="360" w:lineRule="auto"/>
        <w:ind w:firstLine="480" w:firstLineChars="200"/>
        <w:textAlignment w:val="baseline"/>
        <w:rPr>
          <w:color w:val="auto"/>
        </w:rPr>
      </w:pPr>
      <w:r>
        <w:rPr>
          <w:rFonts w:ascii="仿宋" w:hAnsi="仿宋" w:eastAsia="仿宋" w:cs="宋体"/>
          <w:color w:val="auto"/>
        </w:rPr>
        <w:t>4</w:t>
      </w:r>
      <w:r>
        <w:rPr>
          <w:rFonts w:hint="eastAsia" w:ascii="仿宋" w:hAnsi="仿宋" w:eastAsia="仿宋" w:cs="宋体"/>
          <w:color w:val="auto"/>
        </w:rPr>
        <w:t>.2响应文件的递交：须现场递交至泸州市江阳区江阳西路段163号1栋保险大厦，</w:t>
      </w:r>
      <w:r>
        <w:rPr>
          <w:rFonts w:hint="eastAsia" w:ascii="仿宋" w:hAnsi="仿宋" w:eastAsia="仿宋" w:cs="宋体"/>
          <w:b/>
          <w:bCs/>
          <w:color w:val="auto"/>
        </w:rPr>
        <w:t>逾期送达或者未送达指定地点或者未按照比选文件要求封装的纸质响应文件不予接收。</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.3本项目将于上述同一时间、地点进行比选，采购人邀请供应商代表准时参加。</w:t>
      </w:r>
    </w:p>
    <w:p>
      <w:pPr>
        <w:spacing w:line="360" w:lineRule="auto"/>
        <w:ind w:firstLine="480" w:firstLineChars="200"/>
        <w:textAlignment w:val="baseline"/>
        <w:rPr>
          <w:rFonts w:ascii="仿宋" w:hAnsi="仿宋" w:eastAsia="仿宋" w:cs="宋体"/>
          <w:b/>
          <w:bCs/>
          <w:color w:val="auto"/>
        </w:rPr>
      </w:pPr>
      <w:r>
        <w:rPr>
          <w:rFonts w:ascii="仿宋" w:hAnsi="仿宋" w:eastAsia="仿宋" w:cs="宋体"/>
          <w:color w:val="auto"/>
        </w:rPr>
        <w:t>4</w:t>
      </w:r>
      <w:r>
        <w:rPr>
          <w:rFonts w:hint="eastAsia" w:ascii="仿宋" w:hAnsi="仿宋" w:eastAsia="仿宋" w:cs="宋体"/>
          <w:color w:val="auto"/>
          <w:kern w:val="2"/>
        </w:rPr>
        <w:t>.4</w:t>
      </w:r>
      <w:r>
        <w:rPr>
          <w:rFonts w:hint="eastAsia" w:ascii="仿宋" w:hAnsi="仿宋" w:eastAsia="仿宋" w:cs="宋体"/>
          <w:b/>
          <w:bCs/>
          <w:color w:val="auto"/>
          <w:kern w:val="2"/>
        </w:rPr>
        <w:t>出现以下情形之一时，采购人不予接收投标文件：</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.4.1  逾期送达或者未送达指定地点的；</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.4.2  未按照响应文件要求密封的；</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.4.3  未按照比选邀请要求获取比选文件的。</w:t>
      </w:r>
    </w:p>
    <w:p>
      <w:pPr>
        <w:pStyle w:val="4"/>
        <w:jc w:val="left"/>
        <w:rPr>
          <w:rFonts w:ascii="仿宋" w:hAnsi="仿宋" w:eastAsia="仿宋" w:cs="仿宋"/>
          <w:color w:val="auto"/>
          <w:sz w:val="24"/>
          <w:szCs w:val="24"/>
        </w:rPr>
      </w:pPr>
      <w:bookmarkStart w:id="10" w:name="_Toc874"/>
      <w:bookmarkStart w:id="11" w:name="_Toc2899"/>
      <w:r>
        <w:rPr>
          <w:rFonts w:hint="eastAsia" w:ascii="仿宋" w:hAnsi="仿宋" w:eastAsia="仿宋" w:cs="仿宋"/>
          <w:color w:val="auto"/>
          <w:sz w:val="24"/>
          <w:szCs w:val="24"/>
        </w:rPr>
        <w:t>五、发布公告的媒介</w:t>
      </w:r>
      <w:bookmarkEnd w:id="10"/>
      <w:bookmarkEnd w:id="11"/>
    </w:p>
    <w:p>
      <w:pPr>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本项目比选公告同时在</w:t>
      </w:r>
      <w:r>
        <w:rPr>
          <w:rFonts w:hint="eastAsia" w:ascii="仿宋" w:hAnsi="仿宋" w:eastAsia="仿宋" w:cs="宋体"/>
          <w:color w:val="auto"/>
          <w:u w:val="single"/>
        </w:rPr>
        <w:t>“人保e采”外网门户（https://ec.picc.com/）、金采网www.cfcpn.com</w:t>
      </w:r>
      <w:r>
        <w:rPr>
          <w:rFonts w:hint="eastAsia" w:ascii="仿宋" w:hAnsi="仿宋" w:eastAsia="仿宋" w:cs="仿宋"/>
          <w:color w:val="auto"/>
        </w:rPr>
        <w:t>上发布，</w:t>
      </w:r>
      <w:r>
        <w:rPr>
          <w:rFonts w:hint="eastAsia" w:ascii="仿宋" w:hAnsi="仿宋" w:eastAsia="仿宋" w:cs="宋体"/>
          <w:color w:val="auto"/>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auto"/>
        </w:rPr>
        <w:t>。对于非法转载、篡改采购公告信息的组织或个人，采购人保留追究其法律责任的权利。</w:t>
      </w:r>
    </w:p>
    <w:p>
      <w:pPr>
        <w:pStyle w:val="4"/>
        <w:jc w:val="left"/>
        <w:rPr>
          <w:rFonts w:ascii="仿宋" w:hAnsi="仿宋" w:eastAsia="仿宋" w:cs="仿宋"/>
          <w:color w:val="auto"/>
          <w:sz w:val="24"/>
          <w:szCs w:val="24"/>
        </w:rPr>
      </w:pPr>
      <w:bookmarkStart w:id="12" w:name="_Toc15934"/>
      <w:bookmarkStart w:id="13" w:name="_Toc30596"/>
      <w:r>
        <w:rPr>
          <w:rFonts w:hint="eastAsia" w:ascii="仿宋" w:hAnsi="仿宋" w:eastAsia="仿宋" w:cs="仿宋"/>
          <w:color w:val="auto"/>
          <w:sz w:val="24"/>
          <w:szCs w:val="24"/>
        </w:rPr>
        <w:t>六、联系方式</w:t>
      </w:r>
      <w:bookmarkEnd w:id="12"/>
      <w:bookmarkEnd w:id="13"/>
    </w:p>
    <w:p>
      <w:pPr>
        <w:tabs>
          <w:tab w:val="left" w:pos="-105"/>
          <w:tab w:val="left" w:pos="420"/>
          <w:tab w:val="left" w:pos="630"/>
          <w:tab w:val="left" w:pos="1155"/>
          <w:tab w:val="left" w:pos="1890"/>
          <w:tab w:val="left" w:pos="3150"/>
          <w:tab w:val="left" w:pos="3780"/>
        </w:tabs>
        <w:spacing w:line="360" w:lineRule="auto"/>
        <w:ind w:firstLine="422" w:firstLineChars="175"/>
        <w:rPr>
          <w:rFonts w:hint="eastAsia" w:ascii="仿宋" w:hAnsi="仿宋" w:eastAsia="仿宋" w:cs="仿宋"/>
          <w:b/>
          <w:bCs/>
          <w:color w:val="auto"/>
          <w:lang w:eastAsia="zh-CN"/>
        </w:rPr>
      </w:pPr>
      <w:r>
        <w:rPr>
          <w:rFonts w:hint="eastAsia" w:ascii="仿宋" w:hAnsi="仿宋" w:eastAsia="仿宋" w:cs="仿宋"/>
          <w:b/>
          <w:bCs/>
          <w:color w:val="auto"/>
        </w:rPr>
        <w:t>采购人：</w:t>
      </w:r>
      <w:r>
        <w:rPr>
          <w:rFonts w:hint="eastAsia" w:ascii="仿宋" w:hAnsi="仿宋" w:eastAsia="仿宋" w:cs="仿宋"/>
          <w:b/>
          <w:bCs/>
          <w:color w:val="auto"/>
          <w:lang w:eastAsia="zh-CN"/>
        </w:rPr>
        <w:t>中国人民财产保险股份有限公司泸州市分公司</w:t>
      </w:r>
    </w:p>
    <w:p>
      <w:pPr>
        <w:spacing w:line="360" w:lineRule="auto"/>
        <w:ind w:firstLine="420" w:firstLineChars="175"/>
        <w:rPr>
          <w:rFonts w:ascii="仿宋" w:hAnsi="仿宋" w:eastAsia="仿宋" w:cs="仿宋"/>
          <w:color w:val="auto"/>
        </w:rPr>
      </w:pPr>
      <w:r>
        <w:rPr>
          <w:rFonts w:hint="eastAsia" w:ascii="仿宋" w:hAnsi="仿宋" w:eastAsia="仿宋" w:cs="宋体"/>
          <w:color w:val="auto"/>
        </w:rPr>
        <w:t>地址：</w:t>
      </w:r>
      <w:r>
        <w:rPr>
          <w:rFonts w:hint="eastAsia" w:ascii="仿宋" w:hAnsi="仿宋" w:eastAsia="仿宋" w:cs="宋体"/>
          <w:color w:val="auto"/>
          <w:lang w:eastAsia="zh-CN"/>
        </w:rPr>
        <w:t>泸州市江阳区江阳西路段163号1栋保险大厦901办公室</w:t>
      </w:r>
      <w:r>
        <w:rPr>
          <w:rFonts w:ascii="仿宋" w:hAnsi="仿宋" w:eastAsia="仿宋" w:cs="宋体"/>
          <w:color w:val="auto"/>
        </w:rPr>
        <w:t xml:space="preserve"> </w:t>
      </w:r>
    </w:p>
    <w:p>
      <w:pPr>
        <w:spacing w:line="360" w:lineRule="auto"/>
        <w:ind w:firstLine="420" w:firstLineChars="175"/>
        <w:rPr>
          <w:rFonts w:hint="default" w:ascii="仿宋" w:hAnsi="仿宋" w:eastAsia="仿宋" w:cs="仿宋"/>
          <w:color w:val="auto"/>
          <w:lang w:val="en-US" w:eastAsia="zh-CN"/>
        </w:rPr>
      </w:pPr>
      <w:r>
        <w:rPr>
          <w:rFonts w:hint="eastAsia" w:ascii="仿宋" w:hAnsi="仿宋" w:eastAsia="仿宋" w:cs="宋体"/>
          <w:color w:val="auto"/>
        </w:rPr>
        <w:t>联系人：</w:t>
      </w:r>
      <w:r>
        <w:rPr>
          <w:rFonts w:hint="eastAsia" w:ascii="仿宋" w:hAnsi="仿宋" w:eastAsia="仿宋" w:cs="宋体"/>
          <w:color w:val="auto"/>
          <w:lang w:eastAsia="zh-CN"/>
        </w:rPr>
        <w:t>牟艳、</w:t>
      </w:r>
      <w:r>
        <w:rPr>
          <w:rFonts w:hint="eastAsia" w:ascii="仿宋" w:hAnsi="仿宋" w:eastAsia="仿宋" w:cs="宋体"/>
          <w:color w:val="auto"/>
          <w:lang w:val="en-US" w:eastAsia="zh-CN"/>
        </w:rPr>
        <w:t>施雨廷</w:t>
      </w:r>
    </w:p>
    <w:p>
      <w:pPr>
        <w:spacing w:line="360" w:lineRule="auto"/>
        <w:ind w:firstLine="420" w:firstLineChars="175"/>
        <w:rPr>
          <w:rFonts w:hint="default" w:ascii="仿宋" w:hAnsi="仿宋" w:eastAsia="仿宋" w:cs="仿宋"/>
          <w:color w:val="auto"/>
          <w:lang w:val="en-US" w:eastAsia="zh-CN"/>
        </w:rPr>
      </w:pPr>
      <w:r>
        <w:rPr>
          <w:rFonts w:hint="eastAsia" w:ascii="仿宋" w:hAnsi="仿宋" w:eastAsia="仿宋" w:cs="宋体"/>
          <w:color w:val="auto"/>
        </w:rPr>
        <w:t>电话：0830-3129155</w:t>
      </w:r>
      <w:r>
        <w:rPr>
          <w:rFonts w:hint="eastAsia" w:ascii="仿宋" w:hAnsi="仿宋" w:eastAsia="仿宋" w:cs="宋体"/>
          <w:color w:val="auto"/>
          <w:lang w:eastAsia="zh-CN"/>
        </w:rPr>
        <w:t>、</w:t>
      </w:r>
      <w:r>
        <w:rPr>
          <w:rFonts w:hint="eastAsia" w:ascii="仿宋" w:hAnsi="仿宋" w:eastAsia="仿宋" w:cs="宋体"/>
          <w:color w:val="auto"/>
          <w:lang w:val="en-US" w:eastAsia="zh-CN"/>
        </w:rPr>
        <w:t>0830-3198350</w:t>
      </w:r>
    </w:p>
    <w:p>
      <w:pPr>
        <w:spacing w:line="360" w:lineRule="auto"/>
        <w:ind w:firstLine="420" w:firstLineChars="175"/>
        <w:rPr>
          <w:rFonts w:hint="eastAsia" w:ascii="仿宋" w:hAnsi="仿宋" w:eastAsia="仿宋" w:cs="仿宋"/>
          <w:color w:val="auto"/>
          <w:lang w:eastAsia="zh-CN"/>
        </w:rPr>
      </w:pPr>
      <w:r>
        <w:rPr>
          <w:rFonts w:hint="eastAsia" w:ascii="仿宋" w:hAnsi="仿宋" w:eastAsia="仿宋" w:cs="宋体"/>
          <w:color w:val="auto"/>
        </w:rPr>
        <w:t>电子邮件：mouyan@sic.picc.com.cn</w:t>
      </w:r>
      <w:r>
        <w:rPr>
          <w:rFonts w:hint="eastAsia" w:ascii="仿宋" w:hAnsi="仿宋" w:eastAsia="仿宋" w:cs="宋体"/>
          <w:color w:val="auto"/>
          <w:lang w:eastAsia="zh-CN"/>
        </w:rPr>
        <w:t>、shiyuting@sic.picc.com.cn</w:t>
      </w:r>
    </w:p>
    <w:p>
      <w:pPr>
        <w:spacing w:line="360" w:lineRule="auto"/>
        <w:ind w:firstLine="480" w:firstLineChars="200"/>
        <w:jc w:val="right"/>
        <w:textAlignment w:val="baseline"/>
        <w:rPr>
          <w:rFonts w:ascii="仿宋" w:hAnsi="仿宋" w:eastAsia="仿宋" w:cs="宋体"/>
          <w:color w:val="auto"/>
        </w:rPr>
      </w:pPr>
    </w:p>
    <w:p>
      <w:pPr>
        <w:pStyle w:val="2"/>
        <w:rPr>
          <w:rFonts w:ascii="仿宋" w:hAnsi="仿宋" w:eastAsia="仿宋" w:cs="宋体"/>
          <w:color w:val="auto"/>
        </w:rPr>
      </w:pPr>
    </w:p>
    <w:p>
      <w:pPr>
        <w:pStyle w:val="2"/>
        <w:rPr>
          <w:rFonts w:ascii="仿宋" w:hAnsi="仿宋" w:eastAsia="仿宋" w:cs="宋体"/>
          <w:color w:val="auto"/>
        </w:rPr>
      </w:pPr>
    </w:p>
    <w:p>
      <w:pPr>
        <w:pStyle w:val="2"/>
        <w:rPr>
          <w:rFonts w:ascii="仿宋" w:hAnsi="仿宋" w:eastAsia="仿宋" w:cs="宋体"/>
          <w:color w:val="auto"/>
        </w:rPr>
      </w:pPr>
    </w:p>
    <w:p>
      <w:pPr>
        <w:pStyle w:val="2"/>
        <w:rPr>
          <w:rFonts w:ascii="仿宋" w:hAnsi="仿宋" w:eastAsia="仿宋" w:cs="宋体"/>
          <w:color w:val="auto"/>
        </w:rPr>
      </w:pPr>
    </w:p>
    <w:p>
      <w:pPr>
        <w:spacing w:line="360" w:lineRule="auto"/>
        <w:ind w:firstLine="480" w:firstLineChars="200"/>
        <w:jc w:val="right"/>
        <w:textAlignment w:val="baseline"/>
        <w:rPr>
          <w:rFonts w:hint="eastAsia" w:ascii="仿宋" w:hAnsi="仿宋" w:eastAsia="仿宋" w:cs="宋体"/>
          <w:color w:val="auto"/>
          <w:lang w:eastAsia="zh-CN"/>
        </w:rPr>
      </w:pPr>
      <w:r>
        <w:rPr>
          <w:rFonts w:hint="eastAsia" w:ascii="仿宋" w:hAnsi="仿宋" w:eastAsia="仿宋" w:cs="宋体"/>
          <w:color w:val="auto"/>
        </w:rPr>
        <w:t>采购人：</w:t>
      </w:r>
      <w:r>
        <w:rPr>
          <w:rFonts w:hint="eastAsia" w:ascii="仿宋" w:hAnsi="仿宋" w:eastAsia="仿宋" w:cs="宋体"/>
          <w:color w:val="auto"/>
          <w:lang w:eastAsia="zh-CN"/>
        </w:rPr>
        <w:t>中国人民财产保险股份有限公司泸州市分公司</w:t>
      </w:r>
    </w:p>
    <w:p>
      <w:pPr>
        <w:spacing w:line="360" w:lineRule="auto"/>
        <w:jc w:val="right"/>
        <w:rPr>
          <w:rFonts w:hint="eastAsia" w:ascii="楷体" w:hAnsi="楷体" w:eastAsia="楷体" w:cs="仿宋_GB2312"/>
          <w:i/>
          <w:color w:val="auto"/>
          <w:szCs w:val="32"/>
          <w:lang w:eastAsia="zh-CN"/>
        </w:rPr>
      </w:pPr>
      <w:r>
        <w:rPr>
          <w:rFonts w:hint="eastAsia" w:ascii="仿宋" w:hAnsi="仿宋" w:eastAsia="仿宋" w:cs="宋体"/>
          <w:color w:val="auto"/>
          <w:lang w:eastAsia="zh-CN"/>
        </w:rPr>
        <w:t>2026年</w:t>
      </w:r>
      <w:r>
        <w:rPr>
          <w:rFonts w:hint="eastAsia" w:ascii="仿宋" w:hAnsi="仿宋" w:eastAsia="仿宋" w:cs="宋体"/>
          <w:color w:val="auto"/>
          <w:lang w:val="en-US" w:eastAsia="zh-CN"/>
        </w:rPr>
        <w:t>7</w:t>
      </w:r>
      <w:r>
        <w:rPr>
          <w:rFonts w:hint="eastAsia" w:ascii="仿宋" w:hAnsi="仿宋" w:eastAsia="仿宋" w:cs="宋体"/>
          <w:color w:val="auto"/>
          <w:lang w:eastAsia="zh-CN"/>
        </w:rPr>
        <w:t>月</w:t>
      </w:r>
      <w:r>
        <w:rPr>
          <w:rFonts w:hint="eastAsia" w:ascii="仿宋" w:hAnsi="仿宋" w:eastAsia="仿宋" w:cs="宋体"/>
          <w:color w:val="auto"/>
          <w:lang w:val="en-US" w:eastAsia="zh-CN"/>
        </w:rPr>
        <w:t>28</w:t>
      </w:r>
      <w:r>
        <w:rPr>
          <w:rFonts w:hint="eastAsia" w:ascii="仿宋" w:hAnsi="仿宋" w:eastAsia="仿宋" w:cs="宋体"/>
          <w:color w:val="auto"/>
          <w:lang w:eastAsia="zh-CN"/>
        </w:rPr>
        <w:t>日</w:t>
      </w:r>
    </w:p>
    <w:p>
      <w:pPr>
        <w:spacing w:line="360" w:lineRule="auto"/>
        <w:jc w:val="right"/>
        <w:rPr>
          <w:rFonts w:ascii="楷体" w:hAnsi="楷体" w:eastAsia="楷体" w:cs="仿宋_GB2312"/>
          <w:i/>
          <w:color w:val="auto"/>
          <w:szCs w:val="32"/>
        </w:rPr>
      </w:pPr>
    </w:p>
    <w:p>
      <w:pPr>
        <w:rPr>
          <w:rFonts w:hint="eastAsia" w:ascii="仿宋_GB2312" w:hAnsi="宋体" w:eastAsia="仿宋_GB2312"/>
          <w:color w:val="auto"/>
          <w:sz w:val="28"/>
          <w:szCs w:val="28"/>
        </w:rPr>
      </w:pPr>
      <w:bookmarkStart w:id="14" w:name="_Toc984"/>
      <w:bookmarkStart w:id="15" w:name="_Toc16027"/>
      <w:r>
        <w:rPr>
          <w:rFonts w:hint="eastAsia" w:ascii="仿宋_GB2312" w:hAnsi="宋体" w:eastAsia="仿宋_GB2312"/>
          <w:color w:val="auto"/>
          <w:sz w:val="28"/>
          <w:szCs w:val="28"/>
        </w:rPr>
        <w:br w:type="page"/>
      </w:r>
    </w:p>
    <w:p>
      <w:pPr>
        <w:pStyle w:val="3"/>
        <w:ind w:left="0" w:firstLine="0"/>
        <w:jc w:val="center"/>
        <w:rPr>
          <w:rFonts w:ascii="仿宋_GB2312" w:hAnsi="宋体" w:eastAsia="仿宋_GB2312"/>
          <w:color w:val="auto"/>
          <w:sz w:val="28"/>
          <w:szCs w:val="28"/>
        </w:rPr>
      </w:pPr>
      <w:r>
        <w:rPr>
          <w:rFonts w:hint="eastAsia" w:ascii="仿宋_GB2312" w:hAnsi="宋体" w:eastAsia="仿宋_GB2312"/>
          <w:color w:val="auto"/>
          <w:sz w:val="28"/>
          <w:szCs w:val="28"/>
        </w:rPr>
        <w:t>第二章 供应商须知</w:t>
      </w:r>
      <w:bookmarkEnd w:id="14"/>
      <w:bookmarkEnd w:id="15"/>
    </w:p>
    <w:p>
      <w:pPr>
        <w:pStyle w:val="4"/>
        <w:adjustRightInd w:val="0"/>
        <w:snapToGrid w:val="0"/>
        <w:spacing w:before="0" w:after="0"/>
        <w:rPr>
          <w:color w:val="auto"/>
          <w:sz w:val="24"/>
          <w:szCs w:val="24"/>
        </w:rPr>
      </w:pPr>
      <w:bookmarkStart w:id="16" w:name="_Toc16744"/>
      <w:r>
        <w:rPr>
          <w:rFonts w:hint="eastAsia" w:ascii="仿宋" w:hAnsi="仿宋" w:eastAsia="仿宋" w:cs="仿宋"/>
          <w:color w:val="auto"/>
          <w:sz w:val="24"/>
          <w:szCs w:val="24"/>
        </w:rPr>
        <w:t>一、供应商须知前附表</w:t>
      </w:r>
      <w:bookmarkEnd w:id="16"/>
    </w:p>
    <w:tbl>
      <w:tblPr>
        <w:tblStyle w:val="2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序号</w:t>
            </w:r>
          </w:p>
        </w:tc>
        <w:tc>
          <w:tcPr>
            <w:tcW w:w="1841"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项  目</w:t>
            </w:r>
          </w:p>
        </w:tc>
        <w:tc>
          <w:tcPr>
            <w:tcW w:w="7199"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color w:val="auto"/>
                <w:szCs w:val="21"/>
              </w:rPr>
            </w:pPr>
            <w:r>
              <w:rPr>
                <w:rFonts w:ascii="仿宋_GB2312" w:hAnsi="宋体" w:eastAsia="仿宋_GB2312"/>
                <w:color w:val="auto"/>
                <w:szCs w:val="21"/>
              </w:rPr>
              <w:t>2.1.1</w:t>
            </w:r>
          </w:p>
        </w:tc>
        <w:tc>
          <w:tcPr>
            <w:tcW w:w="1841" w:type="dxa"/>
            <w:vAlign w:val="center"/>
          </w:tcPr>
          <w:p>
            <w:pPr>
              <w:spacing w:line="400" w:lineRule="exact"/>
              <w:jc w:val="center"/>
              <w:rPr>
                <w:rFonts w:ascii="仿宋_GB2312" w:hAnsi="宋体" w:eastAsia="仿宋_GB2312"/>
                <w:color w:val="auto"/>
                <w:szCs w:val="21"/>
              </w:rPr>
            </w:pPr>
            <w:r>
              <w:rPr>
                <w:rFonts w:hint="eastAsia" w:ascii="仿宋" w:hAnsi="仿宋" w:eastAsia="仿宋" w:cs="仿宋"/>
                <w:color w:val="auto"/>
                <w:szCs w:val="21"/>
              </w:rPr>
              <w:t>采购范围</w:t>
            </w:r>
          </w:p>
        </w:tc>
        <w:tc>
          <w:tcPr>
            <w:tcW w:w="7199" w:type="dxa"/>
            <w:vAlign w:val="center"/>
          </w:tcPr>
          <w:p>
            <w:pPr>
              <w:spacing w:line="400" w:lineRule="exact"/>
              <w:rPr>
                <w:rFonts w:ascii="仿宋_GB2312" w:hAnsi="宋体" w:eastAsia="仿宋_GB2312"/>
                <w:color w:val="auto"/>
                <w:szCs w:val="21"/>
              </w:rPr>
            </w:pPr>
            <w:r>
              <w:rPr>
                <w:rFonts w:hint="eastAsia" w:ascii="仿宋" w:hAnsi="仿宋" w:eastAsia="仿宋" w:cs="仿宋"/>
                <w:color w:val="auto"/>
              </w:rPr>
              <w:t>详见</w:t>
            </w:r>
            <w:r>
              <w:rPr>
                <w:rFonts w:hint="eastAsia" w:ascii="仿宋" w:hAnsi="仿宋" w:eastAsia="仿宋" w:cs="仿宋"/>
                <w:color w:val="auto"/>
                <w:u w:val="single"/>
              </w:rPr>
              <w:t>第一章 比选邀请“一、项目概况与采购范围”</w:t>
            </w:r>
            <w:r>
              <w:rPr>
                <w:rFonts w:hint="eastAsia" w:ascii="仿宋" w:hAnsi="仿宋" w:eastAsia="仿宋" w:cs="仿宋"/>
                <w:color w:val="aut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color w:val="auto"/>
                <w:szCs w:val="21"/>
              </w:rPr>
            </w:pPr>
            <w:r>
              <w:rPr>
                <w:rFonts w:ascii="仿宋_GB2312" w:hAnsi="宋体" w:eastAsia="仿宋_GB2312"/>
                <w:color w:val="auto"/>
                <w:szCs w:val="21"/>
              </w:rPr>
              <w:t>2.1.2</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资格审查方式及供应商应具备的资格条件</w:t>
            </w:r>
          </w:p>
        </w:tc>
        <w:tc>
          <w:tcPr>
            <w:tcW w:w="7199" w:type="dxa"/>
            <w:vAlign w:val="center"/>
          </w:tcPr>
          <w:p>
            <w:pPr>
              <w:spacing w:line="400" w:lineRule="exact"/>
              <w:rPr>
                <w:rFonts w:ascii="仿宋" w:hAnsi="仿宋" w:eastAsia="仿宋" w:cs="仿宋"/>
                <w:color w:val="auto"/>
              </w:rPr>
            </w:pPr>
            <w:r>
              <w:rPr>
                <w:rFonts w:hint="eastAsia" w:ascii="仿宋" w:hAnsi="仿宋" w:eastAsia="仿宋" w:cs="宋体"/>
                <w:color w:val="auto"/>
              </w:rPr>
              <w:t>资格后审，</w:t>
            </w:r>
            <w:r>
              <w:rPr>
                <w:rFonts w:hint="eastAsia" w:ascii="仿宋" w:hAnsi="仿宋" w:eastAsia="仿宋" w:cs="仿宋"/>
                <w:color w:val="auto"/>
              </w:rPr>
              <w:t>详见</w:t>
            </w:r>
            <w:r>
              <w:rPr>
                <w:rFonts w:hint="eastAsia" w:ascii="仿宋" w:hAnsi="仿宋" w:eastAsia="仿宋" w:cs="仿宋"/>
                <w:color w:val="auto"/>
                <w:u w:val="single"/>
              </w:rPr>
              <w:t>“二、供应商资格要求”</w:t>
            </w:r>
            <w:r>
              <w:rPr>
                <w:rFonts w:hint="eastAsia" w:ascii="仿宋" w:hAnsi="仿宋" w:eastAsia="仿宋" w:cs="仿宋"/>
                <w:color w:val="aut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color w:val="auto"/>
                <w:szCs w:val="21"/>
              </w:rPr>
            </w:pPr>
            <w:r>
              <w:rPr>
                <w:rFonts w:ascii="仿宋_GB2312" w:hAnsi="宋体" w:eastAsia="仿宋_GB2312"/>
                <w:color w:val="auto"/>
                <w:szCs w:val="21"/>
              </w:rPr>
              <w:t>2.1.3</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★比选文件实质性要求的标识</w:t>
            </w:r>
          </w:p>
        </w:tc>
        <w:tc>
          <w:tcPr>
            <w:tcW w:w="7199" w:type="dxa"/>
            <w:vAlign w:val="center"/>
          </w:tcPr>
          <w:p>
            <w:pPr>
              <w:spacing w:line="400" w:lineRule="exact"/>
              <w:rPr>
                <w:rFonts w:ascii="仿宋" w:hAnsi="仿宋" w:eastAsia="仿宋" w:cs="宋体"/>
                <w:color w:val="auto"/>
              </w:rPr>
            </w:pPr>
            <w:r>
              <w:rPr>
                <w:rFonts w:hint="eastAsia" w:ascii="仿宋" w:hAnsi="仿宋" w:eastAsia="仿宋" w:cs="Cambria Math"/>
                <w:color w:val="auto"/>
                <w:sz w:val="21"/>
                <w:szCs w:val="21"/>
                <w:u w:val="single"/>
              </w:rPr>
              <w:t>比选文件中标识“★”条款、注明“比选响应将被否决”、“对其响应做否决处理”</w:t>
            </w:r>
            <w:r>
              <w:rPr>
                <w:rFonts w:hint="eastAsia" w:ascii="仿宋" w:hAnsi="仿宋" w:eastAsia="仿宋" w:cs="宋体"/>
                <w:color w:val="auto"/>
                <w:sz w:val="21"/>
                <w:szCs w:val="21"/>
                <w:u w:val="single"/>
              </w:rPr>
              <w:t>等</w:t>
            </w:r>
            <w:r>
              <w:rPr>
                <w:rFonts w:hint="eastAsia" w:ascii="仿宋" w:hAnsi="仿宋" w:eastAsia="仿宋" w:cs="Cambria Math"/>
                <w:color w:val="auto"/>
                <w:sz w:val="21"/>
                <w:szCs w:val="21"/>
                <w:u w:val="single"/>
              </w:rPr>
              <w:t>的条款</w:t>
            </w:r>
            <w:r>
              <w:rPr>
                <w:rFonts w:hint="eastAsia" w:ascii="仿宋" w:hAnsi="仿宋" w:eastAsia="仿宋" w:cs="Cambria Math"/>
                <w:color w:val="auto"/>
                <w:sz w:val="21"/>
                <w:szCs w:val="21"/>
              </w:rPr>
              <w:t>，均为实质性条款，</w:t>
            </w:r>
            <w:r>
              <w:rPr>
                <w:rFonts w:hint="eastAsia" w:ascii="仿宋" w:hAnsi="仿宋" w:eastAsia="仿宋" w:cs="宋体"/>
                <w:b/>
                <w:color w:val="auto"/>
                <w:sz w:val="21"/>
                <w:szCs w:val="21"/>
              </w:rPr>
              <w:t>不满足任意一项</w:t>
            </w:r>
            <w:r>
              <w:rPr>
                <w:rFonts w:hint="eastAsia" w:ascii="仿宋" w:hAnsi="仿宋" w:eastAsia="仿宋" w:cs="Cambria Math"/>
                <w:b/>
                <w:color w:val="auto"/>
                <w:sz w:val="21"/>
                <w:szCs w:val="21"/>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.1.4</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响应文件的组成</w:t>
            </w:r>
          </w:p>
        </w:tc>
        <w:tc>
          <w:tcPr>
            <w:tcW w:w="7199" w:type="dxa"/>
            <w:vAlign w:val="center"/>
          </w:tcPr>
          <w:p>
            <w:pPr>
              <w:pStyle w:val="66"/>
              <w:spacing w:before="62" w:beforeLines="20" w:after="62" w:afterLines="20"/>
              <w:rPr>
                <w:rFonts w:ascii="仿宋" w:hAnsi="仿宋" w:eastAsia="仿宋" w:cs="仿宋"/>
                <w:b/>
                <w:color w:val="auto"/>
                <w:sz w:val="21"/>
                <w:szCs w:val="21"/>
              </w:rPr>
            </w:pPr>
            <w:r>
              <w:rPr>
                <w:rFonts w:hint="eastAsia" w:ascii="仿宋" w:hAnsi="仿宋" w:eastAsia="仿宋" w:cs="仿宋"/>
                <w:b/>
                <w:color w:val="auto"/>
                <w:sz w:val="21"/>
                <w:szCs w:val="21"/>
              </w:rPr>
              <w:t>响应文件按照以下架构顺序编制：</w:t>
            </w:r>
          </w:p>
          <w:p>
            <w:pPr>
              <w:pStyle w:val="61"/>
              <w:spacing w:before="62" w:beforeLines="20" w:after="62" w:afterLines="20"/>
              <w:rPr>
                <w:rFonts w:ascii="仿宋" w:hAnsi="仿宋" w:eastAsia="仿宋" w:cs="仿宋"/>
                <w:b/>
                <w:color w:val="auto"/>
              </w:rPr>
            </w:pPr>
            <w:r>
              <w:rPr>
                <w:rFonts w:hint="eastAsia" w:ascii="仿宋" w:hAnsi="仿宋" w:eastAsia="仿宋" w:cs="仿宋"/>
                <w:b/>
                <w:color w:val="auto"/>
              </w:rPr>
              <w:t>一、</w:t>
            </w:r>
            <w:r>
              <w:rPr>
                <w:rFonts w:hint="eastAsia" w:ascii="仿宋" w:hAnsi="仿宋" w:eastAsia="仿宋" w:cs="仿宋"/>
                <w:b/>
                <w:color w:val="auto"/>
                <w:sz w:val="24"/>
              </w:rPr>
              <w:t>商务文件</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初步评审索引表</w:t>
            </w:r>
          </w:p>
          <w:p>
            <w:pPr>
              <w:autoSpaceDE w:val="0"/>
              <w:autoSpaceDN w:val="0"/>
              <w:rPr>
                <w:color w:val="auto"/>
              </w:rPr>
            </w:pPr>
            <w:r>
              <w:rPr>
                <w:rFonts w:hint="eastAsia" w:ascii="仿宋" w:hAnsi="仿宋" w:eastAsia="仿宋" w:cs="仿宋"/>
                <w:b/>
                <w:color w:val="auto"/>
                <w:szCs w:val="21"/>
              </w:rPr>
              <w:t>详细评审索引表</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（一）响应函</w:t>
            </w:r>
          </w:p>
          <w:p>
            <w:pPr>
              <w:pStyle w:val="66"/>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（二）法定代表人（负责人）身份证明</w:t>
            </w:r>
          </w:p>
          <w:p>
            <w:pPr>
              <w:pStyle w:val="66"/>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（三）法定代表人（负责人）授权委托书</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（四）资格证明文件</w:t>
            </w:r>
          </w:p>
          <w:p>
            <w:pPr>
              <w:pStyle w:val="66"/>
              <w:spacing w:before="62" w:beforeLines="20" w:after="62" w:afterLines="20"/>
              <w:rPr>
                <w:rFonts w:ascii="仿宋" w:hAnsi="仿宋" w:eastAsia="仿宋" w:cs="仿宋"/>
                <w:color w:val="auto"/>
              </w:rPr>
            </w:pPr>
            <w:r>
              <w:rPr>
                <w:rFonts w:hint="eastAsia" w:ascii="仿宋" w:hAnsi="仿宋" w:eastAsia="仿宋" w:cs="宋体"/>
                <w:color w:val="auto"/>
                <w:sz w:val="21"/>
                <w:szCs w:val="21"/>
              </w:rPr>
              <w:t>（五）供应商须知应答偏离表</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（六）合同条款应答偏离表</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（七）供应商行为准则承诺书</w:t>
            </w:r>
          </w:p>
          <w:p>
            <w:pPr>
              <w:pStyle w:val="61"/>
              <w:spacing w:before="62" w:beforeLines="20" w:after="62" w:afterLines="20"/>
              <w:rPr>
                <w:rFonts w:ascii="仿宋" w:hAnsi="仿宋" w:eastAsia="仿宋" w:cs="仿宋"/>
                <w:color w:val="auto"/>
              </w:rPr>
            </w:pPr>
            <w:r>
              <w:rPr>
                <w:rFonts w:hint="eastAsia" w:ascii="仿宋" w:hAnsi="仿宋" w:eastAsia="仿宋"/>
                <w:color w:val="auto"/>
              </w:rPr>
              <w:t>（八）供应商廉洁诚信承诺书</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（九）其他材料</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二、技术文件</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详细评审索引表</w:t>
            </w:r>
          </w:p>
          <w:p>
            <w:pPr>
              <w:autoSpaceDE w:val="0"/>
              <w:autoSpaceDN w:val="0"/>
              <w:rPr>
                <w:rFonts w:ascii="仿宋" w:hAnsi="仿宋" w:eastAsia="仿宋" w:cs="仿宋"/>
                <w:bCs/>
                <w:color w:val="auto"/>
                <w:szCs w:val="21"/>
              </w:rPr>
            </w:pPr>
            <w:r>
              <w:rPr>
                <w:rFonts w:hint="eastAsia" w:ascii="仿宋" w:hAnsi="仿宋" w:eastAsia="仿宋" w:cs="仿宋"/>
                <w:bCs/>
                <w:color w:val="auto"/>
                <w:szCs w:val="21"/>
              </w:rPr>
              <w:t>（一）采购需求应答偏离表</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（二）技术方案</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（三）其他材料</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三、报价文件</w:t>
            </w:r>
          </w:p>
          <w:p>
            <w:pPr>
              <w:pStyle w:val="61"/>
              <w:spacing w:before="62" w:beforeLines="20" w:after="62" w:afterLines="20"/>
              <w:rPr>
                <w:rFonts w:ascii="仿宋" w:hAnsi="仿宋" w:eastAsia="仿宋" w:cs="Cambria Math"/>
                <w:color w:val="auto"/>
                <w:u w:val="single"/>
              </w:rPr>
            </w:pPr>
            <w:r>
              <w:rPr>
                <w:rFonts w:hint="eastAsia" w:ascii="仿宋" w:hAnsi="仿宋" w:eastAsia="仿宋" w:cs="仿宋"/>
                <w:color w:val="auto"/>
              </w:rPr>
              <w:t>（一）报价一览表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.1.5</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响应文件的递交</w:t>
            </w:r>
          </w:p>
        </w:tc>
        <w:tc>
          <w:tcPr>
            <w:tcW w:w="7199" w:type="dxa"/>
            <w:vAlign w:val="center"/>
          </w:tcPr>
          <w:p>
            <w:pPr>
              <w:pStyle w:val="66"/>
              <w:spacing w:before="62" w:beforeLines="20" w:after="62" w:afterLines="20"/>
              <w:rPr>
                <w:rFonts w:ascii="仿宋" w:hAnsi="仿宋" w:eastAsia="仿宋" w:cs="仿宋"/>
                <w:b/>
                <w:color w:val="auto"/>
                <w:sz w:val="21"/>
                <w:szCs w:val="21"/>
              </w:rPr>
            </w:pPr>
            <w:r>
              <w:rPr>
                <w:rFonts w:hint="eastAsia" w:ascii="仿宋" w:hAnsi="仿宋" w:eastAsia="仿宋" w:cs="仿宋"/>
                <w:color w:val="auto"/>
              </w:rPr>
              <w:t>详见</w:t>
            </w:r>
            <w:r>
              <w:rPr>
                <w:rFonts w:hint="eastAsia" w:ascii="仿宋" w:hAnsi="仿宋" w:eastAsia="仿宋" w:cs="仿宋"/>
                <w:color w:val="auto"/>
                <w:u w:val="single"/>
              </w:rPr>
              <w:t>第一章 比选邀请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.1.6</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Cambria Math"/>
                <w:color w:val="auto"/>
                <w:szCs w:val="21"/>
              </w:rPr>
              <w:t>★</w:t>
            </w:r>
            <w:r>
              <w:rPr>
                <w:rFonts w:hint="eastAsia" w:ascii="仿宋" w:hAnsi="仿宋" w:eastAsia="仿宋" w:cs="宋体"/>
                <w:color w:val="auto"/>
                <w:szCs w:val="21"/>
              </w:rPr>
              <w:t>响应文件的盖章或签字要求</w:t>
            </w:r>
          </w:p>
        </w:tc>
        <w:tc>
          <w:tcPr>
            <w:tcW w:w="7199" w:type="dxa"/>
            <w:vAlign w:val="center"/>
          </w:tcPr>
          <w:p>
            <w:pPr>
              <w:pStyle w:val="68"/>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（1）《法定代表人（负责人）身份证明》的落款处应加盖公章。</w:t>
            </w:r>
          </w:p>
          <w:p>
            <w:pPr>
              <w:pStyle w:val="68"/>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（2）《法定代表人（负责人）授权委托书》的落款处应加盖公章</w:t>
            </w:r>
            <w:r>
              <w:rPr>
                <w:rFonts w:hint="eastAsia" w:ascii="仿宋" w:hAnsi="仿宋" w:eastAsia="仿宋" w:cs="宋体"/>
                <w:b/>
                <w:color w:val="auto"/>
                <w:sz w:val="21"/>
                <w:szCs w:val="21"/>
              </w:rPr>
              <w:t>并由</w:t>
            </w:r>
            <w:r>
              <w:rPr>
                <w:rFonts w:hint="eastAsia" w:ascii="仿宋" w:hAnsi="仿宋" w:eastAsia="仿宋" w:cs="宋体"/>
                <w:color w:val="auto"/>
                <w:sz w:val="21"/>
                <w:szCs w:val="21"/>
              </w:rPr>
              <w:t>法定代表人（负责人）</w:t>
            </w:r>
            <w:r>
              <w:rPr>
                <w:rFonts w:hint="eastAsia" w:ascii="仿宋" w:hAnsi="仿宋" w:eastAsia="仿宋" w:cs="宋体"/>
                <w:b/>
                <w:color w:val="auto"/>
                <w:sz w:val="21"/>
                <w:szCs w:val="21"/>
              </w:rPr>
              <w:t>和</w:t>
            </w:r>
            <w:r>
              <w:rPr>
                <w:rFonts w:hint="eastAsia" w:ascii="仿宋" w:hAnsi="仿宋" w:eastAsia="仿宋" w:cs="宋体"/>
                <w:color w:val="auto"/>
                <w:sz w:val="21"/>
                <w:szCs w:val="21"/>
              </w:rPr>
              <w:t>其委托代理人</w:t>
            </w:r>
            <w:r>
              <w:rPr>
                <w:rFonts w:hint="eastAsia" w:ascii="仿宋" w:hAnsi="仿宋" w:eastAsia="仿宋" w:cs="宋体"/>
                <w:b/>
                <w:color w:val="auto"/>
                <w:sz w:val="21"/>
                <w:szCs w:val="21"/>
              </w:rPr>
              <w:t>双方</w:t>
            </w:r>
            <w:r>
              <w:rPr>
                <w:rFonts w:hint="eastAsia" w:ascii="仿宋" w:hAnsi="仿宋" w:eastAsia="仿宋" w:cs="宋体"/>
                <w:color w:val="auto"/>
                <w:sz w:val="21"/>
                <w:szCs w:val="21"/>
              </w:rPr>
              <w:t>签字。</w:t>
            </w:r>
          </w:p>
          <w:p>
            <w:pPr>
              <w:pStyle w:val="68"/>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（3）响应文件格式中其他有落款的文件，</w:t>
            </w:r>
            <w:r>
              <w:rPr>
                <w:rFonts w:hint="eastAsia" w:ascii="仿宋" w:hAnsi="仿宋" w:eastAsia="仿宋" w:cs="宋体"/>
                <w:b/>
                <w:color w:val="auto"/>
                <w:sz w:val="21"/>
                <w:szCs w:val="21"/>
              </w:rPr>
              <w:t>均需</w:t>
            </w:r>
            <w:r>
              <w:rPr>
                <w:rFonts w:hint="eastAsia" w:ascii="仿宋" w:hAnsi="仿宋" w:eastAsia="仿宋" w:cs="宋体"/>
                <w:color w:val="auto"/>
                <w:sz w:val="21"/>
                <w:szCs w:val="21"/>
              </w:rPr>
              <w:t>加盖公章。</w:t>
            </w:r>
          </w:p>
          <w:p>
            <w:pPr>
              <w:pStyle w:val="66"/>
              <w:spacing w:before="62" w:beforeLines="20" w:after="62" w:afterLines="20"/>
              <w:rPr>
                <w:rFonts w:ascii="仿宋" w:hAnsi="仿宋" w:eastAsia="仿宋" w:cs="仿宋"/>
                <w:color w:val="auto"/>
              </w:rPr>
            </w:pPr>
            <w:r>
              <w:rPr>
                <w:rFonts w:hint="eastAsia" w:ascii="仿宋" w:hAnsi="仿宋" w:eastAsia="仿宋" w:cs="宋体"/>
                <w:color w:val="auto"/>
                <w:sz w:val="21"/>
                <w:szCs w:val="21"/>
              </w:rPr>
              <w:t>（4）响应文件的所有签字处均指手写签字</w:t>
            </w:r>
            <w:r>
              <w:rPr>
                <w:rFonts w:hint="eastAsia" w:ascii="仿宋" w:hAnsi="仿宋" w:eastAsia="仿宋" w:cs="宋体"/>
                <w:b/>
                <w:color w:val="auto"/>
                <w:sz w:val="21"/>
                <w:szCs w:val="21"/>
              </w:rPr>
              <w:t>或</w:t>
            </w:r>
            <w:r>
              <w:rPr>
                <w:rFonts w:hint="eastAsia" w:ascii="仿宋" w:hAnsi="仿宋" w:eastAsia="仿宋" w:cs="宋体"/>
                <w:color w:val="auto"/>
                <w:sz w:val="21"/>
                <w:szCs w:val="21"/>
              </w:rPr>
              <w:t>签名章/印章</w:t>
            </w:r>
            <w:r>
              <w:rPr>
                <w:rFonts w:hint="eastAsia" w:ascii="仿宋" w:hAnsi="仿宋" w:eastAsia="仿宋" w:cs="宋体"/>
                <w:b/>
                <w:bCs/>
                <w:color w:val="auto"/>
                <w:sz w:val="21"/>
                <w:szCs w:val="21"/>
              </w:rPr>
              <w:t>或</w:t>
            </w:r>
            <w:r>
              <w:rPr>
                <w:rFonts w:hint="eastAsia" w:ascii="仿宋" w:hAnsi="仿宋" w:eastAsia="仿宋" w:cs="宋体"/>
                <w:color w:val="auto"/>
                <w:sz w:val="21"/>
                <w:szCs w:val="21"/>
              </w:rPr>
              <w:t>CA签名章，</w:t>
            </w:r>
            <w:r>
              <w:rPr>
                <w:rFonts w:hint="eastAsia" w:ascii="仿宋" w:hAnsi="仿宋" w:eastAsia="仿宋" w:cs="宋体"/>
                <w:b/>
                <w:color w:val="auto"/>
                <w:sz w:val="21"/>
                <w:szCs w:val="21"/>
              </w:rPr>
              <w:t>不得</w:t>
            </w:r>
            <w:r>
              <w:rPr>
                <w:rFonts w:hint="eastAsia" w:ascii="仿宋" w:hAnsi="仿宋" w:eastAsia="仿宋" w:cs="宋体"/>
                <w:color w:val="auto"/>
                <w:sz w:val="21"/>
                <w:szCs w:val="21"/>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2.1.7</w:t>
            </w:r>
          </w:p>
        </w:tc>
        <w:tc>
          <w:tcPr>
            <w:tcW w:w="1841" w:type="dxa"/>
            <w:vAlign w:val="center"/>
          </w:tcPr>
          <w:p>
            <w:pPr>
              <w:pStyle w:val="37"/>
              <w:snapToGrid w:val="0"/>
              <w:spacing w:line="300" w:lineRule="auto"/>
              <w:ind w:left="114" w:right="114"/>
              <w:jc w:val="center"/>
              <w:rPr>
                <w:rFonts w:ascii="仿宋_GB2312" w:eastAsia="仿宋_GB2312"/>
                <w:color w:val="auto"/>
                <w:sz w:val="24"/>
                <w:szCs w:val="24"/>
              </w:rPr>
            </w:pPr>
            <w:r>
              <w:rPr>
                <w:rFonts w:hint="eastAsia" w:ascii="仿宋" w:hAnsi="仿宋" w:eastAsia="仿宋" w:cs="仿宋"/>
                <w:color w:val="auto"/>
                <w:szCs w:val="21"/>
              </w:rPr>
              <w:t>★比选响应有效期</w:t>
            </w:r>
          </w:p>
        </w:tc>
        <w:tc>
          <w:tcPr>
            <w:tcW w:w="7199" w:type="dxa"/>
            <w:vAlign w:val="center"/>
          </w:tcPr>
          <w:p>
            <w:pPr>
              <w:pStyle w:val="37"/>
              <w:snapToGrid w:val="0"/>
              <w:spacing w:line="300" w:lineRule="auto"/>
              <w:ind w:left="103" w:right="-18"/>
              <w:jc w:val="both"/>
              <w:rPr>
                <w:rFonts w:ascii="仿宋_GB2312" w:eastAsia="仿宋_GB2312"/>
                <w:color w:val="auto"/>
                <w:sz w:val="24"/>
                <w:szCs w:val="24"/>
                <w:lang w:eastAsia="zh-CN"/>
              </w:rPr>
            </w:pPr>
            <w:r>
              <w:rPr>
                <w:rFonts w:hint="eastAsia" w:ascii="仿宋" w:hAnsi="仿宋" w:eastAsia="仿宋"/>
                <w:color w:val="auto"/>
                <w:lang w:eastAsia="zh-CN"/>
              </w:rPr>
              <w:t>比选响应有效期：</w:t>
            </w:r>
            <w:r>
              <w:rPr>
                <w:rFonts w:ascii="仿宋" w:hAnsi="仿宋" w:eastAsia="仿宋" w:cs="仿宋"/>
                <w:color w:val="auto"/>
                <w:u w:val="single"/>
                <w:lang w:eastAsia="zh-CN"/>
              </w:rPr>
              <w:t>180</w:t>
            </w:r>
            <w:r>
              <w:rPr>
                <w:rFonts w:hint="eastAsia" w:ascii="仿宋" w:hAnsi="仿宋" w:eastAsia="仿宋" w:cs="仿宋"/>
                <w:color w:val="auto"/>
                <w:u w:val="single"/>
                <w:lang w:eastAsia="zh-CN"/>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2.1.8</w:t>
            </w:r>
          </w:p>
        </w:tc>
        <w:tc>
          <w:tcPr>
            <w:tcW w:w="1841" w:type="dxa"/>
            <w:vAlign w:val="center"/>
          </w:tcPr>
          <w:p>
            <w:pPr>
              <w:pStyle w:val="37"/>
              <w:snapToGrid w:val="0"/>
              <w:spacing w:line="300" w:lineRule="auto"/>
              <w:ind w:left="114" w:right="114"/>
              <w:jc w:val="center"/>
              <w:rPr>
                <w:rFonts w:ascii="仿宋_GB2312" w:eastAsia="仿宋_GB2312"/>
                <w:color w:val="auto"/>
                <w:sz w:val="24"/>
                <w:szCs w:val="24"/>
              </w:rPr>
            </w:pPr>
            <w:r>
              <w:rPr>
                <w:rFonts w:hint="eastAsia" w:ascii="仿宋_GB2312" w:eastAsia="仿宋_GB2312"/>
                <w:color w:val="auto"/>
                <w:sz w:val="24"/>
                <w:szCs w:val="24"/>
              </w:rPr>
              <w:t>响应文件份数</w:t>
            </w:r>
          </w:p>
        </w:tc>
        <w:tc>
          <w:tcPr>
            <w:tcW w:w="7199" w:type="dxa"/>
            <w:vAlign w:val="center"/>
          </w:tcPr>
          <w:p>
            <w:pPr>
              <w:pStyle w:val="37"/>
              <w:snapToGrid w:val="0"/>
              <w:spacing w:line="300" w:lineRule="auto"/>
              <w:ind w:left="103" w:right="-18"/>
              <w:jc w:val="both"/>
              <w:rPr>
                <w:rFonts w:ascii="仿宋_GB2312" w:eastAsia="仿宋_GB2312"/>
                <w:color w:val="auto"/>
                <w:sz w:val="24"/>
                <w:szCs w:val="24"/>
                <w:lang w:eastAsia="zh-CN"/>
              </w:rPr>
            </w:pPr>
            <w:r>
              <w:rPr>
                <w:rFonts w:hint="eastAsia" w:ascii="仿宋" w:hAnsi="仿宋" w:eastAsia="仿宋"/>
                <w:color w:val="auto"/>
                <w:sz w:val="21"/>
                <w:szCs w:val="21"/>
                <w:lang w:eastAsia="zh-CN"/>
              </w:rPr>
              <w:t>电子文件1份（U盘，注：电子文档内容应包括投标文件所有内容，签字盖章后的PDF扫描版文件）；纸质文件正本</w:t>
            </w:r>
            <w:r>
              <w:rPr>
                <w:rFonts w:hint="eastAsia" w:ascii="仿宋" w:hAnsi="仿宋" w:eastAsia="仿宋"/>
                <w:color w:val="auto"/>
                <w:sz w:val="21"/>
                <w:szCs w:val="21"/>
                <w:u w:val="single"/>
                <w:lang w:eastAsia="zh-CN"/>
              </w:rPr>
              <w:t xml:space="preserve"> 1 </w:t>
            </w:r>
            <w:r>
              <w:rPr>
                <w:rFonts w:hint="eastAsia" w:ascii="仿宋" w:hAnsi="仿宋" w:eastAsia="仿宋"/>
                <w:color w:val="auto"/>
                <w:sz w:val="21"/>
                <w:szCs w:val="21"/>
                <w:lang w:eastAsia="zh-CN"/>
              </w:rPr>
              <w:t>份，副本</w:t>
            </w:r>
            <w:r>
              <w:rPr>
                <w:rFonts w:ascii="仿宋" w:hAnsi="仿宋" w:eastAsia="仿宋"/>
                <w:color w:val="auto"/>
                <w:sz w:val="21"/>
                <w:szCs w:val="21"/>
                <w:u w:val="single"/>
                <w:lang w:eastAsia="zh-CN"/>
              </w:rPr>
              <w:t xml:space="preserve"> 1</w:t>
            </w:r>
            <w:r>
              <w:rPr>
                <w:rFonts w:hint="eastAsia" w:ascii="仿宋" w:hAnsi="仿宋" w:eastAsia="仿宋"/>
                <w:color w:val="auto"/>
                <w:sz w:val="21"/>
                <w:szCs w:val="21"/>
                <w:u w:val="single"/>
                <w:lang w:eastAsia="zh-CN"/>
              </w:rPr>
              <w:t xml:space="preserve"> </w:t>
            </w:r>
            <w:r>
              <w:rPr>
                <w:rFonts w:hint="eastAsia" w:ascii="仿宋" w:hAnsi="仿宋" w:eastAsia="仿宋"/>
                <w:color w:val="auto"/>
                <w:sz w:val="21"/>
                <w:szCs w:val="21"/>
                <w:lang w:eastAsia="zh-CN"/>
              </w:rPr>
              <w:t>份</w:t>
            </w:r>
            <w:r>
              <w:rPr>
                <w:rFonts w:hint="eastAsia" w:ascii="仿宋_GB2312" w:eastAsia="仿宋_GB2312" w:cs="新宋体"/>
                <w:color w:val="auto"/>
                <w:szCs w:val="21"/>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rPr>
              <w:t>2.1.9</w:t>
            </w:r>
          </w:p>
        </w:tc>
        <w:tc>
          <w:tcPr>
            <w:tcW w:w="1841" w:type="dxa"/>
            <w:vAlign w:val="center"/>
          </w:tcPr>
          <w:p>
            <w:pPr>
              <w:pStyle w:val="37"/>
              <w:snapToGrid w:val="0"/>
              <w:spacing w:line="300" w:lineRule="auto"/>
              <w:ind w:left="114" w:right="114"/>
              <w:jc w:val="center"/>
              <w:rPr>
                <w:rFonts w:ascii="仿宋_GB2312" w:eastAsia="仿宋_GB2312"/>
                <w:color w:val="auto"/>
                <w:sz w:val="24"/>
                <w:szCs w:val="24"/>
              </w:rPr>
            </w:pPr>
            <w:r>
              <w:rPr>
                <w:rFonts w:hint="eastAsia" w:ascii="仿宋" w:hAnsi="仿宋" w:eastAsia="仿宋" w:cs="仿宋"/>
                <w:color w:val="auto"/>
                <w:szCs w:val="21"/>
              </w:rPr>
              <w:t>比选响应报价</w:t>
            </w:r>
          </w:p>
        </w:tc>
        <w:tc>
          <w:tcPr>
            <w:tcW w:w="7199" w:type="dxa"/>
            <w:vAlign w:val="center"/>
          </w:tcPr>
          <w:p>
            <w:pPr>
              <w:pStyle w:val="61"/>
              <w:spacing w:before="62" w:beforeLines="20" w:after="62" w:afterLines="20" w:line="360" w:lineRule="auto"/>
              <w:rPr>
                <w:rFonts w:ascii="仿宋" w:hAnsi="仿宋" w:eastAsia="仿宋" w:cs="仿宋"/>
                <w:color w:val="auto"/>
                <w:sz w:val="22"/>
                <w:szCs w:val="22"/>
              </w:rPr>
            </w:pPr>
            <w:r>
              <w:rPr>
                <w:rFonts w:hint="eastAsia" w:ascii="仿宋" w:hAnsi="仿宋" w:eastAsia="仿宋" w:cs="仿宋"/>
                <w:color w:val="auto"/>
                <w:sz w:val="22"/>
                <w:szCs w:val="22"/>
              </w:rPr>
              <w:t>1）供应商应结合自身实力与经验、市场价格竞争及合同实施风险等因素进行综合考虑进行报价。</w:t>
            </w:r>
          </w:p>
          <w:p>
            <w:pPr>
              <w:pStyle w:val="37"/>
              <w:snapToGrid w:val="0"/>
              <w:spacing w:line="300" w:lineRule="auto"/>
              <w:ind w:right="-18"/>
              <w:jc w:val="both"/>
              <w:rPr>
                <w:rFonts w:ascii="仿宋_GB2312" w:eastAsia="仿宋_GB2312"/>
                <w:color w:val="auto"/>
                <w:sz w:val="24"/>
                <w:szCs w:val="24"/>
                <w:lang w:eastAsia="zh-CN"/>
              </w:rPr>
            </w:pPr>
            <w:r>
              <w:rPr>
                <w:rFonts w:hint="eastAsia" w:ascii="仿宋" w:hAnsi="仿宋" w:eastAsia="仿宋" w:cs="仿宋"/>
                <w:color w:val="auto"/>
                <w:lang w:eastAsia="zh-CN"/>
              </w:rPr>
              <w:t>2）比选小组要求供应商两轮报价，供应商</w:t>
            </w:r>
            <w:r>
              <w:rPr>
                <w:rFonts w:hint="eastAsia" w:ascii="仿宋" w:hAnsi="仿宋" w:eastAsia="仿宋" w:cs="仿宋"/>
                <w:color w:val="auto"/>
                <w:u w:val="single"/>
                <w:lang w:eastAsia="zh-CN"/>
              </w:rPr>
              <w:t>最后一轮比选提交的报价</w:t>
            </w:r>
            <w:r>
              <w:rPr>
                <w:rFonts w:hint="eastAsia" w:ascii="仿宋" w:hAnsi="仿宋" w:eastAsia="仿宋" w:cs="仿宋"/>
                <w:color w:val="auto"/>
                <w:lang w:eastAsia="zh-CN"/>
              </w:rPr>
              <w:t>将作为该供应商的</w:t>
            </w:r>
            <w:r>
              <w:rPr>
                <w:rFonts w:hint="eastAsia" w:ascii="仿宋" w:hAnsi="仿宋" w:eastAsia="仿宋" w:cs="仿宋"/>
                <w:b/>
                <w:bCs/>
                <w:color w:val="auto"/>
                <w:lang w:eastAsia="zh-CN"/>
              </w:rPr>
              <w:t>最终报价</w:t>
            </w:r>
            <w:r>
              <w:rPr>
                <w:rFonts w:hint="eastAsia" w:ascii="仿宋" w:hAnsi="仿宋" w:eastAsia="仿宋" w:cs="仿宋"/>
                <w:color w:val="auto"/>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.1.10</w:t>
            </w:r>
          </w:p>
        </w:tc>
        <w:tc>
          <w:tcPr>
            <w:tcW w:w="1841" w:type="dxa"/>
            <w:vAlign w:val="center"/>
          </w:tcPr>
          <w:p>
            <w:pPr>
              <w:pStyle w:val="37"/>
              <w:snapToGrid w:val="0"/>
              <w:spacing w:line="300" w:lineRule="auto"/>
              <w:ind w:left="114" w:right="114"/>
              <w:jc w:val="center"/>
              <w:rPr>
                <w:rFonts w:ascii="仿宋_GB2312" w:eastAsia="仿宋_GB2312"/>
                <w:color w:val="auto"/>
                <w:sz w:val="24"/>
                <w:szCs w:val="24"/>
                <w:lang w:eastAsia="zh-CN"/>
              </w:rPr>
            </w:pPr>
            <w:r>
              <w:rPr>
                <w:rFonts w:hint="eastAsia" w:ascii="仿宋" w:hAnsi="仿宋" w:eastAsia="仿宋"/>
                <w:color w:val="auto"/>
                <w:szCs w:val="21"/>
                <w:lang w:eastAsia="zh-CN"/>
              </w:rPr>
              <w:t>纸质</w:t>
            </w:r>
            <w:r>
              <w:rPr>
                <w:rFonts w:hint="eastAsia" w:ascii="仿宋" w:hAnsi="仿宋" w:eastAsia="仿宋" w:cs="仿宋"/>
                <w:color w:val="auto"/>
                <w:szCs w:val="21"/>
                <w:lang w:eastAsia="zh-CN"/>
              </w:rPr>
              <w:t>响应文件的装订、密封和标记</w:t>
            </w:r>
          </w:p>
        </w:tc>
        <w:tc>
          <w:tcPr>
            <w:tcW w:w="7199" w:type="dxa"/>
            <w:vAlign w:val="center"/>
          </w:tcPr>
          <w:p>
            <w:pPr>
              <w:spacing w:line="360" w:lineRule="auto"/>
              <w:rPr>
                <w:rFonts w:ascii="仿宋" w:hAnsi="仿宋" w:eastAsia="仿宋" w:cs="Cambria Math"/>
                <w:color w:val="auto"/>
                <w:sz w:val="22"/>
                <w:szCs w:val="21"/>
              </w:rPr>
            </w:pPr>
            <w:r>
              <w:rPr>
                <w:rFonts w:hint="eastAsia" w:ascii="仿宋" w:hAnsi="仿宋" w:eastAsia="仿宋" w:cs="Cambria Math"/>
                <w:color w:val="auto"/>
                <w:sz w:val="22"/>
                <w:szCs w:val="21"/>
              </w:rPr>
              <w:t>（1）采用A4纸胶装，双面打印，密封粘接缝隙加盖供应商公章或由法定代表人（负责人）或其委托代理人签字，并分别在右上角标明“正本”和“副本”字样。</w:t>
            </w:r>
          </w:p>
          <w:p>
            <w:pPr>
              <w:spacing w:line="360" w:lineRule="auto"/>
              <w:rPr>
                <w:rFonts w:ascii="仿宋" w:hAnsi="仿宋" w:eastAsia="仿宋" w:cs="Cambria Math"/>
                <w:color w:val="auto"/>
                <w:sz w:val="22"/>
                <w:szCs w:val="21"/>
              </w:rPr>
            </w:pPr>
            <w:r>
              <w:rPr>
                <w:rFonts w:hint="eastAsia" w:ascii="仿宋" w:hAnsi="仿宋" w:eastAsia="仿宋" w:cs="Cambria Math"/>
                <w:color w:val="auto"/>
                <w:sz w:val="22"/>
                <w:szCs w:val="21"/>
              </w:rPr>
              <w:t>响应文件需加盖骑缝章。未按要求密封的</w:t>
            </w:r>
            <w:r>
              <w:rPr>
                <w:rFonts w:hint="eastAsia" w:ascii="仿宋" w:hAnsi="仿宋" w:eastAsia="仿宋" w:cs="Cambria Math"/>
                <w:color w:val="auto"/>
                <w:sz w:val="22"/>
                <w:szCs w:val="21"/>
                <w:lang w:eastAsia="zh-Hans"/>
              </w:rPr>
              <w:t>纸质</w:t>
            </w:r>
            <w:r>
              <w:rPr>
                <w:rFonts w:hint="eastAsia" w:ascii="仿宋" w:hAnsi="仿宋" w:eastAsia="仿宋" w:cs="Cambria Math"/>
                <w:color w:val="auto"/>
                <w:sz w:val="22"/>
                <w:szCs w:val="21"/>
              </w:rPr>
              <w:t>响应文件不予接收。</w:t>
            </w:r>
          </w:p>
          <w:p>
            <w:pPr>
              <w:rPr>
                <w:rFonts w:ascii="仿宋" w:hAnsi="仿宋" w:eastAsia="仿宋"/>
                <w:color w:val="auto"/>
                <w:sz w:val="22"/>
              </w:rPr>
            </w:pPr>
            <w:r>
              <w:rPr>
                <w:rFonts w:hint="eastAsia" w:ascii="仿宋" w:hAnsi="仿宋" w:eastAsia="仿宋" w:cs="Cambria Math"/>
                <w:color w:val="auto"/>
                <w:sz w:val="22"/>
                <w:szCs w:val="21"/>
              </w:rPr>
              <w:t>（2）外层包封具体样式如下：</w:t>
            </w:r>
          </w:p>
          <w:p>
            <w:pPr>
              <w:pStyle w:val="37"/>
              <w:snapToGrid w:val="0"/>
              <w:spacing w:line="300" w:lineRule="auto"/>
              <w:ind w:left="103" w:right="2739"/>
              <w:jc w:val="both"/>
              <w:rPr>
                <w:rFonts w:ascii="仿宋_GB2312" w:eastAsia="仿宋_GB2312"/>
                <w:color w:val="auto"/>
                <w:sz w:val="24"/>
                <w:szCs w:val="24"/>
                <w:lang w:eastAsia="zh-CN"/>
              </w:rPr>
            </w:pPr>
            <w:r>
              <w:rPr>
                <w:rFonts w:hint="eastAsia" w:ascii="仿宋" w:hAnsi="仿宋" w:eastAsia="仿宋" w:cs="仿宋"/>
                <w:color w:val="auto"/>
                <w:lang w:eastAsia="zh-CN"/>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2.1.11</w:t>
            </w:r>
          </w:p>
        </w:tc>
        <w:tc>
          <w:tcPr>
            <w:tcW w:w="1841" w:type="dxa"/>
            <w:vAlign w:val="center"/>
          </w:tcPr>
          <w:p>
            <w:pPr>
              <w:spacing w:line="400" w:lineRule="exact"/>
              <w:ind w:left="77" w:leftChars="32" w:right="132" w:rightChars="55" w:firstLine="67" w:firstLineChars="28"/>
              <w:jc w:val="center"/>
              <w:rPr>
                <w:rFonts w:ascii="仿宋_GB2312" w:hAnsi="宋体" w:eastAsia="仿宋_GB2312"/>
                <w:color w:val="auto"/>
                <w:szCs w:val="21"/>
              </w:rPr>
            </w:pPr>
            <w:r>
              <w:rPr>
                <w:rFonts w:hint="eastAsia" w:ascii="仿宋" w:hAnsi="仿宋" w:eastAsia="仿宋" w:cs="仿宋"/>
                <w:color w:val="auto"/>
                <w:szCs w:val="21"/>
              </w:rPr>
              <w:t>组建比选小组</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color w:val="auto"/>
                <w:szCs w:val="21"/>
                <w:lang w:val="zh-CN"/>
              </w:rPr>
            </w:pPr>
            <w:r>
              <w:rPr>
                <w:rFonts w:hint="eastAsia" w:ascii="仿宋" w:hAnsi="仿宋" w:eastAsia="仿宋" w:cs="仿宋"/>
                <w:color w:val="auto"/>
                <w:sz w:val="22"/>
              </w:rPr>
              <w:t>本项目比选小组成员人数为</w:t>
            </w:r>
            <w:r>
              <w:rPr>
                <w:rFonts w:hint="eastAsia" w:ascii="仿宋" w:hAnsi="仿宋" w:eastAsia="仿宋" w:cs="仿宋"/>
                <w:color w:val="auto"/>
                <w:sz w:val="22"/>
                <w:u w:val="single"/>
                <w:lang w:val="en-US" w:eastAsia="zh-CN"/>
              </w:rPr>
              <w:t>5</w:t>
            </w:r>
            <w:r>
              <w:rPr>
                <w:rFonts w:hint="eastAsia" w:ascii="仿宋" w:hAnsi="仿宋" w:eastAsia="仿宋" w:cs="仿宋"/>
                <w:color w:val="auto"/>
                <w:sz w:val="22"/>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11"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.1.12</w:t>
            </w:r>
          </w:p>
        </w:tc>
        <w:tc>
          <w:tcPr>
            <w:tcW w:w="1841" w:type="dxa"/>
            <w:vAlign w:val="center"/>
          </w:tcPr>
          <w:p>
            <w:pPr>
              <w:spacing w:line="400" w:lineRule="exact"/>
              <w:ind w:left="77" w:leftChars="32" w:right="132" w:rightChars="55" w:firstLine="67" w:firstLineChars="28"/>
              <w:jc w:val="center"/>
              <w:rPr>
                <w:rFonts w:hint="eastAsia" w:ascii="仿宋" w:hAnsi="仿宋" w:eastAsia="仿宋" w:cs="仿宋"/>
                <w:color w:val="auto"/>
                <w:szCs w:val="21"/>
              </w:rPr>
            </w:pPr>
            <w:r>
              <w:rPr>
                <w:rFonts w:hint="eastAsia" w:ascii="仿宋" w:hAnsi="仿宋" w:eastAsia="仿宋" w:cs="仿宋"/>
                <w:color w:val="auto"/>
                <w:szCs w:val="21"/>
              </w:rPr>
              <w:t>比选程序</w:t>
            </w:r>
          </w:p>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szCs w:val="21"/>
              </w:rPr>
              <w:t>及方式</w:t>
            </w:r>
          </w:p>
        </w:tc>
        <w:tc>
          <w:tcPr>
            <w:tcW w:w="7199" w:type="dxa"/>
            <w:vAlign w:val="center"/>
          </w:tcPr>
          <w:p>
            <w:pPr>
              <w:pStyle w:val="61"/>
              <w:spacing w:before="62" w:beforeLines="20" w:after="62" w:afterLines="20" w:line="360" w:lineRule="auto"/>
              <w:rPr>
                <w:rFonts w:ascii="仿宋" w:hAnsi="仿宋" w:eastAsia="仿宋" w:cs="仿宋"/>
                <w:color w:val="auto"/>
                <w:sz w:val="22"/>
                <w:szCs w:val="22"/>
              </w:rPr>
            </w:pPr>
            <w:r>
              <w:rPr>
                <w:rFonts w:hint="eastAsia" w:ascii="仿宋" w:hAnsi="仿宋" w:eastAsia="仿宋" w:cs="仿宋"/>
                <w:color w:val="auto"/>
                <w:sz w:val="22"/>
                <w:szCs w:val="22"/>
              </w:rPr>
              <w:t>（1）比选小组将与通过初步评审的有效供应商按照</w:t>
            </w:r>
            <w:r>
              <w:rPr>
                <w:rFonts w:hint="eastAsia" w:ascii="仿宋" w:hAnsi="仿宋" w:eastAsia="仿宋" w:cs="仿宋"/>
                <w:color w:val="auto"/>
                <w:sz w:val="22"/>
                <w:szCs w:val="22"/>
                <w:u w:val="single"/>
                <w:lang w:val="en-US" w:eastAsia="zh-CN"/>
              </w:rPr>
              <w:t>响应文件递交顺序</w:t>
            </w:r>
            <w:r>
              <w:rPr>
                <w:rFonts w:hint="eastAsia" w:ascii="仿宋" w:hAnsi="仿宋" w:eastAsia="仿宋" w:cs="仿宋"/>
                <w:color w:val="auto"/>
                <w:sz w:val="22"/>
                <w:szCs w:val="22"/>
              </w:rPr>
              <w:t>逐一进行比选，供应商至少应派法定代表人或其授权委托人准时参会。</w:t>
            </w:r>
          </w:p>
          <w:p>
            <w:pPr>
              <w:autoSpaceDE w:val="0"/>
              <w:autoSpaceDN w:val="0"/>
              <w:adjustRightInd w:val="0"/>
              <w:spacing w:line="400" w:lineRule="exact"/>
              <w:rPr>
                <w:rFonts w:ascii="仿宋" w:hAnsi="仿宋" w:eastAsia="仿宋" w:cs="仿宋"/>
                <w:color w:val="auto"/>
              </w:rPr>
            </w:pPr>
            <w:r>
              <w:rPr>
                <w:rFonts w:hint="eastAsia" w:ascii="仿宋" w:hAnsi="仿宋" w:eastAsia="仿宋" w:cs="仿宋"/>
                <w:color w:val="auto"/>
                <w:sz w:val="22"/>
                <w:szCs w:val="22"/>
              </w:rPr>
              <w:t>（2）比选小组有权要求供应商对响应文件中含义不明确、同类问题表述不一致或者有明显文字和计算错误的内容等进行澄清、说明或更正。第一轮比选结束后，供应商提交第一轮报价及比选小组要求提供的其他文件，比选小组将视具体情况决定是否进行多轮比选及报价。最后一轮比选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.1.13</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szCs w:val="21"/>
              </w:rPr>
              <w:t>比选内容</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auto"/>
              </w:rPr>
            </w:pPr>
            <w:r>
              <w:rPr>
                <w:rFonts w:hint="eastAsia" w:ascii="仿宋" w:hAnsi="仿宋" w:eastAsia="仿宋" w:cs="仿宋"/>
                <w:color w:val="auto"/>
                <w:sz w:val="22"/>
              </w:rPr>
              <w:t>包含但不仅限于</w:t>
            </w:r>
            <w:r>
              <w:rPr>
                <w:rFonts w:hint="eastAsia" w:ascii="仿宋" w:hAnsi="仿宋" w:eastAsia="仿宋" w:cs="仿宋"/>
                <w:color w:val="auto"/>
                <w:sz w:val="22"/>
                <w:u w:val="single"/>
              </w:rPr>
              <w:t>报价、对采购需求的理解、技术方案、实施方案、人员配置、服务承诺、商务条款</w:t>
            </w:r>
            <w:r>
              <w:rPr>
                <w:rFonts w:hint="eastAsia" w:ascii="仿宋" w:hAnsi="仿宋" w:eastAsia="仿宋" w:cs="仿宋"/>
                <w:color w:val="auto"/>
                <w:sz w:val="22"/>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.1.14</w:t>
            </w:r>
          </w:p>
        </w:tc>
        <w:tc>
          <w:tcPr>
            <w:tcW w:w="1841" w:type="dxa"/>
            <w:vAlign w:val="center"/>
          </w:tcPr>
          <w:p>
            <w:pPr>
              <w:spacing w:line="400" w:lineRule="exact"/>
              <w:ind w:left="77" w:leftChars="32" w:right="132" w:rightChars="55" w:firstLine="67" w:firstLineChars="28"/>
              <w:jc w:val="center"/>
              <w:rPr>
                <w:rFonts w:hint="eastAsia" w:ascii="仿宋" w:hAnsi="仿宋" w:eastAsia="仿宋" w:cs="仿宋"/>
                <w:color w:val="auto"/>
              </w:rPr>
            </w:pPr>
            <w:r>
              <w:rPr>
                <w:rFonts w:hint="eastAsia" w:ascii="仿宋" w:hAnsi="仿宋" w:eastAsia="仿宋" w:cs="仿宋"/>
                <w:color w:val="auto"/>
              </w:rPr>
              <w:t>成交候选人</w:t>
            </w:r>
          </w:p>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rPr>
              <w:t>推荐原则</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auto"/>
              </w:rPr>
            </w:pPr>
            <w:r>
              <w:rPr>
                <w:rFonts w:hint="eastAsia" w:ascii="仿宋" w:hAnsi="仿宋" w:eastAsia="仿宋" w:cs="仿宋"/>
                <w:color w:val="auto"/>
                <w:sz w:val="22"/>
              </w:rPr>
              <w:t>比选小组根据有效供应商</w:t>
            </w:r>
            <w:r>
              <w:rPr>
                <w:rFonts w:hint="eastAsia" w:ascii="仿宋" w:hAnsi="仿宋" w:eastAsia="仿宋" w:cs="宋体"/>
                <w:color w:val="auto"/>
                <w:sz w:val="22"/>
              </w:rPr>
              <w:t>综合得分由高至低排出的名次，顺序推荐</w:t>
            </w:r>
            <w:r>
              <w:rPr>
                <w:rFonts w:hint="eastAsia" w:ascii="仿宋" w:hAnsi="仿宋" w:eastAsia="仿宋" w:cs="宋体"/>
                <w:color w:val="auto"/>
                <w:sz w:val="22"/>
                <w:u w:val="single"/>
              </w:rPr>
              <w:t>综合得分前</w:t>
            </w:r>
            <w:r>
              <w:rPr>
                <w:rFonts w:hint="eastAsia" w:ascii="仿宋" w:hAnsi="仿宋" w:eastAsia="仿宋" w:cs="仿宋"/>
                <w:color w:val="auto"/>
                <w:sz w:val="22"/>
                <w:szCs w:val="22"/>
                <w:u w:val="single"/>
              </w:rPr>
              <w:t>1名</w:t>
            </w:r>
            <w:r>
              <w:rPr>
                <w:rFonts w:hint="eastAsia" w:ascii="仿宋" w:hAnsi="仿宋" w:eastAsia="仿宋" w:cs="宋体"/>
                <w:color w:val="auto"/>
                <w:sz w:val="22"/>
              </w:rPr>
              <w:t>为成交候选人。</w:t>
            </w:r>
            <w:r>
              <w:rPr>
                <w:rFonts w:hint="eastAsia" w:ascii="仿宋" w:hAnsi="仿宋" w:eastAsia="仿宋" w:cs="仿宋"/>
                <w:color w:val="auto"/>
                <w:sz w:val="22"/>
              </w:rPr>
              <w:t>综合得分相同时，价格得分高者排名</w:t>
            </w:r>
            <w:r>
              <w:rPr>
                <w:rFonts w:hint="eastAsia" w:ascii="仿宋" w:hAnsi="仿宋" w:eastAsia="仿宋" w:cs="仿宋"/>
                <w:color w:val="auto"/>
              </w:rPr>
              <w:t>优先；价格得分也相同时，</w:t>
            </w:r>
            <w:r>
              <w:rPr>
                <w:rFonts w:hint="eastAsia" w:ascii="仿宋" w:hAnsi="仿宋" w:eastAsia="仿宋" w:cs="仿宋"/>
                <w:color w:val="auto"/>
                <w:u w:val="single"/>
              </w:rPr>
              <w:t>技术</w:t>
            </w:r>
            <w:r>
              <w:rPr>
                <w:rFonts w:hint="eastAsia" w:ascii="仿宋" w:hAnsi="仿宋" w:eastAsia="仿宋" w:cs="仿宋"/>
                <w:color w:val="auto"/>
              </w:rPr>
              <w:t>得分高者排名优先。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.1.15</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rPr>
              <w:t>成交人数量</w:t>
            </w:r>
          </w:p>
        </w:tc>
        <w:tc>
          <w:tcPr>
            <w:tcW w:w="7199" w:type="dxa"/>
            <w:vAlign w:val="center"/>
          </w:tcPr>
          <w:p>
            <w:pPr>
              <w:pStyle w:val="61"/>
              <w:spacing w:before="62" w:beforeLines="20" w:after="62" w:afterLines="20"/>
              <w:rPr>
                <w:rFonts w:hint="eastAsia" w:ascii="仿宋" w:hAnsi="仿宋" w:eastAsia="仿宋" w:cs="仿宋"/>
                <w:color w:val="auto"/>
                <w:sz w:val="22"/>
                <w:szCs w:val="22"/>
              </w:rPr>
            </w:pPr>
            <w:r>
              <w:rPr>
                <w:rFonts w:hint="eastAsia" w:ascii="仿宋" w:hAnsi="仿宋" w:eastAsia="仿宋" w:cs="仿宋"/>
                <w:color w:val="auto"/>
                <w:sz w:val="22"/>
                <w:szCs w:val="22"/>
              </w:rPr>
              <w:t>每个标包成交人数量：</w:t>
            </w:r>
            <w:r>
              <w:rPr>
                <w:rFonts w:hint="eastAsia" w:ascii="仿宋" w:hAnsi="仿宋" w:eastAsia="仿宋" w:cs="仿宋"/>
                <w:color w:val="auto"/>
                <w:sz w:val="22"/>
                <w:szCs w:val="22"/>
                <w:u w:val="single"/>
              </w:rPr>
              <w:t>1家</w:t>
            </w:r>
            <w:r>
              <w:rPr>
                <w:rFonts w:hint="eastAsia" w:ascii="仿宋" w:hAnsi="仿宋" w:eastAsia="仿宋" w:cs="仿宋"/>
                <w:color w:val="auto"/>
                <w:sz w:val="22"/>
                <w:szCs w:val="22"/>
              </w:rPr>
              <w:t>（同一单位若投标两个标包，且综合排名均为第一，仅能按标包顺序中标一个标包）</w:t>
            </w:r>
          </w:p>
          <w:p>
            <w:pPr>
              <w:autoSpaceDE w:val="0"/>
              <w:autoSpaceDN w:val="0"/>
              <w:adjustRightInd w:val="0"/>
              <w:spacing w:line="400" w:lineRule="exact"/>
              <w:rPr>
                <w:rFonts w:hint="eastAsia" w:ascii="仿宋" w:hAnsi="仿宋" w:eastAsia="仿宋" w:cs="仿宋"/>
                <w:color w:val="auto"/>
                <w:lang w:eastAsia="zh-CN"/>
              </w:rPr>
            </w:pPr>
            <w:r>
              <w:rPr>
                <w:rFonts w:hint="eastAsia" w:ascii="仿宋" w:hAnsi="仿宋" w:eastAsia="仿宋" w:cs="仿宋"/>
                <w:color w:val="auto"/>
                <w:sz w:val="22"/>
                <w:szCs w:val="22"/>
              </w:rPr>
              <w:t>每个标包</w:t>
            </w:r>
            <w:r>
              <w:rPr>
                <w:rFonts w:hint="eastAsia" w:ascii="仿宋" w:hAnsi="仿宋" w:eastAsia="仿宋" w:cs="仿宋"/>
                <w:color w:val="auto"/>
                <w:sz w:val="22"/>
                <w:szCs w:val="22"/>
                <w:u w:val="single"/>
              </w:rPr>
              <w:t>综合排名第一</w:t>
            </w:r>
            <w:r>
              <w:rPr>
                <w:rFonts w:hint="eastAsia" w:ascii="仿宋" w:hAnsi="仿宋" w:eastAsia="仿宋" w:cs="仿宋"/>
                <w:color w:val="auto"/>
                <w:sz w:val="22"/>
                <w:szCs w:val="22"/>
              </w:rPr>
              <w:t>成交候选人放弃成交、因不可抗力不能履行合同、不按照磋商文件要求提交履约保证金、存在重大经营或法律风险、被查实存在影响采购结果的违法行为等情形，采购人按照磋商小组提出的成交候选人名单排序依次确定其他成交候选人为成交人，或者重新采购</w:t>
            </w:r>
            <w:r>
              <w:rPr>
                <w:rFonts w:hint="eastAsia" w:ascii="仿宋" w:hAnsi="仿宋" w:eastAsia="仿宋" w:cs="仿宋"/>
                <w:color w:val="auto"/>
                <w:sz w:val="22"/>
                <w:szCs w:val="22"/>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.1.16</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rPr>
            </w:pPr>
            <w:r>
              <w:rPr>
                <w:rFonts w:hint="eastAsia" w:ascii="仿宋" w:hAnsi="仿宋" w:eastAsia="仿宋" w:cs="仿宋"/>
                <w:color w:val="auto"/>
                <w:szCs w:val="21"/>
              </w:rPr>
              <w:t>履约保证金</w:t>
            </w:r>
          </w:p>
        </w:tc>
        <w:tc>
          <w:tcPr>
            <w:tcW w:w="7199" w:type="dxa"/>
            <w:vAlign w:val="center"/>
          </w:tcPr>
          <w:p>
            <w:pPr>
              <w:pStyle w:val="61"/>
              <w:spacing w:before="62" w:beforeLines="20" w:after="62" w:afterLines="20"/>
              <w:rPr>
                <w:rFonts w:ascii="仿宋" w:hAnsi="仿宋" w:eastAsia="仿宋" w:cs="仿宋"/>
                <w:color w:val="auto"/>
              </w:rPr>
            </w:pPr>
            <w:r>
              <w:rPr>
                <w:rFonts w:hint="eastAsia" w:ascii="仿宋" w:hAnsi="仿宋" w:eastAsia="仿宋"/>
                <w:color w:val="auto"/>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2.1.17</w:t>
            </w:r>
          </w:p>
        </w:tc>
        <w:tc>
          <w:tcPr>
            <w:tcW w:w="1841" w:type="dxa"/>
            <w:vAlign w:val="center"/>
          </w:tcPr>
          <w:p>
            <w:pPr>
              <w:spacing w:line="400" w:lineRule="exact"/>
              <w:ind w:left="77" w:leftChars="32" w:right="132" w:rightChars="55" w:firstLine="67" w:firstLineChars="28"/>
              <w:jc w:val="center"/>
              <w:rPr>
                <w:rFonts w:ascii="仿宋_GB2312" w:hAnsi="宋体" w:eastAsia="仿宋_GB2312"/>
                <w:color w:val="auto"/>
                <w:szCs w:val="21"/>
              </w:rPr>
            </w:pPr>
            <w:r>
              <w:rPr>
                <w:rFonts w:hint="eastAsia" w:ascii="仿宋_GB2312" w:hAnsi="宋体" w:eastAsia="仿宋_GB2312"/>
                <w:color w:val="auto"/>
                <w:szCs w:val="21"/>
              </w:rPr>
              <w:t>合同签署</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color w:val="auto"/>
                <w:szCs w:val="21"/>
                <w:lang w:val="zh-CN"/>
              </w:rPr>
            </w:pPr>
            <w:r>
              <w:rPr>
                <w:rFonts w:hint="eastAsia" w:ascii="仿宋" w:hAnsi="仿宋" w:eastAsia="仿宋" w:cs="仿宋"/>
                <w:color w:val="auto"/>
                <w:sz w:val="22"/>
              </w:rPr>
              <w:t>项目采购人为人保财险</w:t>
            </w:r>
            <w:r>
              <w:rPr>
                <w:rFonts w:hint="eastAsia" w:ascii="仿宋" w:hAnsi="仿宋" w:eastAsia="仿宋" w:cs="宋体"/>
                <w:color w:val="auto"/>
                <w:sz w:val="22"/>
              </w:rPr>
              <w:t>泸州市</w:t>
            </w:r>
            <w:r>
              <w:rPr>
                <w:rFonts w:ascii="仿宋" w:hAnsi="仿宋" w:eastAsia="仿宋" w:cs="仿宋"/>
                <w:color w:val="auto"/>
                <w:sz w:val="22"/>
              </w:rPr>
              <w:t>分公司</w:t>
            </w:r>
            <w:r>
              <w:rPr>
                <w:rFonts w:hint="eastAsia" w:ascii="仿宋" w:hAnsi="仿宋" w:eastAsia="仿宋" w:cs="仿宋"/>
                <w:color w:val="auto"/>
                <w:sz w:val="22"/>
              </w:rPr>
              <w:t>，</w:t>
            </w:r>
            <w:r>
              <w:rPr>
                <w:rFonts w:ascii="仿宋" w:hAnsi="仿宋" w:eastAsia="仿宋" w:cs="仿宋"/>
                <w:color w:val="auto"/>
                <w:sz w:val="22"/>
              </w:rPr>
              <w:t>实际合同签署人为采购人</w:t>
            </w:r>
            <w:r>
              <w:rPr>
                <w:rFonts w:hint="eastAsia" w:ascii="仿宋" w:hAnsi="仿宋" w:eastAsia="仿宋" w:cs="仿宋"/>
                <w:color w:val="auto"/>
                <w:sz w:val="22"/>
              </w:rPr>
              <w:t>。</w:t>
            </w:r>
          </w:p>
        </w:tc>
      </w:tr>
    </w:tbl>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4"/>
        <w:jc w:val="center"/>
        <w:rPr>
          <w:rFonts w:ascii="仿宋" w:hAnsi="仿宋" w:eastAsia="仿宋" w:cs="仿宋"/>
          <w:color w:val="auto"/>
          <w:sz w:val="24"/>
          <w:szCs w:val="24"/>
        </w:rPr>
      </w:pPr>
      <w:bookmarkStart w:id="17" w:name="_Toc11071"/>
      <w:bookmarkStart w:id="18" w:name="_Toc517281816"/>
      <w:bookmarkStart w:id="19" w:name="_Toc444891336"/>
      <w:bookmarkStart w:id="20" w:name="_Toc19783313"/>
      <w:bookmarkStart w:id="21" w:name="_Toc6047"/>
      <w:bookmarkStart w:id="22" w:name="_Toc27232"/>
      <w:bookmarkStart w:id="23" w:name="_Toc20514"/>
      <w:bookmarkStart w:id="24" w:name="_Toc287600118"/>
      <w:bookmarkStart w:id="25" w:name="_Toc8529"/>
      <w:bookmarkStart w:id="26" w:name="_Toc27220"/>
      <w:r>
        <w:rPr>
          <w:rFonts w:hint="eastAsia" w:ascii="仿宋" w:hAnsi="仿宋" w:eastAsia="仿宋" w:cs="仿宋"/>
          <w:color w:val="auto"/>
          <w:sz w:val="24"/>
          <w:szCs w:val="24"/>
        </w:rPr>
        <w:t>二、供应商须知</w:t>
      </w:r>
      <w:bookmarkEnd w:id="17"/>
      <w:bookmarkEnd w:id="18"/>
      <w:bookmarkEnd w:id="19"/>
      <w:bookmarkEnd w:id="20"/>
      <w:bookmarkEnd w:id="21"/>
      <w:bookmarkEnd w:id="22"/>
      <w:bookmarkEnd w:id="23"/>
      <w:bookmarkEnd w:id="24"/>
      <w:r>
        <w:rPr>
          <w:rFonts w:hint="eastAsia" w:ascii="仿宋" w:hAnsi="仿宋" w:eastAsia="仿宋" w:cs="仿宋"/>
          <w:color w:val="auto"/>
          <w:sz w:val="24"/>
          <w:szCs w:val="24"/>
        </w:rPr>
        <w:t>正文</w:t>
      </w:r>
      <w:bookmarkEnd w:id="25"/>
      <w:bookmarkEnd w:id="26"/>
    </w:p>
    <w:p>
      <w:pPr>
        <w:pStyle w:val="5"/>
        <w:spacing w:before="0" w:after="0" w:line="360" w:lineRule="auto"/>
        <w:ind w:firstLine="482"/>
        <w:rPr>
          <w:rFonts w:ascii="仿宋" w:hAnsi="仿宋" w:eastAsia="仿宋" w:cs="仿宋"/>
          <w:color w:val="auto"/>
          <w:sz w:val="24"/>
          <w:szCs w:val="24"/>
        </w:rPr>
      </w:pPr>
      <w:bookmarkStart w:id="27" w:name="_Toc11453"/>
      <w:bookmarkStart w:id="28" w:name="_Toc16441"/>
      <w:bookmarkStart w:id="29" w:name="_Toc431"/>
      <w:bookmarkStart w:id="30" w:name="_Toc517281817"/>
      <w:bookmarkStart w:id="31" w:name="_Toc11851"/>
      <w:bookmarkStart w:id="32" w:name="_Toc6681"/>
      <w:bookmarkStart w:id="33" w:name="_Toc19783314"/>
      <w:bookmarkStart w:id="34" w:name="_Toc444891337"/>
      <w:bookmarkStart w:id="35" w:name="_Toc3678"/>
      <w:bookmarkStart w:id="36" w:name="_Toc22969"/>
      <w:bookmarkStart w:id="37" w:name="_Toc287600119"/>
      <w:r>
        <w:rPr>
          <w:rFonts w:hint="eastAsia" w:ascii="仿宋" w:hAnsi="仿宋" w:eastAsia="仿宋" w:cs="仿宋"/>
          <w:color w:val="auto"/>
          <w:sz w:val="24"/>
          <w:szCs w:val="24"/>
        </w:rPr>
        <w:t>（一）总 则</w:t>
      </w:r>
      <w:bookmarkEnd w:id="27"/>
      <w:bookmarkEnd w:id="28"/>
      <w:bookmarkEnd w:id="29"/>
      <w:bookmarkEnd w:id="30"/>
      <w:bookmarkEnd w:id="31"/>
      <w:bookmarkEnd w:id="32"/>
      <w:bookmarkEnd w:id="33"/>
      <w:bookmarkEnd w:id="34"/>
      <w:bookmarkEnd w:id="35"/>
      <w:bookmarkEnd w:id="36"/>
      <w:bookmarkEnd w:id="37"/>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1.项目说明</w:t>
      </w:r>
    </w:p>
    <w:p>
      <w:pPr>
        <w:spacing w:line="360" w:lineRule="auto"/>
        <w:rPr>
          <w:rFonts w:ascii="仿宋" w:hAnsi="仿宋" w:eastAsia="仿宋" w:cs="仿宋"/>
          <w:color w:val="auto"/>
        </w:rPr>
      </w:pPr>
      <w:r>
        <w:rPr>
          <w:rFonts w:hint="eastAsia" w:ascii="仿宋" w:hAnsi="仿宋" w:eastAsia="仿宋" w:cs="仿宋"/>
          <w:color w:val="auto"/>
        </w:rPr>
        <w:t>本项目按照中华人民共和国有关法律、行政法规和部门规章以及采购人的采购管理制度，通过比选方式确定签约供应商。</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2.采购范围</w:t>
      </w:r>
    </w:p>
    <w:p>
      <w:pPr>
        <w:tabs>
          <w:tab w:val="left" w:pos="3150"/>
          <w:tab w:val="left" w:pos="3780"/>
        </w:tabs>
        <w:spacing w:line="360" w:lineRule="auto"/>
        <w:rPr>
          <w:rFonts w:ascii="仿宋" w:hAnsi="仿宋" w:eastAsia="仿宋" w:cs="仿宋"/>
          <w:bCs/>
          <w:color w:val="auto"/>
        </w:rPr>
      </w:pPr>
      <w:r>
        <w:rPr>
          <w:rFonts w:hint="eastAsia" w:ascii="仿宋" w:hAnsi="仿宋" w:eastAsia="仿宋" w:cs="仿宋"/>
          <w:color w:val="auto"/>
          <w:u w:val="single"/>
        </w:rPr>
        <w:t>详见本须知前附表</w:t>
      </w:r>
      <w:r>
        <w:rPr>
          <w:rFonts w:hint="eastAsia" w:ascii="仿宋" w:hAnsi="仿宋" w:eastAsia="仿宋" w:cs="仿宋"/>
          <w:color w:val="auto"/>
        </w:rPr>
        <w:t>，</w:t>
      </w:r>
      <w:r>
        <w:rPr>
          <w:rFonts w:hint="eastAsia" w:ascii="仿宋" w:hAnsi="仿宋" w:eastAsia="仿宋" w:cs="仿宋"/>
          <w:bCs/>
          <w:color w:val="auto"/>
        </w:rPr>
        <w:t>详细内容详见第五章采购需求。</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3.资金来源</w:t>
      </w:r>
    </w:p>
    <w:p>
      <w:pPr>
        <w:tabs>
          <w:tab w:val="left" w:pos="3150"/>
          <w:tab w:val="left" w:pos="3780"/>
        </w:tabs>
        <w:spacing w:line="360" w:lineRule="auto"/>
        <w:rPr>
          <w:rFonts w:ascii="仿宋" w:hAnsi="仿宋" w:eastAsia="仿宋" w:cs="仿宋"/>
          <w:color w:val="auto"/>
        </w:rPr>
      </w:pPr>
      <w:r>
        <w:rPr>
          <w:rFonts w:hint="eastAsia" w:ascii="仿宋" w:hAnsi="仿宋" w:eastAsia="仿宋" w:cs="仿宋"/>
          <w:color w:val="auto"/>
        </w:rPr>
        <w:t>资金来源于采购人或其子公司（含分支机构）自筹（比例100%），且资金已落实。</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4.资格审查</w:t>
      </w:r>
    </w:p>
    <w:p>
      <w:pPr>
        <w:topLinePunct/>
        <w:spacing w:line="360" w:lineRule="auto"/>
        <w:rPr>
          <w:rFonts w:ascii="仿宋" w:hAnsi="仿宋" w:eastAsia="仿宋" w:cs="宋体"/>
          <w:color w:val="auto"/>
        </w:rPr>
      </w:pPr>
      <w:r>
        <w:rPr>
          <w:rFonts w:hint="eastAsia" w:ascii="仿宋" w:hAnsi="仿宋" w:eastAsia="仿宋" w:cs="宋体"/>
          <w:color w:val="auto"/>
        </w:rPr>
        <w:t>资格后审：是指在首次响应文件递交截止时间后由比选小组根据比选文件的规定对供应商进行的资格审查。采购人应当在比选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auto"/>
          <w:u w:val="single"/>
        </w:rPr>
        <w:t>详见本须知前附表。</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5.比选响应费用</w:t>
      </w:r>
    </w:p>
    <w:p>
      <w:pPr>
        <w:spacing w:line="360" w:lineRule="auto"/>
        <w:textAlignment w:val="baseline"/>
        <w:rPr>
          <w:rFonts w:ascii="仿宋" w:hAnsi="仿宋" w:eastAsia="仿宋" w:cs="宋体"/>
          <w:color w:val="auto"/>
        </w:rPr>
      </w:pPr>
      <w:r>
        <w:rPr>
          <w:rFonts w:hint="eastAsia" w:ascii="仿宋" w:hAnsi="仿宋" w:eastAsia="仿宋" w:cs="宋体"/>
          <w:color w:val="auto"/>
        </w:rPr>
        <w:t>不论结果如何，</w:t>
      </w:r>
      <w:r>
        <w:rPr>
          <w:rFonts w:hint="eastAsia" w:ascii="仿宋" w:hAnsi="仿宋" w:eastAsia="仿宋" w:cs="仿宋"/>
          <w:color w:val="auto"/>
        </w:rPr>
        <w:t>供应商</w:t>
      </w:r>
      <w:r>
        <w:rPr>
          <w:rFonts w:hint="eastAsia" w:ascii="仿宋" w:hAnsi="仿宋" w:eastAsia="仿宋" w:cs="宋体"/>
          <w:color w:val="auto"/>
        </w:rPr>
        <w:t>自行承担所有准备和参与本次比选响应的有关费用。</w:t>
      </w:r>
    </w:p>
    <w:p>
      <w:pPr>
        <w:pStyle w:val="5"/>
        <w:spacing w:after="0" w:line="360" w:lineRule="auto"/>
        <w:ind w:firstLine="482"/>
        <w:rPr>
          <w:rFonts w:ascii="仿宋" w:hAnsi="仿宋" w:eastAsia="仿宋" w:cs="仿宋"/>
          <w:color w:val="auto"/>
          <w:sz w:val="24"/>
          <w:szCs w:val="24"/>
        </w:rPr>
      </w:pPr>
      <w:bookmarkStart w:id="38" w:name="_Toc444891338"/>
      <w:bookmarkStart w:id="39" w:name="_Toc25513"/>
      <w:bookmarkStart w:id="40" w:name="_Toc14164"/>
      <w:bookmarkStart w:id="41" w:name="_Toc5255"/>
      <w:bookmarkStart w:id="42" w:name="_Toc517281818"/>
      <w:bookmarkStart w:id="43" w:name="_Toc27188"/>
      <w:bookmarkStart w:id="44" w:name="_Toc24246"/>
      <w:bookmarkStart w:id="45" w:name="_Toc10975"/>
      <w:bookmarkStart w:id="46" w:name="_Toc287600120"/>
      <w:bookmarkStart w:id="47" w:name="_Toc19783315"/>
      <w:bookmarkStart w:id="48" w:name="_Toc3016"/>
      <w:r>
        <w:rPr>
          <w:rFonts w:hint="eastAsia" w:ascii="仿宋" w:hAnsi="仿宋" w:eastAsia="仿宋" w:cs="仿宋"/>
          <w:color w:val="auto"/>
          <w:sz w:val="24"/>
          <w:szCs w:val="24"/>
        </w:rPr>
        <w:t>（二）比选文件</w:t>
      </w:r>
      <w:bookmarkEnd w:id="38"/>
      <w:bookmarkEnd w:id="39"/>
      <w:bookmarkEnd w:id="40"/>
      <w:bookmarkEnd w:id="41"/>
      <w:bookmarkEnd w:id="42"/>
      <w:bookmarkEnd w:id="43"/>
      <w:bookmarkEnd w:id="44"/>
      <w:bookmarkEnd w:id="45"/>
      <w:bookmarkEnd w:id="46"/>
      <w:bookmarkEnd w:id="47"/>
      <w:bookmarkEnd w:id="48"/>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6.比选文件的组成</w:t>
      </w:r>
    </w:p>
    <w:p>
      <w:pPr>
        <w:spacing w:line="360" w:lineRule="auto"/>
        <w:rPr>
          <w:rFonts w:ascii="仿宋" w:hAnsi="仿宋" w:eastAsia="仿宋" w:cs="仿宋"/>
          <w:color w:val="auto"/>
        </w:rPr>
      </w:pPr>
      <w:r>
        <w:rPr>
          <w:rFonts w:hint="eastAsia" w:ascii="仿宋" w:hAnsi="仿宋" w:eastAsia="仿宋" w:cs="仿宋"/>
          <w:color w:val="auto"/>
        </w:rPr>
        <w:t>6.1比选文件包括下列内容：</w:t>
      </w:r>
    </w:p>
    <w:p>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 xml:space="preserve">第一章 </w:t>
      </w:r>
      <w:r>
        <w:rPr>
          <w:rFonts w:hint="eastAsia" w:ascii="仿宋" w:hAnsi="仿宋" w:eastAsia="仿宋" w:cs="仿宋"/>
          <w:color w:val="auto"/>
          <w:sz w:val="24"/>
          <w:lang w:eastAsia="zh-CN"/>
        </w:rPr>
        <w:t>比选</w:t>
      </w:r>
      <w:r>
        <w:rPr>
          <w:rFonts w:hint="eastAsia" w:ascii="仿宋" w:hAnsi="仿宋" w:eastAsia="仿宋" w:cs="仿宋"/>
          <w:color w:val="auto"/>
          <w:sz w:val="24"/>
        </w:rPr>
        <w:t>邀请</w:t>
      </w:r>
    </w:p>
    <w:p>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第二章 供应商须知</w:t>
      </w:r>
    </w:p>
    <w:p>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第三章 评审办法</w:t>
      </w:r>
    </w:p>
    <w:p>
      <w:pPr>
        <w:pStyle w:val="16"/>
        <w:widowControl/>
        <w:spacing w:line="360" w:lineRule="auto"/>
        <w:ind w:left="0" w:leftChars="0" w:firstLine="480" w:firstLineChars="200"/>
        <w:jc w:val="left"/>
        <w:rPr>
          <w:rFonts w:hint="eastAsia" w:ascii="仿宋" w:hAnsi="仿宋" w:eastAsia="仿宋" w:cs="仿宋"/>
          <w:color w:val="auto"/>
          <w:sz w:val="24"/>
          <w:lang w:eastAsia="zh-CN"/>
        </w:rPr>
      </w:pPr>
      <w:r>
        <w:rPr>
          <w:rFonts w:hint="eastAsia" w:ascii="仿宋" w:hAnsi="仿宋" w:eastAsia="仿宋" w:cs="仿宋"/>
          <w:color w:val="auto"/>
          <w:sz w:val="24"/>
        </w:rPr>
        <w:t>第四章 合同</w:t>
      </w:r>
      <w:r>
        <w:rPr>
          <w:rFonts w:hint="eastAsia" w:ascii="仿宋" w:hAnsi="仿宋" w:eastAsia="仿宋" w:cs="仿宋"/>
          <w:color w:val="auto"/>
          <w:sz w:val="24"/>
          <w:lang w:val="en-US" w:eastAsia="zh-CN"/>
        </w:rPr>
        <w:t>条款</w:t>
      </w:r>
    </w:p>
    <w:p>
      <w:pPr>
        <w:tabs>
          <w:tab w:val="left" w:pos="540"/>
          <w:tab w:val="left" w:pos="720"/>
        </w:tabs>
        <w:spacing w:line="360" w:lineRule="auto"/>
        <w:ind w:firstLine="480" w:firstLineChars="200"/>
        <w:rPr>
          <w:rFonts w:ascii="仿宋" w:hAnsi="仿宋" w:eastAsia="仿宋" w:cs="仿宋"/>
          <w:color w:val="auto"/>
        </w:rPr>
      </w:pPr>
      <w:r>
        <w:rPr>
          <w:rFonts w:hint="eastAsia" w:ascii="仿宋" w:hAnsi="仿宋" w:eastAsia="仿宋" w:cs="仿宋"/>
          <w:color w:val="auto"/>
        </w:rPr>
        <w:t>第五章 采购需求</w:t>
      </w:r>
    </w:p>
    <w:p>
      <w:pPr>
        <w:tabs>
          <w:tab w:val="left" w:pos="540"/>
          <w:tab w:val="left" w:pos="720"/>
        </w:tabs>
        <w:spacing w:line="360" w:lineRule="auto"/>
        <w:ind w:firstLine="480" w:firstLineChars="200"/>
        <w:rPr>
          <w:rFonts w:ascii="仿宋" w:hAnsi="仿宋" w:eastAsia="仿宋" w:cs="仿宋"/>
          <w:color w:val="auto"/>
        </w:rPr>
      </w:pPr>
      <w:r>
        <w:rPr>
          <w:rFonts w:hint="eastAsia" w:ascii="仿宋" w:hAnsi="仿宋" w:eastAsia="仿宋" w:cs="仿宋"/>
          <w:color w:val="auto"/>
        </w:rPr>
        <w:t>第六章 响应文件格式</w:t>
      </w:r>
    </w:p>
    <w:p>
      <w:pPr>
        <w:topLinePunct/>
        <w:spacing w:line="360" w:lineRule="auto"/>
        <w:rPr>
          <w:rFonts w:ascii="仿宋" w:hAnsi="仿宋" w:eastAsia="仿宋" w:cs="仿宋"/>
          <w:color w:val="auto"/>
        </w:rPr>
      </w:pPr>
      <w:r>
        <w:rPr>
          <w:rFonts w:hint="eastAsia" w:ascii="仿宋" w:hAnsi="仿宋" w:eastAsia="仿宋" w:cs="仿宋"/>
          <w:color w:val="auto"/>
        </w:rPr>
        <w:t>6.</w:t>
      </w:r>
      <w:r>
        <w:rPr>
          <w:rFonts w:ascii="仿宋" w:hAnsi="仿宋" w:eastAsia="仿宋" w:cs="仿宋"/>
          <w:color w:val="auto"/>
        </w:rPr>
        <w:t>2</w:t>
      </w:r>
      <w:r>
        <w:rPr>
          <w:rFonts w:hint="eastAsia" w:ascii="仿宋" w:hAnsi="仿宋" w:eastAsia="仿宋" w:cs="仿宋"/>
          <w:color w:val="auto"/>
        </w:rPr>
        <w:t>采购人在比选文件中以显著的方式标明实质性要求、条件以及不满足实质性要求和条件的响应文件将被否决的提示。实质性标识方式和具体要求</w:t>
      </w:r>
      <w:r>
        <w:rPr>
          <w:rFonts w:hint="eastAsia" w:ascii="仿宋" w:hAnsi="仿宋" w:eastAsia="仿宋" w:cs="仿宋"/>
          <w:color w:val="auto"/>
          <w:u w:val="single"/>
        </w:rPr>
        <w:t>见本须知前附表</w:t>
      </w:r>
      <w:r>
        <w:rPr>
          <w:rFonts w:hint="eastAsia" w:ascii="仿宋" w:hAnsi="仿宋" w:eastAsia="仿宋" w:cs="仿宋"/>
          <w:color w:val="auto"/>
        </w:rPr>
        <w:t>。</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7.比选文件的修改</w:t>
      </w:r>
    </w:p>
    <w:p>
      <w:pPr>
        <w:topLinePunct/>
        <w:spacing w:line="360" w:lineRule="auto"/>
        <w:rPr>
          <w:rFonts w:ascii="仿宋_GB2312" w:hAnsi="宋体" w:eastAsia="仿宋_GB2312"/>
          <w:color w:val="auto"/>
        </w:rPr>
      </w:pPr>
      <w:r>
        <w:rPr>
          <w:rFonts w:hint="eastAsia" w:ascii="仿宋" w:hAnsi="仿宋" w:eastAsia="仿宋" w:cs="仿宋"/>
          <w:color w:val="auto"/>
        </w:rPr>
        <w:t>7.1</w:t>
      </w:r>
      <w:r>
        <w:rPr>
          <w:rFonts w:hint="eastAsia" w:ascii="仿宋_GB2312" w:hAnsi="宋体" w:eastAsia="仿宋_GB2312"/>
          <w:color w:val="auto"/>
        </w:rPr>
        <w:t>在响应文件递交截止时间前，无论出于何种原因，采购人可主动地或在解答供应商要求澄清的问题时对比选文件进行修改。</w:t>
      </w:r>
    </w:p>
    <w:p>
      <w:pPr>
        <w:topLinePunct/>
        <w:spacing w:line="360" w:lineRule="auto"/>
        <w:rPr>
          <w:rFonts w:ascii="仿宋" w:hAnsi="仿宋" w:eastAsia="仿宋" w:cs="宋体"/>
          <w:color w:val="auto"/>
        </w:rPr>
      </w:pPr>
      <w:r>
        <w:rPr>
          <w:rFonts w:hint="eastAsia" w:ascii="仿宋_GB2312" w:hAnsi="宋体" w:eastAsia="仿宋_GB2312"/>
          <w:color w:val="auto"/>
        </w:rPr>
        <w:t>7</w:t>
      </w:r>
      <w:r>
        <w:rPr>
          <w:rFonts w:ascii="仿宋_GB2312" w:hAnsi="宋体" w:eastAsia="仿宋_GB2312"/>
          <w:color w:val="auto"/>
        </w:rPr>
        <w:t>.2</w:t>
      </w:r>
      <w:r>
        <w:rPr>
          <w:rFonts w:hint="eastAsia" w:ascii="仿宋_GB2312" w:hAnsi="宋体" w:eastAsia="仿宋_GB2312"/>
          <w:color w:val="auto"/>
        </w:rPr>
        <w:t>供应商有权要求采购人对比选文件中的有关问题进行答疑、澄清。</w:t>
      </w:r>
    </w:p>
    <w:p>
      <w:pPr>
        <w:pStyle w:val="2"/>
        <w:snapToGrid w:val="0"/>
        <w:spacing w:after="0" w:line="360" w:lineRule="auto"/>
        <w:ind w:right="-57"/>
        <w:jc w:val="both"/>
        <w:rPr>
          <w:rFonts w:ascii="仿宋_GB2312" w:hAnsi="宋体" w:eastAsia="仿宋_GB2312"/>
          <w:color w:val="auto"/>
        </w:rPr>
      </w:pPr>
      <w:r>
        <w:rPr>
          <w:rFonts w:ascii="仿宋_GB2312" w:hAnsi="宋体" w:eastAsia="仿宋_GB2312"/>
          <w:color w:val="auto"/>
        </w:rPr>
        <w:t>7.3</w:t>
      </w:r>
      <w:r>
        <w:rPr>
          <w:rFonts w:hint="eastAsia" w:ascii="仿宋_GB2312" w:hAnsi="宋体" w:eastAsia="仿宋_GB2312"/>
          <w:color w:val="auto"/>
        </w:rPr>
        <w:t>供应商对比选文件如有疑问,应在首次响应文件递交截止时间前按比选文件</w:t>
      </w:r>
      <w:r>
        <w:rPr>
          <w:rFonts w:hint="eastAsia" w:ascii="仿宋_GB2312" w:hAnsi="宋体" w:eastAsia="仿宋_GB2312"/>
          <w:color w:val="auto"/>
          <w:spacing w:val="-3"/>
        </w:rPr>
        <w:t>中的联系方式，通知采购人。采购人将视情况采用适当方式予</w:t>
      </w:r>
      <w:r>
        <w:rPr>
          <w:rFonts w:hint="eastAsia" w:ascii="仿宋_GB2312" w:hAnsi="宋体" w:eastAsia="仿宋_GB2312"/>
          <w:color w:val="auto"/>
        </w:rPr>
        <w:t>以澄清或以书面形式予以答复。</w:t>
      </w:r>
      <w:r>
        <w:rPr>
          <w:rFonts w:hint="eastAsia" w:ascii="仿宋_GB2312" w:hAnsi="宋体" w:eastAsia="仿宋_GB2312"/>
          <w:color w:val="auto"/>
          <w:spacing w:val="-3"/>
        </w:rPr>
        <w:t>供应商在收到上述通知后，应立即向采购人回复确认。供</w:t>
      </w:r>
      <w:r>
        <w:rPr>
          <w:rFonts w:hint="eastAsia" w:ascii="仿宋_GB2312" w:hAnsi="宋体" w:eastAsia="仿宋_GB2312"/>
          <w:color w:val="auto"/>
        </w:rPr>
        <w:t>应商将被视为编制响应文件时已考虑了上述修改。</w:t>
      </w:r>
    </w:p>
    <w:p>
      <w:pPr>
        <w:pStyle w:val="2"/>
        <w:snapToGrid w:val="0"/>
        <w:spacing w:after="0" w:line="360" w:lineRule="auto"/>
        <w:ind w:right="-57"/>
        <w:jc w:val="both"/>
        <w:rPr>
          <w:rFonts w:ascii="仿宋_GB2312" w:hAnsi="宋体" w:eastAsia="仿宋_GB2312"/>
          <w:color w:val="auto"/>
        </w:rPr>
      </w:pPr>
      <w:r>
        <w:rPr>
          <w:rFonts w:ascii="仿宋_GB2312" w:hAnsi="宋体" w:eastAsia="仿宋_GB2312"/>
          <w:color w:val="auto"/>
        </w:rPr>
        <w:t>7.4</w:t>
      </w:r>
      <w:r>
        <w:rPr>
          <w:rFonts w:hint="eastAsia" w:ascii="仿宋_GB2312" w:hAnsi="宋体" w:eastAsia="仿宋_GB2312"/>
          <w:color w:val="auto"/>
        </w:rPr>
        <w:t>对于比选文件的修改，如影响供应商响应文件编制的，</w:t>
      </w:r>
      <w:r>
        <w:rPr>
          <w:rFonts w:hint="eastAsia" w:ascii="仿宋_GB2312" w:hAnsi="宋体" w:eastAsia="仿宋_GB2312"/>
          <w:color w:val="auto"/>
          <w:spacing w:val="-3"/>
        </w:rPr>
        <w:t>采购人应推迟响应文件递交截止日期，并以书面或邮件形式通知所有已获取比选文件</w:t>
      </w:r>
      <w:r>
        <w:rPr>
          <w:rFonts w:hint="eastAsia" w:ascii="仿宋_GB2312" w:hAnsi="宋体" w:eastAsia="仿宋_GB2312"/>
          <w:color w:val="auto"/>
        </w:rPr>
        <w:t>的供应商。</w:t>
      </w:r>
    </w:p>
    <w:p>
      <w:pPr>
        <w:pStyle w:val="2"/>
        <w:snapToGrid w:val="0"/>
        <w:spacing w:after="0" w:line="360" w:lineRule="auto"/>
        <w:ind w:right="-57"/>
        <w:jc w:val="both"/>
        <w:rPr>
          <w:rFonts w:ascii="仿宋_GB2312" w:hAnsi="宋体" w:eastAsia="仿宋_GB2312"/>
          <w:color w:val="auto"/>
        </w:rPr>
      </w:pPr>
      <w:r>
        <w:rPr>
          <w:rFonts w:ascii="仿宋_GB2312" w:hAnsi="宋体" w:eastAsia="仿宋_GB2312"/>
          <w:color w:val="auto"/>
        </w:rPr>
        <w:t>7.5</w:t>
      </w:r>
      <w:r>
        <w:rPr>
          <w:rFonts w:hint="eastAsia" w:ascii="仿宋_GB2312" w:hAnsi="宋体" w:eastAsia="仿宋_GB2312"/>
          <w:color w:val="auto"/>
        </w:rPr>
        <w:t>任何对比选文件的澄清均为比选文件的组成部分，并具有同等的法律效力。如比选文件的澄清与比选文件有矛盾，以日期后的为准。</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8.比选响应预备会</w:t>
      </w:r>
    </w:p>
    <w:p>
      <w:pPr>
        <w:spacing w:line="360" w:lineRule="auto"/>
        <w:textAlignment w:val="baseline"/>
        <w:rPr>
          <w:rFonts w:ascii="仿宋" w:hAnsi="仿宋" w:eastAsia="仿宋" w:cs="宋体"/>
          <w:color w:val="auto"/>
          <w:u w:val="single"/>
        </w:rPr>
      </w:pPr>
      <w:r>
        <w:rPr>
          <w:rFonts w:hint="eastAsia" w:ascii="仿宋" w:hAnsi="仿宋" w:eastAsia="仿宋" w:cs="宋体"/>
          <w:color w:val="auto"/>
        </w:rPr>
        <w:t>采购人认为必要时，将召开比选响应预备会(答疑会)，公开解答潜在供应商对比选文件提出的疑问。</w:t>
      </w:r>
    </w:p>
    <w:p>
      <w:pPr>
        <w:pStyle w:val="5"/>
        <w:spacing w:after="0" w:line="360" w:lineRule="auto"/>
        <w:jc w:val="center"/>
        <w:rPr>
          <w:rFonts w:ascii="仿宋" w:hAnsi="仿宋" w:eastAsia="仿宋" w:cs="仿宋"/>
          <w:color w:val="auto"/>
          <w:sz w:val="24"/>
          <w:szCs w:val="24"/>
        </w:rPr>
      </w:pPr>
      <w:bookmarkStart w:id="49" w:name="_Toc19783316"/>
      <w:bookmarkStart w:id="50" w:name="_Toc14308"/>
      <w:bookmarkStart w:id="51" w:name="_Toc16985"/>
      <w:bookmarkStart w:id="52" w:name="_Toc13691"/>
      <w:bookmarkStart w:id="53" w:name="_Toc444891339"/>
      <w:bookmarkStart w:id="54" w:name="_Toc287600121"/>
      <w:bookmarkStart w:id="55" w:name="_Toc27563"/>
      <w:bookmarkStart w:id="56" w:name="_Toc12043"/>
      <w:bookmarkStart w:id="57" w:name="_Toc27642"/>
      <w:bookmarkStart w:id="58" w:name="_Toc517281819"/>
      <w:bookmarkStart w:id="59" w:name="_Toc31141"/>
      <w:r>
        <w:rPr>
          <w:rFonts w:hint="eastAsia" w:ascii="仿宋" w:hAnsi="仿宋" w:eastAsia="仿宋" w:cs="仿宋"/>
          <w:color w:val="auto"/>
          <w:sz w:val="24"/>
          <w:szCs w:val="24"/>
        </w:rPr>
        <w:t>（三）响应文件</w:t>
      </w:r>
      <w:bookmarkEnd w:id="49"/>
      <w:bookmarkEnd w:id="50"/>
      <w:bookmarkEnd w:id="51"/>
      <w:bookmarkEnd w:id="52"/>
      <w:bookmarkEnd w:id="53"/>
      <w:bookmarkEnd w:id="54"/>
      <w:bookmarkEnd w:id="55"/>
      <w:bookmarkEnd w:id="56"/>
      <w:bookmarkEnd w:id="57"/>
      <w:bookmarkEnd w:id="58"/>
      <w:bookmarkEnd w:id="59"/>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9</w:t>
      </w:r>
      <w:r>
        <w:rPr>
          <w:rFonts w:hint="eastAsia" w:ascii="仿宋" w:hAnsi="仿宋" w:eastAsia="仿宋" w:cs="仿宋"/>
          <w:color w:val="auto"/>
          <w:sz w:val="24"/>
          <w:szCs w:val="24"/>
        </w:rPr>
        <w:t>.响应文件的组成</w:t>
      </w:r>
    </w:p>
    <w:p>
      <w:pPr>
        <w:spacing w:line="360" w:lineRule="auto"/>
        <w:rPr>
          <w:rFonts w:ascii="仿宋" w:hAnsi="仿宋" w:eastAsia="仿宋" w:cs="仿宋"/>
          <w:color w:val="auto"/>
        </w:rPr>
      </w:pPr>
      <w:r>
        <w:rPr>
          <w:rFonts w:hint="eastAsia" w:ascii="仿宋" w:hAnsi="仿宋" w:eastAsia="仿宋" w:cs="宋体"/>
          <w:color w:val="auto"/>
        </w:rPr>
        <w:t>供应商应当按照供应商须知前附表的要求制作并提交响应文件，具体组成</w:t>
      </w:r>
      <w:r>
        <w:rPr>
          <w:rFonts w:hint="eastAsia" w:ascii="仿宋" w:hAnsi="仿宋" w:eastAsia="仿宋" w:cs="仿宋"/>
          <w:color w:val="auto"/>
          <w:u w:val="single"/>
        </w:rPr>
        <w:t>见本须知前附表</w:t>
      </w:r>
      <w:r>
        <w:rPr>
          <w:rFonts w:hint="eastAsia" w:ascii="仿宋" w:hAnsi="仿宋" w:eastAsia="仿宋" w:cs="仿宋"/>
          <w:color w:val="auto"/>
        </w:rPr>
        <w:t>。</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10</w:t>
      </w:r>
      <w:r>
        <w:rPr>
          <w:rFonts w:hint="eastAsia" w:ascii="仿宋" w:hAnsi="仿宋" w:eastAsia="仿宋" w:cs="仿宋"/>
          <w:color w:val="auto"/>
          <w:sz w:val="24"/>
          <w:szCs w:val="24"/>
        </w:rPr>
        <w:t>.响应文件的编制</w:t>
      </w:r>
    </w:p>
    <w:p>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 xml:space="preserve">.1 供应商应当按照比选文件的要求编制响应文件，并对其提交的响应文件的真实性、合法性承担法律责任。响应文件应当对比选文件提出的实质性要求和条件作出响应。 </w:t>
      </w:r>
    </w:p>
    <w:p>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 xml:space="preserve">.2 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 xml:space="preserve">0.3 </w:t>
      </w:r>
      <w:r>
        <w:rPr>
          <w:rFonts w:hint="eastAsia" w:ascii="仿宋" w:hAnsi="仿宋" w:eastAsia="仿宋" w:cs="宋体"/>
          <w:color w:val="auto"/>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 xml:space="preserve">0.4 </w:t>
      </w:r>
      <w:r>
        <w:rPr>
          <w:rFonts w:hint="eastAsia" w:ascii="仿宋" w:hAnsi="仿宋" w:eastAsia="仿宋" w:cs="宋体"/>
          <w:color w:val="auto"/>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w:t>
      </w:r>
      <w:r>
        <w:rPr>
          <w:rFonts w:ascii="仿宋" w:hAnsi="仿宋" w:eastAsia="仿宋" w:cs="宋体"/>
          <w:color w:val="auto"/>
        </w:rPr>
        <w:t>5</w:t>
      </w:r>
      <w:r>
        <w:rPr>
          <w:rFonts w:hint="eastAsia" w:ascii="仿宋" w:hAnsi="仿宋" w:eastAsia="仿宋" w:cs="宋体"/>
          <w:color w:val="auto"/>
        </w:rPr>
        <w:t xml:space="preserve"> 供应商提交的响应文件以及供应商与采购人就有关比选的所有往来函电均应使用中文。供应商提交的证明文件和印刷的文献可以使用另一种语言，但相应内容应当译成中文，在解释响应文件时以中文译本为准。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color w:val="auto"/>
          <w:u w:val="single"/>
        </w:rPr>
      </w:pPr>
      <w:r>
        <w:rPr>
          <w:rFonts w:ascii="仿宋" w:hAnsi="仿宋" w:eastAsia="仿宋" w:cs="宋体"/>
          <w:color w:val="auto"/>
        </w:rPr>
        <w:t>10</w:t>
      </w:r>
      <w:r>
        <w:rPr>
          <w:rFonts w:hint="eastAsia" w:ascii="仿宋" w:hAnsi="仿宋" w:eastAsia="仿宋" w:cs="宋体"/>
          <w:color w:val="auto"/>
        </w:rPr>
        <w:t>.</w:t>
      </w:r>
      <w:r>
        <w:rPr>
          <w:rFonts w:ascii="仿宋" w:hAnsi="仿宋" w:eastAsia="仿宋" w:cs="宋体"/>
          <w:color w:val="auto"/>
        </w:rPr>
        <w:t>6</w:t>
      </w:r>
      <w:r>
        <w:rPr>
          <w:rFonts w:hint="eastAsia" w:ascii="仿宋" w:hAnsi="仿宋" w:eastAsia="仿宋" w:cs="宋体"/>
          <w:color w:val="auto"/>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auto"/>
        </w:rPr>
        <w:t>盖章或者签字另有要求的，</w:t>
      </w:r>
      <w:r>
        <w:rPr>
          <w:rFonts w:hint="eastAsia" w:ascii="仿宋" w:hAnsi="仿宋" w:eastAsia="仿宋" w:cs="宋体"/>
          <w:color w:val="auto"/>
          <w:u w:val="single"/>
        </w:rPr>
        <w:t>见本须知前附表。</w:t>
      </w:r>
    </w:p>
    <w:bookmarkEnd w:id="60"/>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0.7</w:t>
      </w:r>
      <w:r>
        <w:rPr>
          <w:rFonts w:hint="eastAsia" w:ascii="仿宋" w:hAnsi="仿宋" w:eastAsia="仿宋" w:cs="仿宋"/>
          <w:color w:val="auto"/>
        </w:rPr>
        <w:t>除工程规范另有规定外，响应文件使用的度量衡单位，均采用中华人民共和国法定计量单位。</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11.比选响应报价</w:t>
      </w:r>
    </w:p>
    <w:p>
      <w:pPr>
        <w:topLinePunct/>
        <w:spacing w:line="360" w:lineRule="auto"/>
        <w:rPr>
          <w:rFonts w:ascii="仿宋" w:hAnsi="仿宋" w:eastAsia="仿宋" w:cs="宋体"/>
          <w:color w:val="auto"/>
        </w:rPr>
      </w:pPr>
      <w:r>
        <w:rPr>
          <w:rFonts w:hint="eastAsia" w:ascii="仿宋" w:hAnsi="仿宋" w:eastAsia="仿宋" w:cs="宋体"/>
          <w:color w:val="auto"/>
        </w:rPr>
        <w:t>供应商应当根据比选文件要求进行报价，供应商应当报出符合比选文件要求的拟提供货物或服务的单价、总价、费率、税率等内容，采购人不接受供应商的任何低于成本报价的不正当竞争方式，其他报价要求</w:t>
      </w:r>
      <w:r>
        <w:rPr>
          <w:rFonts w:hint="eastAsia" w:ascii="仿宋" w:hAnsi="仿宋" w:eastAsia="仿宋" w:cs="仿宋"/>
          <w:color w:val="auto"/>
        </w:rPr>
        <w:t>见</w:t>
      </w:r>
      <w:r>
        <w:rPr>
          <w:rFonts w:hint="eastAsia" w:ascii="仿宋" w:hAnsi="仿宋" w:eastAsia="仿宋" w:cs="仿宋"/>
          <w:color w:val="auto"/>
          <w:u w:val="single"/>
        </w:rPr>
        <w:t>供应商须知前附表</w:t>
      </w:r>
      <w:r>
        <w:rPr>
          <w:rFonts w:hint="eastAsia" w:ascii="仿宋" w:hAnsi="仿宋" w:eastAsia="仿宋" w:cs="仿宋"/>
          <w:color w:val="auto"/>
        </w:rPr>
        <w:t>。</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2</w:t>
      </w:r>
      <w:r>
        <w:rPr>
          <w:rFonts w:hint="eastAsia" w:ascii="仿宋" w:hAnsi="仿宋" w:eastAsia="仿宋" w:cs="仿宋"/>
          <w:color w:val="auto"/>
          <w:sz w:val="24"/>
          <w:szCs w:val="24"/>
        </w:rPr>
        <w:t>.比选响应有效期</w:t>
      </w:r>
    </w:p>
    <w:p>
      <w:pPr>
        <w:topLinePunct/>
        <w:spacing w:line="360" w:lineRule="auto"/>
        <w:rPr>
          <w:rFonts w:ascii="仿宋" w:hAnsi="仿宋" w:eastAsia="仿宋" w:cs="宋体"/>
          <w:color w:val="auto"/>
        </w:rPr>
      </w:pPr>
      <w:r>
        <w:rPr>
          <w:rFonts w:ascii="仿宋" w:hAnsi="仿宋" w:eastAsia="仿宋" w:cs="宋体"/>
          <w:color w:val="auto"/>
        </w:rPr>
        <w:t>12</w:t>
      </w:r>
      <w:r>
        <w:rPr>
          <w:rFonts w:hint="eastAsia" w:ascii="仿宋" w:hAnsi="仿宋" w:eastAsia="仿宋" w:cs="宋体"/>
          <w:color w:val="auto"/>
        </w:rPr>
        <w:t>.1 比选响应有效期从响应文件递交截止之日起算，具体时间</w:t>
      </w:r>
      <w:r>
        <w:rPr>
          <w:rFonts w:hint="eastAsia" w:ascii="仿宋" w:hAnsi="仿宋" w:eastAsia="仿宋" w:cs="宋体"/>
          <w:color w:val="auto"/>
          <w:u w:val="single"/>
        </w:rPr>
        <w:t>见本须知前附表</w:t>
      </w:r>
      <w:r>
        <w:rPr>
          <w:rFonts w:hint="eastAsia" w:ascii="仿宋" w:hAnsi="仿宋" w:eastAsia="仿宋" w:cs="宋体"/>
          <w:color w:val="auto"/>
        </w:rPr>
        <w:t>，在此期间，供应商不得要求撤销或修改其响应文件。供应商承诺的比选响应有效期必须不短于比选文件规定的比选响应有效期，否则将构成对比选文件的非实质性响应，比选响应将被否决。</w:t>
      </w:r>
    </w:p>
    <w:p>
      <w:pPr>
        <w:topLinePunct/>
        <w:spacing w:line="360" w:lineRule="auto"/>
        <w:rPr>
          <w:rFonts w:ascii="仿宋" w:hAnsi="仿宋" w:eastAsia="仿宋" w:cs="宋体"/>
          <w:color w:val="auto"/>
        </w:rPr>
      </w:pPr>
      <w:r>
        <w:rPr>
          <w:rFonts w:ascii="仿宋" w:hAnsi="仿宋" w:eastAsia="仿宋" w:cs="宋体"/>
          <w:color w:val="auto"/>
        </w:rPr>
        <w:t>12</w:t>
      </w:r>
      <w:r>
        <w:rPr>
          <w:rFonts w:hint="eastAsia" w:ascii="仿宋" w:hAnsi="仿宋" w:eastAsia="仿宋" w:cs="宋体"/>
          <w:color w:val="auto"/>
        </w:rPr>
        <w:t>.2 在原比选响应有效期结束前，出现特殊情况的，采购人可以书面形式要求所有供应商延长比选响应有效期。供应商同意延长的，不得要求或被允许修改其响应文件的实质性内容。供应商拒绝延长的，其比选响应失效。</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3</w:t>
      </w:r>
      <w:r>
        <w:rPr>
          <w:rFonts w:hint="eastAsia" w:ascii="仿宋" w:hAnsi="仿宋" w:eastAsia="仿宋" w:cs="仿宋"/>
          <w:color w:val="auto"/>
          <w:sz w:val="24"/>
          <w:szCs w:val="24"/>
        </w:rPr>
        <w:t>.响应文件的式样、密封和标记</w:t>
      </w:r>
    </w:p>
    <w:p>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.1 供应商应当编制一份响应文件“正本”和</w:t>
      </w:r>
      <w:r>
        <w:rPr>
          <w:rFonts w:hint="eastAsia" w:ascii="仿宋" w:hAnsi="仿宋" w:eastAsia="仿宋" w:cs="宋体"/>
          <w:color w:val="auto"/>
          <w:u w:val="single"/>
        </w:rPr>
        <w:t>本须知前附表</w:t>
      </w:r>
      <w:r>
        <w:rPr>
          <w:rFonts w:hint="eastAsia" w:ascii="仿宋" w:hAnsi="仿宋" w:eastAsia="仿宋" w:cs="宋体"/>
          <w:color w:val="auto"/>
        </w:rPr>
        <w:t>所述份数的“副本”和“电子版”，副本为正本复印件。纸质版文件与电子版文件不一致时，以</w:t>
      </w:r>
      <w:r>
        <w:rPr>
          <w:rFonts w:hint="eastAsia" w:ascii="仿宋" w:hAnsi="仿宋" w:eastAsia="仿宋" w:cs="宋体"/>
          <w:b/>
          <w:bCs/>
          <w:color w:val="auto"/>
          <w:lang w:eastAsia="zh-Hans"/>
        </w:rPr>
        <w:t>纸质版</w:t>
      </w:r>
      <w:r>
        <w:rPr>
          <w:rFonts w:hint="eastAsia" w:ascii="仿宋" w:hAnsi="仿宋" w:eastAsia="仿宋" w:cs="宋体"/>
          <w:color w:val="auto"/>
        </w:rPr>
        <w:t xml:space="preserve">文件为准，电子招投标项目，按照相关法律法规执行;响应文件正本与副本不一致时，以正本为准。 </w:t>
      </w:r>
    </w:p>
    <w:p>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.2 每份纸质文件响应文件的正本、副本应当分别装订，并于封面上明确标明“正本”“副本”字样。具体要求</w:t>
      </w:r>
      <w:r>
        <w:rPr>
          <w:rFonts w:hint="eastAsia" w:ascii="仿宋" w:hAnsi="仿宋" w:eastAsia="仿宋" w:cs="宋体"/>
          <w:color w:val="auto"/>
          <w:u w:val="single"/>
        </w:rPr>
        <w:t>见本须知前附表</w:t>
      </w:r>
      <w:r>
        <w:rPr>
          <w:rFonts w:hint="eastAsia" w:ascii="仿宋" w:hAnsi="仿宋" w:eastAsia="仿宋" w:cs="宋体"/>
          <w:color w:val="auto"/>
        </w:rPr>
        <w:t>。</w:t>
      </w:r>
    </w:p>
    <w:p>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w:t>
      </w:r>
      <w:r>
        <w:rPr>
          <w:rFonts w:ascii="仿宋" w:hAnsi="仿宋" w:eastAsia="仿宋" w:cs="宋体"/>
          <w:color w:val="auto"/>
        </w:rPr>
        <w:t>3</w:t>
      </w:r>
      <w:r>
        <w:rPr>
          <w:rFonts w:hint="eastAsia" w:ascii="仿宋" w:hAnsi="仿宋" w:eastAsia="仿宋" w:cs="宋体"/>
          <w:color w:val="auto"/>
        </w:rPr>
        <w:t xml:space="preserve"> 对于比选文件中提及的原件或复印件要求，照片件、扫描件、影印件、截图件等与其具有同等效力（比选文件有特殊要求的除外）。</w:t>
      </w:r>
    </w:p>
    <w:p>
      <w:pPr>
        <w:pStyle w:val="5"/>
        <w:spacing w:after="0" w:line="360" w:lineRule="auto"/>
        <w:ind w:firstLine="482"/>
        <w:rPr>
          <w:rFonts w:ascii="仿宋" w:hAnsi="仿宋" w:eastAsia="仿宋" w:cs="仿宋"/>
          <w:color w:val="auto"/>
          <w:sz w:val="24"/>
          <w:szCs w:val="24"/>
        </w:rPr>
      </w:pPr>
      <w:bookmarkStart w:id="61" w:name="_Toc287600122"/>
      <w:bookmarkStart w:id="62" w:name="_Toc19783317"/>
      <w:bookmarkStart w:id="63" w:name="_Toc4155"/>
      <w:bookmarkStart w:id="64" w:name="_Toc7129"/>
      <w:bookmarkStart w:id="65" w:name="_Toc21600"/>
      <w:bookmarkStart w:id="66" w:name="_Toc444891340"/>
      <w:bookmarkStart w:id="67" w:name="_Toc14726"/>
      <w:bookmarkStart w:id="68" w:name="_Toc517281820"/>
      <w:bookmarkStart w:id="69" w:name="_Toc18673"/>
      <w:bookmarkStart w:id="70" w:name="_Toc21379"/>
      <w:bookmarkStart w:id="71" w:name="_Toc17865"/>
      <w:r>
        <w:rPr>
          <w:rFonts w:hint="eastAsia" w:ascii="仿宋" w:hAnsi="仿宋" w:eastAsia="仿宋" w:cs="仿宋"/>
          <w:color w:val="auto"/>
          <w:sz w:val="24"/>
          <w:szCs w:val="24"/>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auto"/>
          <w:sz w:val="24"/>
          <w:szCs w:val="24"/>
        </w:rPr>
        <w:t>递交</w:t>
      </w:r>
      <w:bookmarkEnd w:id="70"/>
      <w:bookmarkEnd w:id="71"/>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4</w:t>
      </w:r>
      <w:r>
        <w:rPr>
          <w:rFonts w:hint="eastAsia" w:ascii="仿宋" w:hAnsi="仿宋" w:eastAsia="仿宋" w:cs="仿宋"/>
          <w:color w:val="auto"/>
          <w:sz w:val="24"/>
          <w:szCs w:val="24"/>
        </w:rPr>
        <w:t>.响应文件的递交</w:t>
      </w:r>
    </w:p>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4</w:t>
      </w:r>
      <w:r>
        <w:rPr>
          <w:rFonts w:hint="eastAsia" w:ascii="仿宋" w:hAnsi="仿宋" w:eastAsia="仿宋" w:cs="仿宋"/>
          <w:color w:val="auto"/>
        </w:rPr>
        <w:t>.1供应商应按</w:t>
      </w:r>
      <w:r>
        <w:rPr>
          <w:rFonts w:hint="eastAsia" w:ascii="仿宋" w:hAnsi="仿宋" w:eastAsia="仿宋" w:cs="仿宋"/>
          <w:color w:val="auto"/>
          <w:u w:val="single"/>
        </w:rPr>
        <w:t>本须知前附表</w:t>
      </w:r>
      <w:r>
        <w:rPr>
          <w:rFonts w:hint="eastAsia" w:ascii="仿宋" w:hAnsi="仿宋" w:eastAsia="仿宋" w:cs="仿宋"/>
          <w:color w:val="auto"/>
        </w:rPr>
        <w:t>规定的时间、方式递交响应文件。</w:t>
      </w:r>
    </w:p>
    <w:p>
      <w:pPr>
        <w:spacing w:line="360" w:lineRule="auto"/>
        <w:rPr>
          <w:rFonts w:ascii="仿宋" w:hAnsi="仿宋" w:eastAsia="仿宋" w:cs="宋体"/>
          <w:b/>
          <w:bCs/>
          <w:color w:val="auto"/>
        </w:rPr>
      </w:pPr>
      <w:r>
        <w:rPr>
          <w:rFonts w:hint="eastAsia" w:ascii="仿宋" w:hAnsi="仿宋" w:eastAsia="仿宋" w:cs="宋体"/>
          <w:color w:val="auto"/>
        </w:rPr>
        <w:t>1</w:t>
      </w:r>
      <w:r>
        <w:rPr>
          <w:rFonts w:ascii="仿宋" w:hAnsi="仿宋" w:eastAsia="仿宋" w:cs="宋体"/>
          <w:color w:val="auto"/>
        </w:rPr>
        <w:t>4</w:t>
      </w:r>
      <w:r>
        <w:rPr>
          <w:rFonts w:hint="eastAsia" w:ascii="仿宋" w:hAnsi="仿宋" w:eastAsia="仿宋" w:cs="宋体"/>
          <w:color w:val="auto"/>
        </w:rPr>
        <w:t>.2出现下列情形之一时，</w:t>
      </w:r>
      <w:r>
        <w:rPr>
          <w:rFonts w:hint="eastAsia" w:ascii="仿宋" w:hAnsi="仿宋" w:eastAsia="仿宋" w:cs="宋体"/>
          <w:b/>
          <w:bCs/>
          <w:color w:val="auto"/>
        </w:rPr>
        <w:t>响应文件不予接收或已经递交的响应文件无效；</w:t>
      </w:r>
    </w:p>
    <w:p>
      <w:pPr>
        <w:spacing w:line="360" w:lineRule="auto"/>
        <w:rPr>
          <w:rFonts w:ascii="仿宋" w:hAnsi="仿宋" w:eastAsia="仿宋" w:cs="宋体"/>
          <w:color w:val="auto"/>
        </w:rPr>
      </w:pPr>
      <w:r>
        <w:rPr>
          <w:rFonts w:hint="eastAsia" w:ascii="仿宋" w:hAnsi="仿宋" w:eastAsia="仿宋" w:cs="宋体"/>
          <w:color w:val="auto"/>
        </w:rPr>
        <w:t>（1）电子响应文件逾期递交的；</w:t>
      </w:r>
    </w:p>
    <w:p>
      <w:pPr>
        <w:spacing w:line="360" w:lineRule="auto"/>
        <w:rPr>
          <w:rFonts w:ascii="仿宋" w:hAnsi="仿宋" w:eastAsia="仿宋" w:cs="宋体"/>
          <w:color w:val="auto"/>
        </w:rPr>
      </w:pPr>
      <w:r>
        <w:rPr>
          <w:rFonts w:hint="eastAsia" w:ascii="仿宋" w:hAnsi="仿宋" w:eastAsia="仿宋" w:cs="宋体"/>
          <w:color w:val="auto"/>
        </w:rPr>
        <w:t>（2）纸质响应文件逾期递交或者未送达指定地点或者未按照比选文件要求封装的；</w:t>
      </w:r>
    </w:p>
    <w:p>
      <w:pPr>
        <w:spacing w:line="360" w:lineRule="auto"/>
        <w:rPr>
          <w:rFonts w:ascii="仿宋" w:hAnsi="仿宋" w:eastAsia="仿宋" w:cs="宋体"/>
          <w:color w:val="auto"/>
        </w:rPr>
      </w:pPr>
      <w:r>
        <w:rPr>
          <w:rFonts w:hint="eastAsia" w:ascii="仿宋" w:hAnsi="仿宋" w:eastAsia="仿宋" w:cs="宋体"/>
          <w:color w:val="auto"/>
        </w:rPr>
        <w:t>（</w:t>
      </w:r>
      <w:r>
        <w:rPr>
          <w:rFonts w:ascii="仿宋" w:hAnsi="仿宋" w:eastAsia="仿宋" w:cs="宋体"/>
          <w:color w:val="auto"/>
        </w:rPr>
        <w:t>3</w:t>
      </w:r>
      <w:r>
        <w:rPr>
          <w:rFonts w:hint="eastAsia" w:ascii="仿宋" w:hAnsi="仿宋" w:eastAsia="仿宋" w:cs="宋体"/>
          <w:color w:val="auto"/>
        </w:rPr>
        <w:t>）未按比选公告或者响应公告书要求获得本项目比选文件的。</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15</w:t>
      </w:r>
      <w:r>
        <w:rPr>
          <w:rFonts w:hint="eastAsia" w:ascii="仿宋" w:hAnsi="仿宋" w:eastAsia="仿宋" w:cs="仿宋"/>
          <w:color w:val="auto"/>
          <w:sz w:val="24"/>
          <w:szCs w:val="24"/>
        </w:rPr>
        <w:t>.响应文件的修改、撤回和撤销</w:t>
      </w:r>
    </w:p>
    <w:p>
      <w:pPr>
        <w:spacing w:line="360" w:lineRule="auto"/>
        <w:rPr>
          <w:rFonts w:ascii="仿宋" w:hAnsi="仿宋" w:eastAsia="仿宋" w:cs="仿宋"/>
          <w:color w:val="auto"/>
        </w:rPr>
      </w:pPr>
      <w:r>
        <w:rPr>
          <w:rFonts w:ascii="仿宋" w:hAnsi="仿宋" w:eastAsia="仿宋" w:cs="仿宋"/>
          <w:color w:val="auto"/>
        </w:rPr>
        <w:t>15</w:t>
      </w:r>
      <w:r>
        <w:rPr>
          <w:rFonts w:hint="eastAsia" w:ascii="仿宋" w:hAnsi="仿宋" w:eastAsia="仿宋" w:cs="仿宋"/>
          <w:color w:val="auto"/>
        </w:rPr>
        <w:t>.1</w:t>
      </w:r>
      <w:r>
        <w:rPr>
          <w:rFonts w:hint="eastAsia" w:ascii="仿宋" w:hAnsi="仿宋" w:eastAsia="仿宋" w:cs="宋体"/>
          <w:color w:val="auto"/>
          <w:spacing w:val="-4"/>
        </w:rPr>
        <w:t>在</w:t>
      </w:r>
      <w:r>
        <w:rPr>
          <w:rFonts w:hint="eastAsia" w:ascii="仿宋" w:hAnsi="仿宋" w:eastAsia="仿宋" w:cs="宋体"/>
          <w:color w:val="auto"/>
        </w:rPr>
        <w:t>比选文件</w:t>
      </w:r>
      <w:r>
        <w:rPr>
          <w:rFonts w:hint="eastAsia" w:ascii="仿宋" w:hAnsi="仿宋" w:eastAsia="仿宋" w:cs="宋体"/>
          <w:color w:val="auto"/>
          <w:spacing w:val="-4"/>
        </w:rPr>
        <w:t>规定的</w:t>
      </w:r>
      <w:r>
        <w:rPr>
          <w:rFonts w:hint="eastAsia" w:ascii="仿宋" w:hAnsi="仿宋" w:eastAsia="仿宋" w:cs="仿宋"/>
          <w:color w:val="auto"/>
        </w:rPr>
        <w:t>响应文件</w:t>
      </w:r>
      <w:r>
        <w:rPr>
          <w:rFonts w:hint="eastAsia" w:ascii="仿宋" w:hAnsi="仿宋" w:eastAsia="仿宋" w:cs="宋体"/>
          <w:color w:val="auto"/>
          <w:spacing w:val="-4"/>
        </w:rPr>
        <w:t>递交截止时间前，</w:t>
      </w:r>
      <w:r>
        <w:rPr>
          <w:rFonts w:hint="eastAsia" w:ascii="仿宋" w:hAnsi="仿宋" w:eastAsia="仿宋" w:cs="宋体"/>
          <w:color w:val="auto"/>
        </w:rPr>
        <w:t>可以补充、修改或撤回已提交的响应文件。</w:t>
      </w:r>
      <w:r>
        <w:rPr>
          <w:rFonts w:ascii="仿宋" w:hAnsi="仿宋" w:eastAsia="仿宋" w:cs="宋体"/>
          <w:color w:val="auto"/>
        </w:rPr>
        <w:t>补充、修改的内容为</w:t>
      </w:r>
      <w:r>
        <w:rPr>
          <w:rFonts w:hint="eastAsia" w:ascii="仿宋" w:hAnsi="仿宋" w:eastAsia="仿宋" w:cs="宋体"/>
          <w:color w:val="auto"/>
        </w:rPr>
        <w:t>响应</w:t>
      </w:r>
      <w:r>
        <w:rPr>
          <w:rFonts w:ascii="仿宋" w:hAnsi="仿宋" w:eastAsia="仿宋" w:cs="宋体"/>
          <w:color w:val="auto"/>
        </w:rPr>
        <w:t>文件的组成部分</w:t>
      </w:r>
      <w:r>
        <w:rPr>
          <w:rFonts w:hint="eastAsia" w:ascii="仿宋" w:hAnsi="仿宋" w:eastAsia="仿宋" w:cs="宋体"/>
          <w:color w:val="auto"/>
        </w:rPr>
        <w:t>，应当在响应文件递交截止时间前按照比选文件的规定进行递交。</w:t>
      </w:r>
    </w:p>
    <w:p>
      <w:pPr>
        <w:pStyle w:val="2"/>
        <w:spacing w:line="360" w:lineRule="auto"/>
        <w:rPr>
          <w:color w:val="auto"/>
        </w:rPr>
      </w:pPr>
      <w:bookmarkStart w:id="72" w:name="_Toc144974526"/>
      <w:bookmarkStart w:id="73" w:name="_Toc152045558"/>
      <w:bookmarkStart w:id="74" w:name="_Toc152042334"/>
      <w:bookmarkStart w:id="75" w:name="_Toc332188194"/>
      <w:bookmarkStart w:id="76" w:name="_Toc246996945"/>
      <w:bookmarkStart w:id="77" w:name="_Toc334766948"/>
      <w:bookmarkStart w:id="78" w:name="_Toc326223561"/>
      <w:bookmarkStart w:id="79" w:name="_Toc247085716"/>
      <w:bookmarkStart w:id="80" w:name="_Toc179632576"/>
      <w:bookmarkStart w:id="81" w:name="_Toc246996202"/>
      <w:r>
        <w:rPr>
          <w:rFonts w:ascii="仿宋" w:hAnsi="仿宋" w:eastAsia="仿宋" w:cs="仿宋"/>
          <w:color w:val="auto"/>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auto"/>
        </w:rPr>
        <w:t xml:space="preserve"> </w:t>
      </w:r>
      <w:r>
        <w:rPr>
          <w:rFonts w:hint="eastAsia" w:ascii="仿宋" w:hAnsi="仿宋" w:eastAsia="仿宋" w:cs="宋体"/>
          <w:color w:val="auto"/>
        </w:rPr>
        <w:t>响应文件递交截止时间后，供应商在响应有效期内撤销其响应文件，比选保证金不予退还。</w:t>
      </w:r>
    </w:p>
    <w:p>
      <w:pPr>
        <w:pStyle w:val="5"/>
        <w:spacing w:before="0" w:after="0" w:line="360" w:lineRule="auto"/>
        <w:ind w:firstLine="482"/>
        <w:rPr>
          <w:rFonts w:ascii="仿宋" w:hAnsi="仿宋" w:eastAsia="仿宋" w:cs="仿宋"/>
          <w:color w:val="auto"/>
          <w:sz w:val="24"/>
          <w:szCs w:val="24"/>
        </w:rPr>
      </w:pPr>
      <w:bookmarkStart w:id="82" w:name="_Toc20741"/>
      <w:bookmarkStart w:id="83" w:name="_Toc30466"/>
      <w:bookmarkStart w:id="84" w:name="_Toc287600123"/>
      <w:bookmarkStart w:id="85" w:name="_Toc11361"/>
      <w:bookmarkStart w:id="86" w:name="_Toc12797"/>
      <w:bookmarkStart w:id="87" w:name="_Toc517281821"/>
      <w:bookmarkStart w:id="88" w:name="_Toc2636"/>
      <w:bookmarkStart w:id="89" w:name="_Toc3342"/>
      <w:bookmarkStart w:id="90" w:name="_Toc2055"/>
      <w:bookmarkStart w:id="91" w:name="_Toc444891341"/>
      <w:r>
        <w:rPr>
          <w:rFonts w:hint="eastAsia" w:ascii="仿宋" w:hAnsi="仿宋" w:eastAsia="仿宋" w:cs="仿宋"/>
          <w:color w:val="auto"/>
          <w:sz w:val="24"/>
          <w:szCs w:val="24"/>
        </w:rPr>
        <w:t>（五）比选和评审</w:t>
      </w:r>
      <w:bookmarkEnd w:id="82"/>
      <w:bookmarkEnd w:id="83"/>
      <w:bookmarkEnd w:id="84"/>
      <w:bookmarkEnd w:id="85"/>
      <w:bookmarkEnd w:id="86"/>
      <w:bookmarkEnd w:id="87"/>
      <w:bookmarkEnd w:id="88"/>
      <w:bookmarkEnd w:id="89"/>
      <w:bookmarkEnd w:id="90"/>
      <w:bookmarkEnd w:id="91"/>
    </w:p>
    <w:p>
      <w:pPr>
        <w:pStyle w:val="6"/>
        <w:spacing w:before="0" w:after="0" w:line="360" w:lineRule="auto"/>
        <w:rPr>
          <w:rFonts w:ascii="仿宋" w:hAnsi="仿宋" w:eastAsia="仿宋" w:cs="仿宋"/>
          <w:color w:val="auto"/>
          <w:sz w:val="24"/>
          <w:szCs w:val="24"/>
        </w:rPr>
      </w:pPr>
      <w:bookmarkStart w:id="92" w:name="_Toc234223229"/>
      <w:bookmarkStart w:id="93" w:name="_Toc234223227"/>
      <w:r>
        <w:rPr>
          <w:rFonts w:ascii="仿宋" w:hAnsi="仿宋" w:eastAsia="仿宋" w:cs="仿宋"/>
          <w:color w:val="auto"/>
          <w:sz w:val="24"/>
          <w:szCs w:val="24"/>
        </w:rPr>
        <w:t>16</w:t>
      </w:r>
      <w:r>
        <w:rPr>
          <w:rFonts w:hint="eastAsia" w:ascii="仿宋" w:hAnsi="仿宋" w:eastAsia="仿宋" w:cs="仿宋"/>
          <w:color w:val="auto"/>
          <w:sz w:val="24"/>
          <w:szCs w:val="24"/>
        </w:rPr>
        <w:t>.组建</w:t>
      </w:r>
      <w:bookmarkEnd w:id="92"/>
      <w:r>
        <w:rPr>
          <w:rFonts w:hint="eastAsia" w:ascii="仿宋" w:hAnsi="仿宋" w:eastAsia="仿宋" w:cs="仿宋"/>
          <w:color w:val="auto"/>
          <w:sz w:val="24"/>
          <w:szCs w:val="24"/>
        </w:rPr>
        <w:t>比选小组</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6.1</w:t>
      </w:r>
      <w:r>
        <w:rPr>
          <w:rFonts w:hint="eastAsia" w:ascii="仿宋" w:hAnsi="仿宋" w:eastAsia="仿宋" w:cs="宋体"/>
          <w:color w:val="auto"/>
        </w:rPr>
        <w:t>采购人依照企业采购管理制度的相关规定组建比选小组，具体人数</w:t>
      </w:r>
      <w:r>
        <w:rPr>
          <w:rFonts w:hint="eastAsia" w:ascii="仿宋" w:hAnsi="仿宋" w:eastAsia="仿宋" w:cs="仿宋"/>
          <w:color w:val="auto"/>
        </w:rPr>
        <w:t>见</w:t>
      </w:r>
      <w:r>
        <w:rPr>
          <w:rFonts w:hint="eastAsia" w:ascii="仿宋" w:hAnsi="仿宋" w:eastAsia="仿宋" w:cs="仿宋"/>
          <w:color w:val="auto"/>
          <w:u w:val="single"/>
        </w:rPr>
        <w:t>本须知前附表</w:t>
      </w:r>
      <w:r>
        <w:rPr>
          <w:rFonts w:hint="eastAsia" w:ascii="仿宋" w:hAnsi="仿宋" w:eastAsia="仿宋" w:cs="宋体"/>
          <w:color w:val="auto"/>
        </w:rPr>
        <w:t>，比选小组成员名单在成交结果确定前保密。</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6.2</w:t>
      </w:r>
      <w:r>
        <w:rPr>
          <w:rFonts w:hint="eastAsia" w:ascii="仿宋" w:hAnsi="仿宋" w:eastAsia="仿宋" w:cs="宋体"/>
          <w:color w:val="auto"/>
        </w:rPr>
        <w:t>比选小组成员应当按照客观、公正、审慎的原则，根据比选文件规定的评审程序、评审方法和评审标准进行独立评审。</w:t>
      </w:r>
    </w:p>
    <w:p>
      <w:pPr>
        <w:pStyle w:val="6"/>
        <w:spacing w:before="0" w:after="0" w:line="360" w:lineRule="auto"/>
        <w:rPr>
          <w:rFonts w:ascii="仿宋" w:hAnsi="仿宋" w:eastAsia="仿宋" w:cs="仿宋"/>
          <w:color w:val="auto"/>
          <w:sz w:val="24"/>
          <w:szCs w:val="24"/>
        </w:rPr>
      </w:pPr>
      <w:bookmarkStart w:id="94" w:name="_Toc234223228"/>
      <w:r>
        <w:rPr>
          <w:rFonts w:ascii="仿宋" w:hAnsi="仿宋" w:eastAsia="仿宋" w:cs="仿宋"/>
          <w:color w:val="auto"/>
          <w:sz w:val="24"/>
          <w:szCs w:val="24"/>
        </w:rPr>
        <w:t>17</w:t>
      </w:r>
      <w:r>
        <w:rPr>
          <w:rFonts w:hint="eastAsia" w:ascii="仿宋" w:hAnsi="仿宋" w:eastAsia="仿宋" w:cs="仿宋"/>
          <w:color w:val="auto"/>
          <w:sz w:val="24"/>
          <w:szCs w:val="24"/>
        </w:rPr>
        <w:t>.初步评审</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7.1</w:t>
      </w:r>
      <w:r>
        <w:rPr>
          <w:rFonts w:hint="eastAsia" w:ascii="仿宋" w:hAnsi="仿宋" w:eastAsia="仿宋" w:cs="宋体"/>
          <w:color w:val="auto"/>
        </w:rPr>
        <w:t>比选小组按照第三章评审办法中初步评审的内容及要求，对响应文件进行初步评审。未通过初步评审的供应商，其比选响应将被否决，不进入详细评审等后续环节。</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7.2</w:t>
      </w:r>
      <w:r>
        <w:rPr>
          <w:rFonts w:hint="eastAsia" w:ascii="仿宋" w:hAnsi="仿宋" w:eastAsia="仿宋" w:cs="宋体"/>
          <w:color w:val="auto"/>
        </w:rPr>
        <w:t>比选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color w:val="auto"/>
        </w:rPr>
      </w:pPr>
      <w:r>
        <w:rPr>
          <w:rFonts w:hint="eastAsia" w:ascii="仿宋" w:hAnsi="仿宋" w:eastAsia="仿宋" w:cs="宋体"/>
          <w:color w:val="auto"/>
        </w:rPr>
        <w:t>1</w:t>
      </w:r>
      <w:r>
        <w:rPr>
          <w:rFonts w:ascii="仿宋" w:hAnsi="仿宋" w:eastAsia="仿宋" w:cs="宋体"/>
          <w:color w:val="auto"/>
        </w:rPr>
        <w:t>7.3</w:t>
      </w:r>
      <w:r>
        <w:rPr>
          <w:rFonts w:hint="eastAsia" w:ascii="仿宋" w:hAnsi="仿宋" w:eastAsia="仿宋" w:cs="宋体"/>
          <w:color w:val="auto"/>
        </w:rPr>
        <w:t>比选小组对供应商递交的澄清、说明或补正有疑问的，可以要求供应商进一步澄清、说明或者补正，直至满足比选小组的要求。拒不按要求进行澄清、说明或者补正的供应商</w:t>
      </w:r>
      <w:r>
        <w:rPr>
          <w:rFonts w:hint="eastAsia" w:ascii="仿宋" w:hAnsi="仿宋" w:eastAsia="仿宋" w:cs="仿宋"/>
          <w:b/>
          <w:bCs/>
          <w:color w:val="auto"/>
        </w:rPr>
        <w:t>，比选小组有权对其响应做否决处理。</w:t>
      </w:r>
    </w:p>
    <w:p>
      <w:pPr>
        <w:topLinePunct/>
        <w:spacing w:line="360" w:lineRule="auto"/>
        <w:rPr>
          <w:color w:val="auto"/>
        </w:rPr>
      </w:pPr>
      <w:r>
        <w:rPr>
          <w:rFonts w:hint="eastAsia" w:ascii="仿宋" w:hAnsi="仿宋" w:eastAsia="仿宋" w:cs="宋体"/>
          <w:color w:val="auto"/>
        </w:rPr>
        <w:t>1</w:t>
      </w:r>
      <w:r>
        <w:rPr>
          <w:rFonts w:ascii="仿宋" w:hAnsi="仿宋" w:eastAsia="仿宋" w:cs="宋体"/>
          <w:color w:val="auto"/>
        </w:rPr>
        <w:t>7.4</w:t>
      </w:r>
      <w:r>
        <w:rPr>
          <w:rFonts w:hint="eastAsia" w:ascii="仿宋" w:hAnsi="仿宋" w:eastAsia="仿宋" w:cs="宋体"/>
          <w:color w:val="auto"/>
        </w:rPr>
        <w:t>比选小组必要时可以要求供应商提交有关证明和证件的原件，以便核验。拒不按要求提供原件的供应商，</w:t>
      </w:r>
      <w:r>
        <w:rPr>
          <w:rFonts w:hint="eastAsia" w:ascii="仿宋" w:hAnsi="仿宋" w:eastAsia="仿宋" w:cs="仿宋"/>
          <w:b/>
          <w:bCs/>
          <w:color w:val="auto"/>
        </w:rPr>
        <w:t>比选小组有权对其响应做否决处理。</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8.</w:t>
      </w:r>
      <w:r>
        <w:rPr>
          <w:rFonts w:hint="eastAsia" w:ascii="仿宋" w:hAnsi="仿宋" w:eastAsia="仿宋" w:cs="仿宋"/>
          <w:color w:val="auto"/>
          <w:sz w:val="24"/>
          <w:szCs w:val="24"/>
        </w:rPr>
        <w:t>比选程序</w:t>
      </w:r>
    </w:p>
    <w:p>
      <w:pPr>
        <w:spacing w:line="360" w:lineRule="auto"/>
        <w:rPr>
          <w:rFonts w:ascii="仿宋" w:hAnsi="仿宋" w:eastAsia="仿宋" w:cs="仿宋"/>
          <w:color w:val="auto"/>
          <w:u w:val="single"/>
        </w:rPr>
      </w:pPr>
      <w:r>
        <w:rPr>
          <w:rFonts w:ascii="仿宋" w:hAnsi="仿宋" w:eastAsia="仿宋" w:cs="仿宋"/>
          <w:color w:val="auto"/>
        </w:rPr>
        <w:t>18</w:t>
      </w:r>
      <w:r>
        <w:rPr>
          <w:rFonts w:hint="eastAsia" w:ascii="仿宋" w:hAnsi="仿宋" w:eastAsia="仿宋" w:cs="仿宋"/>
          <w:color w:val="auto"/>
        </w:rPr>
        <w:t>.1比选小组所有成员应当集中与通过初步评审的单一供应商分别进行比选，并给予所有参加比选的供应商平等的比选机会。供应商比选顺序、比选形式以及其他要求等</w:t>
      </w:r>
      <w:r>
        <w:rPr>
          <w:rFonts w:hint="eastAsia" w:ascii="仿宋" w:hAnsi="仿宋" w:eastAsia="仿宋" w:cs="仿宋"/>
          <w:color w:val="auto"/>
          <w:u w:val="single"/>
        </w:rPr>
        <w:t>详见本须知前附表。</w:t>
      </w:r>
    </w:p>
    <w:p>
      <w:pPr>
        <w:spacing w:line="360" w:lineRule="auto"/>
        <w:rPr>
          <w:rFonts w:ascii="仿宋" w:hAnsi="仿宋" w:eastAsia="仿宋" w:cs="仿宋"/>
          <w:color w:val="auto"/>
        </w:rPr>
      </w:pPr>
      <w:r>
        <w:rPr>
          <w:rFonts w:ascii="仿宋" w:hAnsi="仿宋" w:eastAsia="仿宋" w:cs="仿宋"/>
          <w:color w:val="auto"/>
        </w:rPr>
        <w:t>18.2</w:t>
      </w:r>
      <w:r>
        <w:rPr>
          <w:rFonts w:hint="eastAsia" w:ascii="仿宋" w:hAnsi="仿宋" w:eastAsia="仿宋" w:cs="仿宋"/>
          <w:color w:val="auto"/>
        </w:rPr>
        <w:t>比选小组与供应商就比选文件中的价格、商务内容、技术内容或有待供应商进一步明确的内容等进行一对一比选，并要求实质性响应的供应商提交最终报价。具体比选内容详见</w:t>
      </w:r>
      <w:r>
        <w:rPr>
          <w:rFonts w:hint="eastAsia" w:ascii="仿宋" w:hAnsi="仿宋" w:eastAsia="仿宋" w:cs="仿宋"/>
          <w:color w:val="auto"/>
          <w:u w:val="single"/>
        </w:rPr>
        <w:t>本须知前附表</w:t>
      </w:r>
      <w:r>
        <w:rPr>
          <w:rFonts w:hint="eastAsia" w:ascii="仿宋" w:hAnsi="仿宋" w:eastAsia="仿宋" w:cs="仿宋"/>
          <w:color w:val="auto"/>
        </w:rPr>
        <w:t>。</w:t>
      </w:r>
    </w:p>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8.3</w:t>
      </w:r>
      <w:r>
        <w:rPr>
          <w:rFonts w:hint="eastAsia" w:ascii="仿宋_GB2312" w:hAnsi="宋体" w:eastAsia="仿宋_GB2312"/>
          <w:color w:val="auto"/>
        </w:rPr>
        <w:t>比选过程中可能实质性变动的内容：供应商报价及服务方案、承诺。采购需求中的商务、服务要求以及合同草案条款等。实质性变动的内容，须经比选小组提出，最终涉及变动事项，供应商应授权代表人进行最终确认，签字或盖章有效。</w:t>
      </w:r>
    </w:p>
    <w:p>
      <w:pPr>
        <w:spacing w:line="360" w:lineRule="auto"/>
        <w:rPr>
          <w:rFonts w:ascii="仿宋" w:hAnsi="仿宋" w:eastAsia="仿宋" w:cs="仿宋"/>
          <w:color w:val="auto"/>
        </w:rPr>
      </w:pPr>
      <w:r>
        <w:rPr>
          <w:rFonts w:ascii="仿宋" w:hAnsi="仿宋" w:eastAsia="仿宋" w:cs="仿宋"/>
          <w:color w:val="auto"/>
        </w:rPr>
        <w:t>18.</w:t>
      </w:r>
      <w:r>
        <w:rPr>
          <w:rFonts w:hint="eastAsia" w:ascii="仿宋" w:hAnsi="仿宋" w:eastAsia="仿宋" w:cs="仿宋"/>
          <w:color w:val="auto"/>
          <w:lang w:val="en-US" w:eastAsia="zh-CN"/>
        </w:rPr>
        <w:t>4</w:t>
      </w:r>
      <w:r>
        <w:rPr>
          <w:rFonts w:hint="eastAsia" w:ascii="仿宋" w:hAnsi="仿宋" w:eastAsia="仿宋" w:cs="仿宋"/>
          <w:color w:val="auto"/>
        </w:rPr>
        <w:t>比选小组可视情况要求供应商进行多轮比选及报价。比选中，任何一方不得向第三方透露与比选有关的任何信息。</w:t>
      </w:r>
    </w:p>
    <w:bookmarkEnd w:id="94"/>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8</w:t>
      </w:r>
      <w:r>
        <w:rPr>
          <w:rFonts w:hint="eastAsia" w:ascii="仿宋" w:hAnsi="仿宋" w:eastAsia="仿宋" w:cs="仿宋"/>
          <w:color w:val="auto"/>
        </w:rPr>
        <w:t>.</w:t>
      </w:r>
      <w:r>
        <w:rPr>
          <w:rFonts w:hint="eastAsia" w:ascii="仿宋" w:hAnsi="仿宋" w:eastAsia="仿宋" w:cs="仿宋"/>
          <w:color w:val="auto"/>
          <w:lang w:val="en-US" w:eastAsia="zh-CN"/>
        </w:rPr>
        <w:t>5</w:t>
      </w:r>
      <w:r>
        <w:rPr>
          <w:rFonts w:hint="eastAsia" w:ascii="仿宋" w:hAnsi="仿宋" w:eastAsia="仿宋" w:cs="仿宋"/>
          <w:color w:val="auto"/>
        </w:rPr>
        <w:t>各轮报价有算术错误的，比选小组按照以下原则对报价进行修正，修正的价格经供应商书面确认后具有约束力。供应商不接受或不确认修正后价格的，比选小组</w:t>
      </w:r>
      <w:r>
        <w:rPr>
          <w:rFonts w:hint="eastAsia" w:ascii="仿宋" w:hAnsi="仿宋" w:eastAsia="仿宋" w:cs="仿宋"/>
          <w:b/>
          <w:bCs/>
          <w:color w:val="auto"/>
        </w:rPr>
        <w:t>应当否决其响应</w:t>
      </w:r>
      <w:r>
        <w:rPr>
          <w:rFonts w:hint="eastAsia" w:ascii="仿宋" w:hAnsi="仿宋" w:eastAsia="仿宋" w:cs="仿宋"/>
          <w:color w:val="auto"/>
        </w:rPr>
        <w:t>。</w:t>
      </w:r>
    </w:p>
    <w:p>
      <w:pPr>
        <w:spacing w:line="360" w:lineRule="auto"/>
        <w:rPr>
          <w:rFonts w:ascii="仿宋" w:hAnsi="仿宋" w:eastAsia="仿宋" w:cs="仿宋"/>
          <w:color w:val="auto"/>
        </w:rPr>
      </w:pPr>
      <w:r>
        <w:rPr>
          <w:rFonts w:hint="eastAsia" w:ascii="仿宋" w:hAnsi="仿宋" w:eastAsia="仿宋" w:cs="仿宋"/>
          <w:color w:val="auto"/>
        </w:rPr>
        <w:t>（1）大写金额与小写金额不一致的，以大写金额为准；</w:t>
      </w:r>
    </w:p>
    <w:p>
      <w:pPr>
        <w:spacing w:line="360" w:lineRule="auto"/>
        <w:rPr>
          <w:rFonts w:ascii="仿宋" w:hAnsi="仿宋" w:eastAsia="仿宋" w:cs="仿宋"/>
          <w:color w:val="auto"/>
        </w:rPr>
      </w:pPr>
      <w:r>
        <w:rPr>
          <w:rFonts w:hint="eastAsia" w:ascii="仿宋" w:hAnsi="仿宋" w:eastAsia="仿宋" w:cs="仿宋"/>
          <w:color w:val="auto"/>
        </w:rPr>
        <w:t>（2）总价金额与根据单价计算出的结果不一致的，以单价金额为准修正总价，但单价金额小数点有明显错误的除外。</w:t>
      </w:r>
    </w:p>
    <w:bookmarkEnd w:id="93"/>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19</w:t>
      </w:r>
      <w:r>
        <w:rPr>
          <w:rFonts w:hint="eastAsia" w:ascii="仿宋" w:hAnsi="仿宋" w:eastAsia="仿宋" w:cs="仿宋"/>
          <w:color w:val="auto"/>
          <w:sz w:val="24"/>
          <w:szCs w:val="24"/>
        </w:rPr>
        <w:t>.详细评审</w:t>
      </w:r>
    </w:p>
    <w:p>
      <w:pPr>
        <w:spacing w:line="360" w:lineRule="auto"/>
        <w:rPr>
          <w:rFonts w:ascii="仿宋" w:hAnsi="仿宋" w:eastAsia="仿宋" w:cs="仿宋"/>
          <w:color w:val="auto"/>
        </w:rPr>
      </w:pPr>
      <w:r>
        <w:rPr>
          <w:rFonts w:ascii="仿宋" w:hAnsi="仿宋" w:eastAsia="仿宋" w:cs="仿宋"/>
          <w:color w:val="auto"/>
        </w:rPr>
        <w:t>19</w:t>
      </w:r>
      <w:r>
        <w:rPr>
          <w:rFonts w:hint="eastAsia" w:ascii="仿宋" w:hAnsi="仿宋" w:eastAsia="仿宋" w:cs="仿宋"/>
          <w:color w:val="auto"/>
        </w:rPr>
        <w:t>.1比选小组采用综合评分法对提交最终报价的供应商的响应文件及其最终报价进行综合评分。综合评分法，是指响应文件满足比选文件全部实质性要求且按评审因素的量化指标评审得分最高的供应商为成交候选人的评审方法。比选文件中没有规定的评审标准不得作为评审依据。</w:t>
      </w:r>
    </w:p>
    <w:p>
      <w:pPr>
        <w:spacing w:line="360" w:lineRule="auto"/>
        <w:rPr>
          <w:rFonts w:ascii="仿宋" w:hAnsi="仿宋" w:eastAsia="仿宋" w:cs="仿宋"/>
          <w:color w:val="auto"/>
        </w:rPr>
      </w:pPr>
      <w:r>
        <w:rPr>
          <w:rFonts w:ascii="仿宋" w:hAnsi="仿宋" w:eastAsia="仿宋" w:cs="仿宋"/>
          <w:color w:val="auto"/>
        </w:rPr>
        <w:t>19</w:t>
      </w:r>
      <w:r>
        <w:rPr>
          <w:rFonts w:hint="eastAsia" w:ascii="仿宋" w:hAnsi="仿宋" w:eastAsia="仿宋" w:cs="仿宋"/>
          <w:color w:val="auto"/>
        </w:rPr>
        <w:t>.2发生以下情形之一的，原则上做终止采购处理：</w:t>
      </w:r>
    </w:p>
    <w:p>
      <w:pPr>
        <w:spacing w:line="360" w:lineRule="auto"/>
        <w:rPr>
          <w:rFonts w:ascii="仿宋" w:hAnsi="仿宋" w:eastAsia="仿宋" w:cs="仿宋"/>
          <w:color w:val="auto"/>
        </w:rPr>
      </w:pPr>
      <w:r>
        <w:rPr>
          <w:rFonts w:hint="eastAsia" w:ascii="仿宋" w:hAnsi="仿宋" w:eastAsia="仿宋" w:cs="仿宋"/>
          <w:color w:val="auto"/>
        </w:rPr>
        <w:t>（1）出现影响采购公正的违法、违规行为的；</w:t>
      </w:r>
    </w:p>
    <w:p>
      <w:pPr>
        <w:spacing w:line="360" w:lineRule="auto"/>
        <w:rPr>
          <w:rFonts w:ascii="仿宋" w:hAnsi="仿宋" w:eastAsia="仿宋" w:cs="仿宋"/>
          <w:color w:val="auto"/>
        </w:rPr>
      </w:pPr>
      <w:r>
        <w:rPr>
          <w:rFonts w:hint="eastAsia" w:ascii="仿宋" w:hAnsi="仿宋" w:eastAsia="仿宋" w:cs="仿宋"/>
          <w:color w:val="auto"/>
        </w:rPr>
        <w:t>（2）成交候选人报价超过预算金额，采购需求方无法解决的；</w:t>
      </w:r>
    </w:p>
    <w:p>
      <w:pPr>
        <w:spacing w:line="360" w:lineRule="auto"/>
        <w:rPr>
          <w:rFonts w:ascii="仿宋" w:hAnsi="仿宋" w:eastAsia="仿宋" w:cs="仿宋"/>
          <w:color w:val="auto"/>
        </w:rPr>
      </w:pPr>
      <w:r>
        <w:rPr>
          <w:rFonts w:hint="eastAsia" w:ascii="仿宋" w:hAnsi="仿宋" w:eastAsia="仿宋" w:cs="仿宋"/>
          <w:color w:val="auto"/>
        </w:rPr>
        <w:t>（3）成交人为</w:t>
      </w:r>
      <w:r>
        <w:rPr>
          <w:rFonts w:ascii="仿宋" w:hAnsi="仿宋" w:eastAsia="仿宋" w:cs="仿宋"/>
          <w:color w:val="auto"/>
        </w:rPr>
        <w:t>1</w:t>
      </w:r>
      <w:r>
        <w:rPr>
          <w:rFonts w:hint="eastAsia" w:ascii="仿宋" w:hAnsi="仿宋" w:eastAsia="仿宋" w:cs="仿宋"/>
          <w:color w:val="auto"/>
        </w:rPr>
        <w:t>家的项目，有效供应商少于2家（不含本数）；成交人为N家（N＞1）的项目，有效供应商少于N+</w:t>
      </w:r>
      <w:r>
        <w:rPr>
          <w:rFonts w:ascii="仿宋" w:hAnsi="仿宋" w:eastAsia="仿宋" w:cs="仿宋"/>
          <w:color w:val="auto"/>
        </w:rPr>
        <w:t>2</w:t>
      </w:r>
      <w:r>
        <w:rPr>
          <w:rFonts w:hint="eastAsia" w:ascii="仿宋" w:hAnsi="仿宋" w:eastAsia="仿宋" w:cs="仿宋"/>
          <w:color w:val="auto"/>
        </w:rPr>
        <w:t xml:space="preserve">家（不含本数）； </w:t>
      </w:r>
    </w:p>
    <w:p>
      <w:pPr>
        <w:spacing w:line="360" w:lineRule="auto"/>
        <w:rPr>
          <w:rFonts w:ascii="仿宋" w:hAnsi="仿宋" w:eastAsia="仿宋" w:cs="仿宋"/>
          <w:color w:val="auto"/>
        </w:rPr>
      </w:pPr>
      <w:r>
        <w:rPr>
          <w:rFonts w:hint="eastAsia" w:ascii="仿宋" w:hAnsi="仿宋" w:eastAsia="仿宋" w:cs="仿宋"/>
          <w:color w:val="auto"/>
        </w:rPr>
        <w:t>（4）因重大变故，采购任务取消。</w:t>
      </w:r>
    </w:p>
    <w:p>
      <w:pPr>
        <w:topLinePunct/>
        <w:spacing w:line="360" w:lineRule="auto"/>
        <w:rPr>
          <w:rFonts w:ascii="仿宋" w:hAnsi="仿宋" w:eastAsia="仿宋" w:cs="宋体"/>
          <w:color w:val="auto"/>
        </w:rPr>
      </w:pPr>
      <w:r>
        <w:rPr>
          <w:rFonts w:ascii="仿宋" w:hAnsi="仿宋" w:eastAsia="仿宋" w:cs="仿宋"/>
          <w:color w:val="auto"/>
        </w:rPr>
        <w:t>19</w:t>
      </w:r>
      <w:r>
        <w:rPr>
          <w:rFonts w:hint="eastAsia" w:ascii="仿宋" w:hAnsi="仿宋" w:eastAsia="仿宋" w:cs="仿宋"/>
          <w:color w:val="auto"/>
        </w:rPr>
        <w:t>.</w:t>
      </w:r>
      <w:r>
        <w:rPr>
          <w:rFonts w:ascii="仿宋" w:hAnsi="仿宋" w:eastAsia="仿宋" w:cs="仿宋"/>
          <w:color w:val="auto"/>
        </w:rPr>
        <w:t>3</w:t>
      </w:r>
      <w:r>
        <w:rPr>
          <w:rFonts w:hint="eastAsia" w:ascii="仿宋" w:hAnsi="仿宋" w:eastAsia="仿宋" w:cs="仿宋"/>
          <w:color w:val="auto"/>
        </w:rPr>
        <w:t>成交候选人推荐原则</w:t>
      </w:r>
      <w:r>
        <w:rPr>
          <w:rFonts w:hint="eastAsia" w:ascii="仿宋" w:hAnsi="仿宋" w:eastAsia="仿宋" w:cs="仿宋"/>
          <w:color w:val="auto"/>
          <w:u w:val="single"/>
        </w:rPr>
        <w:t>详见本须知前附表</w:t>
      </w:r>
      <w:r>
        <w:rPr>
          <w:rFonts w:hint="eastAsia" w:ascii="仿宋" w:hAnsi="仿宋" w:eastAsia="仿宋" w:cs="仿宋"/>
          <w:color w:val="auto"/>
        </w:rPr>
        <w:t>。</w:t>
      </w:r>
      <w:r>
        <w:rPr>
          <w:rFonts w:hint="eastAsia" w:ascii="仿宋" w:hAnsi="仿宋" w:eastAsia="仿宋" w:cs="宋体"/>
          <w:color w:val="auto"/>
        </w:rPr>
        <w:t>成交候选人的经营、财务状况发生较大变化或者存在违法行为，采购人认为可能影响其履约能力的，应当在发出成交通知书前由原比选小组会按照比选文件规定的标准和方法审查确认。</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20</w:t>
      </w:r>
      <w:r>
        <w:rPr>
          <w:rFonts w:hint="eastAsia" w:ascii="仿宋" w:hAnsi="仿宋" w:eastAsia="仿宋" w:cs="仿宋"/>
          <w:color w:val="auto"/>
          <w:sz w:val="24"/>
          <w:szCs w:val="24"/>
        </w:rPr>
        <w:t>．特别声明</w:t>
      </w:r>
    </w:p>
    <w:p>
      <w:pPr>
        <w:snapToGrid w:val="0"/>
        <w:spacing w:line="360" w:lineRule="auto"/>
        <w:ind w:right="-57"/>
        <w:rPr>
          <w:rFonts w:ascii="仿宋_GB2312" w:hAnsi="宋体" w:eastAsia="仿宋_GB2312"/>
          <w:color w:val="auto"/>
        </w:rPr>
      </w:pPr>
      <w:r>
        <w:rPr>
          <w:rFonts w:ascii="仿宋_GB2312" w:hAnsi="宋体" w:eastAsia="仿宋_GB2312"/>
          <w:color w:val="auto"/>
        </w:rPr>
        <w:t>20.1供应商</w:t>
      </w:r>
      <w:r>
        <w:rPr>
          <w:rFonts w:hint="eastAsia" w:ascii="仿宋_GB2312" w:hAnsi="宋体" w:eastAsia="仿宋_GB2312"/>
          <w:color w:val="auto"/>
        </w:rPr>
        <w:t>提供虚假材料或文件的，自动丧失参加资格。</w:t>
      </w:r>
    </w:p>
    <w:p>
      <w:pPr>
        <w:snapToGrid w:val="0"/>
        <w:spacing w:line="360" w:lineRule="auto"/>
        <w:ind w:right="-57"/>
        <w:rPr>
          <w:rFonts w:ascii="仿宋_GB2312" w:hAnsi="宋体" w:eastAsia="仿宋_GB2312"/>
          <w:color w:val="auto"/>
        </w:rPr>
      </w:pPr>
      <w:r>
        <w:rPr>
          <w:rFonts w:ascii="仿宋_GB2312" w:hAnsi="宋体" w:eastAsia="仿宋_GB2312"/>
          <w:color w:val="auto"/>
        </w:rPr>
        <w:t>20.2供应商</w:t>
      </w:r>
      <w:r>
        <w:rPr>
          <w:rFonts w:hint="eastAsia" w:ascii="仿宋_GB2312" w:hAnsi="宋体" w:eastAsia="仿宋_GB2312"/>
          <w:color w:val="auto"/>
        </w:rPr>
        <w:t>未在响应文件中提及和承诺，但又未明确书面提出异议的事项，按本比选邀请函的有关要求执行。</w:t>
      </w:r>
    </w:p>
    <w:p>
      <w:pPr>
        <w:snapToGrid w:val="0"/>
        <w:spacing w:line="360" w:lineRule="auto"/>
        <w:ind w:right="-57"/>
        <w:rPr>
          <w:rFonts w:ascii="仿宋_GB2312" w:hAnsi="宋体" w:eastAsia="仿宋_GB2312"/>
          <w:color w:val="auto"/>
        </w:rPr>
      </w:pPr>
      <w:r>
        <w:rPr>
          <w:rFonts w:ascii="仿宋_GB2312" w:hAnsi="宋体" w:eastAsia="仿宋_GB2312"/>
          <w:color w:val="auto"/>
        </w:rPr>
        <w:t>20.3</w:t>
      </w:r>
      <w:r>
        <w:rPr>
          <w:rFonts w:hint="eastAsia" w:ascii="仿宋_GB2312" w:hAnsi="宋体" w:eastAsia="仿宋_GB2312"/>
          <w:color w:val="auto"/>
        </w:rPr>
        <w:t>供应商不应将本次采购理解为政府采购与招标。</w:t>
      </w:r>
    </w:p>
    <w:p>
      <w:pPr>
        <w:snapToGrid w:val="0"/>
        <w:spacing w:line="360" w:lineRule="auto"/>
        <w:ind w:right="-57"/>
        <w:rPr>
          <w:rFonts w:ascii="仿宋_GB2312" w:hAnsi="宋体" w:eastAsia="仿宋_GB2312"/>
          <w:color w:val="auto"/>
        </w:rPr>
      </w:pPr>
      <w:r>
        <w:rPr>
          <w:rFonts w:ascii="仿宋_GB2312" w:hAnsi="宋体" w:eastAsia="仿宋_GB2312"/>
          <w:color w:val="auto"/>
        </w:rPr>
        <w:t>20.4供应商</w:t>
      </w:r>
      <w:r>
        <w:rPr>
          <w:rFonts w:hint="eastAsia" w:ascii="仿宋_GB2312" w:hAnsi="宋体" w:eastAsia="仿宋_GB2312"/>
          <w:color w:val="auto"/>
        </w:rPr>
        <w:t>没有按规定时间和内容提供材料的，视为放弃。</w:t>
      </w:r>
    </w:p>
    <w:p>
      <w:pPr>
        <w:snapToGrid w:val="0"/>
        <w:spacing w:line="360" w:lineRule="auto"/>
        <w:ind w:right="-57"/>
        <w:rPr>
          <w:rFonts w:ascii="仿宋_GB2312" w:hAnsi="宋体" w:eastAsia="仿宋_GB2312"/>
          <w:color w:val="auto"/>
        </w:rPr>
      </w:pPr>
      <w:r>
        <w:rPr>
          <w:rFonts w:ascii="仿宋_GB2312" w:hAnsi="宋体" w:eastAsia="仿宋_GB2312"/>
          <w:color w:val="auto"/>
        </w:rPr>
        <w:t>20.5</w:t>
      </w:r>
      <w:r>
        <w:rPr>
          <w:rFonts w:hint="eastAsia" w:ascii="仿宋_GB2312" w:hAnsi="宋体" w:eastAsia="仿宋_GB2312"/>
          <w:color w:val="auto"/>
        </w:rPr>
        <w:t>比选文件及附件之著作权受中国法律保护，所有文件仅限于供应商参加本次采购比选使用，任何用于其他目的之复制或引用均应事先获得采购方书面许可。</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21</w:t>
      </w:r>
      <w:r>
        <w:rPr>
          <w:rFonts w:hint="eastAsia" w:ascii="仿宋" w:hAnsi="仿宋" w:eastAsia="仿宋" w:cs="仿宋"/>
          <w:color w:val="auto"/>
          <w:sz w:val="24"/>
          <w:szCs w:val="24"/>
        </w:rPr>
        <w:t>．确定成交供应商</w:t>
      </w:r>
    </w:p>
    <w:p>
      <w:pPr>
        <w:pStyle w:val="2"/>
        <w:snapToGrid w:val="0"/>
        <w:spacing w:after="0" w:line="360" w:lineRule="auto"/>
        <w:ind w:right="-57" w:firstLine="480" w:firstLineChars="200"/>
        <w:rPr>
          <w:rFonts w:ascii="仿宋_GB2312" w:hAnsi="宋体" w:eastAsia="仿宋_GB2312"/>
          <w:color w:val="auto"/>
        </w:rPr>
      </w:pPr>
      <w:r>
        <w:rPr>
          <w:rFonts w:hint="eastAsia" w:ascii="仿宋_GB2312" w:hAnsi="宋体" w:eastAsia="仿宋_GB2312"/>
          <w:color w:val="auto"/>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（1）成交候选供应商存在违法、违纪行为的；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（2）成交候选供应商因不可抗力、社会经济形势发生重大变化、破产、重组等原因确定无法履行采购合同的；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（3）成交候选供应商书面自愿放弃成交，且无其他非法目的的；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4</w:t>
      </w:r>
      <w:r>
        <w:rPr>
          <w:rFonts w:hint="eastAsia" w:ascii="仿宋_GB2312" w:hAnsi="宋体" w:eastAsia="仿宋_GB2312"/>
          <w:color w:val="auto"/>
        </w:rPr>
        <w:t>）成交候选供应商在提交响应文件截止时间后撤回响应文件的；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5</w:t>
      </w:r>
      <w:r>
        <w:rPr>
          <w:rFonts w:hint="eastAsia" w:ascii="仿宋_GB2312" w:hAnsi="宋体" w:eastAsia="仿宋_GB2312"/>
          <w:color w:val="auto"/>
        </w:rPr>
        <w:t>）成交候选供应商在响应文件中提供虚假材料的；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6</w:t>
      </w:r>
      <w:r>
        <w:rPr>
          <w:rFonts w:hint="eastAsia" w:ascii="仿宋_GB2312" w:hAnsi="宋体" w:eastAsia="仿宋_GB2312"/>
          <w:color w:val="auto"/>
        </w:rPr>
        <w:t>）除因不可抗力或比选文件认可的情形以外，成交供应商不与采购人签订合同的；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7</w:t>
      </w:r>
      <w:r>
        <w:rPr>
          <w:rFonts w:hint="eastAsia" w:ascii="仿宋_GB2312" w:hAnsi="宋体" w:eastAsia="仿宋_GB2312"/>
          <w:color w:val="auto"/>
        </w:rPr>
        <w:t>）成交候选供应商与采购人或者其他供应商恶意串通的；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8</w:t>
      </w:r>
      <w:r>
        <w:rPr>
          <w:rFonts w:hint="eastAsia" w:ascii="仿宋_GB2312" w:hAnsi="宋体" w:eastAsia="仿宋_GB2312"/>
          <w:color w:val="auto"/>
        </w:rPr>
        <w:t>）成交供应商在签订合同时向采购人提出附加条件或要求变更实质性合同条款的；</w:t>
      </w:r>
    </w:p>
    <w:p>
      <w:pPr>
        <w:pStyle w:val="2"/>
        <w:snapToGrid w:val="0"/>
        <w:spacing w:after="0" w:line="360" w:lineRule="auto"/>
        <w:ind w:right="-57" w:firstLine="424" w:firstLineChars="177"/>
        <w:rPr>
          <w:rFonts w:ascii="仿宋" w:hAnsi="仿宋" w:eastAsia="仿宋" w:cs="仿宋"/>
          <w:color w:val="auto"/>
          <w:lang w:bidi="ar"/>
        </w:rPr>
      </w:pPr>
      <w:r>
        <w:rPr>
          <w:rFonts w:hint="eastAsia" w:ascii="仿宋_GB2312" w:hAnsi="宋体" w:eastAsia="仿宋_GB2312"/>
          <w:color w:val="auto"/>
        </w:rPr>
        <w:t>（</w:t>
      </w:r>
      <w:r>
        <w:rPr>
          <w:rFonts w:ascii="仿宋_GB2312" w:hAnsi="宋体" w:eastAsia="仿宋_GB2312"/>
          <w:color w:val="auto"/>
        </w:rPr>
        <w:t>9</w:t>
      </w:r>
      <w:r>
        <w:rPr>
          <w:rFonts w:hint="eastAsia" w:ascii="仿宋_GB2312" w:hAnsi="宋体" w:eastAsia="仿宋_GB2312"/>
          <w:color w:val="auto"/>
        </w:rPr>
        <w:t>）</w:t>
      </w:r>
      <w:r>
        <w:rPr>
          <w:rFonts w:hint="eastAsia" w:ascii="仿宋" w:hAnsi="仿宋" w:eastAsia="仿宋" w:cs="仿宋"/>
          <w:color w:val="auto"/>
          <w:lang w:bidi="ar"/>
        </w:rPr>
        <w:t>供应商有恶意欺诈、弄虚作假、围标串标、哄抬标价、徇私行贿等法律法规中所列违规行为的；</w:t>
      </w:r>
    </w:p>
    <w:p>
      <w:pPr>
        <w:pStyle w:val="2"/>
        <w:snapToGrid w:val="0"/>
        <w:spacing w:after="0" w:line="360" w:lineRule="auto"/>
        <w:ind w:right="-57" w:firstLine="424" w:firstLineChars="177"/>
        <w:rPr>
          <w:rFonts w:ascii="仿宋" w:hAnsi="仿宋" w:eastAsia="仿宋" w:cs="仿宋"/>
          <w:color w:val="auto"/>
          <w:lang w:bidi="ar"/>
        </w:rPr>
      </w:pPr>
      <w:r>
        <w:rPr>
          <w:rFonts w:hint="eastAsia" w:ascii="仿宋" w:hAnsi="仿宋" w:eastAsia="仿宋" w:cs="仿宋"/>
          <w:color w:val="auto"/>
          <w:lang w:bidi="ar"/>
        </w:rPr>
        <w:t>（1</w:t>
      </w:r>
      <w:r>
        <w:rPr>
          <w:rFonts w:ascii="仿宋" w:hAnsi="仿宋" w:eastAsia="仿宋" w:cs="仿宋"/>
          <w:color w:val="auto"/>
          <w:lang w:bidi="ar"/>
        </w:rPr>
        <w:t>0</w:t>
      </w:r>
      <w:r>
        <w:rPr>
          <w:rFonts w:hint="eastAsia" w:ascii="仿宋" w:hAnsi="仿宋" w:eastAsia="仿宋" w:cs="仿宋"/>
          <w:color w:val="auto"/>
          <w:lang w:bidi="ar"/>
        </w:rPr>
        <w:t>）成交供应商不按照比选文件要求提交履约保证金的；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11</w:t>
      </w:r>
      <w:r>
        <w:rPr>
          <w:rFonts w:hint="eastAsia" w:ascii="仿宋_GB2312" w:hAnsi="宋体" w:eastAsia="仿宋_GB2312"/>
          <w:color w:val="auto"/>
        </w:rPr>
        <w:t>）其他不应确定成交供应商的情形。</w:t>
      </w:r>
    </w:p>
    <w:p>
      <w:pPr>
        <w:pStyle w:val="5"/>
        <w:spacing w:before="0" w:after="0" w:line="360" w:lineRule="auto"/>
        <w:ind w:firstLine="482"/>
        <w:rPr>
          <w:rFonts w:ascii="仿宋" w:hAnsi="仿宋" w:eastAsia="仿宋" w:cs="仿宋"/>
          <w:color w:val="auto"/>
          <w:sz w:val="24"/>
          <w:szCs w:val="24"/>
        </w:rPr>
      </w:pPr>
      <w:bookmarkStart w:id="95" w:name="_Toc444891342"/>
      <w:bookmarkStart w:id="96" w:name="_Toc28031"/>
      <w:bookmarkStart w:id="97" w:name="_Toc11205"/>
      <w:bookmarkStart w:id="98" w:name="_Toc9911"/>
      <w:bookmarkStart w:id="99" w:name="_Toc517281822"/>
      <w:bookmarkStart w:id="100" w:name="_Toc234223231"/>
      <w:bookmarkStart w:id="101" w:name="_Toc2322"/>
      <w:bookmarkStart w:id="102" w:name="_Toc13936"/>
      <w:bookmarkStart w:id="103" w:name="_Toc16781"/>
      <w:bookmarkStart w:id="104" w:name="_Toc19451"/>
      <w:bookmarkStart w:id="105" w:name="_Toc287600124"/>
      <w:r>
        <w:rPr>
          <w:rFonts w:hint="eastAsia" w:ascii="仿宋" w:hAnsi="仿宋" w:eastAsia="仿宋" w:cs="仿宋"/>
          <w:color w:val="auto"/>
          <w:sz w:val="24"/>
          <w:szCs w:val="24"/>
        </w:rPr>
        <w:t>（六）授予合同</w:t>
      </w:r>
      <w:bookmarkEnd w:id="95"/>
      <w:bookmarkEnd w:id="96"/>
      <w:bookmarkEnd w:id="97"/>
      <w:bookmarkEnd w:id="98"/>
      <w:bookmarkEnd w:id="99"/>
      <w:bookmarkEnd w:id="100"/>
      <w:bookmarkEnd w:id="101"/>
      <w:bookmarkEnd w:id="102"/>
      <w:bookmarkEnd w:id="103"/>
      <w:bookmarkEnd w:id="104"/>
      <w:bookmarkEnd w:id="105"/>
    </w:p>
    <w:p>
      <w:pPr>
        <w:pStyle w:val="6"/>
        <w:spacing w:before="0" w:after="0" w:line="360" w:lineRule="auto"/>
        <w:rPr>
          <w:rFonts w:ascii="仿宋" w:hAnsi="仿宋" w:eastAsia="仿宋" w:cs="仿宋"/>
          <w:color w:val="auto"/>
          <w:sz w:val="24"/>
          <w:szCs w:val="24"/>
        </w:rPr>
      </w:pPr>
      <w:bookmarkStart w:id="106" w:name="_Toc234223232"/>
      <w:r>
        <w:rPr>
          <w:rFonts w:hint="eastAsia" w:ascii="仿宋" w:hAnsi="仿宋" w:eastAsia="仿宋" w:cs="仿宋"/>
          <w:color w:val="auto"/>
          <w:sz w:val="24"/>
          <w:szCs w:val="24"/>
        </w:rPr>
        <w:t>2</w:t>
      </w:r>
      <w:r>
        <w:rPr>
          <w:rFonts w:ascii="仿宋" w:hAnsi="仿宋" w:eastAsia="仿宋" w:cs="仿宋"/>
          <w:color w:val="auto"/>
          <w:sz w:val="24"/>
          <w:szCs w:val="24"/>
        </w:rPr>
        <w:t>2.</w:t>
      </w:r>
      <w:r>
        <w:rPr>
          <w:rFonts w:hint="eastAsia" w:ascii="仿宋" w:hAnsi="仿宋" w:eastAsia="仿宋" w:cs="仿宋"/>
          <w:color w:val="auto"/>
          <w:sz w:val="24"/>
          <w:szCs w:val="24"/>
        </w:rPr>
        <w:t>确定</w:t>
      </w:r>
      <w:bookmarkEnd w:id="106"/>
      <w:r>
        <w:rPr>
          <w:rFonts w:hint="eastAsia" w:ascii="仿宋" w:hAnsi="仿宋" w:eastAsia="仿宋" w:cs="仿宋"/>
          <w:color w:val="auto"/>
          <w:sz w:val="24"/>
          <w:szCs w:val="24"/>
        </w:rPr>
        <w:t>成交人</w:t>
      </w:r>
    </w:p>
    <w:p>
      <w:pPr>
        <w:spacing w:line="360" w:lineRule="auto"/>
        <w:rPr>
          <w:rFonts w:ascii="仿宋" w:hAnsi="仿宋" w:eastAsia="仿宋" w:cs="仿宋"/>
          <w:color w:val="auto"/>
        </w:rPr>
      </w:pPr>
      <w:r>
        <w:rPr>
          <w:rFonts w:ascii="仿宋" w:hAnsi="仿宋" w:eastAsia="仿宋" w:cs="仿宋"/>
          <w:color w:val="auto"/>
        </w:rPr>
        <w:t>2</w:t>
      </w:r>
      <w:r>
        <w:rPr>
          <w:rFonts w:hint="eastAsia" w:ascii="仿宋" w:hAnsi="仿宋" w:eastAsia="仿宋" w:cs="仿宋"/>
          <w:color w:val="auto"/>
          <w:lang w:val="en-US" w:eastAsia="zh-CN"/>
        </w:rPr>
        <w:t>2</w:t>
      </w:r>
      <w:r>
        <w:rPr>
          <w:rFonts w:ascii="仿宋" w:hAnsi="仿宋" w:eastAsia="仿宋" w:cs="仿宋"/>
          <w:color w:val="auto"/>
        </w:rPr>
        <w:t>.1</w:t>
      </w:r>
      <w:r>
        <w:rPr>
          <w:rFonts w:hint="eastAsia" w:ascii="仿宋" w:hAnsi="仿宋" w:eastAsia="仿宋" w:cs="仿宋"/>
          <w:color w:val="auto"/>
        </w:rPr>
        <w:t>采购人依据比选小组推荐的成交候选人名单确定成交人，成交人数量</w:t>
      </w:r>
      <w:r>
        <w:rPr>
          <w:rFonts w:hint="eastAsia" w:ascii="仿宋" w:hAnsi="仿宋" w:eastAsia="仿宋" w:cs="仿宋"/>
          <w:color w:val="auto"/>
          <w:u w:val="single"/>
        </w:rPr>
        <w:t>见本须知前附表</w:t>
      </w:r>
      <w:r>
        <w:rPr>
          <w:rFonts w:hint="eastAsia" w:ascii="仿宋" w:hAnsi="仿宋" w:eastAsia="仿宋" w:cs="仿宋"/>
          <w:color w:val="auto"/>
        </w:rPr>
        <w:t>。</w:t>
      </w:r>
    </w:p>
    <w:p>
      <w:pPr>
        <w:topLinePunct/>
        <w:spacing w:line="360" w:lineRule="auto"/>
        <w:rPr>
          <w:rFonts w:ascii="仿宋" w:hAnsi="仿宋" w:eastAsia="仿宋" w:cs="宋体"/>
          <w:color w:val="auto"/>
        </w:rPr>
      </w:pPr>
      <w:r>
        <w:rPr>
          <w:rFonts w:ascii="仿宋" w:hAnsi="仿宋" w:eastAsia="仿宋" w:cs="宋体"/>
          <w:color w:val="auto"/>
        </w:rPr>
        <w:t>2</w:t>
      </w:r>
      <w:r>
        <w:rPr>
          <w:rFonts w:hint="eastAsia" w:ascii="仿宋" w:hAnsi="仿宋" w:eastAsia="仿宋" w:cs="宋体"/>
          <w:color w:val="auto"/>
          <w:lang w:val="en-US" w:eastAsia="zh-CN"/>
        </w:rPr>
        <w:t>2</w:t>
      </w:r>
      <w:r>
        <w:rPr>
          <w:rFonts w:ascii="仿宋" w:hAnsi="仿宋" w:eastAsia="仿宋" w:cs="宋体"/>
          <w:color w:val="auto"/>
        </w:rPr>
        <w:t>.</w:t>
      </w:r>
      <w:r>
        <w:rPr>
          <w:rFonts w:hint="eastAsia" w:ascii="仿宋" w:hAnsi="仿宋" w:eastAsia="仿宋" w:cs="宋体"/>
          <w:color w:val="auto"/>
        </w:rPr>
        <w:t>2成交人确定后，采购人应当向成交人发出成交通知书。成交通知书对采购人和成交人均具有法律效力。成交人收到成交通知书后放弃成交的，应当承担法律责任。</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2</w:t>
      </w:r>
      <w:r>
        <w:rPr>
          <w:rFonts w:ascii="仿宋" w:hAnsi="仿宋" w:eastAsia="仿宋" w:cs="仿宋"/>
          <w:color w:val="auto"/>
          <w:sz w:val="24"/>
          <w:szCs w:val="24"/>
        </w:rPr>
        <w:t>3.</w:t>
      </w:r>
      <w:r>
        <w:rPr>
          <w:rFonts w:hint="eastAsia" w:ascii="仿宋" w:hAnsi="仿宋" w:eastAsia="仿宋" w:cs="仿宋"/>
          <w:color w:val="auto"/>
          <w:sz w:val="24"/>
          <w:szCs w:val="24"/>
        </w:rPr>
        <w:t>签订合同</w:t>
      </w:r>
    </w:p>
    <w:p>
      <w:pPr>
        <w:topLinePunct/>
        <w:spacing w:line="360" w:lineRule="auto"/>
        <w:rPr>
          <w:rFonts w:ascii="仿宋" w:hAnsi="仿宋" w:eastAsia="仿宋" w:cs="仿宋"/>
          <w:color w:val="auto"/>
        </w:rPr>
      </w:pPr>
      <w:r>
        <w:rPr>
          <w:rFonts w:hint="eastAsia" w:ascii="仿宋" w:hAnsi="仿宋" w:eastAsia="仿宋" w:cs="仿宋"/>
          <w:color w:val="auto"/>
        </w:rPr>
        <w:t>2</w:t>
      </w:r>
      <w:r>
        <w:rPr>
          <w:rFonts w:ascii="仿宋" w:hAnsi="仿宋" w:eastAsia="仿宋" w:cs="仿宋"/>
          <w:color w:val="auto"/>
        </w:rPr>
        <w:t>3.1</w:t>
      </w:r>
      <w:r>
        <w:rPr>
          <w:rFonts w:hint="eastAsia" w:ascii="仿宋" w:hAnsi="仿宋" w:eastAsia="仿宋" w:cs="仿宋"/>
          <w:color w:val="auto"/>
        </w:rPr>
        <w:t>采购人与成交人按照比选文件和成交人的响应文件</w:t>
      </w:r>
      <w:r>
        <w:rPr>
          <w:rFonts w:hint="eastAsia" w:ascii="仿宋" w:hAnsi="仿宋" w:eastAsia="仿宋" w:cs="宋体"/>
          <w:color w:val="auto"/>
        </w:rPr>
        <w:t>订立书面合同。合同的标的、价款、质量、履行期限等主要条款应当与</w:t>
      </w:r>
      <w:r>
        <w:rPr>
          <w:rFonts w:hint="eastAsia" w:ascii="仿宋" w:hAnsi="仿宋" w:eastAsia="仿宋" w:cs="仿宋"/>
          <w:color w:val="auto"/>
        </w:rPr>
        <w:t>比选</w:t>
      </w:r>
      <w:r>
        <w:rPr>
          <w:rFonts w:hint="eastAsia" w:ascii="仿宋" w:hAnsi="仿宋" w:eastAsia="仿宋" w:cs="宋体"/>
          <w:color w:val="auto"/>
        </w:rPr>
        <w:t>文件和</w:t>
      </w:r>
      <w:r>
        <w:rPr>
          <w:rFonts w:hint="eastAsia" w:ascii="仿宋" w:hAnsi="仿宋" w:eastAsia="仿宋" w:cs="仿宋"/>
          <w:color w:val="auto"/>
        </w:rPr>
        <w:t>成交</w:t>
      </w:r>
      <w:r>
        <w:rPr>
          <w:rFonts w:hint="eastAsia" w:ascii="仿宋" w:hAnsi="仿宋" w:eastAsia="仿宋" w:cs="宋体"/>
          <w:color w:val="auto"/>
        </w:rPr>
        <w:t>人的</w:t>
      </w:r>
      <w:r>
        <w:rPr>
          <w:rFonts w:hint="eastAsia" w:ascii="仿宋" w:hAnsi="仿宋" w:eastAsia="仿宋" w:cs="仿宋"/>
          <w:color w:val="auto"/>
        </w:rPr>
        <w:t>响应</w:t>
      </w:r>
      <w:r>
        <w:rPr>
          <w:rFonts w:hint="eastAsia" w:ascii="仿宋" w:hAnsi="仿宋" w:eastAsia="仿宋" w:cs="宋体"/>
          <w:color w:val="auto"/>
        </w:rPr>
        <w:t>文件的内容一致。</w:t>
      </w:r>
    </w:p>
    <w:p>
      <w:pPr>
        <w:topLinePunct/>
        <w:spacing w:line="360" w:lineRule="auto"/>
        <w:rPr>
          <w:rFonts w:ascii="仿宋" w:hAnsi="仿宋" w:eastAsia="仿宋" w:cs="宋体"/>
          <w:color w:val="auto"/>
        </w:rPr>
      </w:pPr>
      <w:r>
        <w:rPr>
          <w:rFonts w:hint="eastAsia" w:ascii="仿宋" w:hAnsi="仿宋" w:eastAsia="仿宋" w:cs="仿宋"/>
          <w:color w:val="auto"/>
        </w:rPr>
        <w:t>2</w:t>
      </w:r>
      <w:r>
        <w:rPr>
          <w:rFonts w:ascii="仿宋" w:hAnsi="仿宋" w:eastAsia="仿宋" w:cs="仿宋"/>
          <w:color w:val="auto"/>
        </w:rPr>
        <w:t>3.2</w:t>
      </w:r>
      <w:r>
        <w:rPr>
          <w:rFonts w:hint="eastAsia" w:ascii="仿宋" w:hAnsi="仿宋" w:eastAsia="仿宋" w:cs="仿宋"/>
          <w:color w:val="auto"/>
        </w:rPr>
        <w:t xml:space="preserve"> </w:t>
      </w:r>
      <w:r>
        <w:rPr>
          <w:rFonts w:hint="eastAsia" w:ascii="仿宋" w:hAnsi="仿宋" w:eastAsia="仿宋" w:cs="宋体"/>
          <w:color w:val="auto"/>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auto"/>
        </w:rPr>
      </w:pPr>
      <w:r>
        <w:rPr>
          <w:rFonts w:ascii="仿宋" w:hAnsi="仿宋" w:eastAsia="仿宋" w:cs="宋体"/>
          <w:color w:val="auto"/>
        </w:rPr>
        <w:t>23.3</w:t>
      </w:r>
      <w:r>
        <w:rPr>
          <w:rFonts w:hint="eastAsia" w:ascii="仿宋" w:hAnsi="仿宋" w:eastAsia="仿宋" w:cs="宋体"/>
          <w:color w:val="auto"/>
        </w:rPr>
        <w:t>比选文件要求成交人提交履约保证金的，成交人应当按照</w:t>
      </w:r>
      <w:r>
        <w:rPr>
          <w:rFonts w:hint="eastAsia" w:ascii="仿宋" w:hAnsi="仿宋" w:eastAsia="仿宋" w:cs="宋体"/>
          <w:color w:val="auto"/>
          <w:u w:val="single"/>
        </w:rPr>
        <w:t>本须知前附表</w:t>
      </w:r>
      <w:r>
        <w:rPr>
          <w:rFonts w:hint="eastAsia" w:ascii="仿宋" w:hAnsi="仿宋" w:eastAsia="仿宋" w:cs="宋体"/>
          <w:color w:val="auto"/>
        </w:rPr>
        <w:t>要求的金额和方式递交。成交人如不按要求提交履约保证金，将取消其成交资格。</w:t>
      </w:r>
    </w:p>
    <w:p>
      <w:pPr>
        <w:topLinePunct/>
        <w:spacing w:line="360" w:lineRule="auto"/>
        <w:rPr>
          <w:rFonts w:ascii="仿宋" w:hAnsi="仿宋" w:eastAsia="仿宋" w:cs="宋体"/>
          <w:color w:val="auto"/>
        </w:rPr>
      </w:pPr>
      <w:r>
        <w:rPr>
          <w:rFonts w:hint="eastAsia" w:ascii="仿宋" w:hAnsi="仿宋" w:eastAsia="仿宋" w:cs="宋体"/>
          <w:color w:val="auto"/>
        </w:rPr>
        <w:t>2</w:t>
      </w:r>
      <w:r>
        <w:rPr>
          <w:rFonts w:ascii="仿宋" w:hAnsi="仿宋" w:eastAsia="仿宋" w:cs="宋体"/>
          <w:color w:val="auto"/>
        </w:rPr>
        <w:t>3</w:t>
      </w:r>
      <w:r>
        <w:rPr>
          <w:rFonts w:hint="eastAsia" w:ascii="仿宋" w:hAnsi="仿宋" w:eastAsia="仿宋" w:cs="宋体"/>
          <w:color w:val="auto"/>
        </w:rPr>
        <w:t>.4成交供应商</w:t>
      </w:r>
      <w:r>
        <w:rPr>
          <w:rFonts w:ascii="仿宋" w:hAnsi="仿宋" w:eastAsia="仿宋" w:cs="宋体"/>
          <w:color w:val="auto"/>
        </w:rPr>
        <w:t>不履行与</w:t>
      </w:r>
      <w:r>
        <w:rPr>
          <w:rFonts w:hint="eastAsia" w:ascii="仿宋" w:hAnsi="仿宋" w:eastAsia="仿宋" w:cs="宋体"/>
          <w:color w:val="auto"/>
        </w:rPr>
        <w:t>采购</w:t>
      </w:r>
      <w:r>
        <w:rPr>
          <w:rFonts w:ascii="仿宋" w:hAnsi="仿宋" w:eastAsia="仿宋" w:cs="宋体"/>
          <w:color w:val="auto"/>
        </w:rPr>
        <w:t>人订立的合同的，</w:t>
      </w:r>
      <w:r>
        <w:rPr>
          <w:rFonts w:hint="eastAsia" w:ascii="仿宋" w:hAnsi="仿宋" w:eastAsia="仿宋" w:cs="宋体"/>
          <w:color w:val="auto"/>
        </w:rPr>
        <w:t>履约</w:t>
      </w:r>
      <w:r>
        <w:rPr>
          <w:rFonts w:ascii="仿宋" w:hAnsi="仿宋" w:eastAsia="仿宋" w:cs="宋体"/>
          <w:color w:val="auto"/>
        </w:rPr>
        <w:t>保证金不予退还，给</w:t>
      </w:r>
      <w:r>
        <w:rPr>
          <w:rFonts w:hint="eastAsia" w:ascii="仿宋" w:hAnsi="仿宋" w:eastAsia="仿宋" w:cs="宋体"/>
          <w:color w:val="auto"/>
        </w:rPr>
        <w:t>采购</w:t>
      </w:r>
      <w:r>
        <w:rPr>
          <w:rFonts w:ascii="仿宋" w:hAnsi="仿宋" w:eastAsia="仿宋" w:cs="宋体"/>
          <w:color w:val="auto"/>
        </w:rPr>
        <w:t>人造成的损失超过履约保证金数额的，还应当对超过部分予以赔偿；没有提交履约保证金的，应当对</w:t>
      </w:r>
      <w:r>
        <w:rPr>
          <w:rFonts w:hint="eastAsia" w:ascii="仿宋" w:hAnsi="仿宋" w:eastAsia="仿宋" w:cs="宋体"/>
          <w:color w:val="auto"/>
        </w:rPr>
        <w:t>采购</w:t>
      </w:r>
      <w:r>
        <w:rPr>
          <w:rFonts w:ascii="仿宋" w:hAnsi="仿宋" w:eastAsia="仿宋" w:cs="宋体"/>
          <w:color w:val="auto"/>
        </w:rPr>
        <w:t>人的损失承担赔偿责任。</w:t>
      </w:r>
    </w:p>
    <w:p>
      <w:pPr>
        <w:pStyle w:val="2"/>
        <w:rPr>
          <w:color w:val="auto"/>
        </w:rPr>
      </w:pPr>
    </w:p>
    <w:p>
      <w:pPr>
        <w:pStyle w:val="2"/>
        <w:rPr>
          <w:color w:val="auto"/>
        </w:rPr>
      </w:pPr>
    </w:p>
    <w:p>
      <w:pPr>
        <w:pStyle w:val="2"/>
        <w:rPr>
          <w:color w:val="auto"/>
        </w:rPr>
      </w:pPr>
    </w:p>
    <w:p>
      <w:pPr>
        <w:pStyle w:val="2"/>
        <w:rPr>
          <w:color w:val="auto"/>
        </w:rPr>
      </w:pPr>
    </w:p>
    <w:p>
      <w:pPr>
        <w:pStyle w:val="3"/>
        <w:spacing w:before="0" w:after="0"/>
        <w:jc w:val="left"/>
        <w:rPr>
          <w:rFonts w:ascii="仿宋" w:hAnsi="仿宋" w:eastAsia="仿宋" w:cs="仿宋"/>
          <w:color w:val="auto"/>
          <w:sz w:val="28"/>
          <w:szCs w:val="28"/>
        </w:rPr>
      </w:pPr>
      <w:bookmarkStart w:id="107" w:name="_Toc27909"/>
      <w:bookmarkStart w:id="108" w:name="_Toc10670"/>
      <w:bookmarkStart w:id="109" w:name="_Toc8109"/>
      <w:r>
        <w:rPr>
          <w:rFonts w:hint="eastAsia" w:ascii="仿宋" w:hAnsi="仿宋" w:eastAsia="仿宋" w:cs="仿宋"/>
          <w:color w:val="auto"/>
          <w:sz w:val="28"/>
          <w:szCs w:val="28"/>
        </w:rPr>
        <w:t>第三章 评审办法</w:t>
      </w:r>
      <w:bookmarkEnd w:id="107"/>
      <w:bookmarkEnd w:id="108"/>
    </w:p>
    <w:p>
      <w:pPr>
        <w:pStyle w:val="4"/>
        <w:jc w:val="left"/>
        <w:rPr>
          <w:rFonts w:ascii="仿宋" w:hAnsi="仿宋" w:eastAsia="仿宋" w:cs="仿宋"/>
          <w:color w:val="auto"/>
          <w:sz w:val="24"/>
          <w:szCs w:val="24"/>
        </w:rPr>
      </w:pPr>
      <w:bookmarkStart w:id="110" w:name="_Toc4807"/>
      <w:bookmarkStart w:id="111" w:name="_Toc444891344"/>
      <w:bookmarkStart w:id="112" w:name="_Toc517281825"/>
      <w:bookmarkStart w:id="113" w:name="_Toc7201"/>
      <w:bookmarkStart w:id="114" w:name="_Toc226969358"/>
      <w:bookmarkStart w:id="115" w:name="_Toc227057964"/>
      <w:r>
        <w:rPr>
          <w:rFonts w:hint="eastAsia" w:ascii="仿宋" w:hAnsi="仿宋" w:eastAsia="仿宋" w:cs="仿宋"/>
          <w:color w:val="auto"/>
          <w:sz w:val="24"/>
          <w:szCs w:val="24"/>
        </w:rPr>
        <w:t>一、评审程序</w:t>
      </w:r>
      <w:bookmarkEnd w:id="110"/>
      <w:bookmarkEnd w:id="111"/>
      <w:bookmarkEnd w:id="112"/>
      <w:bookmarkEnd w:id="113"/>
    </w:p>
    <w:p>
      <w:pPr>
        <w:spacing w:line="360" w:lineRule="auto"/>
        <w:ind w:firstLine="480" w:firstLineChars="200"/>
        <w:rPr>
          <w:rFonts w:ascii="仿宋" w:hAnsi="仿宋" w:eastAsia="仿宋" w:cs="仿宋"/>
          <w:color w:val="auto"/>
        </w:rPr>
      </w:pPr>
      <w:r>
        <w:rPr>
          <w:rFonts w:hint="eastAsia" w:ascii="仿宋" w:hAnsi="仿宋" w:eastAsia="仿宋" w:cs="仿宋"/>
          <w:color w:val="auto"/>
        </w:rPr>
        <w:t>比选小组对响应文件中的相关内容进行评审。评审按照以下程序进行：</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1.熟悉比选文件；</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2.对响应文件进行初步评审，检查响应文件是否满足比选文件的初审要求；初步评审中不符合评审标准的，将做否决比选响应处理；</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3.供应商有以下情形之一的，比选小组应当否决其比选响应：</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（1）按照比选公告要求已经递交电子响应文件，但未按要求递交纸质响应文件；</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（2）响应文件未经供应商盖章和单位负责人签字；</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（3）允许联合体响应的，联合体没有递交共同响应协议；</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（4）不符合国家或者比选文件规定的资格条件；</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（5）同一供应商提交两个以上不同的响应文件或者响应报价，但比选文件要求提交备选文件的除外；</w:t>
      </w:r>
    </w:p>
    <w:p>
      <w:pPr>
        <w:spacing w:line="360" w:lineRule="auto"/>
        <w:ind w:firstLine="420" w:firstLineChars="175"/>
        <w:rPr>
          <w:rFonts w:ascii="仿宋" w:hAnsi="仿宋" w:eastAsia="仿宋" w:cs="宋体"/>
          <w:color w:val="auto"/>
        </w:rPr>
      </w:pPr>
      <w:r>
        <w:rPr>
          <w:rFonts w:hint="eastAsia" w:ascii="仿宋" w:hAnsi="仿宋" w:eastAsia="仿宋" w:cs="仿宋"/>
          <w:color w:val="auto"/>
        </w:rPr>
        <w:t>（6）</w:t>
      </w:r>
      <w:r>
        <w:rPr>
          <w:rFonts w:hint="eastAsia" w:ascii="仿宋" w:hAnsi="仿宋" w:eastAsia="仿宋" w:cs="宋体"/>
          <w:color w:val="auto"/>
        </w:rPr>
        <w:t>最终报价低于成本或者高于比选文件设定的最高投标限价；</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 xml:space="preserve">（7）响应文件未对比选文件的实质性要求和条件作出响应； </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（8）供应商有串通投标、弄虚作假、行贿等违法行为；</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（9）不接受或不确认因算术性错误进行的价格修正；</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（10）响应文件附有采购人不能接受的条件；</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（11）不符合比选文件中规定的其他实质性要求。</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4.初步评审</w:t>
      </w:r>
      <w:r>
        <w:rPr>
          <w:rFonts w:hint="eastAsia" w:ascii="仿宋" w:hAnsi="仿宋" w:eastAsia="仿宋" w:cs="仿宋"/>
          <w:color w:val="auto"/>
          <w:lang w:val="zh-CN"/>
        </w:rPr>
        <w:t>内容允许在比选过程中按比选小组规定的时间内补充，若未在规定时间内补充则将导致响应无效。</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5.通过初步评审的供应商分别进行比选；</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6.通过初步评审的供应商进行最终报价；</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7.通过初步评审的响应文件进行详细评审及打分；</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8.按照综合评分由高到低的次序推荐成交候选人，提交评审结果，评审结果应包含评审情况说明、排名次序、推荐成交候选人名单及其他说明事项。</w:t>
      </w:r>
    </w:p>
    <w:p>
      <w:pPr>
        <w:pStyle w:val="4"/>
        <w:jc w:val="left"/>
        <w:rPr>
          <w:rFonts w:ascii="仿宋" w:hAnsi="仿宋" w:eastAsia="仿宋" w:cs="仿宋"/>
          <w:color w:val="auto"/>
          <w:sz w:val="24"/>
          <w:szCs w:val="24"/>
        </w:rPr>
      </w:pPr>
      <w:bookmarkStart w:id="116" w:name="_Toc517281826"/>
      <w:bookmarkStart w:id="117" w:name="_Toc444891345"/>
      <w:r>
        <w:rPr>
          <w:rFonts w:hint="eastAsia" w:ascii="仿宋" w:hAnsi="仿宋" w:eastAsia="仿宋" w:cs="仿宋"/>
          <w:color w:val="auto"/>
          <w:sz w:val="24"/>
          <w:szCs w:val="24"/>
        </w:rPr>
        <w:br w:type="page"/>
      </w:r>
      <w:bookmarkStart w:id="118" w:name="_Toc24556"/>
      <w:bookmarkStart w:id="119" w:name="_Toc32019"/>
      <w:r>
        <w:rPr>
          <w:rFonts w:hint="eastAsia" w:ascii="仿宋" w:hAnsi="仿宋" w:eastAsia="仿宋" w:cs="仿宋"/>
          <w:color w:val="auto"/>
          <w:sz w:val="24"/>
          <w:szCs w:val="24"/>
        </w:rPr>
        <w:t>二、初步评审</w:t>
      </w:r>
      <w:bookmarkEnd w:id="116"/>
      <w:bookmarkEnd w:id="117"/>
      <w:bookmarkEnd w:id="118"/>
      <w:bookmarkEnd w:id="119"/>
    </w:p>
    <w:bookmarkEnd w:id="114"/>
    <w:bookmarkEnd w:id="115"/>
    <w:tbl>
      <w:tblPr>
        <w:tblStyle w:val="29"/>
        <w:tblW w:w="5539"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718"/>
        <w:gridCol w:w="1260"/>
        <w:gridCol w:w="2267"/>
        <w:gridCol w:w="6042"/>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49" w:type="pct"/>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612" w:type="pct"/>
          </w:tcPr>
          <w:p>
            <w:pPr>
              <w:spacing w:before="24" w:after="24" w:line="360" w:lineRule="auto"/>
              <w:jc w:val="center"/>
              <w:rPr>
                <w:rFonts w:ascii="仿宋" w:hAnsi="仿宋" w:eastAsia="仿宋" w:cs="仿宋"/>
                <w:b/>
                <w:color w:val="auto"/>
                <w:szCs w:val="21"/>
              </w:rPr>
            </w:pPr>
            <w:r>
              <w:rPr>
                <w:rFonts w:hint="eastAsia" w:ascii="仿宋" w:hAnsi="仿宋" w:eastAsia="仿宋" w:cs="仿宋"/>
                <w:b/>
                <w:color w:val="auto"/>
                <w:szCs w:val="21"/>
              </w:rPr>
              <w:t>评审环节</w:t>
            </w:r>
          </w:p>
        </w:tc>
        <w:tc>
          <w:tcPr>
            <w:tcW w:w="1101" w:type="pct"/>
            <w:vAlign w:val="center"/>
          </w:tcPr>
          <w:p>
            <w:pPr>
              <w:spacing w:before="24" w:after="24" w:line="360" w:lineRule="auto"/>
              <w:jc w:val="center"/>
              <w:rPr>
                <w:rFonts w:ascii="仿宋" w:hAnsi="仿宋" w:eastAsia="仿宋" w:cs="仿宋"/>
                <w:b/>
                <w:color w:val="auto"/>
                <w:szCs w:val="21"/>
              </w:rPr>
            </w:pPr>
            <w:r>
              <w:rPr>
                <w:rFonts w:hint="eastAsia" w:ascii="仿宋" w:hAnsi="仿宋" w:eastAsia="仿宋" w:cs="仿宋"/>
                <w:b/>
                <w:color w:val="auto"/>
                <w:szCs w:val="21"/>
              </w:rPr>
              <w:t>评审因素</w:t>
            </w:r>
          </w:p>
        </w:tc>
        <w:tc>
          <w:tcPr>
            <w:tcW w:w="2935" w:type="pct"/>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49" w:type="pct"/>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1</w:t>
            </w:r>
          </w:p>
        </w:tc>
        <w:tc>
          <w:tcPr>
            <w:tcW w:w="612" w:type="pct"/>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形式评审标准</w:t>
            </w:r>
          </w:p>
        </w:tc>
        <w:tc>
          <w:tcPr>
            <w:tcW w:w="1101"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供应商名称</w:t>
            </w:r>
          </w:p>
        </w:tc>
        <w:tc>
          <w:tcPr>
            <w:tcW w:w="2935" w:type="pct"/>
            <w:vAlign w:val="center"/>
          </w:tcPr>
          <w:p>
            <w:pPr>
              <w:spacing w:before="24" w:after="24" w:line="276" w:lineRule="auto"/>
              <w:rPr>
                <w:rFonts w:ascii="仿宋" w:hAnsi="仿宋" w:eastAsia="仿宋" w:cs="仿宋"/>
                <w:color w:val="auto"/>
                <w:szCs w:val="21"/>
              </w:rPr>
            </w:pPr>
            <w:r>
              <w:rPr>
                <w:rFonts w:hint="eastAsia" w:ascii="仿宋" w:hAnsi="仿宋" w:eastAsia="仿宋" w:cs="Cambria Math"/>
                <w:color w:val="auto"/>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49" w:type="pct"/>
            <w:vMerge w:val="continue"/>
            <w:vAlign w:val="center"/>
          </w:tcPr>
          <w:p>
            <w:pPr>
              <w:spacing w:line="360" w:lineRule="auto"/>
              <w:jc w:val="center"/>
              <w:rPr>
                <w:rFonts w:ascii="仿宋" w:hAnsi="仿宋" w:eastAsia="仿宋" w:cs="仿宋"/>
                <w:color w:val="auto"/>
                <w:szCs w:val="21"/>
              </w:rPr>
            </w:pPr>
          </w:p>
        </w:tc>
        <w:tc>
          <w:tcPr>
            <w:tcW w:w="612" w:type="pct"/>
            <w:vMerge w:val="continue"/>
          </w:tcPr>
          <w:p>
            <w:pPr>
              <w:spacing w:before="24" w:after="24" w:line="360" w:lineRule="auto"/>
              <w:jc w:val="center"/>
              <w:rPr>
                <w:rFonts w:ascii="仿宋" w:hAnsi="仿宋" w:eastAsia="仿宋" w:cs="仿宋"/>
                <w:color w:val="auto"/>
                <w:szCs w:val="21"/>
              </w:rPr>
            </w:pPr>
          </w:p>
        </w:tc>
        <w:tc>
          <w:tcPr>
            <w:tcW w:w="1101" w:type="pct"/>
            <w:vAlign w:val="center"/>
          </w:tcPr>
          <w:p>
            <w:pPr>
              <w:spacing w:before="24" w:after="24" w:line="276" w:lineRule="auto"/>
              <w:jc w:val="center"/>
              <w:rPr>
                <w:rFonts w:ascii="仿宋" w:hAnsi="仿宋" w:eastAsia="仿宋" w:cs="仿宋"/>
                <w:color w:val="auto"/>
                <w:spacing w:val="-4"/>
                <w:szCs w:val="21"/>
              </w:rPr>
            </w:pPr>
            <w:r>
              <w:rPr>
                <w:rFonts w:hint="eastAsia" w:ascii="仿宋" w:hAnsi="仿宋" w:eastAsia="仿宋" w:cs="仿宋"/>
                <w:color w:val="auto"/>
                <w:szCs w:val="21"/>
              </w:rPr>
              <w:t>法定代表人（负责人）身份证明</w:t>
            </w:r>
          </w:p>
        </w:tc>
        <w:tc>
          <w:tcPr>
            <w:tcW w:w="2935" w:type="pct"/>
            <w:vAlign w:val="center"/>
          </w:tcPr>
          <w:p>
            <w:pPr>
              <w:pStyle w:val="73"/>
              <w:topLinePunct/>
              <w:jc w:val="left"/>
              <w:rPr>
                <w:rFonts w:ascii="仿宋" w:hAnsi="仿宋" w:eastAsia="仿宋" w:cs="仿宋"/>
                <w:color w:val="auto"/>
                <w:sz w:val="21"/>
                <w:szCs w:val="21"/>
              </w:rPr>
            </w:pPr>
            <w:r>
              <w:rPr>
                <w:rFonts w:hint="eastAsia" w:ascii="仿宋" w:hAnsi="仿宋" w:eastAsia="仿宋" w:cs="仿宋"/>
                <w:color w:val="auto"/>
                <w:sz w:val="21"/>
                <w:szCs w:val="21"/>
              </w:rPr>
              <w:t>1、提供法定代表人（负责人）身份证复印件。</w:t>
            </w:r>
          </w:p>
          <w:p>
            <w:pPr>
              <w:pStyle w:val="72"/>
              <w:tabs>
                <w:tab w:val="left" w:pos="630"/>
              </w:tabs>
              <w:topLinePunct/>
              <w:spacing w:before="62" w:beforeLines="20" w:after="62" w:afterLines="20" w:line="276" w:lineRule="auto"/>
              <w:rPr>
                <w:rFonts w:ascii="仿宋" w:hAnsi="仿宋" w:eastAsia="仿宋" w:cs="仿宋"/>
                <w:color w:val="auto"/>
                <w:sz w:val="21"/>
                <w:szCs w:val="21"/>
              </w:rPr>
            </w:pPr>
            <w:r>
              <w:rPr>
                <w:rFonts w:hint="eastAsia" w:ascii="仿宋" w:hAnsi="仿宋" w:eastAsia="仿宋" w:cs="仿宋"/>
                <w:color w:val="auto"/>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49" w:type="pct"/>
            <w:vMerge w:val="continue"/>
            <w:vAlign w:val="center"/>
          </w:tcPr>
          <w:p>
            <w:pPr>
              <w:spacing w:line="360" w:lineRule="auto"/>
              <w:jc w:val="center"/>
              <w:rPr>
                <w:rFonts w:ascii="仿宋" w:hAnsi="仿宋" w:eastAsia="仿宋" w:cs="仿宋"/>
                <w:color w:val="auto"/>
                <w:szCs w:val="21"/>
              </w:rPr>
            </w:pPr>
          </w:p>
        </w:tc>
        <w:tc>
          <w:tcPr>
            <w:tcW w:w="612" w:type="pct"/>
            <w:vMerge w:val="continue"/>
          </w:tcPr>
          <w:p>
            <w:pPr>
              <w:spacing w:before="24" w:after="24" w:line="360" w:lineRule="auto"/>
              <w:jc w:val="center"/>
              <w:rPr>
                <w:rFonts w:ascii="仿宋" w:hAnsi="仿宋" w:eastAsia="仿宋" w:cs="仿宋"/>
                <w:color w:val="auto"/>
                <w:szCs w:val="21"/>
              </w:rPr>
            </w:pPr>
          </w:p>
        </w:tc>
        <w:tc>
          <w:tcPr>
            <w:tcW w:w="1101"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法定代表人（负责人）授权委托书</w:t>
            </w:r>
          </w:p>
        </w:tc>
        <w:tc>
          <w:tcPr>
            <w:tcW w:w="2935" w:type="pct"/>
            <w:vAlign w:val="center"/>
          </w:tcPr>
          <w:p>
            <w:pPr>
              <w:pStyle w:val="73"/>
              <w:topLinePunct/>
              <w:spacing w:line="276" w:lineRule="auto"/>
              <w:rPr>
                <w:rFonts w:ascii="仿宋" w:hAnsi="仿宋" w:eastAsia="仿宋" w:cs="仿宋"/>
                <w:color w:val="auto"/>
                <w:sz w:val="21"/>
                <w:szCs w:val="21"/>
              </w:rPr>
            </w:pPr>
            <w:r>
              <w:rPr>
                <w:rFonts w:hint="eastAsia" w:ascii="仿宋" w:hAnsi="仿宋" w:eastAsia="仿宋" w:cs="仿宋"/>
                <w:color w:val="auto"/>
                <w:sz w:val="21"/>
                <w:szCs w:val="21"/>
              </w:rPr>
              <w:t>1、提供委托代理人身份证复印件。</w:t>
            </w:r>
          </w:p>
          <w:p>
            <w:pPr>
              <w:pStyle w:val="73"/>
              <w:topLinePunct/>
              <w:spacing w:line="276" w:lineRule="auto"/>
              <w:rPr>
                <w:rFonts w:ascii="仿宋" w:hAnsi="仿宋" w:eastAsia="仿宋" w:cs="Cambria Math"/>
                <w:color w:val="auto"/>
                <w:sz w:val="21"/>
                <w:szCs w:val="21"/>
              </w:rPr>
            </w:pPr>
            <w:r>
              <w:rPr>
                <w:rFonts w:hint="eastAsia" w:ascii="仿宋" w:hAnsi="仿宋" w:eastAsia="仿宋" w:cs="仿宋"/>
                <w:color w:val="auto"/>
                <w:sz w:val="22"/>
              </w:rPr>
              <w:t>2、落款</w:t>
            </w:r>
            <w:r>
              <w:rPr>
                <w:rFonts w:hint="eastAsia" w:ascii="仿宋" w:hAnsi="仿宋" w:eastAsia="仿宋" w:cs="仿宋"/>
                <w:bCs/>
                <w:color w:val="auto"/>
                <w:sz w:val="22"/>
              </w:rPr>
              <w:t>加盖公章</w:t>
            </w:r>
            <w:r>
              <w:rPr>
                <w:rFonts w:hint="eastAsia" w:ascii="仿宋" w:hAnsi="仿宋" w:eastAsia="仿宋" w:cs="仿宋"/>
                <w:b/>
                <w:bCs/>
                <w:color w:val="auto"/>
                <w:sz w:val="22"/>
              </w:rPr>
              <w:t>并由</w:t>
            </w:r>
            <w:r>
              <w:rPr>
                <w:rFonts w:hint="eastAsia" w:ascii="仿宋" w:hAnsi="仿宋" w:eastAsia="仿宋" w:cs="仿宋"/>
                <w:color w:val="auto"/>
                <w:sz w:val="22"/>
              </w:rPr>
              <w:t>法定代表人（负责人）签字</w:t>
            </w:r>
            <w:r>
              <w:rPr>
                <w:rFonts w:hint="eastAsia" w:ascii="仿宋" w:hAnsi="仿宋" w:eastAsia="仿宋" w:cs="仿宋"/>
                <w:b/>
                <w:bCs/>
                <w:color w:val="auto"/>
                <w:sz w:val="22"/>
              </w:rPr>
              <w:t>和</w:t>
            </w:r>
            <w:r>
              <w:rPr>
                <w:rFonts w:hint="eastAsia" w:ascii="仿宋" w:hAnsi="仿宋" w:eastAsia="仿宋" w:cs="仿宋"/>
                <w:color w:val="auto"/>
                <w:sz w:val="22"/>
              </w:rPr>
              <w:t>其委托代理人</w:t>
            </w:r>
            <w:r>
              <w:rPr>
                <w:rFonts w:hint="eastAsia" w:ascii="仿宋" w:hAnsi="仿宋" w:eastAsia="仿宋" w:cs="仿宋"/>
                <w:b/>
                <w:bCs/>
                <w:color w:val="auto"/>
                <w:sz w:val="22"/>
              </w:rPr>
              <w:t>双方</w:t>
            </w:r>
            <w:r>
              <w:rPr>
                <w:rFonts w:hint="eastAsia" w:ascii="仿宋" w:hAnsi="仿宋" w:eastAsia="仿宋" w:cs="仿宋"/>
                <w:bCs/>
                <w:color w:val="auto"/>
                <w:sz w:val="22"/>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49" w:type="pct"/>
            <w:vMerge w:val="continue"/>
            <w:vAlign w:val="center"/>
          </w:tcPr>
          <w:p>
            <w:pPr>
              <w:spacing w:line="360" w:lineRule="auto"/>
              <w:jc w:val="center"/>
              <w:rPr>
                <w:rFonts w:ascii="仿宋" w:hAnsi="仿宋" w:eastAsia="仿宋" w:cs="仿宋"/>
                <w:color w:val="auto"/>
                <w:szCs w:val="21"/>
              </w:rPr>
            </w:pPr>
          </w:p>
        </w:tc>
        <w:tc>
          <w:tcPr>
            <w:tcW w:w="612" w:type="pct"/>
            <w:vMerge w:val="continue"/>
          </w:tcPr>
          <w:p>
            <w:pPr>
              <w:spacing w:before="24" w:after="24" w:line="360" w:lineRule="auto"/>
              <w:jc w:val="center"/>
              <w:rPr>
                <w:rFonts w:ascii="仿宋" w:hAnsi="仿宋" w:eastAsia="仿宋" w:cs="仿宋"/>
                <w:color w:val="auto"/>
                <w:szCs w:val="21"/>
              </w:rPr>
            </w:pPr>
          </w:p>
        </w:tc>
        <w:tc>
          <w:tcPr>
            <w:tcW w:w="1101"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响应文件签字或盖章</w:t>
            </w:r>
          </w:p>
        </w:tc>
        <w:tc>
          <w:tcPr>
            <w:tcW w:w="2935" w:type="pct"/>
            <w:vAlign w:val="center"/>
          </w:tcPr>
          <w:p>
            <w:pPr>
              <w:spacing w:before="24" w:after="24"/>
              <w:rPr>
                <w:rFonts w:ascii="仿宋" w:hAnsi="仿宋" w:eastAsia="仿宋" w:cs="宋体"/>
                <w:color w:val="auto"/>
                <w:szCs w:val="21"/>
              </w:rPr>
            </w:pPr>
            <w:r>
              <w:rPr>
                <w:rFonts w:hint="eastAsia" w:ascii="仿宋" w:hAnsi="仿宋" w:eastAsia="仿宋" w:cs="宋体"/>
                <w:color w:val="auto"/>
                <w:szCs w:val="21"/>
              </w:rPr>
              <w:t>1、上述两款以外的响应文件格式中有落款的文件，</w:t>
            </w:r>
            <w:r>
              <w:rPr>
                <w:rFonts w:hint="eastAsia" w:ascii="仿宋" w:hAnsi="仿宋" w:eastAsia="仿宋" w:cs="宋体"/>
                <w:b/>
                <w:color w:val="auto"/>
                <w:szCs w:val="21"/>
              </w:rPr>
              <w:t>均需</w:t>
            </w:r>
            <w:r>
              <w:rPr>
                <w:rFonts w:hint="eastAsia" w:ascii="仿宋" w:hAnsi="仿宋" w:eastAsia="仿宋" w:cs="宋体"/>
                <w:color w:val="auto"/>
                <w:szCs w:val="21"/>
              </w:rPr>
              <w:t>加盖公章</w:t>
            </w:r>
            <w:r>
              <w:rPr>
                <w:rFonts w:hint="eastAsia" w:ascii="仿宋" w:hAnsi="仿宋" w:eastAsia="仿宋" w:cs="宋体"/>
                <w:b/>
                <w:color w:val="auto"/>
                <w:szCs w:val="21"/>
              </w:rPr>
              <w:t>或</w:t>
            </w:r>
            <w:r>
              <w:rPr>
                <w:rFonts w:hint="eastAsia" w:ascii="仿宋" w:hAnsi="仿宋" w:eastAsia="仿宋" w:cs="宋体"/>
                <w:color w:val="auto"/>
                <w:szCs w:val="21"/>
              </w:rPr>
              <w:t>由法定代表人（负责人）签字</w:t>
            </w:r>
            <w:r>
              <w:rPr>
                <w:rFonts w:hint="eastAsia" w:ascii="仿宋" w:hAnsi="仿宋" w:eastAsia="仿宋" w:cs="宋体"/>
                <w:b/>
                <w:color w:val="auto"/>
                <w:szCs w:val="21"/>
              </w:rPr>
              <w:t>或</w:t>
            </w:r>
            <w:r>
              <w:rPr>
                <w:rFonts w:hint="eastAsia" w:ascii="仿宋" w:hAnsi="仿宋" w:eastAsia="仿宋" w:cs="宋体"/>
                <w:color w:val="auto"/>
                <w:szCs w:val="21"/>
              </w:rPr>
              <w:t>其委托代理人签字。</w:t>
            </w:r>
          </w:p>
          <w:p>
            <w:pPr>
              <w:pStyle w:val="61"/>
              <w:spacing w:before="62" w:beforeLines="20" w:after="62" w:afterLines="20" w:line="276" w:lineRule="auto"/>
              <w:rPr>
                <w:rFonts w:ascii="仿宋" w:hAnsi="仿宋" w:eastAsia="仿宋"/>
                <w:color w:val="auto"/>
              </w:rPr>
            </w:pPr>
            <w:r>
              <w:rPr>
                <w:rFonts w:hint="eastAsia" w:ascii="仿宋" w:hAnsi="仿宋" w:eastAsia="仿宋"/>
                <w:color w:val="auto"/>
              </w:rPr>
              <w:t>2、响应文件的所有签字处均指手写签字</w:t>
            </w:r>
            <w:r>
              <w:rPr>
                <w:rFonts w:hint="eastAsia" w:ascii="仿宋" w:hAnsi="仿宋" w:eastAsia="仿宋"/>
                <w:b/>
                <w:color w:val="auto"/>
              </w:rPr>
              <w:t>或</w:t>
            </w:r>
            <w:r>
              <w:rPr>
                <w:rFonts w:hint="eastAsia" w:ascii="仿宋" w:hAnsi="仿宋" w:eastAsia="仿宋"/>
                <w:color w:val="auto"/>
              </w:rPr>
              <w:t>签名章/印章</w:t>
            </w:r>
            <w:r>
              <w:rPr>
                <w:rFonts w:hint="eastAsia" w:ascii="仿宋" w:hAnsi="仿宋" w:eastAsia="仿宋"/>
                <w:b/>
                <w:bCs/>
                <w:color w:val="auto"/>
              </w:rPr>
              <w:t>或</w:t>
            </w:r>
            <w:r>
              <w:rPr>
                <w:rFonts w:hint="eastAsia" w:ascii="仿宋" w:hAnsi="仿宋" w:eastAsia="仿宋"/>
                <w:color w:val="auto"/>
              </w:rPr>
              <w:t>CA签名章，</w:t>
            </w:r>
            <w:r>
              <w:rPr>
                <w:rFonts w:hint="eastAsia" w:ascii="仿宋" w:hAnsi="仿宋" w:eastAsia="仿宋"/>
                <w:b/>
                <w:color w:val="auto"/>
              </w:rPr>
              <w:t>不得</w:t>
            </w:r>
            <w:r>
              <w:rPr>
                <w:rFonts w:hint="eastAsia" w:ascii="仿宋" w:hAnsi="仿宋" w:eastAsia="仿宋"/>
                <w:color w:val="auto"/>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49" w:type="pct"/>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612" w:type="pct"/>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资格评审标准</w:t>
            </w:r>
          </w:p>
        </w:tc>
        <w:tc>
          <w:tcPr>
            <w:tcW w:w="1101" w:type="pct"/>
            <w:vAlign w:val="center"/>
          </w:tcPr>
          <w:p>
            <w:pPr>
              <w:spacing w:before="24" w:after="24" w:line="276" w:lineRule="auto"/>
              <w:jc w:val="center"/>
              <w:rPr>
                <w:rFonts w:hint="eastAsia" w:ascii="仿宋" w:hAnsi="仿宋" w:eastAsia="仿宋" w:cs="仿宋"/>
                <w:color w:val="auto"/>
                <w:sz w:val="22"/>
                <w:szCs w:val="21"/>
              </w:rPr>
            </w:pPr>
            <w:r>
              <w:rPr>
                <w:rFonts w:hint="eastAsia" w:ascii="仿宋" w:hAnsi="仿宋" w:eastAsia="仿宋" w:cs="仿宋"/>
                <w:color w:val="auto"/>
                <w:sz w:val="22"/>
                <w:szCs w:val="21"/>
              </w:rPr>
              <w:t>具有独立承担</w:t>
            </w:r>
          </w:p>
          <w:p>
            <w:pPr>
              <w:spacing w:before="24" w:after="24" w:line="276" w:lineRule="auto"/>
              <w:jc w:val="center"/>
              <w:rPr>
                <w:rFonts w:ascii="仿宋" w:hAnsi="仿宋" w:eastAsia="仿宋" w:cs="仿宋"/>
                <w:color w:val="auto"/>
                <w:sz w:val="22"/>
                <w:szCs w:val="21"/>
              </w:rPr>
            </w:pPr>
            <w:r>
              <w:rPr>
                <w:rFonts w:hint="eastAsia" w:ascii="仿宋" w:hAnsi="仿宋" w:eastAsia="仿宋" w:cs="仿宋"/>
                <w:color w:val="auto"/>
                <w:sz w:val="22"/>
                <w:szCs w:val="21"/>
              </w:rPr>
              <w:t>民事责任的能力</w:t>
            </w:r>
          </w:p>
        </w:tc>
        <w:tc>
          <w:tcPr>
            <w:tcW w:w="2935"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49" w:type="pct"/>
            <w:vMerge w:val="continue"/>
            <w:vAlign w:val="center"/>
          </w:tcPr>
          <w:p>
            <w:pPr>
              <w:spacing w:line="360" w:lineRule="auto"/>
              <w:jc w:val="center"/>
              <w:rPr>
                <w:rFonts w:ascii="仿宋" w:hAnsi="仿宋" w:eastAsia="仿宋" w:cs="仿宋"/>
                <w:color w:val="auto"/>
                <w:szCs w:val="21"/>
              </w:rPr>
            </w:pPr>
          </w:p>
        </w:tc>
        <w:tc>
          <w:tcPr>
            <w:tcW w:w="612" w:type="pct"/>
            <w:vMerge w:val="continue"/>
            <w:vAlign w:val="center"/>
          </w:tcPr>
          <w:p>
            <w:pPr>
              <w:spacing w:before="24" w:after="24" w:line="360" w:lineRule="auto"/>
              <w:jc w:val="center"/>
              <w:rPr>
                <w:rFonts w:ascii="仿宋" w:hAnsi="仿宋" w:eastAsia="仿宋" w:cs="仿宋"/>
                <w:color w:val="auto"/>
                <w:szCs w:val="21"/>
              </w:rPr>
            </w:pPr>
          </w:p>
        </w:tc>
        <w:tc>
          <w:tcPr>
            <w:tcW w:w="1101" w:type="pct"/>
            <w:vAlign w:val="center"/>
          </w:tcPr>
          <w:p>
            <w:pPr>
              <w:spacing w:before="24" w:after="24"/>
              <w:jc w:val="center"/>
              <w:rPr>
                <w:rFonts w:ascii="仿宋" w:hAnsi="仿宋" w:eastAsia="仿宋" w:cs="仿宋"/>
                <w:color w:val="auto"/>
                <w:sz w:val="22"/>
                <w:szCs w:val="21"/>
              </w:rPr>
            </w:pPr>
            <w:r>
              <w:rPr>
                <w:rFonts w:hint="eastAsia" w:ascii="仿宋" w:hAnsi="仿宋" w:eastAsia="仿宋" w:cs="Monaco"/>
                <w:color w:val="auto"/>
                <w:sz w:val="22"/>
                <w:szCs w:val="21"/>
              </w:rPr>
              <w:t>供应商应具有履行合同所必需的设备和专业技术能力</w:t>
            </w:r>
          </w:p>
        </w:tc>
        <w:tc>
          <w:tcPr>
            <w:tcW w:w="2935"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49" w:type="pct"/>
            <w:vMerge w:val="continue"/>
            <w:vAlign w:val="center"/>
          </w:tcPr>
          <w:p>
            <w:pPr>
              <w:spacing w:line="360" w:lineRule="auto"/>
              <w:jc w:val="center"/>
              <w:rPr>
                <w:rFonts w:ascii="仿宋" w:hAnsi="仿宋" w:eastAsia="仿宋" w:cs="仿宋"/>
                <w:color w:val="auto"/>
                <w:szCs w:val="21"/>
              </w:rPr>
            </w:pPr>
          </w:p>
        </w:tc>
        <w:tc>
          <w:tcPr>
            <w:tcW w:w="612" w:type="pct"/>
            <w:vMerge w:val="continue"/>
          </w:tcPr>
          <w:p>
            <w:pPr>
              <w:spacing w:before="24" w:after="24" w:line="360" w:lineRule="auto"/>
              <w:jc w:val="center"/>
              <w:rPr>
                <w:rFonts w:ascii="仿宋" w:hAnsi="仿宋" w:eastAsia="仿宋" w:cs="仿宋"/>
                <w:color w:val="auto"/>
                <w:szCs w:val="21"/>
              </w:rPr>
            </w:pPr>
          </w:p>
        </w:tc>
        <w:tc>
          <w:tcPr>
            <w:tcW w:w="1101" w:type="pct"/>
            <w:vAlign w:val="center"/>
          </w:tcPr>
          <w:p>
            <w:pPr>
              <w:spacing w:before="24" w:after="24"/>
              <w:jc w:val="center"/>
              <w:rPr>
                <w:rFonts w:hint="eastAsia" w:ascii="仿宋" w:hAnsi="仿宋" w:eastAsia="仿宋" w:cs="Cambria Math"/>
                <w:color w:val="auto"/>
                <w:sz w:val="22"/>
                <w:szCs w:val="21"/>
              </w:rPr>
            </w:pPr>
            <w:r>
              <w:rPr>
                <w:rFonts w:hint="eastAsia" w:ascii="仿宋" w:hAnsi="仿宋" w:eastAsia="仿宋" w:cs="Cambria Math"/>
                <w:color w:val="auto"/>
                <w:sz w:val="22"/>
                <w:szCs w:val="21"/>
              </w:rPr>
              <w:t>近三年内</w:t>
            </w:r>
          </w:p>
          <w:p>
            <w:pPr>
              <w:spacing w:before="24" w:after="24"/>
              <w:jc w:val="center"/>
              <w:rPr>
                <w:rFonts w:ascii="仿宋" w:hAnsi="仿宋" w:eastAsia="仿宋" w:cs="仿宋"/>
                <w:color w:val="auto"/>
                <w:sz w:val="22"/>
                <w:szCs w:val="21"/>
              </w:rPr>
            </w:pPr>
            <w:r>
              <w:rPr>
                <w:rFonts w:hint="eastAsia" w:ascii="仿宋" w:hAnsi="仿宋" w:eastAsia="仿宋" w:cs="Cambria Math"/>
                <w:color w:val="auto"/>
                <w:sz w:val="22"/>
                <w:szCs w:val="21"/>
              </w:rPr>
              <w:t>无违法违规记录</w:t>
            </w:r>
          </w:p>
        </w:tc>
        <w:tc>
          <w:tcPr>
            <w:tcW w:w="2935"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49" w:type="pct"/>
            <w:vMerge w:val="continue"/>
            <w:vAlign w:val="center"/>
          </w:tcPr>
          <w:p>
            <w:pPr>
              <w:spacing w:line="360" w:lineRule="auto"/>
              <w:jc w:val="center"/>
              <w:rPr>
                <w:rFonts w:ascii="仿宋" w:hAnsi="仿宋" w:eastAsia="仿宋" w:cs="仿宋"/>
                <w:color w:val="auto"/>
                <w:szCs w:val="21"/>
              </w:rPr>
            </w:pPr>
          </w:p>
        </w:tc>
        <w:tc>
          <w:tcPr>
            <w:tcW w:w="612" w:type="pct"/>
            <w:vMerge w:val="continue"/>
          </w:tcPr>
          <w:p>
            <w:pPr>
              <w:spacing w:before="24" w:after="24" w:line="360" w:lineRule="auto"/>
              <w:jc w:val="center"/>
              <w:rPr>
                <w:rFonts w:ascii="仿宋" w:hAnsi="仿宋" w:eastAsia="仿宋" w:cs="仿宋"/>
                <w:color w:val="auto"/>
                <w:szCs w:val="21"/>
              </w:rPr>
            </w:pPr>
          </w:p>
        </w:tc>
        <w:tc>
          <w:tcPr>
            <w:tcW w:w="1101" w:type="pct"/>
            <w:vAlign w:val="center"/>
          </w:tcPr>
          <w:p>
            <w:pPr>
              <w:spacing w:before="24" w:after="24"/>
              <w:jc w:val="center"/>
              <w:rPr>
                <w:rFonts w:ascii="仿宋" w:hAnsi="仿宋" w:eastAsia="仿宋" w:cs="Cambria Math"/>
                <w:color w:val="auto"/>
                <w:sz w:val="22"/>
                <w:szCs w:val="21"/>
              </w:rPr>
            </w:pPr>
            <w:r>
              <w:rPr>
                <w:rFonts w:hint="eastAsia" w:ascii="仿宋" w:hAnsi="仿宋" w:eastAsia="仿宋" w:cs="Cambria Math"/>
                <w:color w:val="auto"/>
                <w:sz w:val="22"/>
                <w:szCs w:val="21"/>
              </w:rPr>
              <w:t>未被纳入采购人及其所隶属的中国人民保险各级机构的供应商黑名单</w:t>
            </w:r>
          </w:p>
        </w:tc>
        <w:tc>
          <w:tcPr>
            <w:tcW w:w="2935"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349" w:type="pct"/>
            <w:vMerge w:val="continue"/>
            <w:vAlign w:val="center"/>
          </w:tcPr>
          <w:p>
            <w:pPr>
              <w:spacing w:line="360" w:lineRule="auto"/>
              <w:jc w:val="center"/>
              <w:rPr>
                <w:rFonts w:ascii="仿宋" w:hAnsi="仿宋" w:eastAsia="仿宋" w:cs="仿宋"/>
                <w:color w:val="auto"/>
                <w:szCs w:val="21"/>
              </w:rPr>
            </w:pPr>
          </w:p>
        </w:tc>
        <w:tc>
          <w:tcPr>
            <w:tcW w:w="612" w:type="pct"/>
            <w:vMerge w:val="continue"/>
          </w:tcPr>
          <w:p>
            <w:pPr>
              <w:spacing w:before="24" w:after="24" w:line="360" w:lineRule="auto"/>
              <w:jc w:val="center"/>
              <w:rPr>
                <w:rFonts w:ascii="仿宋" w:hAnsi="仿宋" w:eastAsia="仿宋" w:cs="仿宋"/>
                <w:color w:val="auto"/>
                <w:szCs w:val="21"/>
              </w:rPr>
            </w:pPr>
          </w:p>
        </w:tc>
        <w:tc>
          <w:tcPr>
            <w:tcW w:w="1101" w:type="pct"/>
            <w:vAlign w:val="center"/>
          </w:tcPr>
          <w:p>
            <w:pPr>
              <w:spacing w:before="24" w:after="24" w:line="276" w:lineRule="auto"/>
              <w:jc w:val="center"/>
              <w:rPr>
                <w:rFonts w:ascii="仿宋" w:hAnsi="仿宋" w:eastAsia="仿宋" w:cs="Cambria Math"/>
                <w:color w:val="auto"/>
                <w:sz w:val="22"/>
                <w:szCs w:val="21"/>
              </w:rPr>
            </w:pPr>
            <w:r>
              <w:rPr>
                <w:rFonts w:hint="eastAsia" w:ascii="仿宋" w:hAnsi="仿宋" w:eastAsia="仿宋" w:cs="Cambria Math"/>
                <w:color w:val="auto"/>
                <w:sz w:val="22"/>
                <w:szCs w:val="21"/>
              </w:rPr>
              <w:t>控股管理关系</w:t>
            </w:r>
          </w:p>
        </w:tc>
        <w:tc>
          <w:tcPr>
            <w:tcW w:w="2935"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349" w:type="pct"/>
            <w:vMerge w:val="continue"/>
            <w:vAlign w:val="center"/>
          </w:tcPr>
          <w:p>
            <w:pPr>
              <w:spacing w:line="360" w:lineRule="auto"/>
              <w:jc w:val="center"/>
              <w:rPr>
                <w:rFonts w:ascii="仿宋" w:hAnsi="仿宋" w:eastAsia="仿宋" w:cs="仿宋"/>
                <w:color w:val="auto"/>
                <w:szCs w:val="21"/>
              </w:rPr>
            </w:pPr>
          </w:p>
        </w:tc>
        <w:tc>
          <w:tcPr>
            <w:tcW w:w="612" w:type="pct"/>
            <w:vMerge w:val="continue"/>
          </w:tcPr>
          <w:p>
            <w:pPr>
              <w:spacing w:before="24" w:after="24" w:line="360" w:lineRule="auto"/>
              <w:jc w:val="center"/>
              <w:rPr>
                <w:rFonts w:ascii="仿宋" w:hAnsi="仿宋" w:eastAsia="仿宋" w:cs="仿宋"/>
                <w:color w:val="auto"/>
                <w:szCs w:val="21"/>
              </w:rPr>
            </w:pPr>
          </w:p>
        </w:tc>
        <w:tc>
          <w:tcPr>
            <w:tcW w:w="1101" w:type="pct"/>
            <w:vAlign w:val="center"/>
          </w:tcPr>
          <w:p>
            <w:pPr>
              <w:spacing w:before="24" w:after="24" w:line="276" w:lineRule="auto"/>
              <w:jc w:val="center"/>
              <w:rPr>
                <w:rFonts w:ascii="仿宋" w:hAnsi="仿宋" w:eastAsia="仿宋" w:cs="Cambria Math"/>
                <w:color w:val="auto"/>
                <w:sz w:val="22"/>
                <w:szCs w:val="21"/>
              </w:rPr>
            </w:pPr>
            <w:r>
              <w:rPr>
                <w:rFonts w:hint="eastAsia" w:ascii="仿宋" w:hAnsi="仿宋" w:eastAsia="仿宋" w:cs="Cambria Math"/>
                <w:color w:val="auto"/>
                <w:sz w:val="22"/>
                <w:szCs w:val="21"/>
              </w:rPr>
              <w:t>非联合体投标</w:t>
            </w:r>
          </w:p>
        </w:tc>
        <w:tc>
          <w:tcPr>
            <w:tcW w:w="2935"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49" w:type="pct"/>
            <w:vMerge w:val="restart"/>
            <w:vAlign w:val="center"/>
          </w:tcPr>
          <w:p>
            <w:pPr>
              <w:spacing w:line="360" w:lineRule="auto"/>
              <w:jc w:val="center"/>
              <w:rPr>
                <w:rFonts w:ascii="仿宋" w:hAnsi="仿宋" w:eastAsia="仿宋" w:cs="仿宋"/>
                <w:color w:val="auto"/>
                <w:szCs w:val="21"/>
              </w:rPr>
            </w:pPr>
            <w:r>
              <w:rPr>
                <w:rFonts w:ascii="仿宋" w:hAnsi="仿宋" w:eastAsia="仿宋" w:cs="仿宋"/>
                <w:color w:val="auto"/>
                <w:szCs w:val="21"/>
              </w:rPr>
              <w:t>3</w:t>
            </w:r>
          </w:p>
        </w:tc>
        <w:tc>
          <w:tcPr>
            <w:tcW w:w="612" w:type="pct"/>
            <w:vMerge w:val="restart"/>
            <w:vAlign w:val="center"/>
          </w:tcPr>
          <w:p>
            <w:pPr>
              <w:spacing w:before="24" w:after="24" w:line="360" w:lineRule="auto"/>
              <w:jc w:val="center"/>
              <w:rPr>
                <w:rFonts w:hint="eastAsia" w:ascii="仿宋" w:hAnsi="仿宋" w:eastAsia="仿宋" w:cs="仿宋"/>
                <w:color w:val="auto"/>
                <w:szCs w:val="21"/>
              </w:rPr>
            </w:pPr>
            <w:r>
              <w:rPr>
                <w:rFonts w:hint="eastAsia" w:ascii="仿宋" w:hAnsi="仿宋" w:eastAsia="仿宋" w:cs="仿宋"/>
                <w:color w:val="auto"/>
                <w:szCs w:val="21"/>
              </w:rPr>
              <w:t>响应性</w:t>
            </w:r>
          </w:p>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评审标准</w:t>
            </w:r>
          </w:p>
        </w:tc>
        <w:tc>
          <w:tcPr>
            <w:tcW w:w="1101"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响应函</w:t>
            </w:r>
          </w:p>
        </w:tc>
        <w:tc>
          <w:tcPr>
            <w:tcW w:w="2935" w:type="pct"/>
            <w:vAlign w:val="center"/>
          </w:tcPr>
          <w:p>
            <w:pPr>
              <w:spacing w:before="24" w:after="24" w:line="276" w:lineRule="auto"/>
              <w:rPr>
                <w:rFonts w:ascii="仿宋" w:hAnsi="仿宋" w:eastAsia="仿宋" w:cs="仿宋"/>
                <w:color w:val="auto"/>
                <w:szCs w:val="21"/>
              </w:rPr>
            </w:pPr>
            <w:r>
              <w:rPr>
                <w:rFonts w:hint="eastAsia" w:ascii="仿宋" w:hAnsi="仿宋" w:eastAsia="仿宋"/>
                <w:color w:val="auto"/>
                <w:szCs w:val="21"/>
              </w:rPr>
              <w:t>除填写双方名称、项目名称外，未修改原文内容</w:t>
            </w:r>
            <w:r>
              <w:rPr>
                <w:rFonts w:hint="eastAsia" w:ascii="仿宋" w:hAnsi="仿宋" w:eastAsia="仿宋" w:cs="Cambria Math"/>
                <w:color w:val="auto"/>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49" w:type="pct"/>
            <w:vMerge w:val="continue"/>
            <w:vAlign w:val="center"/>
          </w:tcPr>
          <w:p>
            <w:pPr>
              <w:spacing w:line="360" w:lineRule="auto"/>
              <w:jc w:val="center"/>
              <w:rPr>
                <w:rFonts w:ascii="仿宋" w:hAnsi="仿宋" w:eastAsia="仿宋" w:cs="仿宋"/>
                <w:color w:val="auto"/>
                <w:szCs w:val="21"/>
              </w:rPr>
            </w:pPr>
          </w:p>
        </w:tc>
        <w:tc>
          <w:tcPr>
            <w:tcW w:w="612" w:type="pct"/>
            <w:vMerge w:val="continue"/>
            <w:vAlign w:val="center"/>
          </w:tcPr>
          <w:p>
            <w:pPr>
              <w:spacing w:before="24" w:after="24" w:line="360" w:lineRule="auto"/>
              <w:jc w:val="center"/>
              <w:rPr>
                <w:rFonts w:ascii="仿宋" w:hAnsi="仿宋" w:eastAsia="仿宋" w:cs="仿宋"/>
                <w:color w:val="auto"/>
                <w:szCs w:val="21"/>
              </w:rPr>
            </w:pPr>
          </w:p>
        </w:tc>
        <w:tc>
          <w:tcPr>
            <w:tcW w:w="1101" w:type="pct"/>
            <w:vAlign w:val="center"/>
          </w:tcPr>
          <w:p>
            <w:pPr>
              <w:spacing w:before="24" w:after="24" w:line="276" w:lineRule="auto"/>
              <w:jc w:val="center"/>
              <w:rPr>
                <w:rFonts w:hint="eastAsia" w:ascii="仿宋" w:hAnsi="仿宋" w:eastAsia="仿宋" w:cs="宋体"/>
                <w:color w:val="auto"/>
                <w:szCs w:val="21"/>
              </w:rPr>
            </w:pPr>
            <w:r>
              <w:rPr>
                <w:rFonts w:hint="eastAsia" w:ascii="仿宋" w:hAnsi="仿宋" w:eastAsia="仿宋" w:cs="宋体"/>
                <w:color w:val="auto"/>
                <w:szCs w:val="21"/>
              </w:rPr>
              <w:t>供应商行为</w:t>
            </w:r>
          </w:p>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准则承诺书</w:t>
            </w:r>
          </w:p>
        </w:tc>
        <w:tc>
          <w:tcPr>
            <w:tcW w:w="2935" w:type="pct"/>
            <w:vAlign w:val="center"/>
          </w:tcPr>
          <w:p>
            <w:pPr>
              <w:spacing w:before="24" w:after="24" w:line="276" w:lineRule="auto"/>
              <w:rPr>
                <w:rFonts w:ascii="仿宋" w:hAnsi="仿宋" w:eastAsia="仿宋" w:cs="Cambria Math"/>
                <w:color w:val="auto"/>
                <w:szCs w:val="21"/>
              </w:rPr>
            </w:pPr>
            <w:r>
              <w:rPr>
                <w:rFonts w:hint="eastAsia" w:ascii="仿宋" w:hAnsi="仿宋" w:eastAsia="仿宋" w:cs="仿宋"/>
                <w:color w:val="auto"/>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49" w:type="pct"/>
            <w:vMerge w:val="continue"/>
            <w:vAlign w:val="center"/>
          </w:tcPr>
          <w:p>
            <w:pPr>
              <w:spacing w:line="360" w:lineRule="auto"/>
              <w:jc w:val="center"/>
              <w:rPr>
                <w:rFonts w:ascii="仿宋" w:hAnsi="仿宋" w:eastAsia="仿宋" w:cs="仿宋"/>
                <w:color w:val="auto"/>
                <w:szCs w:val="21"/>
              </w:rPr>
            </w:pPr>
          </w:p>
        </w:tc>
        <w:tc>
          <w:tcPr>
            <w:tcW w:w="612" w:type="pct"/>
            <w:vMerge w:val="continue"/>
            <w:vAlign w:val="center"/>
          </w:tcPr>
          <w:p>
            <w:pPr>
              <w:spacing w:before="24" w:after="24" w:line="360" w:lineRule="auto"/>
              <w:jc w:val="center"/>
              <w:rPr>
                <w:rFonts w:ascii="仿宋" w:hAnsi="仿宋" w:eastAsia="仿宋" w:cs="仿宋"/>
                <w:color w:val="auto"/>
                <w:szCs w:val="21"/>
              </w:rPr>
            </w:pPr>
          </w:p>
        </w:tc>
        <w:tc>
          <w:tcPr>
            <w:tcW w:w="1101" w:type="pct"/>
            <w:vAlign w:val="center"/>
          </w:tcPr>
          <w:p>
            <w:pPr>
              <w:spacing w:before="24" w:after="24" w:line="276" w:lineRule="auto"/>
              <w:jc w:val="center"/>
              <w:rPr>
                <w:rFonts w:hint="eastAsia" w:ascii="仿宋" w:hAnsi="仿宋" w:eastAsia="仿宋" w:cs="宋体"/>
                <w:color w:val="auto"/>
                <w:szCs w:val="21"/>
              </w:rPr>
            </w:pPr>
            <w:r>
              <w:rPr>
                <w:rFonts w:hint="eastAsia" w:ascii="仿宋" w:hAnsi="仿宋" w:eastAsia="仿宋" w:cs="宋体"/>
                <w:color w:val="auto"/>
                <w:szCs w:val="21"/>
              </w:rPr>
              <w:t>供应商廉洁诚信</w:t>
            </w:r>
          </w:p>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承诺书</w:t>
            </w:r>
          </w:p>
        </w:tc>
        <w:tc>
          <w:tcPr>
            <w:tcW w:w="2935" w:type="pct"/>
            <w:vAlign w:val="center"/>
          </w:tcPr>
          <w:p>
            <w:pPr>
              <w:spacing w:before="24" w:after="24" w:line="276" w:lineRule="auto"/>
              <w:rPr>
                <w:rFonts w:ascii="仿宋" w:hAnsi="仿宋" w:eastAsia="仿宋" w:cs="Cambria Math"/>
                <w:color w:val="auto"/>
                <w:szCs w:val="21"/>
              </w:rPr>
            </w:pPr>
            <w:r>
              <w:rPr>
                <w:rFonts w:hint="eastAsia" w:ascii="仿宋" w:hAnsi="仿宋" w:eastAsia="仿宋" w:cs="仿宋"/>
                <w:color w:val="auto"/>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49" w:type="pct"/>
            <w:vMerge w:val="continue"/>
            <w:vAlign w:val="center"/>
          </w:tcPr>
          <w:p>
            <w:pPr>
              <w:spacing w:line="360" w:lineRule="auto"/>
              <w:jc w:val="center"/>
              <w:rPr>
                <w:rFonts w:ascii="仿宋" w:hAnsi="仿宋" w:eastAsia="仿宋" w:cs="仿宋"/>
                <w:color w:val="auto"/>
                <w:szCs w:val="21"/>
              </w:rPr>
            </w:pPr>
          </w:p>
        </w:tc>
        <w:tc>
          <w:tcPr>
            <w:tcW w:w="612" w:type="pct"/>
            <w:vMerge w:val="continue"/>
            <w:vAlign w:val="center"/>
          </w:tcPr>
          <w:p>
            <w:pPr>
              <w:spacing w:before="24" w:after="24" w:line="360" w:lineRule="auto"/>
              <w:jc w:val="center"/>
              <w:rPr>
                <w:rFonts w:ascii="仿宋" w:hAnsi="仿宋" w:eastAsia="仿宋" w:cs="仿宋"/>
                <w:color w:val="auto"/>
                <w:szCs w:val="21"/>
              </w:rPr>
            </w:pPr>
          </w:p>
        </w:tc>
        <w:tc>
          <w:tcPr>
            <w:tcW w:w="1101"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Cs w:val="21"/>
              </w:rPr>
              <w:t>供应商偏离应答</w:t>
            </w:r>
          </w:p>
        </w:tc>
        <w:tc>
          <w:tcPr>
            <w:tcW w:w="2935"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 w:val="24"/>
                <w:szCs w:val="21"/>
              </w:rPr>
              <w:t>《供应商须知应答偏离表》、《合同条款应答偏离表》、《采购需求应答偏离表》》进行了符合第二章“供应商须知”的应答</w:t>
            </w:r>
          </w:p>
        </w:tc>
      </w:tr>
    </w:tbl>
    <w:p>
      <w:pPr>
        <w:pStyle w:val="4"/>
        <w:ind w:firstLine="482" w:firstLineChars="200"/>
        <w:jc w:val="left"/>
        <w:rPr>
          <w:rFonts w:ascii="仿宋" w:hAnsi="仿宋" w:eastAsia="仿宋" w:cs="仿宋"/>
          <w:color w:val="auto"/>
          <w:sz w:val="24"/>
          <w:szCs w:val="24"/>
        </w:rPr>
      </w:pPr>
      <w:bookmarkStart w:id="120" w:name="_Toc3182"/>
      <w:bookmarkStart w:id="121" w:name="_Toc25550"/>
      <w:r>
        <w:rPr>
          <w:rFonts w:hint="eastAsia" w:ascii="仿宋" w:hAnsi="仿宋" w:eastAsia="仿宋" w:cs="仿宋"/>
          <w:color w:val="auto"/>
          <w:sz w:val="24"/>
          <w:szCs w:val="24"/>
        </w:rPr>
        <w:t>三、详细评审</w:t>
      </w:r>
      <w:bookmarkEnd w:id="120"/>
      <w:bookmarkEnd w:id="121"/>
    </w:p>
    <w:p>
      <w:pPr>
        <w:pStyle w:val="2"/>
        <w:snapToGrid w:val="0"/>
        <w:spacing w:after="0" w:line="360" w:lineRule="auto"/>
        <w:ind w:left="141" w:right="223" w:firstLine="480"/>
        <w:jc w:val="both"/>
        <w:rPr>
          <w:rFonts w:ascii="仿宋_GB2312" w:eastAsia="仿宋_GB2312"/>
          <w:color w:val="auto"/>
        </w:rPr>
      </w:pPr>
      <w:r>
        <w:rPr>
          <w:rFonts w:hint="eastAsia" w:ascii="仿宋_GB2312" w:eastAsia="仿宋_GB2312"/>
          <w:color w:val="auto"/>
        </w:rPr>
        <w:t>3</w:t>
      </w:r>
      <w:r>
        <w:rPr>
          <w:rFonts w:ascii="仿宋_GB2312" w:eastAsia="仿宋_GB2312"/>
          <w:color w:val="auto"/>
        </w:rPr>
        <w:t>.1</w:t>
      </w:r>
      <w:r>
        <w:rPr>
          <w:rFonts w:hint="eastAsia" w:ascii="仿宋_GB2312" w:eastAsia="仿宋_GB2312"/>
          <w:color w:val="auto"/>
        </w:rPr>
        <w:t>本项目采用综合评分法</w:t>
      </w:r>
    </w:p>
    <w:p>
      <w:pPr>
        <w:pStyle w:val="2"/>
        <w:snapToGrid w:val="0"/>
        <w:spacing w:after="0" w:line="360" w:lineRule="auto"/>
        <w:ind w:left="138" w:right="228" w:firstLine="480"/>
        <w:jc w:val="both"/>
        <w:rPr>
          <w:rFonts w:ascii="仿宋_GB2312" w:eastAsia="仿宋_GB2312"/>
          <w:color w:val="auto"/>
        </w:rPr>
      </w:pPr>
      <w:r>
        <w:rPr>
          <w:rFonts w:ascii="仿宋_GB2312" w:eastAsia="仿宋_GB2312"/>
          <w:color w:val="auto"/>
        </w:rPr>
        <w:t>3.2</w:t>
      </w:r>
      <w:r>
        <w:rPr>
          <w:rFonts w:hint="eastAsia" w:ascii="仿宋_GB2312" w:eastAsia="仿宋_GB2312"/>
          <w:color w:val="auto"/>
        </w:rPr>
        <w:t xml:space="preserve"> 评分明细：</w:t>
      </w:r>
    </w:p>
    <w:p>
      <w:pPr>
        <w:pStyle w:val="2"/>
        <w:snapToGrid w:val="0"/>
        <w:spacing w:after="0" w:line="360" w:lineRule="auto"/>
        <w:ind w:left="138" w:right="228" w:firstLine="480"/>
        <w:jc w:val="both"/>
        <w:rPr>
          <w:rFonts w:ascii="仿宋_GB2312" w:eastAsia="仿宋_GB2312"/>
          <w:color w:val="auto"/>
        </w:rPr>
      </w:pPr>
      <w:r>
        <w:rPr>
          <w:rFonts w:hint="eastAsia" w:ascii="仿宋_GB2312" w:eastAsia="仿宋_GB2312"/>
          <w:color w:val="auto"/>
        </w:rPr>
        <w:t>采购评审标准由项目价格评审</w:t>
      </w:r>
      <w:r>
        <w:rPr>
          <w:rFonts w:hint="eastAsia" w:ascii="仿宋_GB2312" w:eastAsia="仿宋_GB2312"/>
          <w:color w:val="auto"/>
          <w:lang w:eastAsia="zh-CN"/>
        </w:rPr>
        <w:t>、</w:t>
      </w:r>
      <w:r>
        <w:rPr>
          <w:rFonts w:hint="eastAsia" w:ascii="仿宋_GB2312" w:eastAsia="仿宋_GB2312"/>
          <w:color w:val="auto"/>
          <w:lang w:val="en-US" w:eastAsia="zh-CN"/>
        </w:rPr>
        <w:t>服务评审、商务评审三</w:t>
      </w:r>
      <w:r>
        <w:rPr>
          <w:rFonts w:hint="eastAsia" w:ascii="仿宋_GB2312" w:eastAsia="仿宋_GB2312"/>
          <w:color w:val="auto"/>
        </w:rPr>
        <w:t>项标准构成，评审专家将依据比选邀请文件要求，结合项目最终报价表、技术方案、服务方案等情况进行评分。各有效供应商的综合得分为各评审专家所评分值的算术平均值，若总得分相同，以价格得分高者排序在先。将把合同授予被确定为实质上响应比选文件要求且评标得分最高的供应商。</w:t>
      </w:r>
    </w:p>
    <w:p>
      <w:pPr>
        <w:pStyle w:val="2"/>
        <w:snapToGrid w:val="0"/>
        <w:spacing w:after="0" w:line="360" w:lineRule="auto"/>
        <w:ind w:left="141" w:right="223" w:firstLine="480"/>
        <w:jc w:val="both"/>
        <w:rPr>
          <w:rFonts w:ascii="仿宋_GB2312" w:eastAsia="仿宋_GB2312"/>
          <w:color w:val="auto"/>
        </w:rPr>
      </w:pPr>
      <w:r>
        <w:rPr>
          <w:rFonts w:hint="eastAsia" w:ascii="仿宋_GB2312" w:eastAsia="仿宋_GB2312"/>
          <w:color w:val="auto"/>
        </w:rPr>
        <w:t>评审标准如下：</w:t>
      </w:r>
    </w:p>
    <w:tbl>
      <w:tblPr>
        <w:tblStyle w:val="29"/>
        <w:tblW w:w="8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6707"/>
        <w:gridCol w:w="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1340" w:type="dxa"/>
            <w:vAlign w:val="center"/>
          </w:tcPr>
          <w:p>
            <w:pPr>
              <w:spacing w:line="320" w:lineRule="exact"/>
              <w:jc w:val="center"/>
              <w:rPr>
                <w:rFonts w:hint="eastAsia" w:ascii="仿宋" w:hAnsi="仿宋" w:eastAsia="仿宋" w:cs="仿宋"/>
                <w:color w:val="auto"/>
                <w:szCs w:val="32"/>
              </w:rPr>
            </w:pPr>
            <w:r>
              <w:rPr>
                <w:rFonts w:hint="eastAsia" w:ascii="仿宋" w:hAnsi="仿宋" w:eastAsia="仿宋" w:cs="仿宋"/>
                <w:color w:val="auto"/>
                <w:szCs w:val="32"/>
              </w:rPr>
              <w:t>项 目</w:t>
            </w:r>
          </w:p>
        </w:tc>
        <w:tc>
          <w:tcPr>
            <w:tcW w:w="6707" w:type="dxa"/>
            <w:vAlign w:val="center"/>
          </w:tcPr>
          <w:p>
            <w:pPr>
              <w:spacing w:line="320" w:lineRule="exact"/>
              <w:jc w:val="center"/>
              <w:rPr>
                <w:rFonts w:hint="eastAsia" w:ascii="仿宋" w:hAnsi="仿宋" w:eastAsia="仿宋" w:cs="仿宋"/>
                <w:color w:val="auto"/>
                <w:szCs w:val="32"/>
              </w:rPr>
            </w:pPr>
            <w:r>
              <w:rPr>
                <w:rFonts w:hint="eastAsia" w:ascii="仿宋" w:hAnsi="仿宋" w:eastAsia="仿宋" w:cs="仿宋"/>
                <w:color w:val="auto"/>
                <w:szCs w:val="32"/>
              </w:rPr>
              <w:t>评分内容</w:t>
            </w:r>
          </w:p>
        </w:tc>
        <w:tc>
          <w:tcPr>
            <w:tcW w:w="835" w:type="dxa"/>
            <w:vAlign w:val="center"/>
          </w:tcPr>
          <w:p>
            <w:pPr>
              <w:spacing w:line="320" w:lineRule="exact"/>
              <w:jc w:val="center"/>
              <w:rPr>
                <w:rFonts w:hint="eastAsia" w:ascii="仿宋" w:hAnsi="仿宋" w:eastAsia="仿宋" w:cs="仿宋"/>
                <w:color w:val="auto"/>
                <w:szCs w:val="32"/>
              </w:rPr>
            </w:pPr>
            <w:r>
              <w:rPr>
                <w:rFonts w:hint="eastAsia" w:ascii="仿宋" w:hAnsi="仿宋" w:eastAsia="仿宋" w:cs="仿宋"/>
                <w:color w:val="auto"/>
                <w:szCs w:val="32"/>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3"/>
            <w:vAlign w:val="center"/>
          </w:tcPr>
          <w:p>
            <w:pPr>
              <w:spacing w:line="320" w:lineRule="exact"/>
              <w:rPr>
                <w:rFonts w:hint="eastAsia" w:ascii="仿宋" w:hAnsi="仿宋" w:eastAsia="仿宋" w:cs="仿宋"/>
                <w:color w:val="auto"/>
                <w:szCs w:val="32"/>
              </w:rPr>
            </w:pPr>
            <w:r>
              <w:rPr>
                <w:rFonts w:hint="eastAsia" w:ascii="仿宋" w:hAnsi="仿宋" w:eastAsia="仿宋" w:cs="仿宋"/>
                <w:color w:val="auto"/>
                <w:szCs w:val="32"/>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Align w:val="center"/>
          </w:tcPr>
          <w:p>
            <w:pPr>
              <w:spacing w:line="320" w:lineRule="exact"/>
              <w:jc w:val="center"/>
              <w:rPr>
                <w:rFonts w:hint="eastAsia" w:ascii="仿宋" w:hAnsi="仿宋" w:eastAsia="仿宋" w:cs="仿宋"/>
                <w:color w:val="auto"/>
                <w:szCs w:val="32"/>
              </w:rPr>
            </w:pPr>
            <w:r>
              <w:rPr>
                <w:rFonts w:hint="eastAsia" w:ascii="仿宋" w:hAnsi="仿宋" w:eastAsia="仿宋" w:cs="仿宋"/>
                <w:color w:val="auto"/>
                <w:szCs w:val="32"/>
              </w:rPr>
              <w:t>价格得分（60）</w:t>
            </w:r>
          </w:p>
        </w:tc>
        <w:tc>
          <w:tcPr>
            <w:tcW w:w="6707" w:type="dxa"/>
            <w:vAlign w:val="center"/>
          </w:tcPr>
          <w:p>
            <w:pPr>
              <w:spacing w:line="320" w:lineRule="exact"/>
              <w:rPr>
                <w:rFonts w:hint="eastAsia" w:ascii="仿宋" w:hAnsi="仿宋" w:eastAsia="仿宋" w:cs="仿宋"/>
                <w:color w:val="auto"/>
                <w:szCs w:val="32"/>
              </w:rPr>
            </w:pPr>
            <w:r>
              <w:rPr>
                <w:rFonts w:hint="eastAsia" w:ascii="仿宋" w:hAnsi="仿宋" w:eastAsia="仿宋" w:cs="仿宋"/>
                <w:color w:val="auto"/>
                <w:szCs w:val="32"/>
              </w:rPr>
              <w:t>评分法中的价格分采用低价优先法计算，即满足</w:t>
            </w:r>
            <w:r>
              <w:rPr>
                <w:rFonts w:hint="eastAsia" w:ascii="仿宋" w:hAnsi="仿宋" w:eastAsia="仿宋" w:cs="仿宋"/>
                <w:color w:val="auto"/>
                <w:szCs w:val="32"/>
                <w:lang w:val="en-US" w:eastAsia="zh-CN"/>
              </w:rPr>
              <w:t>比选</w:t>
            </w:r>
            <w:r>
              <w:rPr>
                <w:rFonts w:hint="eastAsia" w:ascii="仿宋" w:hAnsi="仿宋" w:eastAsia="仿宋" w:cs="仿宋"/>
                <w:color w:val="auto"/>
                <w:szCs w:val="32"/>
              </w:rPr>
              <w:t>文件要求且最低的评审价格为评标基准价，等于评标基准价得60分。其他供应商的价格分统一按照下列公式计算，精确到小数点后两位：</w:t>
            </w:r>
          </w:p>
          <w:p>
            <w:pPr>
              <w:spacing w:line="320" w:lineRule="exact"/>
              <w:rPr>
                <w:rFonts w:hint="eastAsia" w:ascii="仿宋" w:hAnsi="仿宋" w:eastAsia="仿宋" w:cs="仿宋"/>
                <w:color w:val="auto"/>
                <w:szCs w:val="32"/>
              </w:rPr>
            </w:pPr>
            <w:r>
              <w:rPr>
                <w:rFonts w:hint="eastAsia" w:ascii="仿宋" w:hAnsi="仿宋" w:eastAsia="仿宋" w:cs="仿宋"/>
                <w:color w:val="auto"/>
                <w:szCs w:val="32"/>
              </w:rPr>
              <w:t>供应商报价得分＝（评标基准价/评审价格）×60；</w:t>
            </w:r>
          </w:p>
          <w:p>
            <w:pPr>
              <w:spacing w:line="320" w:lineRule="exact"/>
              <w:rPr>
                <w:rFonts w:hint="eastAsia" w:ascii="仿宋" w:hAnsi="仿宋" w:eastAsia="仿宋" w:cs="仿宋"/>
                <w:color w:val="auto"/>
                <w:szCs w:val="32"/>
              </w:rPr>
            </w:pPr>
            <w:r>
              <w:rPr>
                <w:rFonts w:hint="eastAsia" w:ascii="仿宋" w:hAnsi="仿宋" w:eastAsia="仿宋" w:cs="仿宋"/>
                <w:color w:val="auto"/>
                <w:szCs w:val="32"/>
              </w:rPr>
              <w:t>评审价格按照如下方式定义：</w:t>
            </w:r>
          </w:p>
          <w:p>
            <w:pPr>
              <w:spacing w:line="320" w:lineRule="exact"/>
              <w:rPr>
                <w:rFonts w:hint="eastAsia" w:ascii="仿宋" w:hAnsi="仿宋" w:eastAsia="仿宋" w:cs="仿宋"/>
                <w:color w:val="auto"/>
                <w:szCs w:val="32"/>
              </w:rPr>
            </w:pPr>
            <w:r>
              <w:rPr>
                <w:rFonts w:hint="eastAsia" w:ascii="仿宋" w:hAnsi="仿宋" w:eastAsia="仿宋" w:cs="仿宋"/>
                <w:color w:val="auto"/>
                <w:szCs w:val="32"/>
              </w:rPr>
              <w:t>对于承诺提供增值税专用发票的供应商，评审价格即不含税的投标总价净价；</w:t>
            </w:r>
          </w:p>
          <w:p>
            <w:pPr>
              <w:spacing w:line="320" w:lineRule="exact"/>
              <w:rPr>
                <w:rFonts w:hint="eastAsia" w:ascii="仿宋" w:hAnsi="仿宋" w:eastAsia="仿宋" w:cs="仿宋"/>
                <w:color w:val="auto"/>
                <w:szCs w:val="32"/>
              </w:rPr>
            </w:pPr>
            <w:r>
              <w:rPr>
                <w:rFonts w:hint="eastAsia" w:ascii="仿宋" w:hAnsi="仿宋" w:eastAsia="仿宋" w:cs="仿宋"/>
                <w:color w:val="auto"/>
                <w:szCs w:val="32"/>
              </w:rPr>
              <w:t>对于不能提供增值税专用发票的供应商，评审价格是含税的投标总价。</w:t>
            </w:r>
          </w:p>
        </w:tc>
        <w:tc>
          <w:tcPr>
            <w:tcW w:w="835" w:type="dxa"/>
            <w:vAlign w:val="center"/>
          </w:tcPr>
          <w:p>
            <w:pPr>
              <w:spacing w:line="320" w:lineRule="exact"/>
              <w:jc w:val="center"/>
              <w:rPr>
                <w:rFonts w:hint="eastAsia" w:ascii="仿宋" w:hAnsi="仿宋" w:eastAsia="仿宋" w:cs="仿宋"/>
                <w:color w:val="auto"/>
                <w:szCs w:val="32"/>
              </w:rPr>
            </w:pPr>
            <w:r>
              <w:rPr>
                <w:rFonts w:hint="eastAsia" w:ascii="仿宋" w:hAnsi="仿宋" w:eastAsia="仿宋" w:cs="仿宋"/>
                <w:color w:val="auto"/>
                <w:szCs w:val="32"/>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3"/>
            <w:vAlign w:val="center"/>
          </w:tcPr>
          <w:p>
            <w:pPr>
              <w:spacing w:line="320" w:lineRule="exact"/>
              <w:rPr>
                <w:rFonts w:hint="eastAsia" w:ascii="仿宋" w:hAnsi="仿宋" w:eastAsia="仿宋" w:cs="仿宋"/>
                <w:color w:val="auto"/>
                <w:szCs w:val="32"/>
              </w:rPr>
            </w:pPr>
            <w:r>
              <w:rPr>
                <w:rFonts w:hint="eastAsia" w:ascii="仿宋" w:hAnsi="仿宋" w:eastAsia="仿宋" w:cs="仿宋"/>
                <w:color w:val="auto"/>
                <w:szCs w:val="32"/>
              </w:rPr>
              <w:t>二、</w:t>
            </w:r>
            <w:r>
              <w:rPr>
                <w:rFonts w:hint="eastAsia" w:ascii="仿宋" w:hAnsi="仿宋" w:eastAsia="仿宋" w:cs="仿宋"/>
                <w:color w:val="auto"/>
                <w:szCs w:val="32"/>
                <w:lang w:val="en-US" w:eastAsia="zh-CN"/>
              </w:rPr>
              <w:t>服务</w:t>
            </w:r>
            <w:r>
              <w:rPr>
                <w:rFonts w:hint="eastAsia" w:ascii="仿宋" w:hAnsi="仿宋" w:eastAsia="仿宋" w:cs="仿宋"/>
                <w:color w:val="auto"/>
                <w:szCs w:val="32"/>
              </w:rPr>
              <w:t>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1" w:hRule="atLeast"/>
          <w:jc w:val="center"/>
        </w:trPr>
        <w:tc>
          <w:tcPr>
            <w:tcW w:w="1340" w:type="dxa"/>
            <w:shd w:val="clear" w:color="auto" w:fill="auto"/>
            <w:vAlign w:val="center"/>
          </w:tcPr>
          <w:p>
            <w:pPr>
              <w:snapToGrid w:val="0"/>
              <w:spacing w:line="320" w:lineRule="exact"/>
              <w:jc w:val="center"/>
              <w:rPr>
                <w:rFonts w:hint="eastAsia" w:ascii="仿宋" w:hAnsi="仿宋" w:eastAsia="仿宋" w:cs="仿宋"/>
                <w:color w:val="auto"/>
                <w:szCs w:val="32"/>
                <w:lang w:val="en-US" w:eastAsia="zh-CN"/>
              </w:rPr>
            </w:pPr>
            <w:r>
              <w:rPr>
                <w:rFonts w:hint="eastAsia" w:ascii="仿宋" w:hAnsi="仿宋" w:eastAsia="仿宋" w:cs="仿宋"/>
                <w:color w:val="auto"/>
                <w:szCs w:val="32"/>
                <w:lang w:val="en-US" w:eastAsia="zh-CN"/>
              </w:rPr>
              <w:t>服务团队</w:t>
            </w:r>
          </w:p>
          <w:p>
            <w:pPr>
              <w:snapToGrid w:val="0"/>
              <w:spacing w:line="320" w:lineRule="exact"/>
              <w:jc w:val="center"/>
              <w:rPr>
                <w:rFonts w:hint="eastAsia" w:ascii="仿宋" w:hAnsi="仿宋" w:eastAsia="仿宋" w:cs="仿宋"/>
                <w:color w:val="auto"/>
                <w:szCs w:val="32"/>
              </w:rPr>
            </w:pPr>
            <w:r>
              <w:rPr>
                <w:rFonts w:hint="eastAsia" w:ascii="仿宋" w:hAnsi="仿宋" w:eastAsia="仿宋" w:cs="仿宋"/>
                <w:color w:val="auto"/>
                <w:szCs w:val="32"/>
              </w:rPr>
              <w:t>（</w:t>
            </w:r>
            <w:r>
              <w:rPr>
                <w:rFonts w:hint="eastAsia" w:ascii="仿宋" w:hAnsi="仿宋" w:eastAsia="仿宋" w:cs="仿宋"/>
                <w:color w:val="auto"/>
                <w:szCs w:val="32"/>
                <w:lang w:val="en-US" w:eastAsia="zh-CN"/>
              </w:rPr>
              <w:t>1</w:t>
            </w:r>
            <w:r>
              <w:rPr>
                <w:rFonts w:hint="eastAsia" w:ascii="仿宋" w:hAnsi="仿宋" w:eastAsia="仿宋" w:cs="仿宋"/>
                <w:color w:val="auto"/>
                <w:szCs w:val="32"/>
              </w:rPr>
              <w:t>0）</w:t>
            </w:r>
          </w:p>
        </w:tc>
        <w:tc>
          <w:tcPr>
            <w:tcW w:w="6707"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根据供应商提供的项目服务小组的人员数量及岗位设置，对人员配置进行评分，供应商未提供则此项不得分。</w:t>
            </w:r>
          </w:p>
          <w:p>
            <w:pPr>
              <w:keepNext w:val="0"/>
              <w:keepLines w:val="0"/>
              <w:widowControl/>
              <w:suppressLineNumbers w:val="0"/>
              <w:jc w:val="left"/>
              <w:textAlignment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1.团队人员配备、职责分工模糊不足，团队人员的工作经验、技术能力能满足项目少部分要求，得0（含）-4分（含）；</w:t>
            </w:r>
          </w:p>
          <w:p>
            <w:pPr>
              <w:keepNext w:val="0"/>
              <w:keepLines w:val="0"/>
              <w:widowControl/>
              <w:suppressLineNumbers w:val="0"/>
              <w:jc w:val="left"/>
              <w:textAlignment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2.团队人员配备、职责分工较合理，团队人员的工作经验、技术能力能满足项目大部分要求，得4</w:t>
            </w:r>
            <w:r>
              <w:rPr>
                <w:rFonts w:hint="eastAsia" w:ascii="仿宋" w:hAnsi="仿宋" w:eastAsia="仿宋" w:cs="仿宋"/>
                <w:i w:val="0"/>
                <w:iCs/>
                <w:color w:val="auto"/>
                <w:sz w:val="24"/>
                <w:szCs w:val="24"/>
                <w:lang w:val="en-US" w:eastAsia="zh-CN"/>
              </w:rPr>
              <w:t>（不含）</w:t>
            </w:r>
            <w:r>
              <w:rPr>
                <w:rFonts w:hint="eastAsia" w:ascii="仿宋" w:hAnsi="仿宋" w:eastAsia="仿宋" w:cs="仿宋"/>
                <w:b w:val="0"/>
                <w:bCs w:val="0"/>
                <w:color w:val="auto"/>
                <w:sz w:val="24"/>
                <w:szCs w:val="24"/>
                <w:lang w:val="en-US" w:eastAsia="zh-CN"/>
              </w:rPr>
              <w:t>-8分（含）；</w:t>
            </w:r>
          </w:p>
          <w:p>
            <w:pPr>
              <w:spacing w:line="320" w:lineRule="exact"/>
              <w:rPr>
                <w:rFonts w:hint="eastAsia" w:ascii="仿宋" w:hAnsi="仿宋" w:eastAsia="仿宋" w:cs="仿宋"/>
                <w:color w:val="auto"/>
                <w:szCs w:val="32"/>
              </w:rPr>
            </w:pPr>
            <w:r>
              <w:rPr>
                <w:rFonts w:hint="eastAsia" w:ascii="仿宋" w:hAnsi="仿宋" w:eastAsia="仿宋" w:cs="仿宋"/>
                <w:b w:val="0"/>
                <w:bCs w:val="0"/>
                <w:color w:val="auto"/>
                <w:sz w:val="24"/>
                <w:szCs w:val="24"/>
                <w:lang w:val="en-US" w:eastAsia="zh-CN"/>
              </w:rPr>
              <w:t>3.团队人员配备、职责分工合理，团队人员的工作经验、技术能力能完全满足项目要求，得8</w:t>
            </w:r>
            <w:r>
              <w:rPr>
                <w:rFonts w:hint="eastAsia" w:ascii="仿宋" w:hAnsi="仿宋" w:eastAsia="仿宋" w:cs="仿宋"/>
                <w:i w:val="0"/>
                <w:iCs/>
                <w:color w:val="auto"/>
                <w:sz w:val="24"/>
                <w:szCs w:val="24"/>
                <w:lang w:val="en-US" w:eastAsia="zh-CN"/>
              </w:rPr>
              <w:t>（不含）</w:t>
            </w:r>
            <w:r>
              <w:rPr>
                <w:rFonts w:hint="eastAsia" w:ascii="仿宋" w:hAnsi="仿宋" w:eastAsia="仿宋" w:cs="仿宋"/>
                <w:b w:val="0"/>
                <w:bCs w:val="0"/>
                <w:color w:val="auto"/>
                <w:sz w:val="24"/>
                <w:szCs w:val="24"/>
                <w:lang w:val="en-US" w:eastAsia="zh-CN"/>
              </w:rPr>
              <w:t>-10分（含）。</w:t>
            </w:r>
          </w:p>
        </w:tc>
        <w:tc>
          <w:tcPr>
            <w:tcW w:w="835" w:type="dxa"/>
            <w:vAlign w:val="center"/>
          </w:tcPr>
          <w:p>
            <w:pPr>
              <w:snapToGrid w:val="0"/>
              <w:spacing w:line="320" w:lineRule="exact"/>
              <w:jc w:val="center"/>
              <w:rPr>
                <w:rFonts w:hint="eastAsia" w:ascii="仿宋" w:hAnsi="仿宋" w:eastAsia="仿宋" w:cs="仿宋"/>
                <w:color w:val="auto"/>
                <w:szCs w:val="32"/>
              </w:rPr>
            </w:pPr>
            <w:r>
              <w:rPr>
                <w:rFonts w:hint="eastAsia" w:ascii="仿宋" w:hAnsi="仿宋" w:eastAsia="仿宋" w:cs="仿宋"/>
                <w:color w:val="auto"/>
                <w:szCs w:val="3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1" w:hRule="atLeast"/>
          <w:jc w:val="center"/>
        </w:trPr>
        <w:tc>
          <w:tcPr>
            <w:tcW w:w="1340" w:type="dxa"/>
            <w:shd w:val="clear" w:color="auto" w:fill="auto"/>
            <w:vAlign w:val="center"/>
          </w:tcPr>
          <w:p>
            <w:pPr>
              <w:snapToGrid w:val="0"/>
              <w:spacing w:line="320" w:lineRule="exact"/>
              <w:jc w:val="center"/>
              <w:rPr>
                <w:rFonts w:hint="default" w:ascii="仿宋" w:hAnsi="仿宋" w:eastAsia="仿宋" w:cs="仿宋"/>
                <w:color w:val="auto"/>
                <w:szCs w:val="32"/>
                <w:lang w:val="en-US" w:eastAsia="zh-CN"/>
              </w:rPr>
            </w:pPr>
            <w:r>
              <w:rPr>
                <w:rFonts w:hint="eastAsia" w:ascii="仿宋" w:hAnsi="仿宋" w:eastAsia="仿宋" w:cs="仿宋"/>
                <w:color w:val="auto"/>
                <w:szCs w:val="32"/>
                <w:lang w:val="en-US" w:eastAsia="zh-CN"/>
              </w:rPr>
              <w:t>服务方案</w:t>
            </w:r>
            <w:r>
              <w:rPr>
                <w:rFonts w:hint="eastAsia" w:ascii="仿宋" w:hAnsi="仿宋" w:eastAsia="仿宋" w:cs="仿宋"/>
                <w:color w:val="auto"/>
                <w:szCs w:val="32"/>
              </w:rPr>
              <w:t>（</w:t>
            </w:r>
            <w:r>
              <w:rPr>
                <w:rFonts w:hint="eastAsia" w:ascii="仿宋" w:hAnsi="仿宋" w:eastAsia="仿宋" w:cs="仿宋"/>
                <w:color w:val="auto"/>
                <w:szCs w:val="32"/>
                <w:lang w:val="en-US" w:eastAsia="zh-CN"/>
              </w:rPr>
              <w:t>1</w:t>
            </w:r>
            <w:r>
              <w:rPr>
                <w:rFonts w:hint="eastAsia" w:ascii="仿宋" w:hAnsi="仿宋" w:eastAsia="仿宋" w:cs="仿宋"/>
                <w:color w:val="auto"/>
                <w:szCs w:val="32"/>
              </w:rPr>
              <w:t>0）</w:t>
            </w:r>
          </w:p>
        </w:tc>
        <w:tc>
          <w:tcPr>
            <w:tcW w:w="6707" w:type="dxa"/>
            <w:vAlign w:val="center"/>
          </w:tcPr>
          <w:p>
            <w:pPr>
              <w:spacing w:line="320" w:lineRule="exact"/>
              <w:rPr>
                <w:rFonts w:hint="eastAsia" w:ascii="仿宋" w:hAnsi="仿宋" w:eastAsia="仿宋" w:cs="仿宋"/>
                <w:color w:val="auto"/>
                <w:szCs w:val="32"/>
              </w:rPr>
            </w:pPr>
            <w:r>
              <w:rPr>
                <w:rFonts w:hint="eastAsia" w:ascii="仿宋" w:hAnsi="仿宋" w:eastAsia="仿宋" w:cs="仿宋"/>
                <w:color w:val="auto"/>
                <w:sz w:val="24"/>
                <w:szCs w:val="24"/>
                <w:lang w:val="en-US" w:eastAsia="zh-CN" w:bidi="ar-SA"/>
              </w:rPr>
              <w:t>根据供应商提供的宣传方案、流程节点、实施计划等，对服务方案进行评分，</w:t>
            </w:r>
            <w:r>
              <w:rPr>
                <w:rFonts w:hint="eastAsia" w:ascii="仿宋" w:hAnsi="仿宋" w:eastAsia="仿宋" w:cs="仿宋"/>
                <w:i w:val="0"/>
                <w:iCs/>
                <w:color w:val="000000" w:themeColor="text1"/>
                <w:sz w:val="24"/>
                <w:szCs w:val="24"/>
                <w:highlight w:val="none"/>
                <w:lang w:val="en-US" w:eastAsia="zh-CN"/>
                <w14:textFill>
                  <w14:solidFill>
                    <w14:schemeClr w14:val="tx1"/>
                  </w14:solidFill>
                </w14:textFill>
              </w:rPr>
              <w:t>供应商未提供则此项不得分。</w:t>
            </w:r>
            <w:r>
              <w:rPr>
                <w:rFonts w:hint="eastAsia" w:ascii="仿宋" w:hAnsi="仿宋" w:eastAsia="仿宋" w:cs="仿宋"/>
                <w:color w:val="auto"/>
                <w:sz w:val="24"/>
                <w:szCs w:val="24"/>
                <w:lang w:val="en-US" w:eastAsia="zh-CN" w:bidi="ar-SA"/>
              </w:rPr>
              <w:br w:type="textWrapping"/>
            </w:r>
            <w:r>
              <w:rPr>
                <w:rFonts w:hint="eastAsia" w:ascii="仿宋" w:hAnsi="仿宋" w:eastAsia="仿宋" w:cs="仿宋"/>
                <w:color w:val="auto"/>
                <w:sz w:val="24"/>
                <w:szCs w:val="24"/>
                <w:lang w:val="en-US" w:eastAsia="zh-CN" w:bidi="ar-SA"/>
              </w:rPr>
              <w:t>1.服务方案全面、针对性一般、可行性低，得0（含）-4分（含）；</w:t>
            </w:r>
            <w:r>
              <w:rPr>
                <w:rFonts w:hint="eastAsia" w:ascii="仿宋" w:hAnsi="仿宋" w:eastAsia="仿宋" w:cs="仿宋"/>
                <w:color w:val="auto"/>
                <w:sz w:val="24"/>
                <w:szCs w:val="24"/>
                <w:lang w:val="en-US" w:eastAsia="zh-CN" w:bidi="ar-SA"/>
              </w:rPr>
              <w:br w:type="textWrapping"/>
            </w:r>
            <w:r>
              <w:rPr>
                <w:rFonts w:hint="eastAsia" w:ascii="仿宋" w:hAnsi="仿宋" w:eastAsia="仿宋" w:cs="仿宋"/>
                <w:color w:val="auto"/>
                <w:sz w:val="24"/>
                <w:szCs w:val="24"/>
                <w:lang w:val="en-US" w:eastAsia="zh-CN" w:bidi="ar-SA"/>
              </w:rPr>
              <w:t>2.服务方案较全面、较有针对性、可行性较高，得4</w:t>
            </w:r>
            <w:r>
              <w:rPr>
                <w:rFonts w:hint="eastAsia" w:ascii="仿宋" w:hAnsi="仿宋" w:eastAsia="仿宋" w:cs="仿宋"/>
                <w:i w:val="0"/>
                <w:iCs/>
                <w:color w:val="auto"/>
                <w:sz w:val="24"/>
                <w:szCs w:val="24"/>
                <w:lang w:val="en-US" w:eastAsia="zh-CN"/>
              </w:rPr>
              <w:t>（不含）</w:t>
            </w:r>
            <w:r>
              <w:rPr>
                <w:rFonts w:hint="eastAsia" w:ascii="仿宋" w:hAnsi="仿宋" w:eastAsia="仿宋" w:cs="仿宋"/>
                <w:color w:val="auto"/>
                <w:sz w:val="24"/>
                <w:szCs w:val="24"/>
                <w:lang w:val="en-US" w:eastAsia="zh-CN" w:bidi="ar-SA"/>
              </w:rPr>
              <w:t>-8分（含）；</w:t>
            </w:r>
            <w:r>
              <w:rPr>
                <w:rFonts w:hint="eastAsia" w:ascii="仿宋" w:hAnsi="仿宋" w:eastAsia="仿宋" w:cs="仿宋"/>
                <w:color w:val="auto"/>
                <w:sz w:val="24"/>
                <w:szCs w:val="24"/>
                <w:lang w:val="en-US" w:eastAsia="zh-CN" w:bidi="ar-SA"/>
              </w:rPr>
              <w:br w:type="textWrapping"/>
            </w:r>
            <w:r>
              <w:rPr>
                <w:rFonts w:hint="eastAsia" w:ascii="仿宋" w:hAnsi="仿宋" w:eastAsia="仿宋" w:cs="仿宋"/>
                <w:color w:val="auto"/>
                <w:sz w:val="24"/>
                <w:szCs w:val="24"/>
                <w:lang w:val="en-US" w:eastAsia="zh-CN" w:bidi="ar-SA"/>
              </w:rPr>
              <w:t>3.服务方案全面、有针对性、可行性高，得8</w:t>
            </w:r>
            <w:r>
              <w:rPr>
                <w:rFonts w:hint="eastAsia" w:ascii="仿宋" w:hAnsi="仿宋" w:eastAsia="仿宋" w:cs="仿宋"/>
                <w:i w:val="0"/>
                <w:iCs/>
                <w:color w:val="auto"/>
                <w:sz w:val="24"/>
                <w:szCs w:val="24"/>
                <w:lang w:val="en-US" w:eastAsia="zh-CN"/>
              </w:rPr>
              <w:t>（不含）</w:t>
            </w:r>
            <w:r>
              <w:rPr>
                <w:rFonts w:hint="eastAsia" w:ascii="仿宋" w:hAnsi="仿宋" w:eastAsia="仿宋" w:cs="仿宋"/>
                <w:color w:val="auto"/>
                <w:sz w:val="24"/>
                <w:szCs w:val="24"/>
                <w:lang w:val="en-US" w:eastAsia="zh-CN" w:bidi="ar-SA"/>
              </w:rPr>
              <w:t>-10分（含）。</w:t>
            </w:r>
          </w:p>
        </w:tc>
        <w:tc>
          <w:tcPr>
            <w:tcW w:w="835" w:type="dxa"/>
            <w:vAlign w:val="center"/>
          </w:tcPr>
          <w:p>
            <w:pPr>
              <w:snapToGrid w:val="0"/>
              <w:spacing w:line="320" w:lineRule="exact"/>
              <w:jc w:val="center"/>
              <w:rPr>
                <w:rFonts w:hint="eastAsia" w:ascii="仿宋" w:hAnsi="仿宋" w:eastAsia="仿宋" w:cs="仿宋"/>
                <w:color w:val="auto"/>
                <w:szCs w:val="32"/>
              </w:rPr>
            </w:pPr>
            <w:r>
              <w:rPr>
                <w:rFonts w:hint="eastAsia" w:ascii="仿宋" w:hAnsi="仿宋" w:eastAsia="仿宋" w:cs="仿宋"/>
                <w:color w:val="auto"/>
                <w:szCs w:val="3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40" w:type="dxa"/>
            <w:shd w:val="clear" w:color="auto" w:fill="auto"/>
            <w:vAlign w:val="center"/>
          </w:tcPr>
          <w:p>
            <w:pPr>
              <w:snapToGrid w:val="0"/>
              <w:spacing w:line="320" w:lineRule="exact"/>
              <w:jc w:val="center"/>
              <w:rPr>
                <w:rFonts w:hint="eastAsia" w:ascii="仿宋" w:hAnsi="仿宋" w:eastAsia="仿宋" w:cs="仿宋"/>
                <w:color w:val="auto"/>
                <w:szCs w:val="32"/>
              </w:rPr>
            </w:pPr>
            <w:r>
              <w:rPr>
                <w:rFonts w:hint="eastAsia" w:ascii="仿宋" w:hAnsi="仿宋" w:eastAsia="仿宋" w:cs="仿宋"/>
                <w:color w:val="auto"/>
                <w:szCs w:val="32"/>
                <w:lang w:val="en-US" w:eastAsia="zh-CN"/>
              </w:rPr>
              <w:t>售后服务</w:t>
            </w:r>
            <w:r>
              <w:rPr>
                <w:rFonts w:hint="eastAsia" w:ascii="仿宋" w:hAnsi="仿宋" w:eastAsia="仿宋" w:cs="仿宋"/>
                <w:color w:val="auto"/>
                <w:szCs w:val="32"/>
              </w:rPr>
              <w:t>（</w:t>
            </w:r>
            <w:r>
              <w:rPr>
                <w:rFonts w:hint="eastAsia" w:ascii="仿宋" w:hAnsi="仿宋" w:eastAsia="仿宋" w:cs="仿宋"/>
                <w:color w:val="auto"/>
                <w:szCs w:val="32"/>
                <w:lang w:val="en-US" w:eastAsia="zh-CN"/>
              </w:rPr>
              <w:t>1</w:t>
            </w:r>
            <w:r>
              <w:rPr>
                <w:rFonts w:hint="eastAsia" w:ascii="仿宋" w:hAnsi="仿宋" w:eastAsia="仿宋" w:cs="仿宋"/>
                <w:color w:val="auto"/>
                <w:szCs w:val="32"/>
              </w:rPr>
              <w:t>0）</w:t>
            </w:r>
          </w:p>
        </w:tc>
        <w:tc>
          <w:tcPr>
            <w:tcW w:w="6707" w:type="dxa"/>
            <w:vAlign w:val="center"/>
          </w:tcPr>
          <w:p>
            <w:pPr>
              <w:keepNext w:val="0"/>
              <w:keepLines w:val="0"/>
              <w:widowControl/>
              <w:suppressLineNumbers w:val="0"/>
              <w:jc w:val="left"/>
              <w:textAlignment w:val="center"/>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根据供应商提供的宣传期间日常维护等方面的售后服务方案和承诺的售后响应速度等进行评分，</w:t>
            </w:r>
            <w:r>
              <w:rPr>
                <w:rFonts w:hint="eastAsia" w:ascii="仿宋" w:hAnsi="仿宋" w:eastAsia="仿宋" w:cs="仿宋"/>
                <w:i w:val="0"/>
                <w:iCs/>
                <w:color w:val="000000" w:themeColor="text1"/>
                <w:sz w:val="24"/>
                <w:szCs w:val="24"/>
                <w:highlight w:val="none"/>
                <w:lang w:val="en-US" w:eastAsia="zh-CN"/>
                <w14:textFill>
                  <w14:solidFill>
                    <w14:schemeClr w14:val="tx1"/>
                  </w14:solidFill>
                </w14:textFill>
              </w:rPr>
              <w:t>供应商未提供则此项不得分。</w:t>
            </w:r>
          </w:p>
          <w:p>
            <w:pPr>
              <w:keepNext w:val="0"/>
              <w:keepLines w:val="0"/>
              <w:widowControl/>
              <w:suppressLineNumbers w:val="0"/>
              <w:jc w:val="left"/>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1.方案全面性、有效性一般，售后响应速度一般，得0（含）-4分（含）；</w:t>
            </w:r>
          </w:p>
          <w:p>
            <w:pPr>
              <w:keepNext w:val="0"/>
              <w:keepLines w:val="0"/>
              <w:widowControl/>
              <w:suppressLineNumbers w:val="0"/>
              <w:jc w:val="left"/>
              <w:textAlignment w:val="center"/>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2.方案较全面、有效，售后响应速度较快，得4（不含）-8分（含）；</w:t>
            </w:r>
          </w:p>
          <w:p>
            <w:pPr>
              <w:spacing w:line="320" w:lineRule="exact"/>
              <w:rPr>
                <w:rFonts w:hint="eastAsia" w:ascii="仿宋" w:hAnsi="仿宋" w:eastAsia="仿宋" w:cs="仿宋"/>
                <w:color w:val="auto"/>
                <w:szCs w:val="32"/>
                <w:lang w:val="en-US" w:eastAsia="zh-CN"/>
              </w:rPr>
            </w:pPr>
            <w:r>
              <w:rPr>
                <w:rFonts w:hint="eastAsia" w:ascii="仿宋" w:hAnsi="仿宋" w:eastAsia="仿宋" w:cs="仿宋"/>
                <w:color w:val="auto"/>
                <w:sz w:val="24"/>
                <w:szCs w:val="24"/>
                <w:lang w:val="en-US" w:eastAsia="zh-CN" w:bidi="ar-SA"/>
              </w:rPr>
              <w:t>3.方案很全面、有效，售后响应速度快，得8（不含）-10分（含）。</w:t>
            </w:r>
          </w:p>
        </w:tc>
        <w:tc>
          <w:tcPr>
            <w:tcW w:w="835" w:type="dxa"/>
            <w:vAlign w:val="center"/>
          </w:tcPr>
          <w:p>
            <w:pPr>
              <w:snapToGrid w:val="0"/>
              <w:spacing w:line="320" w:lineRule="exact"/>
              <w:jc w:val="center"/>
              <w:rPr>
                <w:rFonts w:hint="default" w:ascii="仿宋" w:hAnsi="仿宋" w:eastAsia="仿宋" w:cs="仿宋"/>
                <w:color w:val="auto"/>
                <w:szCs w:val="32"/>
                <w:lang w:val="en-US" w:eastAsia="zh-CN"/>
              </w:rPr>
            </w:pPr>
            <w:r>
              <w:rPr>
                <w:rFonts w:hint="eastAsia" w:ascii="仿宋" w:hAnsi="仿宋" w:eastAsia="仿宋" w:cs="仿宋"/>
                <w:color w:val="auto"/>
                <w:szCs w:val="32"/>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82" w:type="dxa"/>
            <w:gridSpan w:val="3"/>
            <w:shd w:val="clear" w:color="auto" w:fill="auto"/>
            <w:vAlign w:val="center"/>
          </w:tcPr>
          <w:p>
            <w:pPr>
              <w:snapToGrid w:val="0"/>
              <w:spacing w:line="320" w:lineRule="exact"/>
              <w:jc w:val="left"/>
              <w:rPr>
                <w:rFonts w:hint="default" w:ascii="仿宋" w:hAnsi="仿宋" w:eastAsia="仿宋" w:cs="仿宋"/>
                <w:color w:val="auto"/>
                <w:szCs w:val="32"/>
                <w:lang w:val="en-US" w:eastAsia="zh-CN"/>
              </w:rPr>
            </w:pPr>
            <w:r>
              <w:rPr>
                <w:rFonts w:hint="eastAsia" w:ascii="仿宋" w:hAnsi="仿宋" w:eastAsia="仿宋" w:cs="仿宋"/>
                <w:color w:val="auto"/>
                <w:szCs w:val="32"/>
                <w:lang w:val="en-US" w:eastAsia="zh-CN"/>
              </w:rPr>
              <w:t>三、商务评审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shd w:val="clear" w:color="auto" w:fill="auto"/>
            <w:vAlign w:val="center"/>
          </w:tcPr>
          <w:p>
            <w:pPr>
              <w:snapToGrid w:val="0"/>
              <w:spacing w:line="320" w:lineRule="exact"/>
              <w:jc w:val="center"/>
              <w:rPr>
                <w:rFonts w:hint="eastAsia" w:ascii="仿宋" w:hAnsi="仿宋" w:eastAsia="仿宋" w:cs="仿宋"/>
                <w:color w:val="auto"/>
                <w:szCs w:val="32"/>
              </w:rPr>
            </w:pPr>
            <w:r>
              <w:rPr>
                <w:rFonts w:hint="eastAsia" w:ascii="仿宋" w:hAnsi="仿宋" w:eastAsia="仿宋" w:cs="仿宋"/>
                <w:color w:val="auto"/>
                <w:szCs w:val="32"/>
              </w:rPr>
              <w:t>商务</w:t>
            </w:r>
            <w:r>
              <w:rPr>
                <w:rFonts w:hint="eastAsia" w:ascii="仿宋" w:hAnsi="仿宋" w:eastAsia="仿宋" w:cs="仿宋"/>
                <w:color w:val="auto"/>
                <w:szCs w:val="32"/>
                <w:lang w:val="en-US" w:eastAsia="zh-CN"/>
              </w:rPr>
              <w:t>评分</w:t>
            </w:r>
            <w:r>
              <w:rPr>
                <w:rFonts w:hint="eastAsia" w:ascii="仿宋" w:hAnsi="仿宋" w:eastAsia="仿宋" w:cs="仿宋"/>
                <w:color w:val="auto"/>
                <w:szCs w:val="32"/>
              </w:rPr>
              <w:t xml:space="preserve"> </w:t>
            </w:r>
          </w:p>
          <w:p>
            <w:pPr>
              <w:snapToGrid w:val="0"/>
              <w:spacing w:line="320" w:lineRule="exact"/>
              <w:jc w:val="center"/>
              <w:rPr>
                <w:rFonts w:hint="eastAsia" w:ascii="仿宋" w:hAnsi="仿宋" w:eastAsia="仿宋" w:cs="仿宋"/>
                <w:color w:val="auto"/>
                <w:szCs w:val="32"/>
              </w:rPr>
            </w:pPr>
            <w:r>
              <w:rPr>
                <w:rFonts w:hint="eastAsia" w:ascii="仿宋" w:hAnsi="仿宋" w:eastAsia="仿宋" w:cs="仿宋"/>
                <w:color w:val="auto"/>
                <w:szCs w:val="32"/>
              </w:rPr>
              <w:t xml:space="preserve"> （10）</w:t>
            </w:r>
          </w:p>
        </w:tc>
        <w:tc>
          <w:tcPr>
            <w:tcW w:w="6707" w:type="dxa"/>
            <w:vAlign w:val="center"/>
          </w:tcPr>
          <w:p>
            <w:pPr>
              <w:spacing w:line="3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根据供应商提供的近三年</w:t>
            </w:r>
            <w:r>
              <w:rPr>
                <w:rFonts w:hint="eastAsia" w:ascii="仿宋" w:hAnsi="仿宋" w:eastAsia="仿宋" w:cs="仿宋"/>
                <w:color w:val="000000" w:themeColor="text1"/>
                <w:sz w:val="24"/>
                <w:szCs w:val="24"/>
                <w:lang w:eastAsia="zh-CN"/>
                <w14:textFill>
                  <w14:solidFill>
                    <w14:schemeClr w14:val="tx1"/>
                  </w14:solidFill>
                </w14:textFill>
              </w:rPr>
              <w:t>（（2023年1月1日</w:t>
            </w:r>
            <w:r>
              <w:rPr>
                <w:rFonts w:hint="eastAsia" w:ascii="仿宋" w:hAnsi="仿宋" w:eastAsia="仿宋" w:cs="仿宋"/>
                <w:color w:val="000000" w:themeColor="text1"/>
                <w:sz w:val="24"/>
                <w:szCs w:val="24"/>
                <w:lang w:val="en-US" w:eastAsia="zh-CN"/>
                <w14:textFill>
                  <w14:solidFill>
                    <w14:schemeClr w14:val="tx1"/>
                  </w14:solidFill>
                </w14:textFill>
              </w:rPr>
              <w:t>至今</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同类似项目的业绩情况进行评分，在满足资格条件要求的1个案例基础上，每增加1个得2分</w:t>
            </w:r>
            <w:r>
              <w:rPr>
                <w:rFonts w:hint="eastAsia" w:ascii="仿宋" w:hAnsi="仿宋" w:eastAsia="仿宋" w:cs="仿宋"/>
                <w:color w:val="000000" w:themeColor="text1"/>
                <w:sz w:val="24"/>
                <w:szCs w:val="24"/>
                <w:lang w:eastAsia="zh-CN"/>
                <w14:textFill>
                  <w14:solidFill>
                    <w14:schemeClr w14:val="tx1"/>
                  </w14:solidFill>
                </w14:textFill>
              </w:rPr>
              <w:t>，最多得10分。</w:t>
            </w:r>
            <w:r>
              <w:rPr>
                <w:rFonts w:hint="eastAsia" w:ascii="仿宋" w:hAnsi="仿宋" w:eastAsia="仿宋" w:cs="仿宋"/>
                <w:color w:val="000000" w:themeColor="text1"/>
                <w:sz w:val="24"/>
                <w:szCs w:val="24"/>
                <w:lang w:val="en-US"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未提供</w:t>
            </w:r>
            <w:r>
              <w:rPr>
                <w:rFonts w:hint="eastAsia" w:ascii="仿宋" w:hAnsi="仿宋" w:eastAsia="仿宋" w:cs="仿宋"/>
                <w:color w:val="000000" w:themeColor="text1"/>
                <w:sz w:val="24"/>
                <w:szCs w:val="24"/>
                <w:lang w:val="en-US" w:eastAsia="zh-CN"/>
                <w14:textFill>
                  <w14:solidFill>
                    <w14:schemeClr w14:val="tx1"/>
                  </w14:solidFill>
                </w14:textFill>
              </w:rPr>
              <w:t>则此项</w:t>
            </w:r>
            <w:r>
              <w:rPr>
                <w:rFonts w:hint="eastAsia" w:ascii="仿宋" w:hAnsi="仿宋" w:eastAsia="仿宋" w:cs="仿宋"/>
                <w:color w:val="000000" w:themeColor="text1"/>
                <w:sz w:val="24"/>
                <w:szCs w:val="24"/>
                <w14:textFill>
                  <w14:solidFill>
                    <w14:schemeClr w14:val="tx1"/>
                  </w14:solidFill>
                </w14:textFill>
              </w:rPr>
              <w:t>不得分。</w:t>
            </w:r>
          </w:p>
          <w:p>
            <w:pPr>
              <w:spacing w:line="320" w:lineRule="exact"/>
              <w:rPr>
                <w:rFonts w:hint="eastAsia" w:ascii="仿宋" w:hAnsi="仿宋" w:eastAsia="仿宋" w:cs="仿宋"/>
                <w:color w:val="auto"/>
                <w:szCs w:val="32"/>
              </w:rPr>
            </w:pPr>
            <w:r>
              <w:rPr>
                <w:rFonts w:hint="eastAsia" w:ascii="仿宋" w:hAnsi="仿宋" w:eastAsia="仿宋" w:cs="仿宋"/>
                <w:color w:val="000000" w:themeColor="text1"/>
                <w:sz w:val="24"/>
                <w:szCs w:val="24"/>
                <w14:textFill>
                  <w14:solidFill>
                    <w14:schemeClr w14:val="tx1"/>
                  </w14:solidFill>
                </w14:textFill>
              </w:rPr>
              <w:t>说明：案例须提供合同（包括合同首页、体现项目内容页、签署日期页及盖章页）或中标通知书</w:t>
            </w:r>
            <w:r>
              <w:rPr>
                <w:rFonts w:hint="eastAsia" w:ascii="仿宋" w:hAnsi="仿宋" w:eastAsia="仿宋" w:cs="仿宋"/>
                <w:color w:val="000000" w:themeColor="text1"/>
                <w:sz w:val="24"/>
                <w:szCs w:val="24"/>
                <w:lang w:val="en-US"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“三年内”是以签订时间为准，须提供复印件作为有效证明文件</w:t>
            </w:r>
            <w:r>
              <w:rPr>
                <w:rFonts w:hint="eastAsia" w:ascii="仿宋" w:hAnsi="仿宋" w:eastAsia="仿宋" w:cs="仿宋"/>
                <w:color w:val="000000" w:themeColor="text1"/>
                <w:sz w:val="24"/>
                <w:szCs w:val="24"/>
                <w:lang w:eastAsia="zh-CN"/>
                <w14:textFill>
                  <w14:solidFill>
                    <w14:schemeClr w14:val="tx1"/>
                  </w14:solidFill>
                </w14:textFill>
              </w:rPr>
              <w:t>。</w:t>
            </w:r>
          </w:p>
        </w:tc>
        <w:tc>
          <w:tcPr>
            <w:tcW w:w="835" w:type="dxa"/>
            <w:vAlign w:val="center"/>
          </w:tcPr>
          <w:p>
            <w:pPr>
              <w:snapToGrid w:val="0"/>
              <w:spacing w:line="320" w:lineRule="exact"/>
              <w:jc w:val="center"/>
              <w:rPr>
                <w:rFonts w:hint="eastAsia" w:ascii="仿宋" w:hAnsi="仿宋" w:eastAsia="仿宋" w:cs="仿宋"/>
                <w:color w:val="auto"/>
                <w:szCs w:val="32"/>
              </w:rPr>
            </w:pPr>
            <w:r>
              <w:rPr>
                <w:rFonts w:hint="eastAsia" w:ascii="仿宋" w:hAnsi="仿宋" w:eastAsia="仿宋" w:cs="仿宋"/>
                <w:color w:val="auto"/>
                <w:szCs w:val="3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47" w:type="dxa"/>
            <w:gridSpan w:val="2"/>
            <w:vAlign w:val="center"/>
          </w:tcPr>
          <w:p>
            <w:pPr>
              <w:spacing w:line="320" w:lineRule="exact"/>
              <w:jc w:val="center"/>
              <w:rPr>
                <w:rFonts w:hint="eastAsia" w:ascii="仿宋" w:hAnsi="仿宋" w:eastAsia="仿宋" w:cs="仿宋"/>
                <w:color w:val="auto"/>
                <w:szCs w:val="32"/>
              </w:rPr>
            </w:pPr>
            <w:r>
              <w:rPr>
                <w:rFonts w:hint="eastAsia" w:ascii="仿宋" w:hAnsi="仿宋" w:eastAsia="仿宋" w:cs="仿宋"/>
                <w:color w:val="auto"/>
                <w:szCs w:val="32"/>
              </w:rPr>
              <w:t>合计</w:t>
            </w:r>
          </w:p>
        </w:tc>
        <w:tc>
          <w:tcPr>
            <w:tcW w:w="835" w:type="dxa"/>
            <w:vAlign w:val="center"/>
          </w:tcPr>
          <w:p>
            <w:pPr>
              <w:snapToGrid w:val="0"/>
              <w:spacing w:line="320" w:lineRule="exact"/>
              <w:jc w:val="center"/>
              <w:rPr>
                <w:rFonts w:hint="eastAsia" w:ascii="仿宋" w:hAnsi="仿宋" w:eastAsia="仿宋" w:cs="仿宋"/>
                <w:color w:val="auto"/>
                <w:szCs w:val="32"/>
              </w:rPr>
            </w:pPr>
            <w:r>
              <w:rPr>
                <w:rFonts w:hint="eastAsia" w:ascii="仿宋" w:hAnsi="仿宋" w:eastAsia="仿宋" w:cs="仿宋"/>
                <w:color w:val="auto"/>
                <w:szCs w:val="32"/>
              </w:rPr>
              <w:t>100</w:t>
            </w:r>
          </w:p>
        </w:tc>
      </w:tr>
    </w:tbl>
    <w:p>
      <w:pPr>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rPr>
          <w:color w:val="auto"/>
        </w:rPr>
      </w:pPr>
      <w:r>
        <w:rPr>
          <w:color w:val="auto"/>
        </w:rPr>
        <w:br w:type="page"/>
      </w:r>
    </w:p>
    <w:bookmarkEnd w:id="109"/>
    <w:p>
      <w:pPr>
        <w:pStyle w:val="3"/>
        <w:numPr>
          <w:ilvl w:val="0"/>
          <w:numId w:val="3"/>
        </w:numPr>
        <w:spacing w:before="0" w:after="0"/>
        <w:jc w:val="left"/>
        <w:rPr>
          <w:rFonts w:hint="eastAsia" w:ascii="仿宋" w:hAnsi="仿宋" w:eastAsia="仿宋" w:cs="仿宋"/>
          <w:b/>
          <w:bCs/>
          <w:color w:val="auto"/>
          <w:sz w:val="28"/>
          <w:szCs w:val="28"/>
          <w:highlight w:val="none"/>
        </w:rPr>
      </w:pPr>
      <w:bookmarkStart w:id="122" w:name="_Toc7554"/>
      <w:bookmarkStart w:id="123" w:name="_Toc186737810"/>
      <w:bookmarkStart w:id="124" w:name="_Toc4181"/>
      <w:r>
        <w:rPr>
          <w:rFonts w:hint="eastAsia" w:ascii="仿宋" w:hAnsi="仿宋" w:eastAsia="仿宋" w:cs="仿宋"/>
          <w:b/>
          <w:bCs/>
          <w:color w:val="auto"/>
          <w:sz w:val="28"/>
          <w:szCs w:val="28"/>
          <w:highlight w:val="none"/>
        </w:rPr>
        <w:t>合同条款</w:t>
      </w:r>
      <w:bookmarkEnd w:id="122"/>
      <w:bookmarkEnd w:id="123"/>
    </w:p>
    <w:p>
      <w:pPr>
        <w:keepNext w:val="0"/>
        <w:keepLines w:val="0"/>
        <w:pageBreakBefore w:val="0"/>
        <w:widowControl/>
        <w:kinsoku/>
        <w:wordWrap/>
        <w:overflowPunct/>
        <w:topLinePunct w:val="0"/>
        <w:autoSpaceDE/>
        <w:autoSpaceDN/>
        <w:bidi w:val="0"/>
        <w:adjustRightInd/>
        <w:snapToGrid w:val="0"/>
        <w:spacing w:beforeAutospacing="0" w:afterAutospacing="0" w:line="240" w:lineRule="auto"/>
        <w:textAlignment w:val="auto"/>
        <w:rPr>
          <w:rFonts w:hint="eastAsia" w:ascii="仿宋" w:hAnsi="仿宋" w:eastAsia="仿宋" w:cs="仿宋"/>
          <w:color w:val="auto"/>
          <w:highlight w:val="none"/>
        </w:rPr>
      </w:pPr>
      <w:r>
        <w:rPr>
          <w:rFonts w:hint="eastAsia" w:ascii="仿宋" w:hAnsi="仿宋" w:eastAsia="仿宋" w:cs="仿宋"/>
          <w:b/>
          <w:color w:val="auto"/>
          <w:highlight w:val="none"/>
        </w:rPr>
        <w:t>甲方:</w:t>
      </w:r>
      <w:r>
        <w:rPr>
          <w:rFonts w:hint="eastAsia" w:ascii="仿宋" w:hAnsi="仿宋" w:eastAsia="仿宋" w:cs="仿宋"/>
          <w:color w:val="auto"/>
          <w:highlight w:val="none"/>
        </w:rPr>
        <w:t xml:space="preserve"> 中国人民财产保险股份有限公司</w:t>
      </w:r>
      <w:r>
        <w:rPr>
          <w:rFonts w:hint="eastAsia" w:ascii="仿宋" w:hAnsi="仿宋" w:eastAsia="仿宋" w:cs="仿宋"/>
          <w:color w:val="auto"/>
          <w:highlight w:val="none"/>
          <w:lang w:val="en-US" w:eastAsia="zh-CN"/>
        </w:rPr>
        <w:t>泸州</w:t>
      </w:r>
      <w:r>
        <w:rPr>
          <w:rFonts w:hint="eastAsia" w:ascii="仿宋" w:hAnsi="仿宋" w:eastAsia="仿宋" w:cs="仿宋"/>
          <w:color w:val="auto"/>
          <w:highlight w:val="none"/>
        </w:rPr>
        <w:t>市分公司</w:t>
      </w:r>
    </w:p>
    <w:p>
      <w:pPr>
        <w:keepNext w:val="0"/>
        <w:keepLines w:val="0"/>
        <w:pageBreakBefore w:val="0"/>
        <w:widowControl/>
        <w:kinsoku/>
        <w:wordWrap/>
        <w:overflowPunct/>
        <w:topLinePunct w:val="0"/>
        <w:autoSpaceDE/>
        <w:autoSpaceDN/>
        <w:bidi w:val="0"/>
        <w:adjustRightInd/>
        <w:snapToGrid w:val="0"/>
        <w:spacing w:beforeAutospacing="0" w:afterAutospacing="0" w:line="240" w:lineRule="auto"/>
        <w:textAlignment w:val="auto"/>
        <w:rPr>
          <w:rFonts w:hint="eastAsia" w:ascii="仿宋" w:hAnsi="仿宋" w:eastAsia="仿宋" w:cs="仿宋"/>
          <w:color w:val="auto"/>
          <w:highlight w:val="none"/>
        </w:rPr>
      </w:pPr>
      <w:r>
        <w:rPr>
          <w:rFonts w:hint="eastAsia" w:ascii="仿宋" w:hAnsi="仿宋" w:eastAsia="仿宋" w:cs="仿宋"/>
          <w:b/>
          <w:color w:val="auto"/>
          <w:highlight w:val="none"/>
        </w:rPr>
        <w:t>地址:</w:t>
      </w:r>
      <w:r>
        <w:rPr>
          <w:rFonts w:hint="eastAsia" w:ascii="仿宋" w:hAnsi="仿宋" w:eastAsia="仿宋" w:cs="仿宋"/>
          <w:color w:val="auto"/>
          <w:highlight w:val="none"/>
        </w:rPr>
        <w:t xml:space="preserve">  四川省泸州市江阳区江阳西路段163号1栋</w:t>
      </w:r>
    </w:p>
    <w:p>
      <w:pPr>
        <w:keepNext w:val="0"/>
        <w:keepLines w:val="0"/>
        <w:pageBreakBefore w:val="0"/>
        <w:widowControl/>
        <w:kinsoku/>
        <w:wordWrap/>
        <w:overflowPunct/>
        <w:topLinePunct w:val="0"/>
        <w:autoSpaceDE/>
        <w:autoSpaceDN/>
        <w:bidi w:val="0"/>
        <w:adjustRightInd/>
        <w:snapToGrid w:val="0"/>
        <w:spacing w:beforeAutospacing="0" w:afterAutospacing="0" w:line="240" w:lineRule="auto"/>
        <w:textAlignment w:val="auto"/>
        <w:rPr>
          <w:rFonts w:hint="eastAsia" w:ascii="仿宋" w:hAnsi="仿宋" w:eastAsia="仿宋" w:cs="仿宋"/>
          <w:color w:val="auto"/>
          <w:highlight w:val="none"/>
        </w:rPr>
      </w:pPr>
      <w:r>
        <w:rPr>
          <w:rFonts w:hint="eastAsia" w:ascii="仿宋" w:hAnsi="仿宋" w:eastAsia="仿宋" w:cs="仿宋"/>
          <w:color w:val="auto"/>
          <w:highlight w:val="none"/>
        </w:rPr>
        <w:t xml:space="preserve">     </w:t>
      </w:r>
    </w:p>
    <w:p>
      <w:pPr>
        <w:keepNext w:val="0"/>
        <w:keepLines w:val="0"/>
        <w:pageBreakBefore w:val="0"/>
        <w:widowControl/>
        <w:kinsoku/>
        <w:wordWrap/>
        <w:overflowPunct/>
        <w:topLinePunct w:val="0"/>
        <w:autoSpaceDE/>
        <w:autoSpaceDN/>
        <w:bidi w:val="0"/>
        <w:adjustRightInd/>
        <w:snapToGrid w:val="0"/>
        <w:spacing w:beforeAutospacing="0" w:afterAutospacing="0" w:line="240" w:lineRule="auto"/>
        <w:textAlignment w:val="auto"/>
        <w:rPr>
          <w:rFonts w:hint="eastAsia" w:ascii="仿宋" w:hAnsi="仿宋" w:eastAsia="仿宋" w:cs="仿宋"/>
          <w:color w:val="auto"/>
          <w:highlight w:val="none"/>
        </w:rPr>
      </w:pPr>
      <w:r>
        <w:rPr>
          <w:rFonts w:hint="eastAsia" w:ascii="仿宋" w:hAnsi="仿宋" w:eastAsia="仿宋" w:cs="仿宋"/>
          <w:b/>
          <w:color w:val="auto"/>
          <w:highlight w:val="none"/>
        </w:rPr>
        <w:t>乙方:</w:t>
      </w:r>
      <w:r>
        <w:rPr>
          <w:rFonts w:hint="eastAsia" w:ascii="仿宋" w:hAnsi="仿宋" w:eastAsia="仿宋" w:cs="仿宋"/>
          <w:color w:val="auto"/>
          <w:highlight w:val="none"/>
        </w:rPr>
        <w:t xml:space="preserve"> </w:t>
      </w:r>
    </w:p>
    <w:p>
      <w:pPr>
        <w:keepNext w:val="0"/>
        <w:keepLines w:val="0"/>
        <w:pageBreakBefore w:val="0"/>
        <w:widowControl/>
        <w:kinsoku/>
        <w:wordWrap/>
        <w:overflowPunct/>
        <w:topLinePunct w:val="0"/>
        <w:autoSpaceDE/>
        <w:autoSpaceDN/>
        <w:bidi w:val="0"/>
        <w:adjustRightInd/>
        <w:snapToGrid w:val="0"/>
        <w:spacing w:beforeAutospacing="0" w:afterAutospacing="0" w:line="240" w:lineRule="auto"/>
        <w:textAlignment w:val="auto"/>
        <w:rPr>
          <w:rFonts w:hint="eastAsia" w:ascii="仿宋" w:hAnsi="仿宋" w:eastAsia="仿宋" w:cs="仿宋"/>
          <w:b/>
          <w:color w:val="auto"/>
          <w:highlight w:val="none"/>
        </w:rPr>
      </w:pPr>
      <w:r>
        <w:rPr>
          <w:rFonts w:hint="eastAsia" w:ascii="仿宋" w:hAnsi="仿宋" w:eastAsia="仿宋" w:cs="仿宋"/>
          <w:b/>
          <w:color w:val="auto"/>
          <w:highlight w:val="none"/>
        </w:rPr>
        <w:t xml:space="preserve">地址: </w:t>
      </w:r>
    </w:p>
    <w:p>
      <w:pPr>
        <w:keepNext w:val="0"/>
        <w:keepLines w:val="0"/>
        <w:pageBreakBefore w:val="0"/>
        <w:widowControl/>
        <w:kinsoku/>
        <w:wordWrap/>
        <w:overflowPunct/>
        <w:topLinePunct w:val="0"/>
        <w:autoSpaceDE/>
        <w:autoSpaceDN/>
        <w:bidi w:val="0"/>
        <w:adjustRightInd/>
        <w:snapToGrid w:val="0"/>
        <w:spacing w:beforeAutospacing="0" w:afterAutospacing="0" w:line="240" w:lineRule="auto"/>
        <w:textAlignment w:val="auto"/>
        <w:rPr>
          <w:rFonts w:hint="eastAsia" w:ascii="仿宋" w:hAnsi="仿宋" w:eastAsia="仿宋" w:cs="仿宋"/>
          <w:color w:val="auto"/>
          <w:highlight w:val="none"/>
        </w:rPr>
      </w:pPr>
    </w:p>
    <w:p>
      <w:pPr>
        <w:keepNext w:val="0"/>
        <w:keepLines w:val="0"/>
        <w:pageBreakBefore w:val="0"/>
        <w:widowControl/>
        <w:kinsoku/>
        <w:wordWrap/>
        <w:overflowPunct/>
        <w:topLinePunct w:val="0"/>
        <w:autoSpaceDE/>
        <w:autoSpaceDN/>
        <w:bidi w:val="0"/>
        <w:adjustRightInd/>
        <w:snapToGrid w:val="0"/>
        <w:spacing w:beforeAutospacing="0" w:afterAutospacing="0" w:line="240" w:lineRule="auto"/>
        <w:textAlignment w:val="auto"/>
        <w:rPr>
          <w:rFonts w:hint="eastAsia" w:ascii="仿宋" w:hAnsi="仿宋" w:eastAsia="仿宋" w:cs="仿宋"/>
          <w:color w:val="auto"/>
          <w:highlight w:val="none"/>
        </w:rPr>
      </w:pPr>
      <w:r>
        <w:rPr>
          <w:rFonts w:hint="eastAsia" w:ascii="仿宋" w:hAnsi="仿宋" w:eastAsia="仿宋" w:cs="仿宋"/>
          <w:b/>
          <w:color w:val="auto"/>
          <w:highlight w:val="none"/>
        </w:rPr>
        <w:t>鉴于</w:t>
      </w:r>
      <w:r>
        <w:rPr>
          <w:rFonts w:hint="eastAsia" w:ascii="仿宋" w:hAnsi="仿宋" w:eastAsia="仿宋" w:cs="仿宋"/>
          <w:color w:val="auto"/>
          <w:highlight w:val="none"/>
        </w:rPr>
        <w:t>：</w:t>
      </w:r>
    </w:p>
    <w:p>
      <w:pPr>
        <w:keepNext w:val="0"/>
        <w:keepLines w:val="0"/>
        <w:pageBreakBefore w:val="0"/>
        <w:widowControl/>
        <w:kinsoku/>
        <w:wordWrap/>
        <w:overflowPunct/>
        <w:topLinePunct w:val="0"/>
        <w:autoSpaceDE/>
        <w:autoSpaceDN/>
        <w:bidi w:val="0"/>
        <w:adjustRightInd/>
        <w:snapToGrid w:val="0"/>
        <w:spacing w:beforeAutospacing="0" w:afterAutospacing="0" w:line="240" w:lineRule="auto"/>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 xml:space="preserve">本合同双方当事人（1）均为依照中华人民共和国法律成立并有效存续的独立民事主体，（2）并且已经获得签署本合同的相应授权，（3）具备履行本合同所必须的资质和条件。 </w:t>
      </w:r>
    </w:p>
    <w:p>
      <w:pPr>
        <w:keepNext w:val="0"/>
        <w:keepLines w:val="0"/>
        <w:pageBreakBefore w:val="0"/>
        <w:widowControl/>
        <w:kinsoku/>
        <w:wordWrap/>
        <w:overflowPunct/>
        <w:topLinePunct w:val="0"/>
        <w:autoSpaceDE/>
        <w:autoSpaceDN/>
        <w:bidi w:val="0"/>
        <w:adjustRightInd/>
        <w:snapToGrid w:val="0"/>
        <w:spacing w:beforeAutospacing="0" w:afterAutospacing="0" w:line="240" w:lineRule="auto"/>
        <w:ind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Cs/>
          <w:color w:val="auto"/>
          <w:highlight w:val="none"/>
        </w:rPr>
        <w:t>为保障双方的合法权益，根据《中华人民共和国合同法》及相关法律法规的规定,</w:t>
      </w:r>
      <w:r>
        <w:rPr>
          <w:rFonts w:hint="eastAsia" w:ascii="仿宋" w:hAnsi="仿宋" w:eastAsia="仿宋" w:cs="仿宋"/>
          <w:color w:val="auto"/>
          <w:highlight w:val="none"/>
        </w:rPr>
        <w:t xml:space="preserve"> 甲、乙双方在平等互利、协商一致的基础上，达成协议如下，以资共同遵照执行。</w:t>
      </w:r>
    </w:p>
    <w:p>
      <w:pPr>
        <w:keepNext w:val="0"/>
        <w:keepLines w:val="0"/>
        <w:pageBreakBefore w:val="0"/>
        <w:widowControl/>
        <w:kinsoku/>
        <w:wordWrap/>
        <w:overflowPunct/>
        <w:topLinePunct w:val="0"/>
        <w:autoSpaceDE/>
        <w:autoSpaceDN/>
        <w:bidi w:val="0"/>
        <w:adjustRightInd/>
        <w:snapToGrid/>
        <w:spacing w:beforeAutospacing="0" w:afterAutospacing="0"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商务部分</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第一条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项目内容及要求</w:t>
      </w:r>
      <w:r>
        <w:rPr>
          <w:rFonts w:hint="eastAsia" w:ascii="仿宋" w:hAnsi="仿宋" w:eastAsia="仿宋" w:cs="仿宋"/>
          <w:color w:val="auto"/>
          <w:sz w:val="24"/>
          <w:szCs w:val="24"/>
          <w:highlight w:val="none"/>
        </w:rPr>
        <w:t xml:space="preserve">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本合同项下甲乙双方约定的项目内容及要求见本合同【附件】。</w:t>
      </w:r>
    </w:p>
    <w:p>
      <w:pPr>
        <w:keepNext w:val="0"/>
        <w:keepLines w:val="0"/>
        <w:pageBreakBefore w:val="0"/>
        <w:widowControl/>
        <w:kinsoku/>
        <w:wordWrap/>
        <w:overflowPunct/>
        <w:topLinePunct w:val="0"/>
        <w:autoSpaceDE/>
        <w:autoSpaceDN/>
        <w:bidi w:val="0"/>
        <w:adjustRightInd/>
        <w:snapToGrid w:val="0"/>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第二条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合同价格</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（一）本合同服务费用含税总额为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元(大写</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)，不含税总额为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元(大写</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)。合同价格明细见【附件】。</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rPr>
        <w:t>） 本合同付款安排见【附件】。</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eastAsia="仿宋"/>
          <w:color w:val="auto"/>
          <w:highlight w:val="none"/>
          <w:lang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四</w:t>
      </w:r>
      <w:r>
        <w:rPr>
          <w:rFonts w:hint="eastAsia" w:ascii="仿宋" w:hAnsi="仿宋" w:eastAsia="仿宋" w:cs="仿宋"/>
          <w:color w:val="auto"/>
          <w:sz w:val="24"/>
          <w:szCs w:val="24"/>
          <w:highlight w:val="none"/>
        </w:rPr>
        <w:t>） 由于乙方未提供或未及时提供足额有效的增值税专用发票，或乙方变更账户信息但未提前通知甲方而导致的付款迟延，甲方不承担任何责任。</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480" w:leftChars="200" w:firstLine="0" w:firstLineChars="0"/>
        <w:jc w:val="both"/>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第三条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双方的权利和义务</w:t>
      </w:r>
      <w:r>
        <w:rPr>
          <w:rFonts w:hint="eastAsia" w:ascii="仿宋" w:hAnsi="仿宋" w:eastAsia="仿宋" w:cs="仿宋"/>
          <w:color w:val="auto"/>
          <w:sz w:val="24"/>
          <w:szCs w:val="24"/>
          <w:highlight w:val="none"/>
        </w:rPr>
        <w:t xml:space="preserve">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除本合同约定的双方的权利义务外，甲乙双方在本合同项下的其他权利和义务见【附件】的约定。</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240" w:leftChars="100" w:firstLine="241" w:firstLineChars="1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第四条</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bCs/>
          <w:color w:val="auto"/>
          <w:sz w:val="24"/>
          <w:szCs w:val="24"/>
          <w:highlight w:val="none"/>
        </w:rPr>
        <w:t>违约责任</w:t>
      </w:r>
      <w:r>
        <w:rPr>
          <w:rFonts w:hint="eastAsia" w:ascii="仿宋" w:hAnsi="仿宋" w:eastAsia="仿宋" w:cs="仿宋"/>
          <w:color w:val="auto"/>
          <w:sz w:val="24"/>
          <w:szCs w:val="24"/>
          <w:highlight w:val="none"/>
        </w:rPr>
        <w:t xml:space="preserve">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甲、乙任一方或双方违约的，违约一方应当向相对方承担相应的违约责任。违约责任</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szCs w:val="24"/>
          <w:highlight w:val="none"/>
        </w:rPr>
        <w:t>具体约定见【附件】。</w:t>
      </w:r>
    </w:p>
    <w:p>
      <w:pPr>
        <w:keepNext w:val="0"/>
        <w:keepLines w:val="0"/>
        <w:pageBreakBefore w:val="0"/>
        <w:widowControl/>
        <w:kinsoku/>
        <w:wordWrap/>
        <w:overflowPunct/>
        <w:topLinePunct w:val="0"/>
        <w:autoSpaceDE/>
        <w:autoSpaceDN/>
        <w:bidi w:val="0"/>
        <w:adjustRightInd/>
        <w:snapToGrid/>
        <w:spacing w:beforeAutospacing="0" w:afterAutospacing="0"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通用部分</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第五条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双方的权利和义务</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 甲方的权利和义务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（1）甲方有权获得本合同项下乙方应提供的全部合格的服务；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（2）甲方有权在合同期内对乙方的产品及服务进行监督；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（3）乙方未按照合同约定履行义务的，甲方有权采取相应的措施；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（4）甲方应按照合同约定向乙方支付合同价款；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（5）甲方享有其它双方约定的权利、承担其它双方约定的义务。</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 乙方的权利和义务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（1）乙方有权获得甲方支付的合同价款；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（2）乙方应按照合同约定向甲方提供全部合格的服务；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（3）乙方应当按照合同约定的期限及要求完成项目内容；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（5）乙方享有其它双方约定的权利、承担其它双方约定的义务。</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第六条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禁止转让</w:t>
      </w:r>
      <w:r>
        <w:rPr>
          <w:rFonts w:hint="eastAsia" w:ascii="仿宋" w:hAnsi="仿宋" w:eastAsia="仿宋" w:cs="仿宋"/>
          <w:color w:val="auto"/>
          <w:sz w:val="24"/>
          <w:szCs w:val="24"/>
          <w:highlight w:val="none"/>
        </w:rPr>
        <w:t xml:space="preserve">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未经甲方事先书面同意，乙方不得将其本合同项下之全部义务或其中一部分义务转让给第三方执行。</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left="68" w:leftChars="0"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w:t>
      </w:r>
      <w:r>
        <w:rPr>
          <w:rFonts w:hint="eastAsia" w:ascii="仿宋" w:hAnsi="仿宋" w:eastAsia="仿宋" w:cs="仿宋"/>
          <w:b/>
          <w:color w:val="auto"/>
          <w:sz w:val="24"/>
          <w:szCs w:val="24"/>
          <w:highlight w:val="none"/>
          <w:lang w:val="en-US" w:eastAsia="zh-CN"/>
        </w:rPr>
        <w:t>七</w:t>
      </w:r>
      <w:r>
        <w:rPr>
          <w:rFonts w:hint="eastAsia" w:ascii="仿宋" w:hAnsi="仿宋" w:eastAsia="仿宋" w:cs="仿宋"/>
          <w:b/>
          <w:color w:val="auto"/>
          <w:sz w:val="24"/>
          <w:szCs w:val="24"/>
          <w:highlight w:val="none"/>
        </w:rPr>
        <w:t>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权利保证</w:t>
      </w:r>
      <w:r>
        <w:rPr>
          <w:rFonts w:hint="eastAsia" w:ascii="仿宋" w:hAnsi="仿宋" w:eastAsia="仿宋" w:cs="仿宋"/>
          <w:color w:val="auto"/>
          <w:sz w:val="24"/>
          <w:szCs w:val="24"/>
          <w:highlight w:val="none"/>
        </w:rPr>
        <w:t xml:space="preserve"> </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left="68"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第八条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违约责任</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 由于甲方原因不能按合同约定时间付款的，每延迟10个工作日，甲方按合同应付金额的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向乙方支付违约金。</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 乙方延迟交付的违约责任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（1）由于乙方原因造成项目延迟的，每延迟10个工作日，乙方向甲方支付违约金为合同服务费用总额的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 xml:space="preserve">。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（2）由于乙方原因造成项目迟延，经甲方催促后乙方继续延误的，甲方有权单方面解除合同，乙方应按照合同服务费用总额的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向甲方支付违约金，并赔偿由此引起的甲方全部损失。</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 验收不合格并且乙方在甲方指定期限内无法完成整改、提交合格的工作成果的，乙方应向甲方支付合同服务费用总额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的违约金，并赔偿由此引起的甲方全部损失。</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 如果乙方违反本合同约定的保密义务，乙方应向甲方支付相当于合同服务费用总额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的违约金，甲方受到的损失超出违约金的部分，由乙方继续承担赔偿责任。</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 除本合同的约定外，因乙方的违约行为给甲方造成损失的，乙方应向甲方支付相当于合同服务费用总额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的违约金，如甲方受到的损失超过违约金的，超出部分由乙方继续承担赔偿责任。</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第九条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保密义务</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 乙方在本合同中所受领的保密信息应及时返还甲方或在甲方监督下予以销毁。乙方擅自留存备份信息，视为违反保密约定。</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 无论本合同因何种原因终止，本保密条款依然有效。</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第十条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不可抗力</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 合同一方迟延履行后发生不可抗力的，不能免除其责任。</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第十一条</w:t>
      </w:r>
      <w:r>
        <w:rPr>
          <w:rFonts w:hint="eastAsia" w:ascii="仿宋" w:hAnsi="仿宋" w:eastAsia="仿宋" w:cs="仿宋"/>
          <w:color w:val="auto"/>
          <w:sz w:val="24"/>
          <w:szCs w:val="24"/>
          <w:highlight w:val="none"/>
        </w:rPr>
        <w:t xml:space="preserve"> 合同变更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对本合同的任何变更或补充，须经甲乙双方协商一致，并另行签订书面补充协议。</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第十二条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合同特别终止</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 甲乙双方同意在乙方出现下列情形时，甲方可以书面形式通知乙方（或者乙方的破产清算组或相关管理人）提出终止合同而不向其提供任何补偿：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（1）乙方破产、解散（包括但不限于乙方股东会决议解散、乙方被吊销营业执照、被责令关闭、被撤销、被司法机关裁决解散等情形）；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（2）乙方发生未经甲方书面同意的重大产权变更（包括但不限于合并、分立、注销等情形)；（如系上市公司）被勒令停止上市；以及任何原因背负重大债务导致无履行能力。</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 如果因上述原因导致本合同终止，甲方已经采取或者将要采取任何补救措施的权利不受任何影响。</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第十三条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法律适用与争议解决</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 本合同的订立、效力、解释、履行和争议的解决均适用中华人民共和国法律（不包括港澳台地区法律）。</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 </w:t>
      </w:r>
      <w:r>
        <w:rPr>
          <w:rFonts w:hint="eastAsia" w:ascii="仿宋" w:hAnsi="仿宋" w:eastAsia="仿宋" w:cs="仿宋"/>
          <w:b/>
          <w:bCs/>
          <w:color w:val="auto"/>
          <w:sz w:val="24"/>
          <w:szCs w:val="24"/>
          <w:highlight w:val="none"/>
        </w:rPr>
        <w:t>争议解决</w:t>
      </w:r>
      <w:r>
        <w:rPr>
          <w:rFonts w:hint="eastAsia" w:ascii="仿宋" w:hAnsi="仿宋" w:eastAsia="仿宋" w:cs="仿宋"/>
          <w:color w:val="auto"/>
          <w:sz w:val="24"/>
          <w:szCs w:val="24"/>
          <w:highlight w:val="none"/>
        </w:rPr>
        <w:t xml:space="preserve">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凡因本合同引起的或与本合同有关的任何争议，双方首先应友好协商解决。协商不成的，任何一方均可向甲方所在地有管辖权的法院提起诉讼。</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第十四条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合同生效及其他</w:t>
      </w:r>
    </w:p>
    <w:p>
      <w:pPr>
        <w:keepNext w:val="0"/>
        <w:keepLines w:val="0"/>
        <w:pageBreakBefore w:val="0"/>
        <w:widowControl/>
        <w:kinsoku/>
        <w:wordWrap/>
        <w:overflowPunct/>
        <w:topLinePunct w:val="0"/>
        <w:autoSpaceDE/>
        <w:autoSpaceDN/>
        <w:bidi w:val="0"/>
        <w:adjustRightInd/>
        <w:snapToGrid/>
        <w:spacing w:beforeAutospacing="0" w:afterAutospacing="0" w:line="24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（一） 本合同经甲乙双方法定代表人或授权代表签字并加盖公章后生效。</w:t>
      </w:r>
    </w:p>
    <w:p>
      <w:pPr>
        <w:keepNext w:val="0"/>
        <w:keepLines w:val="0"/>
        <w:pageBreakBefore w:val="0"/>
        <w:widowControl/>
        <w:kinsoku/>
        <w:wordWrap/>
        <w:overflowPunct/>
        <w:topLinePunct w:val="0"/>
        <w:autoSpaceDE/>
        <w:autoSpaceDN/>
        <w:bidi w:val="0"/>
        <w:adjustRightInd/>
        <w:snapToGrid/>
        <w:spacing w:beforeAutospacing="0" w:afterAutospacing="0" w:line="24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（二） 合同期限自</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日始，至</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日止。</w:t>
      </w:r>
    </w:p>
    <w:p>
      <w:pPr>
        <w:keepNext w:val="0"/>
        <w:keepLines w:val="0"/>
        <w:pageBreakBefore w:val="0"/>
        <w:widowControl/>
        <w:kinsoku/>
        <w:wordWrap/>
        <w:overflowPunct/>
        <w:topLinePunct w:val="0"/>
        <w:autoSpaceDE/>
        <w:autoSpaceDN/>
        <w:bidi w:val="0"/>
        <w:adjustRightInd/>
        <w:snapToGrid/>
        <w:spacing w:beforeAutospacing="0" w:afterAutospacing="0" w:line="24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（三） 本合同一式</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份，其中正本</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份，副本</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份。甲方执</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份正本，</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份副本；乙方执</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份正本，</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份副本。</w:t>
      </w:r>
    </w:p>
    <w:p>
      <w:pPr>
        <w:keepNext w:val="0"/>
        <w:keepLines w:val="0"/>
        <w:pageBreakBefore w:val="0"/>
        <w:widowControl/>
        <w:kinsoku/>
        <w:wordWrap/>
        <w:overflowPunct/>
        <w:topLinePunct w:val="0"/>
        <w:autoSpaceDE/>
        <w:autoSpaceDN/>
        <w:bidi w:val="0"/>
        <w:adjustRightInd/>
        <w:snapToGrid/>
        <w:spacing w:beforeAutospacing="0" w:afterAutospacing="0" w:line="24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（四） 无论本合同是否有相反约定，本合同附件（如有）作为本合同的组成部分，与本合同具有同等法律效力，当附件条款与本合同条款发生冲突时，以本合同条款为准。</w:t>
      </w:r>
    </w:p>
    <w:p>
      <w:pPr>
        <w:keepNext w:val="0"/>
        <w:keepLines w:val="0"/>
        <w:pageBreakBefore w:val="0"/>
        <w:widowControl/>
        <w:kinsoku/>
        <w:wordWrap/>
        <w:overflowPunct/>
        <w:topLinePunct w:val="0"/>
        <w:autoSpaceDE/>
        <w:autoSpaceDN/>
        <w:bidi w:val="0"/>
        <w:adjustRightInd/>
        <w:snapToGrid/>
        <w:spacing w:beforeAutospacing="0" w:afterAutospacing="0" w:line="24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pageBreakBefore w:val="0"/>
        <w:widowControl/>
        <w:kinsoku/>
        <w:wordWrap/>
        <w:overflowPunct/>
        <w:topLinePunct w:val="0"/>
        <w:autoSpaceDE/>
        <w:autoSpaceDN/>
        <w:bidi w:val="0"/>
        <w:adjustRightInd/>
        <w:snapToGrid/>
        <w:spacing w:beforeAutospacing="0" w:afterAutospacing="0" w:line="24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（六） 由于法律和法规、政策而导致本合同任何条款无效或无法执行，则该条款无效，但不影响剩余其他条款的效力。</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33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第十五条</w:t>
      </w:r>
      <w:r>
        <w:rPr>
          <w:rFonts w:hint="eastAsia" w:ascii="仿宋" w:hAnsi="仿宋" w:eastAsia="仿宋" w:cs="仿宋"/>
          <w:color w:val="auto"/>
          <w:sz w:val="24"/>
          <w:szCs w:val="24"/>
          <w:highlight w:val="none"/>
        </w:rPr>
        <w:t xml:space="preserve"> 附件的组成</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附件一、服务内容及要求</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附件二、</w:t>
      </w:r>
      <w:r>
        <w:rPr>
          <w:rFonts w:hint="eastAsia" w:ascii="仿宋" w:hAnsi="仿宋" w:eastAsia="仿宋" w:cs="仿宋"/>
          <w:color w:val="auto"/>
          <w:sz w:val="24"/>
          <w:szCs w:val="24"/>
          <w:highlight w:val="none"/>
          <w:lang w:val="en-US" w:eastAsia="zh-CN"/>
        </w:rPr>
        <w:t>付款</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附件三、</w:t>
      </w:r>
      <w:r>
        <w:rPr>
          <w:rFonts w:hint="eastAsia" w:ascii="仿宋" w:hAnsi="仿宋" w:eastAsia="仿宋" w:cs="仿宋"/>
          <w:color w:val="auto"/>
          <w:sz w:val="24"/>
          <w:szCs w:val="24"/>
          <w:highlight w:val="none"/>
        </w:rPr>
        <w:t>廉洁诚信协议</w:t>
      </w:r>
    </w:p>
    <w:p>
      <w:pPr>
        <w:rPr>
          <w:rFonts w:hint="eastAsia" w:ascii="仿宋" w:hAnsi="仿宋" w:eastAsia="仿宋" w:cs="仿宋"/>
          <w:color w:val="auto"/>
          <w:sz w:val="28"/>
          <w:szCs w:val="28"/>
          <w:highlight w:val="none"/>
          <w:lang w:eastAsia="zh-CN"/>
        </w:rPr>
      </w:pPr>
    </w:p>
    <w:p>
      <w:pP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协议签字页</w:t>
      </w:r>
      <w:r>
        <w:rPr>
          <w:rFonts w:hint="eastAsia" w:ascii="仿宋" w:hAnsi="仿宋" w:eastAsia="仿宋" w:cs="仿宋"/>
          <w:color w:val="auto"/>
          <w:sz w:val="28"/>
          <w:szCs w:val="28"/>
          <w:highlight w:val="none"/>
          <w:lang w:eastAsia="zh-CN"/>
        </w:rPr>
        <w:t>）</w:t>
      </w:r>
    </w:p>
    <w:p>
      <w:pPr>
        <w:pStyle w:val="2"/>
        <w:rPr>
          <w:rFonts w:hint="eastAsia" w:ascii="仿宋" w:hAnsi="仿宋" w:eastAsia="仿宋" w:cs="仿宋"/>
          <w:color w:val="auto"/>
          <w:sz w:val="28"/>
          <w:szCs w:val="28"/>
          <w:highlight w:val="none"/>
        </w:rPr>
      </w:pPr>
    </w:p>
    <w:p>
      <w:pP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兹证明，各方于</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日</w:t>
      </w:r>
      <w:r>
        <w:rPr>
          <w:rFonts w:hint="eastAsia" w:ascii="仿宋" w:hAnsi="仿宋" w:eastAsia="仿宋" w:cs="仿宋"/>
          <w:color w:val="auto"/>
          <w:sz w:val="28"/>
          <w:szCs w:val="28"/>
          <w:highlight w:val="none"/>
          <w:lang w:val="en-US" w:eastAsia="zh-CN"/>
        </w:rPr>
        <w:t>签订本合同。</w:t>
      </w:r>
    </w:p>
    <w:p>
      <w:pPr>
        <w:pStyle w:val="2"/>
        <w:rPr>
          <w:rFonts w:hint="eastAsia" w:ascii="仿宋" w:hAnsi="仿宋" w:eastAsia="仿宋" w:cs="仿宋"/>
          <w:color w:val="auto"/>
          <w:sz w:val="28"/>
          <w:szCs w:val="28"/>
          <w:highlight w:val="none"/>
          <w:lang w:val="en-US" w:eastAsia="zh-CN"/>
        </w:rPr>
      </w:pPr>
    </w:p>
    <w:p>
      <w:pPr>
        <w:pStyle w:val="2"/>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甲方（盖章）：中国人民财产保险股份有限公司泸州市分公司</w:t>
      </w:r>
    </w:p>
    <w:p>
      <w:pP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法定代表人/授权代表（签字）：</w:t>
      </w:r>
    </w:p>
    <w:p>
      <w:pPr>
        <w:pStyle w:val="2"/>
        <w:rPr>
          <w:rFonts w:hint="eastAsia" w:ascii="仿宋" w:hAnsi="仿宋" w:eastAsia="仿宋" w:cs="仿宋"/>
          <w:color w:val="auto"/>
          <w:sz w:val="28"/>
          <w:szCs w:val="28"/>
          <w:highlight w:val="none"/>
          <w:lang w:val="en-US" w:eastAsia="zh-CN"/>
        </w:rPr>
      </w:pPr>
    </w:p>
    <w:p>
      <w:pPr>
        <w:pStyle w:val="2"/>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乙方（盖章）：</w:t>
      </w:r>
    </w:p>
    <w:p>
      <w:pPr>
        <w:rPr>
          <w:rFonts w:hint="default"/>
          <w:color w:val="auto"/>
          <w:sz w:val="28"/>
          <w:szCs w:val="28"/>
          <w:highlight w:val="none"/>
          <w:lang w:val="en-US" w:eastAsia="zh-CN"/>
        </w:rPr>
      </w:pPr>
      <w:r>
        <w:rPr>
          <w:rFonts w:hint="eastAsia" w:ascii="仿宋" w:hAnsi="仿宋" w:eastAsia="仿宋" w:cs="仿宋"/>
          <w:color w:val="auto"/>
          <w:sz w:val="28"/>
          <w:szCs w:val="28"/>
          <w:highlight w:val="none"/>
          <w:lang w:val="en-US" w:eastAsia="zh-CN"/>
        </w:rPr>
        <w:t>法定代表人/授权代表（签字）：</w:t>
      </w:r>
    </w:p>
    <w:p>
      <w:pPr>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br w:type="page"/>
      </w:r>
    </w:p>
    <w:p>
      <w:pPr>
        <w:bidi w:val="0"/>
        <w:rPr>
          <w:rFonts w:hint="eastAsia" w:ascii="仿宋" w:hAnsi="仿宋" w:eastAsia="仿宋" w:cs="仿宋"/>
          <w:b/>
          <w:bCs/>
          <w:color w:val="auto"/>
          <w:sz w:val="24"/>
          <w:szCs w:val="24"/>
        </w:rPr>
      </w:pPr>
      <w:r>
        <w:rPr>
          <w:rFonts w:hint="eastAsia" w:ascii="仿宋" w:hAnsi="仿宋" w:eastAsia="仿宋" w:cs="仿宋"/>
          <w:b/>
          <w:bCs/>
          <w:color w:val="auto"/>
          <w:sz w:val="24"/>
          <w:szCs w:val="24"/>
        </w:rPr>
        <w:t>附件</w:t>
      </w:r>
      <w:r>
        <w:rPr>
          <w:rFonts w:hint="eastAsia" w:ascii="仿宋" w:hAnsi="仿宋" w:eastAsia="仿宋" w:cs="仿宋"/>
          <w:b/>
          <w:bCs/>
          <w:color w:val="auto"/>
          <w:sz w:val="24"/>
          <w:szCs w:val="24"/>
          <w:lang w:eastAsia="zh-CN"/>
        </w:rPr>
        <w:t>一</w:t>
      </w:r>
      <w:r>
        <w:rPr>
          <w:rFonts w:hint="eastAsia" w:ascii="仿宋" w:hAnsi="仿宋" w:eastAsia="仿宋" w:cs="仿宋"/>
          <w:b/>
          <w:bCs/>
          <w:color w:val="auto"/>
          <w:sz w:val="24"/>
          <w:szCs w:val="24"/>
        </w:rPr>
        <w:tab/>
      </w:r>
    </w:p>
    <w:p>
      <w:pPr>
        <w:keepNext w:val="0"/>
        <w:keepLines w:val="0"/>
        <w:pageBreakBefore w:val="0"/>
        <w:widowControl w:val="0"/>
        <w:kinsoku/>
        <w:wordWrap/>
        <w:overflowPunct/>
        <w:topLinePunct w:val="0"/>
        <w:bidi w:val="0"/>
        <w:adjustRightInd/>
        <w:snapToGrid/>
        <w:spacing w:line="460" w:lineRule="exact"/>
        <w:jc w:val="center"/>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服务内容及要求</w:t>
      </w:r>
    </w:p>
    <w:p>
      <w:pPr>
        <w:pStyle w:val="51"/>
        <w:keepNext w:val="0"/>
        <w:keepLines w:val="0"/>
        <w:pageBreakBefore w:val="0"/>
        <w:widowControl w:val="0"/>
        <w:numPr>
          <w:ilvl w:val="0"/>
          <w:numId w:val="0"/>
        </w:numPr>
        <w:kinsoku/>
        <w:wordWrap/>
        <w:overflowPunct/>
        <w:topLinePunct w:val="0"/>
        <w:bidi w:val="0"/>
        <w:adjustRightInd/>
        <w:snapToGrid/>
        <w:spacing w:line="460" w:lineRule="exact"/>
        <w:ind w:firstLine="480" w:firstLineChars="200"/>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1.项目名称</w:t>
      </w:r>
    </w:p>
    <w:p>
      <w:pPr>
        <w:pStyle w:val="51"/>
        <w:keepNext w:val="0"/>
        <w:keepLines w:val="0"/>
        <w:pageBreakBefore w:val="0"/>
        <w:widowControl w:val="0"/>
        <w:numPr>
          <w:ilvl w:val="0"/>
          <w:numId w:val="0"/>
        </w:numPr>
        <w:kinsoku/>
        <w:wordWrap/>
        <w:overflowPunct/>
        <w:topLinePunct w:val="0"/>
        <w:bidi w:val="0"/>
        <w:adjustRightInd/>
        <w:snapToGrid/>
        <w:spacing w:line="460" w:lineRule="exact"/>
        <w:ind w:firstLine="480" w:firstLineChars="200"/>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 xml:space="preserve">  项目名称：人保财险四川省泸州市分公司立柱宣传采购项目</w:t>
      </w:r>
    </w:p>
    <w:p>
      <w:pPr>
        <w:pStyle w:val="51"/>
        <w:keepNext w:val="0"/>
        <w:keepLines w:val="0"/>
        <w:pageBreakBefore w:val="0"/>
        <w:widowControl w:val="0"/>
        <w:numPr>
          <w:ilvl w:val="0"/>
          <w:numId w:val="0"/>
        </w:numPr>
        <w:kinsoku/>
        <w:wordWrap/>
        <w:overflowPunct/>
        <w:topLinePunct w:val="0"/>
        <w:bidi w:val="0"/>
        <w:adjustRightInd/>
        <w:snapToGrid/>
        <w:spacing w:line="460" w:lineRule="exact"/>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 xml:space="preserve">    2.项目内容及要求</w:t>
      </w:r>
    </w:p>
    <w:p>
      <w:pPr>
        <w:pStyle w:val="51"/>
        <w:keepNext w:val="0"/>
        <w:keepLines w:val="0"/>
        <w:pageBreakBefore w:val="0"/>
        <w:widowControl w:val="0"/>
        <w:numPr>
          <w:ilvl w:val="0"/>
          <w:numId w:val="0"/>
        </w:numPr>
        <w:kinsoku/>
        <w:wordWrap/>
        <w:overflowPunct/>
        <w:topLinePunct w:val="0"/>
        <w:bidi w:val="0"/>
        <w:adjustRightInd/>
        <w:snapToGrid/>
        <w:spacing w:line="460" w:lineRule="exact"/>
        <w:ind w:firstLine="480" w:firstLineChars="200"/>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（1）乙方向甲方提供服务的内容：负责XX个立柱宣传画面（含制作、安装及日常维护)，投放于XXX立柱，进行为期3/6个月的宣传。含税单价为</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color w:val="3A3A3A"/>
          <w:sz w:val="24"/>
          <w:szCs w:val="24"/>
          <w:shd w:val="clear" w:color="auto" w:fill="FFFFFF"/>
        </w:rPr>
        <w:t>元/月/</w:t>
      </w:r>
      <w:r>
        <w:rPr>
          <w:rFonts w:hint="eastAsia" w:ascii="仿宋" w:hAnsi="仿宋" w:eastAsia="仿宋" w:cs="仿宋"/>
          <w:color w:val="3A3A3A"/>
          <w:sz w:val="24"/>
          <w:szCs w:val="24"/>
          <w:shd w:val="clear" w:color="auto" w:fill="FFFFFF"/>
          <w:lang w:val="en-US" w:eastAsia="zh-CN"/>
        </w:rPr>
        <w:t>个</w:t>
      </w:r>
      <w:r>
        <w:rPr>
          <w:rFonts w:hint="eastAsia" w:ascii="仿宋" w:hAnsi="仿宋" w:eastAsia="仿宋" w:cs="仿宋"/>
          <w:b w:val="0"/>
          <w:bCs w:val="0"/>
          <w:color w:val="auto"/>
          <w:kern w:val="0"/>
          <w:sz w:val="24"/>
          <w:szCs w:val="24"/>
          <w:lang w:val="en-US" w:eastAsia="zh-CN" w:bidi="ar"/>
        </w:rPr>
        <w:t>（含制作、投放及后期维护），含税总金额共</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lang w:val="en-US" w:eastAsia="zh-CN" w:bidi="ar"/>
        </w:rPr>
        <w:t>元（大写：</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lang w:val="en-US" w:eastAsia="zh-CN" w:bidi="ar"/>
        </w:rPr>
        <w:t>），不含税总金额</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lang w:val="en-US" w:eastAsia="zh-CN" w:bidi="ar"/>
        </w:rPr>
        <w:t>元（大写：</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lang w:val="en-US" w:eastAsia="zh-CN" w:bidi="ar"/>
        </w:rPr>
        <w:t xml:space="preserve">）。             </w:t>
      </w:r>
    </w:p>
    <w:p>
      <w:pPr>
        <w:pStyle w:val="51"/>
        <w:keepNext w:val="0"/>
        <w:keepLines w:val="0"/>
        <w:pageBreakBefore w:val="0"/>
        <w:widowControl w:val="0"/>
        <w:numPr>
          <w:ilvl w:val="0"/>
          <w:numId w:val="0"/>
        </w:numPr>
        <w:kinsoku/>
        <w:wordWrap/>
        <w:overflowPunct/>
        <w:topLinePunct w:val="0"/>
        <w:bidi w:val="0"/>
        <w:adjustRightInd/>
        <w:snapToGrid/>
        <w:spacing w:line="460" w:lineRule="exact"/>
        <w:ind w:firstLine="480" w:firstLineChars="200"/>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（2）服务期限：</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lang w:val="en-US" w:eastAsia="zh-CN" w:bidi="ar"/>
        </w:rPr>
        <w:t>年</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u w:val="none"/>
          <w:lang w:val="en-US" w:eastAsia="zh-CN" w:bidi="ar"/>
        </w:rPr>
        <w:t>月</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u w:val="none"/>
          <w:lang w:val="en-US" w:eastAsia="zh-CN" w:bidi="ar"/>
        </w:rPr>
        <w:t>日至</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lang w:val="en-US" w:eastAsia="zh-CN" w:bidi="ar"/>
        </w:rPr>
        <w:t>年</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u w:val="none"/>
          <w:lang w:val="en-US" w:eastAsia="zh-CN" w:bidi="ar"/>
        </w:rPr>
        <w:t>月</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u w:val="none"/>
          <w:lang w:val="en-US" w:eastAsia="zh-CN" w:bidi="ar"/>
        </w:rPr>
        <w:t>日</w:t>
      </w:r>
      <w:r>
        <w:rPr>
          <w:rFonts w:hint="eastAsia" w:ascii="仿宋" w:hAnsi="仿宋" w:eastAsia="仿宋" w:cs="仿宋"/>
          <w:b w:val="0"/>
          <w:bCs w:val="0"/>
          <w:color w:val="auto"/>
          <w:kern w:val="0"/>
          <w:sz w:val="24"/>
          <w:szCs w:val="24"/>
          <w:lang w:val="en-US" w:eastAsia="zh-CN" w:bidi="ar"/>
        </w:rPr>
        <w:t>。</w:t>
      </w:r>
    </w:p>
    <w:p>
      <w:pPr>
        <w:pStyle w:val="51"/>
        <w:keepNext w:val="0"/>
        <w:keepLines w:val="0"/>
        <w:pageBreakBefore w:val="0"/>
        <w:widowControl w:val="0"/>
        <w:numPr>
          <w:ilvl w:val="0"/>
          <w:numId w:val="0"/>
        </w:numPr>
        <w:kinsoku/>
        <w:wordWrap/>
        <w:overflowPunct/>
        <w:topLinePunct w:val="0"/>
        <w:bidi w:val="0"/>
        <w:adjustRightInd/>
        <w:snapToGrid/>
        <w:spacing w:line="460" w:lineRule="exact"/>
        <w:ind w:firstLine="480" w:firstLineChars="200"/>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highlight w:val="none"/>
          <w:lang w:val="en-US" w:eastAsia="zh-CN" w:bidi="ar"/>
        </w:rPr>
        <w:t>（3）</w:t>
      </w:r>
      <w:r>
        <w:rPr>
          <w:rFonts w:hint="eastAsia" w:ascii="仿宋" w:hAnsi="仿宋" w:eastAsia="仿宋" w:cs="仿宋"/>
          <w:b w:val="0"/>
          <w:bCs w:val="0"/>
          <w:color w:val="auto"/>
          <w:kern w:val="0"/>
          <w:sz w:val="24"/>
          <w:szCs w:val="24"/>
          <w:lang w:val="en-US" w:eastAsia="zh-CN" w:bidi="ar"/>
        </w:rPr>
        <w:t>服务活动过程中使用第三方物权过程中发生的法律纠纷和经济责任由合同乙方负责。</w:t>
      </w:r>
    </w:p>
    <w:p>
      <w:pPr>
        <w:pStyle w:val="51"/>
        <w:keepNext w:val="0"/>
        <w:keepLines w:val="0"/>
        <w:pageBreakBefore w:val="0"/>
        <w:widowControl w:val="0"/>
        <w:numPr>
          <w:ilvl w:val="0"/>
          <w:numId w:val="0"/>
        </w:numPr>
        <w:kinsoku/>
        <w:wordWrap/>
        <w:overflowPunct/>
        <w:topLinePunct w:val="0"/>
        <w:bidi w:val="0"/>
        <w:adjustRightInd/>
        <w:snapToGrid/>
        <w:spacing w:line="460" w:lineRule="exact"/>
        <w:ind w:firstLine="480" w:firstLineChars="200"/>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（4）立柱宣传点位明细如下图，共X个。</w:t>
      </w:r>
    </w:p>
    <w:tbl>
      <w:tblPr>
        <w:tblStyle w:val="30"/>
        <w:tblW w:w="6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3969"/>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34" w:type="dxa"/>
            <w:vAlign w:val="center"/>
          </w:tcPr>
          <w:p>
            <w:pPr>
              <w:pStyle w:val="51"/>
              <w:keepNext w:val="0"/>
              <w:keepLines w:val="0"/>
              <w:pageBreakBefore w:val="0"/>
              <w:widowControl w:val="0"/>
              <w:numPr>
                <w:ilvl w:val="0"/>
                <w:numId w:val="0"/>
              </w:numPr>
              <w:kinsoku/>
              <w:wordWrap/>
              <w:overflowPunct/>
              <w:topLinePunct w:val="0"/>
              <w:bidi w:val="0"/>
              <w:adjustRightInd/>
              <w:snapToGrid/>
              <w:spacing w:line="460" w:lineRule="exact"/>
              <w:jc w:val="center"/>
              <w:textAlignment w:val="auto"/>
              <w:rPr>
                <w:rFonts w:hint="default" w:ascii="仿宋" w:hAnsi="仿宋" w:eastAsia="仿宋" w:cs="仿宋"/>
                <w:b w:val="0"/>
                <w:bCs w:val="0"/>
                <w:color w:val="auto"/>
                <w:kern w:val="0"/>
                <w:sz w:val="24"/>
                <w:szCs w:val="24"/>
                <w:vertAlign w:val="baseline"/>
                <w:lang w:val="en-US" w:eastAsia="zh-CN" w:bidi="ar"/>
              </w:rPr>
            </w:pPr>
            <w:r>
              <w:rPr>
                <w:rFonts w:hint="eastAsia" w:ascii="仿宋" w:hAnsi="仿宋" w:eastAsia="仿宋" w:cs="仿宋"/>
                <w:b w:val="0"/>
                <w:bCs w:val="0"/>
                <w:color w:val="auto"/>
                <w:kern w:val="0"/>
                <w:sz w:val="24"/>
                <w:szCs w:val="24"/>
                <w:vertAlign w:val="baseline"/>
                <w:lang w:val="en-US" w:eastAsia="zh-CN" w:bidi="ar"/>
              </w:rPr>
              <w:t>序号</w:t>
            </w:r>
          </w:p>
        </w:tc>
        <w:tc>
          <w:tcPr>
            <w:tcW w:w="3969" w:type="dxa"/>
            <w:vAlign w:val="center"/>
          </w:tcPr>
          <w:p>
            <w:pPr>
              <w:pStyle w:val="51"/>
              <w:keepNext w:val="0"/>
              <w:keepLines w:val="0"/>
              <w:pageBreakBefore w:val="0"/>
              <w:widowControl w:val="0"/>
              <w:numPr>
                <w:ilvl w:val="0"/>
                <w:numId w:val="0"/>
              </w:numPr>
              <w:kinsoku/>
              <w:wordWrap/>
              <w:overflowPunct/>
              <w:topLinePunct w:val="0"/>
              <w:bidi w:val="0"/>
              <w:adjustRightInd/>
              <w:snapToGrid/>
              <w:spacing w:line="460" w:lineRule="exact"/>
              <w:jc w:val="center"/>
              <w:textAlignment w:val="auto"/>
              <w:rPr>
                <w:rFonts w:hint="default" w:ascii="仿宋" w:hAnsi="仿宋" w:eastAsia="仿宋" w:cs="仿宋"/>
                <w:b w:val="0"/>
                <w:bCs w:val="0"/>
                <w:color w:val="auto"/>
                <w:kern w:val="0"/>
                <w:sz w:val="24"/>
                <w:szCs w:val="24"/>
                <w:vertAlign w:val="baseline"/>
                <w:lang w:val="en-US" w:eastAsia="zh-CN" w:bidi="ar"/>
              </w:rPr>
            </w:pPr>
            <w:r>
              <w:rPr>
                <w:rFonts w:hint="eastAsia" w:ascii="仿宋" w:hAnsi="仿宋" w:eastAsia="仿宋" w:cs="仿宋"/>
                <w:b w:val="0"/>
                <w:bCs w:val="0"/>
                <w:color w:val="auto"/>
                <w:kern w:val="0"/>
                <w:sz w:val="24"/>
                <w:szCs w:val="24"/>
                <w:vertAlign w:val="baseline"/>
                <w:lang w:val="en-US" w:eastAsia="zh-CN" w:bidi="ar"/>
              </w:rPr>
              <w:t>宣传地点</w:t>
            </w:r>
          </w:p>
        </w:tc>
        <w:tc>
          <w:tcPr>
            <w:tcW w:w="1417" w:type="dxa"/>
            <w:vAlign w:val="center"/>
          </w:tcPr>
          <w:p>
            <w:pPr>
              <w:pStyle w:val="51"/>
              <w:keepNext w:val="0"/>
              <w:keepLines w:val="0"/>
              <w:pageBreakBefore w:val="0"/>
              <w:widowControl w:val="0"/>
              <w:numPr>
                <w:ilvl w:val="0"/>
                <w:numId w:val="0"/>
              </w:numPr>
              <w:kinsoku/>
              <w:wordWrap/>
              <w:overflowPunct/>
              <w:topLinePunct w:val="0"/>
              <w:bidi w:val="0"/>
              <w:adjustRightInd/>
              <w:snapToGrid/>
              <w:spacing w:line="460" w:lineRule="exact"/>
              <w:jc w:val="center"/>
              <w:textAlignment w:val="auto"/>
              <w:rPr>
                <w:rFonts w:hint="default" w:ascii="仿宋" w:hAnsi="仿宋" w:eastAsia="仿宋" w:cs="仿宋"/>
                <w:b w:val="0"/>
                <w:bCs w:val="0"/>
                <w:color w:val="auto"/>
                <w:kern w:val="0"/>
                <w:sz w:val="24"/>
                <w:szCs w:val="24"/>
                <w:vertAlign w:val="baseline"/>
                <w:lang w:val="en-US" w:eastAsia="zh-CN" w:bidi="ar"/>
              </w:rPr>
            </w:pPr>
            <w:r>
              <w:rPr>
                <w:rFonts w:hint="eastAsia" w:ascii="仿宋" w:hAnsi="仿宋" w:eastAsia="仿宋" w:cs="仿宋"/>
                <w:b w:val="0"/>
                <w:bCs w:val="0"/>
                <w:color w:val="auto"/>
                <w:kern w:val="0"/>
                <w:sz w:val="24"/>
                <w:szCs w:val="24"/>
                <w:vertAlign w:val="baseline"/>
                <w:lang w:val="en-US" w:eastAsia="zh-CN" w:bidi="ar"/>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34" w:type="dxa"/>
            <w:vAlign w:val="center"/>
          </w:tcPr>
          <w:p>
            <w:pPr>
              <w:pStyle w:val="51"/>
              <w:keepNext w:val="0"/>
              <w:keepLines w:val="0"/>
              <w:pageBreakBefore w:val="0"/>
              <w:widowControl w:val="0"/>
              <w:numPr>
                <w:ilvl w:val="0"/>
                <w:numId w:val="0"/>
              </w:numPr>
              <w:kinsoku/>
              <w:wordWrap/>
              <w:overflowPunct/>
              <w:topLinePunct w:val="0"/>
              <w:bidi w:val="0"/>
              <w:adjustRightInd/>
              <w:snapToGrid/>
              <w:spacing w:line="460" w:lineRule="exact"/>
              <w:jc w:val="center"/>
              <w:textAlignment w:val="auto"/>
              <w:rPr>
                <w:rFonts w:hint="default" w:ascii="仿宋" w:hAnsi="仿宋" w:eastAsia="仿宋" w:cs="仿宋"/>
                <w:b w:val="0"/>
                <w:bCs w:val="0"/>
                <w:color w:val="auto"/>
                <w:kern w:val="0"/>
                <w:sz w:val="24"/>
                <w:szCs w:val="24"/>
                <w:vertAlign w:val="baseline"/>
                <w:lang w:val="en-US" w:eastAsia="zh-CN" w:bidi="ar"/>
              </w:rPr>
            </w:pPr>
            <w:r>
              <w:rPr>
                <w:rFonts w:hint="eastAsia" w:ascii="仿宋" w:hAnsi="仿宋" w:eastAsia="仿宋" w:cs="仿宋"/>
                <w:b w:val="0"/>
                <w:bCs w:val="0"/>
                <w:color w:val="auto"/>
                <w:kern w:val="0"/>
                <w:sz w:val="24"/>
                <w:szCs w:val="24"/>
                <w:vertAlign w:val="baseline"/>
                <w:lang w:val="en-US" w:eastAsia="zh-CN" w:bidi="ar"/>
              </w:rPr>
              <w:t>1</w:t>
            </w:r>
          </w:p>
        </w:tc>
        <w:tc>
          <w:tcPr>
            <w:tcW w:w="3969" w:type="dxa"/>
            <w:vAlign w:val="center"/>
          </w:tcPr>
          <w:p>
            <w:pPr>
              <w:pStyle w:val="51"/>
              <w:keepNext w:val="0"/>
              <w:keepLines w:val="0"/>
              <w:pageBreakBefore w:val="0"/>
              <w:widowControl w:val="0"/>
              <w:numPr>
                <w:ilvl w:val="0"/>
                <w:numId w:val="0"/>
              </w:numPr>
              <w:kinsoku/>
              <w:wordWrap/>
              <w:overflowPunct/>
              <w:topLinePunct w:val="0"/>
              <w:bidi w:val="0"/>
              <w:adjustRightInd/>
              <w:snapToGrid/>
              <w:spacing w:line="460" w:lineRule="exact"/>
              <w:jc w:val="center"/>
              <w:textAlignment w:val="auto"/>
              <w:rPr>
                <w:rFonts w:hint="eastAsia" w:ascii="仿宋" w:hAnsi="仿宋" w:eastAsia="仿宋" w:cs="仿宋"/>
                <w:b w:val="0"/>
                <w:bCs w:val="0"/>
                <w:color w:val="auto"/>
                <w:kern w:val="0"/>
                <w:sz w:val="24"/>
                <w:szCs w:val="24"/>
                <w:vertAlign w:val="baseline"/>
                <w:lang w:val="en-US" w:eastAsia="zh-CN" w:bidi="ar"/>
              </w:rPr>
            </w:pPr>
          </w:p>
        </w:tc>
        <w:tc>
          <w:tcPr>
            <w:tcW w:w="1417" w:type="dxa"/>
            <w:vAlign w:val="center"/>
          </w:tcPr>
          <w:p>
            <w:pPr>
              <w:pStyle w:val="51"/>
              <w:keepNext w:val="0"/>
              <w:keepLines w:val="0"/>
              <w:pageBreakBefore w:val="0"/>
              <w:widowControl w:val="0"/>
              <w:numPr>
                <w:ilvl w:val="0"/>
                <w:numId w:val="0"/>
              </w:numPr>
              <w:kinsoku/>
              <w:wordWrap/>
              <w:overflowPunct/>
              <w:topLinePunct w:val="0"/>
              <w:bidi w:val="0"/>
              <w:adjustRightInd/>
              <w:snapToGrid/>
              <w:spacing w:line="460" w:lineRule="exact"/>
              <w:jc w:val="center"/>
              <w:textAlignment w:val="auto"/>
              <w:rPr>
                <w:rFonts w:hint="eastAsia" w:ascii="仿宋" w:hAnsi="仿宋" w:eastAsia="仿宋" w:cs="仿宋"/>
                <w:b w:val="0"/>
                <w:bCs w:val="0"/>
                <w:color w:val="auto"/>
                <w:kern w:val="0"/>
                <w:sz w:val="24"/>
                <w:szCs w:val="24"/>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34" w:type="dxa"/>
            <w:vAlign w:val="center"/>
          </w:tcPr>
          <w:p>
            <w:pPr>
              <w:pStyle w:val="51"/>
              <w:keepNext w:val="0"/>
              <w:keepLines w:val="0"/>
              <w:pageBreakBefore w:val="0"/>
              <w:widowControl w:val="0"/>
              <w:numPr>
                <w:ilvl w:val="0"/>
                <w:numId w:val="0"/>
              </w:numPr>
              <w:kinsoku/>
              <w:wordWrap/>
              <w:overflowPunct/>
              <w:topLinePunct w:val="0"/>
              <w:bidi w:val="0"/>
              <w:adjustRightInd/>
              <w:snapToGrid/>
              <w:spacing w:line="460" w:lineRule="exact"/>
              <w:jc w:val="center"/>
              <w:textAlignment w:val="auto"/>
              <w:rPr>
                <w:rFonts w:hint="default" w:ascii="仿宋" w:hAnsi="仿宋" w:eastAsia="仿宋" w:cs="仿宋"/>
                <w:b w:val="0"/>
                <w:bCs w:val="0"/>
                <w:color w:val="auto"/>
                <w:kern w:val="0"/>
                <w:sz w:val="24"/>
                <w:szCs w:val="24"/>
                <w:vertAlign w:val="baseline"/>
                <w:lang w:val="en-US" w:eastAsia="zh-CN" w:bidi="ar"/>
              </w:rPr>
            </w:pPr>
            <w:r>
              <w:rPr>
                <w:rFonts w:hint="eastAsia" w:ascii="仿宋" w:hAnsi="仿宋" w:eastAsia="仿宋" w:cs="仿宋"/>
                <w:b w:val="0"/>
                <w:bCs w:val="0"/>
                <w:color w:val="auto"/>
                <w:kern w:val="0"/>
                <w:sz w:val="24"/>
                <w:szCs w:val="24"/>
                <w:vertAlign w:val="baseline"/>
                <w:lang w:val="en-US" w:eastAsia="zh-CN" w:bidi="ar"/>
              </w:rPr>
              <w:t>2</w:t>
            </w:r>
          </w:p>
        </w:tc>
        <w:tc>
          <w:tcPr>
            <w:tcW w:w="3969" w:type="dxa"/>
            <w:vAlign w:val="center"/>
          </w:tcPr>
          <w:p>
            <w:pPr>
              <w:pStyle w:val="51"/>
              <w:keepNext w:val="0"/>
              <w:keepLines w:val="0"/>
              <w:pageBreakBefore w:val="0"/>
              <w:widowControl w:val="0"/>
              <w:numPr>
                <w:ilvl w:val="0"/>
                <w:numId w:val="0"/>
              </w:numPr>
              <w:kinsoku/>
              <w:wordWrap/>
              <w:overflowPunct/>
              <w:topLinePunct w:val="0"/>
              <w:bidi w:val="0"/>
              <w:adjustRightInd/>
              <w:snapToGrid/>
              <w:spacing w:line="460" w:lineRule="exact"/>
              <w:jc w:val="center"/>
              <w:textAlignment w:val="auto"/>
              <w:rPr>
                <w:rFonts w:hint="eastAsia" w:ascii="仿宋" w:hAnsi="仿宋" w:eastAsia="仿宋" w:cs="仿宋"/>
                <w:b w:val="0"/>
                <w:bCs w:val="0"/>
                <w:color w:val="auto"/>
                <w:kern w:val="0"/>
                <w:sz w:val="24"/>
                <w:szCs w:val="24"/>
                <w:vertAlign w:val="baseline"/>
                <w:lang w:val="en-US" w:eastAsia="zh-CN" w:bidi="ar"/>
              </w:rPr>
            </w:pPr>
          </w:p>
        </w:tc>
        <w:tc>
          <w:tcPr>
            <w:tcW w:w="1417" w:type="dxa"/>
            <w:vAlign w:val="center"/>
          </w:tcPr>
          <w:p>
            <w:pPr>
              <w:pStyle w:val="51"/>
              <w:keepNext w:val="0"/>
              <w:keepLines w:val="0"/>
              <w:pageBreakBefore w:val="0"/>
              <w:widowControl w:val="0"/>
              <w:numPr>
                <w:ilvl w:val="0"/>
                <w:numId w:val="0"/>
              </w:numPr>
              <w:kinsoku/>
              <w:wordWrap/>
              <w:overflowPunct/>
              <w:topLinePunct w:val="0"/>
              <w:bidi w:val="0"/>
              <w:adjustRightInd/>
              <w:snapToGrid/>
              <w:spacing w:line="460" w:lineRule="exact"/>
              <w:jc w:val="center"/>
              <w:textAlignment w:val="auto"/>
              <w:rPr>
                <w:rFonts w:hint="eastAsia" w:ascii="仿宋" w:hAnsi="仿宋" w:eastAsia="仿宋" w:cs="仿宋"/>
                <w:b w:val="0"/>
                <w:bCs w:val="0"/>
                <w:color w:val="auto"/>
                <w:kern w:val="0"/>
                <w:sz w:val="24"/>
                <w:szCs w:val="24"/>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34" w:type="dxa"/>
            <w:vAlign w:val="center"/>
          </w:tcPr>
          <w:p>
            <w:pPr>
              <w:pStyle w:val="51"/>
              <w:keepNext w:val="0"/>
              <w:keepLines w:val="0"/>
              <w:pageBreakBefore w:val="0"/>
              <w:widowControl w:val="0"/>
              <w:numPr>
                <w:ilvl w:val="0"/>
                <w:numId w:val="0"/>
              </w:numPr>
              <w:kinsoku/>
              <w:wordWrap/>
              <w:overflowPunct/>
              <w:topLinePunct w:val="0"/>
              <w:bidi w:val="0"/>
              <w:adjustRightInd/>
              <w:snapToGrid/>
              <w:spacing w:line="460" w:lineRule="exact"/>
              <w:jc w:val="center"/>
              <w:textAlignment w:val="auto"/>
              <w:rPr>
                <w:rFonts w:hint="default" w:ascii="仿宋" w:hAnsi="仿宋" w:eastAsia="仿宋" w:cs="仿宋"/>
                <w:b w:val="0"/>
                <w:bCs w:val="0"/>
                <w:color w:val="auto"/>
                <w:kern w:val="0"/>
                <w:sz w:val="24"/>
                <w:szCs w:val="24"/>
                <w:vertAlign w:val="baseline"/>
                <w:lang w:val="en-US" w:eastAsia="zh-CN" w:bidi="ar"/>
              </w:rPr>
            </w:pPr>
            <w:r>
              <w:rPr>
                <w:rFonts w:hint="eastAsia" w:ascii="仿宋" w:hAnsi="仿宋" w:eastAsia="仿宋" w:cs="仿宋"/>
                <w:b w:val="0"/>
                <w:bCs w:val="0"/>
                <w:color w:val="auto"/>
                <w:kern w:val="0"/>
                <w:sz w:val="24"/>
                <w:szCs w:val="24"/>
                <w:vertAlign w:val="baseline"/>
                <w:lang w:val="en-US" w:eastAsia="zh-CN" w:bidi="ar"/>
              </w:rPr>
              <w:t>....</w:t>
            </w:r>
          </w:p>
        </w:tc>
        <w:tc>
          <w:tcPr>
            <w:tcW w:w="3969" w:type="dxa"/>
            <w:vAlign w:val="center"/>
          </w:tcPr>
          <w:p>
            <w:pPr>
              <w:pStyle w:val="51"/>
              <w:keepNext w:val="0"/>
              <w:keepLines w:val="0"/>
              <w:pageBreakBefore w:val="0"/>
              <w:widowControl w:val="0"/>
              <w:numPr>
                <w:ilvl w:val="0"/>
                <w:numId w:val="0"/>
              </w:numPr>
              <w:kinsoku/>
              <w:wordWrap/>
              <w:overflowPunct/>
              <w:topLinePunct w:val="0"/>
              <w:bidi w:val="0"/>
              <w:adjustRightInd/>
              <w:snapToGrid/>
              <w:spacing w:line="460" w:lineRule="exact"/>
              <w:jc w:val="center"/>
              <w:textAlignment w:val="auto"/>
              <w:rPr>
                <w:rFonts w:hint="eastAsia" w:ascii="仿宋" w:hAnsi="仿宋" w:eastAsia="仿宋" w:cs="仿宋"/>
                <w:b w:val="0"/>
                <w:bCs w:val="0"/>
                <w:color w:val="auto"/>
                <w:kern w:val="0"/>
                <w:sz w:val="24"/>
                <w:szCs w:val="24"/>
                <w:vertAlign w:val="baseline"/>
                <w:lang w:val="en-US" w:eastAsia="zh-CN" w:bidi="ar"/>
              </w:rPr>
            </w:pPr>
          </w:p>
        </w:tc>
        <w:tc>
          <w:tcPr>
            <w:tcW w:w="1417" w:type="dxa"/>
            <w:vAlign w:val="center"/>
          </w:tcPr>
          <w:p>
            <w:pPr>
              <w:pStyle w:val="51"/>
              <w:keepNext w:val="0"/>
              <w:keepLines w:val="0"/>
              <w:pageBreakBefore w:val="0"/>
              <w:widowControl w:val="0"/>
              <w:numPr>
                <w:ilvl w:val="0"/>
                <w:numId w:val="0"/>
              </w:numPr>
              <w:kinsoku/>
              <w:wordWrap/>
              <w:overflowPunct/>
              <w:topLinePunct w:val="0"/>
              <w:bidi w:val="0"/>
              <w:adjustRightInd/>
              <w:snapToGrid/>
              <w:spacing w:line="460" w:lineRule="exact"/>
              <w:jc w:val="center"/>
              <w:textAlignment w:val="auto"/>
              <w:rPr>
                <w:rFonts w:hint="eastAsia" w:ascii="仿宋" w:hAnsi="仿宋" w:eastAsia="仿宋" w:cs="仿宋"/>
                <w:b w:val="0"/>
                <w:bCs w:val="0"/>
                <w:color w:val="auto"/>
                <w:kern w:val="0"/>
                <w:sz w:val="24"/>
                <w:szCs w:val="24"/>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34" w:type="dxa"/>
            <w:vAlign w:val="center"/>
          </w:tcPr>
          <w:p>
            <w:pPr>
              <w:pStyle w:val="51"/>
              <w:keepNext w:val="0"/>
              <w:keepLines w:val="0"/>
              <w:pageBreakBefore w:val="0"/>
              <w:widowControl w:val="0"/>
              <w:numPr>
                <w:ilvl w:val="0"/>
                <w:numId w:val="0"/>
              </w:numPr>
              <w:kinsoku/>
              <w:wordWrap/>
              <w:overflowPunct/>
              <w:topLinePunct w:val="0"/>
              <w:bidi w:val="0"/>
              <w:adjustRightInd/>
              <w:snapToGrid/>
              <w:spacing w:line="460" w:lineRule="exact"/>
              <w:jc w:val="center"/>
              <w:textAlignment w:val="auto"/>
              <w:rPr>
                <w:rFonts w:hint="default" w:ascii="仿宋" w:hAnsi="仿宋" w:eastAsia="仿宋" w:cs="仿宋"/>
                <w:b w:val="0"/>
                <w:bCs w:val="0"/>
                <w:color w:val="auto"/>
                <w:kern w:val="0"/>
                <w:sz w:val="24"/>
                <w:szCs w:val="24"/>
                <w:vertAlign w:val="baseline"/>
                <w:lang w:val="en-US" w:eastAsia="zh-CN" w:bidi="ar"/>
              </w:rPr>
            </w:pPr>
            <w:r>
              <w:rPr>
                <w:rFonts w:hint="eastAsia" w:ascii="仿宋" w:hAnsi="仿宋" w:eastAsia="仿宋" w:cs="仿宋"/>
                <w:b w:val="0"/>
                <w:bCs w:val="0"/>
                <w:color w:val="auto"/>
                <w:kern w:val="0"/>
                <w:sz w:val="24"/>
                <w:szCs w:val="24"/>
                <w:vertAlign w:val="baseline"/>
                <w:lang w:val="en-US" w:eastAsia="zh-CN" w:bidi="ar"/>
              </w:rPr>
              <w:t>20</w:t>
            </w:r>
          </w:p>
        </w:tc>
        <w:tc>
          <w:tcPr>
            <w:tcW w:w="3969" w:type="dxa"/>
            <w:vAlign w:val="center"/>
          </w:tcPr>
          <w:p>
            <w:pPr>
              <w:pStyle w:val="51"/>
              <w:keepNext w:val="0"/>
              <w:keepLines w:val="0"/>
              <w:pageBreakBefore w:val="0"/>
              <w:widowControl w:val="0"/>
              <w:numPr>
                <w:ilvl w:val="0"/>
                <w:numId w:val="0"/>
              </w:numPr>
              <w:kinsoku/>
              <w:wordWrap/>
              <w:overflowPunct/>
              <w:topLinePunct w:val="0"/>
              <w:bidi w:val="0"/>
              <w:adjustRightInd/>
              <w:snapToGrid/>
              <w:spacing w:line="460" w:lineRule="exact"/>
              <w:jc w:val="center"/>
              <w:textAlignment w:val="auto"/>
              <w:rPr>
                <w:rFonts w:hint="eastAsia" w:ascii="仿宋" w:hAnsi="仿宋" w:eastAsia="仿宋" w:cs="仿宋"/>
                <w:b w:val="0"/>
                <w:bCs w:val="0"/>
                <w:color w:val="auto"/>
                <w:kern w:val="0"/>
                <w:sz w:val="24"/>
                <w:szCs w:val="24"/>
                <w:vertAlign w:val="baseline"/>
                <w:lang w:val="en-US" w:eastAsia="zh-CN" w:bidi="ar"/>
              </w:rPr>
            </w:pPr>
          </w:p>
        </w:tc>
        <w:tc>
          <w:tcPr>
            <w:tcW w:w="1417" w:type="dxa"/>
            <w:vAlign w:val="center"/>
          </w:tcPr>
          <w:p>
            <w:pPr>
              <w:pStyle w:val="51"/>
              <w:keepNext w:val="0"/>
              <w:keepLines w:val="0"/>
              <w:pageBreakBefore w:val="0"/>
              <w:widowControl w:val="0"/>
              <w:numPr>
                <w:ilvl w:val="0"/>
                <w:numId w:val="0"/>
              </w:numPr>
              <w:kinsoku/>
              <w:wordWrap/>
              <w:overflowPunct/>
              <w:topLinePunct w:val="0"/>
              <w:bidi w:val="0"/>
              <w:adjustRightInd/>
              <w:snapToGrid/>
              <w:spacing w:line="460" w:lineRule="exact"/>
              <w:jc w:val="center"/>
              <w:textAlignment w:val="auto"/>
              <w:rPr>
                <w:rFonts w:hint="eastAsia" w:ascii="仿宋" w:hAnsi="仿宋" w:eastAsia="仿宋" w:cs="仿宋"/>
                <w:b w:val="0"/>
                <w:bCs w:val="0"/>
                <w:color w:val="auto"/>
                <w:kern w:val="0"/>
                <w:sz w:val="24"/>
                <w:szCs w:val="24"/>
                <w:vertAlign w:val="baseline"/>
                <w:lang w:val="en-US" w:eastAsia="zh-CN" w:bidi="ar"/>
              </w:rPr>
            </w:pPr>
          </w:p>
        </w:tc>
      </w:tr>
    </w:tbl>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80" w:firstLineChars="20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3.告知</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80" w:firstLineChars="20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甲乙双方同意涉及本合同的一切事宜均以书面形式提交，双方应及时响应。</w:t>
      </w:r>
    </w:p>
    <w:p>
      <w:pPr>
        <w:keepNext w:val="0"/>
        <w:keepLines w:val="0"/>
        <w:pageBreakBefore w:val="0"/>
        <w:widowControl w:val="0"/>
        <w:tabs>
          <w:tab w:val="left" w:pos="315"/>
        </w:tabs>
        <w:kinsoku/>
        <w:wordWrap/>
        <w:overflowPunct/>
        <w:topLinePunct w:val="0"/>
        <w:autoSpaceDE w:val="0"/>
        <w:autoSpaceDN w:val="0"/>
        <w:bidi w:val="0"/>
        <w:adjustRightInd/>
        <w:snapToGrid/>
        <w:spacing w:line="460" w:lineRule="exact"/>
        <w:ind w:firstLine="468" w:firstLineChars="195"/>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4.问题项目处理</w:t>
      </w:r>
    </w:p>
    <w:p>
      <w:pPr>
        <w:keepNext w:val="0"/>
        <w:keepLines w:val="0"/>
        <w:pageBreakBefore w:val="0"/>
        <w:widowControl w:val="0"/>
        <w:kinsoku/>
        <w:wordWrap/>
        <w:overflowPunct/>
        <w:topLinePunct w:val="0"/>
        <w:bidi w:val="0"/>
        <w:adjustRightInd/>
        <w:snapToGrid/>
        <w:spacing w:line="460" w:lineRule="exact"/>
        <w:textAlignment w:val="auto"/>
        <w:rPr>
          <w:rFonts w:hint="default" w:ascii="仿宋" w:hAnsi="仿宋" w:eastAsia="仿宋" w:cs="仿宋"/>
          <w:color w:val="auto"/>
          <w:sz w:val="24"/>
          <w:szCs w:val="24"/>
          <w:lang w:val="en-US" w:eastAsia="zh-CN"/>
        </w:rPr>
        <w:sectPr>
          <w:footerReference r:id="rId7" w:type="default"/>
          <w:pgSz w:w="11906" w:h="16838"/>
          <w:pgMar w:top="1361" w:right="1418" w:bottom="1361" w:left="1418" w:header="851" w:footer="992" w:gutter="0"/>
          <w:pgNumType w:fmt="decimal"/>
          <w:cols w:space="720" w:num="1"/>
          <w:docGrid w:type="lines" w:linePitch="312" w:charSpace="0"/>
        </w:sectPr>
      </w:pPr>
      <w:r>
        <w:rPr>
          <w:rFonts w:hint="eastAsia" w:ascii="仿宋" w:hAnsi="仿宋" w:eastAsia="仿宋" w:cs="仿宋"/>
          <w:b w:val="0"/>
          <w:bCs w:val="0"/>
          <w:color w:val="auto"/>
          <w:kern w:val="0"/>
          <w:sz w:val="24"/>
          <w:szCs w:val="24"/>
          <w:lang w:val="en-US" w:eastAsia="zh-CN" w:bidi="ar"/>
        </w:rPr>
        <w:t xml:space="preserve">    问题项目的处理应按照甲方项目管理规范的要求进行。在项目实施过程中，如因乙方原因造成项目出现异常且在1天内乙方未改变问题项目现状，则甲方有权终止该项目，并拒绝支付全部款项，甲方有权要求乙方退回已收取的合同费用，并保留向乙方追偿损失的权利。</w:t>
      </w:r>
    </w:p>
    <w:p>
      <w:pPr>
        <w:keepNext w:val="0"/>
        <w:keepLines w:val="0"/>
        <w:pageBreakBefore w:val="0"/>
        <w:widowControl w:val="0"/>
        <w:suppressLineNumbers w:val="0"/>
        <w:kinsoku/>
        <w:wordWrap/>
        <w:overflowPunct/>
        <w:topLinePunct w:val="0"/>
        <w:autoSpaceDE/>
        <w:autoSpaceDN/>
        <w:bidi w:val="0"/>
        <w:adjustRightInd w:val="0"/>
        <w:snapToGrid/>
        <w:spacing w:beforeAutospacing="0" w:afterAutospacing="0" w:line="300" w:lineRule="auto"/>
        <w:ind w:right="0"/>
        <w:jc w:val="both"/>
        <w:textAlignment w:val="baseline"/>
        <w:rPr>
          <w:rFonts w:hint="eastAsia" w:ascii="楷体" w:hAnsi="楷体" w:eastAsia="楷体" w:cs="楷体"/>
          <w:b/>
          <w:bCs/>
          <w:color w:val="auto"/>
          <w:kern w:val="2"/>
          <w:sz w:val="24"/>
          <w:szCs w:val="24"/>
          <w:highlight w:val="none"/>
          <w:lang w:val="en-US" w:eastAsia="zh-CN" w:bidi="ar"/>
        </w:rPr>
      </w:pPr>
      <w:r>
        <w:rPr>
          <w:rFonts w:hint="eastAsia" w:ascii="楷体" w:hAnsi="楷体" w:eastAsia="楷体" w:cs="楷体"/>
          <w:b/>
          <w:bCs/>
          <w:color w:val="auto"/>
          <w:kern w:val="2"/>
          <w:sz w:val="24"/>
          <w:szCs w:val="24"/>
          <w:highlight w:val="none"/>
          <w:lang w:val="en-US" w:eastAsia="zh-CN" w:bidi="ar"/>
        </w:rPr>
        <w:t>附件二</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080" w:firstLineChars="170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付款</w:t>
      </w:r>
    </w:p>
    <w:p>
      <w:pPr>
        <w:pStyle w:val="2"/>
        <w:pageBreakBefore w:val="0"/>
        <w:kinsoku/>
        <w:wordWrap/>
        <w:overflowPunct/>
        <w:topLinePunct w:val="0"/>
        <w:bidi w:val="0"/>
        <w:adjustRightInd/>
        <w:snapToGrid/>
        <w:spacing w:line="460" w:lineRule="exact"/>
        <w:textAlignment w:val="auto"/>
        <w:rPr>
          <w:rFonts w:hint="eastAsia" w:ascii="仿宋" w:hAnsi="仿宋" w:eastAsia="仿宋" w:cs="仿宋"/>
          <w:color w:val="auto"/>
          <w:sz w:val="24"/>
          <w:szCs w:val="24"/>
          <w:lang w:val="en-US" w:eastAsia="zh-CN"/>
        </w:rPr>
      </w:pP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1.本合同使用货币种类为人民币。</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2.付款方式：双方采用转账方式付款，甲方应向乙方以下账户进行支付：</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ab/>
      </w:r>
      <w:r>
        <w:rPr>
          <w:rFonts w:hint="eastAsia" w:ascii="仿宋" w:hAnsi="仿宋" w:eastAsia="仿宋" w:cs="仿宋"/>
          <w:b w:val="0"/>
          <w:bCs w:val="0"/>
          <w:color w:val="auto"/>
          <w:kern w:val="0"/>
          <w:sz w:val="24"/>
          <w:szCs w:val="24"/>
          <w:lang w:val="en-US" w:eastAsia="zh-CN" w:bidi="ar"/>
        </w:rPr>
        <w:t>乙方：</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ab/>
      </w:r>
      <w:r>
        <w:rPr>
          <w:rFonts w:hint="eastAsia" w:ascii="仿宋" w:hAnsi="仿宋" w:eastAsia="仿宋" w:cs="仿宋"/>
          <w:b w:val="0"/>
          <w:bCs w:val="0"/>
          <w:color w:val="auto"/>
          <w:kern w:val="0"/>
          <w:sz w:val="24"/>
          <w:szCs w:val="24"/>
          <w:lang w:val="en-US" w:eastAsia="zh-CN" w:bidi="ar"/>
        </w:rPr>
        <w:t>开户行：</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ab/>
      </w:r>
      <w:r>
        <w:rPr>
          <w:rFonts w:hint="eastAsia" w:ascii="仿宋" w:hAnsi="仿宋" w:eastAsia="仿宋" w:cs="仿宋"/>
          <w:b w:val="0"/>
          <w:bCs w:val="0"/>
          <w:color w:val="auto"/>
          <w:kern w:val="0"/>
          <w:sz w:val="24"/>
          <w:szCs w:val="24"/>
          <w:lang w:val="en-US" w:eastAsia="zh-CN" w:bidi="ar"/>
        </w:rPr>
        <w:t>账户名称：</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ab/>
      </w:r>
      <w:r>
        <w:rPr>
          <w:rFonts w:hint="eastAsia" w:ascii="仿宋" w:hAnsi="仿宋" w:eastAsia="仿宋" w:cs="仿宋"/>
          <w:b w:val="0"/>
          <w:bCs w:val="0"/>
          <w:color w:val="auto"/>
          <w:kern w:val="0"/>
          <w:sz w:val="24"/>
          <w:szCs w:val="24"/>
          <w:lang w:val="en-US" w:eastAsia="zh-CN" w:bidi="ar"/>
        </w:rPr>
        <w:t>账号：</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乙方如需改变上述账户，应提前10日以书面通知甲方。</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3.付款安排</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本合同服务费用一次性结算，乙方制作完成投放后，甲方根据项目约定的服务内容、数量及规格验收无误后，乙方向甲方提供合规有效的增值税专用发票，甲方在收到合格发票后，支付总费用的100%，对应金额______元。</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4.增值税专用发票的相关约定</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 xml:space="preserve">（1）乙方应向甲方开具增值税专用发票，甲方开票信息如下： </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公司名称：中国人民财产保险股份有限公司泸州市分公司</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纳税识别号：915105009047030323</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银行账号：2304342109023100136</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开户银行：中国工商银行泸州市大山坪支行</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开票地址：四川省泸州市江阳区江阳西路段163号1栋</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开票电话： 0830-3198644</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（2）乙方同时向甲方公司及其分支机构提供产品及服务的，双方应在合同中约定甲方的分支机构和对应的价款。乙方应分别对清单中的费用承担方开具相应金额的增值税专用发票；</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 xml:space="preserve">（3）多次分批的增值税专用发票的开具、提交以及双方收付款，乙方开具并提交甲方的增值税专用发票的价税合计金额应与甲方已经支付的价税合计款项保持一致； </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pageBreakBefore w:val="0"/>
        <w:kinsoku/>
        <w:wordWrap/>
        <w:overflowPunct/>
        <w:topLinePunct w:val="0"/>
        <w:bidi w:val="0"/>
        <w:adjustRightInd/>
        <w:snapToGrid/>
        <w:spacing w:line="460" w:lineRule="exact"/>
        <w:textAlignment w:val="auto"/>
        <w:rPr>
          <w:rFonts w:hint="eastAsia" w:ascii="仿宋" w:hAnsi="仿宋" w:eastAsia="仿宋" w:cs="仿宋"/>
          <w:color w:val="auto"/>
          <w:sz w:val="24"/>
          <w:szCs w:val="24"/>
        </w:rPr>
      </w:pPr>
      <w:r>
        <w:rPr>
          <w:rFonts w:hint="eastAsia" w:ascii="仿宋" w:hAnsi="仿宋" w:eastAsia="仿宋" w:cs="仿宋"/>
          <w:b w:val="0"/>
          <w:bCs w:val="0"/>
          <w:color w:val="auto"/>
          <w:kern w:val="0"/>
          <w:sz w:val="24"/>
          <w:szCs w:val="24"/>
          <w:lang w:val="en-US" w:eastAsia="zh-CN" w:bidi="ar"/>
        </w:rPr>
        <w:t xml:space="preserve">   （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rPr>
          <w:rFonts w:hint="eastAsia"/>
        </w:rPr>
      </w:pPr>
      <w:r>
        <w:rPr>
          <w:rFonts w:hint="eastAsia" w:ascii="楷体" w:hAnsi="楷体" w:eastAsia="楷体" w:cs="楷体"/>
          <w:sz w:val="24"/>
          <w:szCs w:val="24"/>
        </w:rPr>
        <w:br w:type="page"/>
      </w:r>
    </w:p>
    <w:p>
      <w:pPr>
        <w:keepNext w:val="0"/>
        <w:keepLines w:val="0"/>
        <w:pageBreakBefore w:val="0"/>
        <w:widowControl w:val="0"/>
        <w:suppressLineNumbers w:val="0"/>
        <w:kinsoku/>
        <w:wordWrap/>
        <w:overflowPunct/>
        <w:topLinePunct w:val="0"/>
        <w:autoSpaceDE/>
        <w:autoSpaceDN/>
        <w:bidi w:val="0"/>
        <w:adjustRightInd w:val="0"/>
        <w:snapToGrid/>
        <w:spacing w:beforeAutospacing="0" w:afterAutospacing="0" w:line="300" w:lineRule="auto"/>
        <w:ind w:right="0"/>
        <w:jc w:val="both"/>
        <w:textAlignment w:val="baseline"/>
        <w:rPr>
          <w:rFonts w:hint="default" w:eastAsia="楷体"/>
          <w:color w:val="auto"/>
          <w:highlight w:val="none"/>
          <w:lang w:val="en-US" w:eastAsia="zh-CN"/>
        </w:rPr>
      </w:pPr>
      <w:r>
        <w:rPr>
          <w:rFonts w:hint="eastAsia" w:ascii="楷体" w:hAnsi="楷体" w:eastAsia="楷体" w:cs="楷体"/>
          <w:b/>
          <w:color w:val="auto"/>
          <w:sz w:val="28"/>
          <w:szCs w:val="28"/>
          <w:highlight w:val="none"/>
          <w:lang w:val="en-US" w:eastAsia="zh-CN"/>
        </w:rPr>
        <w:t>附件三</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left="0" w:right="0"/>
        <w:jc w:val="center"/>
        <w:outlineLvl w:val="9"/>
        <w:rPr>
          <w:rFonts w:hint="eastAsia" w:ascii="仿宋" w:hAnsi="仿宋" w:eastAsia="仿宋" w:cs="仿宋"/>
          <w:b/>
          <w:bCs/>
          <w:spacing w:val="20"/>
          <w:sz w:val="28"/>
          <w:szCs w:val="28"/>
          <w:lang w:val="en-US"/>
        </w:rPr>
      </w:pPr>
      <w:r>
        <w:rPr>
          <w:rFonts w:hint="eastAsia" w:ascii="仿宋" w:hAnsi="仿宋" w:eastAsia="仿宋" w:cs="仿宋"/>
          <w:b/>
          <w:bCs/>
          <w:spacing w:val="20"/>
          <w:kern w:val="2"/>
          <w:sz w:val="28"/>
          <w:szCs w:val="28"/>
          <w:lang w:val="en-US" w:eastAsia="zh-CN" w:bidi="ar"/>
        </w:rPr>
        <w:t>廉洁诚信协议</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88" w:lineRule="auto"/>
        <w:ind w:right="0" w:firstLine="480" w:firstLineChars="200"/>
        <w:jc w:val="both"/>
        <w:textAlignment w:val="baseline"/>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第一条  总则</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1.3本协议所称相关主体，对任何一方而言，包括但不限于以下单位或者个人：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（1）一方或其关联方之工作人员；</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（2）受一方委托办理相关事务的单位或者个人；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（3）利用职权或者影响力影响交易的单位或者个人；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（4）前述相关人员的亲属；</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（5）与前述相关主体存在利害关系的其他单位或者人员。</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乙方相关主体实施违反本协议约定之行为的，均应视为乙方实施行为。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第二条  商业贿赂</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2.1本协议所称商业贿赂，是指乙方或乙方相关主体为获取或意图获取交易机会或者竞争优势，采用财物或者其他形式贿赂甲方或甲方相关主体的行为。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2.3本条第1款所称其他形式，包括但不限于：</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（1）以任何方式实施商业贿赂或违规提供回扣、折扣、宴请与游玩活动或其他不正当利益；</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（2）为甲方或甲方相关主体安排有可能影响公平、公正交易的宴请、健身、娱乐等活动；</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（3）为甲方或甲方相关主体投资入股、个人借款或买卖股票、债券等提供方便；</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（4）为甲方或甲方相关主体购买或装修住房、婚丧嫁娶、配偶子女上学或工作安排以及出国出境、旅游等提供方便；</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（5）违反规定为甲方或甲方相关主体在乙方相关企业工作、挂名兼职、合伙经营、介绍承揽业务等提供方便；</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（6）向甲方或甲方相关主体提供借款、融资、担保等；</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（7）给予或承诺给予其不正当利益的其他行为；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（8）其他违反国家法律法规或商业道德准则的影响公正交易的行为。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第三条  回扣</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3.1本协议所称回扣，是指乙方促成合作时在账外暗中以现金、实物或者其他方式退给甲方或甲方相关主体一定比例的商品或服务价款。</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3.3乙方在账外暗中给予甲方相关主体回扣的，视为实施商业贿赂行为。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第四条  折扣</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4.2乙方提供的商品或服务，可以以明示方式给予甲方折扣。乙方给予甲方折扣的，必须在采购协议中予以明确并如实入账。</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4.3本条第1款所称如实入账，是指根据采购或合作协议约定的金额和支付方式，在依法设立的反映甲方生产经营活动收支的财务账上按照财务会计制度规定明确如实记载。</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4.4乙方违反本条约定的，视为实施商业贿赂行为。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第五条  宴请与游玩活动</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5.2乙方不得为甲方相关主体提供各种形式的旅游、健身、KTV、酒吧、按摩、赌博、色情等娱乐休闲活动。</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5.3乙方违反本条约定的，视为实施商业贿赂行为。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第六条  禁止行为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双方一致同意双方或双方相关主体的如下行为是应当禁止的营私舞弊或腐败行为：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6.1甲方及甲方相关主体向乙方索要或收受财物或其他形式的财产性利益、非财产性利益。</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6.2乙方及乙方相关主体向甲方或甲方相关主体提供财物或其他形式的财产性利益、非财产性利益，包括但不限于：</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（1）报销甲方相关主体的私人费用；</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（2）提供超过宴请标准的宴请或娱乐活动；</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（3）介绍甲方相关主体亲友到乙方处工作；</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（4）提出、邀请或事实上接受甲方相关主体在乙方参股或参与乙方经营活动；</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（5）组织或向甲方相关主体提供旅游等代偿活动利益；</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（6）向甲方相关主体提供借款、融资、担保等；</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（7）给予或承诺给予甲方相关主体不正当利益的其他行为；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（8）其他违反本协议约定、国家法律法规或商业道德准则的影响公正交易的行为。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第七条  乙方承诺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乙方承诺在双方的商务接洽、合同关系、交易过程中遵守如下要求：</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7.1 避免利害关系</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7.2 恪守廉洁自律原则</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7.3 恪守诚实信用原则</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7.3.2严格遵守向甲方做出的承诺、双方签署的合同、协议和备忘录等，确保产品质量和服务质量，不隐瞒任何可能对甲方利益造成影响的信息，积极配合甲方的审计。</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7.3.3严格遵守甲方的供应商行为准则、合作协议、保密承诺书等政策文件中的相关规定。</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7.3.4严格遵守甲方的品牌管理的相关规定，未经甲方授权不擅自使用甲方字样、授权合作伙伴等类似容易对外产生混淆的字样。</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7.3.5严格遵守国家相关法律法规及甲方的管理规定，不参与任何违法活动。</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7.3.6承诺实事求是，不对内部或社会传递任何虚假信息，严格遵守保密协议，不透露任何甲方的商业机密。</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7.3.7未经甲方同意，不向任何新闻媒体、第三方述及有关甲方工作人员恪守商业道德方面的评价、信息。</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7.4 确保信息公开透明</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7.4.1主动向甲方披露与采购项目相关的信息，包括乙方真实情况、产品价格、技术参数、服务团队信息、履约情况等。</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7.4.2不利用非法手段向甲方及甲方相关主体打探有关涉及甲方及甲方相关主体的商业秘密、人员信息、采购信息等。</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7.5 积极配合监督举报</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7.5.2如乙方有知悉或怀疑甲方相关主体有违反上述约定的，应及时采取措施并有权向甲方纪检部门举报。甲方会对所有信息提供者及所提供的全部资料严格保密。</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7.6 加强内部廉洁管理</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7.6.1加强内部管理：加强对员工的廉洁教育和培训，提高员工的道德素质和法律意识，建立健全内部管理制度，确保员工行为的合规性和廉洁性。</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7.6.2设立监督机制：通过专门的监督机构或人员，对乙方的业务活动进行实时监督，确保员工行为的合规性。</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7.6.3建立举报制度：鼓励员工积极举报违规行为，对举报人予以保护并给予奖励。</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第八条  违约责任</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8.1若甲方人员违反本协议第六条规定的，按照甲方内部管理权限，依据有关法律和规定给予处分或组织处理，涉嫌犯罪的，移交司法机关追究刑事责任。</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8.2如乙方违反本协议任何约定或承诺，甲方有权依据甲方采购管理、供应商管理和采购文件相关要求，对乙方进行严肃处理，相关处罚结果记入供应商诚信档案。</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8.3 如乙方违反本协议任何约定或承诺，</w:t>
      </w:r>
      <w:r>
        <w:rPr>
          <w:rFonts w:hint="eastAsia" w:ascii="仿宋" w:hAnsi="仿宋" w:eastAsia="仿宋" w:cs="仿宋"/>
          <w:b/>
          <w:bCs/>
          <w:kern w:val="2"/>
          <w:sz w:val="24"/>
          <w:szCs w:val="24"/>
          <w:lang w:val="en-US" w:eastAsia="zh-CN" w:bidi="ar"/>
        </w:rPr>
        <w:t>甲方及甲方子公司有权根据情节严重程度选择单方全面终止与乙方的合同及合作，且无需承担任何责任。乙方给甲方造成损失的，甲方有权要求乙方承担全部赔偿责任。</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8.4</w:t>
      </w:r>
      <w:r>
        <w:rPr>
          <w:rFonts w:hint="eastAsia" w:ascii="仿宋" w:hAnsi="仿宋" w:eastAsia="仿宋" w:cs="仿宋"/>
          <w:b/>
          <w:bCs/>
          <w:kern w:val="2"/>
          <w:sz w:val="24"/>
          <w:szCs w:val="24"/>
          <w:lang w:val="en-US" w:eastAsia="zh-CN" w:bidi="ar"/>
        </w:rPr>
        <w:t>甲方及甲方子公司按照前述条款要求乙方承担赔偿责任的，</w:t>
      </w:r>
      <w:r>
        <w:rPr>
          <w:rFonts w:hint="eastAsia" w:ascii="仿宋" w:hAnsi="仿宋" w:eastAsia="仿宋" w:cs="仿宋"/>
          <w:kern w:val="2"/>
          <w:sz w:val="24"/>
          <w:szCs w:val="24"/>
          <w:lang w:val="en-US" w:eastAsia="zh-CN" w:bidi="ar"/>
        </w:rPr>
        <w:t>乙方应于甲方发出赔偿通知之日起【10】个工作日内支付，如未及时支付，甲方及甲方子公司有权从主合同款项中直接扣除。</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8.5乙方知悉并同意，对于上述情形的处理甲方有完全的判断权和自主权。</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第九条  附则</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9.1本协议的标题及各条款的标题仅为检索方便而设置，具体内容应当以各条款的具体规定为准，而不应参考该标题进行解释。</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eastAsia="zh-CN"/>
        </w:rPr>
      </w:pPr>
      <w:r>
        <w:rPr>
          <w:rFonts w:hint="eastAsia" w:ascii="仿宋" w:hAnsi="仿宋" w:eastAsia="仿宋" w:cs="仿宋"/>
          <w:kern w:val="2"/>
          <w:sz w:val="24"/>
          <w:szCs w:val="24"/>
          <w:lang w:val="en-US" w:eastAsia="zh-CN" w:bidi="ar"/>
        </w:rPr>
        <w:t>9.5本协议长期有效。</w:t>
      </w:r>
    </w:p>
    <w:p>
      <w:pPr>
        <w:rPr>
          <w:rFonts w:hint="eastAsia"/>
        </w:rPr>
      </w:pPr>
    </w:p>
    <w:p>
      <w:pPr>
        <w:pStyle w:val="3"/>
        <w:pageBreakBefore/>
        <w:ind w:left="0" w:firstLine="3064" w:firstLineChars="1090"/>
        <w:jc w:val="left"/>
        <w:rPr>
          <w:rFonts w:ascii="仿宋_GB2312" w:hAnsi="宋体" w:eastAsia="仿宋_GB2312"/>
          <w:color w:val="auto"/>
          <w:sz w:val="28"/>
          <w:szCs w:val="28"/>
        </w:rPr>
      </w:pPr>
      <w:bookmarkStart w:id="125" w:name="_Toc28455"/>
      <w:r>
        <w:rPr>
          <w:rFonts w:hint="eastAsia" w:ascii="仿宋_GB2312" w:hAnsi="宋体" w:eastAsia="仿宋_GB2312"/>
          <w:color w:val="auto"/>
          <w:sz w:val="28"/>
          <w:szCs w:val="28"/>
        </w:rPr>
        <w:t>第五章 采购</w:t>
      </w:r>
      <w:bookmarkEnd w:id="124"/>
      <w:r>
        <w:rPr>
          <w:rFonts w:hint="eastAsia" w:ascii="仿宋_GB2312" w:hAnsi="宋体" w:eastAsia="仿宋_GB2312"/>
          <w:color w:val="auto"/>
          <w:sz w:val="28"/>
          <w:szCs w:val="28"/>
        </w:rPr>
        <w:t>需求</w:t>
      </w:r>
      <w:bookmarkEnd w:id="125"/>
    </w:p>
    <w:p>
      <w:pPr>
        <w:spacing w:line="360" w:lineRule="auto"/>
        <w:ind w:firstLine="482" w:firstLineChars="200"/>
        <w:rPr>
          <w:rFonts w:hint="eastAsia" w:ascii="仿宋" w:hAnsi="仿宋" w:eastAsia="仿宋" w:cs="仿宋"/>
          <w:b/>
          <w:bCs/>
          <w:color w:val="auto"/>
          <w:szCs w:val="32"/>
        </w:rPr>
      </w:pPr>
      <w:r>
        <w:rPr>
          <w:rFonts w:hint="eastAsia" w:ascii="仿宋" w:hAnsi="仿宋" w:eastAsia="仿宋" w:cs="仿宋"/>
          <w:b/>
          <w:bCs/>
          <w:color w:val="auto"/>
          <w:szCs w:val="32"/>
        </w:rPr>
        <w:t>一、采购项目背景</w:t>
      </w:r>
    </w:p>
    <w:p>
      <w:pPr>
        <w:spacing w:line="360" w:lineRule="auto"/>
        <w:ind w:firstLine="480" w:firstLineChars="200"/>
        <w:rPr>
          <w:rFonts w:hint="eastAsia" w:ascii="仿宋" w:hAnsi="仿宋" w:eastAsia="仿宋" w:cs="仿宋"/>
          <w:color w:val="auto"/>
          <w:szCs w:val="32"/>
        </w:rPr>
      </w:pPr>
      <w:r>
        <w:rPr>
          <w:rFonts w:hint="eastAsia" w:ascii="仿宋" w:hAnsi="仿宋" w:eastAsia="仿宋" w:cs="仿宋"/>
          <w:color w:val="auto"/>
          <w:szCs w:val="32"/>
        </w:rPr>
        <w:t>为促进业务发展，加大我司车险和企业财产保险产品宣传，提高大众对我司保险产品的关注度和认可度，拓展新客户资源，助力业务发展,泸州市分公司拟在泸县县域内和隆纳高速泸州收费站的立柱投放产品宣传。</w:t>
      </w:r>
    </w:p>
    <w:p>
      <w:pPr>
        <w:spacing w:line="360" w:lineRule="auto"/>
        <w:ind w:firstLine="482" w:firstLineChars="200"/>
        <w:rPr>
          <w:rFonts w:hint="eastAsia" w:ascii="仿宋" w:hAnsi="仿宋" w:eastAsia="仿宋" w:cs="仿宋"/>
          <w:b/>
          <w:bCs/>
          <w:color w:val="auto"/>
          <w:szCs w:val="32"/>
        </w:rPr>
      </w:pPr>
      <w:r>
        <w:rPr>
          <w:rFonts w:hint="eastAsia" w:ascii="仿宋" w:hAnsi="仿宋" w:eastAsia="仿宋" w:cs="仿宋"/>
          <w:b/>
          <w:bCs/>
          <w:color w:val="auto"/>
          <w:szCs w:val="32"/>
        </w:rPr>
        <w:t>二、采购内容</w:t>
      </w:r>
    </w:p>
    <w:p>
      <w:pPr>
        <w:spacing w:line="360" w:lineRule="auto"/>
        <w:ind w:firstLine="480" w:firstLineChars="200"/>
        <w:rPr>
          <w:rFonts w:hint="eastAsia" w:ascii="仿宋" w:hAnsi="仿宋" w:eastAsia="仿宋" w:cs="仿宋"/>
          <w:b w:val="0"/>
          <w:bCs w:val="0"/>
          <w:color w:val="000000" w:themeColor="text1"/>
          <w:szCs w:val="32"/>
          <w14:textFill>
            <w14:solidFill>
              <w14:schemeClr w14:val="tx1"/>
            </w14:solidFill>
          </w14:textFill>
        </w:rPr>
      </w:pPr>
      <w:r>
        <w:rPr>
          <w:rFonts w:hint="eastAsia" w:ascii="仿宋" w:hAnsi="仿宋" w:eastAsia="仿宋" w:cs="仿宋"/>
          <w:b w:val="0"/>
          <w:bCs w:val="0"/>
          <w:color w:val="000000" w:themeColor="text1"/>
          <w:szCs w:val="32"/>
          <w14:textFill>
            <w14:solidFill>
              <w14:schemeClr w14:val="tx1"/>
            </w14:solidFill>
          </w14:textFill>
        </w:rPr>
        <w:t>拟采购两家供应商，分别负责泸县县域内和隆纳高速路收费站（泸州站）的立柱宣传。</w:t>
      </w:r>
    </w:p>
    <w:p>
      <w:pPr>
        <w:spacing w:line="360" w:lineRule="auto"/>
        <w:ind w:firstLine="480" w:firstLineChars="200"/>
        <w:rPr>
          <w:rFonts w:hint="default" w:ascii="仿宋" w:hAnsi="仿宋" w:eastAsia="仿宋" w:cs="仿宋"/>
          <w:b w:val="0"/>
          <w:bCs w:val="0"/>
          <w:color w:val="000000" w:themeColor="text1"/>
          <w:szCs w:val="32"/>
          <w:lang w:val="en-US" w:eastAsia="zh-CN"/>
          <w14:textFill>
            <w14:solidFill>
              <w14:schemeClr w14:val="tx1"/>
            </w14:solidFill>
          </w14:textFill>
        </w:rPr>
      </w:pPr>
      <w:r>
        <w:rPr>
          <w:rFonts w:hint="eastAsia" w:ascii="仿宋" w:hAnsi="仿宋" w:eastAsia="仿宋" w:cs="仿宋"/>
          <w:b w:val="0"/>
          <w:bCs w:val="0"/>
          <w:color w:val="000000" w:themeColor="text1"/>
          <w:szCs w:val="32"/>
          <w14:textFill>
            <w14:solidFill>
              <w14:schemeClr w14:val="tx1"/>
            </w14:solidFill>
          </w14:textFill>
        </w:rPr>
        <w:t>项目分为两个标包进行采购，</w:t>
      </w:r>
      <w:r>
        <w:rPr>
          <w:rFonts w:hint="eastAsia" w:ascii="仿宋" w:hAnsi="仿宋" w:eastAsia="仿宋" w:cs="仿宋"/>
          <w:b w:val="0"/>
          <w:bCs w:val="0"/>
          <w:color w:val="000000" w:themeColor="text1"/>
          <w:szCs w:val="32"/>
          <w:lang w:val="en-US" w:eastAsia="zh-CN"/>
          <w14:textFill>
            <w14:solidFill>
              <w14:schemeClr w14:val="tx1"/>
            </w14:solidFill>
          </w14:textFill>
        </w:rPr>
        <w:t>情况如下：</w:t>
      </w:r>
    </w:p>
    <w:p>
      <w:pPr>
        <w:spacing w:line="360" w:lineRule="auto"/>
        <w:ind w:firstLine="482" w:firstLineChars="200"/>
        <w:rPr>
          <w:rFonts w:hint="default" w:ascii="仿宋" w:hAnsi="仿宋" w:eastAsia="仿宋" w:cs="仿宋"/>
          <w:b/>
          <w:bCs/>
          <w:color w:val="000000" w:themeColor="text1"/>
          <w:szCs w:val="32"/>
          <w:lang w:val="en-US" w:eastAsia="zh-CN"/>
          <w14:textFill>
            <w14:solidFill>
              <w14:schemeClr w14:val="tx1"/>
            </w14:solidFill>
          </w14:textFill>
        </w:rPr>
      </w:pPr>
      <w:r>
        <w:rPr>
          <w:rFonts w:hint="eastAsia" w:ascii="仿宋" w:hAnsi="仿宋" w:eastAsia="仿宋" w:cs="仿宋"/>
          <w:b/>
          <w:bCs/>
          <w:color w:val="000000" w:themeColor="text1"/>
          <w:szCs w:val="32"/>
          <w:lang w:eastAsia="zh-CN"/>
          <w14:textFill>
            <w14:solidFill>
              <w14:schemeClr w14:val="tx1"/>
            </w14:solidFill>
          </w14:textFill>
        </w:rPr>
        <w:t>（</w:t>
      </w:r>
      <w:r>
        <w:rPr>
          <w:rFonts w:hint="eastAsia" w:ascii="仿宋" w:hAnsi="仿宋" w:eastAsia="仿宋" w:cs="仿宋"/>
          <w:b/>
          <w:bCs/>
          <w:color w:val="000000" w:themeColor="text1"/>
          <w:szCs w:val="32"/>
          <w:lang w:val="en-US" w:eastAsia="zh-CN"/>
          <w14:textFill>
            <w14:solidFill>
              <w14:schemeClr w14:val="tx1"/>
            </w14:solidFill>
          </w14:textFill>
        </w:rPr>
        <w:t>一</w:t>
      </w:r>
      <w:r>
        <w:rPr>
          <w:rFonts w:hint="eastAsia" w:ascii="仿宋" w:hAnsi="仿宋" w:eastAsia="仿宋" w:cs="仿宋"/>
          <w:b/>
          <w:bCs/>
          <w:color w:val="000000" w:themeColor="text1"/>
          <w:szCs w:val="32"/>
          <w:lang w:eastAsia="zh-CN"/>
          <w14:textFill>
            <w14:solidFill>
              <w14:schemeClr w14:val="tx1"/>
            </w14:solidFill>
          </w14:textFill>
        </w:rPr>
        <w:t>）</w:t>
      </w:r>
      <w:r>
        <w:rPr>
          <w:rFonts w:hint="eastAsia" w:ascii="仿宋" w:hAnsi="仿宋" w:eastAsia="仿宋" w:cs="仿宋"/>
          <w:b/>
          <w:bCs/>
          <w:color w:val="000000" w:themeColor="text1"/>
          <w:szCs w:val="32"/>
          <w:lang w:val="en-US" w:eastAsia="zh-CN"/>
          <w14:textFill>
            <w14:solidFill>
              <w14:schemeClr w14:val="tx1"/>
            </w14:solidFill>
          </w14:textFill>
        </w:rPr>
        <w:t>标包1采购内容</w:t>
      </w:r>
    </w:p>
    <w:p>
      <w:pPr>
        <w:spacing w:line="360" w:lineRule="auto"/>
        <w:ind w:firstLine="480" w:firstLineChars="200"/>
        <w:rPr>
          <w:rFonts w:hint="eastAsia" w:ascii="仿宋" w:hAnsi="仿宋" w:eastAsia="仿宋" w:cs="仿宋"/>
          <w:b w:val="0"/>
          <w:bCs w:val="0"/>
          <w:color w:val="000000" w:themeColor="text1"/>
          <w:szCs w:val="32"/>
          <w14:textFill>
            <w14:solidFill>
              <w14:schemeClr w14:val="tx1"/>
            </w14:solidFill>
          </w14:textFill>
        </w:rPr>
      </w:pPr>
      <w:r>
        <w:rPr>
          <w:rFonts w:hint="eastAsia" w:ascii="仿宋" w:hAnsi="仿宋" w:eastAsia="仿宋" w:cs="仿宋"/>
          <w:b w:val="0"/>
          <w:bCs w:val="0"/>
          <w:color w:val="000000" w:themeColor="text1"/>
          <w:szCs w:val="32"/>
          <w14:textFill>
            <w14:solidFill>
              <w14:schemeClr w14:val="tx1"/>
            </w14:solidFill>
          </w14:textFill>
        </w:rPr>
        <w:t>拟采购一家有资质的供应商，为我公司提供泸县县域内立柱宣传制作和宣传发布，采购预算为</w:t>
      </w:r>
      <w:r>
        <w:rPr>
          <w:rFonts w:hint="eastAsia" w:ascii="仿宋" w:hAnsi="仿宋" w:eastAsia="仿宋" w:cs="仿宋"/>
          <w:b w:val="0"/>
          <w:bCs w:val="0"/>
          <w:color w:val="000000" w:themeColor="text1"/>
          <w:szCs w:val="32"/>
          <w:lang w:val="en-US" w:eastAsia="zh-CN"/>
          <w14:textFill>
            <w14:solidFill>
              <w14:schemeClr w14:val="tx1"/>
            </w14:solidFill>
          </w14:textFill>
        </w:rPr>
        <w:t>19.2</w:t>
      </w:r>
      <w:r>
        <w:rPr>
          <w:rFonts w:hint="eastAsia" w:ascii="仿宋" w:hAnsi="仿宋" w:eastAsia="仿宋" w:cs="仿宋"/>
          <w:b w:val="0"/>
          <w:bCs w:val="0"/>
          <w:color w:val="000000" w:themeColor="text1"/>
          <w:szCs w:val="32"/>
          <w14:textFill>
            <w14:solidFill>
              <w14:schemeClr w14:val="tx1"/>
            </w14:solidFill>
          </w14:textFill>
        </w:rPr>
        <w:t>万。</w:t>
      </w:r>
    </w:p>
    <w:p>
      <w:pPr>
        <w:spacing w:line="360" w:lineRule="auto"/>
        <w:ind w:firstLine="480" w:firstLineChars="200"/>
        <w:rPr>
          <w:rFonts w:hint="eastAsia" w:ascii="仿宋" w:hAnsi="仿宋" w:eastAsia="仿宋" w:cs="仿宋"/>
          <w:b w:val="0"/>
          <w:bCs w:val="0"/>
          <w:color w:val="000000" w:themeColor="text1"/>
          <w:szCs w:val="32"/>
          <w14:textFill>
            <w14:solidFill>
              <w14:schemeClr w14:val="tx1"/>
            </w14:solidFill>
          </w14:textFill>
        </w:rPr>
      </w:pPr>
      <w:r>
        <w:rPr>
          <w:rFonts w:hint="eastAsia" w:ascii="仿宋" w:hAnsi="仿宋" w:eastAsia="仿宋" w:cs="仿宋"/>
          <w:b w:val="0"/>
          <w:bCs w:val="0"/>
          <w:color w:val="000000" w:themeColor="text1"/>
          <w:szCs w:val="32"/>
          <w14:textFill>
            <w14:solidFill>
              <w14:schemeClr w14:val="tx1"/>
            </w14:solidFill>
          </w14:textFill>
        </w:rPr>
        <w:t>投放地点及数量：玉蟾街道1个、福集镇1个、嘉明镇1个、 喻寺镇1个、 得胜镇1个、 牛滩镇1个、 兆雅镇1个、 玄滩镇1个、太伏镇1个、云龙镇1个、石桥镇1个、毗卢镇1个、奇峰镇1个、潮河镇1个、云锦镇1个、立石镇1个、百和镇1个、天兴镇1个、方洞镇1个和海潮镇1个。</w:t>
      </w:r>
    </w:p>
    <w:p>
      <w:pPr>
        <w:spacing w:line="360" w:lineRule="auto"/>
        <w:ind w:firstLine="480" w:firstLineChars="200"/>
        <w:rPr>
          <w:rFonts w:hint="eastAsia" w:ascii="仿宋" w:hAnsi="仿宋" w:eastAsia="仿宋" w:cs="仿宋"/>
          <w:b w:val="0"/>
          <w:bCs w:val="0"/>
          <w:color w:val="000000" w:themeColor="text1"/>
          <w:szCs w:val="32"/>
          <w14:textFill>
            <w14:solidFill>
              <w14:schemeClr w14:val="tx1"/>
            </w14:solidFill>
          </w14:textFill>
        </w:rPr>
      </w:pPr>
      <w:r>
        <w:rPr>
          <w:rFonts w:hint="eastAsia" w:ascii="仿宋" w:hAnsi="仿宋" w:eastAsia="仿宋" w:cs="仿宋"/>
          <w:b w:val="0"/>
          <w:bCs w:val="0"/>
          <w:color w:val="000000" w:themeColor="text1"/>
          <w:szCs w:val="32"/>
          <w14:textFill>
            <w14:solidFill>
              <w14:schemeClr w14:val="tx1"/>
            </w14:solidFill>
          </w14:textFill>
        </w:rPr>
        <w:t>投放规格：3米*9米，双面</w:t>
      </w:r>
    </w:p>
    <w:p>
      <w:pPr>
        <w:spacing w:line="360" w:lineRule="auto"/>
        <w:ind w:firstLine="480" w:firstLineChars="200"/>
        <w:rPr>
          <w:rFonts w:hint="eastAsia" w:ascii="仿宋" w:hAnsi="仿宋" w:eastAsia="仿宋" w:cs="仿宋"/>
          <w:b w:val="0"/>
          <w:bCs w:val="0"/>
          <w:color w:val="000000" w:themeColor="text1"/>
          <w:szCs w:val="32"/>
          <w:lang w:val="en-US" w:eastAsia="zh-CN"/>
          <w14:textFill>
            <w14:solidFill>
              <w14:schemeClr w14:val="tx1"/>
            </w14:solidFill>
          </w14:textFill>
        </w:rPr>
      </w:pPr>
      <w:r>
        <w:rPr>
          <w:rFonts w:hint="eastAsia" w:ascii="仿宋" w:hAnsi="仿宋" w:eastAsia="仿宋" w:cs="仿宋"/>
          <w:b w:val="0"/>
          <w:bCs w:val="0"/>
          <w:color w:val="000000" w:themeColor="text1"/>
          <w:szCs w:val="32"/>
          <w:lang w:val="en-US" w:eastAsia="zh-CN"/>
          <w14:textFill>
            <w14:solidFill>
              <w14:schemeClr w14:val="tx1"/>
            </w14:solidFill>
          </w14:textFill>
        </w:rPr>
        <w:t>画面材质：高清写真画</w:t>
      </w:r>
    </w:p>
    <w:p>
      <w:pPr>
        <w:spacing w:line="360" w:lineRule="auto"/>
        <w:ind w:firstLine="480" w:firstLineChars="200"/>
        <w:rPr>
          <w:rFonts w:hint="eastAsia" w:ascii="仿宋" w:hAnsi="仿宋" w:eastAsia="仿宋" w:cs="仿宋"/>
          <w:b w:val="0"/>
          <w:bCs w:val="0"/>
          <w:color w:val="000000" w:themeColor="text1"/>
          <w:szCs w:val="32"/>
          <w14:textFill>
            <w14:solidFill>
              <w14:schemeClr w14:val="tx1"/>
            </w14:solidFill>
          </w14:textFill>
        </w:rPr>
      </w:pPr>
      <w:r>
        <w:rPr>
          <w:rFonts w:hint="eastAsia" w:ascii="仿宋" w:hAnsi="仿宋" w:eastAsia="仿宋" w:cs="仿宋"/>
          <w:b w:val="0"/>
          <w:bCs w:val="0"/>
          <w:color w:val="000000" w:themeColor="text1"/>
          <w:szCs w:val="32"/>
          <w14:textFill>
            <w14:solidFill>
              <w14:schemeClr w14:val="tx1"/>
            </w14:solidFill>
          </w14:textFill>
        </w:rPr>
        <w:t>投放周期：3个月</w:t>
      </w:r>
    </w:p>
    <w:p>
      <w:pPr>
        <w:spacing w:line="360" w:lineRule="auto"/>
        <w:ind w:firstLine="482" w:firstLineChars="200"/>
        <w:rPr>
          <w:rFonts w:hint="default" w:ascii="仿宋" w:hAnsi="仿宋" w:eastAsia="仿宋" w:cs="仿宋"/>
          <w:b/>
          <w:bCs/>
          <w:color w:val="000000" w:themeColor="text1"/>
          <w:szCs w:val="32"/>
          <w:lang w:val="en-US" w:eastAsia="zh-CN"/>
          <w14:textFill>
            <w14:solidFill>
              <w14:schemeClr w14:val="tx1"/>
            </w14:solidFill>
          </w14:textFill>
        </w:rPr>
      </w:pPr>
      <w:r>
        <w:rPr>
          <w:rFonts w:hint="eastAsia" w:ascii="仿宋" w:hAnsi="仿宋" w:eastAsia="仿宋" w:cs="仿宋"/>
          <w:b/>
          <w:bCs/>
          <w:color w:val="000000" w:themeColor="text1"/>
          <w:szCs w:val="32"/>
          <w:lang w:eastAsia="zh-CN"/>
          <w14:textFill>
            <w14:solidFill>
              <w14:schemeClr w14:val="tx1"/>
            </w14:solidFill>
          </w14:textFill>
        </w:rPr>
        <w:t>（</w:t>
      </w:r>
      <w:r>
        <w:rPr>
          <w:rFonts w:hint="eastAsia" w:ascii="仿宋" w:hAnsi="仿宋" w:eastAsia="仿宋" w:cs="仿宋"/>
          <w:b/>
          <w:bCs/>
          <w:color w:val="000000" w:themeColor="text1"/>
          <w:szCs w:val="32"/>
          <w:lang w:val="en-US" w:eastAsia="zh-CN"/>
          <w14:textFill>
            <w14:solidFill>
              <w14:schemeClr w14:val="tx1"/>
            </w14:solidFill>
          </w14:textFill>
        </w:rPr>
        <w:t>二</w:t>
      </w:r>
      <w:r>
        <w:rPr>
          <w:rFonts w:hint="eastAsia" w:ascii="仿宋" w:hAnsi="仿宋" w:eastAsia="仿宋" w:cs="仿宋"/>
          <w:b/>
          <w:bCs/>
          <w:color w:val="000000" w:themeColor="text1"/>
          <w:szCs w:val="32"/>
          <w:lang w:eastAsia="zh-CN"/>
          <w14:textFill>
            <w14:solidFill>
              <w14:schemeClr w14:val="tx1"/>
            </w14:solidFill>
          </w14:textFill>
        </w:rPr>
        <w:t>）</w:t>
      </w:r>
      <w:r>
        <w:rPr>
          <w:rFonts w:hint="eastAsia" w:ascii="仿宋" w:hAnsi="仿宋" w:eastAsia="仿宋" w:cs="仿宋"/>
          <w:b/>
          <w:bCs/>
          <w:color w:val="000000" w:themeColor="text1"/>
          <w:szCs w:val="32"/>
          <w:lang w:val="en-US" w:eastAsia="zh-CN"/>
          <w14:textFill>
            <w14:solidFill>
              <w14:schemeClr w14:val="tx1"/>
            </w14:solidFill>
          </w14:textFill>
        </w:rPr>
        <w:t>标包2采购内容</w:t>
      </w:r>
    </w:p>
    <w:p>
      <w:pPr>
        <w:spacing w:line="360" w:lineRule="auto"/>
        <w:ind w:firstLine="480" w:firstLineChars="200"/>
        <w:rPr>
          <w:rFonts w:hint="eastAsia" w:ascii="仿宋" w:hAnsi="仿宋" w:eastAsia="仿宋" w:cs="仿宋"/>
          <w:b w:val="0"/>
          <w:bCs w:val="0"/>
          <w:color w:val="000000" w:themeColor="text1"/>
          <w:szCs w:val="32"/>
          <w14:textFill>
            <w14:solidFill>
              <w14:schemeClr w14:val="tx1"/>
            </w14:solidFill>
          </w14:textFill>
        </w:rPr>
      </w:pPr>
      <w:r>
        <w:rPr>
          <w:rFonts w:hint="eastAsia" w:ascii="仿宋" w:hAnsi="仿宋" w:eastAsia="仿宋" w:cs="仿宋"/>
          <w:b w:val="0"/>
          <w:bCs w:val="0"/>
          <w:color w:val="000000" w:themeColor="text1"/>
          <w:szCs w:val="32"/>
          <w14:textFill>
            <w14:solidFill>
              <w14:schemeClr w14:val="tx1"/>
            </w14:solidFill>
          </w14:textFill>
        </w:rPr>
        <w:t>拟采购一家有资质的供应商，为我公司提供隆纳高速泸州收费站立柱宣传制作和宣传发布，采购预算为</w:t>
      </w:r>
      <w:r>
        <w:rPr>
          <w:rFonts w:hint="eastAsia" w:ascii="仿宋" w:hAnsi="仿宋" w:eastAsia="仿宋" w:cs="仿宋"/>
          <w:b w:val="0"/>
          <w:bCs w:val="0"/>
          <w:color w:val="000000" w:themeColor="text1"/>
          <w:szCs w:val="32"/>
          <w:lang w:val="en-US" w:eastAsia="zh-CN"/>
          <w14:textFill>
            <w14:solidFill>
              <w14:schemeClr w14:val="tx1"/>
            </w14:solidFill>
          </w14:textFill>
        </w:rPr>
        <w:t>10.2</w:t>
      </w:r>
      <w:r>
        <w:rPr>
          <w:rFonts w:hint="eastAsia" w:ascii="仿宋" w:hAnsi="仿宋" w:eastAsia="仿宋" w:cs="仿宋"/>
          <w:b w:val="0"/>
          <w:bCs w:val="0"/>
          <w:color w:val="000000" w:themeColor="text1"/>
          <w:szCs w:val="32"/>
          <w14:textFill>
            <w14:solidFill>
              <w14:schemeClr w14:val="tx1"/>
            </w14:solidFill>
          </w14:textFill>
        </w:rPr>
        <w:t>万。</w:t>
      </w:r>
    </w:p>
    <w:p>
      <w:pPr>
        <w:spacing w:line="360" w:lineRule="auto"/>
        <w:ind w:firstLine="480" w:firstLineChars="200"/>
        <w:rPr>
          <w:rFonts w:hint="eastAsia" w:ascii="仿宋" w:hAnsi="仿宋" w:eastAsia="仿宋" w:cs="仿宋"/>
          <w:b w:val="0"/>
          <w:bCs w:val="0"/>
          <w:color w:val="000000" w:themeColor="text1"/>
          <w:szCs w:val="32"/>
          <w14:textFill>
            <w14:solidFill>
              <w14:schemeClr w14:val="tx1"/>
            </w14:solidFill>
          </w14:textFill>
        </w:rPr>
      </w:pPr>
      <w:r>
        <w:rPr>
          <w:rFonts w:hint="eastAsia" w:ascii="仿宋" w:hAnsi="仿宋" w:eastAsia="仿宋" w:cs="仿宋"/>
          <w:b w:val="0"/>
          <w:bCs w:val="0"/>
          <w:color w:val="000000" w:themeColor="text1"/>
          <w:szCs w:val="32"/>
          <w14:textFill>
            <w14:solidFill>
              <w14:schemeClr w14:val="tx1"/>
            </w14:solidFill>
          </w14:textFill>
        </w:rPr>
        <w:t>投放地点及数量：隆纳高速泸州收费站1个。</w:t>
      </w:r>
    </w:p>
    <w:p>
      <w:pPr>
        <w:spacing w:line="360" w:lineRule="auto"/>
        <w:ind w:firstLine="480" w:firstLineChars="200"/>
        <w:rPr>
          <w:rFonts w:hint="eastAsia" w:ascii="仿宋" w:hAnsi="仿宋" w:eastAsia="仿宋" w:cs="仿宋"/>
          <w:b w:val="0"/>
          <w:bCs w:val="0"/>
          <w:color w:val="000000" w:themeColor="text1"/>
          <w:szCs w:val="32"/>
          <w14:textFill>
            <w14:solidFill>
              <w14:schemeClr w14:val="tx1"/>
            </w14:solidFill>
          </w14:textFill>
        </w:rPr>
      </w:pPr>
      <w:r>
        <w:rPr>
          <w:rFonts w:hint="eastAsia" w:ascii="仿宋" w:hAnsi="仿宋" w:eastAsia="仿宋" w:cs="仿宋"/>
          <w:b w:val="0"/>
          <w:bCs w:val="0"/>
          <w:color w:val="000000" w:themeColor="text1"/>
          <w:szCs w:val="32"/>
          <w14:textFill>
            <w14:solidFill>
              <w14:schemeClr w14:val="tx1"/>
            </w14:solidFill>
          </w14:textFill>
        </w:rPr>
        <w:t>投放规格：</w:t>
      </w:r>
      <w:r>
        <w:rPr>
          <w:rFonts w:hint="eastAsia" w:ascii="仿宋" w:hAnsi="仿宋" w:eastAsia="仿宋" w:cs="仿宋"/>
          <w:b w:val="0"/>
          <w:bCs w:val="0"/>
          <w:color w:val="000000" w:themeColor="text1"/>
          <w:szCs w:val="32"/>
          <w:lang w:val="en-US" w:eastAsia="zh-CN"/>
          <w14:textFill>
            <w14:solidFill>
              <w14:schemeClr w14:val="tx1"/>
            </w14:solidFill>
          </w14:textFill>
        </w:rPr>
        <w:t>21</w:t>
      </w:r>
      <w:r>
        <w:rPr>
          <w:rFonts w:hint="eastAsia" w:ascii="仿宋" w:hAnsi="仿宋" w:eastAsia="仿宋" w:cs="仿宋"/>
          <w:b w:val="0"/>
          <w:bCs w:val="0"/>
          <w:color w:val="000000" w:themeColor="text1"/>
          <w:szCs w:val="32"/>
          <w14:textFill>
            <w14:solidFill>
              <w14:schemeClr w14:val="tx1"/>
            </w14:solidFill>
          </w14:textFill>
        </w:rPr>
        <w:t>米*</w:t>
      </w:r>
      <w:r>
        <w:rPr>
          <w:rFonts w:hint="eastAsia" w:ascii="仿宋" w:hAnsi="仿宋" w:eastAsia="仿宋" w:cs="仿宋"/>
          <w:b w:val="0"/>
          <w:bCs w:val="0"/>
          <w:color w:val="000000" w:themeColor="text1"/>
          <w:szCs w:val="32"/>
          <w:lang w:val="en-US" w:eastAsia="zh-CN"/>
          <w14:textFill>
            <w14:solidFill>
              <w14:schemeClr w14:val="tx1"/>
            </w14:solidFill>
          </w14:textFill>
        </w:rPr>
        <w:t>7</w:t>
      </w:r>
      <w:r>
        <w:rPr>
          <w:rFonts w:hint="eastAsia" w:ascii="仿宋" w:hAnsi="仿宋" w:eastAsia="仿宋" w:cs="仿宋"/>
          <w:b w:val="0"/>
          <w:bCs w:val="0"/>
          <w:color w:val="000000" w:themeColor="text1"/>
          <w:szCs w:val="32"/>
          <w14:textFill>
            <w14:solidFill>
              <w14:schemeClr w14:val="tx1"/>
            </w14:solidFill>
          </w14:textFill>
        </w:rPr>
        <w:t>米，双面</w:t>
      </w:r>
    </w:p>
    <w:p>
      <w:pPr>
        <w:spacing w:line="360" w:lineRule="auto"/>
        <w:ind w:firstLine="480" w:firstLineChars="200"/>
        <w:rPr>
          <w:rFonts w:hint="eastAsia" w:ascii="仿宋" w:hAnsi="仿宋" w:eastAsia="仿宋" w:cs="仿宋"/>
          <w:b w:val="0"/>
          <w:bCs w:val="0"/>
          <w:color w:val="000000" w:themeColor="text1"/>
          <w:szCs w:val="32"/>
          <w:lang w:val="en-US" w:eastAsia="zh-CN"/>
          <w14:textFill>
            <w14:solidFill>
              <w14:schemeClr w14:val="tx1"/>
            </w14:solidFill>
          </w14:textFill>
        </w:rPr>
      </w:pPr>
      <w:r>
        <w:rPr>
          <w:rFonts w:hint="eastAsia" w:ascii="仿宋" w:hAnsi="仿宋" w:eastAsia="仿宋" w:cs="仿宋"/>
          <w:b w:val="0"/>
          <w:bCs w:val="0"/>
          <w:color w:val="000000" w:themeColor="text1"/>
          <w:szCs w:val="32"/>
          <w:lang w:val="en-US" w:eastAsia="zh-CN"/>
          <w14:textFill>
            <w14:solidFill>
              <w14:schemeClr w14:val="tx1"/>
            </w14:solidFill>
          </w14:textFill>
        </w:rPr>
        <w:t>画面材质：高清黑白布（双面）</w:t>
      </w:r>
    </w:p>
    <w:p>
      <w:pPr>
        <w:spacing w:line="360" w:lineRule="auto"/>
        <w:ind w:firstLine="480" w:firstLineChars="200"/>
        <w:rPr>
          <w:rFonts w:hint="eastAsia" w:ascii="仿宋" w:hAnsi="仿宋" w:eastAsia="仿宋" w:cs="仿宋"/>
          <w:b/>
          <w:bCs/>
          <w:color w:val="auto"/>
          <w:szCs w:val="32"/>
        </w:rPr>
      </w:pPr>
      <w:r>
        <w:rPr>
          <w:rFonts w:hint="eastAsia" w:ascii="仿宋" w:hAnsi="仿宋" w:eastAsia="仿宋" w:cs="仿宋"/>
          <w:b w:val="0"/>
          <w:bCs w:val="0"/>
          <w:color w:val="000000" w:themeColor="text1"/>
          <w:szCs w:val="32"/>
          <w14:textFill>
            <w14:solidFill>
              <w14:schemeClr w14:val="tx1"/>
            </w14:solidFill>
          </w14:textFill>
        </w:rPr>
        <w:t>投放周期：</w:t>
      </w:r>
      <w:r>
        <w:rPr>
          <w:rFonts w:hint="eastAsia" w:ascii="仿宋" w:hAnsi="仿宋" w:eastAsia="仿宋" w:cs="仿宋"/>
          <w:b w:val="0"/>
          <w:bCs w:val="0"/>
          <w:color w:val="000000" w:themeColor="text1"/>
          <w:szCs w:val="32"/>
          <w:lang w:val="en-US" w:eastAsia="zh-CN"/>
          <w14:textFill>
            <w14:solidFill>
              <w14:schemeClr w14:val="tx1"/>
            </w14:solidFill>
          </w14:textFill>
        </w:rPr>
        <w:t>6</w:t>
      </w:r>
      <w:r>
        <w:rPr>
          <w:rFonts w:hint="eastAsia" w:ascii="仿宋" w:hAnsi="仿宋" w:eastAsia="仿宋" w:cs="仿宋"/>
          <w:b w:val="0"/>
          <w:bCs w:val="0"/>
          <w:color w:val="000000" w:themeColor="text1"/>
          <w:szCs w:val="32"/>
          <w14:textFill>
            <w14:solidFill>
              <w14:schemeClr w14:val="tx1"/>
            </w14:solidFill>
          </w14:textFill>
        </w:rPr>
        <w:t>个月</w:t>
      </w:r>
    </w:p>
    <w:p>
      <w:pPr>
        <w:spacing w:line="360" w:lineRule="auto"/>
        <w:ind w:firstLine="482" w:firstLineChars="200"/>
        <w:rPr>
          <w:rFonts w:hint="eastAsia" w:ascii="仿宋" w:hAnsi="仿宋" w:eastAsia="仿宋" w:cs="仿宋"/>
          <w:b/>
          <w:bCs/>
          <w:color w:val="auto"/>
          <w:szCs w:val="32"/>
        </w:rPr>
      </w:pPr>
      <w:r>
        <w:rPr>
          <w:rFonts w:hint="eastAsia" w:ascii="仿宋" w:hAnsi="仿宋" w:eastAsia="仿宋" w:cs="仿宋"/>
          <w:b/>
          <w:bCs/>
          <w:color w:val="auto"/>
          <w:szCs w:val="32"/>
        </w:rPr>
        <w:t>三、采购数量</w:t>
      </w:r>
    </w:p>
    <w:p>
      <w:pPr>
        <w:pStyle w:val="2"/>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textAlignment w:val="auto"/>
        <w:rPr>
          <w:rFonts w:hint="eastAsia" w:ascii="仿宋_GB2312" w:eastAsia="仿宋_GB2312" w:hAnsiTheme="minorHAnsi" w:cstheme="minorBidi"/>
          <w:color w:val="auto"/>
          <w:sz w:val="24"/>
          <w:szCs w:val="24"/>
          <w:lang w:val="en-US" w:eastAsia="zh-CN" w:bidi="ar-SA"/>
        </w:rPr>
      </w:pPr>
      <w:r>
        <w:rPr>
          <w:rFonts w:hint="eastAsia" w:ascii="仿宋_GB2312" w:eastAsia="仿宋_GB2312" w:cstheme="minorBidi"/>
          <w:color w:val="auto"/>
          <w:sz w:val="24"/>
          <w:szCs w:val="24"/>
          <w:lang w:val="en-US" w:eastAsia="zh-CN" w:bidi="ar-SA"/>
        </w:rPr>
        <w:t>本次采购立柱宣传的制作及发布服务（泸县县域20个、隆纳高速泸州收费站1个），投放地点、投放规格、周期、材质按第二条约定执行。</w:t>
      </w:r>
    </w:p>
    <w:p>
      <w:pPr>
        <w:spacing w:line="360" w:lineRule="auto"/>
        <w:ind w:firstLine="482" w:firstLineChars="200"/>
        <w:rPr>
          <w:rFonts w:hint="eastAsia" w:ascii="仿宋" w:hAnsi="仿宋" w:eastAsia="仿宋" w:cs="仿宋"/>
          <w:b/>
          <w:bCs/>
          <w:color w:val="auto"/>
          <w:szCs w:val="32"/>
        </w:rPr>
      </w:pPr>
      <w:r>
        <w:rPr>
          <w:rFonts w:hint="eastAsia" w:ascii="仿宋" w:hAnsi="仿宋" w:eastAsia="仿宋" w:cs="仿宋"/>
          <w:b/>
          <w:bCs/>
          <w:color w:val="auto"/>
          <w:szCs w:val="32"/>
        </w:rPr>
        <w:t>四、付款方式</w:t>
      </w:r>
    </w:p>
    <w:p>
      <w:pPr>
        <w:pStyle w:val="2"/>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_GB2312" w:eastAsia="仿宋_GB2312" w:cstheme="minorBidi"/>
          <w:color w:val="auto"/>
          <w:sz w:val="24"/>
          <w:szCs w:val="24"/>
          <w:highlight w:val="none"/>
          <w:lang w:val="en-US" w:eastAsia="zh-CN" w:bidi="ar-SA"/>
        </w:rPr>
      </w:pPr>
      <w:r>
        <w:rPr>
          <w:rFonts w:hint="eastAsia" w:ascii="仿宋_GB2312" w:eastAsia="仿宋_GB2312" w:cstheme="minorBidi"/>
          <w:color w:val="auto"/>
          <w:sz w:val="24"/>
          <w:szCs w:val="24"/>
          <w:highlight w:val="none"/>
          <w:lang w:val="en-US" w:eastAsia="zh-CN" w:bidi="ar-SA"/>
        </w:rPr>
        <w:t>本合同服务费用一次性结算，供应商制作完成投放后，采购人根据项目约定的服务内容、数量及规格验收无误后，供应商向采购人提供合规有效的增值税专用发票，采购人在收到合格发票后，支付总费用的100%，对应金额______元。</w:t>
      </w:r>
    </w:p>
    <w:p>
      <w:pPr>
        <w:spacing w:line="360" w:lineRule="auto"/>
        <w:ind w:firstLine="482" w:firstLineChars="200"/>
        <w:rPr>
          <w:rFonts w:hint="eastAsia" w:ascii="仿宋" w:hAnsi="仿宋" w:eastAsia="仿宋" w:cs="仿宋"/>
          <w:b/>
          <w:bCs/>
          <w:i w:val="0"/>
          <w:i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i w:val="0"/>
          <w:iCs/>
          <w:color w:val="000000" w:themeColor="text1"/>
          <w:sz w:val="24"/>
          <w:szCs w:val="24"/>
          <w:highlight w:val="none"/>
          <w:lang w:val="en-US" w:eastAsia="zh-CN"/>
          <w14:textFill>
            <w14:solidFill>
              <w14:schemeClr w14:val="tx1"/>
            </w14:solidFill>
          </w14:textFill>
        </w:rPr>
        <w:t>五、采购要求</w:t>
      </w:r>
    </w:p>
    <w:p>
      <w:pPr>
        <w:pStyle w:val="2"/>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color w:val="000000" w:themeColor="text1"/>
          <w:highlight w:val="none"/>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★供应商可选择其中一个或多个标包进行投标，每个标包成交人数量：1家（同一单位若投标两个标包，且综合排名均为第一，仅能按标包顺序中标一个标包）。</w:t>
      </w:r>
    </w:p>
    <w:p>
      <w:pPr>
        <w:rPr>
          <w:color w:val="auto"/>
        </w:rPr>
      </w:pPr>
      <w:r>
        <w:rPr>
          <w:color w:val="auto"/>
        </w:rPr>
        <w:br w:type="page"/>
      </w:r>
    </w:p>
    <w:p>
      <w:pPr>
        <w:pStyle w:val="3"/>
        <w:spacing w:before="0" w:after="0"/>
        <w:jc w:val="left"/>
        <w:rPr>
          <w:rFonts w:ascii="仿宋" w:hAnsi="仿宋" w:eastAsia="仿宋" w:cs="仿宋"/>
          <w:color w:val="auto"/>
          <w:sz w:val="28"/>
          <w:szCs w:val="28"/>
        </w:rPr>
      </w:pPr>
      <w:bookmarkStart w:id="126" w:name="_Toc20870"/>
      <w:bookmarkStart w:id="127" w:name="_Toc3675"/>
      <w:bookmarkStart w:id="128" w:name="_Toc9891"/>
      <w:r>
        <w:rPr>
          <w:rFonts w:hint="eastAsia" w:ascii="仿宋" w:hAnsi="仿宋" w:eastAsia="仿宋" w:cs="仿宋"/>
          <w:color w:val="auto"/>
          <w:sz w:val="28"/>
          <w:szCs w:val="28"/>
        </w:rPr>
        <w:t>第六章 响应文件格式</w:t>
      </w:r>
      <w:bookmarkEnd w:id="126"/>
      <w:bookmarkEnd w:id="127"/>
    </w:p>
    <w:p>
      <w:pPr>
        <w:spacing w:line="360" w:lineRule="auto"/>
        <w:rPr>
          <w:rFonts w:ascii="仿宋" w:hAnsi="仿宋" w:eastAsia="仿宋" w:cs="仿宋"/>
          <w:b/>
          <w:color w:val="auto"/>
        </w:rPr>
      </w:pPr>
      <w:r>
        <w:rPr>
          <w:rFonts w:hint="eastAsia" w:ascii="仿宋" w:hAnsi="仿宋" w:eastAsia="仿宋" w:cs="宋体"/>
          <w:b/>
          <w:color w:val="auto"/>
        </w:rPr>
        <w:t>封面格式</w:t>
      </w:r>
    </w:p>
    <w:tbl>
      <w:tblPr>
        <w:tblStyle w:val="29"/>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61"/>
              <w:spacing w:before="156" w:after="312"/>
              <w:ind w:right="508"/>
              <w:jc w:val="right"/>
              <w:rPr>
                <w:rFonts w:ascii="仿宋" w:hAnsi="仿宋" w:eastAsia="仿宋" w:cs="仿宋"/>
                <w:color w:val="auto"/>
                <w:sz w:val="32"/>
              </w:rPr>
            </w:pPr>
            <w:r>
              <w:rPr>
                <w:rFonts w:hint="eastAsia" w:ascii="仿宋" w:hAnsi="仿宋" w:eastAsia="仿宋" w:cs="仿宋"/>
                <w:color w:val="auto"/>
                <w:sz w:val="32"/>
              </w:rPr>
              <w:t>正本/副本</w:t>
            </w:r>
          </w:p>
          <w:p>
            <w:pPr>
              <w:pStyle w:val="61"/>
              <w:spacing w:before="156" w:after="312"/>
              <w:ind w:right="-284"/>
              <w:jc w:val="center"/>
              <w:rPr>
                <w:rFonts w:ascii="仿宋" w:hAnsi="仿宋" w:eastAsia="仿宋" w:cs="仿宋"/>
                <w:color w:val="auto"/>
                <w:sz w:val="32"/>
              </w:rPr>
            </w:pPr>
            <w:r>
              <w:rPr>
                <w:rFonts w:hint="eastAsia" w:ascii="仿宋" w:hAnsi="仿宋" w:eastAsia="仿宋" w:cs="仿宋"/>
                <w:color w:val="auto"/>
                <w:sz w:val="32"/>
                <w:lang w:eastAsia="zh-CN"/>
              </w:rPr>
              <w:t>人保财险四川省泸州市分公司立柱宣传采购项目</w:t>
            </w:r>
          </w:p>
          <w:p>
            <w:pPr>
              <w:pStyle w:val="61"/>
              <w:ind w:right="-284" w:firstLine="2240"/>
              <w:rPr>
                <w:rFonts w:ascii="仿宋" w:hAnsi="仿宋" w:eastAsia="仿宋" w:cs="仿宋"/>
                <w:color w:val="auto"/>
                <w:sz w:val="28"/>
                <w:u w:val="single"/>
              </w:rPr>
            </w:pPr>
          </w:p>
          <w:p>
            <w:pPr>
              <w:pStyle w:val="61"/>
              <w:spacing w:before="624" w:after="156" w:line="160" w:lineRule="atLeast"/>
              <w:ind w:right="-284"/>
              <w:jc w:val="center"/>
              <w:rPr>
                <w:rFonts w:ascii="仿宋" w:hAnsi="仿宋" w:eastAsia="仿宋" w:cs="仿宋"/>
                <w:color w:val="auto"/>
                <w:sz w:val="52"/>
              </w:rPr>
            </w:pPr>
            <w:r>
              <w:rPr>
                <w:rFonts w:hint="eastAsia" w:ascii="仿宋" w:hAnsi="仿宋" w:eastAsia="仿宋" w:cs="仿宋"/>
                <w:color w:val="auto"/>
                <w:sz w:val="52"/>
              </w:rPr>
              <w:t>比选响应文件</w:t>
            </w:r>
          </w:p>
          <w:p>
            <w:pPr>
              <w:pStyle w:val="61"/>
              <w:spacing w:before="624" w:after="156" w:line="160" w:lineRule="atLeast"/>
              <w:ind w:right="-284"/>
              <w:jc w:val="center"/>
              <w:rPr>
                <w:rFonts w:ascii="仿宋" w:hAnsi="仿宋" w:eastAsia="仿宋" w:cs="仿宋"/>
                <w:color w:val="auto"/>
                <w:sz w:val="52"/>
              </w:rPr>
            </w:pPr>
          </w:p>
          <w:p>
            <w:pPr>
              <w:pStyle w:val="61"/>
              <w:spacing w:before="624" w:after="156" w:line="240" w:lineRule="atLeast"/>
              <w:jc w:val="center"/>
              <w:rPr>
                <w:rFonts w:ascii="仿宋" w:hAnsi="仿宋" w:eastAsia="仿宋" w:cs="仿宋"/>
                <w:color w:val="auto"/>
                <w:sz w:val="40"/>
              </w:rPr>
            </w:pPr>
            <w:r>
              <w:rPr>
                <w:rFonts w:hint="eastAsia" w:ascii="仿宋" w:hAnsi="仿宋" w:eastAsia="仿宋" w:cs="仿宋"/>
                <w:color w:val="auto"/>
                <w:sz w:val="40"/>
              </w:rPr>
              <w:t>（商务文件/技术文件/报价文件）</w:t>
            </w:r>
          </w:p>
          <w:p>
            <w:pPr>
              <w:pStyle w:val="61"/>
              <w:spacing w:before="1560" w:line="400" w:lineRule="atLeast"/>
              <w:ind w:right="-284" w:firstLine="2520" w:firstLineChars="1050"/>
              <w:rPr>
                <w:rFonts w:ascii="仿宋" w:hAnsi="仿宋" w:eastAsia="仿宋" w:cs="仿宋"/>
                <w:color w:val="auto"/>
                <w:sz w:val="24"/>
              </w:rPr>
            </w:pPr>
            <w:r>
              <w:rPr>
                <w:rFonts w:hint="eastAsia" w:ascii="仿宋" w:hAnsi="仿宋" w:eastAsia="仿宋" w:cs="仿宋"/>
                <w:color w:val="auto"/>
                <w:sz w:val="24"/>
              </w:rPr>
              <w:t>供应商：</w:t>
            </w:r>
            <w:r>
              <w:rPr>
                <w:rFonts w:hint="eastAsia" w:ascii="仿宋" w:hAnsi="仿宋" w:eastAsia="仿宋" w:cs="仿宋"/>
                <w:color w:val="auto"/>
                <w:sz w:val="24"/>
                <w:u w:val="single"/>
              </w:rPr>
              <w:t>（盖章）</w:t>
            </w:r>
          </w:p>
          <w:p>
            <w:pPr>
              <w:pStyle w:val="61"/>
              <w:spacing w:after="156" w:line="400" w:lineRule="atLeast"/>
              <w:ind w:right="-284"/>
              <w:jc w:val="center"/>
              <w:rPr>
                <w:rFonts w:ascii="仿宋" w:hAnsi="仿宋" w:eastAsia="仿宋" w:cs="仿宋"/>
                <w:color w:val="auto"/>
                <w:sz w:val="24"/>
                <w:u w:val="single"/>
              </w:rPr>
            </w:pPr>
            <w:r>
              <w:rPr>
                <w:rFonts w:hint="eastAsia" w:ascii="仿宋" w:hAnsi="仿宋" w:eastAsia="仿宋" w:cs="仿宋"/>
                <w:color w:val="auto"/>
                <w:sz w:val="24"/>
              </w:rPr>
              <w:t>法定代表人或其委托的代理人：（签字或盖章）</w:t>
            </w:r>
          </w:p>
          <w:p>
            <w:pPr>
              <w:pStyle w:val="61"/>
              <w:spacing w:after="624"/>
              <w:ind w:right="-284"/>
              <w:jc w:val="center"/>
              <w:rPr>
                <w:rFonts w:ascii="仿宋" w:hAnsi="仿宋" w:eastAsia="仿宋" w:cs="仿宋"/>
                <w:color w:val="auto"/>
                <w:sz w:val="24"/>
              </w:rPr>
            </w:pPr>
          </w:p>
          <w:p>
            <w:pPr>
              <w:pStyle w:val="61"/>
              <w:spacing w:after="624"/>
              <w:ind w:right="-284"/>
              <w:jc w:val="center"/>
              <w:rPr>
                <w:rFonts w:ascii="仿宋" w:hAnsi="仿宋" w:eastAsia="仿宋" w:cs="仿宋"/>
                <w:color w:val="auto"/>
              </w:rPr>
            </w:pPr>
            <w:r>
              <w:rPr>
                <w:rFonts w:hint="eastAsia" w:ascii="仿宋" w:hAnsi="仿宋" w:eastAsia="仿宋" w:cs="仿宋"/>
                <w:color w:val="auto"/>
                <w:sz w:val="24"/>
              </w:rPr>
              <w:t>年     月      日</w:t>
            </w:r>
          </w:p>
        </w:tc>
      </w:tr>
    </w:tbl>
    <w:p>
      <w:pPr>
        <w:spacing w:line="360" w:lineRule="auto"/>
        <w:rPr>
          <w:rFonts w:ascii="仿宋" w:hAnsi="仿宋" w:eastAsia="仿宋" w:cs="仿宋"/>
          <w:b/>
          <w:color w:val="auto"/>
        </w:rPr>
      </w:pPr>
      <w:r>
        <w:rPr>
          <w:rFonts w:hint="eastAsia" w:ascii="仿宋" w:hAnsi="仿宋" w:eastAsia="仿宋" w:cs="仿宋"/>
          <w:b/>
          <w:color w:val="auto"/>
        </w:rPr>
        <w:t>格式：封口</w:t>
      </w:r>
    </w:p>
    <w:tbl>
      <w:tblPr>
        <w:tblStyle w:val="29"/>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61"/>
              <w:ind w:right="-284"/>
              <w:jc w:val="center"/>
              <w:rPr>
                <w:rFonts w:ascii="仿宋" w:hAnsi="仿宋" w:eastAsia="仿宋" w:cs="仿宋"/>
                <w:b/>
                <w:color w:val="auto"/>
              </w:rPr>
            </w:pPr>
            <w:r>
              <w:rPr>
                <w:rFonts w:hint="eastAsia" w:ascii="仿宋" w:hAnsi="仿宋" w:eastAsia="仿宋" w:cs="仿宋"/>
                <w:b/>
                <w:color w:val="auto"/>
              </w:rPr>
              <w:t>-------------于年月日时分之前不准启封（公章）------------</w:t>
            </w:r>
          </w:p>
        </w:tc>
      </w:tr>
    </w:tbl>
    <w:p>
      <w:pPr>
        <w:pStyle w:val="4"/>
        <w:jc w:val="both"/>
        <w:rPr>
          <w:rFonts w:ascii="仿宋" w:hAnsi="仿宋" w:eastAsia="仿宋" w:cs="仿宋"/>
          <w:color w:val="auto"/>
          <w:sz w:val="24"/>
          <w:szCs w:val="24"/>
        </w:rPr>
      </w:pPr>
      <w:bookmarkStart w:id="129" w:name="_Toc3936"/>
      <w:bookmarkStart w:id="130" w:name="_Toc25957"/>
      <w:bookmarkStart w:id="131" w:name="_Toc517281836"/>
      <w:bookmarkStart w:id="132" w:name="_Toc11783"/>
      <w:bookmarkStart w:id="133" w:name="_Toc21280"/>
      <w:bookmarkStart w:id="134" w:name="_Toc444891353"/>
      <w:bookmarkStart w:id="135" w:name="_Toc19910"/>
      <w:bookmarkStart w:id="136" w:name="_Toc19783362"/>
      <w:bookmarkStart w:id="137" w:name="_Toc287600131"/>
      <w:bookmarkStart w:id="138" w:name="_Toc19783360"/>
      <w:bookmarkStart w:id="139" w:name="_Toc287600129"/>
      <w:r>
        <w:rPr>
          <w:rFonts w:ascii="仿宋" w:hAnsi="仿宋" w:eastAsia="仿宋" w:cs="仿宋"/>
          <w:color w:val="auto"/>
          <w:sz w:val="24"/>
          <w:szCs w:val="24"/>
        </w:rPr>
        <w:br w:type="page"/>
      </w:r>
      <w:bookmarkStart w:id="140" w:name="_Toc17191"/>
      <w:bookmarkStart w:id="141" w:name="_Toc12976"/>
      <w:r>
        <w:rPr>
          <w:rFonts w:hint="eastAsia" w:ascii="仿宋" w:hAnsi="仿宋" w:eastAsia="仿宋" w:cs="仿宋"/>
          <w:color w:val="auto"/>
          <w:sz w:val="24"/>
          <w:szCs w:val="24"/>
        </w:rPr>
        <w:t>一、商务文件</w:t>
      </w:r>
      <w:bookmarkEnd w:id="129"/>
      <w:bookmarkEnd w:id="140"/>
      <w:bookmarkEnd w:id="141"/>
    </w:p>
    <w:p>
      <w:pPr>
        <w:jc w:val="center"/>
        <w:rPr>
          <w:color w:val="auto"/>
        </w:rPr>
      </w:pPr>
      <w:bookmarkStart w:id="142" w:name="_Toc26744"/>
      <w:r>
        <w:rPr>
          <w:rFonts w:hint="eastAsia" w:ascii="仿宋" w:hAnsi="仿宋" w:eastAsia="仿宋" w:cs="仿宋"/>
          <w:b/>
          <w:bCs/>
          <w:color w:val="auto"/>
        </w:rPr>
        <w:t>初步评审索引表</w:t>
      </w:r>
      <w:bookmarkEnd w:id="142"/>
    </w:p>
    <w:tbl>
      <w:tblPr>
        <w:tblStyle w:val="29"/>
        <w:tblW w:w="5089"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573"/>
        <w:gridCol w:w="3940"/>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Align w:val="center"/>
          </w:tcPr>
          <w:p>
            <w:pPr>
              <w:spacing w:line="360" w:lineRule="auto"/>
              <w:jc w:val="center"/>
              <w:rPr>
                <w:rFonts w:ascii="仿宋" w:hAnsi="仿宋" w:eastAsia="仿宋" w:cs="仿宋"/>
                <w:color w:val="auto"/>
                <w:szCs w:val="21"/>
              </w:rPr>
            </w:pPr>
            <w:r>
              <w:rPr>
                <w:rFonts w:hint="eastAsia" w:ascii="仿宋" w:hAnsi="仿宋" w:eastAsia="仿宋" w:cs="仿宋"/>
                <w:b/>
                <w:color w:val="auto"/>
                <w:szCs w:val="21"/>
              </w:rPr>
              <w:t>序号</w:t>
            </w:r>
          </w:p>
        </w:tc>
        <w:tc>
          <w:tcPr>
            <w:tcW w:w="1701" w:type="dxa"/>
          </w:tcPr>
          <w:p>
            <w:pPr>
              <w:spacing w:before="24" w:after="24" w:line="360" w:lineRule="auto"/>
              <w:jc w:val="center"/>
              <w:rPr>
                <w:rFonts w:ascii="仿宋" w:hAnsi="仿宋" w:eastAsia="仿宋" w:cs="仿宋"/>
                <w:color w:val="auto"/>
                <w:szCs w:val="21"/>
              </w:rPr>
            </w:pPr>
            <w:r>
              <w:rPr>
                <w:rFonts w:hint="eastAsia" w:ascii="仿宋" w:hAnsi="仿宋" w:eastAsia="仿宋" w:cs="仿宋"/>
                <w:b/>
                <w:color w:val="auto"/>
                <w:szCs w:val="21"/>
              </w:rPr>
              <w:t>评审环节</w:t>
            </w:r>
          </w:p>
        </w:tc>
        <w:tc>
          <w:tcPr>
            <w:tcW w:w="3574" w:type="dxa"/>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b/>
                <w:color w:val="auto"/>
                <w:szCs w:val="21"/>
              </w:rPr>
              <w:t>评审因素</w:t>
            </w:r>
          </w:p>
        </w:tc>
        <w:tc>
          <w:tcPr>
            <w:tcW w:w="3941" w:type="dxa"/>
            <w:vAlign w:val="center"/>
          </w:tcPr>
          <w:p>
            <w:pPr>
              <w:spacing w:line="360" w:lineRule="auto"/>
              <w:jc w:val="center"/>
              <w:rPr>
                <w:rFonts w:ascii="仿宋" w:hAnsi="仿宋" w:eastAsia="仿宋" w:cs="仿宋"/>
                <w:color w:val="auto"/>
                <w:szCs w:val="21"/>
              </w:rPr>
            </w:pPr>
            <w:r>
              <w:rPr>
                <w:rFonts w:hint="eastAsia" w:ascii="仿宋" w:hAnsi="仿宋" w:eastAsia="仿宋" w:cs="仿宋"/>
                <w:b/>
                <w:color w:val="auto"/>
                <w:szCs w:val="21"/>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1</w:t>
            </w:r>
          </w:p>
        </w:tc>
        <w:tc>
          <w:tcPr>
            <w:tcW w:w="1701" w:type="dxa"/>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形式评审标准</w:t>
            </w:r>
          </w:p>
        </w:tc>
        <w:tc>
          <w:tcPr>
            <w:tcW w:w="3574"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供应商名称</w:t>
            </w:r>
          </w:p>
        </w:tc>
        <w:tc>
          <w:tcPr>
            <w:tcW w:w="3941" w:type="dxa"/>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574" w:type="dxa"/>
            <w:vAlign w:val="center"/>
          </w:tcPr>
          <w:p>
            <w:pPr>
              <w:spacing w:before="24" w:after="24" w:line="276" w:lineRule="auto"/>
              <w:jc w:val="center"/>
              <w:rPr>
                <w:rFonts w:hint="eastAsia" w:ascii="仿宋" w:hAnsi="仿宋" w:eastAsia="仿宋" w:cs="仿宋"/>
                <w:color w:val="auto"/>
                <w:szCs w:val="21"/>
              </w:rPr>
            </w:pPr>
            <w:r>
              <w:rPr>
                <w:rFonts w:hint="eastAsia" w:ascii="仿宋" w:hAnsi="仿宋" w:eastAsia="仿宋" w:cs="仿宋"/>
                <w:color w:val="auto"/>
                <w:szCs w:val="21"/>
              </w:rPr>
              <w:t>法定代表人（负责人）</w:t>
            </w:r>
          </w:p>
          <w:p>
            <w:pPr>
              <w:spacing w:before="24" w:after="24" w:line="276" w:lineRule="auto"/>
              <w:jc w:val="center"/>
              <w:rPr>
                <w:rFonts w:ascii="仿宋" w:hAnsi="仿宋" w:eastAsia="仿宋" w:cs="宋体"/>
                <w:color w:val="auto"/>
                <w:szCs w:val="21"/>
              </w:rPr>
            </w:pPr>
            <w:r>
              <w:rPr>
                <w:rFonts w:hint="eastAsia" w:ascii="仿宋" w:hAnsi="仿宋" w:eastAsia="仿宋" w:cs="仿宋"/>
                <w:color w:val="auto"/>
                <w:szCs w:val="21"/>
              </w:rPr>
              <w:t>身份证明</w:t>
            </w:r>
          </w:p>
        </w:tc>
        <w:tc>
          <w:tcPr>
            <w:tcW w:w="3941" w:type="dxa"/>
            <w:vAlign w:val="center"/>
          </w:tcPr>
          <w:p>
            <w:pPr>
              <w:pStyle w:val="72"/>
              <w:tabs>
                <w:tab w:val="left" w:pos="630"/>
              </w:tabs>
              <w:topLinePunct/>
              <w:spacing w:before="48" w:beforeLines="20" w:after="48" w:afterLines="20"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574" w:type="dxa"/>
            <w:vAlign w:val="center"/>
          </w:tcPr>
          <w:p>
            <w:pPr>
              <w:spacing w:before="24" w:after="24" w:line="276" w:lineRule="auto"/>
              <w:jc w:val="center"/>
              <w:rPr>
                <w:rFonts w:hint="eastAsia" w:ascii="仿宋" w:hAnsi="仿宋" w:eastAsia="仿宋" w:cs="仿宋"/>
                <w:color w:val="auto"/>
                <w:szCs w:val="21"/>
              </w:rPr>
            </w:pPr>
            <w:r>
              <w:rPr>
                <w:rFonts w:hint="eastAsia" w:ascii="仿宋" w:hAnsi="仿宋" w:eastAsia="仿宋" w:cs="仿宋"/>
                <w:color w:val="auto"/>
                <w:szCs w:val="21"/>
              </w:rPr>
              <w:t>法定代表人（负责人）</w:t>
            </w:r>
          </w:p>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授权委托书</w:t>
            </w:r>
          </w:p>
        </w:tc>
        <w:tc>
          <w:tcPr>
            <w:tcW w:w="3941" w:type="dxa"/>
            <w:vAlign w:val="center"/>
          </w:tcPr>
          <w:p>
            <w:pPr>
              <w:pStyle w:val="72"/>
              <w:tabs>
                <w:tab w:val="left" w:pos="630"/>
              </w:tabs>
              <w:topLinePunct/>
              <w:spacing w:before="48" w:beforeLines="20" w:after="48" w:afterLines="20"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574" w:type="dxa"/>
            <w:vAlign w:val="center"/>
          </w:tcPr>
          <w:p>
            <w:pPr>
              <w:spacing w:before="24" w:after="24" w:line="276" w:lineRule="auto"/>
              <w:jc w:val="center"/>
              <w:rPr>
                <w:rFonts w:ascii="仿宋" w:hAnsi="仿宋" w:eastAsia="仿宋" w:cs="宋体"/>
                <w:color w:val="auto"/>
                <w:spacing w:val="-4"/>
                <w:szCs w:val="21"/>
              </w:rPr>
            </w:pPr>
            <w:r>
              <w:rPr>
                <w:rFonts w:hint="eastAsia" w:ascii="仿宋" w:hAnsi="仿宋" w:eastAsia="仿宋" w:cs="仿宋"/>
                <w:color w:val="auto"/>
                <w:szCs w:val="21"/>
              </w:rPr>
              <w:t>响应文件签字或盖章</w:t>
            </w:r>
          </w:p>
        </w:tc>
        <w:tc>
          <w:tcPr>
            <w:tcW w:w="3941" w:type="dxa"/>
            <w:vAlign w:val="center"/>
          </w:tcPr>
          <w:p>
            <w:pPr>
              <w:pStyle w:val="61"/>
              <w:spacing w:before="48" w:beforeLines="20" w:after="48" w:afterLines="20" w:line="276" w:lineRule="auto"/>
              <w:rPr>
                <w:rFonts w:ascii="仿宋" w:hAnsi="仿宋" w:eastAsia="仿宋" w:cs="仿宋"/>
                <w:color w:val="auto"/>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1701" w:type="dxa"/>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资格评审标准</w:t>
            </w:r>
          </w:p>
        </w:tc>
        <w:tc>
          <w:tcPr>
            <w:tcW w:w="3574" w:type="dxa"/>
            <w:vAlign w:val="center"/>
          </w:tcPr>
          <w:p>
            <w:pPr>
              <w:spacing w:before="24" w:after="24"/>
              <w:jc w:val="center"/>
              <w:rPr>
                <w:rFonts w:ascii="仿宋" w:hAnsi="仿宋" w:eastAsia="仿宋" w:cs="仿宋"/>
                <w:color w:val="auto"/>
                <w:szCs w:val="21"/>
              </w:rPr>
            </w:pPr>
            <w:r>
              <w:rPr>
                <w:rFonts w:hint="eastAsia" w:ascii="仿宋" w:hAnsi="仿宋" w:eastAsia="仿宋" w:cs="仿宋"/>
                <w:color w:val="auto"/>
                <w:sz w:val="22"/>
                <w:szCs w:val="21"/>
              </w:rPr>
              <w:t>具有独立承担民事责任的能力</w:t>
            </w:r>
          </w:p>
        </w:tc>
        <w:tc>
          <w:tcPr>
            <w:tcW w:w="3941"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vAlign w:val="center"/>
          </w:tcPr>
          <w:p>
            <w:pPr>
              <w:spacing w:before="24" w:after="24" w:line="360" w:lineRule="auto"/>
              <w:jc w:val="center"/>
              <w:rPr>
                <w:rFonts w:ascii="仿宋" w:hAnsi="仿宋" w:eastAsia="仿宋" w:cs="仿宋"/>
                <w:color w:val="auto"/>
                <w:szCs w:val="21"/>
              </w:rPr>
            </w:pPr>
          </w:p>
        </w:tc>
        <w:tc>
          <w:tcPr>
            <w:tcW w:w="3574" w:type="dxa"/>
            <w:vAlign w:val="center"/>
          </w:tcPr>
          <w:p>
            <w:pPr>
              <w:spacing w:before="24" w:after="24"/>
              <w:jc w:val="center"/>
              <w:rPr>
                <w:rFonts w:ascii="仿宋" w:hAnsi="仿宋" w:eastAsia="仿宋" w:cs="仿宋"/>
                <w:color w:val="auto"/>
                <w:szCs w:val="21"/>
              </w:rPr>
            </w:pPr>
            <w:r>
              <w:rPr>
                <w:rFonts w:hint="eastAsia" w:ascii="仿宋" w:hAnsi="仿宋" w:eastAsia="仿宋" w:cs="Monaco"/>
                <w:color w:val="auto"/>
                <w:sz w:val="22"/>
                <w:szCs w:val="21"/>
              </w:rPr>
              <w:t>供应商应具有履行合同所必需的设备和专业技术能力</w:t>
            </w:r>
          </w:p>
        </w:tc>
        <w:tc>
          <w:tcPr>
            <w:tcW w:w="3941"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574" w:type="dxa"/>
            <w:vAlign w:val="center"/>
          </w:tcPr>
          <w:p>
            <w:pPr>
              <w:spacing w:before="24" w:after="24"/>
              <w:jc w:val="center"/>
              <w:rPr>
                <w:rFonts w:ascii="仿宋" w:hAnsi="仿宋" w:eastAsia="仿宋" w:cs="仿宋"/>
                <w:color w:val="auto"/>
                <w:szCs w:val="21"/>
              </w:rPr>
            </w:pPr>
            <w:r>
              <w:rPr>
                <w:rFonts w:hint="eastAsia" w:ascii="仿宋" w:hAnsi="仿宋" w:eastAsia="仿宋" w:cs="Cambria Math"/>
                <w:color w:val="auto"/>
                <w:sz w:val="22"/>
                <w:szCs w:val="21"/>
              </w:rPr>
              <w:t>近三年内无违法违规记录</w:t>
            </w:r>
          </w:p>
        </w:tc>
        <w:tc>
          <w:tcPr>
            <w:tcW w:w="3941"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574" w:type="dxa"/>
            <w:vAlign w:val="center"/>
          </w:tcPr>
          <w:p>
            <w:pPr>
              <w:spacing w:before="24" w:after="24"/>
              <w:jc w:val="center"/>
              <w:rPr>
                <w:rFonts w:ascii="仿宋" w:hAnsi="仿宋" w:eastAsia="仿宋" w:cs="仿宋"/>
                <w:color w:val="auto"/>
                <w:szCs w:val="21"/>
              </w:rPr>
            </w:pPr>
            <w:r>
              <w:rPr>
                <w:rFonts w:hint="eastAsia" w:ascii="仿宋" w:hAnsi="仿宋" w:eastAsia="仿宋" w:cs="Cambria Math"/>
                <w:color w:val="auto"/>
                <w:sz w:val="22"/>
                <w:szCs w:val="21"/>
              </w:rPr>
              <w:t>未被纳入采购人及其所隶属的中国人民保险各级机构的供应商黑名单</w:t>
            </w:r>
          </w:p>
        </w:tc>
        <w:tc>
          <w:tcPr>
            <w:tcW w:w="3941"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574" w:type="dxa"/>
            <w:vAlign w:val="center"/>
          </w:tcPr>
          <w:p>
            <w:pPr>
              <w:spacing w:before="24" w:after="24"/>
              <w:jc w:val="center"/>
              <w:rPr>
                <w:rFonts w:ascii="仿宋" w:hAnsi="仿宋" w:eastAsia="仿宋" w:cs="仿宋"/>
                <w:color w:val="auto"/>
                <w:szCs w:val="21"/>
              </w:rPr>
            </w:pPr>
            <w:r>
              <w:rPr>
                <w:rFonts w:hint="eastAsia" w:ascii="仿宋" w:hAnsi="仿宋" w:eastAsia="仿宋" w:cs="Cambria Math"/>
                <w:color w:val="auto"/>
                <w:sz w:val="22"/>
                <w:szCs w:val="21"/>
              </w:rPr>
              <w:t>控股管理关系</w:t>
            </w:r>
          </w:p>
        </w:tc>
        <w:tc>
          <w:tcPr>
            <w:tcW w:w="3941"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574" w:type="dxa"/>
            <w:vAlign w:val="center"/>
          </w:tcPr>
          <w:p>
            <w:pPr>
              <w:spacing w:before="24" w:after="24"/>
              <w:jc w:val="center"/>
              <w:rPr>
                <w:rFonts w:ascii="仿宋" w:hAnsi="仿宋" w:eastAsia="仿宋" w:cs="仿宋"/>
                <w:color w:val="auto"/>
                <w:szCs w:val="21"/>
              </w:rPr>
            </w:pPr>
            <w:r>
              <w:rPr>
                <w:rFonts w:hint="eastAsia" w:ascii="仿宋" w:hAnsi="仿宋" w:eastAsia="仿宋" w:cs="Cambria Math"/>
                <w:color w:val="auto"/>
                <w:sz w:val="22"/>
                <w:szCs w:val="21"/>
              </w:rPr>
              <w:t>非联合体投标</w:t>
            </w:r>
          </w:p>
        </w:tc>
        <w:tc>
          <w:tcPr>
            <w:tcW w:w="3941"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auto"/>
                <w:szCs w:val="21"/>
              </w:rPr>
            </w:pPr>
            <w:r>
              <w:rPr>
                <w:rFonts w:ascii="仿宋" w:hAnsi="仿宋" w:eastAsia="仿宋" w:cs="仿宋"/>
                <w:color w:val="auto"/>
                <w:szCs w:val="21"/>
              </w:rPr>
              <w:t>3</w:t>
            </w:r>
          </w:p>
        </w:tc>
        <w:tc>
          <w:tcPr>
            <w:tcW w:w="1701" w:type="dxa"/>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响应性评审标准</w:t>
            </w:r>
          </w:p>
        </w:tc>
        <w:tc>
          <w:tcPr>
            <w:tcW w:w="3574"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响应函</w:t>
            </w:r>
          </w:p>
        </w:tc>
        <w:tc>
          <w:tcPr>
            <w:tcW w:w="3941"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vAlign w:val="center"/>
          </w:tcPr>
          <w:p>
            <w:pPr>
              <w:spacing w:before="24" w:after="24" w:line="360" w:lineRule="auto"/>
              <w:jc w:val="center"/>
              <w:rPr>
                <w:rFonts w:ascii="仿宋" w:hAnsi="仿宋" w:eastAsia="仿宋" w:cs="仿宋"/>
                <w:color w:val="auto"/>
                <w:szCs w:val="21"/>
              </w:rPr>
            </w:pPr>
          </w:p>
        </w:tc>
        <w:tc>
          <w:tcPr>
            <w:tcW w:w="3574" w:type="dxa"/>
            <w:vAlign w:val="center"/>
          </w:tcPr>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供应商行为准则承诺书</w:t>
            </w:r>
          </w:p>
        </w:tc>
        <w:tc>
          <w:tcPr>
            <w:tcW w:w="3941"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vAlign w:val="center"/>
          </w:tcPr>
          <w:p>
            <w:pPr>
              <w:spacing w:before="24" w:after="24" w:line="360" w:lineRule="auto"/>
              <w:jc w:val="center"/>
              <w:rPr>
                <w:rFonts w:ascii="仿宋" w:hAnsi="仿宋" w:eastAsia="仿宋" w:cs="仿宋"/>
                <w:color w:val="auto"/>
                <w:szCs w:val="21"/>
              </w:rPr>
            </w:pPr>
          </w:p>
        </w:tc>
        <w:tc>
          <w:tcPr>
            <w:tcW w:w="3574" w:type="dxa"/>
            <w:vAlign w:val="center"/>
          </w:tcPr>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供应商廉洁诚信承诺书</w:t>
            </w:r>
          </w:p>
        </w:tc>
        <w:tc>
          <w:tcPr>
            <w:tcW w:w="3941"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vAlign w:val="center"/>
          </w:tcPr>
          <w:p>
            <w:pPr>
              <w:spacing w:before="24" w:after="24" w:line="360" w:lineRule="auto"/>
              <w:jc w:val="center"/>
              <w:rPr>
                <w:rFonts w:ascii="仿宋" w:hAnsi="仿宋" w:eastAsia="仿宋" w:cs="仿宋"/>
                <w:color w:val="auto"/>
                <w:szCs w:val="21"/>
              </w:rPr>
            </w:pPr>
          </w:p>
        </w:tc>
        <w:tc>
          <w:tcPr>
            <w:tcW w:w="3574"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Cs w:val="21"/>
              </w:rPr>
              <w:t>供应商偏离应答</w:t>
            </w:r>
          </w:p>
        </w:tc>
        <w:tc>
          <w:tcPr>
            <w:tcW w:w="3941" w:type="dxa"/>
            <w:vAlign w:val="center"/>
          </w:tcPr>
          <w:p>
            <w:pPr>
              <w:spacing w:before="24" w:after="24" w:line="276" w:lineRule="auto"/>
              <w:rPr>
                <w:rFonts w:ascii="仿宋" w:hAnsi="仿宋" w:eastAsia="仿宋" w:cs="仿宋"/>
                <w:color w:val="auto"/>
                <w:szCs w:val="21"/>
              </w:rPr>
            </w:pPr>
          </w:p>
        </w:tc>
      </w:tr>
    </w:tbl>
    <w:p>
      <w:pPr>
        <w:rPr>
          <w:rFonts w:ascii="宋体" w:hAnsi="宋体"/>
          <w:color w:val="auto"/>
          <w:szCs w:val="21"/>
        </w:rPr>
        <w:sectPr>
          <w:footerReference r:id="rId8" w:type="default"/>
          <w:pgSz w:w="11906" w:h="16838"/>
          <w:pgMar w:top="1417" w:right="1134" w:bottom="1134" w:left="1134" w:header="964" w:footer="964" w:gutter="0"/>
          <w:pgNumType w:fmt="decimal"/>
          <w:cols w:space="720" w:num="1"/>
          <w:docGrid w:linePitch="312" w:charSpace="0"/>
        </w:sectPr>
      </w:pPr>
    </w:p>
    <w:bookmarkEnd w:id="130"/>
    <w:bookmarkEnd w:id="131"/>
    <w:bookmarkEnd w:id="132"/>
    <w:bookmarkEnd w:id="133"/>
    <w:bookmarkEnd w:id="134"/>
    <w:bookmarkEnd w:id="135"/>
    <w:bookmarkEnd w:id="136"/>
    <w:bookmarkEnd w:id="137"/>
    <w:p>
      <w:pPr>
        <w:pStyle w:val="5"/>
        <w:spacing w:before="0" w:line="440" w:lineRule="exact"/>
        <w:rPr>
          <w:rFonts w:ascii="仿宋" w:hAnsi="仿宋" w:eastAsia="仿宋" w:cs="仿宋"/>
          <w:color w:val="auto"/>
          <w:sz w:val="24"/>
          <w:szCs w:val="24"/>
        </w:rPr>
      </w:pPr>
      <w:bookmarkStart w:id="143" w:name="_Toc3022"/>
      <w:bookmarkStart w:id="144" w:name="_Toc27958"/>
      <w:bookmarkStart w:id="145" w:name="_Toc7202"/>
      <w:bookmarkStart w:id="146" w:name="_Toc517281837"/>
      <w:bookmarkStart w:id="147" w:name="_Toc444891354"/>
      <w:bookmarkStart w:id="148" w:name="_Toc12140"/>
      <w:bookmarkStart w:id="149" w:name="_Toc27799"/>
      <w:bookmarkStart w:id="150" w:name="_Toc25121"/>
      <w:r>
        <w:rPr>
          <w:rFonts w:hint="eastAsia" w:ascii="仿宋" w:hAnsi="仿宋" w:eastAsia="仿宋" w:cs="仿宋"/>
          <w:color w:val="auto"/>
          <w:sz w:val="24"/>
          <w:szCs w:val="24"/>
        </w:rPr>
        <w:t>（一）响应函</w:t>
      </w:r>
      <w:bookmarkEnd w:id="143"/>
      <w:bookmarkEnd w:id="144"/>
    </w:p>
    <w:p>
      <w:pPr>
        <w:pStyle w:val="61"/>
        <w:spacing w:line="440" w:lineRule="exact"/>
        <w:rPr>
          <w:rFonts w:ascii="仿宋" w:hAnsi="仿宋" w:eastAsia="仿宋" w:cs="Cambria Math"/>
          <w:color w:val="auto"/>
          <w:sz w:val="24"/>
          <w:szCs w:val="24"/>
          <w:u w:val="single"/>
        </w:rPr>
      </w:pPr>
      <w:r>
        <w:rPr>
          <w:rFonts w:hint="eastAsia" w:ascii="仿宋" w:hAnsi="仿宋" w:eastAsia="仿宋" w:cs="Cambria Math"/>
          <w:color w:val="auto"/>
          <w:sz w:val="24"/>
          <w:szCs w:val="24"/>
          <w:u w:val="single"/>
        </w:rPr>
        <w:t>致：</w:t>
      </w:r>
      <w:r>
        <w:rPr>
          <w:rFonts w:hint="eastAsia" w:ascii="仿宋" w:hAnsi="仿宋" w:eastAsia="仿宋" w:cs="Cambria Math"/>
          <w:color w:val="auto"/>
          <w:sz w:val="24"/>
          <w:szCs w:val="24"/>
          <w:u w:val="single"/>
          <w:lang w:eastAsia="zh-CN"/>
        </w:rPr>
        <w:t>中国人民财产保险股份有限公司泸州市分公司</w:t>
      </w:r>
      <w:r>
        <w:rPr>
          <w:rFonts w:hint="eastAsia" w:ascii="仿宋" w:hAnsi="仿宋" w:eastAsia="仿宋" w:cs="Cambria Math"/>
          <w:color w:val="auto"/>
          <w:sz w:val="24"/>
          <w:szCs w:val="24"/>
          <w:u w:val="single"/>
        </w:rPr>
        <w:t xml:space="preserve">    </w:t>
      </w:r>
    </w:p>
    <w:p>
      <w:pPr>
        <w:spacing w:line="440" w:lineRule="exact"/>
        <w:ind w:firstLine="420"/>
        <w:rPr>
          <w:rFonts w:ascii="仿宋" w:hAnsi="仿宋" w:eastAsia="仿宋" w:cs="Cambria Math"/>
          <w:color w:val="auto"/>
        </w:rPr>
      </w:pPr>
      <w:r>
        <w:rPr>
          <w:rFonts w:hint="eastAsia" w:ascii="仿宋" w:hAnsi="仿宋" w:eastAsia="仿宋" w:cs="Cambria Math"/>
          <w:color w:val="auto"/>
          <w:u w:val="single"/>
        </w:rPr>
        <w:t xml:space="preserve">   （供应商名称）   </w:t>
      </w:r>
      <w:r>
        <w:rPr>
          <w:rFonts w:hint="eastAsia" w:ascii="仿宋" w:hAnsi="仿宋" w:eastAsia="仿宋" w:cs="Cambria Math"/>
          <w:color w:val="auto"/>
        </w:rPr>
        <w:t>（以下称“我方”）已仔细研究了</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lang w:eastAsia="zh-CN"/>
        </w:rPr>
        <w:t>人保财险四川省泸州市分公司立柱宣传采购项目</w:t>
      </w:r>
      <w:r>
        <w:rPr>
          <w:rFonts w:hint="eastAsia" w:ascii="仿宋" w:hAnsi="仿宋" w:eastAsia="仿宋" w:cs="Cambria Math"/>
          <w:color w:val="auto"/>
          <w:u w:val="single"/>
        </w:rPr>
        <w:t xml:space="preserve">    </w:t>
      </w:r>
      <w:r>
        <w:rPr>
          <w:rFonts w:hint="eastAsia" w:ascii="仿宋" w:hAnsi="仿宋" w:eastAsia="仿宋" w:cs="Cambria Math"/>
          <w:color w:val="auto"/>
        </w:rPr>
        <w:t>比选文件的全部内容，包括澄清或者修改文件以及有关附件，我方将严格按照比选文件要求递交符合要求的全部比选响应文件。</w:t>
      </w:r>
    </w:p>
    <w:p>
      <w:pPr>
        <w:spacing w:line="440" w:lineRule="exact"/>
        <w:ind w:firstLine="420"/>
        <w:rPr>
          <w:rFonts w:ascii="仿宋" w:hAnsi="仿宋" w:eastAsia="仿宋" w:cs="Cambria Math"/>
          <w:color w:val="auto"/>
        </w:rPr>
      </w:pPr>
      <w:r>
        <w:rPr>
          <w:rFonts w:hint="eastAsia" w:ascii="仿宋" w:hAnsi="仿宋" w:eastAsia="仿宋" w:cs="Cambria Math"/>
          <w:color w:val="auto"/>
        </w:rPr>
        <w:t>现我方承诺如下内容：</w:t>
      </w:r>
    </w:p>
    <w:p>
      <w:pPr>
        <w:spacing w:line="440" w:lineRule="exact"/>
        <w:ind w:firstLine="420"/>
        <w:rPr>
          <w:rFonts w:ascii="仿宋" w:hAnsi="仿宋" w:eastAsia="仿宋" w:cs="Cambria Math"/>
          <w:color w:val="auto"/>
        </w:rPr>
      </w:pPr>
      <w:r>
        <w:rPr>
          <w:rFonts w:hint="eastAsia" w:ascii="仿宋" w:hAnsi="仿宋" w:eastAsia="仿宋" w:cs="Cambria Math"/>
          <w:color w:val="auto"/>
        </w:rPr>
        <w:t>1. 本响应函及比选响应文件自比选响应文件提交截止日起有效期为</w:t>
      </w:r>
      <w:r>
        <w:rPr>
          <w:rFonts w:ascii="仿宋" w:hAnsi="仿宋" w:eastAsia="仿宋" w:cs="Cambria Math"/>
          <w:color w:val="auto"/>
          <w:u w:val="single"/>
        </w:rPr>
        <w:t>180</w:t>
      </w:r>
      <w:r>
        <w:rPr>
          <w:rFonts w:hint="eastAsia" w:ascii="仿宋" w:hAnsi="仿宋" w:eastAsia="仿宋" w:cs="Cambria Math"/>
          <w:color w:val="auto"/>
          <w:u w:val="single"/>
        </w:rPr>
        <w:t>天</w:t>
      </w:r>
      <w:r>
        <w:rPr>
          <w:rFonts w:hint="eastAsia" w:ascii="仿宋" w:hAnsi="仿宋" w:eastAsia="仿宋" w:cs="Cambria Math"/>
          <w:color w:val="auto"/>
        </w:rPr>
        <w:t>，我方承诺在响应有效期内不修改、撤销比选响应文件。</w:t>
      </w:r>
    </w:p>
    <w:p>
      <w:pPr>
        <w:spacing w:line="440" w:lineRule="exact"/>
        <w:ind w:firstLine="420"/>
        <w:rPr>
          <w:rFonts w:ascii="仿宋" w:hAnsi="仿宋" w:eastAsia="仿宋" w:cs="Cambria Math"/>
          <w:color w:val="auto"/>
        </w:rPr>
      </w:pPr>
      <w:r>
        <w:rPr>
          <w:rFonts w:ascii="仿宋" w:hAnsi="仿宋" w:eastAsia="仿宋" w:cs="Cambria Math"/>
          <w:color w:val="auto"/>
        </w:rPr>
        <w:t>2</w:t>
      </w:r>
      <w:r>
        <w:rPr>
          <w:rFonts w:hint="eastAsia" w:ascii="仿宋" w:hAnsi="仿宋" w:eastAsia="仿宋" w:cs="Cambria Math"/>
          <w:color w:val="auto"/>
        </w:rPr>
        <w:t>. 我方承诺提供比选过程中可能要求的澄清、说明、补正或者算术性错误修正确认，并同意我方提供的以上材料构成我方响应文件的组成部分。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auto"/>
        </w:rPr>
      </w:pPr>
      <w:r>
        <w:rPr>
          <w:rFonts w:ascii="仿宋" w:hAnsi="仿宋" w:eastAsia="仿宋" w:cs="Cambria Math"/>
          <w:color w:val="auto"/>
        </w:rPr>
        <w:t>3</w:t>
      </w:r>
      <w:r>
        <w:rPr>
          <w:rFonts w:hint="eastAsia" w:ascii="仿宋" w:hAnsi="仿宋" w:eastAsia="仿宋" w:cs="Cambria Math"/>
          <w:color w:val="auto"/>
        </w:rPr>
        <w:t>. 我方同意提供贵方可能要求的与我方响应文件有关的一切数据、资料、证明原件、证件原件，并完全理解贵方不一定接受最低价的响应。</w:t>
      </w:r>
    </w:p>
    <w:p>
      <w:pPr>
        <w:spacing w:line="440" w:lineRule="exact"/>
        <w:ind w:firstLine="420"/>
        <w:rPr>
          <w:rFonts w:ascii="仿宋" w:hAnsi="仿宋" w:eastAsia="仿宋" w:cs="Cambria Math"/>
          <w:color w:val="auto"/>
        </w:rPr>
      </w:pPr>
      <w:r>
        <w:rPr>
          <w:rFonts w:ascii="仿宋" w:hAnsi="仿宋" w:eastAsia="仿宋" w:cs="Cambria Math"/>
          <w:color w:val="auto"/>
        </w:rPr>
        <w:t>4</w:t>
      </w:r>
      <w:r>
        <w:rPr>
          <w:rFonts w:hint="eastAsia" w:ascii="仿宋" w:hAnsi="仿宋" w:eastAsia="仿宋" w:cs="Cambria Math"/>
          <w:color w:val="auto"/>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auto"/>
        </w:rPr>
      </w:pPr>
      <w:r>
        <w:rPr>
          <w:rFonts w:ascii="仿宋" w:hAnsi="仿宋" w:eastAsia="仿宋" w:cs="宋体"/>
          <w:color w:val="auto"/>
        </w:rPr>
        <w:t>5</w:t>
      </w:r>
      <w:r>
        <w:rPr>
          <w:rFonts w:hint="eastAsia" w:ascii="仿宋" w:hAnsi="仿宋" w:eastAsia="仿宋" w:cs="宋体"/>
          <w:color w:val="auto"/>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auto"/>
        </w:rPr>
      </w:pPr>
      <w:r>
        <w:rPr>
          <w:rFonts w:ascii="仿宋" w:hAnsi="仿宋" w:eastAsia="仿宋" w:cs="Cambria Math"/>
          <w:color w:val="auto"/>
        </w:rPr>
        <w:t>6</w:t>
      </w:r>
      <w:r>
        <w:rPr>
          <w:rFonts w:hint="eastAsia" w:ascii="仿宋" w:hAnsi="仿宋" w:eastAsia="仿宋" w:cs="Cambria Math"/>
          <w:color w:val="auto"/>
        </w:rPr>
        <w:t>. 如我方成交：</w:t>
      </w:r>
    </w:p>
    <w:p>
      <w:pPr>
        <w:spacing w:line="440" w:lineRule="exact"/>
        <w:ind w:firstLine="420"/>
        <w:rPr>
          <w:rFonts w:ascii="仿宋" w:hAnsi="仿宋" w:eastAsia="仿宋" w:cs="Cambria Math"/>
          <w:color w:val="auto"/>
        </w:rPr>
      </w:pPr>
      <w:r>
        <w:rPr>
          <w:rFonts w:hint="eastAsia" w:ascii="仿宋" w:hAnsi="仿宋" w:eastAsia="仿宋" w:cs="Cambria Math"/>
          <w:color w:val="auto"/>
        </w:rPr>
        <w:t>（1）我方承诺在收到成交通知书后，在成交通知书规定的期限内与贵方签订合同。</w:t>
      </w:r>
    </w:p>
    <w:p>
      <w:pPr>
        <w:spacing w:line="440" w:lineRule="exact"/>
        <w:ind w:firstLine="420"/>
        <w:rPr>
          <w:rFonts w:ascii="仿宋" w:hAnsi="仿宋" w:eastAsia="仿宋" w:cs="Cambria Math"/>
          <w:color w:val="auto"/>
        </w:rPr>
      </w:pPr>
      <w:r>
        <w:rPr>
          <w:rFonts w:hint="eastAsia" w:ascii="仿宋" w:hAnsi="仿宋" w:eastAsia="仿宋" w:cs="Cambria Math"/>
          <w:color w:val="auto"/>
        </w:rPr>
        <w:t>（2）我方承诺按照比选文件规定递交履约保证金。</w:t>
      </w:r>
    </w:p>
    <w:p>
      <w:pPr>
        <w:spacing w:line="440" w:lineRule="exact"/>
        <w:ind w:firstLine="420"/>
        <w:rPr>
          <w:rFonts w:ascii="仿宋" w:hAnsi="仿宋" w:eastAsia="仿宋" w:cs="Cambria Math"/>
          <w:color w:val="auto"/>
        </w:rPr>
      </w:pPr>
      <w:r>
        <w:rPr>
          <w:rFonts w:hint="eastAsia" w:ascii="仿宋" w:hAnsi="仿宋" w:eastAsia="仿宋" w:cs="Cambria Math"/>
          <w:color w:val="auto"/>
        </w:rPr>
        <w:t>（3）我方承诺按照比选文件的规定及合同约定履行相关责任和义务。</w:t>
      </w:r>
    </w:p>
    <w:p>
      <w:pPr>
        <w:spacing w:line="440" w:lineRule="exact"/>
        <w:ind w:firstLine="420"/>
        <w:rPr>
          <w:rFonts w:ascii="仿宋" w:hAnsi="仿宋" w:eastAsia="仿宋" w:cs="Cambria Math"/>
          <w:color w:val="auto"/>
        </w:rPr>
      </w:pPr>
      <w:r>
        <w:rPr>
          <w:rFonts w:hint="eastAsia" w:ascii="仿宋" w:hAnsi="仿宋" w:eastAsia="仿宋" w:cs="Cambria Math"/>
          <w:color w:val="auto"/>
        </w:rPr>
        <w:t>（4）我方在此承诺，双方合作后可开具增值税专用发票。</w:t>
      </w:r>
    </w:p>
    <w:p>
      <w:pPr>
        <w:spacing w:line="440" w:lineRule="exact"/>
        <w:ind w:firstLine="4080" w:firstLineChars="1700"/>
        <w:jc w:val="right"/>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pStyle w:val="5"/>
        <w:spacing w:before="0" w:after="0" w:line="360" w:lineRule="auto"/>
        <w:rPr>
          <w:rFonts w:ascii="仿宋" w:hAnsi="仿宋" w:eastAsia="仿宋" w:cs="仿宋"/>
          <w:color w:val="auto"/>
          <w:sz w:val="24"/>
          <w:szCs w:val="24"/>
        </w:rPr>
      </w:pPr>
      <w:r>
        <w:rPr>
          <w:rFonts w:ascii="仿宋" w:hAnsi="仿宋" w:eastAsia="仿宋" w:cs="仿宋"/>
          <w:color w:val="auto"/>
          <w:sz w:val="24"/>
          <w:szCs w:val="24"/>
        </w:rPr>
        <w:br w:type="page"/>
      </w:r>
      <w:bookmarkEnd w:id="138"/>
      <w:bookmarkEnd w:id="139"/>
      <w:bookmarkEnd w:id="145"/>
      <w:bookmarkEnd w:id="146"/>
      <w:bookmarkEnd w:id="147"/>
      <w:bookmarkEnd w:id="148"/>
      <w:bookmarkEnd w:id="149"/>
      <w:bookmarkEnd w:id="150"/>
      <w:bookmarkStart w:id="151" w:name="_Toc2641"/>
      <w:bookmarkStart w:id="152" w:name="_Toc13983"/>
      <w:r>
        <w:rPr>
          <w:rFonts w:hint="eastAsia" w:ascii="仿宋" w:hAnsi="仿宋" w:eastAsia="仿宋" w:cs="仿宋"/>
          <w:color w:val="auto"/>
          <w:sz w:val="24"/>
          <w:szCs w:val="24"/>
        </w:rPr>
        <w:t>（二）法定代表人（负责人）身份证明书</w:t>
      </w:r>
      <w:bookmarkEnd w:id="151"/>
      <w:bookmarkEnd w:id="152"/>
      <w:r>
        <w:rPr>
          <w:rFonts w:hint="eastAsia" w:ascii="仿宋" w:hAnsi="仿宋" w:eastAsia="仿宋" w:cs="仿宋"/>
          <w:color w:val="auto"/>
          <w:sz w:val="24"/>
          <w:szCs w:val="24"/>
        </w:rPr>
        <w:tab/>
      </w:r>
    </w:p>
    <w:p>
      <w:pPr>
        <w:spacing w:line="360" w:lineRule="auto"/>
        <w:jc w:val="center"/>
        <w:rPr>
          <w:rFonts w:ascii="仿宋" w:hAnsi="仿宋" w:eastAsia="仿宋" w:cs="仿宋"/>
          <w:b/>
          <w:color w:val="auto"/>
        </w:rPr>
      </w:pPr>
      <w:r>
        <w:rPr>
          <w:rFonts w:hint="eastAsia" w:ascii="仿宋" w:hAnsi="仿宋" w:eastAsia="仿宋" w:cs="仿宋"/>
          <w:b/>
          <w:color w:val="auto"/>
        </w:rPr>
        <w:t>法定代表人（负责人）身份证明书</w:t>
      </w:r>
      <w:r>
        <w:rPr>
          <w:rFonts w:hint="eastAsia" w:ascii="仿宋" w:hAnsi="仿宋" w:eastAsia="仿宋" w:cs="仿宋"/>
          <w:b/>
          <w:color w:val="auto"/>
        </w:rPr>
        <w:tab/>
      </w:r>
    </w:p>
    <w:p>
      <w:pPr>
        <w:spacing w:line="360" w:lineRule="auto"/>
        <w:rPr>
          <w:rFonts w:ascii="仿宋" w:hAnsi="仿宋" w:eastAsia="仿宋" w:cs="仿宋"/>
          <w:b/>
          <w:color w:val="auto"/>
        </w:rPr>
      </w:pPr>
    </w:p>
    <w:p>
      <w:pPr>
        <w:topLinePunct/>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p>
    <w:p>
      <w:pPr>
        <w:topLinePunct/>
        <w:spacing w:line="360" w:lineRule="auto"/>
        <w:rPr>
          <w:rFonts w:ascii="仿宋" w:hAnsi="仿宋" w:eastAsia="仿宋" w:cs="仿宋"/>
          <w:color w:val="auto"/>
        </w:rPr>
      </w:pPr>
      <w:r>
        <w:rPr>
          <w:rFonts w:hint="eastAsia" w:ascii="仿宋" w:hAnsi="仿宋" w:eastAsia="仿宋" w:cs="仿宋"/>
          <w:color w:val="auto"/>
        </w:rPr>
        <w:t>成立时间：</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topLinePunct/>
        <w:spacing w:line="360" w:lineRule="auto"/>
        <w:rPr>
          <w:rFonts w:ascii="仿宋" w:hAnsi="仿宋" w:eastAsia="仿宋" w:cs="仿宋"/>
          <w:color w:val="auto"/>
          <w:u w:val="single"/>
        </w:rPr>
      </w:pPr>
      <w:r>
        <w:rPr>
          <w:rFonts w:hint="eastAsia" w:ascii="仿宋" w:hAnsi="仿宋" w:eastAsia="仿宋" w:cs="仿宋"/>
          <w:color w:val="auto"/>
        </w:rPr>
        <w:t>姓名：</w:t>
      </w:r>
      <w:r>
        <w:rPr>
          <w:rFonts w:hint="eastAsia" w:ascii="仿宋" w:hAnsi="仿宋" w:eastAsia="仿宋" w:cs="仿宋"/>
          <w:color w:val="auto"/>
          <w:u w:val="single"/>
        </w:rPr>
        <w:t xml:space="preserve">         </w:t>
      </w:r>
      <w:r>
        <w:rPr>
          <w:rFonts w:hint="eastAsia" w:ascii="仿宋" w:hAnsi="仿宋" w:eastAsia="仿宋" w:cs="仿宋"/>
          <w:color w:val="auto"/>
        </w:rPr>
        <w:t>性别：</w:t>
      </w:r>
      <w:r>
        <w:rPr>
          <w:rFonts w:hint="eastAsia" w:ascii="仿宋" w:hAnsi="仿宋" w:eastAsia="仿宋" w:cs="仿宋"/>
          <w:color w:val="auto"/>
          <w:u w:val="single"/>
        </w:rPr>
        <w:t xml:space="preserve">          </w:t>
      </w:r>
      <w:r>
        <w:rPr>
          <w:rFonts w:hint="eastAsia" w:ascii="仿宋" w:hAnsi="仿宋" w:eastAsia="仿宋" w:cs="仿宋"/>
          <w:color w:val="auto"/>
        </w:rPr>
        <w:t>年龄：</w:t>
      </w:r>
      <w:r>
        <w:rPr>
          <w:rFonts w:hint="eastAsia" w:ascii="仿宋" w:hAnsi="仿宋" w:eastAsia="仿宋" w:cs="仿宋"/>
          <w:color w:val="auto"/>
          <w:u w:val="single"/>
        </w:rPr>
        <w:t xml:space="preserve">         </w:t>
      </w:r>
      <w:r>
        <w:rPr>
          <w:rFonts w:hint="eastAsia" w:ascii="仿宋" w:hAnsi="仿宋" w:eastAsia="仿宋" w:cs="仿宋"/>
          <w:color w:val="auto"/>
        </w:rPr>
        <w:t>职务：</w:t>
      </w:r>
      <w:r>
        <w:rPr>
          <w:rFonts w:hint="eastAsia" w:ascii="仿宋" w:hAnsi="仿宋" w:eastAsia="仿宋" w:cs="仿宋"/>
          <w:color w:val="auto"/>
          <w:u w:val="single"/>
        </w:rPr>
        <w:t xml:space="preserve">         </w:t>
      </w:r>
    </w:p>
    <w:p>
      <w:pPr>
        <w:topLinePunct/>
        <w:spacing w:line="360" w:lineRule="auto"/>
        <w:rPr>
          <w:rFonts w:ascii="仿宋" w:hAnsi="仿宋" w:eastAsia="仿宋" w:cs="仿宋"/>
          <w:color w:val="auto"/>
        </w:rPr>
      </w:pPr>
      <w:r>
        <w:rPr>
          <w:rFonts w:hint="eastAsia" w:ascii="仿宋" w:hAnsi="仿宋" w:eastAsia="仿宋" w:cs="仿宋"/>
          <w:color w:val="auto"/>
        </w:rPr>
        <w:t>系</w:t>
      </w:r>
      <w:r>
        <w:rPr>
          <w:rFonts w:hint="eastAsia" w:ascii="仿宋" w:hAnsi="仿宋" w:eastAsia="仿宋" w:cs="仿宋"/>
          <w:color w:val="auto"/>
          <w:u w:val="single"/>
        </w:rPr>
        <w:t xml:space="preserve">                   </w:t>
      </w:r>
      <w:r>
        <w:rPr>
          <w:rFonts w:hint="eastAsia" w:ascii="仿宋" w:hAnsi="仿宋" w:eastAsia="仿宋" w:cs="仿宋"/>
          <w:color w:val="auto"/>
        </w:rPr>
        <w:t>（供应商名称）的法定代表人（负责人）。</w:t>
      </w:r>
    </w:p>
    <w:p>
      <w:pPr>
        <w:topLinePunct/>
        <w:spacing w:line="360" w:lineRule="auto"/>
        <w:rPr>
          <w:rFonts w:ascii="仿宋" w:hAnsi="仿宋" w:eastAsia="仿宋" w:cs="仿宋"/>
          <w:color w:val="auto"/>
        </w:rPr>
      </w:pPr>
      <w:r>
        <w:rPr>
          <w:rFonts w:hint="eastAsia" w:ascii="仿宋" w:hAnsi="仿宋" w:eastAsia="仿宋" w:cs="仿宋"/>
          <w:color w:val="auto"/>
        </w:rPr>
        <w:t>特此证明。</w:t>
      </w:r>
    </w:p>
    <w:p>
      <w:pPr>
        <w:topLinePunct/>
        <w:spacing w:line="360" w:lineRule="auto"/>
        <w:rPr>
          <w:rFonts w:ascii="仿宋" w:hAnsi="仿宋" w:eastAsia="仿宋" w:cs="仿宋"/>
          <w:color w:val="auto"/>
        </w:rPr>
      </w:pPr>
    </w:p>
    <w:p>
      <w:pPr>
        <w:spacing w:line="360" w:lineRule="auto"/>
        <w:rPr>
          <w:rFonts w:ascii="仿宋" w:hAnsi="仿宋" w:eastAsia="仿宋" w:cs="仿宋"/>
          <w:b/>
          <w:bCs/>
          <w:color w:val="auto"/>
        </w:rPr>
      </w:pPr>
      <w:r>
        <w:rPr>
          <w:rFonts w:hint="eastAsia" w:ascii="仿宋" w:hAnsi="仿宋" w:eastAsia="仿宋" w:cs="仿宋"/>
          <w:b/>
          <w:bCs/>
          <w:color w:val="auto"/>
        </w:rPr>
        <w:t>附：法定代表人（负责人）身份证复印件（需同时提供正面及背面）。</w:t>
      </w:r>
    </w:p>
    <w:p>
      <w:pPr>
        <w:spacing w:line="360" w:lineRule="auto"/>
        <w:rPr>
          <w:rFonts w:ascii="仿宋" w:hAnsi="仿宋" w:eastAsia="仿宋" w:cs="仿宋"/>
          <w:color w:val="auto"/>
        </w:rPr>
      </w:pPr>
      <w:r>
        <w:rPr>
          <w:rFonts w:hint="eastAsia" w:ascii="仿宋" w:hAnsi="仿宋" w:eastAsia="仿宋" w:cs="仿宋"/>
          <w:color w:val="auto"/>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auto"/>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auto"/>
        </w:rPr>
      </w:pPr>
    </w:p>
    <w:p>
      <w:pPr>
        <w:pStyle w:val="61"/>
        <w:spacing w:line="440" w:lineRule="atLeast"/>
        <w:ind w:firstLine="480"/>
        <w:jc w:val="left"/>
        <w:rPr>
          <w:rFonts w:ascii="仿宋" w:hAnsi="仿宋" w:eastAsia="仿宋" w:cs="仿宋"/>
          <w:color w:val="auto"/>
        </w:rPr>
      </w:pPr>
    </w:p>
    <w:p>
      <w:pPr>
        <w:pStyle w:val="61"/>
        <w:spacing w:line="440" w:lineRule="atLeast"/>
        <w:ind w:firstLine="480"/>
        <w:jc w:val="left"/>
        <w:rPr>
          <w:rFonts w:ascii="仿宋" w:hAnsi="仿宋" w:eastAsia="仿宋" w:cs="仿宋"/>
          <w:color w:val="auto"/>
        </w:rPr>
      </w:pPr>
    </w:p>
    <w:p>
      <w:pPr>
        <w:spacing w:line="360" w:lineRule="auto"/>
        <w:ind w:firstLine="610"/>
        <w:rPr>
          <w:rFonts w:ascii="仿宋" w:hAnsi="仿宋" w:eastAsia="仿宋" w:cs="仿宋"/>
          <w:color w:val="auto"/>
        </w:rPr>
      </w:pPr>
    </w:p>
    <w:p>
      <w:pPr>
        <w:tabs>
          <w:tab w:val="left" w:pos="720"/>
          <w:tab w:val="left" w:pos="900"/>
        </w:tabs>
        <w:spacing w:line="360" w:lineRule="auto"/>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p>
    <w:p>
      <w:pPr>
        <w:wordWrap w:val="0"/>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 xml:space="preserve"> </w:t>
      </w:r>
      <w:r>
        <w:rPr>
          <w:rFonts w:ascii="仿宋" w:hAnsi="仿宋" w:eastAsia="仿宋" w:cs="仿宋"/>
          <w:color w:val="auto"/>
        </w:rPr>
        <w:t xml:space="preserve">  </w:t>
      </w:r>
    </w:p>
    <w:p>
      <w:pPr>
        <w:spacing w:line="440" w:lineRule="exact"/>
        <w:ind w:firstLine="4080" w:firstLineChars="1700"/>
        <w:jc w:val="right"/>
        <w:rPr>
          <w:rFonts w:ascii="仿宋" w:hAnsi="仿宋" w:eastAsia="仿宋" w:cs="仿宋"/>
          <w:color w:val="auto"/>
        </w:rPr>
      </w:pPr>
      <w:r>
        <w:rPr>
          <w:rFonts w:ascii="仿宋" w:hAnsi="仿宋" w:eastAsia="仿宋" w:cs="仿宋"/>
          <w:color w:val="auto"/>
        </w:rPr>
        <w:t xml:space="preserve">    </w:t>
      </w:r>
    </w:p>
    <w:p>
      <w:pPr>
        <w:spacing w:line="440" w:lineRule="exact"/>
        <w:ind w:firstLine="4080" w:firstLineChars="1700"/>
        <w:jc w:val="right"/>
        <w:rPr>
          <w:rFonts w:ascii="仿宋" w:hAnsi="仿宋" w:eastAsia="仿宋" w:cs="仿宋"/>
          <w:color w:val="auto"/>
        </w:rPr>
      </w:pPr>
      <w:r>
        <w:rPr>
          <w:rFonts w:ascii="仿宋" w:hAnsi="仿宋" w:eastAsia="仿宋" w:cs="仿宋"/>
          <w:color w:val="auto"/>
        </w:rPr>
        <w:t xml:space="preserve"> </w:t>
      </w:r>
      <w:r>
        <w:rPr>
          <w:rFonts w:hint="eastAsia" w:ascii="仿宋" w:hAnsi="仿宋" w:eastAsia="仿宋" w:cs="仿宋"/>
          <w:color w:val="auto"/>
        </w:rPr>
        <w:t xml:space="preserve"> </w:t>
      </w:r>
      <w:r>
        <w:rPr>
          <w:rFonts w:ascii="仿宋" w:hAnsi="仿宋" w:eastAsia="仿宋" w:cs="仿宋"/>
          <w:color w:val="auto"/>
        </w:rPr>
        <w:t xml:space="preserve">   </w:t>
      </w: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b/>
          <w:bCs/>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tabs>
          <w:tab w:val="left" w:pos="720"/>
          <w:tab w:val="left" w:pos="900"/>
        </w:tabs>
        <w:spacing w:line="360" w:lineRule="auto"/>
        <w:ind w:left="1078"/>
        <w:rPr>
          <w:rFonts w:ascii="仿宋" w:hAnsi="仿宋" w:eastAsia="仿宋" w:cs="仿宋"/>
          <w:color w:val="auto"/>
        </w:rPr>
      </w:pPr>
    </w:p>
    <w:p>
      <w:pPr>
        <w:tabs>
          <w:tab w:val="left" w:pos="720"/>
          <w:tab w:val="left" w:pos="900"/>
        </w:tabs>
        <w:spacing w:line="360" w:lineRule="auto"/>
        <w:ind w:left="1078"/>
        <w:rPr>
          <w:rFonts w:ascii="仿宋" w:hAnsi="仿宋" w:eastAsia="仿宋" w:cs="仿宋"/>
          <w:color w:val="auto"/>
        </w:rPr>
      </w:pP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rPr>
        <w:br w:type="page"/>
      </w:r>
      <w:bookmarkStart w:id="153" w:name="_Toc19783361"/>
      <w:bookmarkStart w:id="154" w:name="_Toc24788"/>
      <w:bookmarkStart w:id="155" w:name="_Toc5582"/>
      <w:bookmarkStart w:id="156" w:name="_Toc444891355"/>
      <w:bookmarkStart w:id="157" w:name="_Toc4426"/>
      <w:bookmarkStart w:id="158" w:name="_Toc20707"/>
      <w:bookmarkStart w:id="159" w:name="_Toc12837"/>
      <w:bookmarkStart w:id="160" w:name="_Toc26267"/>
      <w:bookmarkStart w:id="161" w:name="_Toc517281838"/>
      <w:bookmarkStart w:id="162" w:name="_Toc287600130"/>
      <w:r>
        <w:rPr>
          <w:rFonts w:hint="eastAsia" w:ascii="仿宋" w:hAnsi="仿宋" w:eastAsia="仿宋" w:cs="仿宋"/>
          <w:color w:val="auto"/>
          <w:sz w:val="24"/>
          <w:szCs w:val="24"/>
        </w:rPr>
        <w:t>（三）法定代表人（负责人）授权委托书</w:t>
      </w:r>
      <w:bookmarkEnd w:id="153"/>
      <w:bookmarkEnd w:id="154"/>
      <w:bookmarkEnd w:id="155"/>
      <w:bookmarkEnd w:id="156"/>
      <w:bookmarkEnd w:id="157"/>
      <w:bookmarkEnd w:id="158"/>
      <w:bookmarkEnd w:id="159"/>
      <w:bookmarkEnd w:id="160"/>
      <w:bookmarkEnd w:id="161"/>
      <w:bookmarkEnd w:id="162"/>
    </w:p>
    <w:p>
      <w:pPr>
        <w:pStyle w:val="61"/>
        <w:spacing w:before="240" w:after="240" w:line="360" w:lineRule="auto"/>
        <w:jc w:val="center"/>
        <w:rPr>
          <w:rFonts w:ascii="仿宋" w:hAnsi="仿宋" w:eastAsia="仿宋" w:cs="Cambria Math"/>
          <w:b/>
          <w:color w:val="auto"/>
          <w:sz w:val="24"/>
          <w:szCs w:val="24"/>
        </w:rPr>
      </w:pPr>
      <w:r>
        <w:rPr>
          <w:rFonts w:hint="eastAsia" w:ascii="仿宋" w:hAnsi="仿宋" w:eastAsia="仿宋" w:cs="Cambria Math"/>
          <w:b/>
          <w:color w:val="auto"/>
          <w:sz w:val="24"/>
          <w:szCs w:val="24"/>
        </w:rPr>
        <w:t>法定代表人（负责人）授权委托书</w:t>
      </w:r>
    </w:p>
    <w:p>
      <w:pPr>
        <w:pStyle w:val="61"/>
        <w:topLinePunct/>
        <w:spacing w:line="360" w:lineRule="auto"/>
        <w:ind w:firstLine="480" w:firstLineChars="200"/>
        <w:rPr>
          <w:rFonts w:ascii="仿宋" w:hAnsi="仿宋" w:eastAsia="仿宋" w:cs="Cambria Math"/>
          <w:color w:val="auto"/>
          <w:sz w:val="24"/>
          <w:szCs w:val="24"/>
        </w:rPr>
      </w:pPr>
      <w:r>
        <w:rPr>
          <w:rFonts w:hint="eastAsia" w:ascii="仿宋" w:hAnsi="仿宋" w:eastAsia="仿宋" w:cs="仿宋"/>
          <w:color w:val="auto"/>
          <w:sz w:val="24"/>
        </w:rPr>
        <w:t>本人</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系</w:t>
      </w:r>
      <w:r>
        <w:rPr>
          <w:rFonts w:hint="eastAsia" w:ascii="仿宋" w:hAnsi="仿宋" w:eastAsia="仿宋" w:cs="仿宋"/>
          <w:color w:val="auto"/>
          <w:sz w:val="24"/>
          <w:u w:val="single"/>
        </w:rPr>
        <w:t>（供应商名称）</w:t>
      </w:r>
      <w:r>
        <w:rPr>
          <w:rFonts w:hint="eastAsia" w:ascii="仿宋" w:hAnsi="仿宋" w:eastAsia="仿宋" w:cs="仿宋"/>
          <w:color w:val="auto"/>
          <w:sz w:val="24"/>
        </w:rPr>
        <w:t>的法定代表人</w:t>
      </w:r>
      <w:r>
        <w:rPr>
          <w:rFonts w:hint="eastAsia" w:ascii="仿宋" w:hAnsi="仿宋" w:eastAsia="仿宋" w:cs="仿宋"/>
          <w:color w:val="auto"/>
          <w:sz w:val="24"/>
          <w:szCs w:val="24"/>
        </w:rPr>
        <w:t>（负责人）</w:t>
      </w:r>
      <w:r>
        <w:rPr>
          <w:rFonts w:hint="eastAsia" w:ascii="仿宋" w:hAnsi="仿宋" w:eastAsia="仿宋" w:cs="仿宋"/>
          <w:color w:val="auto"/>
          <w:sz w:val="24"/>
        </w:rPr>
        <w:t>，现授权委托</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为我方代理人。</w:t>
      </w:r>
      <w:r>
        <w:rPr>
          <w:rFonts w:hint="eastAsia" w:ascii="仿宋" w:hAnsi="仿宋" w:eastAsia="仿宋" w:cs="Cambria Math"/>
          <w:color w:val="auto"/>
          <w:sz w:val="24"/>
          <w:szCs w:val="24"/>
        </w:rPr>
        <w:t>代理人根据授权，以我方名义签署、澄清、说明、补正、递交、撤回、修改</w:t>
      </w:r>
      <w:r>
        <w:rPr>
          <w:rFonts w:hint="eastAsia" w:ascii="仿宋" w:hAnsi="仿宋" w:eastAsia="仿宋" w:cs="Cambria Math"/>
          <w:color w:val="auto"/>
          <w:sz w:val="24"/>
          <w:szCs w:val="24"/>
          <w:u w:val="single"/>
          <w:lang w:val="en-US" w:eastAsia="zh-CN"/>
        </w:rPr>
        <w:t xml:space="preserve"> </w:t>
      </w:r>
      <w:r>
        <w:rPr>
          <w:rFonts w:hint="eastAsia" w:ascii="仿宋" w:hAnsi="仿宋" w:eastAsia="仿宋" w:cs="Cambria Math"/>
          <w:color w:val="auto"/>
          <w:sz w:val="24"/>
          <w:szCs w:val="24"/>
          <w:u w:val="single"/>
          <w:lang w:eastAsia="zh-CN"/>
        </w:rPr>
        <w:t>人保财险四川省泸州市分公司立柱宣传采购项目</w:t>
      </w:r>
      <w:r>
        <w:rPr>
          <w:rFonts w:hint="eastAsia" w:ascii="仿宋" w:hAnsi="仿宋" w:eastAsia="仿宋" w:cs="Cambria Math"/>
          <w:color w:val="auto"/>
          <w:sz w:val="24"/>
          <w:szCs w:val="24"/>
        </w:rPr>
        <w:t>比选响应文件、签订合同和处理有关事宜，其法律后果由我方承担。</w:t>
      </w:r>
    </w:p>
    <w:p>
      <w:pPr>
        <w:spacing w:line="360" w:lineRule="auto"/>
        <w:ind w:firstLine="480" w:firstLineChars="200"/>
        <w:rPr>
          <w:rFonts w:ascii="仿宋" w:hAnsi="仿宋" w:eastAsia="仿宋" w:cs="Cambria Math"/>
          <w:color w:val="auto"/>
        </w:rPr>
      </w:pPr>
      <w:r>
        <w:rPr>
          <w:rFonts w:hint="eastAsia" w:ascii="仿宋" w:hAnsi="仿宋" w:eastAsia="仿宋" w:cs="Cambria Math"/>
          <w:color w:val="auto"/>
        </w:rPr>
        <w:t>委托期限：</w:t>
      </w:r>
      <w:r>
        <w:rPr>
          <w:rFonts w:hint="eastAsia" w:ascii="仿宋" w:hAnsi="仿宋" w:eastAsia="仿宋" w:cs="Cambria Math"/>
          <w:color w:val="auto"/>
          <w:u w:val="single"/>
        </w:rPr>
        <w:t xml:space="preserve"> 自</w:t>
      </w:r>
      <w:r>
        <w:rPr>
          <w:rFonts w:hint="eastAsia" w:ascii="仿宋" w:hAnsi="仿宋" w:eastAsia="仿宋" w:cs="微软雅黑"/>
          <w:color w:val="auto"/>
          <w:u w:val="single"/>
        </w:rPr>
        <w:t>本委托书签字盖章生效</w:t>
      </w:r>
      <w:r>
        <w:rPr>
          <w:rFonts w:hint="eastAsia" w:ascii="仿宋" w:hAnsi="仿宋" w:eastAsia="仿宋" w:cs="Cambria Math"/>
          <w:color w:val="auto"/>
          <w:u w:val="single"/>
        </w:rPr>
        <w:t xml:space="preserve">之日起至比选响应有效期到期之日为止 </w:t>
      </w:r>
      <w:r>
        <w:rPr>
          <w:rFonts w:hint="eastAsia" w:ascii="仿宋" w:hAnsi="仿宋" w:eastAsia="仿宋" w:cs="Cambria Math"/>
          <w:color w:val="auto"/>
        </w:rPr>
        <w:t>。</w:t>
      </w:r>
    </w:p>
    <w:p>
      <w:pPr>
        <w:pStyle w:val="61"/>
        <w:spacing w:line="360" w:lineRule="auto"/>
        <w:ind w:firstLine="480" w:firstLineChars="200"/>
        <w:rPr>
          <w:rFonts w:ascii="仿宋" w:hAnsi="仿宋" w:eastAsia="仿宋" w:cs="Cambria Math"/>
          <w:color w:val="auto"/>
          <w:sz w:val="24"/>
          <w:szCs w:val="24"/>
        </w:rPr>
      </w:pPr>
      <w:r>
        <w:rPr>
          <w:rFonts w:hint="eastAsia" w:ascii="仿宋" w:hAnsi="仿宋" w:eastAsia="仿宋" w:cs="Cambria Math"/>
          <w:color w:val="auto"/>
          <w:sz w:val="24"/>
          <w:szCs w:val="24"/>
        </w:rPr>
        <w:t>代理人无转委托权。</w:t>
      </w:r>
    </w:p>
    <w:p>
      <w:pPr>
        <w:pStyle w:val="61"/>
        <w:spacing w:line="360" w:lineRule="auto"/>
        <w:ind w:firstLine="482" w:firstLineChars="200"/>
        <w:rPr>
          <w:rFonts w:ascii="仿宋" w:hAnsi="仿宋" w:eastAsia="仿宋" w:cs="Cambria Math"/>
          <w:b/>
          <w:bCs/>
          <w:color w:val="auto"/>
          <w:sz w:val="24"/>
          <w:szCs w:val="24"/>
        </w:rPr>
      </w:pPr>
    </w:p>
    <w:p>
      <w:pPr>
        <w:pStyle w:val="61"/>
        <w:spacing w:line="360" w:lineRule="auto"/>
        <w:ind w:firstLine="482" w:firstLineChars="200"/>
        <w:rPr>
          <w:rFonts w:ascii="仿宋" w:hAnsi="仿宋" w:eastAsia="仿宋" w:cs="Cambria Math"/>
          <w:color w:val="auto"/>
          <w:sz w:val="24"/>
          <w:szCs w:val="24"/>
        </w:rPr>
      </w:pPr>
      <w:r>
        <w:rPr>
          <w:rFonts w:hint="eastAsia" w:ascii="仿宋" w:hAnsi="仿宋" w:eastAsia="仿宋" w:cs="Cambria Math"/>
          <w:b/>
          <w:bCs/>
          <w:color w:val="auto"/>
          <w:sz w:val="24"/>
          <w:szCs w:val="24"/>
        </w:rPr>
        <w:t>附：委托代理人身份证复印件（需同时提供正面及背面）</w:t>
      </w:r>
      <w:r>
        <w:rPr>
          <w:rFonts w:hint="eastAsia" w:ascii="仿宋" w:hAnsi="仿宋" w:eastAsia="仿宋" w:cs="Cambria Math"/>
          <w:color w:val="auto"/>
          <w:sz w:val="24"/>
          <w:szCs w:val="24"/>
        </w:rPr>
        <w:t>。</w:t>
      </w:r>
    </w:p>
    <w:p>
      <w:pPr>
        <w:pStyle w:val="61"/>
        <w:spacing w:line="440" w:lineRule="atLeast"/>
        <w:ind w:firstLine="480"/>
        <w:jc w:val="left"/>
        <w:rPr>
          <w:rFonts w:ascii="仿宋" w:hAnsi="仿宋" w:eastAsia="仿宋" w:cs="仿宋"/>
          <w:color w:val="auto"/>
        </w:rPr>
      </w:pPr>
      <w:r>
        <w:rPr>
          <w:rFonts w:hint="eastAsia" w:ascii="仿宋" w:hAnsi="仿宋" w:eastAsia="仿宋" w:cs="仿宋"/>
          <w:color w:val="auto"/>
        </w:rPr>
        <mc:AlternateContent>
          <mc:Choice Requires="wps">
            <w:drawing>
              <wp:anchor distT="0" distB="0" distL="114300" distR="114300" simplePos="0" relativeHeight="251664384" behindDoc="0" locked="0" layoutInCell="1" allowOverlap="1">
                <wp:simplePos x="0" y="0"/>
                <wp:positionH relativeFrom="column">
                  <wp:posOffset>2976245</wp:posOffset>
                </wp:positionH>
                <wp:positionV relativeFrom="paragraph">
                  <wp:posOffset>60325</wp:posOffset>
                </wp:positionV>
                <wp:extent cx="2802890" cy="1867535"/>
                <wp:effectExtent l="0" t="0" r="16510" b="18415"/>
                <wp:wrapNone/>
                <wp:docPr id="5" name="矩形 40"/>
                <wp:cNvGraphicFramePr/>
                <a:graphic xmlns:a="http://schemas.openxmlformats.org/drawingml/2006/main">
                  <a:graphicData uri="http://schemas.microsoft.com/office/word/2010/wordprocessingShape">
                    <wps:wsp>
                      <wps:cNvSpPr/>
                      <wps:spPr>
                        <a:xfrm>
                          <a:off x="0" y="0"/>
                          <a:ext cx="2802890" cy="186753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35pt;margin-top:4.75pt;height:147.05pt;width:220.7pt;z-index:251664384;mso-width-relative:page;mso-height-relative:page;" fillcolor="#C5E0B3" filled="t" stroked="t" coordsize="21600,21600" o:gfxdata="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tgY9GdgAAAAJAQAADwAAAAAAAAABACAA&#10;AAAiAAAAZHJzL2Rvd25yZXYueG1sUEsBAhQAFAAAAAgAh07iQDQB6+8NAgAALwQAAA4AAAAAAAAA&#10;AQAgAAAAJwEAAGRycy9lMm9Eb2MueG1sUEsFBgAAAAAGAAYAWQEAAKYFAAAAAA==&#10;">
                <v:fill on="t" focussize="0,0"/>
                <v:stroke weight="1.25pt" color="#739CC3" joinstyle="miter"/>
                <v:imagedata o:title=""/>
                <o:lock v:ext="edit" aspectratio="f"/>
              </v:rect>
            </w:pict>
          </mc:Fallback>
        </mc:AlternateContent>
      </w:r>
      <w:r>
        <w:rPr>
          <w:rFonts w:hint="eastAsia" w:ascii="仿宋" w:hAnsi="仿宋" w:eastAsia="仿宋" w:cs="仿宋"/>
          <w:color w:val="auto"/>
        </w:rPr>
        <mc:AlternateContent>
          <mc:Choice Requires="wps">
            <w:drawing>
              <wp:anchor distT="0" distB="0" distL="114300" distR="114300" simplePos="0" relativeHeight="251663360" behindDoc="0" locked="0" layoutInCell="1" allowOverlap="1">
                <wp:simplePos x="0" y="0"/>
                <wp:positionH relativeFrom="column">
                  <wp:posOffset>174625</wp:posOffset>
                </wp:positionH>
                <wp:positionV relativeFrom="paragraph">
                  <wp:posOffset>60325</wp:posOffset>
                </wp:positionV>
                <wp:extent cx="2802890" cy="1867535"/>
                <wp:effectExtent l="0" t="0" r="16510" b="18415"/>
                <wp:wrapNone/>
                <wp:docPr id="4" name="矩形 39"/>
                <wp:cNvGraphicFramePr/>
                <a:graphic xmlns:a="http://schemas.openxmlformats.org/drawingml/2006/main">
                  <a:graphicData uri="http://schemas.microsoft.com/office/word/2010/wordprocessingShape">
                    <wps:wsp>
                      <wps:cNvSpPr/>
                      <wps:spPr>
                        <a:xfrm>
                          <a:off x="0" y="0"/>
                          <a:ext cx="2802890" cy="1867711"/>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75pt;height:147.05pt;width:220.7pt;z-index:251663360;mso-width-relative:page;mso-height-relative:page;" fillcolor="#C5E0B3" filled="t" stroked="t" coordsize="21600,21600" o:gfxdata="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dQdpa9gAAAAIAQAADwAAAAAAAAABACAA&#10;AAAiAAAAZHJzL2Rvd25yZXYueG1sUEsBAhQAFAAAAAgAh07iQFmApbsNAgAALwQAAA4AAAAAAAAA&#10;AQAgAAAAJwEAAGRycy9lMm9Eb2MueG1sUEsFBgAAAAAGAAYAWQEAAKY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auto"/>
        </w:rPr>
      </w:pPr>
    </w:p>
    <w:p>
      <w:pPr>
        <w:spacing w:line="360" w:lineRule="auto"/>
        <w:ind w:left="720"/>
        <w:rPr>
          <w:rFonts w:ascii="仿宋" w:hAnsi="仿宋" w:eastAsia="仿宋" w:cs="仿宋"/>
          <w:b/>
          <w:color w:val="auto"/>
        </w:rPr>
      </w:pPr>
    </w:p>
    <w:p>
      <w:pPr>
        <w:tabs>
          <w:tab w:val="left" w:pos="540"/>
        </w:tabs>
        <w:rPr>
          <w:rFonts w:ascii="仿宋" w:hAnsi="仿宋" w:eastAsia="仿宋" w:cs="仿宋"/>
          <w:color w:val="auto"/>
          <w:szCs w:val="21"/>
        </w:rPr>
      </w:pPr>
      <w:r>
        <w:rPr>
          <w:rFonts w:hint="eastAsia" w:ascii="仿宋" w:hAnsi="仿宋" w:eastAsia="仿宋" w:cs="仿宋"/>
          <w:color w:val="auto"/>
          <w:szCs w:val="21"/>
        </w:rPr>
        <w:tab/>
      </w:r>
    </w:p>
    <w:p>
      <w:pPr>
        <w:pStyle w:val="2"/>
        <w:rPr>
          <w:rFonts w:ascii="宋体" w:hAnsi="宋体"/>
          <w:color w:val="auto"/>
          <w:szCs w:val="21"/>
        </w:rPr>
      </w:pPr>
    </w:p>
    <w:p>
      <w:pPr>
        <w:pStyle w:val="2"/>
        <w:rPr>
          <w:rFonts w:ascii="宋体" w:hAnsi="宋体"/>
          <w:color w:val="auto"/>
          <w:szCs w:val="21"/>
        </w:rPr>
      </w:pPr>
    </w:p>
    <w:p>
      <w:pPr>
        <w:pStyle w:val="2"/>
        <w:rPr>
          <w:rFonts w:ascii="宋体" w:hAnsi="宋体"/>
          <w:color w:val="auto"/>
          <w:szCs w:val="21"/>
        </w:rPr>
      </w:pPr>
    </w:p>
    <w:p>
      <w:pPr>
        <w:pStyle w:val="2"/>
        <w:rPr>
          <w:rFonts w:ascii="宋体" w:hAnsi="宋体"/>
          <w:color w:val="auto"/>
          <w:szCs w:val="21"/>
        </w:rPr>
      </w:pPr>
    </w:p>
    <w:p>
      <w:pPr>
        <w:pStyle w:val="2"/>
        <w:rPr>
          <w:rFonts w:ascii="宋体" w:hAnsi="宋体"/>
          <w:color w:val="auto"/>
          <w:szCs w:val="21"/>
        </w:rPr>
      </w:pPr>
    </w:p>
    <w:p>
      <w:pPr>
        <w:pStyle w:val="2"/>
        <w:rPr>
          <w:rFonts w:ascii="宋体" w:hAnsi="宋体"/>
          <w:color w:val="auto"/>
          <w:szCs w:val="21"/>
        </w:rPr>
      </w:pPr>
    </w:p>
    <w:p>
      <w:pPr>
        <w:spacing w:line="360" w:lineRule="auto"/>
        <w:ind w:right="420" w:firstLine="4200" w:firstLineChars="1750"/>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ind w:right="420" w:firstLine="3120" w:firstLineChars="1300"/>
        <w:rPr>
          <w:rFonts w:ascii="仿宋" w:hAnsi="仿宋" w:eastAsia="仿宋" w:cs="Cambria Math"/>
          <w:color w:val="auto"/>
        </w:rPr>
      </w:pPr>
      <w:r>
        <w:rPr>
          <w:rFonts w:hint="eastAsia" w:ascii="仿宋" w:hAnsi="仿宋" w:eastAsia="仿宋" w:cs="Cambria Math"/>
          <w:color w:val="auto"/>
        </w:rPr>
        <w:t>法定代表人（负责人）：</w:t>
      </w:r>
      <w:r>
        <w:rPr>
          <w:rFonts w:hint="eastAsia" w:ascii="仿宋" w:hAnsi="仿宋" w:eastAsia="仿宋" w:cs="Cambria Math"/>
          <w:color w:val="auto"/>
          <w:u w:val="single"/>
        </w:rPr>
        <w:t xml:space="preserve">               </w:t>
      </w:r>
      <w:r>
        <w:rPr>
          <w:rFonts w:hint="eastAsia" w:ascii="仿宋" w:hAnsi="仿宋" w:eastAsia="仿宋" w:cs="Cambria Math"/>
          <w:color w:val="auto"/>
        </w:rPr>
        <w:t>（签字或盖章）</w:t>
      </w:r>
    </w:p>
    <w:p>
      <w:pPr>
        <w:pStyle w:val="61"/>
        <w:wordWrap w:val="0"/>
        <w:spacing w:line="360" w:lineRule="auto"/>
        <w:ind w:right="105" w:firstLine="4200" w:firstLineChars="1750"/>
        <w:rPr>
          <w:rFonts w:ascii="仿宋" w:hAnsi="仿宋" w:eastAsia="仿宋" w:cs="Cambria Math"/>
          <w:color w:val="auto"/>
          <w:sz w:val="24"/>
          <w:szCs w:val="24"/>
        </w:rPr>
      </w:pPr>
      <w:r>
        <w:rPr>
          <w:rFonts w:hint="eastAsia" w:ascii="仿宋" w:hAnsi="仿宋" w:eastAsia="仿宋" w:cs="Cambria Math"/>
          <w:color w:val="auto"/>
          <w:sz w:val="24"/>
          <w:szCs w:val="24"/>
        </w:rPr>
        <w:t>委托代理人：</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（签字</w:t>
      </w:r>
      <w:r>
        <w:rPr>
          <w:rFonts w:hint="eastAsia" w:ascii="仿宋" w:hAnsi="仿宋" w:eastAsia="仿宋" w:cs="Cambria Math"/>
          <w:color w:val="auto"/>
          <w:sz w:val="24"/>
        </w:rPr>
        <w:t>或盖章</w:t>
      </w:r>
      <w:r>
        <w:rPr>
          <w:rFonts w:hint="eastAsia" w:ascii="仿宋" w:hAnsi="仿宋" w:eastAsia="仿宋" w:cs="Cambria Math"/>
          <w:color w:val="auto"/>
          <w:sz w:val="24"/>
          <w:szCs w:val="24"/>
        </w:rPr>
        <w:t xml:space="preserve">） </w:t>
      </w:r>
    </w:p>
    <w:p>
      <w:pPr>
        <w:wordWrap w:val="0"/>
        <w:spacing w:line="360" w:lineRule="auto"/>
        <w:ind w:firstLine="4200" w:firstLineChars="1750"/>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tabs>
          <w:tab w:val="left" w:pos="540"/>
        </w:tabs>
        <w:rPr>
          <w:rFonts w:ascii="仿宋" w:hAnsi="仿宋" w:eastAsia="仿宋" w:cs="仿宋"/>
          <w:color w:val="auto"/>
          <w:szCs w:val="21"/>
        </w:rPr>
        <w:sectPr>
          <w:pgSz w:w="11906" w:h="16838"/>
          <w:pgMar w:top="1417" w:right="1134" w:bottom="1134" w:left="1134" w:header="851" w:footer="992" w:gutter="0"/>
          <w:pgNumType w:fmt="decimal"/>
          <w:cols w:space="720" w:num="1"/>
          <w:titlePg/>
          <w:docGrid w:type="lines" w:linePitch="312" w:charSpace="0"/>
        </w:sectPr>
      </w:pPr>
    </w:p>
    <w:p>
      <w:pPr>
        <w:pStyle w:val="5"/>
        <w:spacing w:before="0" w:after="0" w:line="360" w:lineRule="auto"/>
        <w:rPr>
          <w:rFonts w:ascii="仿宋" w:hAnsi="仿宋" w:eastAsia="仿宋" w:cs="仿宋"/>
          <w:color w:val="auto"/>
          <w:sz w:val="24"/>
          <w:szCs w:val="24"/>
        </w:rPr>
      </w:pPr>
      <w:bookmarkStart w:id="163" w:name="_Toc19905"/>
      <w:bookmarkStart w:id="164" w:name="_Toc30551"/>
      <w:bookmarkStart w:id="165" w:name="_Toc517281841"/>
      <w:r>
        <w:rPr>
          <w:rFonts w:hint="eastAsia" w:ascii="仿宋" w:hAnsi="仿宋" w:eastAsia="仿宋" w:cs="仿宋"/>
          <w:color w:val="auto"/>
          <w:sz w:val="24"/>
          <w:szCs w:val="24"/>
        </w:rPr>
        <w:t>（四）资格证明文件</w:t>
      </w:r>
      <w:bookmarkEnd w:id="163"/>
      <w:bookmarkEnd w:id="164"/>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1、供应商基本情况信息表</w:t>
      </w:r>
    </w:p>
    <w:p>
      <w:pPr>
        <w:pStyle w:val="61"/>
        <w:spacing w:line="360" w:lineRule="auto"/>
        <w:jc w:val="center"/>
        <w:rPr>
          <w:rFonts w:ascii="仿宋" w:hAnsi="仿宋" w:eastAsia="仿宋" w:cs="仿宋"/>
          <w:b/>
          <w:color w:val="auto"/>
          <w:sz w:val="24"/>
          <w:szCs w:val="24"/>
        </w:rPr>
      </w:pPr>
      <w:r>
        <w:rPr>
          <w:rFonts w:hint="eastAsia" w:ascii="仿宋" w:hAnsi="仿宋" w:eastAsia="仿宋" w:cs="仿宋"/>
          <w:b/>
          <w:color w:val="auto"/>
          <w:sz w:val="24"/>
          <w:szCs w:val="24"/>
        </w:rPr>
        <w:t>供应商基本情况信息表</w:t>
      </w:r>
    </w:p>
    <w:tbl>
      <w:tblPr>
        <w:tblStyle w:val="29"/>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注册地址</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789"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公司办公场所面职</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平米</w:t>
            </w: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办事处地址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联系方式</w:t>
            </w: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联系人</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color w:val="auto"/>
                <w:szCs w:val="21"/>
              </w:rPr>
            </w:pP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传真</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网址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组织结构</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法定代表人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468"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98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电话</w:t>
            </w:r>
          </w:p>
        </w:tc>
        <w:tc>
          <w:tcPr>
            <w:tcW w:w="114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技术负责人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姓名</w:t>
            </w:r>
          </w:p>
        </w:tc>
        <w:tc>
          <w:tcPr>
            <w:tcW w:w="1345"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468"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职称</w:t>
            </w:r>
          </w:p>
        </w:tc>
        <w:tc>
          <w:tcPr>
            <w:tcW w:w="189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98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电话</w:t>
            </w:r>
          </w:p>
        </w:tc>
        <w:tc>
          <w:tcPr>
            <w:tcW w:w="114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成立时间</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5489" w:type="dxa"/>
            <w:gridSpan w:val="6"/>
            <w:tcBorders>
              <w:top w:val="nil"/>
              <w:left w:val="nil"/>
              <w:bottom w:val="single" w:color="000000" w:sz="4" w:space="0"/>
              <w:right w:val="single" w:color="000000" w:sz="4" w:space="0"/>
            </w:tcBorders>
            <w:vAlign w:val="center"/>
          </w:tcPr>
          <w:p>
            <w:pPr>
              <w:pStyle w:val="61"/>
              <w:topLinePunct/>
              <w:ind w:firstLine="105"/>
              <w:jc w:val="center"/>
              <w:rPr>
                <w:rFonts w:ascii="仿宋" w:hAnsi="仿宋" w:eastAsia="仿宋" w:cs="仿宋"/>
                <w:color w:val="auto"/>
              </w:rPr>
            </w:pPr>
            <w:r>
              <w:rPr>
                <w:rFonts w:hint="eastAsia" w:ascii="仿宋" w:hAnsi="仿宋" w:eastAsia="仿宋" w:cs="仿宋"/>
                <w:color w:val="auto"/>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企业资质等级</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restart"/>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营业执照号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高级职称人员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注册资金</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中级职称人员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开户银行</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vMerge w:val="restart"/>
            <w:tcBorders>
              <w:top w:val="nil"/>
              <w:left w:val="nil"/>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初级职称人员</w:t>
            </w:r>
          </w:p>
        </w:tc>
        <w:tc>
          <w:tcPr>
            <w:tcW w:w="2130" w:type="dxa"/>
            <w:gridSpan w:val="2"/>
            <w:vMerge w:val="restart"/>
            <w:tcBorders>
              <w:top w:val="nil"/>
              <w:left w:val="nil"/>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账号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2130" w:type="dxa"/>
            <w:gridSpan w:val="2"/>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ind w:firstLine="210"/>
              <w:jc w:val="center"/>
              <w:rPr>
                <w:rFonts w:ascii="仿宋" w:hAnsi="仿宋" w:eastAsia="仿宋" w:cs="仿宋"/>
                <w:color w:val="auto"/>
              </w:rPr>
            </w:pPr>
            <w:r>
              <w:rPr>
                <w:rFonts w:hint="eastAsia" w:ascii="仿宋" w:hAnsi="仿宋" w:eastAsia="仿宋" w:cs="仿宋"/>
                <w:color w:val="auto"/>
              </w:rPr>
              <w:t>经营范围</w:t>
            </w:r>
          </w:p>
        </w:tc>
        <w:tc>
          <w:tcPr>
            <w:tcW w:w="7609" w:type="dxa"/>
            <w:gridSpan w:val="9"/>
            <w:tcBorders>
              <w:top w:val="nil"/>
              <w:left w:val="nil"/>
              <w:bottom w:val="single" w:color="000000" w:sz="4" w:space="0"/>
              <w:right w:val="single" w:color="000000" w:sz="4" w:space="0"/>
            </w:tcBorders>
            <w:vAlign w:val="center"/>
          </w:tcPr>
          <w:p>
            <w:pPr>
              <w:pStyle w:val="61"/>
              <w:topLinePunct/>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备注</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bl>
    <w:p>
      <w:pPr>
        <w:pStyle w:val="61"/>
        <w:jc w:val="left"/>
        <w:rPr>
          <w:rFonts w:ascii="仿宋" w:hAnsi="仿宋" w:eastAsia="仿宋" w:cs="仿宋"/>
          <w:b/>
          <w:color w:val="auto"/>
          <w:sz w:val="24"/>
          <w:szCs w:val="24"/>
        </w:rPr>
      </w:pPr>
      <w:r>
        <w:rPr>
          <w:rFonts w:hint="eastAsia" w:ascii="仿宋" w:hAnsi="仿宋" w:eastAsia="仿宋"/>
          <w:b/>
          <w:color w:val="auto"/>
          <w:sz w:val="24"/>
          <w:szCs w:val="24"/>
        </w:rPr>
        <w:t>注：提供由工商部门核发的最新营业执照（正副本皆可）。</w:t>
      </w:r>
    </w:p>
    <w:p>
      <w:pPr>
        <w:pStyle w:val="61"/>
        <w:jc w:val="left"/>
        <w:rPr>
          <w:rFonts w:ascii="仿宋" w:hAnsi="仿宋" w:eastAsia="仿宋" w:cs="仿宋"/>
          <w:b/>
          <w:color w:val="auto"/>
        </w:rPr>
      </w:pPr>
    </w:p>
    <w:p>
      <w:pPr>
        <w:pStyle w:val="61"/>
        <w:jc w:val="left"/>
        <w:rPr>
          <w:rFonts w:ascii="仿宋" w:hAnsi="仿宋" w:eastAsia="仿宋" w:cs="仿宋"/>
          <w:b/>
          <w:color w:val="auto"/>
        </w:rPr>
      </w:pPr>
    </w:p>
    <w:p>
      <w:pPr>
        <w:pStyle w:val="61"/>
        <w:jc w:val="left"/>
        <w:rPr>
          <w:rFonts w:ascii="仿宋" w:hAnsi="仿宋" w:eastAsia="仿宋" w:cs="仿宋"/>
          <w:b/>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spacing w:line="360" w:lineRule="auto"/>
        <w:ind w:firstLine="480" w:firstLineChars="200"/>
        <w:textAlignment w:val="baseline"/>
        <w:rPr>
          <w:rFonts w:ascii="仿宋" w:hAnsi="仿宋" w:eastAsia="仿宋" w:cs="仿宋"/>
          <w:color w:val="auto"/>
        </w:rPr>
      </w:pPr>
      <w:r>
        <w:rPr>
          <w:rFonts w:hint="eastAsia" w:ascii="仿宋" w:hAnsi="仿宋" w:cs="仿宋"/>
          <w:color w:val="auto"/>
        </w:rPr>
        <w:br w:type="page"/>
      </w:r>
    </w:p>
    <w:p>
      <w:pPr>
        <w:pStyle w:val="6"/>
        <w:spacing w:before="0" w:after="0" w:line="360" w:lineRule="auto"/>
        <w:rPr>
          <w:rFonts w:ascii="仿宋" w:hAnsi="仿宋" w:eastAsia="仿宋" w:cs="仿宋"/>
          <w:b w:val="0"/>
          <w:bCs w:val="0"/>
          <w:color w:val="auto"/>
          <w:sz w:val="24"/>
          <w:szCs w:val="24"/>
        </w:rPr>
      </w:pP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、同类项目实施经验</w:t>
      </w:r>
      <w:r>
        <w:rPr>
          <w:rFonts w:hint="eastAsia" w:ascii="仿宋" w:hAnsi="仿宋" w:eastAsia="仿宋" w:cs="仿宋"/>
          <w:b w:val="0"/>
          <w:bCs w:val="0"/>
          <w:color w:val="auto"/>
          <w:sz w:val="24"/>
          <w:szCs w:val="24"/>
        </w:rPr>
        <w:t xml:space="preserve"> </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471"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合同名称</w:t>
            </w:r>
          </w:p>
        </w:tc>
        <w:tc>
          <w:tcPr>
            <w:tcW w:w="678"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合同签订时间</w:t>
            </w:r>
          </w:p>
        </w:tc>
        <w:tc>
          <w:tcPr>
            <w:tcW w:w="645"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采购内容</w:t>
            </w:r>
          </w:p>
        </w:tc>
        <w:tc>
          <w:tcPr>
            <w:tcW w:w="641"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合同金额（万元）</w:t>
            </w:r>
          </w:p>
        </w:tc>
        <w:tc>
          <w:tcPr>
            <w:tcW w:w="565" w:type="pct"/>
            <w:vAlign w:val="center"/>
          </w:tcPr>
          <w:p>
            <w:pPr>
              <w:jc w:val="center"/>
              <w:rPr>
                <w:rFonts w:hint="eastAsia" w:ascii="仿宋" w:hAnsi="仿宋" w:eastAsia="仿宋" w:cs="仿宋"/>
                <w:b/>
                <w:color w:val="auto"/>
                <w:szCs w:val="21"/>
              </w:rPr>
            </w:pPr>
            <w:r>
              <w:rPr>
                <w:rFonts w:hint="eastAsia" w:ascii="仿宋" w:hAnsi="仿宋" w:eastAsia="仿宋" w:cs="仿宋"/>
                <w:b/>
                <w:color w:val="auto"/>
                <w:szCs w:val="21"/>
              </w:rPr>
              <w:t>合同</w:t>
            </w:r>
          </w:p>
          <w:p>
            <w:pPr>
              <w:jc w:val="center"/>
              <w:rPr>
                <w:rFonts w:ascii="仿宋" w:hAnsi="仿宋" w:eastAsia="仿宋" w:cs="仿宋"/>
                <w:b/>
                <w:color w:val="auto"/>
                <w:szCs w:val="21"/>
              </w:rPr>
            </w:pPr>
            <w:r>
              <w:rPr>
                <w:rFonts w:hint="eastAsia" w:ascii="仿宋" w:hAnsi="仿宋" w:eastAsia="仿宋" w:cs="仿宋"/>
                <w:b/>
                <w:color w:val="auto"/>
                <w:szCs w:val="21"/>
              </w:rPr>
              <w:t>甲方</w:t>
            </w:r>
          </w:p>
        </w:tc>
        <w:tc>
          <w:tcPr>
            <w:tcW w:w="821"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合同甲方联系人及电话</w:t>
            </w:r>
          </w:p>
        </w:tc>
        <w:tc>
          <w:tcPr>
            <w:tcW w:w="709"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bl>
    <w:p>
      <w:pPr>
        <w:spacing w:line="360" w:lineRule="auto"/>
        <w:rPr>
          <w:rFonts w:ascii="仿宋" w:hAnsi="仿宋" w:eastAsia="仿宋" w:cs="仿宋"/>
          <w:b/>
          <w:bCs/>
          <w:color w:val="auto"/>
        </w:rPr>
      </w:pPr>
      <w:r>
        <w:rPr>
          <w:rFonts w:hint="eastAsia" w:ascii="仿宋" w:hAnsi="仿宋" w:eastAsia="仿宋" w:cs="仿宋"/>
          <w:b/>
          <w:bCs/>
          <w:color w:val="auto"/>
        </w:rPr>
        <w:t>备注：</w:t>
      </w:r>
    </w:p>
    <w:p>
      <w:pPr>
        <w:spacing w:line="360" w:lineRule="auto"/>
        <w:textAlignment w:val="baseline"/>
        <w:rPr>
          <w:rFonts w:ascii="仿宋" w:hAnsi="仿宋" w:eastAsia="仿宋"/>
          <w:b/>
          <w:color w:val="auto"/>
        </w:rPr>
      </w:pPr>
      <w:r>
        <w:rPr>
          <w:rFonts w:hint="eastAsia" w:ascii="仿宋" w:hAnsi="仿宋" w:eastAsia="仿宋"/>
          <w:b/>
          <w:color w:val="auto"/>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ascii="仿宋" w:hAnsi="仿宋" w:eastAsia="仿宋"/>
          <w:b/>
          <w:color w:val="auto"/>
        </w:rPr>
      </w:pPr>
      <w:r>
        <w:rPr>
          <w:rFonts w:hint="eastAsia" w:ascii="仿宋" w:hAnsi="仿宋" w:eastAsia="仿宋"/>
          <w:b/>
          <w:color w:val="auto"/>
        </w:rPr>
        <w:t>2）按照比选公告的资格要求提供有效的实施经验证明材料，作为资格后审的评审依据。</w:t>
      </w:r>
    </w:p>
    <w:p>
      <w:pPr>
        <w:spacing w:line="360" w:lineRule="auto"/>
        <w:textAlignment w:val="baseline"/>
        <w:rPr>
          <w:rFonts w:ascii="仿宋" w:hAnsi="仿宋" w:eastAsia="仿宋"/>
          <w:b/>
          <w:color w:val="auto"/>
        </w:rPr>
      </w:pPr>
      <w:r>
        <w:rPr>
          <w:rFonts w:hint="eastAsia" w:ascii="仿宋" w:hAnsi="仿宋" w:eastAsia="仿宋"/>
          <w:b/>
          <w:color w:val="auto"/>
        </w:rPr>
        <w:t>3）本业绩表及证明材料也作为详细评审中对供应商同类项目实施经验的评审及打分依据，供应商需根据详细评审标准的要求，提供符合要求的业绩证明材料。</w:t>
      </w:r>
    </w:p>
    <w:p>
      <w:pPr>
        <w:spacing w:line="360" w:lineRule="auto"/>
        <w:rPr>
          <w:rFonts w:ascii="仿宋" w:hAnsi="仿宋" w:eastAsia="仿宋" w:cs="仿宋"/>
          <w:color w:val="auto"/>
        </w:rPr>
      </w:pPr>
    </w:p>
    <w:p>
      <w:pPr>
        <w:spacing w:line="360" w:lineRule="auto"/>
        <w:ind w:firstLine="480" w:firstLineChars="200"/>
        <w:rPr>
          <w:rFonts w:ascii="仿宋" w:hAnsi="仿宋" w:eastAsia="仿宋" w:cs="仿宋"/>
          <w:bCs/>
          <w:color w:val="auto"/>
        </w:rPr>
      </w:pPr>
    </w:p>
    <w:p>
      <w:pPr>
        <w:pStyle w:val="51"/>
        <w:topLinePunct/>
        <w:adjustRightInd w:val="0"/>
        <w:snapToGrid w:val="0"/>
        <w:spacing w:line="360" w:lineRule="auto"/>
        <w:ind w:left="1575" w:firstLine="0" w:firstLineChars="0"/>
        <w:rPr>
          <w:rFonts w:ascii="仿宋" w:hAnsi="仿宋" w:eastAsia="仿宋" w:cs="仿宋"/>
          <w:bCs/>
          <w:color w:val="auto"/>
        </w:rPr>
      </w:pPr>
    </w:p>
    <w:p>
      <w:pPr>
        <w:pStyle w:val="51"/>
        <w:topLinePunct/>
        <w:adjustRightInd w:val="0"/>
        <w:snapToGrid w:val="0"/>
        <w:spacing w:line="360" w:lineRule="auto"/>
        <w:ind w:left="1575" w:firstLine="0" w:firstLineChars="0"/>
        <w:rPr>
          <w:rFonts w:ascii="仿宋" w:hAnsi="仿宋" w:eastAsia="仿宋" w:cs="仿宋"/>
          <w:bCs/>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rPr>
          <w:rFonts w:ascii="仿宋" w:hAnsi="仿宋" w:eastAsia="仿宋" w:cs="仿宋"/>
          <w:color w:val="auto"/>
        </w:rPr>
      </w:pPr>
      <w:r>
        <w:rPr>
          <w:color w:val="auto"/>
        </w:rPr>
        <w:br w:type="page"/>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、无违法违规记录查询截图</w:t>
      </w:r>
    </w:p>
    <w:p>
      <w:pPr>
        <w:snapToGrid w:val="0"/>
        <w:ind w:firstLine="480" w:firstLineChars="200"/>
        <w:textAlignment w:val="baseline"/>
        <w:rPr>
          <w:rFonts w:ascii="仿宋" w:hAnsi="仿宋" w:eastAsia="仿宋" w:cs="仿宋"/>
          <w:color w:val="auto"/>
        </w:rPr>
      </w:pPr>
      <w:r>
        <w:rPr>
          <w:rFonts w:hint="eastAsia" w:ascii="仿宋" w:hAnsi="仿宋" w:eastAsia="仿宋" w:cs="仿宋"/>
          <w:color w:val="auto"/>
        </w:rPr>
        <w:t>信用中国查询网址：https://www.creditchina.gov.cn/xinxigongshi/</w:t>
      </w:r>
    </w:p>
    <w:p>
      <w:pPr>
        <w:snapToGrid w:val="0"/>
        <w:ind w:firstLine="480" w:firstLineChars="200"/>
        <w:textAlignment w:val="baseline"/>
        <w:rPr>
          <w:rFonts w:ascii="仿宋" w:hAnsi="仿宋" w:eastAsia="仿宋" w:cs="仿宋"/>
          <w:color w:val="auto"/>
        </w:rPr>
      </w:pPr>
      <w:r>
        <w:rPr>
          <w:rFonts w:hint="eastAsia" w:ascii="仿宋" w:hAnsi="仿宋" w:eastAsia="仿宋" w:cs="仿宋"/>
          <w:color w:val="auto"/>
        </w:rPr>
        <w:t>政府采购严重违法失信行为记录名单查询网址：</w:t>
      </w:r>
    </w:p>
    <w:p>
      <w:pPr>
        <w:snapToGrid w:val="0"/>
        <w:ind w:firstLine="480" w:firstLineChars="200"/>
        <w:textAlignment w:val="baseline"/>
        <w:rPr>
          <w:rFonts w:ascii="仿宋" w:hAnsi="仿宋" w:eastAsia="仿宋" w:cs="仿宋"/>
          <w:color w:val="auto"/>
        </w:rPr>
      </w:pPr>
      <w:r>
        <w:rPr>
          <w:rFonts w:ascii="仿宋" w:hAnsi="仿宋" w:eastAsia="仿宋" w:cs="仿宋"/>
          <w:color w:val="auto"/>
        </w:rPr>
        <w:t>https://www.creditchina.gov.cn/zhuanxiangchaxun/zhengfucaigouyanzhongweifashixinmingdan/</w:t>
      </w:r>
    </w:p>
    <w:p>
      <w:pPr>
        <w:spacing w:line="360" w:lineRule="auto"/>
        <w:textAlignment w:val="baseline"/>
        <w:rPr>
          <w:color w:val="auto"/>
        </w:rPr>
      </w:pPr>
      <w:r>
        <w:rPr>
          <w:rFonts w:hint="eastAsia" w:ascii="仿宋" w:hAnsi="仿宋" w:eastAsia="仿宋" w:cs="Cambria Math"/>
          <w:color w:val="auto"/>
        </w:rPr>
        <w:t>（1）失信被执行人查询截图范例：</w:t>
      </w:r>
    </w:p>
    <w:p>
      <w:pPr>
        <w:ind w:firstLine="240" w:firstLineChars="100"/>
        <w:rPr>
          <w:color w:val="auto"/>
        </w:rPr>
      </w:pPr>
      <w:r>
        <w:rPr>
          <w:rFonts w:hint="eastAsia" w:eastAsia="宋体"/>
          <w:color w:val="auto"/>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2"/>
                    <a:stretch>
                      <a:fillRect/>
                    </a:stretch>
                  </pic:blipFill>
                  <pic:spPr>
                    <a:xfrm>
                      <a:off x="0" y="0"/>
                      <a:ext cx="6117590" cy="3164840"/>
                    </a:xfrm>
                    <a:prstGeom prst="rect">
                      <a:avLst/>
                    </a:prstGeom>
                  </pic:spPr>
                </pic:pic>
              </a:graphicData>
            </a:graphic>
          </wp:inline>
        </w:drawing>
      </w:r>
    </w:p>
    <w:p>
      <w:pPr>
        <w:rPr>
          <w:rFonts w:ascii="仿宋" w:hAnsi="仿宋" w:eastAsia="仿宋"/>
          <w:color w:val="auto"/>
          <w:szCs w:val="21"/>
        </w:rPr>
      </w:pPr>
      <w:r>
        <w:rPr>
          <w:rFonts w:hint="eastAsia" w:ascii="仿宋" w:hAnsi="仿宋" w:eastAsia="仿宋" w:cs="Cambria Math"/>
          <w:color w:val="auto"/>
        </w:rPr>
        <w:t>（2）</w:t>
      </w:r>
      <w:r>
        <w:rPr>
          <w:rFonts w:hint="eastAsia" w:ascii="仿宋" w:hAnsi="仿宋" w:eastAsia="仿宋" w:cs="微软雅黑"/>
          <w:color w:val="auto"/>
        </w:rPr>
        <w:t>重大</w:t>
      </w:r>
      <w:r>
        <w:rPr>
          <w:rFonts w:hint="eastAsia" w:ascii="仿宋" w:hAnsi="仿宋" w:eastAsia="仿宋" w:cs="仿宋"/>
          <w:color w:val="auto"/>
        </w:rPr>
        <w:t>税收违法失信主体</w:t>
      </w:r>
      <w:r>
        <w:rPr>
          <w:rFonts w:hint="eastAsia" w:ascii="仿宋" w:hAnsi="仿宋" w:eastAsia="仿宋" w:cs="微软雅黑"/>
          <w:color w:val="auto"/>
        </w:rPr>
        <w:t>查询截图范例：</w:t>
      </w:r>
    </w:p>
    <w:p>
      <w:pPr>
        <w:rPr>
          <w:rFonts w:ascii="仿宋" w:hAnsi="仿宋" w:eastAsia="仿宋" w:cs="Cambria Math"/>
          <w:color w:val="auto"/>
        </w:rPr>
      </w:pPr>
      <w:r>
        <w:rPr>
          <w:rFonts w:hint="eastAsia" w:ascii="仿宋" w:hAnsi="仿宋" w:eastAsia="仿宋"/>
          <w:color w:val="auto"/>
          <w:szCs w:val="21"/>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3"/>
                    <a:stretch>
                      <a:fillRect/>
                    </a:stretch>
                  </pic:blipFill>
                  <pic:spPr>
                    <a:xfrm>
                      <a:off x="0" y="0"/>
                      <a:ext cx="6117590" cy="3177540"/>
                    </a:xfrm>
                    <a:prstGeom prst="rect">
                      <a:avLst/>
                    </a:prstGeom>
                  </pic:spPr>
                </pic:pic>
              </a:graphicData>
            </a:graphic>
          </wp:inline>
        </w:drawing>
      </w:r>
    </w:p>
    <w:p>
      <w:pPr>
        <w:ind w:firstLine="240" w:firstLineChars="100"/>
        <w:rPr>
          <w:rFonts w:ascii="仿宋" w:hAnsi="仿宋" w:eastAsia="仿宋" w:cs="Cambria Math"/>
          <w:color w:val="auto"/>
        </w:rPr>
      </w:pPr>
      <w:r>
        <w:rPr>
          <w:rFonts w:hint="eastAsia" w:ascii="仿宋" w:hAnsi="仿宋" w:eastAsia="仿宋" w:cs="Cambria Math"/>
          <w:color w:val="auto"/>
        </w:rPr>
        <w:t>（3）政府采购严重违法失信行为记录名单查询截图范例：</w:t>
      </w:r>
    </w:p>
    <w:p>
      <w:pPr>
        <w:ind w:firstLine="240" w:firstLineChars="100"/>
        <w:rPr>
          <w:rFonts w:hint="eastAsia" w:ascii="仿宋" w:hAnsi="仿宋" w:eastAsia="仿宋" w:cs="仿宋"/>
          <w:b/>
          <w:bCs/>
          <w:color w:val="auto"/>
          <w:sz w:val="24"/>
          <w:szCs w:val="24"/>
          <w:lang w:val="en-US" w:eastAsia="zh-CN" w:bidi="ar-SA"/>
        </w:rPr>
      </w:pPr>
      <w:r>
        <w:rPr>
          <w:rFonts w:hint="eastAsia" w:eastAsia="宋体"/>
          <w:color w:val="auto"/>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4"/>
                    <a:stretch>
                      <a:fillRect/>
                    </a:stretch>
                  </pic:blipFill>
                  <pic:spPr>
                    <a:xfrm>
                      <a:off x="0" y="0"/>
                      <a:ext cx="6117590" cy="3169285"/>
                    </a:xfrm>
                    <a:prstGeom prst="rect">
                      <a:avLst/>
                    </a:prstGeom>
                  </pic:spPr>
                </pic:pic>
              </a:graphicData>
            </a:graphic>
          </wp:inline>
        </w:drawing>
      </w:r>
      <w:r>
        <w:rPr>
          <w:rFonts w:ascii="仿宋" w:hAnsi="仿宋" w:eastAsia="仿宋" w:cs="仿宋"/>
          <w:color w:val="auto"/>
        </w:rPr>
        <w:br w:type="page"/>
      </w:r>
      <w:r>
        <w:rPr>
          <w:rFonts w:hint="eastAsia" w:ascii="仿宋" w:hAnsi="仿宋" w:eastAsia="仿宋" w:cs="仿宋"/>
          <w:color w:val="auto"/>
          <w:lang w:val="en-US" w:eastAsia="zh-CN"/>
        </w:rPr>
        <w:t>4</w:t>
      </w:r>
      <w:r>
        <w:rPr>
          <w:rFonts w:hint="eastAsia" w:ascii="仿宋" w:hAnsi="仿宋" w:eastAsia="仿宋" w:cs="仿宋"/>
          <w:b/>
          <w:bCs/>
          <w:color w:val="auto"/>
          <w:sz w:val="24"/>
          <w:szCs w:val="24"/>
          <w:lang w:val="en-US" w:eastAsia="zh-CN" w:bidi="ar-SA"/>
        </w:rPr>
        <w:t>、未列入供应商黑名单且未在禁入期承诺函</w:t>
      </w:r>
    </w:p>
    <w:p>
      <w:pPr>
        <w:pStyle w:val="2"/>
        <w:spacing w:before="240"/>
        <w:jc w:val="both"/>
        <w:rPr>
          <w:rFonts w:ascii="仿宋" w:hAnsi="仿宋" w:eastAsia="仿宋" w:cs="Cambria Math"/>
          <w:color w:val="auto"/>
        </w:rPr>
      </w:pPr>
      <w:r>
        <w:rPr>
          <w:rFonts w:hint="eastAsia" w:ascii="仿宋" w:hAnsi="仿宋" w:eastAsia="仿宋" w:cs="Cambria Math"/>
          <w:color w:val="auto"/>
        </w:rPr>
        <w:t>致：</w:t>
      </w:r>
      <w:r>
        <w:rPr>
          <w:rFonts w:hint="eastAsia" w:ascii="仿宋" w:hAnsi="仿宋" w:eastAsia="仿宋" w:cs="仿宋"/>
          <w:color w:val="auto"/>
          <w:u w:val="single"/>
        </w:rPr>
        <w:t>中国人民财产保险股份有限公司泸州市分公司</w:t>
      </w:r>
    </w:p>
    <w:p>
      <w:pPr>
        <w:adjustRightInd w:val="0"/>
        <w:snapToGrid w:val="0"/>
        <w:spacing w:before="240" w:line="360" w:lineRule="auto"/>
        <w:ind w:firstLine="480" w:firstLineChars="20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承诺截至本项目响应文件递交截止时间，我方未被列入采购人及其所隶属的中国人民保险各级机构的供应商黑名单且未在禁入期内。</w:t>
      </w:r>
    </w:p>
    <w:p>
      <w:pPr>
        <w:pStyle w:val="2"/>
        <w:ind w:firstLine="480" w:firstLineChars="200"/>
        <w:jc w:val="both"/>
        <w:rPr>
          <w:rFonts w:ascii="仿宋" w:hAnsi="仿宋" w:eastAsia="仿宋" w:cs="Cambria Math"/>
          <w:color w:val="auto"/>
        </w:rPr>
      </w:pPr>
    </w:p>
    <w:p>
      <w:pPr>
        <w:pStyle w:val="2"/>
        <w:ind w:firstLine="480" w:firstLineChars="200"/>
        <w:jc w:val="both"/>
        <w:rPr>
          <w:rFonts w:ascii="仿宋" w:hAnsi="仿宋" w:eastAsia="仿宋" w:cs="Cambria Math"/>
          <w:color w:val="auto"/>
        </w:rPr>
      </w:pPr>
      <w:r>
        <w:rPr>
          <w:rFonts w:hint="eastAsia" w:ascii="仿宋" w:hAnsi="仿宋" w:eastAsia="仿宋" w:cs="Cambria Math"/>
          <w:color w:val="auto"/>
        </w:rPr>
        <w:t>特此承诺。</w:t>
      </w:r>
    </w:p>
    <w:p>
      <w:pPr>
        <w:pStyle w:val="76"/>
        <w:ind w:firstLine="640"/>
        <w:rPr>
          <w:rFonts w:ascii="仿宋" w:hAnsi="仿宋" w:eastAsia="仿宋"/>
          <w:color w:val="auto"/>
        </w:rPr>
      </w:pPr>
    </w:p>
    <w:p>
      <w:pPr>
        <w:pStyle w:val="76"/>
        <w:ind w:firstLine="640"/>
        <w:rPr>
          <w:rFonts w:ascii="仿宋" w:hAnsi="仿宋" w:eastAsia="仿宋"/>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pStyle w:val="66"/>
        <w:spacing w:line="360" w:lineRule="auto"/>
        <w:rPr>
          <w:rFonts w:ascii="仿宋" w:hAnsi="仿宋" w:eastAsia="仿宋" w:cs="仿宋"/>
          <w:color w:val="auto"/>
        </w:rPr>
      </w:pPr>
      <w:r>
        <w:rPr>
          <w:rFonts w:hint="eastAsia" w:ascii="仿宋" w:hAnsi="仿宋" w:eastAsia="仿宋" w:cs="仿宋"/>
          <w:color w:val="auto"/>
          <w:szCs w:val="24"/>
        </w:rPr>
        <w:br w:type="page"/>
      </w:r>
    </w:p>
    <w:p>
      <w:pPr>
        <w:pStyle w:val="6"/>
        <w:spacing w:before="0" w:after="0" w:line="360" w:lineRule="auto"/>
        <w:rPr>
          <w:rFonts w:ascii="仿宋" w:hAnsi="仿宋" w:eastAsia="仿宋" w:cs="仿宋"/>
          <w:color w:val="auto"/>
          <w:sz w:val="24"/>
          <w:szCs w:val="24"/>
        </w:rPr>
      </w:pPr>
      <w:bookmarkStart w:id="166" w:name="_Hlk69983040"/>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、供应商控股及管理关系情况申报表</w:t>
      </w:r>
    </w:p>
    <w:p>
      <w:pPr>
        <w:pStyle w:val="51"/>
        <w:spacing w:before="240" w:after="240" w:line="360" w:lineRule="auto"/>
        <w:ind w:firstLine="0" w:firstLineChars="0"/>
        <w:jc w:val="center"/>
        <w:rPr>
          <w:rFonts w:ascii="仿宋" w:hAnsi="仿宋" w:eastAsia="仿宋" w:cs="仿宋"/>
          <w:b/>
          <w:color w:val="auto"/>
        </w:rPr>
      </w:pPr>
      <w:r>
        <w:rPr>
          <w:rFonts w:hint="eastAsia" w:ascii="仿宋" w:hAnsi="仿宋" w:eastAsia="仿宋" w:cs="仿宋"/>
          <w:b/>
          <w:color w:val="auto"/>
        </w:rPr>
        <w:t>供应商控股及管理关系情况申报表</w:t>
      </w:r>
    </w:p>
    <w:p>
      <w:pPr>
        <w:adjustRightInd w:val="0"/>
        <w:snapToGrid w:val="0"/>
        <w:spacing w:line="360" w:lineRule="auto"/>
        <w:ind w:left="-89" w:leftChars="-295" w:hanging="619" w:hangingChars="258"/>
        <w:rPr>
          <w:rFonts w:ascii="仿宋" w:hAnsi="仿宋" w:eastAsia="仿宋" w:cs="宋体"/>
          <w:color w:val="auto"/>
        </w:rPr>
      </w:pPr>
      <w:r>
        <w:rPr>
          <w:rFonts w:hint="eastAsia" w:ascii="仿宋" w:hAnsi="仿宋" w:eastAsia="仿宋" w:cs="宋体"/>
          <w:color w:val="auto"/>
        </w:rPr>
        <w:t>致：</w:t>
      </w:r>
      <w:r>
        <w:rPr>
          <w:rFonts w:hint="eastAsia" w:ascii="仿宋" w:hAnsi="仿宋" w:eastAsia="仿宋" w:cs="宋体"/>
          <w:color w:val="auto"/>
          <w:u w:val="single"/>
        </w:rPr>
        <w:t xml:space="preserve"> 中国人民财产保险股份有限公司泸州市分公司 </w:t>
      </w:r>
    </w:p>
    <w:p>
      <w:pPr>
        <w:adjustRightInd w:val="0"/>
        <w:snapToGrid w:val="0"/>
        <w:spacing w:line="360" w:lineRule="auto"/>
        <w:ind w:left="-706" w:leftChars="-294" w:right="-586" w:rightChars="-244" w:firstLine="616" w:firstLineChars="257"/>
        <w:rPr>
          <w:rFonts w:ascii="仿宋" w:hAnsi="仿宋" w:eastAsia="仿宋" w:cs="宋体"/>
          <w:color w:val="auto"/>
        </w:rPr>
      </w:pPr>
      <w:r>
        <w:rPr>
          <w:rFonts w:hint="eastAsia" w:ascii="仿宋" w:hAnsi="仿宋" w:eastAsia="仿宋" w:cs="宋体"/>
          <w:color w:val="auto"/>
        </w:rPr>
        <w:t>我方参加</w:t>
      </w:r>
      <w:r>
        <w:rPr>
          <w:rFonts w:hint="eastAsia" w:ascii="仿宋" w:hAnsi="仿宋" w:eastAsia="仿宋" w:cs="宋体"/>
          <w:color w:val="auto"/>
          <w:u w:val="single"/>
        </w:rPr>
        <w:t xml:space="preserve"> </w:t>
      </w:r>
      <w:r>
        <w:rPr>
          <w:rFonts w:hint="eastAsia" w:ascii="仿宋" w:hAnsi="仿宋" w:eastAsia="仿宋" w:cs="宋体"/>
          <w:color w:val="auto"/>
          <w:u w:val="single"/>
          <w:lang w:eastAsia="zh-CN"/>
        </w:rPr>
        <w:t>人保财险四川省泸州市分公司立柱宣传采购项目</w:t>
      </w:r>
      <w:r>
        <w:rPr>
          <w:rFonts w:hint="eastAsia" w:ascii="仿宋" w:hAnsi="仿宋" w:eastAsia="仿宋" w:cs="宋体"/>
          <w:color w:val="auto"/>
        </w:rPr>
        <w:t>的比选，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2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434"/>
        <w:gridCol w:w="54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申报人名称</w:t>
            </w:r>
          </w:p>
        </w:tc>
        <w:tc>
          <w:tcPr>
            <w:tcW w:w="7926" w:type="dxa"/>
            <w:gridSpan w:val="2"/>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法定代表人/单位负责人</w:t>
            </w: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姓    名</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ascii="仿宋" w:hAnsi="仿宋" w:eastAsia="仿宋" w:cs="宋体"/>
                <w:color w:val="auto"/>
              </w:rPr>
            </w:pP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身份证号</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单位负责人为同一人单位名称</w:t>
            </w:r>
          </w:p>
        </w:tc>
        <w:tc>
          <w:tcPr>
            <w:tcW w:w="7926" w:type="dxa"/>
            <w:gridSpan w:val="2"/>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控股关系</w:t>
            </w: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控股股东/投资人名称及出资比例</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ascii="仿宋" w:hAnsi="仿宋" w:eastAsia="仿宋" w:cs="宋体"/>
                <w:color w:val="auto"/>
              </w:rPr>
            </w:pP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被控股/被投资单位名称及出资比例</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管理关系</w:t>
            </w: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管理关系单位名称</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adjustRightInd w:val="0"/>
              <w:snapToGrid w:val="0"/>
              <w:spacing w:line="440" w:lineRule="exact"/>
              <w:rPr>
                <w:rFonts w:ascii="仿宋" w:hAnsi="仿宋" w:eastAsia="仿宋" w:cs="宋体"/>
                <w:color w:val="auto"/>
              </w:rPr>
            </w:pP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被管理关系单位名称</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备注：</w:t>
            </w:r>
          </w:p>
        </w:tc>
      </w:tr>
    </w:tbl>
    <w:p>
      <w:pPr>
        <w:adjustRightInd w:val="0"/>
        <w:snapToGrid w:val="0"/>
        <w:spacing w:line="360" w:lineRule="auto"/>
        <w:rPr>
          <w:rFonts w:ascii="仿宋" w:hAnsi="仿宋" w:eastAsia="仿宋" w:cs="宋体"/>
          <w:color w:val="auto"/>
        </w:rPr>
      </w:pPr>
      <w:r>
        <w:rPr>
          <w:rFonts w:hint="eastAsia" w:ascii="仿宋" w:hAnsi="仿宋" w:eastAsia="仿宋" w:cs="宋体"/>
          <w:color w:val="auto"/>
        </w:rPr>
        <w:t>注：</w:t>
      </w:r>
    </w:p>
    <w:p>
      <w:pPr>
        <w:adjustRightInd w:val="0"/>
        <w:snapToGrid w:val="0"/>
        <w:spacing w:line="360" w:lineRule="auto"/>
        <w:rPr>
          <w:rFonts w:ascii="仿宋" w:hAnsi="仿宋" w:eastAsia="仿宋" w:cs="宋体"/>
          <w:color w:val="auto"/>
        </w:rPr>
      </w:pPr>
      <w:r>
        <w:rPr>
          <w:rFonts w:hint="eastAsia" w:ascii="仿宋" w:hAnsi="仿宋" w:eastAsia="仿宋" w:cs="宋体"/>
          <w:color w:val="auto"/>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ascii="仿宋" w:hAnsi="仿宋" w:eastAsia="仿宋" w:cs="宋体"/>
          <w:color w:val="auto"/>
        </w:rPr>
      </w:pPr>
      <w:r>
        <w:rPr>
          <w:rFonts w:hint="eastAsia" w:ascii="仿宋" w:hAnsi="仿宋" w:eastAsia="仿宋" w:cs="宋体"/>
          <w:color w:val="auto"/>
        </w:rPr>
        <w:t xml:space="preserve">2.管理关系单位是指与不具有出资持股关系的其他单位之间存在管理与被管理关系的单位； </w:t>
      </w:r>
    </w:p>
    <w:p>
      <w:pPr>
        <w:adjustRightInd w:val="0"/>
        <w:snapToGrid w:val="0"/>
        <w:spacing w:line="360" w:lineRule="auto"/>
        <w:rPr>
          <w:rFonts w:ascii="仿宋" w:hAnsi="仿宋" w:eastAsia="仿宋" w:cs="宋体"/>
          <w:color w:val="auto"/>
        </w:rPr>
      </w:pPr>
      <w:r>
        <w:rPr>
          <w:rFonts w:hint="eastAsia" w:ascii="仿宋" w:hAnsi="仿宋" w:eastAsia="仿宋" w:cs="宋体"/>
          <w:color w:val="auto"/>
        </w:rPr>
        <w:t>3.如未有相关情况，请在相应栏填写“无”。</w:t>
      </w:r>
    </w:p>
    <w:p>
      <w:pPr>
        <w:pStyle w:val="78"/>
        <w:adjustRightInd w:val="0"/>
        <w:snapToGrid w:val="0"/>
        <w:spacing w:line="360" w:lineRule="auto"/>
        <w:jc w:val="left"/>
        <w:rPr>
          <w:rFonts w:ascii="仿宋" w:hAnsi="仿宋" w:eastAsia="仿宋" w:cs="宋体"/>
          <w:color w:val="auto"/>
          <w:sz w:val="24"/>
        </w:rPr>
      </w:pPr>
      <w:r>
        <w:rPr>
          <w:rFonts w:hint="eastAsia" w:ascii="仿宋" w:hAnsi="仿宋" w:eastAsia="仿宋" w:cs="宋体"/>
          <w:color w:val="auto"/>
          <w:sz w:val="24"/>
        </w:rPr>
        <w:t xml:space="preserve">2.管理关系单位是指与不具有出资持股关系的其他单位之间存在管理与被管理关系的单位； </w:t>
      </w:r>
    </w:p>
    <w:p>
      <w:pPr>
        <w:pStyle w:val="78"/>
        <w:adjustRightInd w:val="0"/>
        <w:snapToGrid w:val="0"/>
        <w:spacing w:line="360" w:lineRule="auto"/>
        <w:rPr>
          <w:rFonts w:ascii="仿宋" w:hAnsi="仿宋" w:eastAsia="仿宋" w:cs="宋体"/>
          <w:color w:val="auto"/>
          <w:sz w:val="24"/>
        </w:rPr>
      </w:pPr>
      <w:r>
        <w:rPr>
          <w:rFonts w:hint="eastAsia" w:ascii="仿宋" w:hAnsi="仿宋" w:eastAsia="仿宋" w:cs="宋体"/>
          <w:color w:val="auto"/>
          <w:sz w:val="24"/>
        </w:rPr>
        <w:t>3.如未有相关情况，请在相应栏填写“无”。</w:t>
      </w:r>
    </w:p>
    <w:p>
      <w:pPr>
        <w:spacing w:line="360" w:lineRule="auto"/>
        <w:ind w:left="480" w:hanging="480" w:hangingChars="200"/>
        <w:rPr>
          <w:rFonts w:ascii="仿宋" w:hAnsi="仿宋" w:eastAsia="仿宋" w:cs="宋体"/>
          <w:color w:val="auto"/>
        </w:rPr>
      </w:pPr>
    </w:p>
    <w:p>
      <w:pPr>
        <w:spacing w:line="360" w:lineRule="auto"/>
        <w:ind w:firstLine="4080" w:firstLineChars="1700"/>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pPr>
        <w:spacing w:line="360" w:lineRule="auto"/>
        <w:jc w:val="right"/>
        <w:rPr>
          <w:rFonts w:hint="eastAsia" w:ascii="仿宋" w:hAnsi="仿宋" w:eastAsia="仿宋" w:cs="仿宋"/>
          <w:color w:val="auto"/>
        </w:r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r>
        <w:rPr>
          <w:rFonts w:hint="eastAsia" w:ascii="仿宋" w:hAnsi="仿宋" w:eastAsia="仿宋" w:cs="仿宋"/>
          <w:color w:val="auto"/>
        </w:rPr>
        <w:br w:type="page"/>
      </w:r>
    </w:p>
    <w:p>
      <w:pPr>
        <w:pStyle w:val="6"/>
        <w:spacing w:before="0" w:after="0"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6、非联合体比选响应声明</w:t>
      </w:r>
    </w:p>
    <w:bookmarkEnd w:id="165"/>
    <w:bookmarkEnd w:id="166"/>
    <w:p>
      <w:pPr>
        <w:pStyle w:val="2"/>
        <w:spacing w:before="240"/>
        <w:rPr>
          <w:rFonts w:ascii="仿宋" w:hAnsi="仿宋" w:eastAsia="仿宋" w:cs="Cambria Math"/>
          <w:b/>
          <w:bCs/>
          <w:color w:val="auto"/>
        </w:rPr>
      </w:pPr>
      <w:bookmarkStart w:id="167" w:name="_Toc71192048"/>
      <w:r>
        <w:rPr>
          <w:rFonts w:hint="eastAsia" w:ascii="仿宋" w:hAnsi="仿宋" w:eastAsia="仿宋" w:cs="Cambria Math"/>
          <w:b/>
          <w:bCs/>
          <w:color w:val="auto"/>
        </w:rPr>
        <w:t>非联合体比选响应声明</w:t>
      </w:r>
    </w:p>
    <w:p>
      <w:pPr>
        <w:adjustRightInd w:val="0"/>
        <w:snapToGrid w:val="0"/>
        <w:spacing w:before="240" w:line="360" w:lineRule="auto"/>
        <w:rPr>
          <w:rFonts w:ascii="仿宋" w:hAnsi="仿宋" w:eastAsia="仿宋" w:cs="Cambria Math"/>
          <w:color w:val="auto"/>
        </w:rPr>
      </w:pPr>
      <w:r>
        <w:rPr>
          <w:rFonts w:hint="eastAsia" w:ascii="仿宋" w:hAnsi="仿宋" w:eastAsia="仿宋" w:cs="Cambria Math"/>
          <w:color w:val="auto"/>
        </w:rPr>
        <w:t>致：</w:t>
      </w:r>
      <w:r>
        <w:rPr>
          <w:rFonts w:hint="eastAsia" w:ascii="仿宋" w:hAnsi="仿宋" w:eastAsia="仿宋" w:cs="仿宋"/>
          <w:color w:val="auto"/>
          <w:u w:val="single"/>
        </w:rPr>
        <w:t>中国人民财产保险股份有限公司泸州市分公司</w:t>
      </w:r>
    </w:p>
    <w:p>
      <w:pPr>
        <w:adjustRightInd w:val="0"/>
        <w:snapToGrid w:val="0"/>
        <w:spacing w:before="240" w:line="360" w:lineRule="auto"/>
        <w:ind w:firstLine="480" w:firstLineChars="20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独立参与</w:t>
      </w:r>
      <w:r>
        <w:rPr>
          <w:rFonts w:hint="eastAsia" w:ascii="仿宋" w:hAnsi="仿宋" w:eastAsia="仿宋" w:cs="Cambria Math"/>
          <w:color w:val="auto"/>
          <w:u w:val="single"/>
        </w:rPr>
        <w:t xml:space="preserve">  </w:t>
      </w:r>
      <w:r>
        <w:rPr>
          <w:rFonts w:hint="eastAsia" w:ascii="仿宋" w:hAnsi="仿宋" w:eastAsia="仿宋" w:cs="Cambria Math"/>
          <w:color w:val="auto"/>
          <w:u w:val="single"/>
          <w:lang w:eastAsia="zh-CN"/>
        </w:rPr>
        <w:t>人保财险四川省泸州市分公司立柱宣传采购项目</w:t>
      </w:r>
      <w:r>
        <w:rPr>
          <w:rFonts w:ascii="仿宋" w:hAnsi="仿宋" w:eastAsia="仿宋" w:cs="Cambria Math"/>
          <w:color w:val="auto"/>
          <w:u w:val="single"/>
        </w:rPr>
        <w:t xml:space="preserve">  </w:t>
      </w:r>
      <w:r>
        <w:rPr>
          <w:rFonts w:hint="eastAsia" w:ascii="仿宋" w:hAnsi="仿宋" w:eastAsia="仿宋" w:cs="Cambria Math"/>
          <w:color w:val="auto"/>
        </w:rPr>
        <w:t>比选响应，非联合体参与比选响应。</w:t>
      </w:r>
      <w:r>
        <w:rPr>
          <w:rFonts w:ascii="仿宋" w:hAnsi="仿宋" w:eastAsia="仿宋" w:cs="Cambria Math"/>
          <w:color w:val="auto"/>
        </w:rPr>
        <w:t xml:space="preserve"> </w:t>
      </w:r>
    </w:p>
    <w:p>
      <w:pPr>
        <w:pStyle w:val="2"/>
        <w:ind w:firstLine="480" w:firstLineChars="200"/>
        <w:jc w:val="both"/>
        <w:rPr>
          <w:rFonts w:ascii="仿宋" w:hAnsi="仿宋" w:eastAsia="仿宋" w:cs="Cambria Math"/>
          <w:color w:val="auto"/>
        </w:rPr>
      </w:pPr>
      <w:r>
        <w:rPr>
          <w:rFonts w:hint="eastAsia" w:ascii="仿宋" w:hAnsi="仿宋" w:eastAsia="仿宋" w:cs="Cambria Math"/>
          <w:color w:val="auto"/>
        </w:rPr>
        <w:t>特此声明。</w:t>
      </w: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rPr>
          <w:rFonts w:ascii="仿宋" w:hAnsi="仿宋" w:eastAsia="仿宋" w:cs="仿宋"/>
          <w:color w:val="auto"/>
        </w:rPr>
      </w:pPr>
      <w:r>
        <w:rPr>
          <w:rFonts w:ascii="仿宋" w:hAnsi="仿宋" w:eastAsia="仿宋" w:cs="仿宋"/>
          <w:color w:val="auto"/>
        </w:rPr>
        <w:br w:type="page"/>
      </w:r>
    </w:p>
    <w:p>
      <w:pPr>
        <w:pStyle w:val="5"/>
        <w:spacing w:before="0" w:after="0" w:line="360" w:lineRule="auto"/>
        <w:rPr>
          <w:rFonts w:ascii="仿宋" w:hAnsi="仿宋" w:cs="宋体"/>
          <w:color w:val="auto"/>
          <w:szCs w:val="24"/>
        </w:rPr>
      </w:pPr>
      <w:bookmarkStart w:id="168" w:name="_Toc112068411"/>
      <w:bookmarkStart w:id="169" w:name="_Toc18208"/>
      <w:bookmarkStart w:id="170" w:name="_Toc65683009"/>
      <w:bookmarkStart w:id="171" w:name="_Toc144139212"/>
      <w:bookmarkStart w:id="172" w:name="_Toc15130"/>
      <w:bookmarkStart w:id="173" w:name="_Toc2583"/>
      <w:r>
        <w:rPr>
          <w:rFonts w:ascii="仿宋" w:hAnsi="仿宋" w:eastAsia="仿宋" w:cs="仿宋"/>
          <w:color w:val="auto"/>
          <w:sz w:val="24"/>
          <w:szCs w:val="24"/>
        </w:rPr>
        <w:t>（</w:t>
      </w:r>
      <w:r>
        <w:rPr>
          <w:rFonts w:hint="eastAsia" w:ascii="仿宋" w:hAnsi="仿宋" w:eastAsia="仿宋" w:cs="仿宋"/>
          <w:color w:val="auto"/>
          <w:sz w:val="24"/>
          <w:szCs w:val="24"/>
        </w:rPr>
        <w:t>五</w:t>
      </w:r>
      <w:r>
        <w:rPr>
          <w:rFonts w:ascii="仿宋" w:hAnsi="仿宋" w:eastAsia="仿宋" w:cs="仿宋"/>
          <w:color w:val="auto"/>
          <w:sz w:val="24"/>
          <w:szCs w:val="24"/>
        </w:rPr>
        <w:t>）</w:t>
      </w:r>
      <w:r>
        <w:rPr>
          <w:rFonts w:hint="eastAsia" w:ascii="仿宋" w:hAnsi="仿宋" w:eastAsia="仿宋" w:cs="仿宋"/>
          <w:color w:val="auto"/>
          <w:sz w:val="24"/>
          <w:szCs w:val="24"/>
        </w:rPr>
        <w:t>供应商</w:t>
      </w:r>
      <w:r>
        <w:rPr>
          <w:rFonts w:ascii="仿宋" w:hAnsi="仿宋" w:eastAsia="仿宋" w:cs="仿宋"/>
          <w:color w:val="auto"/>
          <w:sz w:val="24"/>
          <w:szCs w:val="24"/>
        </w:rPr>
        <w:t>须知应答偏离表</w:t>
      </w:r>
      <w:bookmarkEnd w:id="168"/>
      <w:bookmarkEnd w:id="169"/>
      <w:bookmarkEnd w:id="170"/>
      <w:bookmarkEnd w:id="171"/>
      <w:bookmarkEnd w:id="172"/>
      <w:bookmarkEnd w:id="173"/>
    </w:p>
    <w:p>
      <w:pPr>
        <w:spacing w:line="360" w:lineRule="auto"/>
        <w:jc w:val="center"/>
        <w:rPr>
          <w:rFonts w:ascii="仿宋" w:hAnsi="仿宋" w:eastAsia="仿宋" w:cs="宋体"/>
          <w:b/>
          <w:bCs/>
          <w:color w:val="auto"/>
        </w:rPr>
      </w:pPr>
      <w:r>
        <w:rPr>
          <w:rFonts w:hint="eastAsia" w:ascii="仿宋" w:hAnsi="仿宋" w:eastAsia="仿宋" w:cs="宋体"/>
          <w:b/>
          <w:bCs/>
          <w:color w:val="auto"/>
        </w:rPr>
        <w:t>供应商须知应答偏离表</w:t>
      </w:r>
    </w:p>
    <w:p>
      <w:pPr>
        <w:spacing w:line="360" w:lineRule="auto"/>
        <w:rPr>
          <w:rFonts w:ascii="仿宋" w:hAnsi="仿宋" w:eastAsia="仿宋" w:cs="宋体"/>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r>
        <w:rPr>
          <w:rFonts w:ascii="仿宋" w:hAnsi="仿宋" w:eastAsia="仿宋" w:cs="宋体"/>
          <w:color w:val="auto"/>
        </w:rPr>
        <w:t xml:space="preserve">        </w:t>
      </w:r>
      <w:r>
        <w:rPr>
          <w:rFonts w:hint="eastAsia" w:ascii="仿宋" w:hAnsi="仿宋" w:eastAsia="仿宋" w:cs="宋体"/>
          <w:color w:val="auto"/>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序号</w:t>
            </w:r>
          </w:p>
        </w:tc>
        <w:tc>
          <w:tcPr>
            <w:tcW w:w="2285"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条目号</w:t>
            </w:r>
          </w:p>
        </w:tc>
        <w:tc>
          <w:tcPr>
            <w:tcW w:w="2495"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原文内容</w:t>
            </w:r>
          </w:p>
        </w:tc>
        <w:tc>
          <w:tcPr>
            <w:tcW w:w="2704"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应答</w:t>
            </w:r>
          </w:p>
        </w:tc>
        <w:tc>
          <w:tcPr>
            <w:tcW w:w="1408"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bl>
    <w:p>
      <w:pPr>
        <w:spacing w:line="360" w:lineRule="auto"/>
        <w:ind w:left="480" w:hanging="480" w:hangingChars="200"/>
        <w:rPr>
          <w:rFonts w:ascii="仿宋" w:hAnsi="仿宋" w:eastAsia="仿宋" w:cs="宋体"/>
          <w:b/>
          <w:bCs/>
          <w:color w:val="auto"/>
        </w:rPr>
      </w:pPr>
      <w:r>
        <w:rPr>
          <w:rFonts w:hint="eastAsia" w:ascii="仿宋" w:hAnsi="仿宋" w:eastAsia="仿宋" w:cs="宋体"/>
          <w:color w:val="auto"/>
        </w:rPr>
        <w:t>注：所有偏离须在本表中列出，未在本偏离表中列出偏离，将视为供应商已完全接受比选文件要求</w:t>
      </w:r>
      <w:r>
        <w:rPr>
          <w:rFonts w:hint="eastAsia" w:ascii="仿宋" w:hAnsi="仿宋" w:eastAsia="仿宋" w:cs="宋体"/>
          <w:b/>
          <w:bCs/>
          <w:color w:val="auto"/>
        </w:rPr>
        <w:t>。如全部满足，在偏离表中应答“全部满足”即可。</w:t>
      </w:r>
    </w:p>
    <w:p>
      <w:pPr>
        <w:spacing w:line="360" w:lineRule="auto"/>
        <w:ind w:firstLine="4080" w:firstLineChars="1700"/>
        <w:jc w:val="right"/>
        <w:rPr>
          <w:rFonts w:ascii="仿宋" w:hAnsi="仿宋" w:eastAsia="仿宋" w:cs="宋体"/>
          <w:color w:val="auto"/>
        </w:rPr>
      </w:pPr>
    </w:p>
    <w:p>
      <w:pPr>
        <w:spacing w:line="360" w:lineRule="auto"/>
        <w:ind w:firstLine="4080" w:firstLineChars="1700"/>
        <w:jc w:val="right"/>
        <w:rPr>
          <w:rFonts w:ascii="仿宋" w:hAnsi="仿宋" w:eastAsia="仿宋" w:cs="宋体"/>
          <w:color w:val="auto"/>
        </w:rPr>
      </w:pPr>
    </w:p>
    <w:p>
      <w:pPr>
        <w:spacing w:line="360" w:lineRule="auto"/>
        <w:ind w:firstLine="4080" w:firstLineChars="1700"/>
        <w:jc w:val="right"/>
        <w:rPr>
          <w:rFonts w:ascii="仿宋" w:hAnsi="仿宋" w:eastAsia="仿宋" w:cs="宋体"/>
          <w:color w:val="auto"/>
        </w:rPr>
      </w:pPr>
    </w:p>
    <w:p>
      <w:pPr>
        <w:spacing w:line="360" w:lineRule="auto"/>
        <w:ind w:firstLine="4080" w:firstLineChars="1700"/>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pPr>
        <w:spacing w:line="360" w:lineRule="auto"/>
        <w:jc w:val="right"/>
        <w:rPr>
          <w:rFonts w:ascii="仿宋" w:hAnsi="仿宋" w:eastAsia="仿宋" w:cs="宋体"/>
          <w:color w:val="auto"/>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p>
    <w:p>
      <w:pPr>
        <w:pStyle w:val="5"/>
        <w:spacing w:before="0" w:after="0" w:line="360" w:lineRule="auto"/>
        <w:rPr>
          <w:rFonts w:ascii="仿宋" w:hAnsi="仿宋" w:eastAsia="仿宋" w:cs="仿宋"/>
          <w:color w:val="auto"/>
          <w:sz w:val="24"/>
          <w:szCs w:val="24"/>
        </w:rPr>
      </w:pPr>
      <w:bookmarkStart w:id="174" w:name="_Toc3655"/>
      <w:r>
        <w:rPr>
          <w:rFonts w:hint="eastAsia" w:ascii="仿宋" w:hAnsi="仿宋" w:eastAsia="仿宋" w:cs="仿宋"/>
          <w:color w:val="auto"/>
          <w:sz w:val="24"/>
          <w:szCs w:val="24"/>
        </w:rPr>
        <w:t>（六）合同条款应答偏</w:t>
      </w:r>
      <w:r>
        <w:rPr>
          <w:rFonts w:ascii="仿宋" w:hAnsi="仿宋" w:eastAsia="仿宋" w:cs="仿宋"/>
          <w:color w:val="auto"/>
          <w:sz w:val="24"/>
          <w:szCs w:val="24"/>
        </w:rPr>
        <w:t>离表</w:t>
      </w:r>
      <w:bookmarkEnd w:id="174"/>
    </w:p>
    <w:p>
      <w:pPr>
        <w:spacing w:line="360" w:lineRule="auto"/>
        <w:jc w:val="center"/>
        <w:rPr>
          <w:rFonts w:ascii="仿宋" w:hAnsi="仿宋" w:eastAsia="仿宋" w:cs="仿宋"/>
          <w:b/>
          <w:bCs/>
          <w:color w:val="auto"/>
        </w:rPr>
      </w:pPr>
      <w:r>
        <w:rPr>
          <w:rFonts w:hint="eastAsia" w:ascii="仿宋" w:hAnsi="仿宋" w:eastAsia="仿宋" w:cs="仿宋"/>
          <w:b/>
          <w:bCs/>
          <w:color w:val="auto"/>
        </w:rPr>
        <w:t>合同条款应答偏离表</w:t>
      </w:r>
    </w:p>
    <w:p>
      <w:pPr>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序号</w:t>
            </w:r>
          </w:p>
        </w:tc>
        <w:tc>
          <w:tcPr>
            <w:tcW w:w="2285"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条目号</w:t>
            </w:r>
          </w:p>
        </w:tc>
        <w:tc>
          <w:tcPr>
            <w:tcW w:w="2495"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原文内容</w:t>
            </w:r>
          </w:p>
        </w:tc>
        <w:tc>
          <w:tcPr>
            <w:tcW w:w="2704"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应答</w:t>
            </w:r>
          </w:p>
        </w:tc>
        <w:tc>
          <w:tcPr>
            <w:tcW w:w="1408"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bl>
    <w:p>
      <w:pPr>
        <w:spacing w:before="240" w:line="360" w:lineRule="auto"/>
        <w:ind w:left="480" w:hanging="480" w:hangingChars="200"/>
        <w:rPr>
          <w:rFonts w:ascii="仿宋" w:hAnsi="仿宋" w:eastAsia="仿宋" w:cs="Cambria Math"/>
          <w:color w:val="auto"/>
        </w:rPr>
      </w:pPr>
      <w:r>
        <w:rPr>
          <w:rFonts w:hint="eastAsia" w:ascii="仿宋" w:hAnsi="仿宋" w:eastAsia="仿宋" w:cs="Cambria Math"/>
          <w:color w:val="auto"/>
        </w:rPr>
        <w:t>注：所有偏离必须在本表中列出，未在本偏离表中列出偏离，将视为供应商已完全接受比选文件要求；</w:t>
      </w:r>
      <w:r>
        <w:rPr>
          <w:rFonts w:hint="eastAsia" w:ascii="仿宋" w:hAnsi="仿宋" w:eastAsia="仿宋" w:cs="Cambria Math"/>
          <w:b/>
          <w:bCs/>
          <w:color w:val="auto"/>
        </w:rPr>
        <w:t>如全部满足，在偏离表中应答“全部满足”即可</w:t>
      </w:r>
      <w:r>
        <w:rPr>
          <w:rFonts w:hint="eastAsia" w:ascii="仿宋" w:hAnsi="仿宋" w:eastAsia="仿宋" w:cs="Cambria Math"/>
          <w:color w:val="auto"/>
        </w:rPr>
        <w:t>。</w:t>
      </w:r>
    </w:p>
    <w:p>
      <w:pPr>
        <w:spacing w:line="600" w:lineRule="exact"/>
        <w:rPr>
          <w:rFonts w:ascii="仿宋" w:hAnsi="仿宋" w:eastAsia="仿宋" w:cs="仿宋"/>
          <w:color w:val="auto"/>
          <w:szCs w:val="21"/>
        </w:rPr>
      </w:pPr>
    </w:p>
    <w:p>
      <w:pPr>
        <w:spacing w:line="360" w:lineRule="auto"/>
        <w:ind w:firstLine="420"/>
        <w:jc w:val="right"/>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spacing w:line="360" w:lineRule="auto"/>
        <w:rPr>
          <w:rFonts w:ascii="仿宋" w:hAnsi="仿宋" w:eastAsia="仿宋" w:cs="仿宋"/>
          <w:color w:val="auto"/>
          <w:u w:val="single"/>
        </w:rPr>
      </w:pPr>
    </w:p>
    <w:p>
      <w:pPr>
        <w:pStyle w:val="5"/>
        <w:spacing w:before="0" w:after="0" w:line="360" w:lineRule="auto"/>
        <w:rPr>
          <w:rFonts w:ascii="仿宋" w:hAnsi="仿宋" w:eastAsia="仿宋" w:cs="宋体"/>
          <w:color w:val="auto"/>
          <w:sz w:val="24"/>
        </w:rPr>
        <w:sectPr>
          <w:pgSz w:w="11906" w:h="16838"/>
          <w:pgMar w:top="1417" w:right="1134" w:bottom="1134" w:left="1134" w:header="851" w:footer="992" w:gutter="0"/>
          <w:pgNumType w:fmt="decimal"/>
          <w:cols w:space="720" w:num="1"/>
          <w:titlePg/>
          <w:docGrid w:type="lines" w:linePitch="312" w:charSpace="0"/>
        </w:sectPr>
      </w:pPr>
      <w:r>
        <w:rPr>
          <w:rFonts w:ascii="仿宋" w:hAnsi="仿宋" w:eastAsia="仿宋" w:cs="仿宋"/>
          <w:color w:val="auto"/>
          <w:sz w:val="24"/>
          <w:szCs w:val="24"/>
        </w:rPr>
        <w:br w:type="page"/>
      </w:r>
    </w:p>
    <w:p>
      <w:pPr>
        <w:pStyle w:val="5"/>
        <w:spacing w:before="0" w:after="0" w:line="360" w:lineRule="auto"/>
        <w:rPr>
          <w:rFonts w:ascii="仿宋" w:hAnsi="仿宋" w:eastAsia="仿宋" w:cs="仿宋"/>
          <w:color w:val="auto"/>
          <w:sz w:val="24"/>
          <w:szCs w:val="24"/>
        </w:rPr>
      </w:pPr>
      <w:bookmarkStart w:id="175" w:name="_Toc17890"/>
      <w:bookmarkStart w:id="176" w:name="_Toc25102"/>
      <w:r>
        <w:rPr>
          <w:rFonts w:hint="eastAsia" w:ascii="仿宋" w:hAnsi="仿宋" w:eastAsia="仿宋" w:cs="仿宋"/>
          <w:color w:val="auto"/>
          <w:sz w:val="24"/>
          <w:szCs w:val="24"/>
        </w:rPr>
        <w:t>（七）供应商行为准则承诺书</w:t>
      </w:r>
      <w:bookmarkEnd w:id="175"/>
      <w:bookmarkEnd w:id="176"/>
    </w:p>
    <w:p>
      <w:pPr>
        <w:jc w:val="center"/>
        <w:rPr>
          <w:rFonts w:ascii="仿宋" w:hAnsi="仿宋" w:eastAsia="仿宋" w:cs="宋体"/>
          <w:b/>
          <w:bCs/>
          <w:color w:val="auto"/>
          <w:sz w:val="28"/>
          <w:szCs w:val="28"/>
        </w:rPr>
      </w:pPr>
      <w:bookmarkStart w:id="177" w:name="_Toc15599"/>
      <w:r>
        <w:rPr>
          <w:rFonts w:hint="eastAsia" w:ascii="仿宋" w:hAnsi="仿宋" w:eastAsia="仿宋" w:cs="宋体"/>
          <w:b/>
          <w:bCs/>
          <w:color w:val="auto"/>
          <w:sz w:val="28"/>
          <w:szCs w:val="28"/>
        </w:rPr>
        <w:t>供应商行为准则承诺书</w:t>
      </w:r>
    </w:p>
    <w:p>
      <w:pPr>
        <w:spacing w:line="360" w:lineRule="auto"/>
        <w:ind w:firstLine="480" w:firstLineChars="200"/>
        <w:rPr>
          <w:rFonts w:ascii="仿宋" w:hAnsi="仿宋" w:eastAsia="仿宋" w:cs="仿宋"/>
          <w:color w:val="auto"/>
        </w:rPr>
      </w:pPr>
    </w:p>
    <w:p>
      <w:pPr>
        <w:spacing w:line="360" w:lineRule="auto"/>
        <w:ind w:firstLine="480" w:firstLineChars="200"/>
        <w:rPr>
          <w:rFonts w:ascii="仿宋" w:hAnsi="仿宋" w:eastAsia="仿宋" w:cs="仿宋"/>
          <w:color w:val="auto"/>
        </w:rPr>
      </w:pPr>
      <w:r>
        <w:rPr>
          <w:rFonts w:hint="eastAsia" w:ascii="仿宋" w:hAnsi="仿宋" w:eastAsia="仿宋" w:cs="仿宋"/>
          <w:color w:val="auto"/>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十三、采购过程中涉及函件往来的，使用供应商以下地址及联系方式：</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公司名称（全称、盖章）：________________</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法定代表人（负责人）姓名、职务：__________________</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邮编：__________地址：__________________</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电话：__________传真：__________________</w:t>
      </w:r>
    </w:p>
    <w:p>
      <w:pPr>
        <w:pStyle w:val="77"/>
        <w:spacing w:line="360" w:lineRule="auto"/>
        <w:ind w:firstLine="480"/>
        <w:rPr>
          <w:rFonts w:ascii="仿宋" w:hAnsi="仿宋" w:eastAsia="仿宋" w:cs="仿宋"/>
          <w:bCs/>
          <w:color w:val="auto"/>
          <w:sz w:val="24"/>
        </w:rPr>
      </w:pPr>
      <w:r>
        <w:rPr>
          <w:rFonts w:hint="eastAsia" w:ascii="仿宋" w:hAnsi="仿宋" w:eastAsia="仿宋" w:cs="仿宋"/>
          <w:bCs/>
          <w:color w:val="auto"/>
          <w:sz w:val="24"/>
        </w:rPr>
        <w:t>法定代表人（负责人）或授权代表签字：______________</w:t>
      </w:r>
    </w:p>
    <w:p>
      <w:pPr>
        <w:pStyle w:val="5"/>
        <w:spacing w:before="0" w:after="0" w:line="360" w:lineRule="auto"/>
        <w:rPr>
          <w:rFonts w:ascii="仿宋" w:hAnsi="仿宋" w:cs="宋体"/>
          <w:color w:val="auto"/>
          <w:szCs w:val="24"/>
        </w:rPr>
      </w:pPr>
      <w:r>
        <w:rPr>
          <w:rFonts w:hint="eastAsia" w:ascii="仿宋" w:hAnsi="仿宋" w:eastAsia="仿宋" w:cs="仿宋"/>
          <w:color w:val="auto"/>
        </w:rPr>
        <w:br w:type="page"/>
      </w:r>
      <w:bookmarkStart w:id="178" w:name="_Toc25054"/>
      <w:bookmarkStart w:id="179" w:name="_Toc8068"/>
      <w:r>
        <w:rPr>
          <w:rFonts w:hint="eastAsia" w:ascii="仿宋" w:hAnsi="仿宋" w:eastAsia="仿宋" w:cs="宋体"/>
          <w:bCs w:val="0"/>
          <w:color w:val="auto"/>
          <w:sz w:val="24"/>
          <w:szCs w:val="24"/>
        </w:rPr>
        <w:t>（八）供应商廉洁诚信承诺书</w:t>
      </w:r>
      <w:bookmarkEnd w:id="177"/>
      <w:bookmarkEnd w:id="178"/>
      <w:bookmarkEnd w:id="179"/>
    </w:p>
    <w:p>
      <w:pPr>
        <w:spacing w:line="600" w:lineRule="exact"/>
        <w:jc w:val="center"/>
        <w:rPr>
          <w:rFonts w:ascii="仿宋" w:hAnsi="仿宋" w:eastAsia="仿宋" w:cs="宋体"/>
          <w:b/>
          <w:bCs/>
          <w:color w:val="auto"/>
          <w:sz w:val="28"/>
          <w:szCs w:val="28"/>
        </w:rPr>
      </w:pPr>
      <w:r>
        <w:rPr>
          <w:rFonts w:hint="eastAsia" w:ascii="仿宋" w:hAnsi="仿宋" w:eastAsia="仿宋" w:cs="宋体"/>
          <w:b/>
          <w:bCs/>
          <w:color w:val="auto"/>
          <w:sz w:val="28"/>
          <w:szCs w:val="28"/>
        </w:rPr>
        <w:t>供应商廉洁诚信承诺书</w:t>
      </w:r>
    </w:p>
    <w:p>
      <w:pPr>
        <w:spacing w:line="360" w:lineRule="auto"/>
        <w:ind w:firstLine="480" w:firstLineChars="200"/>
        <w:rPr>
          <w:rFonts w:ascii="仿宋" w:hAnsi="仿宋" w:eastAsia="仿宋" w:cs="宋体"/>
          <w:color w:val="auto"/>
        </w:rPr>
      </w:pP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为维护公平竞争的市场秩序和公正透明的商业环境，保证与</w:t>
      </w:r>
      <w:r>
        <w:rPr>
          <w:rFonts w:hint="eastAsia" w:ascii="仿宋" w:hAnsi="仿宋" w:eastAsia="仿宋" w:cs="仿宋"/>
          <w:color w:val="auto"/>
        </w:rPr>
        <w:t>中国人民保险集团公司、各子公司以及各级分支机构（以下简称“中国人民保险”）</w:t>
      </w:r>
      <w:r>
        <w:rPr>
          <w:rFonts w:hint="eastAsia" w:ascii="仿宋" w:hAnsi="仿宋" w:eastAsia="仿宋" w:cs="宋体"/>
          <w:color w:val="auto"/>
        </w:rPr>
        <w:t>合作项目的顺利进行，我方作为参与</w:t>
      </w:r>
      <w:r>
        <w:rPr>
          <w:rFonts w:hint="eastAsia" w:ascii="仿宋" w:hAnsi="仿宋" w:eastAsia="仿宋" w:cs="仿宋"/>
          <w:color w:val="auto"/>
        </w:rPr>
        <w:t>中国人民保险</w:t>
      </w:r>
      <w:r>
        <w:rPr>
          <w:rFonts w:hint="eastAsia" w:ascii="仿宋" w:hAnsi="仿宋" w:eastAsia="仿宋" w:cs="宋体"/>
          <w:color w:val="auto"/>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auto"/>
        </w:rPr>
        <w:t>中国人民保险</w:t>
      </w:r>
      <w:r>
        <w:rPr>
          <w:rFonts w:hint="eastAsia" w:ascii="仿宋" w:hAnsi="仿宋" w:eastAsia="仿宋" w:cs="宋体"/>
          <w:color w:val="auto"/>
        </w:rPr>
        <w:t>的合作过程中郑重承诺如下：</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一、遵守法律法规承诺。我们将严格遵守《中华人民共和国反不正当竞争法》《关于禁止商业贿赂行为的暂行规定》等国家法律法规和</w:t>
      </w:r>
      <w:r>
        <w:rPr>
          <w:rFonts w:hint="eastAsia" w:ascii="仿宋" w:hAnsi="仿宋" w:eastAsia="仿宋" w:cs="仿宋"/>
          <w:color w:val="auto"/>
        </w:rPr>
        <w:t>中国人民保险</w:t>
      </w:r>
      <w:r>
        <w:rPr>
          <w:rFonts w:hint="eastAsia" w:ascii="仿宋" w:hAnsi="仿宋" w:eastAsia="仿宋" w:cs="宋体"/>
          <w:color w:val="auto"/>
        </w:rPr>
        <w:t>采购管理、供应商管理相关制度要求，坚决不从事任何违法违规违纪行为。</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二、避免利害关系承诺。我们将在采购过程中主动申报与</w:t>
      </w:r>
      <w:r>
        <w:rPr>
          <w:rFonts w:hint="eastAsia" w:ascii="仿宋" w:hAnsi="仿宋" w:eastAsia="仿宋" w:cs="仿宋"/>
          <w:color w:val="auto"/>
        </w:rPr>
        <w:t>中国人民保险</w:t>
      </w:r>
      <w:r>
        <w:rPr>
          <w:rFonts w:hint="eastAsia" w:ascii="仿宋" w:hAnsi="仿宋" w:eastAsia="仿宋" w:cs="宋体"/>
          <w:color w:val="auto"/>
        </w:rPr>
        <w:t>及相关主体的关联及利害关系，包括我们的相关主体与</w:t>
      </w:r>
      <w:r>
        <w:rPr>
          <w:rFonts w:hint="eastAsia" w:ascii="仿宋" w:hAnsi="仿宋" w:eastAsia="仿宋" w:cs="仿宋"/>
          <w:color w:val="auto"/>
        </w:rPr>
        <w:t>中国人民保险</w:t>
      </w:r>
      <w:r>
        <w:rPr>
          <w:rFonts w:hint="eastAsia" w:ascii="仿宋" w:hAnsi="仿宋" w:eastAsia="仿宋" w:cs="宋体"/>
          <w:color w:val="auto"/>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三、廉洁自律承诺。我们坚决不以任何形式为获取或意图获取交易机会、竞争优势或谋取不正当利益而向</w:t>
      </w:r>
      <w:r>
        <w:rPr>
          <w:rFonts w:hint="eastAsia" w:ascii="仿宋" w:hAnsi="仿宋" w:eastAsia="仿宋" w:cs="仿宋"/>
          <w:color w:val="auto"/>
        </w:rPr>
        <w:t>中国人民保险</w:t>
      </w:r>
      <w:r>
        <w:rPr>
          <w:rFonts w:hint="eastAsia" w:ascii="仿宋" w:hAnsi="仿宋" w:eastAsia="仿宋" w:cs="宋体"/>
          <w:color w:val="auto"/>
        </w:rPr>
        <w:t>或相关主体实施商业贿赂或营私舞弊行为，包括但不限于：</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（2）为其安排有可能影响公平、公正交易的宴请、健身、娱乐等活动；</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（3）为其投资入股、个人借款或买卖股票、债券等提供方便；</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（5）违反规定为其在我方相关企业工作、挂名兼职、合伙经营、介绍承揽业务等提供方便；</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（6）向其提供借款、融资、担保等；</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（7）给予或承诺给予其不正当利益的其他行为；</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（8）其他违反国家法律法规或商业道德准则的影响公正交易的行为。</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我们也不会以任何方式向</w:t>
      </w:r>
      <w:r>
        <w:rPr>
          <w:rFonts w:hint="eastAsia" w:ascii="仿宋" w:hAnsi="仿宋" w:eastAsia="仿宋" w:cs="仿宋"/>
          <w:color w:val="auto"/>
        </w:rPr>
        <w:t>中国人民保险</w:t>
      </w:r>
      <w:r>
        <w:rPr>
          <w:rFonts w:hint="eastAsia" w:ascii="仿宋" w:hAnsi="仿宋" w:eastAsia="仿宋" w:cs="宋体"/>
          <w:color w:val="auto"/>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四、诚实信用承诺。我们坚决不进行任何违背诚实信用原则的行为，包括但不限于：</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出借、转让资质证书；</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伙同他人串标、围标或非法排挤竞争对手；</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（4）隐瞒任何可能对贵方利益造成影响的信息，不配合贵方的审计。</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（3）建立举报制度：鼓励员工积极举报违规行为，对举报人予以保护并给予奖励。</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七、配合监督承诺。我们将积极配合</w:t>
      </w:r>
      <w:r>
        <w:rPr>
          <w:rFonts w:hint="eastAsia" w:ascii="仿宋" w:hAnsi="仿宋" w:eastAsia="仿宋" w:cs="仿宋"/>
          <w:color w:val="auto"/>
        </w:rPr>
        <w:t>中国人民保险</w:t>
      </w:r>
      <w:r>
        <w:rPr>
          <w:rFonts w:hint="eastAsia" w:ascii="仿宋" w:hAnsi="仿宋" w:eastAsia="仿宋" w:cs="宋体"/>
          <w:color w:val="auto"/>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八、如违反上述承诺，我方自愿承担以下法律责任：</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（1）如我方及我方工作人员违反本承诺书承诺，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（2）如我方及我方工作人员违反本承诺书承诺，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及其子公司等所有关联主体有权限制或取消我方在</w:t>
      </w:r>
      <w:r>
        <w:rPr>
          <w:rFonts w:hint="eastAsia" w:ascii="仿宋" w:hAnsi="仿宋" w:eastAsia="仿宋" w:cs="仿宋"/>
          <w:color w:val="auto"/>
        </w:rPr>
        <w:t>中国人民保险</w:t>
      </w:r>
      <w:r>
        <w:rPr>
          <w:rFonts w:hint="eastAsia" w:ascii="仿宋" w:hAnsi="仿宋" w:eastAsia="仿宋" w:cs="宋体"/>
          <w:color w:val="auto"/>
        </w:rPr>
        <w:t>参与采购项目的资格；</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（3）如我方及我方工作人员违反本承诺书承诺，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（4）如我方及我方工作人员违反本承诺书承诺，除承担前述（1）（2）（3）项责任外，</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auto"/>
        </w:rPr>
      </w:pPr>
    </w:p>
    <w:p>
      <w:pPr>
        <w:spacing w:line="360" w:lineRule="auto"/>
        <w:ind w:firstLine="480" w:firstLineChars="200"/>
        <w:rPr>
          <w:rFonts w:ascii="仿宋" w:hAnsi="仿宋" w:eastAsia="仿宋" w:cs="宋体"/>
          <w:color w:val="auto"/>
        </w:rPr>
      </w:pPr>
      <w:r>
        <w:rPr>
          <w:rFonts w:hint="eastAsia" w:ascii="仿宋" w:hAnsi="仿宋" w:eastAsia="仿宋" w:cs="宋体"/>
          <w:color w:val="auto"/>
        </w:rPr>
        <w:t>本承诺书自承诺方签字和盖章之日起生效。如我方成功中选</w:t>
      </w:r>
      <w:r>
        <w:rPr>
          <w:rFonts w:hint="eastAsia" w:ascii="仿宋" w:hAnsi="仿宋" w:eastAsia="仿宋" w:cs="仿宋"/>
          <w:color w:val="auto"/>
        </w:rPr>
        <w:t>中国人民保险</w:t>
      </w:r>
      <w:r>
        <w:rPr>
          <w:rFonts w:hint="eastAsia" w:ascii="仿宋" w:hAnsi="仿宋" w:eastAsia="仿宋" w:cs="宋体"/>
          <w:color w:val="auto"/>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auto"/>
        </w:rPr>
      </w:pPr>
    </w:p>
    <w:p>
      <w:pPr>
        <w:tabs>
          <w:tab w:val="left" w:pos="458"/>
        </w:tabs>
        <w:spacing w:line="360" w:lineRule="auto"/>
        <w:ind w:firstLine="3578" w:firstLineChars="1491"/>
        <w:rPr>
          <w:rFonts w:ascii="仿宋" w:hAnsi="仿宋" w:eastAsia="仿宋" w:cs="仿宋"/>
          <w:color w:val="auto"/>
        </w:rPr>
      </w:pPr>
      <w:r>
        <w:rPr>
          <w:rFonts w:hint="eastAsia" w:ascii="仿宋" w:hAnsi="仿宋" w:eastAsia="仿宋" w:cs="仿宋"/>
          <w:color w:val="auto"/>
        </w:rPr>
        <w:t>公司名称（全称、盖章）：________________</w:t>
      </w:r>
    </w:p>
    <w:p>
      <w:pPr>
        <w:spacing w:line="360" w:lineRule="auto"/>
        <w:ind w:firstLine="3578" w:firstLineChars="1491"/>
        <w:rPr>
          <w:rFonts w:ascii="仿宋" w:hAnsi="仿宋" w:eastAsia="仿宋" w:cs="仿宋"/>
          <w:color w:val="auto"/>
        </w:rPr>
      </w:pPr>
      <w:r>
        <w:rPr>
          <w:rFonts w:hint="eastAsia" w:ascii="仿宋" w:hAnsi="仿宋" w:eastAsia="仿宋" w:cs="仿宋"/>
          <w:color w:val="auto"/>
        </w:rPr>
        <w:t>法定代表人姓名、职务：__________________</w:t>
      </w:r>
    </w:p>
    <w:p>
      <w:pPr>
        <w:spacing w:line="360" w:lineRule="auto"/>
        <w:ind w:firstLine="3578" w:firstLineChars="1491"/>
        <w:rPr>
          <w:rFonts w:ascii="仿宋" w:hAnsi="仿宋" w:eastAsia="仿宋" w:cs="仿宋"/>
          <w:color w:val="auto"/>
        </w:rPr>
      </w:pPr>
      <w:r>
        <w:rPr>
          <w:rFonts w:hint="eastAsia" w:ascii="仿宋" w:hAnsi="仿宋" w:eastAsia="仿宋" w:cs="仿宋"/>
          <w:color w:val="auto"/>
        </w:rPr>
        <w:t>法定代表人或授权代表签字：______________</w:t>
      </w:r>
    </w:p>
    <w:p>
      <w:pPr>
        <w:spacing w:line="360" w:lineRule="auto"/>
        <w:ind w:firstLine="3578" w:firstLineChars="1491"/>
        <w:rPr>
          <w:rFonts w:ascii="仿宋" w:hAnsi="仿宋" w:eastAsia="仿宋" w:cs="仿宋"/>
          <w:color w:val="auto"/>
        </w:rPr>
      </w:pPr>
      <w:r>
        <w:rPr>
          <w:rFonts w:hint="eastAsia" w:ascii="仿宋" w:hAnsi="仿宋" w:eastAsia="仿宋" w:cs="仿宋"/>
          <w:color w:val="auto"/>
        </w:rPr>
        <w:t>日期：__________________________________</w:t>
      </w:r>
      <w:r>
        <w:rPr>
          <w:rFonts w:hint="eastAsia" w:ascii="仿宋" w:hAnsi="仿宋" w:eastAsia="仿宋" w:cs="仿宋"/>
          <w:color w:val="auto"/>
        </w:rPr>
        <w:br w:type="page"/>
      </w:r>
    </w:p>
    <w:p>
      <w:pPr>
        <w:pStyle w:val="5"/>
        <w:spacing w:before="0" w:after="0" w:line="360" w:lineRule="auto"/>
        <w:rPr>
          <w:rFonts w:ascii="仿宋" w:hAnsi="仿宋" w:eastAsia="仿宋" w:cs="宋体"/>
          <w:bCs w:val="0"/>
          <w:color w:val="auto"/>
          <w:sz w:val="21"/>
          <w:szCs w:val="24"/>
        </w:rPr>
      </w:pPr>
      <w:bookmarkStart w:id="180" w:name="_Toc23667"/>
      <w:r>
        <w:rPr>
          <w:rFonts w:hint="eastAsia" w:ascii="仿宋" w:hAnsi="仿宋" w:eastAsia="仿宋" w:cs="宋体"/>
          <w:bCs w:val="0"/>
          <w:color w:val="auto"/>
          <w:sz w:val="24"/>
          <w:szCs w:val="24"/>
        </w:rPr>
        <w:t>（九）</w:t>
      </w:r>
      <w:r>
        <w:rPr>
          <w:rFonts w:hint="eastAsia" w:ascii="仿宋" w:hAnsi="仿宋" w:eastAsia="仿宋" w:cs="宋体"/>
          <w:color w:val="auto"/>
          <w:sz w:val="24"/>
        </w:rPr>
        <w:t>其他材料</w:t>
      </w:r>
      <w:bookmarkEnd w:id="180"/>
    </w:p>
    <w:p>
      <w:pPr>
        <w:spacing w:line="360" w:lineRule="auto"/>
        <w:rPr>
          <w:rFonts w:ascii="宋体" w:hAnsi="宋体"/>
          <w:color w:val="auto"/>
          <w:szCs w:val="21"/>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Cambria Math"/>
          <w:color w:val="auto"/>
        </w:rPr>
        <w:t>供应商</w:t>
      </w:r>
      <w:r>
        <w:rPr>
          <w:rFonts w:ascii="仿宋" w:hAnsi="仿宋" w:eastAsia="仿宋" w:cs="Cambria Math"/>
          <w:color w:val="auto"/>
        </w:rPr>
        <w:t>认为需提供的其他材料</w:t>
      </w:r>
      <w:r>
        <w:rPr>
          <w:rFonts w:hint="eastAsia" w:ascii="仿宋" w:hAnsi="仿宋" w:eastAsia="仿宋" w:cs="Cambria Math"/>
          <w:color w:val="auto"/>
        </w:rPr>
        <w:t>。</w:t>
      </w:r>
    </w:p>
    <w:bookmarkEnd w:id="167"/>
    <w:p>
      <w:pPr>
        <w:pStyle w:val="4"/>
        <w:jc w:val="both"/>
        <w:rPr>
          <w:rFonts w:ascii="仿宋" w:hAnsi="仿宋" w:eastAsia="仿宋" w:cs="仿宋"/>
          <w:color w:val="auto"/>
          <w:sz w:val="24"/>
          <w:szCs w:val="24"/>
        </w:rPr>
      </w:pPr>
      <w:bookmarkStart w:id="181" w:name="_Toc31832"/>
      <w:bookmarkStart w:id="182" w:name="_Toc28698"/>
      <w:r>
        <w:rPr>
          <w:rFonts w:hint="eastAsia" w:ascii="仿宋" w:hAnsi="仿宋" w:eastAsia="仿宋" w:cs="仿宋"/>
          <w:color w:val="auto"/>
          <w:sz w:val="24"/>
          <w:szCs w:val="24"/>
        </w:rPr>
        <w:t>二、技术文件</w:t>
      </w:r>
      <w:bookmarkEnd w:id="181"/>
      <w:bookmarkEnd w:id="182"/>
    </w:p>
    <w:p>
      <w:pPr>
        <w:pStyle w:val="5"/>
        <w:spacing w:before="0" w:after="0" w:line="360" w:lineRule="auto"/>
        <w:rPr>
          <w:rFonts w:ascii="仿宋" w:hAnsi="仿宋" w:eastAsia="仿宋" w:cs="仿宋"/>
          <w:color w:val="auto"/>
          <w:sz w:val="24"/>
          <w:szCs w:val="24"/>
        </w:rPr>
      </w:pPr>
      <w:bookmarkStart w:id="183" w:name="_Toc17302"/>
      <w:bookmarkStart w:id="184" w:name="_Toc13482"/>
      <w:bookmarkStart w:id="185" w:name="_Toc23108"/>
      <w:r>
        <w:rPr>
          <w:rFonts w:hint="eastAsia" w:ascii="仿宋" w:hAnsi="仿宋" w:eastAsia="仿宋" w:cs="仿宋"/>
          <w:color w:val="auto"/>
          <w:sz w:val="24"/>
          <w:szCs w:val="24"/>
        </w:rPr>
        <w:t>（一）采购需求应答偏离表</w:t>
      </w:r>
      <w:bookmarkEnd w:id="183"/>
      <w:bookmarkEnd w:id="184"/>
      <w:bookmarkEnd w:id="185"/>
    </w:p>
    <w:p>
      <w:pPr>
        <w:spacing w:line="360" w:lineRule="auto"/>
        <w:jc w:val="center"/>
        <w:rPr>
          <w:rFonts w:ascii="仿宋" w:hAnsi="仿宋" w:eastAsia="仿宋" w:cs="仿宋"/>
          <w:b/>
          <w:bCs/>
          <w:color w:val="auto"/>
        </w:rPr>
      </w:pPr>
      <w:bookmarkStart w:id="186" w:name="_Toc125771198"/>
      <w:bookmarkStart w:id="187" w:name="_Toc125561188"/>
      <w:bookmarkStart w:id="188" w:name="_Toc293297544"/>
      <w:r>
        <w:rPr>
          <w:rFonts w:hint="eastAsia" w:ascii="仿宋" w:hAnsi="仿宋" w:eastAsia="仿宋" w:cs="仿宋"/>
          <w:b/>
          <w:bCs/>
          <w:color w:val="auto"/>
        </w:rPr>
        <w:t>采购需求应答偏离表</w:t>
      </w:r>
      <w:bookmarkEnd w:id="186"/>
      <w:bookmarkEnd w:id="187"/>
      <w:bookmarkEnd w:id="188"/>
    </w:p>
    <w:p>
      <w:pPr>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p>
    <w:tbl>
      <w:tblPr>
        <w:tblStyle w:val="29"/>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2085"/>
        <w:gridCol w:w="2266"/>
        <w:gridCol w:w="2448"/>
        <w:gridCol w:w="1315"/>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11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auto"/>
              </w:rPr>
            </w:pPr>
            <w:r>
              <w:rPr>
                <w:rFonts w:hint="eastAsia" w:ascii="仿宋" w:hAnsi="仿宋" w:eastAsia="仿宋" w:cs="仿宋"/>
                <w:b/>
                <w:bCs/>
                <w:color w:val="auto"/>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auto"/>
              </w:rPr>
            </w:pPr>
            <w:r>
              <w:rPr>
                <w:rFonts w:hint="eastAsia" w:ascii="仿宋" w:hAnsi="仿宋" w:eastAsia="仿宋" w:cs="仿宋"/>
                <w:b/>
                <w:bCs/>
                <w:color w:val="auto"/>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auto"/>
              </w:rPr>
            </w:pPr>
            <w:r>
              <w:rPr>
                <w:rFonts w:hint="eastAsia" w:ascii="仿宋" w:hAnsi="仿宋" w:eastAsia="仿宋" w:cs="仿宋"/>
                <w:b/>
                <w:bCs/>
                <w:color w:val="auto"/>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负偏离(不满足)</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正偏离(优于)</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double" w:color="auto" w:sz="4" w:space="0"/>
              <w:right w:val="double" w:color="auto" w:sz="4" w:space="0"/>
            </w:tcBorders>
          </w:tcPr>
          <w:p>
            <w:pPr>
              <w:spacing w:line="360" w:lineRule="auto"/>
              <w:rPr>
                <w:rFonts w:ascii="仿宋" w:hAnsi="仿宋" w:eastAsia="仿宋" w:cs="仿宋"/>
                <w:color w:val="auto"/>
                <w:szCs w:val="21"/>
              </w:rPr>
            </w:pPr>
          </w:p>
        </w:tc>
      </w:tr>
    </w:tbl>
    <w:p>
      <w:pPr>
        <w:spacing w:before="240" w:line="360" w:lineRule="auto"/>
        <w:rPr>
          <w:rFonts w:ascii="仿宋" w:hAnsi="仿宋" w:eastAsia="仿宋" w:cs="Cambria Math"/>
          <w:color w:val="auto"/>
        </w:rPr>
      </w:pPr>
      <w:r>
        <w:rPr>
          <w:rFonts w:hint="eastAsia" w:ascii="仿宋" w:hAnsi="仿宋" w:eastAsia="仿宋" w:cs="仿宋"/>
          <w:color w:val="auto"/>
        </w:rPr>
        <w:t>注：</w:t>
      </w:r>
      <w:r>
        <w:rPr>
          <w:rFonts w:hint="eastAsia" w:ascii="仿宋" w:hAnsi="仿宋" w:eastAsia="仿宋" w:cs="Cambria Math"/>
          <w:color w:val="auto"/>
        </w:rPr>
        <w:t>对于未列出的偏离内容视同供应商已完全接受比选文件的要求，</w:t>
      </w:r>
      <w:r>
        <w:rPr>
          <w:rFonts w:hint="eastAsia" w:ascii="仿宋" w:hAnsi="仿宋" w:eastAsia="仿宋" w:cs="Cambria Math"/>
          <w:b/>
          <w:bCs/>
          <w:color w:val="auto"/>
        </w:rPr>
        <w:t>如全部满足，在偏离表中应答“全部满足”即可</w:t>
      </w:r>
      <w:r>
        <w:rPr>
          <w:rFonts w:hint="eastAsia" w:ascii="仿宋" w:hAnsi="仿宋" w:eastAsia="仿宋" w:cs="Cambria Math"/>
          <w:color w:val="auto"/>
        </w:rPr>
        <w:t>。</w:t>
      </w:r>
    </w:p>
    <w:p>
      <w:pPr>
        <w:spacing w:line="360" w:lineRule="auto"/>
        <w:ind w:left="480" w:hanging="480" w:hangingChars="200"/>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b/>
          <w:bCs/>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spacing w:line="360" w:lineRule="auto"/>
        <w:rPr>
          <w:rFonts w:ascii="仿宋" w:hAnsi="仿宋" w:eastAsia="仿宋" w:cs="仿宋"/>
          <w:color w:val="auto"/>
        </w:rPr>
      </w:pP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rPr>
        <w:br w:type="page"/>
      </w:r>
      <w:bookmarkStart w:id="189" w:name="_Toc12001"/>
      <w:bookmarkStart w:id="190" w:name="_Toc8284"/>
      <w:r>
        <w:rPr>
          <w:rFonts w:hint="eastAsia" w:ascii="仿宋" w:hAnsi="仿宋" w:eastAsia="仿宋" w:cs="仿宋"/>
          <w:color w:val="auto"/>
          <w:sz w:val="24"/>
          <w:szCs w:val="24"/>
        </w:rPr>
        <w:t>（二）技术方案</w:t>
      </w:r>
      <w:bookmarkEnd w:id="189"/>
      <w:bookmarkEnd w:id="190"/>
    </w:p>
    <w:p>
      <w:pPr>
        <w:spacing w:line="360" w:lineRule="auto"/>
        <w:ind w:firstLine="480" w:firstLineChars="200"/>
        <w:rPr>
          <w:rFonts w:ascii="仿宋" w:hAnsi="仿宋" w:eastAsia="仿宋" w:cs="仿宋"/>
          <w:color w:val="auto"/>
        </w:rPr>
      </w:pPr>
      <w:r>
        <w:rPr>
          <w:rFonts w:hint="eastAsia" w:ascii="仿宋" w:hAnsi="仿宋" w:eastAsia="仿宋" w:cs="仿宋"/>
          <w:color w:val="auto"/>
        </w:rPr>
        <w:t xml:space="preserve">供应商应根据采购需求的要求，提供相应的文件内容以及证明材料。 </w:t>
      </w:r>
      <w:bookmarkStart w:id="191" w:name="_Toc517281860"/>
      <w:bookmarkStart w:id="192" w:name="_Toc444891358"/>
      <w:r>
        <w:rPr>
          <w:rFonts w:hint="eastAsia" w:ascii="仿宋" w:hAnsi="仿宋" w:eastAsia="仿宋" w:cs="仿宋"/>
          <w:color w:val="auto"/>
        </w:rPr>
        <w:br w:type="page"/>
      </w:r>
    </w:p>
    <w:p>
      <w:pPr>
        <w:pStyle w:val="5"/>
        <w:spacing w:before="0" w:after="0" w:line="360" w:lineRule="auto"/>
        <w:rPr>
          <w:rFonts w:ascii="仿宋" w:hAnsi="仿宋" w:eastAsia="仿宋" w:cs="仿宋"/>
          <w:color w:val="auto"/>
          <w:sz w:val="24"/>
          <w:szCs w:val="24"/>
        </w:rPr>
      </w:pPr>
      <w:bookmarkStart w:id="193" w:name="_Toc21797"/>
      <w:bookmarkStart w:id="194" w:name="_Toc20365"/>
      <w:r>
        <w:rPr>
          <w:rFonts w:hint="eastAsia" w:ascii="仿宋" w:hAnsi="仿宋" w:eastAsia="仿宋" w:cs="仿宋"/>
          <w:color w:val="auto"/>
          <w:sz w:val="24"/>
          <w:szCs w:val="24"/>
        </w:rPr>
        <w:t>（三）</w:t>
      </w:r>
      <w:bookmarkEnd w:id="191"/>
      <w:bookmarkEnd w:id="192"/>
      <w:r>
        <w:rPr>
          <w:rFonts w:hint="eastAsia" w:ascii="仿宋" w:hAnsi="仿宋" w:eastAsia="仿宋" w:cs="仿宋"/>
          <w:color w:val="auto"/>
          <w:sz w:val="24"/>
          <w:szCs w:val="24"/>
        </w:rPr>
        <w:t>其他材料</w:t>
      </w:r>
      <w:bookmarkEnd w:id="193"/>
      <w:bookmarkEnd w:id="194"/>
    </w:p>
    <w:p>
      <w:pPr>
        <w:rPr>
          <w:rFonts w:hint="eastAsia" w:ascii="仿宋" w:hAnsi="仿宋" w:eastAsia="仿宋" w:cs="仿宋"/>
          <w:color w:val="auto"/>
        </w:rPr>
      </w:pPr>
      <w:r>
        <w:rPr>
          <w:rFonts w:hint="eastAsia" w:ascii="仿宋" w:hAnsi="仿宋" w:eastAsia="仿宋" w:cs="Cambria Math"/>
          <w:color w:val="auto"/>
        </w:rPr>
        <w:t>供应商</w:t>
      </w:r>
      <w:r>
        <w:rPr>
          <w:rFonts w:ascii="仿宋" w:hAnsi="仿宋" w:eastAsia="仿宋" w:cs="Cambria Math"/>
          <w:color w:val="auto"/>
        </w:rPr>
        <w:t>认为需提供的其他材料</w:t>
      </w:r>
      <w:r>
        <w:rPr>
          <w:rFonts w:hint="eastAsia" w:ascii="仿宋" w:hAnsi="仿宋" w:eastAsia="仿宋" w:cs="Cambria Math"/>
          <w:color w:val="auto"/>
        </w:rPr>
        <w:t>。</w:t>
      </w:r>
      <w:bookmarkStart w:id="195" w:name="_Toc20443"/>
      <w:r>
        <w:rPr>
          <w:rFonts w:hint="eastAsia" w:ascii="仿宋" w:hAnsi="仿宋" w:eastAsia="仿宋" w:cs="仿宋"/>
          <w:color w:val="auto"/>
        </w:rPr>
        <w:br w:type="page"/>
      </w:r>
    </w:p>
    <w:p>
      <w:pPr>
        <w:pStyle w:val="4"/>
        <w:jc w:val="both"/>
        <w:rPr>
          <w:rFonts w:ascii="仿宋" w:hAnsi="仿宋" w:eastAsia="仿宋" w:cs="仿宋"/>
          <w:color w:val="auto"/>
          <w:sz w:val="24"/>
          <w:szCs w:val="24"/>
        </w:rPr>
      </w:pPr>
      <w:bookmarkStart w:id="196" w:name="_Toc26703"/>
      <w:r>
        <w:rPr>
          <w:rFonts w:hint="eastAsia" w:ascii="仿宋" w:hAnsi="仿宋" w:eastAsia="仿宋" w:cs="仿宋"/>
          <w:color w:val="auto"/>
          <w:sz w:val="24"/>
          <w:szCs w:val="24"/>
          <w:lang w:val="en-US" w:eastAsia="zh-CN"/>
        </w:rPr>
        <w:t>三</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报价</w:t>
      </w:r>
      <w:r>
        <w:rPr>
          <w:rFonts w:hint="eastAsia" w:ascii="仿宋" w:hAnsi="仿宋" w:eastAsia="仿宋" w:cs="仿宋"/>
          <w:color w:val="auto"/>
          <w:sz w:val="24"/>
          <w:szCs w:val="24"/>
        </w:rPr>
        <w:t>文件</w:t>
      </w:r>
      <w:bookmarkEnd w:id="196"/>
    </w:p>
    <w:bookmarkEnd w:id="195"/>
    <w:p>
      <w:pPr>
        <w:pStyle w:val="11"/>
        <w:spacing w:line="360" w:lineRule="auto"/>
        <w:ind w:hanging="142"/>
        <w:jc w:val="center"/>
        <w:rPr>
          <w:rFonts w:hint="default"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分包报价表</w:t>
      </w:r>
    </w:p>
    <w:p>
      <w:pPr>
        <w:pStyle w:val="11"/>
        <w:spacing w:line="360" w:lineRule="auto"/>
        <w:ind w:hanging="142"/>
        <w:rPr>
          <w:rFonts w:ascii="仿宋" w:hAnsi="仿宋" w:eastAsia="仿宋" w:cs="仿宋"/>
          <w:color w:val="auto"/>
          <w:sz w:val="24"/>
          <w:szCs w:val="24"/>
        </w:rPr>
      </w:pPr>
      <w:r>
        <w:rPr>
          <w:rFonts w:hint="eastAsia" w:ascii="仿宋" w:hAnsi="仿宋" w:eastAsia="仿宋" w:cs="仿宋"/>
          <w:color w:val="auto"/>
          <w:sz w:val="24"/>
          <w:szCs w:val="24"/>
        </w:rPr>
        <w:t>项目名称：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人保财险四川省泸州市分公司立柱宣传采购项目</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pPr>
        <w:pStyle w:val="11"/>
        <w:spacing w:line="360" w:lineRule="auto"/>
        <w:ind w:hanging="142"/>
        <w:rPr>
          <w:rFonts w:ascii="仿宋" w:hAnsi="仿宋" w:eastAsia="仿宋" w:cs="仿宋"/>
          <w:color w:val="auto"/>
          <w:szCs w:val="21"/>
          <w:lang w:bidi="ar"/>
        </w:rPr>
      </w:pPr>
      <w:r>
        <w:rPr>
          <w:rFonts w:hint="eastAsia" w:ascii="仿宋" w:hAnsi="仿宋" w:eastAsia="仿宋" w:cs="仿宋"/>
          <w:color w:val="auto"/>
          <w:sz w:val="24"/>
          <w:szCs w:val="24"/>
        </w:rPr>
        <w:t>货币单位：</w:t>
      </w:r>
      <w:r>
        <w:rPr>
          <w:rFonts w:hint="eastAsia" w:ascii="仿宋" w:hAnsi="仿宋" w:eastAsia="仿宋" w:cs="仿宋"/>
          <w:color w:val="auto"/>
          <w:sz w:val="24"/>
          <w:szCs w:val="24"/>
          <w:u w:val="single"/>
        </w:rPr>
        <w:t xml:space="preserve"> 人民币元    </w:t>
      </w:r>
    </w:p>
    <w:tbl>
      <w:tblPr>
        <w:tblStyle w:val="29"/>
        <w:tblpPr w:leftFromText="180" w:rightFromText="180" w:vertAnchor="text" w:horzAnchor="page" w:tblpXSpec="center" w:tblpY="782"/>
        <w:tblOverlap w:val="never"/>
        <w:tblW w:w="81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37"/>
        <w:gridCol w:w="49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37" w:type="dxa"/>
            <w:vAlign w:val="center"/>
          </w:tcPr>
          <w:p>
            <w:pPr>
              <w:jc w:val="center"/>
              <w:rPr>
                <w:rFonts w:hint="eastAsia" w:ascii="仿宋" w:hAnsi="仿宋" w:eastAsia="仿宋" w:cs="宋体"/>
                <w:b/>
                <w:bCs/>
                <w:color w:val="000000"/>
                <w:szCs w:val="21"/>
                <w:lang w:eastAsia="zh-CN"/>
              </w:rPr>
            </w:pPr>
            <w:r>
              <w:rPr>
                <w:rFonts w:hint="eastAsia" w:ascii="仿宋" w:hAnsi="仿宋" w:eastAsia="仿宋" w:cs="宋体"/>
                <w:b/>
                <w:bCs/>
                <w:color w:val="000000"/>
                <w:szCs w:val="21"/>
                <w:lang w:eastAsia="zh-CN"/>
              </w:rPr>
              <w:t>名称</w:t>
            </w:r>
          </w:p>
        </w:tc>
        <w:tc>
          <w:tcPr>
            <w:tcW w:w="4928" w:type="dxa"/>
            <w:vAlign w:val="center"/>
          </w:tcPr>
          <w:p>
            <w:pPr>
              <w:jc w:val="center"/>
              <w:rPr>
                <w:rFonts w:hint="default" w:ascii="仿宋" w:hAnsi="仿宋" w:eastAsia="仿宋" w:cs="宋体"/>
                <w:b/>
                <w:bCs/>
                <w:color w:val="000000"/>
                <w:szCs w:val="21"/>
                <w:lang w:val="en-US" w:eastAsia="zh-CN"/>
              </w:rPr>
            </w:pPr>
            <w:r>
              <w:rPr>
                <w:rFonts w:hint="eastAsia" w:ascii="仿宋" w:hAnsi="仿宋" w:eastAsia="仿宋" w:cs="宋体"/>
                <w:b/>
                <w:bCs w:val="0"/>
                <w:color w:val="auto"/>
                <w:szCs w:val="21"/>
                <w:lang w:val="en-US" w:eastAsia="zh-CN"/>
              </w:rPr>
              <w:t>泸县县域立柱宣传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37" w:type="dxa"/>
            <w:vAlign w:val="center"/>
          </w:tcPr>
          <w:p>
            <w:pPr>
              <w:jc w:val="center"/>
              <w:rPr>
                <w:rFonts w:hint="eastAsia" w:ascii="仿宋" w:hAnsi="仿宋" w:eastAsia="仿宋" w:cs="宋体"/>
                <w:bCs/>
                <w:color w:val="000000"/>
                <w:szCs w:val="21"/>
                <w:lang w:eastAsia="zh-CN"/>
              </w:rPr>
            </w:pPr>
            <w:r>
              <w:rPr>
                <w:rFonts w:hint="eastAsia" w:ascii="仿宋" w:hAnsi="仿宋" w:eastAsia="仿宋" w:cs="宋体"/>
                <w:b/>
                <w:bCs/>
                <w:color w:val="000000"/>
                <w:szCs w:val="21"/>
                <w:lang w:val="en-US" w:eastAsia="zh-CN"/>
              </w:rPr>
              <w:t>数量（个）</w:t>
            </w:r>
          </w:p>
        </w:tc>
        <w:tc>
          <w:tcPr>
            <w:tcW w:w="4928" w:type="dxa"/>
            <w:vAlign w:val="center"/>
          </w:tcPr>
          <w:p>
            <w:pPr>
              <w:jc w:val="center"/>
              <w:rPr>
                <w:rFonts w:hint="default" w:ascii="仿宋" w:hAnsi="仿宋" w:eastAsia="仿宋" w:cs="宋体"/>
                <w:color w:val="000000"/>
                <w:szCs w:val="21"/>
                <w:lang w:val="en-US" w:eastAsia="zh-CN"/>
              </w:rPr>
            </w:pPr>
            <w:r>
              <w:rPr>
                <w:rFonts w:hint="eastAsia" w:ascii="仿宋" w:hAnsi="仿宋" w:eastAsia="仿宋" w:cs="宋体"/>
                <w:color w:val="000000"/>
                <w:szCs w:val="21"/>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37" w:type="dxa"/>
            <w:vAlign w:val="center"/>
          </w:tcPr>
          <w:p>
            <w:pPr>
              <w:jc w:val="center"/>
              <w:rPr>
                <w:rFonts w:hint="default" w:ascii="仿宋" w:hAnsi="仿宋" w:eastAsia="仿宋" w:cs="宋体"/>
                <w:b/>
                <w:bCs/>
                <w:color w:val="000000"/>
                <w:szCs w:val="21"/>
                <w:lang w:val="en-US" w:eastAsia="zh-CN"/>
              </w:rPr>
            </w:pPr>
            <w:r>
              <w:rPr>
                <w:rFonts w:hint="eastAsia" w:ascii="仿宋" w:hAnsi="仿宋" w:eastAsia="仿宋" w:cs="宋体"/>
                <w:b/>
                <w:bCs/>
                <w:color w:val="000000"/>
                <w:szCs w:val="21"/>
                <w:lang w:eastAsia="zh-CN"/>
              </w:rPr>
              <w:t>宣传期</w:t>
            </w:r>
          </w:p>
        </w:tc>
        <w:tc>
          <w:tcPr>
            <w:tcW w:w="4928" w:type="dxa"/>
            <w:vAlign w:val="center"/>
          </w:tcPr>
          <w:p>
            <w:pPr>
              <w:jc w:val="center"/>
              <w:rPr>
                <w:rFonts w:hint="eastAsia" w:ascii="仿宋" w:hAnsi="仿宋" w:eastAsia="仿宋" w:cs="宋体"/>
                <w:color w:val="000000"/>
                <w:szCs w:val="21"/>
                <w:lang w:val="en-US" w:eastAsia="zh-CN"/>
              </w:rPr>
            </w:pPr>
            <w:r>
              <w:rPr>
                <w:rFonts w:hint="eastAsia" w:ascii="仿宋" w:hAnsi="仿宋" w:eastAsia="仿宋" w:cs="宋体"/>
                <w:color w:val="000000"/>
                <w:szCs w:val="21"/>
                <w:lang w:val="en-US" w:eastAsia="zh-CN"/>
              </w:rPr>
              <w:t>3个月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37" w:type="dxa"/>
            <w:vAlign w:val="center"/>
          </w:tcPr>
          <w:p>
            <w:pPr>
              <w:jc w:val="center"/>
              <w:rPr>
                <w:rFonts w:hint="eastAsia" w:ascii="仿宋" w:hAnsi="仿宋" w:eastAsia="仿宋" w:cs="宋体"/>
                <w:b/>
                <w:bCs/>
                <w:color w:val="000000"/>
                <w:szCs w:val="21"/>
                <w:lang w:eastAsia="zh-CN"/>
              </w:rPr>
            </w:pPr>
            <w:r>
              <w:rPr>
                <w:rFonts w:hint="eastAsia" w:ascii="仿宋" w:hAnsi="仿宋" w:eastAsia="仿宋" w:cs="宋体"/>
                <w:b/>
                <w:bCs/>
                <w:color w:val="000000" w:themeColor="text1"/>
                <w:szCs w:val="21"/>
                <w:highlight w:val="none"/>
                <w:lang w:val="en-US" w:eastAsia="zh-CN"/>
                <w14:textFill>
                  <w14:solidFill>
                    <w14:schemeClr w14:val="tx1"/>
                  </w14:solidFill>
                </w14:textFill>
              </w:rPr>
              <w:t>含税价</w:t>
            </w:r>
            <w:r>
              <w:rPr>
                <w:rFonts w:hint="default" w:ascii="仿宋" w:hAnsi="仿宋" w:eastAsia="仿宋" w:cs="宋体"/>
                <w:b/>
                <w:bCs/>
                <w:color w:val="000000" w:themeColor="text1"/>
                <w:szCs w:val="21"/>
                <w:highlight w:val="none"/>
                <w:lang w:val="en-US" w:eastAsia="zh-CN"/>
                <w14:textFill>
                  <w14:solidFill>
                    <w14:schemeClr w14:val="tx1"/>
                  </w14:solidFill>
                </w14:textFill>
              </w:rPr>
              <w:t>（元/月</w:t>
            </w:r>
            <w:r>
              <w:rPr>
                <w:rFonts w:hint="eastAsia" w:ascii="仿宋" w:hAnsi="仿宋" w:eastAsia="仿宋" w:cs="宋体"/>
                <w:b/>
                <w:bCs/>
                <w:color w:val="000000" w:themeColor="text1"/>
                <w:szCs w:val="21"/>
                <w:highlight w:val="none"/>
                <w:lang w:val="en-US" w:eastAsia="zh-CN"/>
                <w14:textFill>
                  <w14:solidFill>
                    <w14:schemeClr w14:val="tx1"/>
                  </w14:solidFill>
                </w14:textFill>
              </w:rPr>
              <w:t>/个</w:t>
            </w:r>
            <w:r>
              <w:rPr>
                <w:rFonts w:hint="default" w:ascii="仿宋" w:hAnsi="仿宋" w:eastAsia="仿宋" w:cs="宋体"/>
                <w:b/>
                <w:bCs/>
                <w:color w:val="000000" w:themeColor="text1"/>
                <w:szCs w:val="21"/>
                <w:highlight w:val="none"/>
                <w:lang w:val="en-US" w:eastAsia="zh-CN"/>
                <w14:textFill>
                  <w14:solidFill>
                    <w14:schemeClr w14:val="tx1"/>
                  </w14:solidFill>
                </w14:textFill>
              </w:rPr>
              <w:t>）</w:t>
            </w:r>
          </w:p>
        </w:tc>
        <w:tc>
          <w:tcPr>
            <w:tcW w:w="4928" w:type="dxa"/>
            <w:vAlign w:val="center"/>
          </w:tcPr>
          <w:p>
            <w:pPr>
              <w:jc w:val="center"/>
              <w:rPr>
                <w:rFonts w:hint="eastAsia" w:ascii="仿宋" w:hAnsi="仿宋" w:eastAsia="仿宋" w:cs="宋体"/>
                <w:color w:val="00000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37" w:type="dxa"/>
            <w:vAlign w:val="center"/>
          </w:tcPr>
          <w:p>
            <w:pPr>
              <w:jc w:val="center"/>
              <w:rPr>
                <w:rFonts w:hint="eastAsia" w:ascii="仿宋" w:hAnsi="仿宋" w:eastAsia="仿宋" w:cs="宋体"/>
                <w:b/>
                <w:bCs/>
                <w:color w:val="000000"/>
                <w:szCs w:val="21"/>
              </w:rPr>
            </w:pPr>
            <w:r>
              <w:rPr>
                <w:rFonts w:hint="eastAsia" w:ascii="仿宋" w:hAnsi="仿宋" w:eastAsia="仿宋" w:cs="宋体"/>
                <w:b/>
                <w:bCs/>
                <w:color w:val="000000"/>
                <w:szCs w:val="21"/>
              </w:rPr>
              <w:t>增值发票类型（专票/普票）</w:t>
            </w:r>
          </w:p>
        </w:tc>
        <w:tc>
          <w:tcPr>
            <w:tcW w:w="4928" w:type="dxa"/>
            <w:vAlign w:val="center"/>
          </w:tcPr>
          <w:p>
            <w:pPr>
              <w:jc w:val="center"/>
              <w:rPr>
                <w:rFonts w:hint="eastAsia" w:ascii="仿宋" w:hAnsi="仿宋" w:eastAsia="仿宋" w:cs="宋体"/>
                <w:color w:val="00000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37" w:type="dxa"/>
            <w:vAlign w:val="center"/>
          </w:tcPr>
          <w:p>
            <w:pPr>
              <w:jc w:val="center"/>
              <w:rPr>
                <w:rFonts w:hint="eastAsia" w:ascii="仿宋" w:hAnsi="仿宋" w:eastAsia="仿宋" w:cs="宋体"/>
                <w:b/>
                <w:bCs/>
                <w:color w:val="000000"/>
                <w:szCs w:val="21"/>
              </w:rPr>
            </w:pPr>
            <w:r>
              <w:rPr>
                <w:rFonts w:hint="eastAsia" w:ascii="仿宋" w:hAnsi="仿宋" w:eastAsia="仿宋" w:cs="宋体"/>
                <w:b/>
                <w:bCs/>
                <w:color w:val="000000"/>
                <w:szCs w:val="21"/>
              </w:rPr>
              <w:t>税率（%）</w:t>
            </w:r>
          </w:p>
        </w:tc>
        <w:tc>
          <w:tcPr>
            <w:tcW w:w="4928" w:type="dxa"/>
            <w:vAlign w:val="center"/>
          </w:tcPr>
          <w:p>
            <w:pPr>
              <w:jc w:val="center"/>
              <w:rPr>
                <w:rFonts w:hint="eastAsia" w:ascii="仿宋" w:hAnsi="仿宋" w:eastAsia="仿宋" w:cs="宋体"/>
                <w:color w:val="00000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37" w:type="dxa"/>
            <w:vAlign w:val="center"/>
          </w:tcPr>
          <w:p>
            <w:pPr>
              <w:jc w:val="center"/>
              <w:rPr>
                <w:rFonts w:hint="eastAsia" w:ascii="仿宋" w:hAnsi="仿宋" w:eastAsia="仿宋" w:cs="宋体"/>
                <w:b/>
                <w:bCs/>
                <w:color w:val="000000"/>
                <w:szCs w:val="21"/>
              </w:rPr>
            </w:pPr>
            <w:r>
              <w:rPr>
                <w:rFonts w:hint="eastAsia" w:ascii="仿宋" w:hAnsi="仿宋" w:eastAsia="仿宋" w:cs="宋体"/>
                <w:b/>
                <w:bCs/>
                <w:color w:val="000000"/>
                <w:szCs w:val="21"/>
                <w:lang w:val="en-US" w:eastAsia="zh-CN"/>
              </w:rPr>
              <w:t>不</w:t>
            </w:r>
            <w:r>
              <w:rPr>
                <w:rFonts w:hint="eastAsia" w:ascii="仿宋" w:hAnsi="仿宋" w:eastAsia="仿宋" w:cs="宋体"/>
                <w:b/>
                <w:bCs/>
                <w:color w:val="000000"/>
                <w:szCs w:val="21"/>
              </w:rPr>
              <w:t>含税价（元/月/个）</w:t>
            </w:r>
          </w:p>
        </w:tc>
        <w:tc>
          <w:tcPr>
            <w:tcW w:w="4928" w:type="dxa"/>
            <w:vAlign w:val="center"/>
          </w:tcPr>
          <w:p>
            <w:pPr>
              <w:jc w:val="center"/>
              <w:rPr>
                <w:rFonts w:hint="eastAsia" w:ascii="仿宋" w:hAnsi="仿宋" w:eastAsia="仿宋" w:cs="宋体"/>
                <w:color w:val="00000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37" w:type="dxa"/>
            <w:vAlign w:val="center"/>
          </w:tcPr>
          <w:p>
            <w:pPr>
              <w:jc w:val="center"/>
              <w:rPr>
                <w:rFonts w:hint="eastAsia" w:ascii="仿宋" w:hAnsi="仿宋" w:eastAsia="仿宋" w:cs="宋体"/>
                <w:b/>
                <w:bCs/>
                <w:color w:val="000000"/>
                <w:szCs w:val="21"/>
              </w:rPr>
            </w:pPr>
            <w:r>
              <w:rPr>
                <w:rFonts w:hint="eastAsia" w:ascii="仿宋" w:hAnsi="仿宋" w:eastAsia="仿宋" w:cs="宋体"/>
                <w:b/>
                <w:bCs/>
                <w:color w:val="000000"/>
                <w:szCs w:val="21"/>
              </w:rPr>
              <w:t>备注</w:t>
            </w:r>
          </w:p>
        </w:tc>
        <w:tc>
          <w:tcPr>
            <w:tcW w:w="4928" w:type="dxa"/>
            <w:vAlign w:val="center"/>
          </w:tcPr>
          <w:p>
            <w:pPr>
              <w:jc w:val="center"/>
              <w:rPr>
                <w:rFonts w:hint="eastAsia" w:ascii="仿宋" w:hAnsi="仿宋" w:eastAsia="仿宋" w:cs="宋体"/>
                <w:color w:val="000000"/>
                <w:szCs w:val="21"/>
                <w:lang w:val="en-US" w:eastAsia="zh-CN"/>
              </w:rPr>
            </w:pPr>
            <w:r>
              <w:rPr>
                <w:rFonts w:hint="default" w:ascii="仿宋_GB2312" w:hAnsi="等线" w:eastAsia="仿宋_GB2312" w:cs="仿宋_GB2312"/>
                <w:i w:val="0"/>
                <w:iCs w:val="0"/>
                <w:color w:val="000000"/>
                <w:kern w:val="0"/>
                <w:sz w:val="24"/>
                <w:szCs w:val="24"/>
                <w:u w:val="none"/>
                <w:lang w:val="en-US" w:eastAsia="zh-CN" w:bidi="ar"/>
              </w:rPr>
              <w:t>含制作、安装、投放及后期维护</w:t>
            </w:r>
          </w:p>
        </w:tc>
      </w:tr>
    </w:tbl>
    <w:p>
      <w:pPr>
        <w:pStyle w:val="2"/>
        <w:rPr>
          <w:rFonts w:hint="default"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（一）标包1</w:t>
      </w:r>
    </w:p>
    <w:p>
      <w:pPr>
        <w:spacing w:line="360" w:lineRule="auto"/>
        <w:rPr>
          <w:rFonts w:hint="default" w:ascii="仿宋" w:hAnsi="仿宋" w:eastAsia="仿宋" w:cs="仿宋"/>
          <w:b/>
          <w:bCs w:val="0"/>
          <w:color w:val="auto"/>
          <w:lang w:val="en-US" w:eastAsia="zh-CN"/>
        </w:rPr>
      </w:pPr>
    </w:p>
    <w:tbl>
      <w:tblPr>
        <w:tblStyle w:val="29"/>
        <w:tblpPr w:leftFromText="180" w:rightFromText="180" w:vertAnchor="text" w:horzAnchor="page" w:tblpXSpec="center" w:tblpY="782"/>
        <w:tblOverlap w:val="never"/>
        <w:tblW w:w="81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37"/>
        <w:gridCol w:w="49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37" w:type="dxa"/>
            <w:vAlign w:val="center"/>
          </w:tcPr>
          <w:p>
            <w:pPr>
              <w:jc w:val="center"/>
              <w:rPr>
                <w:rFonts w:hint="eastAsia" w:ascii="仿宋" w:hAnsi="仿宋" w:eastAsia="仿宋" w:cs="宋体"/>
                <w:b/>
                <w:bCs/>
                <w:color w:val="000000"/>
                <w:szCs w:val="21"/>
                <w:lang w:eastAsia="zh-CN"/>
              </w:rPr>
            </w:pPr>
            <w:r>
              <w:rPr>
                <w:rFonts w:hint="eastAsia" w:ascii="仿宋" w:hAnsi="仿宋" w:eastAsia="仿宋" w:cs="宋体"/>
                <w:b/>
                <w:bCs/>
                <w:color w:val="000000"/>
                <w:szCs w:val="21"/>
                <w:lang w:eastAsia="zh-CN"/>
              </w:rPr>
              <w:t>名称</w:t>
            </w:r>
          </w:p>
        </w:tc>
        <w:tc>
          <w:tcPr>
            <w:tcW w:w="4928" w:type="dxa"/>
            <w:vAlign w:val="center"/>
          </w:tcPr>
          <w:p>
            <w:pPr>
              <w:jc w:val="center"/>
              <w:rPr>
                <w:rFonts w:hint="default" w:ascii="仿宋" w:hAnsi="仿宋" w:eastAsia="仿宋" w:cs="宋体"/>
                <w:b/>
                <w:bCs/>
                <w:color w:val="000000"/>
                <w:szCs w:val="21"/>
                <w:lang w:val="en-US" w:eastAsia="zh-CN"/>
              </w:rPr>
            </w:pPr>
            <w:r>
              <w:rPr>
                <w:rFonts w:hint="eastAsia" w:ascii="仿宋" w:hAnsi="仿宋" w:eastAsia="仿宋" w:cs="宋体"/>
                <w:b/>
                <w:bCs w:val="0"/>
                <w:color w:val="auto"/>
                <w:szCs w:val="21"/>
                <w:lang w:val="en-US" w:eastAsia="zh-CN"/>
              </w:rPr>
              <w:t>隆纳高速泸州收费站立柱宣传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37" w:type="dxa"/>
            <w:vAlign w:val="center"/>
          </w:tcPr>
          <w:p>
            <w:pPr>
              <w:jc w:val="center"/>
              <w:rPr>
                <w:rFonts w:hint="eastAsia" w:ascii="仿宋" w:hAnsi="仿宋" w:eastAsia="仿宋" w:cs="宋体"/>
                <w:bCs/>
                <w:color w:val="000000"/>
                <w:szCs w:val="21"/>
                <w:lang w:eastAsia="zh-CN"/>
              </w:rPr>
            </w:pPr>
            <w:r>
              <w:rPr>
                <w:rFonts w:hint="eastAsia" w:ascii="仿宋" w:hAnsi="仿宋" w:eastAsia="仿宋" w:cs="宋体"/>
                <w:b/>
                <w:bCs/>
                <w:color w:val="000000"/>
                <w:szCs w:val="21"/>
                <w:lang w:val="en-US" w:eastAsia="zh-CN"/>
              </w:rPr>
              <w:t>数量（个）</w:t>
            </w:r>
          </w:p>
        </w:tc>
        <w:tc>
          <w:tcPr>
            <w:tcW w:w="4928" w:type="dxa"/>
            <w:vAlign w:val="center"/>
          </w:tcPr>
          <w:p>
            <w:pPr>
              <w:jc w:val="center"/>
              <w:rPr>
                <w:rFonts w:hint="default" w:ascii="仿宋" w:hAnsi="仿宋" w:eastAsia="仿宋" w:cs="宋体"/>
                <w:color w:val="000000"/>
                <w:szCs w:val="21"/>
                <w:lang w:val="en-US" w:eastAsia="zh-CN"/>
              </w:rPr>
            </w:pPr>
            <w:r>
              <w:rPr>
                <w:rFonts w:hint="eastAsia" w:ascii="仿宋" w:hAnsi="仿宋" w:eastAsia="仿宋" w:cs="宋体"/>
                <w:color w:val="000000"/>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37" w:type="dxa"/>
            <w:vAlign w:val="center"/>
          </w:tcPr>
          <w:p>
            <w:pPr>
              <w:jc w:val="center"/>
              <w:rPr>
                <w:rFonts w:hint="default" w:ascii="仿宋" w:hAnsi="仿宋" w:eastAsia="仿宋" w:cs="宋体"/>
                <w:b/>
                <w:bCs/>
                <w:color w:val="000000"/>
                <w:szCs w:val="21"/>
                <w:lang w:val="en-US" w:eastAsia="zh-CN"/>
              </w:rPr>
            </w:pPr>
            <w:r>
              <w:rPr>
                <w:rFonts w:hint="eastAsia" w:ascii="仿宋" w:hAnsi="仿宋" w:eastAsia="仿宋" w:cs="宋体"/>
                <w:b/>
                <w:bCs/>
                <w:color w:val="000000"/>
                <w:szCs w:val="21"/>
                <w:lang w:eastAsia="zh-CN"/>
              </w:rPr>
              <w:t>宣传期</w:t>
            </w:r>
          </w:p>
        </w:tc>
        <w:tc>
          <w:tcPr>
            <w:tcW w:w="4928" w:type="dxa"/>
            <w:vAlign w:val="center"/>
          </w:tcPr>
          <w:p>
            <w:pPr>
              <w:jc w:val="center"/>
              <w:rPr>
                <w:rFonts w:hint="eastAsia" w:ascii="仿宋" w:hAnsi="仿宋" w:eastAsia="仿宋" w:cs="宋体"/>
                <w:color w:val="000000"/>
                <w:szCs w:val="21"/>
                <w:lang w:val="en-US" w:eastAsia="zh-CN"/>
              </w:rPr>
            </w:pPr>
            <w:r>
              <w:rPr>
                <w:rFonts w:hint="eastAsia" w:ascii="仿宋" w:hAnsi="仿宋" w:eastAsia="仿宋" w:cs="宋体"/>
                <w:color w:val="000000"/>
                <w:szCs w:val="21"/>
                <w:lang w:val="en-US" w:eastAsia="zh-CN"/>
              </w:rPr>
              <w:t>6个月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37" w:type="dxa"/>
            <w:vAlign w:val="center"/>
          </w:tcPr>
          <w:p>
            <w:pPr>
              <w:jc w:val="center"/>
              <w:rPr>
                <w:rFonts w:hint="eastAsia" w:ascii="仿宋" w:hAnsi="仿宋" w:eastAsia="仿宋" w:cs="宋体"/>
                <w:b/>
                <w:bCs/>
                <w:color w:val="000000"/>
                <w:szCs w:val="21"/>
                <w:lang w:eastAsia="zh-CN"/>
              </w:rPr>
            </w:pPr>
            <w:r>
              <w:rPr>
                <w:rFonts w:hint="eastAsia" w:ascii="仿宋" w:hAnsi="仿宋" w:eastAsia="仿宋" w:cs="宋体"/>
                <w:b/>
                <w:bCs/>
                <w:color w:val="000000" w:themeColor="text1"/>
                <w:szCs w:val="21"/>
                <w:highlight w:val="none"/>
                <w:lang w:val="en-US" w:eastAsia="zh-CN"/>
                <w14:textFill>
                  <w14:solidFill>
                    <w14:schemeClr w14:val="tx1"/>
                  </w14:solidFill>
                </w14:textFill>
              </w:rPr>
              <w:t>含税价</w:t>
            </w:r>
            <w:r>
              <w:rPr>
                <w:rFonts w:hint="default" w:ascii="仿宋" w:hAnsi="仿宋" w:eastAsia="仿宋" w:cs="宋体"/>
                <w:b/>
                <w:bCs/>
                <w:color w:val="000000" w:themeColor="text1"/>
                <w:szCs w:val="21"/>
                <w:highlight w:val="none"/>
                <w:lang w:val="en-US" w:eastAsia="zh-CN"/>
                <w14:textFill>
                  <w14:solidFill>
                    <w14:schemeClr w14:val="tx1"/>
                  </w14:solidFill>
                </w14:textFill>
              </w:rPr>
              <w:t>（元/月</w:t>
            </w:r>
            <w:r>
              <w:rPr>
                <w:rFonts w:hint="eastAsia" w:ascii="仿宋" w:hAnsi="仿宋" w:eastAsia="仿宋" w:cs="宋体"/>
                <w:b/>
                <w:bCs/>
                <w:color w:val="000000" w:themeColor="text1"/>
                <w:szCs w:val="21"/>
                <w:highlight w:val="none"/>
                <w:lang w:val="en-US" w:eastAsia="zh-CN"/>
                <w14:textFill>
                  <w14:solidFill>
                    <w14:schemeClr w14:val="tx1"/>
                  </w14:solidFill>
                </w14:textFill>
              </w:rPr>
              <w:t>/个</w:t>
            </w:r>
            <w:r>
              <w:rPr>
                <w:rFonts w:hint="default" w:ascii="仿宋" w:hAnsi="仿宋" w:eastAsia="仿宋" w:cs="宋体"/>
                <w:b/>
                <w:bCs/>
                <w:color w:val="000000" w:themeColor="text1"/>
                <w:szCs w:val="21"/>
                <w:highlight w:val="none"/>
                <w:lang w:val="en-US" w:eastAsia="zh-CN"/>
                <w14:textFill>
                  <w14:solidFill>
                    <w14:schemeClr w14:val="tx1"/>
                  </w14:solidFill>
                </w14:textFill>
              </w:rPr>
              <w:t>）</w:t>
            </w:r>
          </w:p>
        </w:tc>
        <w:tc>
          <w:tcPr>
            <w:tcW w:w="4928" w:type="dxa"/>
            <w:vAlign w:val="center"/>
          </w:tcPr>
          <w:p>
            <w:pPr>
              <w:jc w:val="center"/>
              <w:rPr>
                <w:rFonts w:hint="eastAsia" w:ascii="仿宋" w:hAnsi="仿宋" w:eastAsia="仿宋" w:cs="宋体"/>
                <w:color w:val="00000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37" w:type="dxa"/>
            <w:vAlign w:val="center"/>
          </w:tcPr>
          <w:p>
            <w:pPr>
              <w:jc w:val="center"/>
              <w:rPr>
                <w:rFonts w:hint="eastAsia" w:ascii="仿宋" w:hAnsi="仿宋" w:eastAsia="仿宋" w:cs="宋体"/>
                <w:b/>
                <w:bCs/>
                <w:color w:val="000000"/>
                <w:szCs w:val="21"/>
              </w:rPr>
            </w:pPr>
            <w:r>
              <w:rPr>
                <w:rFonts w:hint="eastAsia" w:ascii="仿宋" w:hAnsi="仿宋" w:eastAsia="仿宋" w:cs="宋体"/>
                <w:b/>
                <w:bCs/>
                <w:color w:val="000000"/>
                <w:szCs w:val="21"/>
              </w:rPr>
              <w:t>增值发票类型（专票/普票）</w:t>
            </w:r>
          </w:p>
        </w:tc>
        <w:tc>
          <w:tcPr>
            <w:tcW w:w="4928" w:type="dxa"/>
            <w:vAlign w:val="center"/>
          </w:tcPr>
          <w:p>
            <w:pPr>
              <w:jc w:val="center"/>
              <w:rPr>
                <w:rFonts w:hint="eastAsia" w:ascii="仿宋" w:hAnsi="仿宋" w:eastAsia="仿宋" w:cs="宋体"/>
                <w:color w:val="00000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37" w:type="dxa"/>
            <w:vAlign w:val="center"/>
          </w:tcPr>
          <w:p>
            <w:pPr>
              <w:jc w:val="center"/>
              <w:rPr>
                <w:rFonts w:hint="eastAsia" w:ascii="仿宋" w:hAnsi="仿宋" w:eastAsia="仿宋" w:cs="宋体"/>
                <w:b/>
                <w:bCs/>
                <w:color w:val="000000"/>
                <w:szCs w:val="21"/>
              </w:rPr>
            </w:pPr>
            <w:r>
              <w:rPr>
                <w:rFonts w:hint="eastAsia" w:ascii="仿宋" w:hAnsi="仿宋" w:eastAsia="仿宋" w:cs="宋体"/>
                <w:b/>
                <w:bCs/>
                <w:color w:val="000000"/>
                <w:szCs w:val="21"/>
              </w:rPr>
              <w:t>税率（%）</w:t>
            </w:r>
          </w:p>
        </w:tc>
        <w:tc>
          <w:tcPr>
            <w:tcW w:w="4928" w:type="dxa"/>
            <w:vAlign w:val="center"/>
          </w:tcPr>
          <w:p>
            <w:pPr>
              <w:jc w:val="center"/>
              <w:rPr>
                <w:rFonts w:hint="eastAsia" w:ascii="仿宋" w:hAnsi="仿宋" w:eastAsia="仿宋" w:cs="宋体"/>
                <w:color w:val="00000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37" w:type="dxa"/>
            <w:vAlign w:val="center"/>
          </w:tcPr>
          <w:p>
            <w:pPr>
              <w:jc w:val="center"/>
              <w:rPr>
                <w:rFonts w:hint="eastAsia" w:ascii="仿宋" w:hAnsi="仿宋" w:eastAsia="仿宋" w:cs="宋体"/>
                <w:b/>
                <w:bCs/>
                <w:color w:val="000000"/>
                <w:szCs w:val="21"/>
              </w:rPr>
            </w:pPr>
            <w:r>
              <w:rPr>
                <w:rFonts w:hint="eastAsia" w:ascii="仿宋" w:hAnsi="仿宋" w:eastAsia="仿宋" w:cs="宋体"/>
                <w:b/>
                <w:bCs/>
                <w:color w:val="000000"/>
                <w:szCs w:val="21"/>
                <w:lang w:val="en-US" w:eastAsia="zh-CN"/>
              </w:rPr>
              <w:t>不</w:t>
            </w:r>
            <w:r>
              <w:rPr>
                <w:rFonts w:hint="eastAsia" w:ascii="仿宋" w:hAnsi="仿宋" w:eastAsia="仿宋" w:cs="宋体"/>
                <w:b/>
                <w:bCs/>
                <w:color w:val="000000"/>
                <w:szCs w:val="21"/>
              </w:rPr>
              <w:t>含税价（元/月/个）</w:t>
            </w:r>
          </w:p>
        </w:tc>
        <w:tc>
          <w:tcPr>
            <w:tcW w:w="4928" w:type="dxa"/>
            <w:vAlign w:val="center"/>
          </w:tcPr>
          <w:p>
            <w:pPr>
              <w:jc w:val="center"/>
              <w:rPr>
                <w:rFonts w:hint="eastAsia" w:ascii="仿宋" w:hAnsi="仿宋" w:eastAsia="仿宋" w:cs="宋体"/>
                <w:color w:val="00000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37" w:type="dxa"/>
            <w:vAlign w:val="center"/>
          </w:tcPr>
          <w:p>
            <w:pPr>
              <w:jc w:val="center"/>
              <w:rPr>
                <w:rFonts w:hint="eastAsia" w:ascii="仿宋" w:hAnsi="仿宋" w:eastAsia="仿宋" w:cs="宋体"/>
                <w:b/>
                <w:bCs/>
                <w:color w:val="000000"/>
                <w:szCs w:val="21"/>
              </w:rPr>
            </w:pPr>
            <w:r>
              <w:rPr>
                <w:rFonts w:hint="eastAsia" w:ascii="仿宋" w:hAnsi="仿宋" w:eastAsia="仿宋" w:cs="宋体"/>
                <w:b/>
                <w:bCs/>
                <w:color w:val="000000"/>
                <w:szCs w:val="21"/>
              </w:rPr>
              <w:t>备注</w:t>
            </w:r>
          </w:p>
        </w:tc>
        <w:tc>
          <w:tcPr>
            <w:tcW w:w="4928" w:type="dxa"/>
            <w:vAlign w:val="center"/>
          </w:tcPr>
          <w:p>
            <w:pPr>
              <w:jc w:val="center"/>
              <w:rPr>
                <w:rFonts w:hint="eastAsia" w:ascii="仿宋" w:hAnsi="仿宋" w:eastAsia="仿宋" w:cs="宋体"/>
                <w:color w:val="000000"/>
                <w:szCs w:val="21"/>
                <w:lang w:val="en-US" w:eastAsia="zh-CN"/>
              </w:rPr>
            </w:pPr>
            <w:r>
              <w:rPr>
                <w:rFonts w:hint="default" w:ascii="仿宋_GB2312" w:hAnsi="等线" w:eastAsia="仿宋_GB2312" w:cs="仿宋_GB2312"/>
                <w:i w:val="0"/>
                <w:iCs w:val="0"/>
                <w:color w:val="000000"/>
                <w:kern w:val="0"/>
                <w:sz w:val="24"/>
                <w:szCs w:val="24"/>
                <w:u w:val="none"/>
                <w:lang w:val="en-US" w:eastAsia="zh-CN" w:bidi="ar"/>
              </w:rPr>
              <w:t>含制作、安装、投放及后期维护</w:t>
            </w:r>
          </w:p>
        </w:tc>
      </w:tr>
    </w:tbl>
    <w:p>
      <w:pPr>
        <w:spacing w:line="360" w:lineRule="auto"/>
        <w:rPr>
          <w:rFonts w:hint="default" w:ascii="仿宋" w:hAnsi="仿宋" w:eastAsia="仿宋" w:cs="仿宋"/>
          <w:b/>
          <w:bCs w:val="0"/>
          <w:color w:val="auto"/>
          <w:lang w:val="en-US" w:eastAsia="zh-CN"/>
        </w:rPr>
      </w:pPr>
      <w:r>
        <w:rPr>
          <w:rFonts w:hint="eastAsia" w:ascii="仿宋" w:hAnsi="仿宋" w:eastAsia="仿宋" w:cs="仿宋"/>
          <w:b/>
          <w:bCs w:val="0"/>
          <w:color w:val="auto"/>
          <w:lang w:eastAsia="zh-CN"/>
        </w:rPr>
        <w:t>（</w:t>
      </w:r>
      <w:r>
        <w:rPr>
          <w:rFonts w:hint="eastAsia" w:ascii="仿宋" w:hAnsi="仿宋" w:eastAsia="仿宋" w:cs="仿宋"/>
          <w:b/>
          <w:bCs w:val="0"/>
          <w:color w:val="auto"/>
          <w:lang w:val="en-US" w:eastAsia="zh-CN"/>
        </w:rPr>
        <w:t>二</w:t>
      </w:r>
      <w:r>
        <w:rPr>
          <w:rFonts w:hint="eastAsia" w:ascii="仿宋" w:hAnsi="仿宋" w:eastAsia="仿宋" w:cs="仿宋"/>
          <w:b/>
          <w:bCs w:val="0"/>
          <w:color w:val="auto"/>
          <w:lang w:eastAsia="zh-CN"/>
        </w:rPr>
        <w:t>）</w:t>
      </w:r>
      <w:r>
        <w:rPr>
          <w:rFonts w:hint="eastAsia" w:ascii="仿宋" w:hAnsi="仿宋" w:eastAsia="仿宋" w:cs="仿宋"/>
          <w:b/>
          <w:bCs w:val="0"/>
          <w:color w:val="auto"/>
          <w:lang w:val="en-US" w:eastAsia="zh-CN"/>
        </w:rPr>
        <w:t>标包2</w:t>
      </w:r>
    </w:p>
    <w:p>
      <w:pPr>
        <w:spacing w:line="360" w:lineRule="auto"/>
        <w:rPr>
          <w:rFonts w:hint="eastAsia" w:ascii="仿宋" w:hAnsi="仿宋" w:eastAsia="仿宋" w:cs="仿宋"/>
          <w:bCs/>
          <w:color w:val="auto"/>
        </w:rPr>
      </w:pPr>
    </w:p>
    <w:p>
      <w:pPr>
        <w:spacing w:line="360" w:lineRule="auto"/>
        <w:rPr>
          <w:rFonts w:ascii="仿宋" w:hAnsi="仿宋" w:eastAsia="仿宋" w:cs="仿宋"/>
          <w:bCs/>
          <w:color w:val="auto"/>
        </w:rPr>
      </w:pPr>
      <w:r>
        <w:rPr>
          <w:rFonts w:hint="eastAsia" w:ascii="仿宋" w:hAnsi="仿宋" w:eastAsia="仿宋" w:cs="仿宋"/>
          <w:bCs/>
          <w:color w:val="auto"/>
        </w:rPr>
        <w:t>备注：</w:t>
      </w:r>
    </w:p>
    <w:p>
      <w:pPr>
        <w:spacing w:line="360" w:lineRule="auto"/>
        <w:rPr>
          <w:rFonts w:ascii="仿宋" w:hAnsi="仿宋" w:eastAsia="仿宋"/>
          <w:bCs/>
          <w:color w:val="auto"/>
        </w:rPr>
      </w:pPr>
      <w:r>
        <w:rPr>
          <w:rFonts w:hint="eastAsia" w:ascii="仿宋" w:hAnsi="仿宋" w:eastAsia="仿宋"/>
          <w:bCs/>
          <w:color w:val="auto"/>
        </w:rPr>
        <w:t>1.本次报价精确到小数点后两位（四舍五入）。</w:t>
      </w:r>
    </w:p>
    <w:p>
      <w:pPr>
        <w:pStyle w:val="51"/>
        <w:spacing w:line="360" w:lineRule="auto"/>
        <w:ind w:firstLine="0" w:firstLineChars="0"/>
        <w:rPr>
          <w:rFonts w:ascii="仿宋" w:hAnsi="仿宋" w:eastAsia="仿宋" w:cs="宋体"/>
          <w:bCs/>
          <w:color w:val="auto"/>
        </w:rPr>
      </w:pPr>
      <w:r>
        <w:rPr>
          <w:rFonts w:hint="eastAsia" w:ascii="仿宋" w:hAnsi="仿宋" w:eastAsia="仿宋" w:cs="宋体"/>
          <w:bCs/>
          <w:color w:val="auto"/>
        </w:rPr>
        <w:t>2.含税价=不含税价*(1+税率)，若报价与此公式不符，增值税专用发票以不含税</w:t>
      </w:r>
    </w:p>
    <w:p>
      <w:pPr>
        <w:pStyle w:val="51"/>
        <w:spacing w:line="360" w:lineRule="auto"/>
        <w:ind w:firstLine="0" w:firstLineChars="0"/>
        <w:rPr>
          <w:rFonts w:ascii="仿宋" w:hAnsi="仿宋" w:eastAsia="仿宋" w:cs="宋体"/>
          <w:bCs/>
          <w:color w:val="auto"/>
        </w:rPr>
      </w:pPr>
      <w:r>
        <w:rPr>
          <w:rFonts w:hint="eastAsia" w:ascii="仿宋" w:hAnsi="仿宋" w:eastAsia="仿宋" w:cs="宋体"/>
          <w:bCs/>
          <w:color w:val="auto"/>
        </w:rPr>
        <w:t>价为准进行修正，增值税普通发票以含税价进行修正。</w:t>
      </w:r>
    </w:p>
    <w:p>
      <w:pPr>
        <w:pStyle w:val="51"/>
        <w:spacing w:line="360" w:lineRule="auto"/>
        <w:ind w:firstLine="0" w:firstLineChars="0"/>
        <w:rPr>
          <w:rFonts w:ascii="仿宋" w:hAnsi="仿宋" w:eastAsia="仿宋" w:cs="宋体"/>
          <w:bCs/>
          <w:color w:val="auto"/>
        </w:rPr>
      </w:pPr>
      <w:r>
        <w:rPr>
          <w:rFonts w:hint="eastAsia" w:ascii="仿宋" w:hAnsi="仿宋" w:eastAsia="仿宋" w:cs="宋体"/>
          <w:bCs/>
          <w:color w:val="auto"/>
        </w:rPr>
        <w:t>3.后续如因国家税率调整，专票以不含税价不变进行调整，普票以含税价不变进行</w:t>
      </w:r>
    </w:p>
    <w:p>
      <w:pPr>
        <w:pStyle w:val="51"/>
        <w:spacing w:line="360" w:lineRule="auto"/>
        <w:ind w:firstLine="0" w:firstLineChars="0"/>
        <w:rPr>
          <w:rFonts w:ascii="仿宋" w:hAnsi="仿宋" w:eastAsia="仿宋" w:cs="宋体"/>
          <w:bCs/>
          <w:color w:val="auto"/>
        </w:rPr>
      </w:pPr>
      <w:r>
        <w:rPr>
          <w:rFonts w:hint="eastAsia" w:ascii="仿宋" w:hAnsi="仿宋" w:eastAsia="仿宋" w:cs="宋体"/>
          <w:bCs/>
          <w:color w:val="auto"/>
        </w:rPr>
        <w:t>调整。</w:t>
      </w:r>
    </w:p>
    <w:p>
      <w:pPr>
        <w:spacing w:line="360" w:lineRule="auto"/>
        <w:rPr>
          <w:rFonts w:ascii="仿宋" w:hAnsi="仿宋" w:eastAsia="仿宋" w:cs="仿宋"/>
          <w:color w:val="auto"/>
        </w:rPr>
      </w:pPr>
    </w:p>
    <w:p>
      <w:pPr>
        <w:widowControl w:val="0"/>
        <w:numPr>
          <w:ilvl w:val="0"/>
          <w:numId w:val="1"/>
        </w:numPr>
        <w:spacing w:line="440" w:lineRule="exact"/>
        <w:jc w:val="right"/>
        <w:rPr>
          <w:rFonts w:ascii="仿宋" w:hAnsi="仿宋" w:eastAsia="仿宋" w:cs="宋体"/>
          <w:color w:val="auto"/>
        </w:rPr>
      </w:pPr>
      <w:bookmarkStart w:id="197" w:name="_Toc530319762"/>
      <w:bookmarkStart w:id="198" w:name="_Toc517281864"/>
      <w:bookmarkStart w:id="199" w:name="_Toc16591840"/>
      <w:bookmarkStart w:id="200" w:name="_Toc2267055"/>
      <w:bookmarkStart w:id="201" w:name="_Toc518302646"/>
      <w:bookmarkStart w:id="202" w:name="_Toc482180015"/>
    </w:p>
    <w:p>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法定代表人或其授权代理人：</w:t>
      </w:r>
      <w:r>
        <w:rPr>
          <w:rFonts w:hint="eastAsia" w:ascii="仿宋" w:hAnsi="仿宋" w:eastAsia="仿宋" w:cs="宋体"/>
          <w:color w:val="auto"/>
          <w:u w:val="single"/>
        </w:rPr>
        <w:t xml:space="preserve">             </w:t>
      </w:r>
      <w:r>
        <w:rPr>
          <w:rFonts w:hint="eastAsia" w:ascii="仿宋" w:hAnsi="仿宋" w:eastAsia="仿宋" w:cs="宋体"/>
          <w:color w:val="auto"/>
        </w:rPr>
        <w:t>（签字）</w:t>
      </w:r>
    </w:p>
    <w:p>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p>
    <w:bookmarkEnd w:id="128"/>
    <w:bookmarkEnd w:id="197"/>
    <w:bookmarkEnd w:id="198"/>
    <w:bookmarkEnd w:id="199"/>
    <w:bookmarkEnd w:id="200"/>
    <w:bookmarkEnd w:id="201"/>
    <w:bookmarkEnd w:id="202"/>
    <w:p>
      <w:pPr>
        <w:pStyle w:val="3"/>
        <w:tabs>
          <w:tab w:val="clear" w:pos="425"/>
        </w:tabs>
        <w:spacing w:before="0" w:after="0" w:line="560" w:lineRule="exact"/>
        <w:ind w:left="0" w:leftChars="0" w:firstLine="0" w:firstLineChars="0"/>
        <w:jc w:val="left"/>
        <w:rPr>
          <w:rFonts w:ascii="仿宋_GB2312" w:hAnsi="宋体" w:eastAsia="仿宋_GB2312" w:cs="宋体"/>
          <w:color w:val="auto"/>
          <w:sz w:val="28"/>
          <w:szCs w:val="28"/>
        </w:rPr>
      </w:pPr>
    </w:p>
    <w:sectPr>
      <w:headerReference r:id="rId9" w:type="default"/>
      <w:footerReference r:id="rId10" w:type="default"/>
      <w:pgSz w:w="11906" w:h="16838"/>
      <w:pgMar w:top="1418" w:right="1555" w:bottom="1418" w:left="1531"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53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t>比选文件</w:t>
    </w:r>
  </w:p>
  <w:p>
    <w:pPr>
      <w:pStyle w:val="20"/>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D3464"/>
    <w:multiLevelType w:val="singleLevel"/>
    <w:tmpl w:val="D1BD3464"/>
    <w:lvl w:ilvl="0" w:tentative="0">
      <w:start w:val="4"/>
      <w:numFmt w:val="chineseCounting"/>
      <w:suff w:val="space"/>
      <w:lvlText w:val="第%1章"/>
      <w:lvlJc w:val="left"/>
      <w:rPr>
        <w:rFonts w:hint="eastAsia"/>
      </w:rPr>
    </w:lvl>
  </w:abstractNum>
  <w:abstractNum w:abstractNumId="1">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2">
    <w:nsid w:val="5D4608AD"/>
    <w:multiLevelType w:val="multilevel"/>
    <w:tmpl w:val="5D4608AD"/>
    <w:lvl w:ilvl="0" w:tentative="0">
      <w:start w:val="1"/>
      <w:numFmt w:val="chineseCountingThousand"/>
      <w:pStyle w:val="53"/>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0B08"/>
    <w:rsid w:val="0003271C"/>
    <w:rsid w:val="00032BC1"/>
    <w:rsid w:val="00036E66"/>
    <w:rsid w:val="00036EC4"/>
    <w:rsid w:val="00037399"/>
    <w:rsid w:val="00037A1C"/>
    <w:rsid w:val="00046575"/>
    <w:rsid w:val="000503A9"/>
    <w:rsid w:val="000514BA"/>
    <w:rsid w:val="00053A41"/>
    <w:rsid w:val="00055B72"/>
    <w:rsid w:val="000612DD"/>
    <w:rsid w:val="000621BC"/>
    <w:rsid w:val="00063CBA"/>
    <w:rsid w:val="000668AF"/>
    <w:rsid w:val="000701FC"/>
    <w:rsid w:val="00070E95"/>
    <w:rsid w:val="00071E6A"/>
    <w:rsid w:val="00074628"/>
    <w:rsid w:val="0007615C"/>
    <w:rsid w:val="00077638"/>
    <w:rsid w:val="000805C8"/>
    <w:rsid w:val="00084636"/>
    <w:rsid w:val="000877E5"/>
    <w:rsid w:val="00087EAE"/>
    <w:rsid w:val="0009102D"/>
    <w:rsid w:val="00091A25"/>
    <w:rsid w:val="000928E9"/>
    <w:rsid w:val="00093909"/>
    <w:rsid w:val="00094D27"/>
    <w:rsid w:val="0009798B"/>
    <w:rsid w:val="000A1566"/>
    <w:rsid w:val="000A3236"/>
    <w:rsid w:val="000B0226"/>
    <w:rsid w:val="000B04E7"/>
    <w:rsid w:val="000B236A"/>
    <w:rsid w:val="000C066D"/>
    <w:rsid w:val="000C16C0"/>
    <w:rsid w:val="000C5A44"/>
    <w:rsid w:val="000C6058"/>
    <w:rsid w:val="000C7AB0"/>
    <w:rsid w:val="000C7E52"/>
    <w:rsid w:val="000D2B8A"/>
    <w:rsid w:val="000D4DCA"/>
    <w:rsid w:val="000D718B"/>
    <w:rsid w:val="000E01B4"/>
    <w:rsid w:val="000E13CF"/>
    <w:rsid w:val="000E4913"/>
    <w:rsid w:val="000F08D0"/>
    <w:rsid w:val="000F0B6C"/>
    <w:rsid w:val="000F197A"/>
    <w:rsid w:val="000F29A7"/>
    <w:rsid w:val="000F61FB"/>
    <w:rsid w:val="000F6280"/>
    <w:rsid w:val="000F7453"/>
    <w:rsid w:val="0010302B"/>
    <w:rsid w:val="001077DE"/>
    <w:rsid w:val="0011186D"/>
    <w:rsid w:val="00111940"/>
    <w:rsid w:val="00111A81"/>
    <w:rsid w:val="001124F4"/>
    <w:rsid w:val="001166CC"/>
    <w:rsid w:val="0012321E"/>
    <w:rsid w:val="00124BC3"/>
    <w:rsid w:val="00130AE0"/>
    <w:rsid w:val="00131CC8"/>
    <w:rsid w:val="00132769"/>
    <w:rsid w:val="00142437"/>
    <w:rsid w:val="00143790"/>
    <w:rsid w:val="00147A0D"/>
    <w:rsid w:val="00147BA4"/>
    <w:rsid w:val="00151287"/>
    <w:rsid w:val="0015241B"/>
    <w:rsid w:val="0015677D"/>
    <w:rsid w:val="00157822"/>
    <w:rsid w:val="001624C4"/>
    <w:rsid w:val="001710A5"/>
    <w:rsid w:val="00171A30"/>
    <w:rsid w:val="001748ED"/>
    <w:rsid w:val="00174D8C"/>
    <w:rsid w:val="0018109E"/>
    <w:rsid w:val="00182053"/>
    <w:rsid w:val="00182D8C"/>
    <w:rsid w:val="00187A6C"/>
    <w:rsid w:val="00196511"/>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02E15"/>
    <w:rsid w:val="0020519E"/>
    <w:rsid w:val="00210EDE"/>
    <w:rsid w:val="00211367"/>
    <w:rsid w:val="002154D7"/>
    <w:rsid w:val="0021748F"/>
    <w:rsid w:val="002203C8"/>
    <w:rsid w:val="002212FB"/>
    <w:rsid w:val="0022160E"/>
    <w:rsid w:val="00226E0F"/>
    <w:rsid w:val="00227100"/>
    <w:rsid w:val="00227D8C"/>
    <w:rsid w:val="00230768"/>
    <w:rsid w:val="0023388E"/>
    <w:rsid w:val="002350D7"/>
    <w:rsid w:val="00241644"/>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3D76"/>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1F6F"/>
    <w:rsid w:val="002E2440"/>
    <w:rsid w:val="002E312B"/>
    <w:rsid w:val="002E3225"/>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0A70"/>
    <w:rsid w:val="00321332"/>
    <w:rsid w:val="00321D05"/>
    <w:rsid w:val="003240C9"/>
    <w:rsid w:val="003256CE"/>
    <w:rsid w:val="003302E3"/>
    <w:rsid w:val="00331575"/>
    <w:rsid w:val="00332497"/>
    <w:rsid w:val="0034260D"/>
    <w:rsid w:val="00342DBB"/>
    <w:rsid w:val="0034443F"/>
    <w:rsid w:val="00345C1D"/>
    <w:rsid w:val="00346D6A"/>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3E50"/>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D5CFF"/>
    <w:rsid w:val="003E2133"/>
    <w:rsid w:val="003E244E"/>
    <w:rsid w:val="003E2C5C"/>
    <w:rsid w:val="003F7390"/>
    <w:rsid w:val="003F7492"/>
    <w:rsid w:val="00400669"/>
    <w:rsid w:val="004057C3"/>
    <w:rsid w:val="00405876"/>
    <w:rsid w:val="004104D4"/>
    <w:rsid w:val="004105E1"/>
    <w:rsid w:val="00415084"/>
    <w:rsid w:val="00420EFC"/>
    <w:rsid w:val="004217B3"/>
    <w:rsid w:val="004220A2"/>
    <w:rsid w:val="00422902"/>
    <w:rsid w:val="00426605"/>
    <w:rsid w:val="00430A81"/>
    <w:rsid w:val="004312EF"/>
    <w:rsid w:val="00431D9B"/>
    <w:rsid w:val="00433DEC"/>
    <w:rsid w:val="0043661F"/>
    <w:rsid w:val="00443DE5"/>
    <w:rsid w:val="00444110"/>
    <w:rsid w:val="00452201"/>
    <w:rsid w:val="0045263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0CE3"/>
    <w:rsid w:val="004B30C0"/>
    <w:rsid w:val="004B3E83"/>
    <w:rsid w:val="004B48A8"/>
    <w:rsid w:val="004B4B3B"/>
    <w:rsid w:val="004B7FD0"/>
    <w:rsid w:val="004C1A93"/>
    <w:rsid w:val="004C1AA9"/>
    <w:rsid w:val="004C5F4C"/>
    <w:rsid w:val="004C6169"/>
    <w:rsid w:val="004D1595"/>
    <w:rsid w:val="004D2726"/>
    <w:rsid w:val="004D33F5"/>
    <w:rsid w:val="004D44E4"/>
    <w:rsid w:val="004D4FA3"/>
    <w:rsid w:val="004D59CA"/>
    <w:rsid w:val="004D5A00"/>
    <w:rsid w:val="004D704A"/>
    <w:rsid w:val="004E3240"/>
    <w:rsid w:val="004E3BC1"/>
    <w:rsid w:val="004E6D4B"/>
    <w:rsid w:val="004E7F72"/>
    <w:rsid w:val="004E7FD7"/>
    <w:rsid w:val="004F05DA"/>
    <w:rsid w:val="004F399D"/>
    <w:rsid w:val="004F520F"/>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7EA4"/>
    <w:rsid w:val="00545294"/>
    <w:rsid w:val="00545B0D"/>
    <w:rsid w:val="00545FE6"/>
    <w:rsid w:val="00552CB1"/>
    <w:rsid w:val="0055725D"/>
    <w:rsid w:val="00560198"/>
    <w:rsid w:val="00564BF3"/>
    <w:rsid w:val="00565783"/>
    <w:rsid w:val="0056638E"/>
    <w:rsid w:val="0056658A"/>
    <w:rsid w:val="0057086B"/>
    <w:rsid w:val="00570905"/>
    <w:rsid w:val="00572529"/>
    <w:rsid w:val="005757A0"/>
    <w:rsid w:val="005765FC"/>
    <w:rsid w:val="0058139C"/>
    <w:rsid w:val="00583880"/>
    <w:rsid w:val="00584A9A"/>
    <w:rsid w:val="00584CA7"/>
    <w:rsid w:val="005949DB"/>
    <w:rsid w:val="005A64FC"/>
    <w:rsid w:val="005A6B5B"/>
    <w:rsid w:val="005B45BD"/>
    <w:rsid w:val="005C0257"/>
    <w:rsid w:val="005C3C4A"/>
    <w:rsid w:val="005C4EA1"/>
    <w:rsid w:val="005D0B01"/>
    <w:rsid w:val="005D197D"/>
    <w:rsid w:val="005D2196"/>
    <w:rsid w:val="005D2D45"/>
    <w:rsid w:val="005D5BB6"/>
    <w:rsid w:val="005E2105"/>
    <w:rsid w:val="005E3E84"/>
    <w:rsid w:val="005E4A86"/>
    <w:rsid w:val="005E5A74"/>
    <w:rsid w:val="005E619A"/>
    <w:rsid w:val="005E7C58"/>
    <w:rsid w:val="005F5572"/>
    <w:rsid w:val="006167C0"/>
    <w:rsid w:val="00622835"/>
    <w:rsid w:val="00624295"/>
    <w:rsid w:val="006329BA"/>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40A"/>
    <w:rsid w:val="006876A9"/>
    <w:rsid w:val="00690D0F"/>
    <w:rsid w:val="006920D4"/>
    <w:rsid w:val="0069245E"/>
    <w:rsid w:val="006A5E39"/>
    <w:rsid w:val="006B0296"/>
    <w:rsid w:val="006B15D2"/>
    <w:rsid w:val="006B2924"/>
    <w:rsid w:val="006B46F8"/>
    <w:rsid w:val="006B4F75"/>
    <w:rsid w:val="006B53EF"/>
    <w:rsid w:val="006C0520"/>
    <w:rsid w:val="006C05B5"/>
    <w:rsid w:val="006C24FF"/>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10C1A"/>
    <w:rsid w:val="007151C7"/>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E5ACA"/>
    <w:rsid w:val="007F5014"/>
    <w:rsid w:val="007F6A13"/>
    <w:rsid w:val="00801C54"/>
    <w:rsid w:val="0080431B"/>
    <w:rsid w:val="0080672E"/>
    <w:rsid w:val="00810E46"/>
    <w:rsid w:val="00813A19"/>
    <w:rsid w:val="008156A9"/>
    <w:rsid w:val="00824655"/>
    <w:rsid w:val="0083008E"/>
    <w:rsid w:val="00830295"/>
    <w:rsid w:val="008305A9"/>
    <w:rsid w:val="00832390"/>
    <w:rsid w:val="00834CB9"/>
    <w:rsid w:val="008364DC"/>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767"/>
    <w:rsid w:val="008E08BE"/>
    <w:rsid w:val="008E248F"/>
    <w:rsid w:val="008E432B"/>
    <w:rsid w:val="008E7AEE"/>
    <w:rsid w:val="008F4903"/>
    <w:rsid w:val="008F51C8"/>
    <w:rsid w:val="008F5577"/>
    <w:rsid w:val="009002D1"/>
    <w:rsid w:val="0090092E"/>
    <w:rsid w:val="0090164F"/>
    <w:rsid w:val="00903AF2"/>
    <w:rsid w:val="0090412B"/>
    <w:rsid w:val="00913557"/>
    <w:rsid w:val="0091464B"/>
    <w:rsid w:val="009231A0"/>
    <w:rsid w:val="00924025"/>
    <w:rsid w:val="009243B2"/>
    <w:rsid w:val="00925554"/>
    <w:rsid w:val="00925C5B"/>
    <w:rsid w:val="0093020F"/>
    <w:rsid w:val="00932525"/>
    <w:rsid w:val="009342E3"/>
    <w:rsid w:val="009353B8"/>
    <w:rsid w:val="00944A25"/>
    <w:rsid w:val="009450F9"/>
    <w:rsid w:val="00951326"/>
    <w:rsid w:val="0095619D"/>
    <w:rsid w:val="00956C38"/>
    <w:rsid w:val="00960CA0"/>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313A"/>
    <w:rsid w:val="009E7C8F"/>
    <w:rsid w:val="009F3FDC"/>
    <w:rsid w:val="009F530E"/>
    <w:rsid w:val="00A02097"/>
    <w:rsid w:val="00A0368D"/>
    <w:rsid w:val="00A05A38"/>
    <w:rsid w:val="00A06563"/>
    <w:rsid w:val="00A14215"/>
    <w:rsid w:val="00A15766"/>
    <w:rsid w:val="00A15DD5"/>
    <w:rsid w:val="00A16700"/>
    <w:rsid w:val="00A17C01"/>
    <w:rsid w:val="00A34427"/>
    <w:rsid w:val="00A40435"/>
    <w:rsid w:val="00A40CE2"/>
    <w:rsid w:val="00A43BEF"/>
    <w:rsid w:val="00A47D16"/>
    <w:rsid w:val="00A5480D"/>
    <w:rsid w:val="00A568CA"/>
    <w:rsid w:val="00A604FD"/>
    <w:rsid w:val="00A608C6"/>
    <w:rsid w:val="00A6333F"/>
    <w:rsid w:val="00A7018D"/>
    <w:rsid w:val="00A74469"/>
    <w:rsid w:val="00A74B0B"/>
    <w:rsid w:val="00A750B7"/>
    <w:rsid w:val="00A76250"/>
    <w:rsid w:val="00A76BEB"/>
    <w:rsid w:val="00A84125"/>
    <w:rsid w:val="00A9373F"/>
    <w:rsid w:val="00A963F0"/>
    <w:rsid w:val="00A973F6"/>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AF5880"/>
    <w:rsid w:val="00B000CD"/>
    <w:rsid w:val="00B01288"/>
    <w:rsid w:val="00B021FB"/>
    <w:rsid w:val="00B04762"/>
    <w:rsid w:val="00B05F75"/>
    <w:rsid w:val="00B071AD"/>
    <w:rsid w:val="00B100CC"/>
    <w:rsid w:val="00B10ABB"/>
    <w:rsid w:val="00B13BAD"/>
    <w:rsid w:val="00B13CEF"/>
    <w:rsid w:val="00B1455E"/>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883"/>
    <w:rsid w:val="00B53B8D"/>
    <w:rsid w:val="00B55293"/>
    <w:rsid w:val="00B55F0D"/>
    <w:rsid w:val="00B571F1"/>
    <w:rsid w:val="00B6171E"/>
    <w:rsid w:val="00B62399"/>
    <w:rsid w:val="00B650E1"/>
    <w:rsid w:val="00B67BBE"/>
    <w:rsid w:val="00B70816"/>
    <w:rsid w:val="00B82185"/>
    <w:rsid w:val="00B84CB5"/>
    <w:rsid w:val="00B85D82"/>
    <w:rsid w:val="00B86818"/>
    <w:rsid w:val="00B92434"/>
    <w:rsid w:val="00B926BF"/>
    <w:rsid w:val="00B93BA2"/>
    <w:rsid w:val="00B94F15"/>
    <w:rsid w:val="00B960A6"/>
    <w:rsid w:val="00B968E8"/>
    <w:rsid w:val="00BA25AB"/>
    <w:rsid w:val="00BA3DAB"/>
    <w:rsid w:val="00BA7590"/>
    <w:rsid w:val="00BB2934"/>
    <w:rsid w:val="00BB67B5"/>
    <w:rsid w:val="00BB6BF1"/>
    <w:rsid w:val="00BB7F1C"/>
    <w:rsid w:val="00BC2646"/>
    <w:rsid w:val="00BC4B15"/>
    <w:rsid w:val="00BD04A2"/>
    <w:rsid w:val="00BD56FB"/>
    <w:rsid w:val="00BD7376"/>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111B"/>
    <w:rsid w:val="00C3331E"/>
    <w:rsid w:val="00C343D4"/>
    <w:rsid w:val="00C34FAF"/>
    <w:rsid w:val="00C352CF"/>
    <w:rsid w:val="00C373E1"/>
    <w:rsid w:val="00C4056D"/>
    <w:rsid w:val="00C40EB7"/>
    <w:rsid w:val="00C42206"/>
    <w:rsid w:val="00C44670"/>
    <w:rsid w:val="00C45E55"/>
    <w:rsid w:val="00C55C56"/>
    <w:rsid w:val="00C60CEB"/>
    <w:rsid w:val="00C6128C"/>
    <w:rsid w:val="00C62DB3"/>
    <w:rsid w:val="00C64B67"/>
    <w:rsid w:val="00C7789A"/>
    <w:rsid w:val="00C83097"/>
    <w:rsid w:val="00C8351F"/>
    <w:rsid w:val="00C83AD9"/>
    <w:rsid w:val="00C84318"/>
    <w:rsid w:val="00C84C4C"/>
    <w:rsid w:val="00C94094"/>
    <w:rsid w:val="00CA01C9"/>
    <w:rsid w:val="00CA1898"/>
    <w:rsid w:val="00CA301B"/>
    <w:rsid w:val="00CA5F79"/>
    <w:rsid w:val="00CA62B3"/>
    <w:rsid w:val="00CA747D"/>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148A"/>
    <w:rsid w:val="00D12946"/>
    <w:rsid w:val="00D12FE7"/>
    <w:rsid w:val="00D159C3"/>
    <w:rsid w:val="00D211FF"/>
    <w:rsid w:val="00D217D2"/>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1C93"/>
    <w:rsid w:val="00D824D8"/>
    <w:rsid w:val="00D8270A"/>
    <w:rsid w:val="00D82C74"/>
    <w:rsid w:val="00D84F1E"/>
    <w:rsid w:val="00D85A47"/>
    <w:rsid w:val="00D9149E"/>
    <w:rsid w:val="00D92E62"/>
    <w:rsid w:val="00D9404F"/>
    <w:rsid w:val="00D965C9"/>
    <w:rsid w:val="00D96C53"/>
    <w:rsid w:val="00DA0B50"/>
    <w:rsid w:val="00DA3027"/>
    <w:rsid w:val="00DB3608"/>
    <w:rsid w:val="00DB4DB3"/>
    <w:rsid w:val="00DB5243"/>
    <w:rsid w:val="00DC148C"/>
    <w:rsid w:val="00DC1FF4"/>
    <w:rsid w:val="00DC2665"/>
    <w:rsid w:val="00DC4847"/>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14FD"/>
    <w:rsid w:val="00E22213"/>
    <w:rsid w:val="00E22291"/>
    <w:rsid w:val="00E2300D"/>
    <w:rsid w:val="00E27477"/>
    <w:rsid w:val="00E36296"/>
    <w:rsid w:val="00E37279"/>
    <w:rsid w:val="00E377D5"/>
    <w:rsid w:val="00E43585"/>
    <w:rsid w:val="00E44C9F"/>
    <w:rsid w:val="00E451EE"/>
    <w:rsid w:val="00E461B9"/>
    <w:rsid w:val="00E55953"/>
    <w:rsid w:val="00E572B2"/>
    <w:rsid w:val="00E572B3"/>
    <w:rsid w:val="00E60026"/>
    <w:rsid w:val="00E610B7"/>
    <w:rsid w:val="00E611F8"/>
    <w:rsid w:val="00E62CD5"/>
    <w:rsid w:val="00E6311C"/>
    <w:rsid w:val="00E727B9"/>
    <w:rsid w:val="00E752BD"/>
    <w:rsid w:val="00E820B2"/>
    <w:rsid w:val="00E868CE"/>
    <w:rsid w:val="00E87D78"/>
    <w:rsid w:val="00E917E3"/>
    <w:rsid w:val="00E91FC5"/>
    <w:rsid w:val="00E92EBE"/>
    <w:rsid w:val="00E935C3"/>
    <w:rsid w:val="00E93A49"/>
    <w:rsid w:val="00E93C2C"/>
    <w:rsid w:val="00E947A1"/>
    <w:rsid w:val="00E9614E"/>
    <w:rsid w:val="00EA4726"/>
    <w:rsid w:val="00EA61C2"/>
    <w:rsid w:val="00EA730A"/>
    <w:rsid w:val="00EB164C"/>
    <w:rsid w:val="00EB1ABF"/>
    <w:rsid w:val="00EB7B9E"/>
    <w:rsid w:val="00EC1428"/>
    <w:rsid w:val="00EC1645"/>
    <w:rsid w:val="00EC507E"/>
    <w:rsid w:val="00EC61CE"/>
    <w:rsid w:val="00ED19E4"/>
    <w:rsid w:val="00ED2FC1"/>
    <w:rsid w:val="00ED459E"/>
    <w:rsid w:val="00EE1639"/>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437F5"/>
    <w:rsid w:val="00F4733D"/>
    <w:rsid w:val="00F53E3D"/>
    <w:rsid w:val="00F569A6"/>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B3C02"/>
    <w:rsid w:val="00FB7FB9"/>
    <w:rsid w:val="00FC1EC8"/>
    <w:rsid w:val="00FC30AC"/>
    <w:rsid w:val="00FC4A95"/>
    <w:rsid w:val="00FD0E97"/>
    <w:rsid w:val="00FD74E7"/>
    <w:rsid w:val="00FE0692"/>
    <w:rsid w:val="00FE4408"/>
    <w:rsid w:val="00FE64F5"/>
    <w:rsid w:val="00FF0618"/>
    <w:rsid w:val="00FF2378"/>
    <w:rsid w:val="00FF4004"/>
    <w:rsid w:val="00FF6580"/>
    <w:rsid w:val="02C54E8C"/>
    <w:rsid w:val="03CA6EF6"/>
    <w:rsid w:val="04057377"/>
    <w:rsid w:val="051536FE"/>
    <w:rsid w:val="0569312B"/>
    <w:rsid w:val="05A144CF"/>
    <w:rsid w:val="05AF3AE1"/>
    <w:rsid w:val="05B33E5D"/>
    <w:rsid w:val="05F17C52"/>
    <w:rsid w:val="061A3190"/>
    <w:rsid w:val="07C37441"/>
    <w:rsid w:val="08FE7A50"/>
    <w:rsid w:val="095D6137"/>
    <w:rsid w:val="0A141145"/>
    <w:rsid w:val="0AA81BE6"/>
    <w:rsid w:val="0ACB4877"/>
    <w:rsid w:val="0B006570"/>
    <w:rsid w:val="0D955FC2"/>
    <w:rsid w:val="0E3F58D0"/>
    <w:rsid w:val="0EFE3DDE"/>
    <w:rsid w:val="0F6D0FDF"/>
    <w:rsid w:val="0F933B9D"/>
    <w:rsid w:val="10EB52C0"/>
    <w:rsid w:val="1176034E"/>
    <w:rsid w:val="122D5237"/>
    <w:rsid w:val="13B40768"/>
    <w:rsid w:val="13CB07BF"/>
    <w:rsid w:val="16247C45"/>
    <w:rsid w:val="16267D55"/>
    <w:rsid w:val="16716816"/>
    <w:rsid w:val="17334565"/>
    <w:rsid w:val="178772D7"/>
    <w:rsid w:val="18146217"/>
    <w:rsid w:val="18215304"/>
    <w:rsid w:val="19100DAA"/>
    <w:rsid w:val="19150956"/>
    <w:rsid w:val="19332BB1"/>
    <w:rsid w:val="1B797027"/>
    <w:rsid w:val="1CD95535"/>
    <w:rsid w:val="1D237383"/>
    <w:rsid w:val="1D667ACB"/>
    <w:rsid w:val="1E7C1811"/>
    <w:rsid w:val="1F5171F9"/>
    <w:rsid w:val="215757C2"/>
    <w:rsid w:val="232457F5"/>
    <w:rsid w:val="237B355B"/>
    <w:rsid w:val="24CF4FC0"/>
    <w:rsid w:val="24EB4DA5"/>
    <w:rsid w:val="257871D4"/>
    <w:rsid w:val="25D32D3D"/>
    <w:rsid w:val="266E2F3F"/>
    <w:rsid w:val="28370309"/>
    <w:rsid w:val="292532D4"/>
    <w:rsid w:val="2A1E01A9"/>
    <w:rsid w:val="2A704DAF"/>
    <w:rsid w:val="2B51295E"/>
    <w:rsid w:val="2BDF2388"/>
    <w:rsid w:val="2DF81ACA"/>
    <w:rsid w:val="2E3461D7"/>
    <w:rsid w:val="2EFB1C2C"/>
    <w:rsid w:val="30F14702"/>
    <w:rsid w:val="31C27C9C"/>
    <w:rsid w:val="31E267E6"/>
    <w:rsid w:val="336131D4"/>
    <w:rsid w:val="3375117B"/>
    <w:rsid w:val="343A1773"/>
    <w:rsid w:val="34425E22"/>
    <w:rsid w:val="362C1207"/>
    <w:rsid w:val="36C204FE"/>
    <w:rsid w:val="37915A99"/>
    <w:rsid w:val="386D4572"/>
    <w:rsid w:val="397D76E1"/>
    <w:rsid w:val="3B640915"/>
    <w:rsid w:val="3CD3535A"/>
    <w:rsid w:val="3D0347B0"/>
    <w:rsid w:val="3F784C99"/>
    <w:rsid w:val="3FB97A42"/>
    <w:rsid w:val="3FF03A4F"/>
    <w:rsid w:val="40270893"/>
    <w:rsid w:val="42BA4E55"/>
    <w:rsid w:val="435B1476"/>
    <w:rsid w:val="43F63800"/>
    <w:rsid w:val="46151C09"/>
    <w:rsid w:val="47357AE2"/>
    <w:rsid w:val="4737172E"/>
    <w:rsid w:val="4774202F"/>
    <w:rsid w:val="48507879"/>
    <w:rsid w:val="48A84141"/>
    <w:rsid w:val="49A01536"/>
    <w:rsid w:val="4BF722AF"/>
    <w:rsid w:val="4C7D699E"/>
    <w:rsid w:val="4E3C1EF9"/>
    <w:rsid w:val="4EAD53BA"/>
    <w:rsid w:val="4EC01F5C"/>
    <w:rsid w:val="50661509"/>
    <w:rsid w:val="50877AFA"/>
    <w:rsid w:val="51C72A0F"/>
    <w:rsid w:val="525C0D2F"/>
    <w:rsid w:val="536F35A6"/>
    <w:rsid w:val="54814026"/>
    <w:rsid w:val="55950731"/>
    <w:rsid w:val="55FE463F"/>
    <w:rsid w:val="56257777"/>
    <w:rsid w:val="56A92B92"/>
    <w:rsid w:val="56E26F1A"/>
    <w:rsid w:val="57212A9F"/>
    <w:rsid w:val="588A360F"/>
    <w:rsid w:val="593C3876"/>
    <w:rsid w:val="5AE1183E"/>
    <w:rsid w:val="5B7D6727"/>
    <w:rsid w:val="5B991157"/>
    <w:rsid w:val="5B9A01BB"/>
    <w:rsid w:val="5C5B6D71"/>
    <w:rsid w:val="5C5D0552"/>
    <w:rsid w:val="5D1734B0"/>
    <w:rsid w:val="5D3665F9"/>
    <w:rsid w:val="5E822BB8"/>
    <w:rsid w:val="5EF33228"/>
    <w:rsid w:val="5F7D6063"/>
    <w:rsid w:val="5F916509"/>
    <w:rsid w:val="605E26A9"/>
    <w:rsid w:val="62127F1E"/>
    <w:rsid w:val="630801AF"/>
    <w:rsid w:val="63936F88"/>
    <w:rsid w:val="63A66B70"/>
    <w:rsid w:val="655B03AC"/>
    <w:rsid w:val="65910921"/>
    <w:rsid w:val="666F001B"/>
    <w:rsid w:val="67FF1A2B"/>
    <w:rsid w:val="6936651F"/>
    <w:rsid w:val="69495B5F"/>
    <w:rsid w:val="6960616F"/>
    <w:rsid w:val="69951D9C"/>
    <w:rsid w:val="6AFA16F9"/>
    <w:rsid w:val="6CE25851"/>
    <w:rsid w:val="6D535020"/>
    <w:rsid w:val="6D8765CC"/>
    <w:rsid w:val="6E002B70"/>
    <w:rsid w:val="6F94661F"/>
    <w:rsid w:val="71124891"/>
    <w:rsid w:val="711D243B"/>
    <w:rsid w:val="71BA65EF"/>
    <w:rsid w:val="71F57420"/>
    <w:rsid w:val="72303F46"/>
    <w:rsid w:val="73AA3435"/>
    <w:rsid w:val="746305B1"/>
    <w:rsid w:val="74862811"/>
    <w:rsid w:val="74EE7CCA"/>
    <w:rsid w:val="772B54F6"/>
    <w:rsid w:val="7913570D"/>
    <w:rsid w:val="792D3B95"/>
    <w:rsid w:val="79FF03B2"/>
    <w:rsid w:val="7A2C3F6F"/>
    <w:rsid w:val="7D3A5CA3"/>
    <w:rsid w:val="7E1E7F1F"/>
    <w:rsid w:val="7E3B6528"/>
    <w:rsid w:val="7E611BB9"/>
    <w:rsid w:val="7E6D10D6"/>
    <w:rsid w:val="7F17164A"/>
    <w:rsid w:val="7F842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3">
    <w:name w:val="heading 1"/>
    <w:basedOn w:val="1"/>
    <w:next w:val="1"/>
    <w:link w:val="39"/>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58"/>
    <w:semiHidden/>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5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6"/>
    <w:basedOn w:val="1"/>
    <w:next w:val="1"/>
    <w:link w:val="80"/>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8">
    <w:name w:val="heading 7"/>
    <w:basedOn w:val="1"/>
    <w:next w:val="1"/>
    <w:link w:val="81"/>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9">
    <w:name w:val="heading 8"/>
    <w:basedOn w:val="1"/>
    <w:next w:val="1"/>
    <w:link w:val="82"/>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0">
    <w:name w:val="heading 9"/>
    <w:basedOn w:val="1"/>
    <w:next w:val="1"/>
    <w:link w:val="83"/>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62"/>
    <w:qFormat/>
    <w:uiPriority w:val="99"/>
    <w:pPr>
      <w:spacing w:after="120"/>
    </w:pPr>
  </w:style>
  <w:style w:type="paragraph" w:styleId="11">
    <w:name w:val="Normal Indent"/>
    <w:basedOn w:val="1"/>
    <w:link w:val="55"/>
    <w:qFormat/>
    <w:uiPriority w:val="0"/>
    <w:pPr>
      <w:widowControl w:val="0"/>
      <w:ind w:firstLine="420"/>
      <w:jc w:val="both"/>
    </w:pPr>
    <w:rPr>
      <w:rFonts w:ascii="Calibri" w:hAnsi="Calibri" w:eastAsia="宋体" w:cs="Times New Roman"/>
      <w:sz w:val="20"/>
      <w:szCs w:val="20"/>
    </w:rPr>
  </w:style>
  <w:style w:type="paragraph" w:styleId="12">
    <w:name w:val="annotation text"/>
    <w:basedOn w:val="1"/>
    <w:link w:val="49"/>
    <w:qFormat/>
    <w:uiPriority w:val="99"/>
  </w:style>
  <w:style w:type="paragraph" w:styleId="13">
    <w:name w:val="Body Text Indent"/>
    <w:basedOn w:val="1"/>
    <w:link w:val="54"/>
    <w:semiHidden/>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5"/>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4"/>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79"/>
    <w:semiHidden/>
    <w:unhideWhenUsed/>
    <w:qFormat/>
    <w:uiPriority w:val="0"/>
    <w:pPr>
      <w:spacing w:after="120" w:line="480" w:lineRule="auto"/>
      <w:ind w:left="420" w:leftChars="200"/>
    </w:pPr>
  </w:style>
  <w:style w:type="paragraph" w:styleId="18">
    <w:name w:val="Balloon Text"/>
    <w:basedOn w:val="1"/>
    <w:link w:val="43"/>
    <w:qFormat/>
    <w:uiPriority w:val="0"/>
    <w:rPr>
      <w:sz w:val="18"/>
      <w:szCs w:val="18"/>
    </w:rPr>
  </w:style>
  <w:style w:type="paragraph" w:styleId="19">
    <w:name w:val="footer"/>
    <w:basedOn w:val="1"/>
    <w:link w:val="69"/>
    <w:qFormat/>
    <w:uiPriority w:val="99"/>
    <w:pPr>
      <w:tabs>
        <w:tab w:val="center" w:pos="4153"/>
        <w:tab w:val="right" w:pos="8306"/>
      </w:tabs>
      <w:snapToGrid w:val="0"/>
    </w:pPr>
    <w:rPr>
      <w:sz w:val="18"/>
      <w:szCs w:val="18"/>
    </w:rPr>
  </w:style>
  <w:style w:type="paragraph" w:styleId="20">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7"/>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toc 2"/>
    <w:basedOn w:val="1"/>
    <w:next w:val="1"/>
    <w:unhideWhenUsed/>
    <w:qFormat/>
    <w:uiPriority w:val="39"/>
    <w:pPr>
      <w:ind w:left="420" w:leftChars="200"/>
    </w:pPr>
  </w:style>
  <w:style w:type="paragraph" w:styleId="25">
    <w:name w:val="HTML Preformatted"/>
    <w:basedOn w:val="1"/>
    <w:link w:val="57"/>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7">
    <w:name w:val="Title"/>
    <w:basedOn w:val="1"/>
    <w:next w:val="1"/>
    <w:link w:val="46"/>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8">
    <w:name w:val="annotation subject"/>
    <w:basedOn w:val="12"/>
    <w:next w:val="12"/>
    <w:link w:val="50"/>
    <w:qFormat/>
    <w:uiPriority w:val="0"/>
    <w:rPr>
      <w:b/>
      <w:bCs/>
    </w:rPr>
  </w:style>
  <w:style w:type="table" w:styleId="30">
    <w:name w:val="Table Grid"/>
    <w:basedOn w:val="29"/>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page number"/>
    <w:basedOn w:val="31"/>
    <w:qFormat/>
    <w:uiPriority w:val="0"/>
  </w:style>
  <w:style w:type="character" w:styleId="33">
    <w:name w:val="Hyperlink"/>
    <w:qFormat/>
    <w:uiPriority w:val="99"/>
    <w:rPr>
      <w:color w:val="333333"/>
      <w:u w:val="none"/>
    </w:rPr>
  </w:style>
  <w:style w:type="character" w:styleId="34">
    <w:name w:val="annotation reference"/>
    <w:qFormat/>
    <w:uiPriority w:val="0"/>
    <w:rPr>
      <w:sz w:val="21"/>
    </w:rPr>
  </w:style>
  <w:style w:type="paragraph" w:customStyle="1" w:styleId="35">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6">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7">
    <w:name w:val="Table Paragraph"/>
    <w:basedOn w:val="1"/>
    <w:qFormat/>
    <w:uiPriority w:val="1"/>
    <w:pPr>
      <w:widowControl w:val="0"/>
    </w:pPr>
    <w:rPr>
      <w:rFonts w:ascii="宋体" w:hAnsi="宋体" w:cs="宋体"/>
      <w:sz w:val="22"/>
      <w:szCs w:val="22"/>
      <w:lang w:eastAsia="en-US"/>
    </w:rPr>
  </w:style>
  <w:style w:type="paragraph" w:customStyle="1" w:styleId="38">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9">
    <w:name w:val="标题 1 Char"/>
    <w:link w:val="3"/>
    <w:qFormat/>
    <w:uiPriority w:val="0"/>
    <w:rPr>
      <w:rFonts w:ascii="华文中宋" w:hAnsi="华文中宋" w:eastAsia="华文中宋"/>
      <w:b/>
      <w:bCs/>
      <w:color w:val="000000"/>
      <w:kern w:val="44"/>
      <w:sz w:val="32"/>
      <w:szCs w:val="32"/>
    </w:rPr>
  </w:style>
  <w:style w:type="paragraph" w:customStyle="1" w:styleId="40">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1">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2">
    <w:name w:val="Unresolved Mention"/>
    <w:basedOn w:val="31"/>
    <w:semiHidden/>
    <w:unhideWhenUsed/>
    <w:qFormat/>
    <w:uiPriority w:val="99"/>
    <w:rPr>
      <w:color w:val="808080"/>
      <w:shd w:val="clear" w:color="auto" w:fill="E6E6E6"/>
    </w:rPr>
  </w:style>
  <w:style w:type="character" w:customStyle="1" w:styleId="43">
    <w:name w:val="批注框文本 Char"/>
    <w:basedOn w:val="31"/>
    <w:link w:val="18"/>
    <w:qFormat/>
    <w:uiPriority w:val="0"/>
    <w:rPr>
      <w:sz w:val="18"/>
      <w:szCs w:val="18"/>
    </w:rPr>
  </w:style>
  <w:style w:type="character" w:customStyle="1" w:styleId="44">
    <w:name w:val="日期 Char"/>
    <w:basedOn w:val="31"/>
    <w:link w:val="16"/>
    <w:qFormat/>
    <w:uiPriority w:val="0"/>
    <w:rPr>
      <w:rFonts w:ascii="Times New Roman" w:hAnsi="Times New Roman"/>
      <w:kern w:val="2"/>
      <w:sz w:val="21"/>
      <w:szCs w:val="24"/>
    </w:rPr>
  </w:style>
  <w:style w:type="character" w:customStyle="1" w:styleId="45">
    <w:name w:val="纯文本 Char"/>
    <w:basedOn w:val="31"/>
    <w:link w:val="15"/>
    <w:qFormat/>
    <w:uiPriority w:val="0"/>
    <w:rPr>
      <w:rFonts w:ascii="宋体" w:hAnsi="Courier New"/>
      <w:snapToGrid w:val="0"/>
      <w:kern w:val="10"/>
      <w:sz w:val="28"/>
    </w:rPr>
  </w:style>
  <w:style w:type="character" w:customStyle="1" w:styleId="46">
    <w:name w:val="标题 Char"/>
    <w:basedOn w:val="31"/>
    <w:link w:val="27"/>
    <w:qFormat/>
    <w:uiPriority w:val="10"/>
    <w:rPr>
      <w:rFonts w:ascii="Cambria" w:hAnsi="Cambria"/>
      <w:b/>
      <w:bCs/>
      <w:kern w:val="2"/>
      <w:sz w:val="32"/>
      <w:szCs w:val="32"/>
    </w:rPr>
  </w:style>
  <w:style w:type="character" w:customStyle="1" w:styleId="47">
    <w:name w:val="副标题 Char"/>
    <w:basedOn w:val="31"/>
    <w:link w:val="22"/>
    <w:qFormat/>
    <w:uiPriority w:val="0"/>
    <w:rPr>
      <w:rFonts w:ascii="等线 Light" w:hAnsi="等线 Light"/>
      <w:b/>
      <w:bCs/>
      <w:kern w:val="28"/>
      <w:sz w:val="24"/>
      <w:szCs w:val="32"/>
    </w:rPr>
  </w:style>
  <w:style w:type="paragraph" w:customStyle="1" w:styleId="48">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9">
    <w:name w:val="批注文字 Char"/>
    <w:basedOn w:val="31"/>
    <w:link w:val="12"/>
    <w:qFormat/>
    <w:uiPriority w:val="99"/>
    <w:rPr>
      <w:rFonts w:asciiTheme="minorHAnsi" w:hAnsiTheme="minorHAnsi" w:eastAsiaTheme="minorEastAsia" w:cstheme="minorBidi"/>
      <w:sz w:val="24"/>
      <w:szCs w:val="24"/>
    </w:rPr>
  </w:style>
  <w:style w:type="character" w:customStyle="1" w:styleId="50">
    <w:name w:val="批注主题 Char"/>
    <w:basedOn w:val="49"/>
    <w:link w:val="28"/>
    <w:qFormat/>
    <w:uiPriority w:val="0"/>
    <w:rPr>
      <w:rFonts w:asciiTheme="minorHAnsi" w:hAnsiTheme="minorHAnsi" w:eastAsiaTheme="minorEastAsia" w:cstheme="minorBidi"/>
      <w:b/>
      <w:bCs/>
      <w:sz w:val="24"/>
      <w:szCs w:val="24"/>
    </w:rPr>
  </w:style>
  <w:style w:type="paragraph" w:styleId="51">
    <w:name w:val="List Paragraph"/>
    <w:basedOn w:val="1"/>
    <w:link w:val="74"/>
    <w:unhideWhenUsed/>
    <w:qFormat/>
    <w:uiPriority w:val="34"/>
    <w:pPr>
      <w:ind w:firstLine="420" w:firstLineChars="200"/>
    </w:pPr>
  </w:style>
  <w:style w:type="paragraph" w:customStyle="1" w:styleId="52">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3">
    <w:name w:val="多级自动编号"/>
    <w:basedOn w:val="52"/>
    <w:qFormat/>
    <w:uiPriority w:val="0"/>
    <w:pPr>
      <w:numPr>
        <w:ilvl w:val="0"/>
        <w:numId w:val="2"/>
      </w:numPr>
    </w:pPr>
  </w:style>
  <w:style w:type="character" w:customStyle="1" w:styleId="54">
    <w:name w:val="正文文本缩进 Char"/>
    <w:basedOn w:val="31"/>
    <w:link w:val="13"/>
    <w:semiHidden/>
    <w:qFormat/>
    <w:uiPriority w:val="0"/>
    <w:rPr>
      <w:rFonts w:asciiTheme="minorHAnsi" w:hAnsiTheme="minorHAnsi" w:eastAsiaTheme="minorEastAsia" w:cstheme="minorBidi"/>
      <w:sz w:val="24"/>
      <w:szCs w:val="24"/>
    </w:rPr>
  </w:style>
  <w:style w:type="character" w:customStyle="1" w:styleId="55">
    <w:name w:val="正文缩进 Char"/>
    <w:link w:val="11"/>
    <w:qFormat/>
    <w:locked/>
    <w:uiPriority w:val="0"/>
  </w:style>
  <w:style w:type="paragraph" w:customStyle="1" w:styleId="56">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7">
    <w:name w:val="HTML 预设格式 Char"/>
    <w:basedOn w:val="31"/>
    <w:link w:val="25"/>
    <w:semiHidden/>
    <w:qFormat/>
    <w:uiPriority w:val="0"/>
    <w:rPr>
      <w:rFonts w:ascii="Arial" w:hAnsi="Arial"/>
      <w:sz w:val="21"/>
      <w:szCs w:val="21"/>
    </w:rPr>
  </w:style>
  <w:style w:type="character" w:customStyle="1" w:styleId="58">
    <w:name w:val="标题 3 Char"/>
    <w:basedOn w:val="31"/>
    <w:link w:val="5"/>
    <w:qFormat/>
    <w:uiPriority w:val="0"/>
    <w:rPr>
      <w:rFonts w:asciiTheme="minorHAnsi" w:hAnsiTheme="minorHAnsi" w:eastAsiaTheme="minorEastAsia" w:cstheme="minorBidi"/>
      <w:b/>
      <w:bCs/>
      <w:sz w:val="32"/>
      <w:szCs w:val="32"/>
    </w:rPr>
  </w:style>
  <w:style w:type="character" w:customStyle="1" w:styleId="59">
    <w:name w:val="标题 4 Char"/>
    <w:basedOn w:val="31"/>
    <w:link w:val="6"/>
    <w:qFormat/>
    <w:uiPriority w:val="0"/>
    <w:rPr>
      <w:rFonts w:asciiTheme="majorHAnsi" w:hAnsiTheme="majorHAnsi" w:eastAsiaTheme="majorEastAsia" w:cstheme="majorBidi"/>
      <w:b/>
      <w:bCs/>
      <w:sz w:val="28"/>
      <w:szCs w:val="28"/>
    </w:rPr>
  </w:style>
  <w:style w:type="paragraph" w:customStyle="1" w:styleId="60">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1">
    <w:name w:val="p0"/>
    <w:basedOn w:val="1"/>
    <w:qFormat/>
    <w:uiPriority w:val="0"/>
    <w:pPr>
      <w:jc w:val="both"/>
    </w:pPr>
    <w:rPr>
      <w:rFonts w:ascii="宋体" w:hAnsi="宋体" w:eastAsia="宋体" w:cs="宋体"/>
      <w:sz w:val="21"/>
      <w:szCs w:val="21"/>
    </w:rPr>
  </w:style>
  <w:style w:type="character" w:customStyle="1" w:styleId="62">
    <w:name w:val="正文文本 Char"/>
    <w:basedOn w:val="31"/>
    <w:link w:val="2"/>
    <w:qFormat/>
    <w:uiPriority w:val="99"/>
    <w:rPr>
      <w:rFonts w:asciiTheme="minorHAnsi" w:hAnsiTheme="minorHAnsi" w:eastAsiaTheme="minorEastAsia" w:cstheme="minorBidi"/>
      <w:sz w:val="24"/>
      <w:szCs w:val="24"/>
    </w:rPr>
  </w:style>
  <w:style w:type="paragraph" w:customStyle="1" w:styleId="63">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4">
    <w:name w:val="中文正文、 Char Char"/>
    <w:link w:val="65"/>
    <w:qFormat/>
    <w:uiPriority w:val="0"/>
    <w:rPr>
      <w:kern w:val="2"/>
      <w:sz w:val="21"/>
      <w:szCs w:val="21"/>
    </w:rPr>
  </w:style>
  <w:style w:type="paragraph" w:customStyle="1" w:styleId="65">
    <w:name w:val="中文正文、"/>
    <w:basedOn w:val="1"/>
    <w:link w:val="64"/>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6">
    <w:name w:val="p16"/>
    <w:basedOn w:val="1"/>
    <w:qFormat/>
    <w:uiPriority w:val="0"/>
    <w:pPr>
      <w:jc w:val="both"/>
    </w:pPr>
    <w:rPr>
      <w:rFonts w:ascii="宋体" w:hAnsi="宋体" w:eastAsia="宋体" w:cs="Times New Roman"/>
      <w:szCs w:val="20"/>
    </w:rPr>
  </w:style>
  <w:style w:type="character" w:customStyle="1" w:styleId="67">
    <w:name w:val="纯文本 Char1"/>
    <w:qFormat/>
    <w:uiPriority w:val="0"/>
    <w:rPr>
      <w:rFonts w:ascii="宋体" w:hAnsi="Courier New"/>
      <w:kern w:val="2"/>
      <w:sz w:val="21"/>
    </w:rPr>
  </w:style>
  <w:style w:type="paragraph" w:customStyle="1" w:styleId="68">
    <w:name w:val="正文文本 31"/>
    <w:basedOn w:val="1"/>
    <w:qFormat/>
    <w:uiPriority w:val="0"/>
    <w:pPr>
      <w:widowControl w:val="0"/>
      <w:jc w:val="both"/>
    </w:pPr>
    <w:rPr>
      <w:rFonts w:ascii="宋体" w:hAnsi="Times New Roman" w:eastAsia="宋体" w:cs="Times New Roman"/>
      <w:kern w:val="2"/>
    </w:rPr>
  </w:style>
  <w:style w:type="character" w:customStyle="1" w:styleId="69">
    <w:name w:val="页脚 Char"/>
    <w:link w:val="19"/>
    <w:qFormat/>
    <w:uiPriority w:val="99"/>
    <w:rPr>
      <w:rFonts w:asciiTheme="minorHAnsi" w:hAnsiTheme="minorHAnsi" w:eastAsiaTheme="minorEastAsia" w:cstheme="minorBidi"/>
      <w:sz w:val="18"/>
      <w:szCs w:val="18"/>
    </w:rPr>
  </w:style>
  <w:style w:type="character" w:customStyle="1" w:styleId="70">
    <w:name w:val="15"/>
    <w:qFormat/>
    <w:uiPriority w:val="0"/>
    <w:rPr>
      <w:rFonts w:hint="eastAsia" w:ascii="宋体" w:hAnsi="宋体" w:eastAsia="宋体"/>
      <w:sz w:val="24"/>
      <w:szCs w:val="24"/>
    </w:rPr>
  </w:style>
  <w:style w:type="character" w:customStyle="1" w:styleId="71">
    <w:name w:val="页眉 Char"/>
    <w:basedOn w:val="31"/>
    <w:link w:val="20"/>
    <w:qFormat/>
    <w:uiPriority w:val="99"/>
    <w:rPr>
      <w:rFonts w:asciiTheme="minorHAnsi" w:hAnsiTheme="minorHAnsi" w:eastAsiaTheme="minorEastAsia" w:cstheme="minorBidi"/>
      <w:sz w:val="18"/>
      <w:szCs w:val="18"/>
    </w:rPr>
  </w:style>
  <w:style w:type="paragraph" w:customStyle="1" w:styleId="72">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3">
    <w:name w:val="正文文本 33"/>
    <w:basedOn w:val="1"/>
    <w:qFormat/>
    <w:uiPriority w:val="0"/>
    <w:pPr>
      <w:widowControl w:val="0"/>
      <w:jc w:val="both"/>
    </w:pPr>
    <w:rPr>
      <w:rFonts w:ascii="宋体" w:hAnsi="Times New Roman" w:eastAsia="宋体" w:cs="Times New Roman"/>
      <w:kern w:val="2"/>
    </w:rPr>
  </w:style>
  <w:style w:type="character" w:customStyle="1" w:styleId="74">
    <w:name w:val="列出段落 Char"/>
    <w:link w:val="51"/>
    <w:qFormat/>
    <w:locked/>
    <w:uiPriority w:val="34"/>
    <w:rPr>
      <w:rFonts w:asciiTheme="minorHAnsi" w:hAnsiTheme="minorHAnsi" w:eastAsiaTheme="minorEastAsia" w:cstheme="minorBidi"/>
      <w:sz w:val="24"/>
      <w:szCs w:val="24"/>
    </w:rPr>
  </w:style>
  <w:style w:type="character" w:customStyle="1" w:styleId="75">
    <w:name w:val="font11"/>
    <w:qFormat/>
    <w:uiPriority w:val="0"/>
    <w:rPr>
      <w:rFonts w:hint="eastAsia" w:ascii="仿宋" w:hAnsi="仿宋" w:eastAsia="仿宋" w:cs="仿宋"/>
      <w:color w:val="FF0000"/>
      <w:sz w:val="20"/>
      <w:szCs w:val="20"/>
      <w:u w:val="none"/>
      <w:lang w:val="en-US" w:eastAsia="zh-CN" w:bidi="ar-SA"/>
    </w:rPr>
  </w:style>
  <w:style w:type="paragraph" w:customStyle="1" w:styleId="76">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7">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8">
    <w:name w:val="_Style 160"/>
    <w:basedOn w:val="1"/>
    <w:next w:val="51"/>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79">
    <w:name w:val="正文文本缩进 2 Char"/>
    <w:basedOn w:val="31"/>
    <w:link w:val="17"/>
    <w:semiHidden/>
    <w:qFormat/>
    <w:uiPriority w:val="0"/>
    <w:rPr>
      <w:rFonts w:asciiTheme="minorHAnsi" w:hAnsiTheme="minorHAnsi" w:eastAsiaTheme="minorEastAsia" w:cstheme="minorBidi"/>
      <w:sz w:val="24"/>
      <w:szCs w:val="24"/>
    </w:rPr>
  </w:style>
  <w:style w:type="character" w:customStyle="1" w:styleId="80">
    <w:name w:val="标题 6 Char"/>
    <w:basedOn w:val="31"/>
    <w:link w:val="7"/>
    <w:qFormat/>
    <w:uiPriority w:val="0"/>
    <w:rPr>
      <w:rFonts w:ascii="Arial" w:hAnsi="Arial" w:eastAsia="黑体"/>
      <w:b/>
      <w:bCs/>
      <w:sz w:val="24"/>
      <w:szCs w:val="24"/>
    </w:rPr>
  </w:style>
  <w:style w:type="character" w:customStyle="1" w:styleId="81">
    <w:name w:val="标题 7 Char"/>
    <w:basedOn w:val="31"/>
    <w:link w:val="8"/>
    <w:qFormat/>
    <w:uiPriority w:val="0"/>
    <w:rPr>
      <w:rFonts w:ascii="Times New Roman" w:hAnsi="Times New Roman"/>
      <w:b/>
      <w:bCs/>
      <w:sz w:val="24"/>
      <w:szCs w:val="24"/>
    </w:rPr>
  </w:style>
  <w:style w:type="character" w:customStyle="1" w:styleId="82">
    <w:name w:val="标题 8 Char"/>
    <w:basedOn w:val="31"/>
    <w:link w:val="9"/>
    <w:qFormat/>
    <w:uiPriority w:val="0"/>
    <w:rPr>
      <w:rFonts w:ascii="Arial" w:hAnsi="Arial" w:eastAsia="黑体"/>
      <w:sz w:val="24"/>
      <w:szCs w:val="24"/>
    </w:rPr>
  </w:style>
  <w:style w:type="character" w:customStyle="1" w:styleId="83">
    <w:name w:val="标题 9 Char"/>
    <w:basedOn w:val="31"/>
    <w:link w:val="10"/>
    <w:qFormat/>
    <w:uiPriority w:val="0"/>
    <w:rPr>
      <w:rFonts w:ascii="Arial" w:hAnsi="Arial" w:eastAsia="黑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3.jpeg"/><Relationship Id="rId13" Type="http://schemas.openxmlformats.org/officeDocument/2006/relationships/image" Target="media/image2.jpe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4615B34-C342-41A6-9F4B-B790FCB4BD2C}">
  <ds:schemaRefs/>
</ds:datastoreItem>
</file>

<file path=docProps/app.xml><?xml version="1.0" encoding="utf-8"?>
<Properties xmlns="http://schemas.openxmlformats.org/officeDocument/2006/extended-properties" xmlns:vt="http://schemas.openxmlformats.org/officeDocument/2006/docPropsVTypes">
  <Template>0.docx</Template>
  <Company>Lenovo</Company>
  <Pages>60</Pages>
  <Words>4433</Words>
  <Characters>25270</Characters>
  <Lines>210</Lines>
  <Paragraphs>59</Paragraphs>
  <TotalTime>10</TotalTime>
  <ScaleCrop>false</ScaleCrop>
  <LinksUpToDate>false</LinksUpToDate>
  <CharactersWithSpaces>29644</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2026-01-20T09:37:00Z</dcterms:created>
  <dc:creator>Administrator</dc:creator>
  <cp:lastModifiedBy>牟艳</cp:lastModifiedBy>
  <cp:lastPrinted>2019-12-03T09:03:00Z</cp:lastPrinted>
  <dcterms:modified xsi:type="dcterms:W3CDTF">2026-07-28T12:31:17Z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4CB8D9F4E91D4CBBA437B1F0CFC47102</vt:lpwstr>
  </property>
</Properties>
</file>