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仿宋_GB2312" w:hAnsi="宋体" w:eastAsia="仿宋_GB2312"/>
          <w:b/>
          <w:sz w:val="36"/>
          <w:szCs w:val="36"/>
        </w:rPr>
      </w:pPr>
    </w:p>
    <w:p>
      <w:pPr>
        <w:jc w:val="center"/>
        <w:rPr>
          <w:rFonts w:hint="eastAsia" w:ascii="仿宋_GB2312" w:hAnsi="宋体" w:eastAsia="仿宋_GB2312"/>
          <w:b/>
          <w:sz w:val="36"/>
          <w:szCs w:val="36"/>
        </w:rPr>
      </w:pPr>
      <w:r>
        <w:rPr>
          <w:rFonts w:hint="eastAsia" w:ascii="仿宋_GB2312" w:hAnsi="宋体" w:eastAsia="仿宋_GB2312"/>
          <w:b/>
          <w:sz w:val="36"/>
          <w:szCs w:val="36"/>
        </w:rPr>
        <w:t>人保财险四川省资阳市分公司三大主粮、柑橘</w:t>
      </w:r>
    </w:p>
    <w:p>
      <w:pPr>
        <w:jc w:val="center"/>
        <w:rPr>
          <w:rFonts w:hint="eastAsia" w:ascii="仿宋_GB2312" w:hAnsi="宋体" w:eastAsia="仿宋_GB2312"/>
          <w:b/>
          <w:sz w:val="36"/>
          <w:szCs w:val="36"/>
        </w:rPr>
      </w:pPr>
      <w:r>
        <w:rPr>
          <w:rFonts w:hint="eastAsia" w:ascii="仿宋_GB2312" w:hAnsi="宋体" w:eastAsia="仿宋_GB2312"/>
          <w:b/>
          <w:sz w:val="36"/>
          <w:szCs w:val="36"/>
        </w:rPr>
        <w:t>过程性风险减量服务采购项目</w:t>
      </w:r>
    </w:p>
    <w:p>
      <w:pPr>
        <w:pStyle w:val="2"/>
        <w:rPr>
          <w:rFonts w:hint="eastAsia" w:ascii="仿宋_GB2312" w:hAnsi="宋体" w:eastAsia="仿宋_GB2312"/>
          <w:b/>
          <w:sz w:val="36"/>
          <w:szCs w:val="36"/>
        </w:rPr>
      </w:pPr>
    </w:p>
    <w:p>
      <w:pPr>
        <w:pStyle w:val="2"/>
        <w:rPr>
          <w:rFonts w:hint="eastAsia" w:ascii="仿宋_GB2312" w:hAnsi="宋体" w:eastAsia="仿宋_GB2312"/>
          <w:b/>
          <w:sz w:val="36"/>
          <w:szCs w:val="36"/>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21"/>
        <w:ind w:left="113"/>
        <w:jc w:val="center"/>
        <w:rPr>
          <w:rFonts w:ascii="仿宋_GB2312" w:hAnsi="宋体" w:eastAsia="仿宋_GB2312"/>
          <w:b/>
          <w:sz w:val="28"/>
          <w:szCs w:val="28"/>
        </w:rPr>
      </w:pPr>
    </w:p>
    <w:p>
      <w:pPr>
        <w:pStyle w:val="21"/>
        <w:ind w:left="113"/>
        <w:jc w:val="center"/>
        <w:rPr>
          <w:rFonts w:ascii="仿宋_GB2312" w:hAnsi="宋体" w:eastAsia="仿宋_GB2312"/>
          <w:b/>
          <w:sz w:val="28"/>
          <w:szCs w:val="28"/>
        </w:rPr>
      </w:pPr>
    </w:p>
    <w:p>
      <w:pPr>
        <w:pStyle w:val="21"/>
        <w:ind w:left="113"/>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201"/>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08</w:t>
      </w:r>
      <w:r>
        <w:rPr>
          <w:rFonts w:hint="eastAsia" w:ascii="仿宋_GB2312" w:hAnsi="宋体" w:eastAsia="仿宋_GB2312"/>
          <w:b/>
          <w:sz w:val="28"/>
          <w:szCs w:val="28"/>
        </w:rPr>
        <w:t>月</w:t>
      </w:r>
    </w:p>
    <w:p>
      <w:pPr>
        <w:spacing w:line="360" w:lineRule="auto"/>
        <w:jc w:val="center"/>
        <w:rPr>
          <w:rFonts w:ascii="仿宋_GB2312" w:hAnsi="宋体" w:eastAsia="仿宋_GB2312"/>
          <w:b/>
          <w:bCs/>
          <w:sz w:val="36"/>
          <w:szCs w:val="36"/>
        </w:rPr>
      </w:pPr>
    </w:p>
    <w:p>
      <w:pPr>
        <w:spacing w:line="360" w:lineRule="auto"/>
        <w:jc w:val="center"/>
        <w:rPr>
          <w:rFonts w:ascii="仿宋_GB2312" w:hAnsi="宋体" w:eastAsia="仿宋_GB2312"/>
          <w:b/>
          <w:bCs/>
          <w:sz w:val="36"/>
          <w:szCs w:val="36"/>
        </w:rPr>
      </w:pPr>
    </w:p>
    <w:sdt>
      <w:sdtPr>
        <w:rPr>
          <w:rFonts w:ascii="宋体" w:hAnsi="宋体" w:eastAsia="宋体" w:cstheme="minorBidi"/>
          <w:sz w:val="21"/>
          <w:szCs w:val="24"/>
          <w:lang w:val="en-US" w:eastAsia="zh-CN" w:bidi="ar-SA"/>
        </w:rPr>
        <w:id w:val="147472961"/>
        <w15:color w:val="DBDBDB"/>
        <w:docPartObj>
          <w:docPartGallery w:val="Table of Contents"/>
          <w:docPartUnique/>
        </w:docPartObj>
      </w:sdtPr>
      <w:sdtEndPr>
        <w:rPr>
          <w:rFonts w:ascii="宋体" w:hAnsi="宋体" w:eastAsia="宋体" w:cstheme="minorBidi"/>
          <w:sz w:val="21"/>
          <w:szCs w:val="24"/>
          <w:lang w:val="en-US" w:eastAsia="zh-CN" w:bidi="ar-SA"/>
        </w:rPr>
      </w:sdtEndPr>
      <w:sdtContent>
        <w:p>
          <w:pPr>
            <w:spacing w:before="0" w:after="0" w:line="240" w:lineRule="auto"/>
            <w:ind w:left="0" w:right="0" w:firstLine="0"/>
            <w:jc w:val="center"/>
          </w:pPr>
          <w:r>
            <w:rPr>
              <w:rFonts w:ascii="宋体" w:hAnsi="宋体" w:eastAsia="宋体"/>
              <w:sz w:val="21"/>
            </w:rPr>
            <w:t>目录</w:t>
          </w:r>
        </w:p>
        <w:p>
          <w:pPr>
            <w:pStyle w:val="27"/>
            <w:tabs>
              <w:tab w:val="right" w:leader="dot" w:pos="9638"/>
            </w:tabs>
          </w:pPr>
          <w:r>
            <w:fldChar w:fldCharType="begin"/>
          </w:r>
          <w:r>
            <w:instrText xml:space="preserve">TOC \o "1-3" \h \u </w:instrText>
          </w:r>
          <w:r>
            <w:fldChar w:fldCharType="separate"/>
          </w:r>
          <w:r>
            <w:fldChar w:fldCharType="begin"/>
          </w:r>
          <w:r>
            <w:instrText xml:space="preserve"> HYPERLINK \l _Toc19861 </w:instrText>
          </w:r>
          <w:r>
            <w:fldChar w:fldCharType="separate"/>
          </w:r>
          <w:r>
            <w:rPr>
              <w:rFonts w:hint="eastAsia" w:ascii="仿宋_GB2312" w:hAnsi="宋体" w:eastAsia="仿宋_GB2312"/>
              <w:szCs w:val="28"/>
            </w:rPr>
            <w:t>第一章 比选邀请</w:t>
          </w:r>
          <w:r>
            <w:tab/>
          </w:r>
          <w:r>
            <w:fldChar w:fldCharType="begin"/>
          </w:r>
          <w:r>
            <w:instrText xml:space="preserve"> PAGEREF _Toc19861 \h </w:instrText>
          </w:r>
          <w:r>
            <w:fldChar w:fldCharType="separate"/>
          </w:r>
          <w:r>
            <w:t>1</w:t>
          </w:r>
          <w:r>
            <w:fldChar w:fldCharType="end"/>
          </w:r>
          <w:r>
            <w:fldChar w:fldCharType="end"/>
          </w:r>
        </w:p>
        <w:p>
          <w:pPr>
            <w:pStyle w:val="33"/>
            <w:tabs>
              <w:tab w:val="right" w:leader="dot" w:pos="9638"/>
            </w:tabs>
          </w:pPr>
          <w:r>
            <w:fldChar w:fldCharType="begin"/>
          </w:r>
          <w:r>
            <w:instrText xml:space="preserve"> HYPERLINK \l _Toc10238 </w:instrText>
          </w:r>
          <w:r>
            <w:fldChar w:fldCharType="separate"/>
          </w:r>
          <w:r>
            <w:rPr>
              <w:rFonts w:hint="eastAsia" w:ascii="仿宋" w:hAnsi="仿宋" w:eastAsia="仿宋" w:cs="仿宋"/>
              <w:szCs w:val="24"/>
            </w:rPr>
            <w:t>一、项目概况与采购范围</w:t>
          </w:r>
          <w:r>
            <w:tab/>
          </w:r>
          <w:r>
            <w:fldChar w:fldCharType="begin"/>
          </w:r>
          <w:r>
            <w:instrText xml:space="preserve"> PAGEREF _Toc10238 \h </w:instrText>
          </w:r>
          <w:r>
            <w:fldChar w:fldCharType="separate"/>
          </w:r>
          <w:r>
            <w:t>1</w:t>
          </w:r>
          <w:r>
            <w:fldChar w:fldCharType="end"/>
          </w:r>
          <w:r>
            <w:fldChar w:fldCharType="end"/>
          </w:r>
        </w:p>
        <w:p>
          <w:pPr>
            <w:pStyle w:val="33"/>
            <w:tabs>
              <w:tab w:val="right" w:leader="dot" w:pos="9638"/>
            </w:tabs>
          </w:pPr>
          <w:r>
            <w:fldChar w:fldCharType="begin"/>
          </w:r>
          <w:r>
            <w:instrText xml:space="preserve"> HYPERLINK \l _Toc15689 </w:instrText>
          </w:r>
          <w:r>
            <w:fldChar w:fldCharType="separate"/>
          </w:r>
          <w:r>
            <w:rPr>
              <w:rFonts w:hint="eastAsia" w:ascii="仿宋" w:hAnsi="仿宋" w:eastAsia="仿宋" w:cs="仿宋"/>
              <w:szCs w:val="24"/>
            </w:rPr>
            <w:t>二、供应商资格要求</w:t>
          </w:r>
          <w:r>
            <w:tab/>
          </w:r>
          <w:r>
            <w:fldChar w:fldCharType="begin"/>
          </w:r>
          <w:r>
            <w:instrText xml:space="preserve"> PAGEREF _Toc15689 \h </w:instrText>
          </w:r>
          <w:r>
            <w:fldChar w:fldCharType="separate"/>
          </w:r>
          <w:r>
            <w:t>1</w:t>
          </w:r>
          <w:r>
            <w:fldChar w:fldCharType="end"/>
          </w:r>
          <w:r>
            <w:fldChar w:fldCharType="end"/>
          </w:r>
        </w:p>
        <w:p>
          <w:pPr>
            <w:pStyle w:val="33"/>
            <w:tabs>
              <w:tab w:val="right" w:leader="dot" w:pos="9638"/>
            </w:tabs>
          </w:pPr>
          <w:r>
            <w:fldChar w:fldCharType="begin"/>
          </w:r>
          <w:r>
            <w:instrText xml:space="preserve"> HYPERLINK \l _Toc6210 </w:instrText>
          </w:r>
          <w:r>
            <w:fldChar w:fldCharType="separate"/>
          </w:r>
          <w:r>
            <w:rPr>
              <w:rFonts w:hint="eastAsia" w:ascii="仿宋" w:hAnsi="仿宋" w:eastAsia="仿宋" w:cs="仿宋"/>
              <w:szCs w:val="24"/>
            </w:rPr>
            <w:t>三、比选文件的获取</w:t>
          </w:r>
          <w:r>
            <w:tab/>
          </w:r>
          <w:r>
            <w:fldChar w:fldCharType="begin"/>
          </w:r>
          <w:r>
            <w:instrText xml:space="preserve"> PAGEREF _Toc6210 \h </w:instrText>
          </w:r>
          <w:r>
            <w:fldChar w:fldCharType="separate"/>
          </w:r>
          <w:r>
            <w:t>2</w:t>
          </w:r>
          <w:r>
            <w:fldChar w:fldCharType="end"/>
          </w:r>
          <w:r>
            <w:fldChar w:fldCharType="end"/>
          </w:r>
        </w:p>
        <w:p>
          <w:pPr>
            <w:pStyle w:val="33"/>
            <w:tabs>
              <w:tab w:val="right" w:leader="dot" w:pos="9638"/>
            </w:tabs>
          </w:pPr>
          <w:r>
            <w:fldChar w:fldCharType="begin"/>
          </w:r>
          <w:r>
            <w:instrText xml:space="preserve"> HYPERLINK \l _Toc23931 </w:instrText>
          </w:r>
          <w:r>
            <w:fldChar w:fldCharType="separate"/>
          </w:r>
          <w:r>
            <w:rPr>
              <w:rFonts w:hint="eastAsia" w:ascii="仿宋" w:hAnsi="仿宋" w:eastAsia="仿宋" w:cs="仿宋"/>
              <w:szCs w:val="24"/>
            </w:rPr>
            <w:t>四、响应文件的递交</w:t>
          </w:r>
          <w:r>
            <w:tab/>
          </w:r>
          <w:r>
            <w:fldChar w:fldCharType="begin"/>
          </w:r>
          <w:r>
            <w:instrText xml:space="preserve"> PAGEREF _Toc23931 \h </w:instrText>
          </w:r>
          <w:r>
            <w:fldChar w:fldCharType="separate"/>
          </w:r>
          <w:r>
            <w:t>3</w:t>
          </w:r>
          <w:r>
            <w:fldChar w:fldCharType="end"/>
          </w:r>
          <w:r>
            <w:fldChar w:fldCharType="end"/>
          </w:r>
        </w:p>
        <w:p>
          <w:pPr>
            <w:pStyle w:val="33"/>
            <w:tabs>
              <w:tab w:val="right" w:leader="dot" w:pos="9638"/>
            </w:tabs>
          </w:pPr>
          <w:r>
            <w:fldChar w:fldCharType="begin"/>
          </w:r>
          <w:r>
            <w:instrText xml:space="preserve"> HYPERLINK \l _Toc22360 </w:instrText>
          </w:r>
          <w:r>
            <w:fldChar w:fldCharType="separate"/>
          </w:r>
          <w:r>
            <w:rPr>
              <w:rFonts w:hint="eastAsia" w:ascii="仿宋" w:hAnsi="仿宋" w:eastAsia="仿宋" w:cs="仿宋"/>
              <w:szCs w:val="24"/>
            </w:rPr>
            <w:t>五、发布公告的媒介</w:t>
          </w:r>
          <w:r>
            <w:tab/>
          </w:r>
          <w:r>
            <w:fldChar w:fldCharType="begin"/>
          </w:r>
          <w:r>
            <w:instrText xml:space="preserve"> PAGEREF _Toc22360 \h </w:instrText>
          </w:r>
          <w:r>
            <w:fldChar w:fldCharType="separate"/>
          </w:r>
          <w:r>
            <w:t>3</w:t>
          </w:r>
          <w:r>
            <w:fldChar w:fldCharType="end"/>
          </w:r>
          <w:r>
            <w:fldChar w:fldCharType="end"/>
          </w:r>
        </w:p>
        <w:p>
          <w:pPr>
            <w:pStyle w:val="33"/>
            <w:tabs>
              <w:tab w:val="right" w:leader="dot" w:pos="9638"/>
            </w:tabs>
          </w:pPr>
          <w:r>
            <w:fldChar w:fldCharType="begin"/>
          </w:r>
          <w:r>
            <w:instrText xml:space="preserve"> HYPERLINK \l _Toc26965 </w:instrText>
          </w:r>
          <w:r>
            <w:fldChar w:fldCharType="separate"/>
          </w:r>
          <w:r>
            <w:rPr>
              <w:rFonts w:hint="eastAsia" w:ascii="仿宋" w:hAnsi="仿宋" w:eastAsia="仿宋" w:cs="仿宋"/>
              <w:szCs w:val="24"/>
            </w:rPr>
            <w:t>六、联系方式</w:t>
          </w:r>
          <w:r>
            <w:tab/>
          </w:r>
          <w:r>
            <w:fldChar w:fldCharType="begin"/>
          </w:r>
          <w:r>
            <w:instrText xml:space="preserve"> PAGEREF _Toc26965 \h </w:instrText>
          </w:r>
          <w:r>
            <w:fldChar w:fldCharType="separate"/>
          </w:r>
          <w:r>
            <w:t>3</w:t>
          </w:r>
          <w:r>
            <w:fldChar w:fldCharType="end"/>
          </w:r>
          <w:r>
            <w:fldChar w:fldCharType="end"/>
          </w:r>
        </w:p>
        <w:p>
          <w:pPr>
            <w:pStyle w:val="27"/>
            <w:tabs>
              <w:tab w:val="right" w:leader="dot" w:pos="9638"/>
            </w:tabs>
          </w:pPr>
          <w:r>
            <w:fldChar w:fldCharType="begin"/>
          </w:r>
          <w:r>
            <w:instrText xml:space="preserve"> HYPERLINK \l _Toc24595 </w:instrText>
          </w:r>
          <w:r>
            <w:fldChar w:fldCharType="separate"/>
          </w:r>
          <w:r>
            <w:rPr>
              <w:rFonts w:hint="eastAsia" w:ascii="仿宋_GB2312" w:hAnsi="宋体" w:eastAsia="仿宋_GB2312"/>
              <w:szCs w:val="28"/>
            </w:rPr>
            <w:t>第二章 供应商须知</w:t>
          </w:r>
          <w:r>
            <w:tab/>
          </w:r>
          <w:r>
            <w:fldChar w:fldCharType="begin"/>
          </w:r>
          <w:r>
            <w:instrText xml:space="preserve"> PAGEREF _Toc24595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_Toc13164 </w:instrText>
          </w:r>
          <w:r>
            <w:fldChar w:fldCharType="separate"/>
          </w:r>
          <w:r>
            <w:rPr>
              <w:rFonts w:hint="eastAsia" w:ascii="仿宋" w:hAnsi="仿宋" w:eastAsia="仿宋" w:cs="仿宋"/>
              <w:szCs w:val="24"/>
            </w:rPr>
            <w:t>一、供应商须知前附表</w:t>
          </w:r>
          <w:r>
            <w:tab/>
          </w:r>
          <w:r>
            <w:fldChar w:fldCharType="begin"/>
          </w:r>
          <w:r>
            <w:instrText xml:space="preserve"> PAGEREF _Toc13164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_Toc6545 </w:instrText>
          </w:r>
          <w:r>
            <w:fldChar w:fldCharType="separate"/>
          </w:r>
          <w:r>
            <w:rPr>
              <w:rFonts w:hint="eastAsia" w:ascii="仿宋" w:hAnsi="仿宋" w:eastAsia="仿宋" w:cs="仿宋"/>
              <w:szCs w:val="24"/>
            </w:rPr>
            <w:t>二、供应商须知正文</w:t>
          </w:r>
          <w:r>
            <w:tab/>
          </w:r>
          <w:r>
            <w:fldChar w:fldCharType="begin"/>
          </w:r>
          <w:r>
            <w:instrText xml:space="preserve"> PAGEREF _Toc6545 \h </w:instrText>
          </w:r>
          <w:r>
            <w:fldChar w:fldCharType="separate"/>
          </w:r>
          <w:r>
            <w:t>7</w:t>
          </w:r>
          <w:r>
            <w:fldChar w:fldCharType="end"/>
          </w:r>
          <w:r>
            <w:fldChar w:fldCharType="end"/>
          </w:r>
        </w:p>
        <w:p>
          <w:pPr>
            <w:pStyle w:val="18"/>
            <w:tabs>
              <w:tab w:val="right" w:leader="dot" w:pos="9638"/>
            </w:tabs>
          </w:pPr>
          <w:r>
            <w:fldChar w:fldCharType="begin"/>
          </w:r>
          <w:r>
            <w:instrText xml:space="preserve"> HYPERLINK \l _Toc29119 </w:instrText>
          </w:r>
          <w:r>
            <w:fldChar w:fldCharType="separate"/>
          </w:r>
          <w:r>
            <w:rPr>
              <w:rFonts w:hint="eastAsia" w:ascii="仿宋" w:hAnsi="仿宋" w:eastAsia="仿宋" w:cs="仿宋"/>
              <w:szCs w:val="24"/>
            </w:rPr>
            <w:t>（一）总 则</w:t>
          </w:r>
          <w:r>
            <w:tab/>
          </w:r>
          <w:r>
            <w:fldChar w:fldCharType="begin"/>
          </w:r>
          <w:r>
            <w:instrText xml:space="preserve"> PAGEREF _Toc29119 \h </w:instrText>
          </w:r>
          <w:r>
            <w:fldChar w:fldCharType="separate"/>
          </w:r>
          <w:r>
            <w:t>7</w:t>
          </w:r>
          <w:r>
            <w:fldChar w:fldCharType="end"/>
          </w:r>
          <w:r>
            <w:fldChar w:fldCharType="end"/>
          </w:r>
        </w:p>
        <w:p>
          <w:pPr>
            <w:pStyle w:val="18"/>
            <w:tabs>
              <w:tab w:val="right" w:leader="dot" w:pos="9638"/>
            </w:tabs>
          </w:pPr>
          <w:r>
            <w:fldChar w:fldCharType="begin"/>
          </w:r>
          <w:r>
            <w:instrText xml:space="preserve"> HYPERLINK \l _Toc1999 </w:instrText>
          </w:r>
          <w:r>
            <w:fldChar w:fldCharType="separate"/>
          </w:r>
          <w:r>
            <w:rPr>
              <w:rFonts w:hint="eastAsia" w:ascii="仿宋" w:hAnsi="仿宋" w:eastAsia="仿宋" w:cs="仿宋"/>
              <w:szCs w:val="24"/>
            </w:rPr>
            <w:t>（二）比选文件</w:t>
          </w:r>
          <w:r>
            <w:tab/>
          </w:r>
          <w:r>
            <w:fldChar w:fldCharType="begin"/>
          </w:r>
          <w:r>
            <w:instrText xml:space="preserve"> PAGEREF _Toc1999 \h </w:instrText>
          </w:r>
          <w:r>
            <w:fldChar w:fldCharType="separate"/>
          </w:r>
          <w:r>
            <w:t>7</w:t>
          </w:r>
          <w:r>
            <w:fldChar w:fldCharType="end"/>
          </w:r>
          <w:r>
            <w:fldChar w:fldCharType="end"/>
          </w:r>
        </w:p>
        <w:p>
          <w:pPr>
            <w:pStyle w:val="18"/>
            <w:tabs>
              <w:tab w:val="right" w:leader="dot" w:pos="9638"/>
            </w:tabs>
          </w:pPr>
          <w:r>
            <w:fldChar w:fldCharType="begin"/>
          </w:r>
          <w:r>
            <w:instrText xml:space="preserve"> HYPERLINK \l _Toc28293 </w:instrText>
          </w:r>
          <w:r>
            <w:fldChar w:fldCharType="separate"/>
          </w:r>
          <w:r>
            <w:rPr>
              <w:rFonts w:hint="eastAsia" w:ascii="仿宋" w:hAnsi="仿宋" w:eastAsia="仿宋" w:cs="仿宋"/>
              <w:szCs w:val="24"/>
            </w:rPr>
            <w:t>（三）响应文件</w:t>
          </w:r>
          <w:r>
            <w:tab/>
          </w:r>
          <w:r>
            <w:fldChar w:fldCharType="begin"/>
          </w:r>
          <w:r>
            <w:instrText xml:space="preserve"> PAGEREF _Toc28293 \h </w:instrText>
          </w:r>
          <w:r>
            <w:fldChar w:fldCharType="separate"/>
          </w:r>
          <w:r>
            <w:t>8</w:t>
          </w:r>
          <w:r>
            <w:fldChar w:fldCharType="end"/>
          </w:r>
          <w:r>
            <w:fldChar w:fldCharType="end"/>
          </w:r>
        </w:p>
        <w:p>
          <w:pPr>
            <w:pStyle w:val="18"/>
            <w:tabs>
              <w:tab w:val="right" w:leader="dot" w:pos="9638"/>
            </w:tabs>
          </w:pPr>
          <w:r>
            <w:fldChar w:fldCharType="begin"/>
          </w:r>
          <w:r>
            <w:instrText xml:space="preserve"> HYPERLINK \l _Toc29094 </w:instrText>
          </w:r>
          <w:r>
            <w:fldChar w:fldCharType="separate"/>
          </w:r>
          <w:r>
            <w:rPr>
              <w:rFonts w:hint="eastAsia" w:ascii="仿宋" w:hAnsi="仿宋" w:eastAsia="仿宋" w:cs="仿宋"/>
              <w:szCs w:val="24"/>
            </w:rPr>
            <w:t>（四）响应文件的递交</w:t>
          </w:r>
          <w:r>
            <w:tab/>
          </w:r>
          <w:r>
            <w:fldChar w:fldCharType="begin"/>
          </w:r>
          <w:r>
            <w:instrText xml:space="preserve"> PAGEREF _Toc29094 \h </w:instrText>
          </w:r>
          <w:r>
            <w:fldChar w:fldCharType="separate"/>
          </w:r>
          <w:r>
            <w:t>10</w:t>
          </w:r>
          <w:r>
            <w:fldChar w:fldCharType="end"/>
          </w:r>
          <w:r>
            <w:fldChar w:fldCharType="end"/>
          </w:r>
        </w:p>
        <w:p>
          <w:pPr>
            <w:pStyle w:val="18"/>
            <w:tabs>
              <w:tab w:val="right" w:leader="dot" w:pos="9638"/>
            </w:tabs>
          </w:pPr>
          <w:r>
            <w:fldChar w:fldCharType="begin"/>
          </w:r>
          <w:r>
            <w:instrText xml:space="preserve"> HYPERLINK \l _Toc27813 </w:instrText>
          </w:r>
          <w:r>
            <w:fldChar w:fldCharType="separate"/>
          </w:r>
          <w:r>
            <w:rPr>
              <w:rFonts w:hint="eastAsia" w:ascii="仿宋" w:hAnsi="仿宋" w:eastAsia="仿宋" w:cs="仿宋"/>
              <w:szCs w:val="24"/>
            </w:rPr>
            <w:t>（五）比选和评审</w:t>
          </w:r>
          <w:r>
            <w:tab/>
          </w:r>
          <w:r>
            <w:fldChar w:fldCharType="begin"/>
          </w:r>
          <w:r>
            <w:instrText xml:space="preserve"> PAGEREF _Toc27813 \h </w:instrText>
          </w:r>
          <w:r>
            <w:fldChar w:fldCharType="separate"/>
          </w:r>
          <w:r>
            <w:t>10</w:t>
          </w:r>
          <w:r>
            <w:fldChar w:fldCharType="end"/>
          </w:r>
          <w:r>
            <w:fldChar w:fldCharType="end"/>
          </w:r>
        </w:p>
        <w:p>
          <w:pPr>
            <w:pStyle w:val="18"/>
            <w:tabs>
              <w:tab w:val="right" w:leader="dot" w:pos="9638"/>
            </w:tabs>
          </w:pPr>
          <w:r>
            <w:fldChar w:fldCharType="begin"/>
          </w:r>
          <w:r>
            <w:instrText xml:space="preserve"> HYPERLINK \l _Toc12277 </w:instrText>
          </w:r>
          <w:r>
            <w:fldChar w:fldCharType="separate"/>
          </w:r>
          <w:r>
            <w:rPr>
              <w:rFonts w:hint="eastAsia" w:ascii="仿宋" w:hAnsi="仿宋" w:eastAsia="仿宋" w:cs="仿宋"/>
              <w:szCs w:val="24"/>
            </w:rPr>
            <w:t>（六）授予合同</w:t>
          </w:r>
          <w:r>
            <w:tab/>
          </w:r>
          <w:r>
            <w:fldChar w:fldCharType="begin"/>
          </w:r>
          <w:r>
            <w:instrText xml:space="preserve"> PAGEREF _Toc12277 \h </w:instrText>
          </w:r>
          <w:r>
            <w:fldChar w:fldCharType="separate"/>
          </w:r>
          <w:r>
            <w:t>13</w:t>
          </w:r>
          <w:r>
            <w:fldChar w:fldCharType="end"/>
          </w:r>
          <w:r>
            <w:fldChar w:fldCharType="end"/>
          </w:r>
        </w:p>
        <w:p>
          <w:pPr>
            <w:pStyle w:val="27"/>
            <w:tabs>
              <w:tab w:val="right" w:leader="dot" w:pos="9638"/>
            </w:tabs>
          </w:pPr>
          <w:r>
            <w:fldChar w:fldCharType="begin"/>
          </w:r>
          <w:r>
            <w:instrText xml:space="preserve"> HYPERLINK \l _Toc17619 </w:instrText>
          </w:r>
          <w:r>
            <w:fldChar w:fldCharType="separate"/>
          </w:r>
          <w:r>
            <w:rPr>
              <w:rFonts w:hint="eastAsia" w:ascii="仿宋" w:hAnsi="仿宋" w:eastAsia="仿宋" w:cs="仿宋"/>
              <w:szCs w:val="28"/>
            </w:rPr>
            <w:t>第三章 评审办法</w:t>
          </w:r>
          <w:r>
            <w:tab/>
          </w:r>
          <w:r>
            <w:fldChar w:fldCharType="begin"/>
          </w:r>
          <w:r>
            <w:instrText xml:space="preserve"> PAGEREF _Toc17619 \h </w:instrText>
          </w:r>
          <w:r>
            <w:fldChar w:fldCharType="separate"/>
          </w:r>
          <w:r>
            <w:t>14</w:t>
          </w:r>
          <w:r>
            <w:fldChar w:fldCharType="end"/>
          </w:r>
          <w:r>
            <w:fldChar w:fldCharType="end"/>
          </w:r>
        </w:p>
        <w:p>
          <w:pPr>
            <w:pStyle w:val="33"/>
            <w:tabs>
              <w:tab w:val="right" w:leader="dot" w:pos="9638"/>
            </w:tabs>
          </w:pPr>
          <w:r>
            <w:fldChar w:fldCharType="begin"/>
          </w:r>
          <w:r>
            <w:instrText xml:space="preserve"> HYPERLINK \l _Toc14012 </w:instrText>
          </w:r>
          <w:r>
            <w:fldChar w:fldCharType="separate"/>
          </w:r>
          <w:r>
            <w:rPr>
              <w:rFonts w:hint="eastAsia" w:ascii="仿宋" w:hAnsi="仿宋" w:eastAsia="仿宋" w:cs="仿宋"/>
              <w:szCs w:val="24"/>
            </w:rPr>
            <w:t>一、评审程序</w:t>
          </w:r>
          <w:r>
            <w:tab/>
          </w:r>
          <w:r>
            <w:fldChar w:fldCharType="begin"/>
          </w:r>
          <w:r>
            <w:instrText xml:space="preserve"> PAGEREF _Toc14012 \h </w:instrText>
          </w:r>
          <w:r>
            <w:fldChar w:fldCharType="separate"/>
          </w:r>
          <w:r>
            <w:t>14</w:t>
          </w:r>
          <w:r>
            <w:fldChar w:fldCharType="end"/>
          </w:r>
          <w:r>
            <w:fldChar w:fldCharType="end"/>
          </w:r>
        </w:p>
        <w:p>
          <w:pPr>
            <w:pStyle w:val="33"/>
            <w:tabs>
              <w:tab w:val="right" w:leader="dot" w:pos="9638"/>
            </w:tabs>
          </w:pPr>
          <w:r>
            <w:fldChar w:fldCharType="begin"/>
          </w:r>
          <w:r>
            <w:instrText xml:space="preserve"> HYPERLINK \l _Toc10402 </w:instrText>
          </w:r>
          <w:r>
            <w:fldChar w:fldCharType="separate"/>
          </w:r>
          <w:r>
            <w:rPr>
              <w:rFonts w:hint="eastAsia" w:ascii="仿宋" w:hAnsi="仿宋" w:eastAsia="仿宋" w:cs="仿宋"/>
              <w:szCs w:val="24"/>
            </w:rPr>
            <w:t>二、初步评审</w:t>
          </w:r>
          <w:r>
            <w:tab/>
          </w:r>
          <w:r>
            <w:fldChar w:fldCharType="begin"/>
          </w:r>
          <w:r>
            <w:instrText xml:space="preserve"> PAGEREF _Toc10402 \h </w:instrText>
          </w:r>
          <w:r>
            <w:fldChar w:fldCharType="separate"/>
          </w:r>
          <w:r>
            <w:t>15</w:t>
          </w:r>
          <w:r>
            <w:fldChar w:fldCharType="end"/>
          </w:r>
          <w:r>
            <w:fldChar w:fldCharType="end"/>
          </w:r>
        </w:p>
        <w:p>
          <w:pPr>
            <w:pStyle w:val="33"/>
            <w:tabs>
              <w:tab w:val="right" w:leader="dot" w:pos="9638"/>
            </w:tabs>
          </w:pPr>
          <w:r>
            <w:fldChar w:fldCharType="begin"/>
          </w:r>
          <w:r>
            <w:instrText xml:space="preserve"> HYPERLINK \l _Toc12409 </w:instrText>
          </w:r>
          <w:r>
            <w:fldChar w:fldCharType="separate"/>
          </w:r>
          <w:r>
            <w:rPr>
              <w:rFonts w:hint="eastAsia" w:ascii="仿宋" w:hAnsi="仿宋" w:eastAsia="仿宋" w:cs="仿宋"/>
              <w:szCs w:val="24"/>
            </w:rPr>
            <w:t>三、详细评审</w:t>
          </w:r>
          <w:r>
            <w:tab/>
          </w:r>
          <w:r>
            <w:fldChar w:fldCharType="begin"/>
          </w:r>
          <w:r>
            <w:instrText xml:space="preserve"> PAGEREF _Toc12409 \h </w:instrText>
          </w:r>
          <w:r>
            <w:fldChar w:fldCharType="separate"/>
          </w:r>
          <w:r>
            <w:t>16</w:t>
          </w:r>
          <w:r>
            <w:fldChar w:fldCharType="end"/>
          </w:r>
          <w:r>
            <w:fldChar w:fldCharType="end"/>
          </w:r>
        </w:p>
        <w:p>
          <w:pPr>
            <w:pStyle w:val="27"/>
            <w:tabs>
              <w:tab w:val="right" w:leader="dot" w:pos="9638"/>
            </w:tabs>
          </w:pPr>
          <w:r>
            <w:fldChar w:fldCharType="begin"/>
          </w:r>
          <w:r>
            <w:instrText xml:space="preserve"> HYPERLINK \l _Toc8970 </w:instrText>
          </w:r>
          <w:r>
            <w:fldChar w:fldCharType="separate"/>
          </w:r>
          <w:r>
            <w:rPr>
              <w:rFonts w:hint="eastAsia" w:ascii="仿宋" w:hAnsi="仿宋" w:eastAsia="仿宋" w:cs="仿宋"/>
              <w:szCs w:val="28"/>
            </w:rPr>
            <w:t>第四章 合同条款</w:t>
          </w:r>
          <w:r>
            <w:tab/>
          </w:r>
          <w:r>
            <w:fldChar w:fldCharType="begin"/>
          </w:r>
          <w:r>
            <w:instrText xml:space="preserve"> PAGEREF _Toc8970 \h </w:instrText>
          </w:r>
          <w:r>
            <w:fldChar w:fldCharType="separate"/>
          </w:r>
          <w:r>
            <w:t>18</w:t>
          </w:r>
          <w:r>
            <w:fldChar w:fldCharType="end"/>
          </w:r>
          <w:r>
            <w:fldChar w:fldCharType="end"/>
          </w:r>
        </w:p>
        <w:p>
          <w:pPr>
            <w:pStyle w:val="27"/>
            <w:tabs>
              <w:tab w:val="right" w:leader="dot" w:pos="9638"/>
            </w:tabs>
          </w:pPr>
          <w:r>
            <w:fldChar w:fldCharType="begin"/>
          </w:r>
          <w:r>
            <w:instrText xml:space="preserve"> HYPERLINK \l _Toc1287 </w:instrText>
          </w:r>
          <w:r>
            <w:fldChar w:fldCharType="separate"/>
          </w:r>
          <w:r>
            <w:rPr>
              <w:rFonts w:hint="eastAsia" w:ascii="仿宋_GB2312" w:hAnsi="宋体" w:eastAsia="仿宋_GB2312"/>
              <w:szCs w:val="28"/>
            </w:rPr>
            <w:t>第五章 采购需求</w:t>
          </w:r>
          <w:r>
            <w:tab/>
          </w:r>
          <w:r>
            <w:fldChar w:fldCharType="begin"/>
          </w:r>
          <w:r>
            <w:instrText xml:space="preserve"> PAGEREF _Toc1287 \h </w:instrText>
          </w:r>
          <w:r>
            <w:fldChar w:fldCharType="separate"/>
          </w:r>
          <w:r>
            <w:t>29</w:t>
          </w:r>
          <w:r>
            <w:fldChar w:fldCharType="end"/>
          </w:r>
          <w:r>
            <w:fldChar w:fldCharType="end"/>
          </w:r>
        </w:p>
        <w:p>
          <w:pPr>
            <w:pStyle w:val="33"/>
            <w:tabs>
              <w:tab w:val="right" w:leader="dot" w:pos="9638"/>
            </w:tabs>
          </w:pPr>
          <w:r>
            <w:fldChar w:fldCharType="begin"/>
          </w:r>
          <w:r>
            <w:instrText xml:space="preserve"> HYPERLINK \l _Toc27184 </w:instrText>
          </w:r>
          <w:r>
            <w:fldChar w:fldCharType="separate"/>
          </w:r>
          <w:r>
            <w:rPr>
              <w:rFonts w:hint="eastAsia" w:ascii="仿宋" w:hAnsi="仿宋" w:eastAsia="仿宋" w:cs="Cambria Math"/>
              <w:lang w:val="en-US" w:eastAsia="zh-CN"/>
            </w:rPr>
            <w:t>一、</w:t>
          </w:r>
          <w:r>
            <w:rPr>
              <w:rFonts w:hint="eastAsia" w:ascii="仿宋" w:hAnsi="仿宋" w:eastAsia="仿宋" w:cs="Cambria Math"/>
            </w:rPr>
            <w:t>采购项目背景</w:t>
          </w:r>
          <w:r>
            <w:tab/>
          </w:r>
          <w:r>
            <w:fldChar w:fldCharType="begin"/>
          </w:r>
          <w:r>
            <w:instrText xml:space="preserve"> PAGEREF _Toc27184 \h </w:instrText>
          </w:r>
          <w:r>
            <w:fldChar w:fldCharType="separate"/>
          </w:r>
          <w:r>
            <w:t>29</w:t>
          </w:r>
          <w:r>
            <w:fldChar w:fldCharType="end"/>
          </w:r>
          <w:r>
            <w:fldChar w:fldCharType="end"/>
          </w:r>
        </w:p>
        <w:p>
          <w:pPr>
            <w:pStyle w:val="33"/>
            <w:tabs>
              <w:tab w:val="right" w:leader="dot" w:pos="9638"/>
            </w:tabs>
          </w:pPr>
          <w:r>
            <w:fldChar w:fldCharType="begin"/>
          </w:r>
          <w:r>
            <w:instrText xml:space="preserve"> HYPERLINK \l _Toc12487 </w:instrText>
          </w:r>
          <w:r>
            <w:fldChar w:fldCharType="separate"/>
          </w:r>
          <w:r>
            <w:rPr>
              <w:rFonts w:hint="eastAsia" w:ascii="仿宋" w:hAnsi="仿宋" w:eastAsia="仿宋" w:cs="Cambria Math"/>
              <w:lang w:val="en-US" w:eastAsia="zh-CN"/>
            </w:rPr>
            <w:t>二、</w:t>
          </w:r>
          <w:r>
            <w:rPr>
              <w:rFonts w:hint="eastAsia" w:ascii="仿宋" w:hAnsi="仿宋" w:eastAsia="仿宋" w:cs="Cambria Math"/>
            </w:rPr>
            <w:t>采购内容</w:t>
          </w:r>
          <w:r>
            <w:tab/>
          </w:r>
          <w:r>
            <w:fldChar w:fldCharType="begin"/>
          </w:r>
          <w:r>
            <w:instrText xml:space="preserve"> PAGEREF _Toc12487 \h </w:instrText>
          </w:r>
          <w:r>
            <w:fldChar w:fldCharType="separate"/>
          </w:r>
          <w:r>
            <w:t>29</w:t>
          </w:r>
          <w:r>
            <w:fldChar w:fldCharType="end"/>
          </w:r>
          <w:r>
            <w:fldChar w:fldCharType="end"/>
          </w:r>
        </w:p>
        <w:p>
          <w:pPr>
            <w:pStyle w:val="33"/>
            <w:tabs>
              <w:tab w:val="right" w:leader="dot" w:pos="9638"/>
            </w:tabs>
          </w:pPr>
          <w:r>
            <w:fldChar w:fldCharType="begin"/>
          </w:r>
          <w:r>
            <w:instrText xml:space="preserve"> HYPERLINK \l _Toc29818 </w:instrText>
          </w:r>
          <w:r>
            <w:fldChar w:fldCharType="separate"/>
          </w:r>
          <w:r>
            <w:rPr>
              <w:rFonts w:hint="eastAsia" w:ascii="仿宋" w:hAnsi="仿宋" w:eastAsia="仿宋" w:cs="Cambria Math"/>
              <w:lang w:val="en-US" w:eastAsia="zh-CN"/>
            </w:rPr>
            <w:t>三、</w:t>
          </w:r>
          <w:r>
            <w:rPr>
              <w:rFonts w:hint="eastAsia" w:ascii="仿宋" w:hAnsi="仿宋" w:eastAsia="仿宋" w:cs="Cambria Math"/>
            </w:rPr>
            <w:t>采购数量</w:t>
          </w:r>
          <w:r>
            <w:tab/>
          </w:r>
          <w:r>
            <w:fldChar w:fldCharType="begin"/>
          </w:r>
          <w:r>
            <w:instrText xml:space="preserve"> PAGEREF _Toc29818 \h </w:instrText>
          </w:r>
          <w:r>
            <w:fldChar w:fldCharType="separate"/>
          </w:r>
          <w:r>
            <w:t>29</w:t>
          </w:r>
          <w:r>
            <w:fldChar w:fldCharType="end"/>
          </w:r>
          <w:r>
            <w:fldChar w:fldCharType="end"/>
          </w:r>
        </w:p>
        <w:p>
          <w:pPr>
            <w:pStyle w:val="33"/>
            <w:tabs>
              <w:tab w:val="right" w:leader="dot" w:pos="9638"/>
            </w:tabs>
          </w:pPr>
          <w:r>
            <w:fldChar w:fldCharType="begin"/>
          </w:r>
          <w:r>
            <w:instrText xml:space="preserve"> HYPERLINK \l _Toc13802 </w:instrText>
          </w:r>
          <w:r>
            <w:fldChar w:fldCharType="separate"/>
          </w:r>
          <w:r>
            <w:rPr>
              <w:rFonts w:hint="eastAsia" w:ascii="仿宋" w:hAnsi="仿宋" w:eastAsia="仿宋" w:cs="Cambria Math"/>
            </w:rPr>
            <w:t>四、付款方式</w:t>
          </w:r>
          <w:r>
            <w:tab/>
          </w:r>
          <w:r>
            <w:fldChar w:fldCharType="begin"/>
          </w:r>
          <w:r>
            <w:instrText xml:space="preserve"> PAGEREF _Toc13802 \h </w:instrText>
          </w:r>
          <w:r>
            <w:fldChar w:fldCharType="separate"/>
          </w:r>
          <w:r>
            <w:t>29</w:t>
          </w:r>
          <w:r>
            <w:fldChar w:fldCharType="end"/>
          </w:r>
          <w:r>
            <w:fldChar w:fldCharType="end"/>
          </w:r>
        </w:p>
        <w:p>
          <w:pPr>
            <w:pStyle w:val="33"/>
            <w:tabs>
              <w:tab w:val="right" w:leader="dot" w:pos="9638"/>
            </w:tabs>
          </w:pPr>
          <w:r>
            <w:fldChar w:fldCharType="begin"/>
          </w:r>
          <w:r>
            <w:instrText xml:space="preserve"> HYPERLINK \l _Toc4913 </w:instrText>
          </w:r>
          <w:r>
            <w:fldChar w:fldCharType="separate"/>
          </w:r>
          <w:r>
            <w:rPr>
              <w:rFonts w:hint="eastAsia" w:ascii="仿宋" w:hAnsi="仿宋" w:eastAsia="仿宋" w:cs="Cambria Math"/>
            </w:rPr>
            <w:t>五、服务要求</w:t>
          </w:r>
          <w:r>
            <w:tab/>
          </w:r>
          <w:r>
            <w:fldChar w:fldCharType="begin"/>
          </w:r>
          <w:r>
            <w:instrText xml:space="preserve"> PAGEREF _Toc4913 \h </w:instrText>
          </w:r>
          <w:r>
            <w:fldChar w:fldCharType="separate"/>
          </w:r>
          <w:r>
            <w:t>29</w:t>
          </w:r>
          <w:r>
            <w:fldChar w:fldCharType="end"/>
          </w:r>
          <w:r>
            <w:fldChar w:fldCharType="end"/>
          </w:r>
        </w:p>
        <w:p>
          <w:pPr>
            <w:pStyle w:val="27"/>
            <w:tabs>
              <w:tab w:val="right" w:leader="dot" w:pos="9638"/>
            </w:tabs>
          </w:pPr>
          <w:r>
            <w:fldChar w:fldCharType="begin"/>
          </w:r>
          <w:r>
            <w:instrText xml:space="preserve"> HYPERLINK \l _Toc262 </w:instrText>
          </w:r>
          <w:r>
            <w:fldChar w:fldCharType="separate"/>
          </w:r>
          <w:r>
            <w:rPr>
              <w:rFonts w:hint="eastAsia" w:ascii="仿宋" w:hAnsi="仿宋" w:eastAsia="仿宋" w:cs="仿宋"/>
              <w:szCs w:val="28"/>
            </w:rPr>
            <w:t>第六章 响应文件格式</w:t>
          </w:r>
          <w:r>
            <w:tab/>
          </w:r>
          <w:r>
            <w:fldChar w:fldCharType="begin"/>
          </w:r>
          <w:r>
            <w:instrText xml:space="preserve"> PAGEREF _Toc262 \h </w:instrText>
          </w:r>
          <w:r>
            <w:fldChar w:fldCharType="separate"/>
          </w:r>
          <w:r>
            <w:t>30</w:t>
          </w:r>
          <w:r>
            <w:fldChar w:fldCharType="end"/>
          </w:r>
          <w:r>
            <w:fldChar w:fldCharType="end"/>
          </w:r>
        </w:p>
        <w:p>
          <w:pPr>
            <w:pStyle w:val="33"/>
            <w:tabs>
              <w:tab w:val="right" w:leader="dot" w:pos="9638"/>
            </w:tabs>
          </w:pPr>
          <w:r>
            <w:fldChar w:fldCharType="begin"/>
          </w:r>
          <w:r>
            <w:instrText xml:space="preserve"> HYPERLINK \l _Toc10046 </w:instrText>
          </w:r>
          <w:r>
            <w:fldChar w:fldCharType="separate"/>
          </w:r>
          <w:r>
            <w:rPr>
              <w:rFonts w:hint="eastAsia" w:ascii="仿宋" w:hAnsi="仿宋" w:eastAsia="仿宋" w:cs="仿宋"/>
              <w:szCs w:val="24"/>
            </w:rPr>
            <w:t>一、商务文件</w:t>
          </w:r>
          <w:r>
            <w:tab/>
          </w:r>
          <w:r>
            <w:fldChar w:fldCharType="begin"/>
          </w:r>
          <w:r>
            <w:instrText xml:space="preserve"> PAGEREF _Toc10046 \h </w:instrText>
          </w:r>
          <w:r>
            <w:fldChar w:fldCharType="separate"/>
          </w:r>
          <w:r>
            <w:t>31</w:t>
          </w:r>
          <w:r>
            <w:fldChar w:fldCharType="end"/>
          </w:r>
          <w:r>
            <w:fldChar w:fldCharType="end"/>
          </w:r>
        </w:p>
        <w:p>
          <w:pPr>
            <w:pStyle w:val="18"/>
            <w:tabs>
              <w:tab w:val="right" w:leader="dot" w:pos="9638"/>
            </w:tabs>
          </w:pPr>
          <w:r>
            <w:fldChar w:fldCharType="begin"/>
          </w:r>
          <w:r>
            <w:instrText xml:space="preserve"> HYPERLINK \l _Toc9056 </w:instrText>
          </w:r>
          <w:r>
            <w:fldChar w:fldCharType="separate"/>
          </w:r>
          <w:r>
            <w:rPr>
              <w:rFonts w:hint="eastAsia" w:ascii="仿宋" w:hAnsi="仿宋" w:eastAsia="仿宋" w:cs="仿宋"/>
              <w:szCs w:val="24"/>
            </w:rPr>
            <w:t>（一）响应函</w:t>
          </w:r>
          <w:r>
            <w:tab/>
          </w:r>
          <w:r>
            <w:fldChar w:fldCharType="begin"/>
          </w:r>
          <w:r>
            <w:instrText xml:space="preserve"> PAGEREF _Toc9056 \h </w:instrText>
          </w:r>
          <w:r>
            <w:fldChar w:fldCharType="separate"/>
          </w:r>
          <w:r>
            <w:t>33</w:t>
          </w:r>
          <w:r>
            <w:fldChar w:fldCharType="end"/>
          </w:r>
          <w:r>
            <w:fldChar w:fldCharType="end"/>
          </w:r>
        </w:p>
        <w:p>
          <w:pPr>
            <w:pStyle w:val="18"/>
            <w:tabs>
              <w:tab w:val="right" w:leader="dot" w:pos="9638"/>
            </w:tabs>
          </w:pPr>
          <w:r>
            <w:fldChar w:fldCharType="begin"/>
          </w:r>
          <w:r>
            <w:instrText xml:space="preserve"> HYPERLINK \l _Toc26824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_Toc26824 \h </w:instrText>
          </w:r>
          <w:r>
            <w:fldChar w:fldCharType="separate"/>
          </w:r>
          <w:r>
            <w:t>34</w:t>
          </w:r>
          <w:r>
            <w:fldChar w:fldCharType="end"/>
          </w:r>
          <w:r>
            <w:fldChar w:fldCharType="end"/>
          </w:r>
        </w:p>
        <w:p>
          <w:pPr>
            <w:pStyle w:val="18"/>
            <w:tabs>
              <w:tab w:val="right" w:leader="dot" w:pos="9638"/>
            </w:tabs>
          </w:pPr>
          <w:r>
            <w:fldChar w:fldCharType="begin"/>
          </w:r>
          <w:r>
            <w:instrText xml:space="preserve"> HYPERLINK \l _Toc6297 </w:instrText>
          </w:r>
          <w:r>
            <w:fldChar w:fldCharType="separate"/>
          </w:r>
          <w:r>
            <w:rPr>
              <w:rFonts w:hint="eastAsia" w:ascii="仿宋" w:hAnsi="仿宋" w:eastAsia="仿宋" w:cs="仿宋"/>
              <w:szCs w:val="24"/>
            </w:rPr>
            <w:t>（三）法定代表人（负责人）授权委托书</w:t>
          </w:r>
          <w:r>
            <w:tab/>
          </w:r>
          <w:r>
            <w:fldChar w:fldCharType="begin"/>
          </w:r>
          <w:r>
            <w:instrText xml:space="preserve"> PAGEREF _Toc6297 \h </w:instrText>
          </w:r>
          <w:r>
            <w:fldChar w:fldCharType="separate"/>
          </w:r>
          <w:r>
            <w:t>35</w:t>
          </w:r>
          <w:r>
            <w:fldChar w:fldCharType="end"/>
          </w:r>
          <w:r>
            <w:fldChar w:fldCharType="end"/>
          </w:r>
        </w:p>
        <w:p>
          <w:pPr>
            <w:pStyle w:val="18"/>
            <w:tabs>
              <w:tab w:val="right" w:leader="dot" w:pos="9638"/>
            </w:tabs>
          </w:pPr>
          <w:r>
            <w:fldChar w:fldCharType="begin"/>
          </w:r>
          <w:r>
            <w:instrText xml:space="preserve"> HYPERLINK \l _Toc16567 </w:instrText>
          </w:r>
          <w:r>
            <w:fldChar w:fldCharType="separate"/>
          </w:r>
          <w:r>
            <w:rPr>
              <w:rFonts w:hint="eastAsia" w:ascii="仿宋" w:hAnsi="仿宋" w:eastAsia="仿宋" w:cs="仿宋"/>
              <w:szCs w:val="24"/>
            </w:rPr>
            <w:t>（四）资格证明文件</w:t>
          </w:r>
          <w:r>
            <w:tab/>
          </w:r>
          <w:r>
            <w:fldChar w:fldCharType="begin"/>
          </w:r>
          <w:r>
            <w:instrText xml:space="preserve"> PAGEREF _Toc16567 \h </w:instrText>
          </w:r>
          <w:r>
            <w:fldChar w:fldCharType="separate"/>
          </w:r>
          <w:r>
            <w:t>36</w:t>
          </w:r>
          <w:r>
            <w:fldChar w:fldCharType="end"/>
          </w:r>
          <w:r>
            <w:fldChar w:fldCharType="end"/>
          </w:r>
        </w:p>
        <w:p>
          <w:pPr>
            <w:pStyle w:val="18"/>
            <w:tabs>
              <w:tab w:val="right" w:leader="dot" w:pos="9638"/>
            </w:tabs>
          </w:pPr>
          <w:r>
            <w:fldChar w:fldCharType="begin"/>
          </w:r>
          <w:r>
            <w:instrText xml:space="preserve"> HYPERLINK \l _Toc15002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_Toc15002 \h </w:instrText>
          </w:r>
          <w:r>
            <w:fldChar w:fldCharType="separate"/>
          </w:r>
          <w:r>
            <w:t>45</w:t>
          </w:r>
          <w:r>
            <w:fldChar w:fldCharType="end"/>
          </w:r>
          <w:r>
            <w:fldChar w:fldCharType="end"/>
          </w:r>
        </w:p>
        <w:p>
          <w:pPr>
            <w:pStyle w:val="18"/>
            <w:tabs>
              <w:tab w:val="right" w:leader="dot" w:pos="9638"/>
            </w:tabs>
          </w:pPr>
          <w:r>
            <w:fldChar w:fldCharType="begin"/>
          </w:r>
          <w:r>
            <w:instrText xml:space="preserve"> HYPERLINK \l _Toc27501 </w:instrText>
          </w:r>
          <w:r>
            <w:fldChar w:fldCharType="separate"/>
          </w:r>
          <w:r>
            <w:rPr>
              <w:rFonts w:hint="eastAsia" w:ascii="仿宋" w:hAnsi="仿宋" w:eastAsia="仿宋" w:cs="仿宋"/>
              <w:szCs w:val="24"/>
            </w:rPr>
            <w:t>（七）供应商行为准则承诺书</w:t>
          </w:r>
          <w:r>
            <w:tab/>
          </w:r>
          <w:r>
            <w:fldChar w:fldCharType="begin"/>
          </w:r>
          <w:r>
            <w:instrText xml:space="preserve"> PAGEREF _Toc27501 \h </w:instrText>
          </w:r>
          <w:r>
            <w:fldChar w:fldCharType="separate"/>
          </w:r>
          <w:r>
            <w:t>47</w:t>
          </w:r>
          <w:r>
            <w:fldChar w:fldCharType="end"/>
          </w:r>
          <w:r>
            <w:fldChar w:fldCharType="end"/>
          </w:r>
        </w:p>
        <w:p>
          <w:pPr>
            <w:pStyle w:val="18"/>
            <w:tabs>
              <w:tab w:val="right" w:leader="dot" w:pos="9638"/>
            </w:tabs>
          </w:pPr>
          <w:r>
            <w:fldChar w:fldCharType="begin"/>
          </w:r>
          <w:r>
            <w:instrText xml:space="preserve"> HYPERLINK \l _Toc24044 </w:instrText>
          </w:r>
          <w:r>
            <w:fldChar w:fldCharType="separate"/>
          </w:r>
          <w:r>
            <w:rPr>
              <w:rFonts w:hint="eastAsia" w:ascii="仿宋" w:hAnsi="仿宋" w:eastAsia="仿宋" w:cs="宋体"/>
              <w:bCs w:val="0"/>
              <w:szCs w:val="24"/>
            </w:rPr>
            <w:t>（八）供应商廉洁诚信承诺书</w:t>
          </w:r>
          <w:r>
            <w:tab/>
          </w:r>
          <w:r>
            <w:fldChar w:fldCharType="begin"/>
          </w:r>
          <w:r>
            <w:instrText xml:space="preserve"> PAGEREF _Toc24044 \h </w:instrText>
          </w:r>
          <w:r>
            <w:fldChar w:fldCharType="separate"/>
          </w:r>
          <w:r>
            <w:t>49</w:t>
          </w:r>
          <w:r>
            <w:fldChar w:fldCharType="end"/>
          </w:r>
          <w:r>
            <w:fldChar w:fldCharType="end"/>
          </w:r>
        </w:p>
        <w:p>
          <w:pPr>
            <w:pStyle w:val="18"/>
            <w:tabs>
              <w:tab w:val="right" w:leader="dot" w:pos="9638"/>
            </w:tabs>
          </w:pPr>
          <w:r>
            <w:fldChar w:fldCharType="begin"/>
          </w:r>
          <w:r>
            <w:instrText xml:space="preserve"> HYPERLINK \l _Toc5689 </w:instrText>
          </w:r>
          <w: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_Toc5689 \h </w:instrText>
          </w:r>
          <w:r>
            <w:fldChar w:fldCharType="separate"/>
          </w:r>
          <w:r>
            <w:t>52</w:t>
          </w:r>
          <w:r>
            <w:fldChar w:fldCharType="end"/>
          </w:r>
          <w:r>
            <w:fldChar w:fldCharType="end"/>
          </w:r>
        </w:p>
        <w:p>
          <w:pPr>
            <w:pStyle w:val="33"/>
            <w:tabs>
              <w:tab w:val="right" w:leader="dot" w:pos="9638"/>
            </w:tabs>
          </w:pPr>
          <w:r>
            <w:fldChar w:fldCharType="begin"/>
          </w:r>
          <w:r>
            <w:instrText xml:space="preserve"> HYPERLINK \l _Toc8682 </w:instrText>
          </w:r>
          <w:r>
            <w:fldChar w:fldCharType="separate"/>
          </w:r>
          <w:r>
            <w:rPr>
              <w:rFonts w:hint="eastAsia" w:ascii="仿宋" w:hAnsi="仿宋" w:eastAsia="仿宋" w:cs="仿宋"/>
              <w:szCs w:val="24"/>
            </w:rPr>
            <w:t>二、技术文件</w:t>
          </w:r>
          <w:r>
            <w:tab/>
          </w:r>
          <w:r>
            <w:fldChar w:fldCharType="begin"/>
          </w:r>
          <w:r>
            <w:instrText xml:space="preserve"> PAGEREF _Toc8682 \h </w:instrText>
          </w:r>
          <w:r>
            <w:fldChar w:fldCharType="separate"/>
          </w:r>
          <w:r>
            <w:t>53</w:t>
          </w:r>
          <w:r>
            <w:fldChar w:fldCharType="end"/>
          </w:r>
          <w:r>
            <w:fldChar w:fldCharType="end"/>
          </w:r>
        </w:p>
        <w:p>
          <w:pPr>
            <w:pStyle w:val="18"/>
            <w:tabs>
              <w:tab w:val="right" w:leader="dot" w:pos="9638"/>
            </w:tabs>
          </w:pPr>
          <w:r>
            <w:fldChar w:fldCharType="begin"/>
          </w:r>
          <w:r>
            <w:instrText xml:space="preserve"> HYPERLINK \l _Toc30017 </w:instrText>
          </w:r>
          <w:r>
            <w:fldChar w:fldCharType="separate"/>
          </w:r>
          <w:r>
            <w:rPr>
              <w:rFonts w:hint="eastAsia" w:ascii="仿宋" w:hAnsi="仿宋" w:eastAsia="仿宋" w:cs="仿宋"/>
              <w:szCs w:val="24"/>
            </w:rPr>
            <w:t>（一）采购需求应答偏离表</w:t>
          </w:r>
          <w:r>
            <w:tab/>
          </w:r>
          <w:r>
            <w:fldChar w:fldCharType="begin"/>
          </w:r>
          <w:r>
            <w:instrText xml:space="preserve"> PAGEREF _Toc30017 \h </w:instrText>
          </w:r>
          <w:r>
            <w:fldChar w:fldCharType="separate"/>
          </w:r>
          <w:r>
            <w:t>54</w:t>
          </w:r>
          <w:r>
            <w:fldChar w:fldCharType="end"/>
          </w:r>
          <w:r>
            <w:fldChar w:fldCharType="end"/>
          </w:r>
        </w:p>
        <w:p>
          <w:pPr>
            <w:pStyle w:val="18"/>
            <w:tabs>
              <w:tab w:val="right" w:leader="dot" w:pos="9638"/>
            </w:tabs>
          </w:pPr>
          <w:r>
            <w:fldChar w:fldCharType="begin"/>
          </w:r>
          <w:r>
            <w:instrText xml:space="preserve"> HYPERLINK \l _Toc7021 </w:instrText>
          </w:r>
          <w:r>
            <w:fldChar w:fldCharType="separate"/>
          </w:r>
          <w:r>
            <w:rPr>
              <w:rFonts w:hint="eastAsia" w:ascii="仿宋" w:hAnsi="仿宋" w:eastAsia="仿宋" w:cs="仿宋"/>
              <w:szCs w:val="24"/>
            </w:rPr>
            <w:t>（二）技术方案</w:t>
          </w:r>
          <w:r>
            <w:tab/>
          </w:r>
          <w:r>
            <w:fldChar w:fldCharType="begin"/>
          </w:r>
          <w:r>
            <w:instrText xml:space="preserve"> PAGEREF _Toc7021 \h </w:instrText>
          </w:r>
          <w:r>
            <w:fldChar w:fldCharType="separate"/>
          </w:r>
          <w:r>
            <w:t>55</w:t>
          </w:r>
          <w:r>
            <w:fldChar w:fldCharType="end"/>
          </w:r>
          <w:r>
            <w:fldChar w:fldCharType="end"/>
          </w:r>
        </w:p>
        <w:p>
          <w:pPr>
            <w:pStyle w:val="18"/>
            <w:tabs>
              <w:tab w:val="right" w:leader="dot" w:pos="9638"/>
            </w:tabs>
          </w:pPr>
          <w:r>
            <w:fldChar w:fldCharType="begin"/>
          </w:r>
          <w:r>
            <w:instrText xml:space="preserve"> HYPERLINK \l _Toc32259 </w:instrText>
          </w:r>
          <w:r>
            <w:fldChar w:fldCharType="separate"/>
          </w:r>
          <w:r>
            <w:rPr>
              <w:rFonts w:hint="eastAsia" w:ascii="仿宋" w:hAnsi="仿宋" w:eastAsia="仿宋" w:cs="仿宋"/>
              <w:szCs w:val="24"/>
            </w:rPr>
            <w:t>（一）报价一览表</w:t>
          </w:r>
          <w:r>
            <w:tab/>
          </w:r>
          <w:r>
            <w:fldChar w:fldCharType="begin"/>
          </w:r>
          <w:r>
            <w:instrText xml:space="preserve"> PAGEREF _Toc32259 \h </w:instrText>
          </w:r>
          <w:r>
            <w:fldChar w:fldCharType="separate"/>
          </w:r>
          <w:r>
            <w:t>58</w:t>
          </w:r>
          <w:r>
            <w:fldChar w:fldCharType="end"/>
          </w:r>
          <w:r>
            <w:fldChar w:fldCharType="end"/>
          </w:r>
        </w:p>
        <w:p>
          <w:pPr>
            <w:pStyle w:val="3"/>
            <w:ind w:left="0" w:firstLine="0"/>
            <w:outlineLvl w:val="9"/>
            <w:rPr>
              <w:rFonts w:ascii="仿宋_GB2312" w:hAnsi="宋体" w:eastAsia="仿宋_GB2312"/>
              <w:b w:val="0"/>
              <w:bCs w:val="0"/>
              <w:color w:val="auto"/>
            </w:rPr>
            <w:sectPr>
              <w:pgSz w:w="11906" w:h="16838"/>
              <w:pgMar w:top="1440" w:right="1134" w:bottom="1440" w:left="1134" w:header="851" w:footer="992" w:gutter="0"/>
              <w:pgNumType w:start="1"/>
              <w:cols w:space="720" w:num="1"/>
            </w:sectPr>
          </w:pPr>
          <w:r>
            <w:fldChar w:fldCharType="end"/>
          </w:r>
        </w:p>
      </w:sdtContent>
    </w:sdt>
    <w:p>
      <w:pPr>
        <w:pStyle w:val="3"/>
        <w:ind w:left="0" w:firstLine="0"/>
        <w:outlineLvl w:val="9"/>
        <w:rPr>
          <w:rFonts w:ascii="仿宋" w:hAnsi="仿宋" w:eastAsia="仿宋" w:cs="Cambria Math"/>
          <w:b w:val="0"/>
          <w:bCs w:val="0"/>
          <w:color w:val="auto"/>
          <w:sz w:val="24"/>
          <w:szCs w:val="24"/>
        </w:rPr>
        <w:sectPr>
          <w:headerReference r:id="rId3" w:type="default"/>
          <w:footerReference r:id="rId4" w:type="default"/>
          <w:type w:val="continuous"/>
          <w:pgSz w:w="11906" w:h="16838"/>
          <w:pgMar w:top="1440" w:right="1134" w:bottom="1440" w:left="1134" w:header="851" w:footer="992" w:gutter="0"/>
          <w:cols w:space="720" w:num="1"/>
        </w:sectPr>
      </w:pPr>
    </w:p>
    <w:p>
      <w:pPr>
        <w:pStyle w:val="3"/>
        <w:ind w:left="0" w:firstLine="0"/>
        <w:rPr>
          <w:rFonts w:ascii="仿宋_GB2312" w:hAnsi="宋体" w:eastAsia="仿宋_GB2312"/>
          <w:color w:val="auto"/>
          <w:sz w:val="28"/>
          <w:szCs w:val="28"/>
        </w:rPr>
      </w:pPr>
      <w:bookmarkStart w:id="0" w:name="_Toc21360"/>
      <w:bookmarkStart w:id="1" w:name="_Toc19861"/>
      <w:bookmarkStart w:id="2" w:name="_Toc186737790"/>
      <w:r>
        <w:rPr>
          <w:rFonts w:hint="eastAsia" w:ascii="仿宋_GB2312" w:hAnsi="宋体" w:eastAsia="仿宋_GB2312"/>
          <w:color w:val="auto"/>
          <w:sz w:val="28"/>
          <w:szCs w:val="28"/>
        </w:rPr>
        <w:t>第一章 比选邀请</w:t>
      </w:r>
      <w:bookmarkEnd w:id="0"/>
      <w:bookmarkEnd w:id="1"/>
      <w:bookmarkEnd w:id="2"/>
    </w:p>
    <w:p>
      <w:pPr>
        <w:spacing w:line="360" w:lineRule="auto"/>
        <w:ind w:firstLine="480"/>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lang w:eastAsia="zh-CN"/>
        </w:rPr>
        <w:t>人</w:t>
      </w:r>
      <w:r>
        <w:rPr>
          <w:rFonts w:hint="eastAsia" w:ascii="仿宋" w:hAnsi="仿宋" w:eastAsia="仿宋" w:cs="仿宋"/>
          <w:color w:val="auto"/>
          <w:highlight w:val="none"/>
          <w:u w:val="single"/>
          <w:lang w:eastAsia="zh-CN"/>
        </w:rPr>
        <w:t>保财险四川省资阳市分公司三大主粮、柑橘过程性风险减量服务采购项目</w:t>
      </w:r>
      <w:r>
        <w:rPr>
          <w:rFonts w:hint="eastAsia" w:ascii="仿宋" w:hAnsi="仿宋" w:eastAsia="仿宋" w:cs="仿宋"/>
          <w:color w:val="auto"/>
          <w:highlight w:val="none"/>
        </w:rPr>
        <w:t>（采购项目编号：XXXXXXX ）</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资阳</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eastAsia="zh-CN"/>
        </w:rPr>
        <w:t>资阳</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eastAsia="zh-CN"/>
        </w:rPr>
        <w:t>资阳</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000000"/>
          <w:sz w:val="24"/>
          <w:szCs w:val="24"/>
        </w:rPr>
      </w:pPr>
      <w:bookmarkStart w:id="3" w:name="_Toc186737791"/>
      <w:bookmarkStart w:id="4" w:name="_Toc21237"/>
      <w:bookmarkStart w:id="5" w:name="_Toc10238"/>
      <w:r>
        <w:rPr>
          <w:rFonts w:hint="eastAsia" w:ascii="仿宋" w:hAnsi="仿宋" w:eastAsia="仿宋" w:cs="仿宋"/>
          <w:color w:val="000000"/>
          <w:sz w:val="24"/>
          <w:szCs w:val="24"/>
        </w:rPr>
        <w:t>一、项目概况与采购范围</w:t>
      </w:r>
      <w:bookmarkEnd w:id="3"/>
      <w:bookmarkEnd w:id="4"/>
      <w:bookmarkEnd w:id="5"/>
    </w:p>
    <w:p>
      <w:pPr>
        <w:spacing w:line="360" w:lineRule="auto"/>
        <w:ind w:firstLine="480"/>
        <w:rPr>
          <w:rFonts w:ascii="仿宋" w:hAnsi="仿宋" w:eastAsia="仿宋" w:cs="仿宋"/>
          <w:color w:val="auto"/>
        </w:rPr>
      </w:pPr>
      <w:r>
        <w:rPr>
          <w:rFonts w:hint="eastAsia" w:ascii="仿宋" w:hAnsi="仿宋" w:eastAsia="仿宋" w:cs="仿宋"/>
          <w:color w:val="000000"/>
        </w:rPr>
        <w:t>1.1 项目名称：</w:t>
      </w:r>
      <w:r>
        <w:rPr>
          <w:rFonts w:hint="eastAsia" w:ascii="仿宋" w:hAnsi="仿宋" w:eastAsia="仿宋" w:cs="仿宋"/>
          <w:color w:val="auto"/>
          <w:u w:val="single"/>
          <w:lang w:eastAsia="zh-CN"/>
        </w:rPr>
        <w:t>人保财险四川省资阳市分公司三大主粮、柑橘过程性风险减量服务采购项目</w:t>
      </w:r>
      <w:r>
        <w:rPr>
          <w:rFonts w:hint="eastAsia" w:ascii="仿宋" w:hAnsi="仿宋" w:eastAsia="仿宋" w:cs="仿宋"/>
          <w:color w:val="auto"/>
        </w:rPr>
        <w:t>。</w:t>
      </w:r>
    </w:p>
    <w:p>
      <w:pPr>
        <w:spacing w:line="360" w:lineRule="auto"/>
        <w:ind w:firstLine="480"/>
        <w:rPr>
          <w:rFonts w:ascii="仿宋" w:hAnsi="仿宋" w:eastAsia="仿宋" w:cs="仿宋"/>
          <w:color w:val="auto"/>
        </w:rPr>
      </w:pPr>
      <w:r>
        <w:rPr>
          <w:rFonts w:hint="eastAsia" w:ascii="仿宋" w:hAnsi="仿宋" w:eastAsia="仿宋" w:cs="仿宋"/>
          <w:color w:val="auto"/>
        </w:rPr>
        <w:t>1.2 采购范围：本项目拟采购一家供应商为业务范围内有为需求的种植大户监测作物长势和病虫害及自然灾害发生情况，</w:t>
      </w:r>
      <w:r>
        <w:rPr>
          <w:rFonts w:hint="eastAsia" w:ascii="仿宋" w:hAnsi="仿宋" w:eastAsia="仿宋" w:cs="仿宋"/>
          <w:color w:val="auto"/>
          <w:lang w:eastAsia="zh-CN"/>
        </w:rPr>
        <w:t>并</w:t>
      </w:r>
      <w:r>
        <w:rPr>
          <w:rFonts w:hint="eastAsia" w:ascii="仿宋" w:hAnsi="仿宋" w:eastAsia="仿宋" w:cs="仿宋"/>
          <w:color w:val="auto"/>
        </w:rPr>
        <w:t>结合作物生长周期内的</w:t>
      </w:r>
      <w:r>
        <w:rPr>
          <w:rFonts w:hint="eastAsia" w:ascii="仿宋" w:hAnsi="仿宋" w:eastAsia="仿宋" w:cs="仿宋"/>
          <w:color w:val="auto"/>
          <w:lang w:eastAsia="zh-CN"/>
        </w:rPr>
        <w:t>相关数据</w:t>
      </w:r>
      <w:r>
        <w:rPr>
          <w:rFonts w:hint="eastAsia" w:ascii="仿宋" w:hAnsi="仿宋" w:eastAsia="仿宋" w:cs="仿宋"/>
          <w:color w:val="auto"/>
        </w:rPr>
        <w:t>，分析乡镇内气象及气象衍生灾害</w:t>
      </w:r>
      <w:r>
        <w:rPr>
          <w:rFonts w:hint="eastAsia" w:ascii="仿宋" w:hAnsi="仿宋" w:eastAsia="仿宋" w:cs="仿宋"/>
          <w:color w:val="auto"/>
          <w:lang w:eastAsia="zh-CN"/>
        </w:rPr>
        <w:t>、</w:t>
      </w:r>
      <w:r>
        <w:rPr>
          <w:rFonts w:hint="eastAsia" w:ascii="仿宋" w:hAnsi="仿宋" w:eastAsia="仿宋" w:cs="仿宋"/>
          <w:color w:val="auto"/>
        </w:rPr>
        <w:t>病虫草鼠害发生情况，呈现各乡镇各月灾害类型以及灾害分布情况并</w:t>
      </w:r>
      <w:r>
        <w:rPr>
          <w:rFonts w:hint="eastAsia" w:ascii="仿宋" w:hAnsi="仿宋" w:eastAsia="仿宋" w:cs="仿宋"/>
          <w:color w:val="auto"/>
          <w:lang w:val="en-US" w:eastAsia="zh-CN"/>
        </w:rPr>
        <w:t>1对1</w:t>
      </w:r>
      <w:r>
        <w:rPr>
          <w:rFonts w:hint="eastAsia" w:ascii="仿宋" w:hAnsi="仿宋" w:eastAsia="仿宋" w:cs="仿宋"/>
          <w:color w:val="auto"/>
        </w:rPr>
        <w:t>推送</w:t>
      </w:r>
      <w:r>
        <w:rPr>
          <w:rFonts w:hint="eastAsia" w:ascii="仿宋" w:hAnsi="仿宋" w:eastAsia="仿宋" w:cs="仿宋"/>
          <w:color w:val="auto"/>
          <w:lang w:eastAsia="zh-CN"/>
        </w:rPr>
        <w:t>农事</w:t>
      </w:r>
      <w:r>
        <w:rPr>
          <w:rFonts w:hint="eastAsia" w:ascii="仿宋" w:hAnsi="仿宋" w:eastAsia="仿宋" w:cs="仿宋"/>
          <w:color w:val="auto"/>
        </w:rPr>
        <w:t>措施建议等，具体技术要求详见第五章采购需求。</w:t>
      </w:r>
    </w:p>
    <w:p>
      <w:pPr>
        <w:spacing w:line="360" w:lineRule="auto"/>
        <w:ind w:firstLine="48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spacing w:line="360" w:lineRule="auto"/>
        <w:ind w:firstLine="48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spacing w:line="360" w:lineRule="auto"/>
        <w:ind w:firstLine="48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至2026年年底</w:t>
      </w:r>
      <w:r>
        <w:rPr>
          <w:rFonts w:hint="eastAsia" w:ascii="仿宋" w:hAnsi="仿宋" w:eastAsia="仿宋" w:cs="宋体"/>
          <w:color w:val="auto"/>
        </w:rPr>
        <w:t>。</w:t>
      </w:r>
    </w:p>
    <w:p>
      <w:pPr>
        <w:spacing w:line="360" w:lineRule="auto"/>
        <w:ind w:firstLine="48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服务地点/交货地点：人保财险资阳市分公司政策性农险经营区域。</w:t>
      </w:r>
    </w:p>
    <w:p>
      <w:pPr>
        <w:pStyle w:val="2"/>
        <w:rPr>
          <w:rFonts w:hint="default" w:eastAsia="仿宋"/>
          <w:color w:val="auto"/>
          <w:lang w:val="en-US" w:eastAsia="zh-CN"/>
        </w:rPr>
      </w:pPr>
      <w:r>
        <w:rPr>
          <w:rFonts w:hint="eastAsia"/>
          <w:color w:val="auto"/>
        </w:rPr>
        <w:t xml:space="preserve"> </w:t>
      </w:r>
      <w:r>
        <w:rPr>
          <w:color w:val="auto"/>
        </w:rPr>
        <w:t xml:space="preserve">   </w:t>
      </w:r>
      <w:r>
        <w:rPr>
          <w:rFonts w:hint="eastAsia" w:ascii="仿宋" w:hAnsi="仿宋" w:eastAsia="仿宋" w:cs="宋体"/>
          <w:color w:val="000000"/>
          <w:sz w:val="24"/>
          <w:szCs w:val="24"/>
          <w:lang w:val="en-US" w:eastAsia="zh-CN" w:bidi="ar-SA"/>
        </w:rPr>
        <w:t>1.7 项目限价：项目设置单价最高限价，即现场专业查验、风险分析及风险预警服务不超17元/亩，集体投保类风险分析及风险预警服务不超8500元/镇，专业培训服务不超4500元/场，成果数据归集服务不超过34000元/服务期。</w:t>
      </w:r>
    </w:p>
    <w:p>
      <w:pPr>
        <w:pStyle w:val="4"/>
        <w:jc w:val="left"/>
        <w:rPr>
          <w:rFonts w:ascii="仿宋" w:hAnsi="仿宋" w:eastAsia="仿宋" w:cs="仿宋"/>
          <w:color w:val="000000"/>
          <w:sz w:val="24"/>
          <w:szCs w:val="24"/>
        </w:rPr>
      </w:pPr>
      <w:bookmarkStart w:id="6" w:name="_Toc17569"/>
      <w:bookmarkStart w:id="7" w:name="_Toc186737792"/>
      <w:bookmarkStart w:id="8" w:name="_Toc15689"/>
      <w:r>
        <w:rPr>
          <w:rFonts w:hint="eastAsia" w:ascii="仿宋" w:hAnsi="仿宋" w:eastAsia="仿宋" w:cs="仿宋"/>
          <w:color w:val="000000"/>
          <w:sz w:val="24"/>
          <w:szCs w:val="24"/>
        </w:rPr>
        <w:t>二、供应商资格要求</w:t>
      </w:r>
      <w:bookmarkEnd w:id="6"/>
      <w:bookmarkEnd w:id="7"/>
      <w:bookmarkEnd w:id="8"/>
    </w:p>
    <w:p>
      <w:pPr>
        <w:spacing w:line="360" w:lineRule="auto"/>
        <w:ind w:firstLine="480"/>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000000"/>
          <w:lang w:val="en-US" w:eastAsia="zh-CN"/>
        </w:rPr>
        <w:t>2025</w:t>
      </w:r>
      <w:r>
        <w:rPr>
          <w:rFonts w:hint="eastAsia" w:ascii="仿宋" w:hAnsi="仿宋" w:eastAsia="仿宋" w:cs="宋体"/>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rPr>
          <w:rFonts w:hint="eastAsia"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，近三年（20</w:t>
      </w:r>
      <w:r>
        <w:rPr>
          <w:rFonts w:hint="eastAsia" w:ascii="仿宋" w:hAnsi="仿宋" w:eastAsia="仿宋" w:cs="宋体"/>
          <w:color w:val="000000"/>
          <w:lang w:val="en-US" w:eastAsia="zh-CN"/>
        </w:rPr>
        <w:t>23</w:t>
      </w:r>
      <w:r>
        <w:rPr>
          <w:rFonts w:hint="eastAsia" w:ascii="仿宋" w:hAnsi="仿宋" w:eastAsia="仿宋" w:cs="宋体"/>
          <w:color w:val="000000"/>
        </w:rPr>
        <w:t>年1月1日至今）应具有</w:t>
      </w:r>
      <w:r>
        <w:rPr>
          <w:rFonts w:hint="eastAsia" w:ascii="仿宋" w:hAnsi="仿宋" w:eastAsia="仿宋" w:cs="宋体"/>
          <w:color w:val="000000"/>
          <w:lang w:val="en-US" w:eastAsia="zh-CN"/>
        </w:rPr>
        <w:t>1</w:t>
      </w:r>
      <w:r>
        <w:rPr>
          <w:rFonts w:hint="eastAsia" w:ascii="仿宋" w:hAnsi="仿宋" w:eastAsia="仿宋" w:cs="宋体"/>
          <w:color w:val="000000"/>
        </w:rPr>
        <w:t>个以上同类项目实施案例，并提供符合上述要求的合同关键页作为有效的业绩证明材料。合同关键页包含但不限于合同首页、合同标的页、签署日期页及盖章页等。</w:t>
      </w:r>
    </w:p>
    <w:p>
      <w:pPr>
        <w:spacing w:line="360" w:lineRule="auto"/>
        <w:ind w:firstLine="480"/>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w:t>
      </w:r>
      <w:r>
        <w:rPr>
          <w:rFonts w:hint="eastAsia" w:ascii="仿宋" w:hAnsi="仿宋" w:eastAsia="仿宋" w:cs="宋体"/>
          <w:color w:val="000000"/>
          <w:lang w:eastAsia="zh-CN"/>
        </w:rPr>
        <w:t>和</w:t>
      </w:r>
      <w:r>
        <w:rPr>
          <w:rFonts w:hint="eastAsia" w:ascii="仿宋" w:hAnsi="仿宋" w:eastAsia="仿宋" w:cs="宋体"/>
          <w:color w:val="000000"/>
        </w:rPr>
        <w:t>社会保障资金缴纳凭证。</w:t>
      </w:r>
    </w:p>
    <w:p>
      <w:pPr>
        <w:spacing w:line="360" w:lineRule="auto"/>
        <w:ind w:firstLine="480"/>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供应商应经营状况良好，且近三年内（20</w:t>
      </w:r>
      <w:r>
        <w:rPr>
          <w:rFonts w:hint="eastAsia" w:ascii="仿宋" w:hAnsi="仿宋" w:eastAsia="仿宋" w:cs="宋体"/>
          <w:b/>
          <w:bCs/>
          <w:color w:val="000000"/>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pacing w:line="360" w:lineRule="auto"/>
        <w:ind w:firstLine="480"/>
        <w:rPr>
          <w:rFonts w:ascii="仿宋" w:hAnsi="仿宋" w:eastAsia="仿宋" w:cs="仿宋"/>
        </w:rPr>
      </w:pPr>
      <w:r>
        <w:rPr>
          <w:rFonts w:hint="eastAsia" w:ascii="仿宋" w:hAnsi="仿宋" w:eastAsia="仿宋" w:cs="仿宋"/>
        </w:rPr>
        <w:t>信用中国查询网址：https://www.creditchina.gov.cn/xinxigongshi/</w:t>
      </w:r>
    </w:p>
    <w:p>
      <w:pPr>
        <w:spacing w:line="360" w:lineRule="auto"/>
        <w:ind w:firstLine="480"/>
        <w:rPr>
          <w:rFonts w:ascii="仿宋" w:hAnsi="仿宋" w:eastAsia="仿宋" w:cs="仿宋"/>
        </w:rPr>
      </w:pPr>
      <w:r>
        <w:rPr>
          <w:rFonts w:hint="eastAsia" w:ascii="仿宋" w:hAnsi="仿宋" w:eastAsia="仿宋" w:cs="仿宋"/>
        </w:rPr>
        <w:t>政府采购严重违法失信行为记录名单查询网址：</w:t>
      </w:r>
    </w:p>
    <w:p>
      <w:pPr>
        <w:spacing w:line="360" w:lineRule="auto"/>
        <w:ind w:firstLine="480"/>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rPr>
          <w:rFonts w:hint="eastAsia" w:ascii="仿宋" w:hAnsi="仿宋" w:eastAsia="仿宋" w:cs="宋体"/>
          <w:color w:val="000000"/>
        </w:rPr>
      </w:pPr>
      <w:r>
        <w:rPr>
          <w:rFonts w:hint="eastAsia" w:ascii="仿宋" w:hAnsi="仿宋" w:eastAsia="仿宋" w:cs="宋体"/>
          <w:color w:val="000000"/>
        </w:rPr>
        <w:t>2.8本项目不接受联合体比选响应。提供承诺函，格式详见第六章响应文件格式。</w:t>
      </w:r>
    </w:p>
    <w:p>
      <w:pPr>
        <w:pStyle w:val="4"/>
        <w:spacing w:after="240"/>
        <w:jc w:val="left"/>
        <w:rPr>
          <w:rFonts w:ascii="仿宋" w:hAnsi="仿宋" w:eastAsia="仿宋" w:cs="仿宋"/>
          <w:color w:val="000000"/>
          <w:sz w:val="24"/>
          <w:szCs w:val="24"/>
        </w:rPr>
      </w:pPr>
      <w:bookmarkStart w:id="9" w:name="_Toc2019"/>
      <w:bookmarkStart w:id="10" w:name="_Toc186737793"/>
      <w:bookmarkStart w:id="11" w:name="_Toc6210"/>
      <w:r>
        <w:rPr>
          <w:rFonts w:hint="eastAsia" w:ascii="仿宋" w:hAnsi="仿宋" w:eastAsia="仿宋" w:cs="仿宋"/>
          <w:color w:val="000000"/>
          <w:sz w:val="24"/>
          <w:szCs w:val="24"/>
        </w:rPr>
        <w:t>三、比选文件的获取</w:t>
      </w:r>
      <w:bookmarkEnd w:id="9"/>
      <w:bookmarkEnd w:id="10"/>
      <w:bookmarkEnd w:id="11"/>
    </w:p>
    <w:p>
      <w:pPr>
        <w:pStyle w:val="231"/>
        <w:jc w:val="left"/>
        <w:rPr>
          <w:rFonts w:ascii="仿宋" w:hAnsi="仿宋" w:eastAsia="仿宋" w:cs="仿宋"/>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06</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08</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下午17</w:t>
      </w:r>
      <w:r>
        <w:rPr>
          <w:rFonts w:hint="eastAsia" w:ascii="仿宋" w:hAnsi="仿宋" w:eastAsia="仿宋" w:cs="宋体"/>
          <w:color w:val="auto"/>
          <w:sz w:val="24"/>
          <w:szCs w:val="24"/>
        </w:rPr>
        <w:t>时（北京时间，下同）。</w:t>
      </w:r>
    </w:p>
    <w:p>
      <w:pPr>
        <w:pStyle w:val="13"/>
        <w:spacing w:line="360" w:lineRule="auto"/>
        <w:ind w:firstLine="48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12" w:name="_Toc32115"/>
      <w:bookmarkStart w:id="13" w:name="_Toc23931"/>
      <w:bookmarkStart w:id="14" w:name="_Toc186737794"/>
      <w:r>
        <w:rPr>
          <w:rFonts w:hint="eastAsia" w:ascii="仿宋" w:hAnsi="仿宋" w:eastAsia="仿宋" w:cs="仿宋"/>
          <w:color w:val="000000"/>
          <w:sz w:val="24"/>
          <w:szCs w:val="24"/>
        </w:rPr>
        <w:t>四、响应文件的递交</w:t>
      </w:r>
      <w:bookmarkEnd w:id="12"/>
      <w:bookmarkEnd w:id="13"/>
      <w:bookmarkEnd w:id="14"/>
    </w:p>
    <w:p>
      <w:pPr>
        <w:spacing w:line="360" w:lineRule="auto"/>
        <w:ind w:firstLine="480"/>
        <w:rPr>
          <w:rFonts w:ascii="仿宋" w:hAnsi="仿宋" w:eastAsia="仿宋" w:cs="宋体"/>
          <w:color w:val="auto"/>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08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13</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15</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rPr>
          <w:rFonts w:hint="eastAsia"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.2响应文件的递交：须现场递交至四川省资阳市雁江区宝台镇弘城水韵中城建.新城市广场（一期）25号楼25（F)人保财险公司</w:t>
      </w:r>
      <w:r>
        <w:rPr>
          <w:rFonts w:hint="eastAsia" w:ascii="仿宋" w:hAnsi="仿宋" w:eastAsia="仿宋" w:cs="宋体"/>
          <w:color w:val="auto"/>
          <w:lang w:eastAsia="zh-CN"/>
        </w:rPr>
        <w:t>二楼会议室</w:t>
      </w:r>
      <w:bookmarkStart w:id="250" w:name="_GoBack"/>
      <w:bookmarkEnd w:id="250"/>
      <w:r>
        <w:rPr>
          <w:rFonts w:hint="eastAsia" w:ascii="仿宋" w:hAnsi="仿宋" w:eastAsia="仿宋" w:cs="宋体"/>
          <w:color w:val="auto"/>
        </w:rPr>
        <w:t>，逾期送达或者未送达指定地点或者未按照磋商文件要求封装的纸质响应文件不予接收。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.3本项目将于上述同一时间、地点进行比选，</w:t>
      </w:r>
      <w:r>
        <w:rPr>
          <w:rFonts w:hint="eastAsia" w:ascii="仿宋" w:hAnsi="仿宋" w:eastAsia="仿宋" w:cs="宋体"/>
        </w:rPr>
        <w:t>采购人邀</w:t>
      </w:r>
      <w:r>
        <w:rPr>
          <w:rFonts w:hint="eastAsia" w:ascii="仿宋" w:hAnsi="仿宋" w:eastAsia="仿宋" w:cs="宋体"/>
          <w:color w:val="000000"/>
        </w:rPr>
        <w:t>请供应商代表准时参加。</w:t>
      </w:r>
    </w:p>
    <w:p>
      <w:pPr>
        <w:spacing w:line="360" w:lineRule="auto"/>
        <w:ind w:firstLine="480"/>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rPr>
        <w:t>.4</w:t>
      </w:r>
      <w:r>
        <w:rPr>
          <w:rFonts w:hint="eastAsia" w:ascii="仿宋" w:hAnsi="仿宋" w:eastAsia="仿宋" w:cs="宋体"/>
          <w:b/>
          <w:bCs/>
          <w:color w:val="000000"/>
        </w:rPr>
        <w:t>出现以下情形之一时，采购人不予接收投标文件：</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.4.1  逾期送达或者未送达指定地点的；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.4.2  未按照响应文件要求密封的；</w:t>
      </w:r>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.4.3  未按照比选邀请要求获取比选文件的。</w:t>
      </w:r>
    </w:p>
    <w:p>
      <w:pPr>
        <w:pStyle w:val="4"/>
        <w:jc w:val="left"/>
        <w:rPr>
          <w:rFonts w:ascii="仿宋" w:hAnsi="仿宋" w:eastAsia="仿宋" w:cs="仿宋"/>
          <w:color w:val="000000"/>
          <w:sz w:val="24"/>
          <w:szCs w:val="24"/>
        </w:rPr>
      </w:pPr>
      <w:bookmarkStart w:id="15" w:name="_Toc874"/>
      <w:bookmarkStart w:id="16" w:name="_Toc22360"/>
      <w:bookmarkStart w:id="17" w:name="_Toc186737795"/>
      <w:r>
        <w:rPr>
          <w:rFonts w:hint="eastAsia" w:ascii="仿宋" w:hAnsi="仿宋" w:eastAsia="仿宋" w:cs="仿宋"/>
          <w:color w:val="000000"/>
          <w:sz w:val="24"/>
          <w:szCs w:val="24"/>
        </w:rPr>
        <w:t>五、发布公告的媒介</w:t>
      </w:r>
      <w:bookmarkEnd w:id="15"/>
      <w:bookmarkEnd w:id="16"/>
      <w:bookmarkEnd w:id="17"/>
    </w:p>
    <w:p>
      <w:pPr>
        <w:spacing w:line="360" w:lineRule="auto"/>
        <w:ind w:firstLine="480"/>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w:t>
      </w:r>
      <w:r>
        <w:rPr>
          <w:rFonts w:hint="eastAsia" w:ascii="仿宋" w:hAnsi="仿宋" w:eastAsia="仿宋" w:cs="宋体"/>
        </w:rPr>
        <w:t>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8" w:name="_Toc26965"/>
      <w:bookmarkStart w:id="19" w:name="_Toc30596"/>
      <w:bookmarkStart w:id="20" w:name="_Toc186737796"/>
      <w:r>
        <w:rPr>
          <w:rFonts w:hint="eastAsia" w:ascii="仿宋" w:hAnsi="仿宋" w:eastAsia="仿宋" w:cs="仿宋"/>
          <w:color w:val="000000"/>
          <w:sz w:val="24"/>
          <w:szCs w:val="24"/>
        </w:rPr>
        <w:t>六、联系方式</w:t>
      </w:r>
      <w:bookmarkEnd w:id="18"/>
      <w:bookmarkEnd w:id="19"/>
      <w:bookmarkEnd w:id="20"/>
    </w:p>
    <w:p>
      <w:pPr>
        <w:tabs>
          <w:tab w:val="left" w:pos="-105"/>
          <w:tab w:val="left" w:pos="420"/>
          <w:tab w:val="left" w:pos="630"/>
          <w:tab w:val="left" w:pos="1155"/>
          <w:tab w:val="left" w:pos="1890"/>
          <w:tab w:val="left" w:pos="3150"/>
          <w:tab w:val="left" w:pos="3780"/>
        </w:tabs>
        <w:bidi w:val="0"/>
        <w:spacing w:line="360" w:lineRule="auto"/>
        <w:ind w:firstLine="482"/>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eastAsia="zh-CN"/>
        </w:rPr>
        <w:t>资阳市</w:t>
      </w:r>
      <w:r>
        <w:rPr>
          <w:rFonts w:hint="eastAsia" w:ascii="仿宋" w:hAnsi="仿宋" w:eastAsia="仿宋" w:cs="仿宋"/>
          <w:b/>
          <w:bCs/>
          <w:color w:val="auto"/>
        </w:rPr>
        <w:t>分公司</w:t>
      </w:r>
    </w:p>
    <w:p>
      <w:pPr>
        <w:bidi w:val="0"/>
        <w:spacing w:line="360" w:lineRule="auto"/>
        <w:ind w:left="1200" w:hanging="720"/>
        <w:rPr>
          <w:rFonts w:ascii="仿宋" w:hAnsi="仿宋" w:eastAsia="仿宋" w:cs="仿宋"/>
          <w:color w:val="auto"/>
        </w:rPr>
      </w:pPr>
      <w:r>
        <w:rPr>
          <w:rFonts w:hint="eastAsia" w:ascii="仿宋" w:hAnsi="仿宋" w:eastAsia="仿宋" w:cs="宋体"/>
          <w:color w:val="auto"/>
        </w:rPr>
        <w:t>地址：四川省资阳市雁江区宝台镇弘城水韵中城建.新城市广场（一期）25号楼25（F)人保财险公司</w:t>
      </w:r>
    </w:p>
    <w:p>
      <w:pPr>
        <w:bidi w:val="0"/>
        <w:spacing w:line="360" w:lineRule="auto"/>
        <w:ind w:firstLine="480"/>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eastAsia="zh-CN"/>
        </w:rPr>
        <w:t>张秋萍</w:t>
      </w:r>
    </w:p>
    <w:p>
      <w:pPr>
        <w:bidi w:val="0"/>
        <w:spacing w:line="360" w:lineRule="auto"/>
        <w:ind w:firstLine="480"/>
        <w:rPr>
          <w:rFonts w:hint="eastAsia" w:ascii="仿宋" w:hAnsi="仿宋" w:eastAsia="仿宋" w:cs="宋体"/>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17828740253</w:t>
      </w:r>
    </w:p>
    <w:p>
      <w:pPr>
        <w:bidi w:val="0"/>
        <w:spacing w:line="360" w:lineRule="auto"/>
        <w:ind w:firstLine="480"/>
        <w:rPr>
          <w:rFonts w:ascii="仿宋" w:hAnsi="仿宋" w:eastAsia="仿宋" w:cs="仿宋"/>
          <w:color w:val="auto"/>
        </w:rPr>
      </w:pPr>
      <w:r>
        <w:rPr>
          <w:rFonts w:hint="eastAsia" w:ascii="仿宋" w:hAnsi="仿宋" w:eastAsia="仿宋" w:cs="宋体"/>
          <w:color w:val="auto"/>
        </w:rPr>
        <w:t>电子邮件：zhangqiuping03@sic.picc.com.cn</w:t>
      </w:r>
    </w:p>
    <w:p>
      <w:pPr>
        <w:bidi w:val="0"/>
        <w:spacing w:line="360" w:lineRule="auto"/>
        <w:ind w:firstLine="480"/>
        <w:jc w:val="right"/>
        <w:rPr>
          <w:rFonts w:ascii="仿宋" w:hAnsi="仿宋" w:eastAsia="仿宋" w:cs="宋体"/>
          <w:color w:val="auto"/>
        </w:rPr>
      </w:pPr>
    </w:p>
    <w:p>
      <w:pPr>
        <w:bidi w:val="0"/>
        <w:spacing w:line="360" w:lineRule="auto"/>
        <w:ind w:firstLine="480"/>
        <w:jc w:val="right"/>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eastAsia="zh-CN"/>
        </w:rPr>
        <w:t>资阳市</w:t>
      </w:r>
      <w:r>
        <w:rPr>
          <w:rFonts w:hint="eastAsia" w:ascii="仿宋" w:hAnsi="仿宋" w:eastAsia="仿宋" w:cs="宋体"/>
          <w:color w:val="auto"/>
        </w:rPr>
        <w:t>分公司</w:t>
      </w:r>
    </w:p>
    <w:p>
      <w:pPr>
        <w:bidi w:val="0"/>
        <w:spacing w:line="360" w:lineRule="auto"/>
        <w:ind w:firstLine="480"/>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08</w:t>
      </w:r>
      <w:r>
        <w:rPr>
          <w:rFonts w:hint="eastAsia" w:ascii="仿宋" w:hAnsi="仿宋" w:eastAsia="仿宋" w:cs="宋体"/>
          <w:color w:val="auto"/>
        </w:rPr>
        <w:t>月</w:t>
      </w:r>
      <w:r>
        <w:rPr>
          <w:rFonts w:hint="eastAsia" w:ascii="仿宋" w:hAnsi="仿宋" w:eastAsia="仿宋" w:cs="宋体"/>
          <w:color w:val="auto"/>
          <w:lang w:val="en-US" w:eastAsia="zh-CN"/>
        </w:rPr>
        <w:t>05</w:t>
      </w:r>
      <w:r>
        <w:rPr>
          <w:rFonts w:hint="eastAsia" w:ascii="仿宋" w:hAnsi="仿宋" w:eastAsia="仿宋" w:cs="宋体"/>
          <w:color w:val="auto"/>
        </w:rPr>
        <w:t>日</w:t>
      </w:r>
    </w:p>
    <w:p>
      <w:pPr>
        <w:pStyle w:val="3"/>
        <w:ind w:left="0" w:firstLine="0"/>
        <w:jc w:val="both"/>
        <w:rPr>
          <w:rFonts w:ascii="仿宋_GB2312" w:hAnsi="宋体" w:eastAsia="仿宋_GB2312"/>
          <w:color w:val="auto"/>
          <w:sz w:val="28"/>
          <w:szCs w:val="28"/>
        </w:rPr>
      </w:pPr>
      <w:r>
        <w:rPr>
          <w:rFonts w:hint="eastAsia" w:ascii="仿宋_GB2312" w:hAnsi="宋体" w:eastAsia="仿宋_GB2312"/>
          <w:color w:val="auto"/>
        </w:rPr>
        <w:br w:type="page" w:clear="all"/>
      </w:r>
      <w:bookmarkStart w:id="21" w:name="_Toc186737797"/>
      <w:bookmarkStart w:id="22" w:name="_Toc16027"/>
      <w:bookmarkStart w:id="23" w:name="_Toc24595"/>
      <w:r>
        <w:rPr>
          <w:rFonts w:hint="eastAsia" w:ascii="仿宋_GB2312" w:hAnsi="宋体" w:eastAsia="仿宋_GB2312"/>
          <w:color w:val="auto"/>
          <w:sz w:val="28"/>
          <w:szCs w:val="28"/>
        </w:rPr>
        <w:t>第二章 供应商须知</w:t>
      </w:r>
      <w:bookmarkEnd w:id="21"/>
      <w:bookmarkEnd w:id="22"/>
      <w:bookmarkEnd w:id="23"/>
    </w:p>
    <w:p>
      <w:pPr>
        <w:pStyle w:val="4"/>
        <w:spacing w:before="0" w:after="0"/>
        <w:rPr>
          <w:sz w:val="24"/>
          <w:szCs w:val="24"/>
        </w:rPr>
      </w:pPr>
      <w:bookmarkStart w:id="24" w:name="_Toc186737798"/>
      <w:bookmarkStart w:id="25" w:name="_Toc13164"/>
      <w:r>
        <w:rPr>
          <w:rFonts w:hint="eastAsia" w:ascii="仿宋" w:hAnsi="仿宋" w:eastAsia="仿宋" w:cs="仿宋"/>
          <w:color w:val="000000"/>
          <w:sz w:val="24"/>
          <w:szCs w:val="24"/>
        </w:rPr>
        <w:t>一、供应商须知前附表</w:t>
      </w:r>
      <w:bookmarkEnd w:id="24"/>
      <w:bookmarkEnd w:id="25"/>
    </w:p>
    <w:tbl>
      <w:tblPr>
        <w:tblStyle w:val="3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noWrap w:val="0"/>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noWrap w:val="0"/>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noWrap w:val="0"/>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noWrap w:val="0"/>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noWrap w:val="0"/>
            <w:vAlign w:val="center"/>
          </w:tcPr>
          <w:p>
            <w:pPr>
              <w:pStyle w:val="232"/>
              <w:spacing w:before="62" w:after="62"/>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227"/>
              <w:spacing w:before="62" w:after="62"/>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rPr>
                <w:rFonts w:ascii="仿宋" w:hAnsi="仿宋" w:eastAsia="仿宋" w:cs="仿宋"/>
                <w:b/>
                <w:color w:val="000000"/>
                <w:szCs w:val="21"/>
              </w:rPr>
            </w:pPr>
            <w:r>
              <w:rPr>
                <w:rFonts w:hint="eastAsia" w:ascii="仿宋" w:hAnsi="仿宋" w:eastAsia="仿宋" w:cs="仿宋"/>
                <w:b/>
                <w:color w:val="000000"/>
                <w:szCs w:val="21"/>
              </w:rPr>
              <w:t>初步评审索引表</w:t>
            </w:r>
          </w:p>
          <w:p>
            <w:r>
              <w:rPr>
                <w:rFonts w:hint="eastAsia" w:ascii="仿宋" w:hAnsi="仿宋" w:eastAsia="仿宋" w:cs="仿宋"/>
                <w:b/>
                <w:color w:val="000000"/>
                <w:szCs w:val="21"/>
              </w:rPr>
              <w:t>详细评审索引表</w:t>
            </w:r>
          </w:p>
          <w:p>
            <w:pPr>
              <w:pStyle w:val="227"/>
              <w:spacing w:before="62" w:after="62"/>
              <w:rPr>
                <w:rFonts w:ascii="仿宋" w:hAnsi="仿宋" w:eastAsia="仿宋" w:cs="仿宋"/>
                <w:color w:val="000000"/>
              </w:rPr>
            </w:pPr>
            <w:r>
              <w:rPr>
                <w:rFonts w:hint="eastAsia" w:ascii="仿宋" w:hAnsi="仿宋" w:eastAsia="仿宋" w:cs="仿宋"/>
                <w:color w:val="000000"/>
              </w:rPr>
              <w:t>（一）响应函</w:t>
            </w:r>
          </w:p>
          <w:p>
            <w:pPr>
              <w:pStyle w:val="232"/>
              <w:spacing w:before="62" w:after="62"/>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232"/>
              <w:spacing w:before="62" w:after="62"/>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227"/>
              <w:spacing w:before="62" w:after="62"/>
              <w:rPr>
                <w:rFonts w:ascii="仿宋" w:hAnsi="仿宋" w:eastAsia="仿宋" w:cs="仿宋"/>
                <w:color w:val="000000"/>
              </w:rPr>
            </w:pPr>
            <w:r>
              <w:rPr>
                <w:rFonts w:hint="eastAsia" w:ascii="仿宋" w:hAnsi="仿宋" w:eastAsia="仿宋" w:cs="仿宋"/>
                <w:color w:val="000000"/>
              </w:rPr>
              <w:t>（四）资格证明文件</w:t>
            </w:r>
          </w:p>
          <w:p>
            <w:pPr>
              <w:pStyle w:val="232"/>
              <w:spacing w:before="62" w:after="62"/>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227"/>
              <w:spacing w:before="62" w:after="62"/>
              <w:rPr>
                <w:rFonts w:ascii="仿宋" w:hAnsi="仿宋" w:eastAsia="仿宋" w:cs="仿宋"/>
                <w:color w:val="000000"/>
              </w:rPr>
            </w:pPr>
            <w:r>
              <w:rPr>
                <w:rFonts w:hint="eastAsia" w:ascii="仿宋" w:hAnsi="仿宋" w:eastAsia="仿宋" w:cs="仿宋"/>
                <w:color w:val="000000"/>
              </w:rPr>
              <w:t>（六）合同条款应答偏离表</w:t>
            </w:r>
          </w:p>
          <w:p>
            <w:pPr>
              <w:pStyle w:val="227"/>
              <w:spacing w:before="62" w:after="62"/>
              <w:rPr>
                <w:rFonts w:ascii="仿宋" w:hAnsi="仿宋" w:eastAsia="仿宋" w:cs="仿宋"/>
                <w:color w:val="000000"/>
              </w:rPr>
            </w:pPr>
            <w:r>
              <w:rPr>
                <w:rFonts w:hint="eastAsia" w:ascii="仿宋" w:hAnsi="仿宋" w:eastAsia="仿宋" w:cs="仿宋"/>
                <w:color w:val="000000"/>
              </w:rPr>
              <w:t>（七）供应商行为准则承诺书</w:t>
            </w:r>
          </w:p>
          <w:p>
            <w:pPr>
              <w:pStyle w:val="227"/>
              <w:spacing w:before="62" w:after="62"/>
              <w:rPr>
                <w:rFonts w:ascii="仿宋" w:hAnsi="仿宋" w:eastAsia="仿宋" w:cs="仿宋"/>
                <w:color w:val="000000"/>
              </w:rPr>
            </w:pPr>
            <w:r>
              <w:rPr>
                <w:rFonts w:hint="eastAsia" w:ascii="仿宋" w:hAnsi="仿宋" w:eastAsia="仿宋"/>
                <w:color w:val="000000"/>
              </w:rPr>
              <w:t>（八）供应商廉洁诚信承诺书</w:t>
            </w:r>
          </w:p>
          <w:p>
            <w:pPr>
              <w:pStyle w:val="227"/>
              <w:spacing w:before="62" w:after="62"/>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二、技术文件</w:t>
            </w:r>
          </w:p>
          <w:p>
            <w:pPr>
              <w:rPr>
                <w:rFonts w:ascii="仿宋" w:hAnsi="仿宋" w:eastAsia="仿宋" w:cs="仿宋"/>
                <w:b/>
                <w:color w:val="000000"/>
                <w:szCs w:val="21"/>
              </w:rPr>
            </w:pPr>
            <w:r>
              <w:rPr>
                <w:rFonts w:hint="eastAsia" w:ascii="仿宋" w:hAnsi="仿宋" w:eastAsia="仿宋" w:cs="仿宋"/>
                <w:b/>
                <w:color w:val="000000"/>
                <w:szCs w:val="21"/>
              </w:rPr>
              <w:t>详细评审索引表</w:t>
            </w:r>
          </w:p>
          <w:p>
            <w:pPr>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227"/>
              <w:spacing w:before="62" w:after="62"/>
              <w:rPr>
                <w:rFonts w:ascii="仿宋" w:hAnsi="仿宋" w:eastAsia="仿宋" w:cs="仿宋"/>
                <w:color w:val="000000"/>
              </w:rPr>
            </w:pPr>
            <w:r>
              <w:rPr>
                <w:rFonts w:hint="eastAsia" w:ascii="仿宋" w:hAnsi="仿宋" w:eastAsia="仿宋" w:cs="仿宋"/>
                <w:color w:val="000000"/>
              </w:rPr>
              <w:t>（二）技术方案</w:t>
            </w:r>
          </w:p>
          <w:p>
            <w:pPr>
              <w:pStyle w:val="227"/>
              <w:spacing w:before="62" w:after="62"/>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rPr>
                <w:rFonts w:ascii="仿宋" w:hAnsi="仿宋" w:eastAsia="仿宋" w:cs="仿宋"/>
                <w:b/>
                <w:color w:val="000000"/>
                <w:szCs w:val="21"/>
              </w:rPr>
            </w:pPr>
            <w:r>
              <w:rPr>
                <w:rFonts w:hint="eastAsia" w:ascii="仿宋" w:hAnsi="仿宋" w:eastAsia="仿宋" w:cs="仿宋"/>
                <w:b/>
                <w:color w:val="000000"/>
                <w:szCs w:val="21"/>
              </w:rPr>
              <w:t>三、报价文件</w:t>
            </w:r>
          </w:p>
          <w:p>
            <w:pPr>
              <w:pStyle w:val="227"/>
              <w:spacing w:before="62" w:after="62"/>
              <w:rPr>
                <w:rFonts w:ascii="仿宋" w:hAnsi="仿宋" w:eastAsia="仿宋" w:cs="仿宋"/>
                <w:color w:val="000000"/>
              </w:rPr>
            </w:pPr>
            <w:r>
              <w:rPr>
                <w:rFonts w:hint="eastAsia" w:ascii="仿宋" w:hAnsi="仿宋" w:eastAsia="仿宋" w:cs="仿宋"/>
                <w:color w:val="000000"/>
              </w:rPr>
              <w:t>（一）报价一览表</w:t>
            </w:r>
          </w:p>
          <w:p>
            <w:pPr>
              <w:pStyle w:val="227"/>
              <w:spacing w:before="62" w:after="62"/>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noWrap w:val="0"/>
            <w:vAlign w:val="center"/>
          </w:tcPr>
          <w:p>
            <w:pPr>
              <w:pStyle w:val="232"/>
              <w:spacing w:before="62" w:after="62"/>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noWrap w:val="0"/>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noWrap w:val="0"/>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noWrap w:val="0"/>
            <w:vAlign w:val="center"/>
          </w:tcPr>
          <w:p>
            <w:pPr>
              <w:pStyle w:val="234"/>
              <w:spacing w:before="62" w:after="62"/>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234"/>
              <w:spacing w:before="62" w:after="62"/>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234"/>
              <w:spacing w:before="62" w:after="62"/>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232"/>
              <w:spacing w:before="62" w:after="62"/>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noWrap w:val="0"/>
            <w:vAlign w:val="center"/>
          </w:tcPr>
          <w:p>
            <w:pPr>
              <w:pStyle w:val="203"/>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noWrap w:val="0"/>
            <w:vAlign w:val="center"/>
          </w:tcPr>
          <w:p>
            <w:pPr>
              <w:pStyle w:val="203"/>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宋体"/>
                <w:color w:val="000000"/>
                <w:sz w:val="21"/>
                <w:szCs w:val="21"/>
                <w:lang w:val="en-US" w:eastAsia="zh-CN" w:bidi="ar-SA"/>
              </w:rPr>
              <w:t>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noWrap w:val="0"/>
            <w:vAlign w:val="center"/>
          </w:tcPr>
          <w:p>
            <w:pPr>
              <w:pStyle w:val="203"/>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noWrap w:val="0"/>
            <w:vAlign w:val="center"/>
          </w:tcPr>
          <w:p>
            <w:pPr>
              <w:pStyle w:val="203"/>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000000"/>
                <w:sz w:val="21"/>
                <w:szCs w:val="21"/>
                <w:lang w:val="en-US" w:eastAsia="zh-CN"/>
              </w:rPr>
              <w:t>盖鲜章PDF</w:t>
            </w: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2</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noWrap w:val="0"/>
            <w:vAlign w:val="center"/>
          </w:tcPr>
          <w:p>
            <w:pPr>
              <w:pStyle w:val="203"/>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noWrap w:val="0"/>
            <w:vAlign w:val="center"/>
          </w:tcPr>
          <w:p>
            <w:pPr>
              <w:pStyle w:val="227"/>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203"/>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noWrap w:val="0"/>
            <w:vAlign w:val="center"/>
          </w:tcPr>
          <w:p>
            <w:pPr>
              <w:pStyle w:val="203"/>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noWrap w:val="0"/>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203"/>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0" distR="0">
                      <wp:extent cx="4320540" cy="2775585"/>
                      <wp:effectExtent l="4445" t="4445" r="5715" b="13970"/>
                      <wp:docPr id="5"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gyUa9YAAAAFAQAADwAA&#10;AAAAAAABACAAAAA4AAAAZHJzL2Rvd25yZXYueG1sUEsBAhQAFAAAAAgAh07iQNOqhUQ7AgAAkAQA&#10;AA4AAAAAAAAAAQAgAAAAOwEAAGRycy9lMm9Eb2MueG1sUEsFBgAAAAAGAAYAWQEAAOgFA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noWrap w:val="0"/>
            <w:vAlign w:val="center"/>
          </w:tcPr>
          <w:p>
            <w:pPr>
              <w:spacing w:line="400" w:lineRule="exact"/>
              <w:ind w:left="77" w:right="132" w:firstLine="67"/>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000000"/>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noWrap w:val="0"/>
            <w:vAlign w:val="center"/>
          </w:tcPr>
          <w:p>
            <w:pPr>
              <w:pStyle w:val="227"/>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逐一进行比选，供应商至少应派法定代表人或其授权委托人准时参会。</w:t>
            </w:r>
          </w:p>
          <w:p>
            <w:pPr>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noWrap w:val="0"/>
            <w:vAlign w:val="center"/>
          </w:tcPr>
          <w:p>
            <w:pPr>
              <w:spacing w:line="400" w:lineRule="exact"/>
              <w:ind w:left="146"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FF0000"/>
                <w:sz w:val="22"/>
                <w:szCs w:val="22"/>
                <w:u w:val="single"/>
              </w:rPr>
              <w:t>1名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lang w:eastAsia="zh-CN"/>
              </w:rPr>
              <w:t>商务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noWrap w:val="0"/>
            <w:vAlign w:val="center"/>
          </w:tcPr>
          <w:p>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noWrap w:val="0"/>
            <w:vAlign w:val="center"/>
          </w:tcPr>
          <w:p>
            <w:pPr>
              <w:pStyle w:val="227"/>
              <w:spacing w:before="62" w:after="62"/>
              <w:rPr>
                <w:rFonts w:hint="eastAsia" w:ascii="仿宋" w:hAnsi="仿宋" w:eastAsia="仿宋" w:cs="仿宋"/>
                <w:sz w:val="22"/>
                <w:szCs w:val="22"/>
                <w:lang w:val="en-US" w:eastAsia="zh-CN" w:bidi="ar-SA"/>
              </w:rPr>
            </w:pPr>
            <w:r>
              <w:rPr>
                <w:rFonts w:hint="eastAsia" w:ascii="仿宋" w:hAnsi="仿宋" w:eastAsia="仿宋" w:cs="仿宋"/>
                <w:color w:val="000000"/>
                <w:sz w:val="22"/>
                <w:szCs w:val="22"/>
              </w:rPr>
              <w:t>成交</w:t>
            </w:r>
            <w:r>
              <w:rPr>
                <w:rFonts w:hint="eastAsia" w:ascii="仿宋" w:hAnsi="仿宋" w:eastAsia="仿宋" w:cs="仿宋"/>
                <w:sz w:val="22"/>
                <w:szCs w:val="22"/>
                <w:lang w:val="en-US" w:eastAsia="zh-CN" w:bidi="ar-SA"/>
              </w:rPr>
              <w:t>人数量：1家</w:t>
            </w:r>
          </w:p>
          <w:p>
            <w:pPr>
              <w:spacing w:line="400" w:lineRule="exact"/>
              <w:rPr>
                <w:rFonts w:ascii="仿宋" w:hAnsi="仿宋" w:eastAsia="仿宋" w:cs="仿宋"/>
                <w:color w:val="000000"/>
              </w:rPr>
            </w:pPr>
            <w:r>
              <w:rPr>
                <w:rFonts w:hint="eastAsia" w:ascii="仿宋" w:hAnsi="仿宋" w:eastAsia="仿宋" w:cs="仿宋"/>
                <w:sz w:val="22"/>
                <w:szCs w:val="22"/>
                <w:lang w:val="en-US" w:eastAsia="zh-CN" w:bidi="ar-SA"/>
              </w:rPr>
              <w:t>综合排名第一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noWrap w:val="0"/>
            <w:vAlign w:val="center"/>
          </w:tcPr>
          <w:p>
            <w:pPr>
              <w:spacing w:line="400" w:lineRule="exact"/>
              <w:ind w:left="77" w:right="132" w:firstLine="67"/>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noWrap w:val="0"/>
            <w:vAlign w:val="center"/>
          </w:tcPr>
          <w:p>
            <w:pPr>
              <w:pStyle w:val="227"/>
              <w:spacing w:before="62" w:after="62"/>
              <w:rPr>
                <w:rFonts w:ascii="仿宋" w:hAnsi="仿宋" w:eastAsia="仿宋" w:cs="仿宋"/>
                <w:color w:val="000000"/>
              </w:rPr>
            </w:pPr>
            <w:r>
              <w:rPr>
                <w:rFonts w:ascii="Wingdings 2" w:hAnsi="Wingdings 2" w:eastAsia="Wingdings 2" w:cs="Wingdings 2"/>
                <w:color w:val="auto"/>
              </w:rPr>
              <w:t>R</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203"/>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noWrap w:val="0"/>
            <w:vAlign w:val="center"/>
          </w:tcPr>
          <w:p>
            <w:pPr>
              <w:spacing w:line="400" w:lineRule="exact"/>
              <w:ind w:left="77" w:right="132" w:firstLine="67"/>
              <w:jc w:val="center"/>
              <w:rPr>
                <w:rFonts w:ascii="仿宋_GB2312" w:hAnsi="宋体" w:eastAsia="仿宋_GB2312"/>
                <w:szCs w:val="21"/>
              </w:rPr>
            </w:pPr>
            <w:r>
              <w:rPr>
                <w:rFonts w:hint="eastAsia" w:ascii="仿宋_GB2312" w:hAnsi="宋体" w:eastAsia="仿宋_GB2312"/>
                <w:szCs w:val="21"/>
              </w:rPr>
              <w:t>合同签署</w:t>
            </w:r>
          </w:p>
        </w:tc>
        <w:tc>
          <w:tcPr>
            <w:tcW w:w="7199" w:type="dxa"/>
            <w:noWrap w:val="0"/>
            <w:vAlign w:val="center"/>
          </w:tcPr>
          <w:p>
            <w:pPr>
              <w:spacing w:line="400" w:lineRule="exact"/>
              <w:ind w:left="146" w:firstLine="2"/>
              <w:rPr>
                <w:rFonts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仿宋"/>
                <w:sz w:val="22"/>
                <w:lang w:eastAsia="zh-CN"/>
              </w:rPr>
              <w:t>资阳</w:t>
            </w:r>
            <w:r>
              <w:rPr>
                <w:rFonts w:ascii="仿宋" w:hAnsi="仿宋" w:eastAsia="仿宋" w:cs="仿宋"/>
                <w:sz w:val="22"/>
              </w:rPr>
              <w:t>分公司</w:t>
            </w:r>
            <w:r>
              <w:rPr>
                <w:rFonts w:hint="eastAsia" w:ascii="仿宋" w:hAnsi="仿宋" w:eastAsia="仿宋" w:cs="仿宋"/>
                <w:sz w:val="22"/>
              </w:rPr>
              <w:t>，</w:t>
            </w:r>
            <w:r>
              <w:rPr>
                <w:rFonts w:ascii="仿宋" w:hAnsi="仿宋" w:eastAsia="仿宋" w:cs="仿宋"/>
                <w:sz w:val="22"/>
              </w:rPr>
              <w:t>实际合同签署人为采购</w:t>
            </w:r>
            <w:r>
              <w:rPr>
                <w:rFonts w:hint="eastAsia" w:ascii="仿宋" w:hAnsi="仿宋" w:eastAsia="仿宋" w:cs="仿宋"/>
                <w:sz w:val="22"/>
              </w:rPr>
              <w:t>人。</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26" w:name="_Toc287600118"/>
      <w:bookmarkStart w:id="27" w:name="_Toc6047"/>
      <w:bookmarkStart w:id="28" w:name="_Toc517281816"/>
      <w:bookmarkStart w:id="29" w:name="_Toc20514"/>
      <w:bookmarkStart w:id="30" w:name="_Toc19783313"/>
      <w:bookmarkStart w:id="31" w:name="_Toc11071"/>
      <w:bookmarkStart w:id="32" w:name="_Toc444891336"/>
      <w:bookmarkStart w:id="33" w:name="_Toc27232"/>
      <w:bookmarkStart w:id="34" w:name="_Toc6545"/>
      <w:bookmarkStart w:id="35" w:name="_Toc27220"/>
      <w:bookmarkStart w:id="36" w:name="_Toc186737799"/>
      <w:r>
        <w:rPr>
          <w:rFonts w:hint="eastAsia" w:ascii="仿宋" w:hAnsi="仿宋" w:eastAsia="仿宋" w:cs="仿宋"/>
          <w:color w:val="000000"/>
          <w:sz w:val="24"/>
          <w:szCs w:val="24"/>
        </w:rPr>
        <w:t>二、供应商须知</w:t>
      </w:r>
      <w:bookmarkEnd w:id="26"/>
      <w:bookmarkEnd w:id="27"/>
      <w:bookmarkEnd w:id="28"/>
      <w:bookmarkEnd w:id="29"/>
      <w:bookmarkEnd w:id="30"/>
      <w:bookmarkEnd w:id="31"/>
      <w:bookmarkEnd w:id="32"/>
      <w:bookmarkEnd w:id="33"/>
      <w:r>
        <w:rPr>
          <w:rFonts w:hint="eastAsia" w:ascii="仿宋" w:hAnsi="仿宋" w:eastAsia="仿宋" w:cs="仿宋"/>
          <w:color w:val="000000"/>
          <w:sz w:val="24"/>
          <w:szCs w:val="24"/>
        </w:rPr>
        <w:t>正文</w:t>
      </w:r>
      <w:bookmarkEnd w:id="34"/>
      <w:bookmarkEnd w:id="35"/>
      <w:bookmarkEnd w:id="36"/>
    </w:p>
    <w:p>
      <w:pPr>
        <w:pStyle w:val="5"/>
        <w:spacing w:before="0" w:after="0" w:line="360" w:lineRule="auto"/>
        <w:ind w:firstLine="482"/>
        <w:rPr>
          <w:rFonts w:ascii="仿宋" w:hAnsi="仿宋" w:eastAsia="仿宋" w:cs="仿宋"/>
          <w:color w:val="000000"/>
          <w:sz w:val="24"/>
          <w:szCs w:val="24"/>
        </w:rPr>
      </w:pPr>
      <w:bookmarkStart w:id="37" w:name="_Toc22969"/>
      <w:bookmarkStart w:id="38" w:name="_Toc6681"/>
      <w:bookmarkStart w:id="39" w:name="_Toc287600119"/>
      <w:bookmarkStart w:id="40" w:name="_Toc16441"/>
      <w:bookmarkStart w:id="41" w:name="_Toc29119"/>
      <w:bookmarkStart w:id="42" w:name="_Toc431"/>
      <w:bookmarkStart w:id="43" w:name="_Toc517281817"/>
      <w:bookmarkStart w:id="44" w:name="_Toc19783314"/>
      <w:bookmarkStart w:id="45" w:name="_Toc186737800"/>
      <w:bookmarkStart w:id="46" w:name="_Toc3678"/>
      <w:bookmarkStart w:id="47" w:name="_Toc11851"/>
      <w:bookmarkStart w:id="48" w:name="_Toc444891337"/>
      <w:r>
        <w:rPr>
          <w:rFonts w:hint="eastAsia" w:ascii="仿宋" w:hAnsi="仿宋" w:eastAsia="仿宋" w:cs="仿宋"/>
          <w:color w:val="000000"/>
          <w:sz w:val="24"/>
          <w:szCs w:val="24"/>
        </w:rPr>
        <w:t>（一）总 则</w:t>
      </w:r>
      <w:bookmarkEnd w:id="37"/>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49" w:name="_Toc444891338"/>
      <w:bookmarkStart w:id="50" w:name="_Toc25513"/>
      <w:bookmarkStart w:id="51" w:name="_Toc1999"/>
      <w:bookmarkStart w:id="52" w:name="_Toc14164"/>
      <w:bookmarkStart w:id="53" w:name="_Toc10975"/>
      <w:bookmarkStart w:id="54" w:name="_Toc517281818"/>
      <w:bookmarkStart w:id="55" w:name="_Toc24246"/>
      <w:bookmarkStart w:id="56" w:name="_Toc186737801"/>
      <w:bookmarkStart w:id="57" w:name="_Toc5255"/>
      <w:bookmarkStart w:id="58" w:name="_Toc3016"/>
      <w:bookmarkStart w:id="59" w:name="_Toc19783315"/>
      <w:bookmarkStart w:id="60" w:name="_Toc287600120"/>
      <w:r>
        <w:rPr>
          <w:rFonts w:hint="eastAsia" w:ascii="仿宋" w:hAnsi="仿宋" w:eastAsia="仿宋" w:cs="仿宋"/>
          <w:color w:val="000000"/>
          <w:sz w:val="24"/>
          <w:szCs w:val="24"/>
        </w:rPr>
        <w:t>（二）比选文件</w:t>
      </w:r>
      <w:bookmarkEnd w:id="49"/>
      <w:bookmarkEnd w:id="50"/>
      <w:bookmarkEnd w:id="51"/>
      <w:bookmarkEnd w:id="52"/>
      <w:bookmarkEnd w:id="53"/>
      <w:bookmarkEnd w:id="54"/>
      <w:bookmarkEnd w:id="55"/>
      <w:bookmarkEnd w:id="56"/>
      <w:bookmarkEnd w:id="57"/>
      <w:bookmarkEnd w:id="58"/>
      <w:bookmarkEnd w:id="59"/>
      <w:bookmarkEnd w:id="60"/>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21"/>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21"/>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21"/>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21"/>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第六章 响应文件格式</w:t>
      </w:r>
    </w:p>
    <w:p>
      <w:pPr>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61" w:name="_Toc14308"/>
      <w:bookmarkStart w:id="62" w:name="_Toc27563"/>
      <w:bookmarkStart w:id="63" w:name="_Toc28293"/>
      <w:bookmarkStart w:id="64" w:name="_Toc13691"/>
      <w:bookmarkStart w:id="65" w:name="_Toc287600121"/>
      <w:bookmarkStart w:id="66" w:name="_Toc19783316"/>
      <w:bookmarkStart w:id="67" w:name="_Toc27642"/>
      <w:bookmarkStart w:id="68" w:name="_Toc31141"/>
      <w:bookmarkStart w:id="69" w:name="_Toc444891339"/>
      <w:bookmarkStart w:id="70" w:name="_Toc186737802"/>
      <w:bookmarkStart w:id="71" w:name="_Toc16985"/>
      <w:bookmarkStart w:id="72" w:name="_Toc517281819"/>
      <w:r>
        <w:rPr>
          <w:rFonts w:hint="eastAsia" w:ascii="仿宋" w:hAnsi="仿宋" w:eastAsia="仿宋" w:cs="仿宋"/>
          <w:color w:val="000000"/>
          <w:sz w:val="24"/>
          <w:szCs w:val="24"/>
        </w:rPr>
        <w:t>（三）响应文件</w:t>
      </w:r>
      <w:bookmarkEnd w:id="61"/>
      <w:bookmarkEnd w:id="62"/>
      <w:bookmarkEnd w:id="63"/>
      <w:bookmarkEnd w:id="64"/>
      <w:bookmarkEnd w:id="65"/>
      <w:bookmarkEnd w:id="66"/>
      <w:bookmarkEnd w:id="67"/>
      <w:bookmarkEnd w:id="68"/>
      <w:bookmarkEnd w:id="69"/>
      <w:bookmarkEnd w:id="70"/>
      <w:bookmarkEnd w:id="71"/>
      <w:bookmarkEnd w:id="72"/>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3"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bookmarkEnd w:id="73"/>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74" w:name="_Toc4155"/>
      <w:bookmarkStart w:id="75" w:name="_Toc444891340"/>
      <w:bookmarkStart w:id="76" w:name="_Toc14726"/>
      <w:bookmarkStart w:id="77" w:name="_Toc287600122"/>
      <w:bookmarkStart w:id="78" w:name="_Toc517281820"/>
      <w:bookmarkStart w:id="79" w:name="_Toc19783317"/>
      <w:bookmarkStart w:id="80" w:name="_Toc21600"/>
      <w:bookmarkStart w:id="81" w:name="_Toc7129"/>
      <w:bookmarkStart w:id="82" w:name="_Toc18673"/>
      <w:bookmarkStart w:id="83" w:name="_Toc186737803"/>
      <w:bookmarkStart w:id="84" w:name="_Toc17865"/>
      <w:bookmarkStart w:id="85" w:name="_Toc29094"/>
      <w:r>
        <w:rPr>
          <w:rFonts w:hint="eastAsia" w:ascii="仿宋" w:hAnsi="仿宋" w:eastAsia="仿宋" w:cs="仿宋"/>
          <w:color w:val="000000"/>
          <w:sz w:val="24"/>
          <w:szCs w:val="24"/>
        </w:rPr>
        <w:t>（四）响应文件的</w:t>
      </w:r>
      <w:bookmarkEnd w:id="74"/>
      <w:bookmarkEnd w:id="75"/>
      <w:bookmarkEnd w:id="76"/>
      <w:bookmarkEnd w:id="77"/>
      <w:bookmarkEnd w:id="78"/>
      <w:bookmarkEnd w:id="79"/>
      <w:bookmarkEnd w:id="80"/>
      <w:bookmarkEnd w:id="81"/>
      <w:bookmarkEnd w:id="82"/>
      <w:r>
        <w:rPr>
          <w:rFonts w:hint="eastAsia" w:ascii="仿宋" w:hAnsi="仿宋" w:eastAsia="仿宋" w:cs="仿宋"/>
          <w:color w:val="000000"/>
          <w:sz w:val="24"/>
          <w:szCs w:val="24"/>
        </w:rPr>
        <w:t>递交</w:t>
      </w:r>
      <w:bookmarkEnd w:id="83"/>
      <w:bookmarkEnd w:id="84"/>
      <w:bookmarkEnd w:id="85"/>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86" w:name="_Toc152042334"/>
      <w:bookmarkStart w:id="87" w:name="_Toc152045558"/>
      <w:bookmarkStart w:id="88" w:name="_Toc334766948"/>
      <w:bookmarkStart w:id="89" w:name="_Toc246996945"/>
      <w:bookmarkStart w:id="90" w:name="_Toc247085716"/>
      <w:bookmarkStart w:id="91" w:name="_Toc246996202"/>
      <w:bookmarkStart w:id="92" w:name="_Toc179632576"/>
      <w:bookmarkStart w:id="93" w:name="_Toc326223561"/>
      <w:bookmarkStart w:id="94" w:name="_Toc144974526"/>
      <w:bookmarkStart w:id="95" w:name="_Toc332188194"/>
      <w:r>
        <w:rPr>
          <w:rFonts w:ascii="仿宋" w:hAnsi="仿宋" w:eastAsia="仿宋" w:cs="仿宋"/>
          <w:color w:val="000000"/>
        </w:rPr>
        <w:t>15.2</w:t>
      </w:r>
      <w:bookmarkEnd w:id="86"/>
      <w:bookmarkEnd w:id="87"/>
      <w:bookmarkEnd w:id="88"/>
      <w:bookmarkEnd w:id="89"/>
      <w:bookmarkEnd w:id="90"/>
      <w:bookmarkEnd w:id="91"/>
      <w:bookmarkEnd w:id="92"/>
      <w:bookmarkEnd w:id="93"/>
      <w:bookmarkEnd w:id="94"/>
      <w:bookmarkEnd w:id="95"/>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96" w:name="_Toc2636"/>
      <w:bookmarkStart w:id="97" w:name="_Toc30466"/>
      <w:bookmarkStart w:id="98" w:name="_Toc444891341"/>
      <w:bookmarkStart w:id="99" w:name="_Toc27813"/>
      <w:bookmarkStart w:id="100" w:name="_Toc12797"/>
      <w:bookmarkStart w:id="101" w:name="_Toc517281821"/>
      <w:bookmarkStart w:id="102" w:name="_Toc287600123"/>
      <w:bookmarkStart w:id="103" w:name="_Toc186737804"/>
      <w:bookmarkStart w:id="104" w:name="_Toc2055"/>
      <w:bookmarkStart w:id="105" w:name="_Toc20741"/>
      <w:bookmarkStart w:id="106" w:name="_Toc11361"/>
      <w:r>
        <w:rPr>
          <w:rFonts w:hint="eastAsia" w:ascii="仿宋" w:hAnsi="仿宋" w:eastAsia="仿宋" w:cs="仿宋"/>
          <w:color w:val="000000"/>
          <w:sz w:val="24"/>
          <w:szCs w:val="24"/>
        </w:rPr>
        <w:t>（五）比选和评审</w:t>
      </w:r>
      <w:bookmarkEnd w:id="96"/>
      <w:bookmarkEnd w:id="97"/>
      <w:bookmarkEnd w:id="98"/>
      <w:bookmarkEnd w:id="99"/>
      <w:bookmarkEnd w:id="100"/>
      <w:bookmarkEnd w:id="101"/>
      <w:bookmarkEnd w:id="102"/>
      <w:bookmarkEnd w:id="103"/>
      <w:bookmarkEnd w:id="104"/>
      <w:bookmarkEnd w:id="105"/>
      <w:bookmarkEnd w:id="106"/>
    </w:p>
    <w:p>
      <w:pPr>
        <w:pStyle w:val="6"/>
        <w:spacing w:before="0" w:after="0" w:line="360" w:lineRule="auto"/>
        <w:rPr>
          <w:rFonts w:ascii="仿宋" w:hAnsi="仿宋" w:eastAsia="仿宋" w:cs="仿宋"/>
          <w:color w:val="000000"/>
          <w:sz w:val="24"/>
          <w:szCs w:val="24"/>
        </w:rPr>
      </w:pPr>
      <w:bookmarkStart w:id="107" w:name="_Toc234223229"/>
      <w:bookmarkStart w:id="108"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07"/>
      <w:r>
        <w:rPr>
          <w:rFonts w:hint="eastAsia" w:ascii="仿宋" w:hAnsi="仿宋" w:eastAsia="仿宋" w:cs="仿宋"/>
          <w:color w:val="000000"/>
          <w:sz w:val="24"/>
          <w:szCs w:val="24"/>
        </w:rPr>
        <w:t>比选小组</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109"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bookmarkEnd w:id="109"/>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bookmarkEnd w:id="108"/>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未在响应文件中提及和承诺，但又未明确书面提出异议的事项，按本比选比选邀请函的有关要求执行。</w:t>
      </w:r>
    </w:p>
    <w:p>
      <w:pPr>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pacing w:after="0" w:line="360" w:lineRule="auto"/>
        <w:ind w:right="-57" w:firstLine="48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pacing w:after="0" w:line="360" w:lineRule="auto"/>
        <w:ind w:right="-57" w:firstLine="424"/>
        <w:rPr>
          <w:rFonts w:ascii="仿宋_GB2312" w:hAnsi="宋体" w:eastAsia="仿宋_GB2312"/>
        </w:rPr>
      </w:pPr>
      <w:r>
        <w:rPr>
          <w:rFonts w:hint="eastAsia" w:ascii="仿宋_GB2312" w:hAnsi="宋体" w:eastAsia="仿宋_GB2312"/>
        </w:rPr>
        <w:t>（1）成交候选供应商存在违法、违纪行为的；</w:t>
      </w:r>
    </w:p>
    <w:p>
      <w:pPr>
        <w:pStyle w:val="2"/>
        <w:spacing w:after="0" w:line="360" w:lineRule="auto"/>
        <w:ind w:right="-57" w:firstLine="424"/>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pacing w:after="0" w:line="360" w:lineRule="auto"/>
        <w:ind w:right="-57" w:firstLine="424"/>
        <w:rPr>
          <w:rFonts w:ascii="仿宋_GB2312" w:hAnsi="宋体" w:eastAsia="仿宋_GB2312"/>
        </w:rPr>
      </w:pPr>
      <w:r>
        <w:rPr>
          <w:rFonts w:hint="eastAsia" w:ascii="仿宋_GB2312" w:hAnsi="宋体" w:eastAsia="仿宋_GB2312"/>
        </w:rPr>
        <w:t>（3）成交候选供应商书面自愿放弃成交，且无其他非法目的的；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pacing w:after="0" w:line="360" w:lineRule="auto"/>
        <w:ind w:right="-57" w:firstLine="424"/>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pacing w:after="0" w:line="360" w:lineRule="auto"/>
        <w:ind w:right="-57" w:firstLine="424"/>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110" w:name="_Toc234223231"/>
      <w:bookmarkStart w:id="111" w:name="_Toc28031"/>
      <w:bookmarkStart w:id="112" w:name="_Toc517281822"/>
      <w:bookmarkStart w:id="113" w:name="_Toc13936"/>
      <w:bookmarkStart w:id="114" w:name="_Toc16781"/>
      <w:bookmarkStart w:id="115" w:name="_Toc186737805"/>
      <w:bookmarkStart w:id="116" w:name="_Toc12277"/>
      <w:bookmarkStart w:id="117" w:name="_Toc287600124"/>
      <w:bookmarkStart w:id="118" w:name="_Toc444891342"/>
      <w:bookmarkStart w:id="119" w:name="_Toc9911"/>
      <w:bookmarkStart w:id="120" w:name="_Toc19451"/>
      <w:bookmarkStart w:id="121" w:name="_Toc2322"/>
      <w:r>
        <w:rPr>
          <w:rFonts w:hint="eastAsia" w:ascii="仿宋" w:hAnsi="仿宋" w:eastAsia="仿宋" w:cs="仿宋"/>
          <w:color w:val="000000"/>
          <w:sz w:val="24"/>
          <w:szCs w:val="24"/>
        </w:rPr>
        <w:t>（六）授予合同</w:t>
      </w:r>
      <w:bookmarkEnd w:id="110"/>
      <w:bookmarkEnd w:id="111"/>
      <w:bookmarkEnd w:id="112"/>
      <w:bookmarkEnd w:id="113"/>
      <w:bookmarkEnd w:id="114"/>
      <w:bookmarkEnd w:id="115"/>
      <w:bookmarkEnd w:id="116"/>
      <w:bookmarkEnd w:id="117"/>
      <w:bookmarkEnd w:id="118"/>
      <w:bookmarkEnd w:id="119"/>
      <w:bookmarkEnd w:id="120"/>
      <w:bookmarkEnd w:id="121"/>
    </w:p>
    <w:p>
      <w:pPr>
        <w:pStyle w:val="6"/>
        <w:spacing w:before="0" w:after="0" w:line="360" w:lineRule="auto"/>
        <w:rPr>
          <w:rFonts w:ascii="仿宋" w:hAnsi="仿宋" w:eastAsia="仿宋" w:cs="仿宋"/>
          <w:color w:val="000000"/>
          <w:sz w:val="24"/>
          <w:szCs w:val="24"/>
        </w:rPr>
      </w:pPr>
      <w:bookmarkStart w:id="122"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22"/>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23" w:name="_Toc17619"/>
      <w:bookmarkStart w:id="124" w:name="_Toc10670"/>
      <w:bookmarkStart w:id="125" w:name="_Toc186737806"/>
      <w:bookmarkStart w:id="126" w:name="_Toc8109"/>
      <w:r>
        <w:rPr>
          <w:rFonts w:hint="eastAsia" w:ascii="仿宋" w:hAnsi="仿宋" w:eastAsia="仿宋" w:cs="仿宋"/>
          <w:sz w:val="28"/>
          <w:szCs w:val="28"/>
        </w:rPr>
        <w:t>第三章 评审办法</w:t>
      </w:r>
      <w:bookmarkEnd w:id="123"/>
      <w:bookmarkEnd w:id="124"/>
      <w:bookmarkEnd w:id="125"/>
    </w:p>
    <w:p>
      <w:pPr>
        <w:pStyle w:val="4"/>
        <w:jc w:val="left"/>
        <w:rPr>
          <w:rFonts w:ascii="仿宋" w:hAnsi="仿宋" w:eastAsia="仿宋" w:cs="仿宋"/>
          <w:color w:val="000000"/>
          <w:sz w:val="24"/>
          <w:szCs w:val="24"/>
        </w:rPr>
      </w:pPr>
      <w:bookmarkStart w:id="127" w:name="_Toc7201"/>
      <w:bookmarkStart w:id="128" w:name="_Toc517281825"/>
      <w:bookmarkStart w:id="129" w:name="_Toc444891344"/>
      <w:bookmarkStart w:id="130" w:name="_Toc14012"/>
      <w:bookmarkStart w:id="131" w:name="_Toc186737807"/>
      <w:bookmarkStart w:id="132" w:name="_Toc226969358"/>
      <w:bookmarkStart w:id="133" w:name="_Toc227057964"/>
      <w:r>
        <w:rPr>
          <w:rFonts w:hint="eastAsia" w:ascii="仿宋" w:hAnsi="仿宋" w:eastAsia="仿宋" w:cs="仿宋"/>
          <w:color w:val="000000"/>
          <w:sz w:val="24"/>
          <w:szCs w:val="24"/>
        </w:rPr>
        <w:t>一、评审程序</w:t>
      </w:r>
      <w:bookmarkEnd w:id="127"/>
      <w:bookmarkEnd w:id="128"/>
      <w:bookmarkEnd w:id="129"/>
      <w:bookmarkEnd w:id="130"/>
      <w:bookmarkEnd w:id="131"/>
    </w:p>
    <w:p>
      <w:pPr>
        <w:spacing w:line="360" w:lineRule="auto"/>
        <w:ind w:firstLine="48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420"/>
        <w:rPr>
          <w:rFonts w:ascii="仿宋" w:hAnsi="仿宋" w:eastAsia="仿宋" w:cs="仿宋"/>
        </w:rPr>
      </w:pPr>
      <w:r>
        <w:rPr>
          <w:rFonts w:hint="eastAsia" w:ascii="仿宋" w:hAnsi="仿宋" w:eastAsia="仿宋" w:cs="仿宋"/>
        </w:rPr>
        <w:t>5.通过初步评审的供应商分别进行比选；</w:t>
      </w:r>
    </w:p>
    <w:p>
      <w:pPr>
        <w:spacing w:line="360" w:lineRule="auto"/>
        <w:ind w:firstLine="420"/>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rPr>
          <w:rFonts w:hint="eastAsia"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spacing w:line="360" w:lineRule="auto"/>
        <w:ind w:firstLine="420"/>
        <w:rPr>
          <w:rFonts w:ascii="仿宋" w:hAnsi="仿宋" w:eastAsia="仿宋" w:cs="仿宋"/>
          <w:color w:val="000000"/>
        </w:rPr>
      </w:pPr>
    </w:p>
    <w:p>
      <w:pPr>
        <w:spacing w:line="360" w:lineRule="auto"/>
        <w:ind w:firstLine="420"/>
        <w:rPr>
          <w:rFonts w:ascii="仿宋" w:hAnsi="仿宋" w:eastAsia="仿宋" w:cs="仿宋"/>
          <w:color w:val="000000"/>
          <w:highlight w:val="none"/>
        </w:rPr>
      </w:pPr>
    </w:p>
    <w:p>
      <w:pPr>
        <w:spacing w:line="360" w:lineRule="auto"/>
        <w:ind w:firstLine="420"/>
        <w:rPr>
          <w:rFonts w:ascii="仿宋" w:hAnsi="仿宋" w:eastAsia="仿宋" w:cs="仿宋"/>
          <w:color w:val="000000"/>
          <w:highlight w:val="none"/>
        </w:rPr>
      </w:pPr>
      <w:bookmarkStart w:id="134" w:name="_Toc186737808"/>
      <w:bookmarkStart w:id="135" w:name="_Toc32019"/>
      <w:bookmarkStart w:id="136" w:name="_Toc444891345"/>
      <w:bookmarkStart w:id="137" w:name="_Toc10402"/>
      <w:bookmarkStart w:id="138" w:name="_Toc517281826"/>
      <w:r>
        <w:rPr>
          <w:rFonts w:hint="eastAsia" w:ascii="仿宋" w:hAnsi="仿宋" w:eastAsia="仿宋" w:cs="仿宋"/>
          <w:color w:val="000000"/>
          <w:sz w:val="24"/>
          <w:szCs w:val="24"/>
        </w:rPr>
        <w:t>二、初步评审</w:t>
      </w:r>
      <w:bookmarkEnd w:id="132"/>
      <w:bookmarkEnd w:id="133"/>
      <w:bookmarkEnd w:id="134"/>
      <w:bookmarkEnd w:id="135"/>
      <w:bookmarkEnd w:id="136"/>
      <w:bookmarkEnd w:id="137"/>
      <w:bookmarkEnd w:id="138"/>
    </w:p>
    <w:tbl>
      <w:tblPr>
        <w:tblStyle w:val="3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noWrap w:val="0"/>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noWrap w:val="0"/>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noWrap w:val="0"/>
            <w:vAlign w:val="center"/>
          </w:tcPr>
          <w:p>
            <w:pPr>
              <w:pStyle w:val="239"/>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238"/>
              <w:tabs>
                <w:tab w:val="left" w:pos="630"/>
              </w:tabs>
              <w:spacing w:before="62" w:after="62"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noWrap w:val="0"/>
            <w:vAlign w:val="center"/>
          </w:tcPr>
          <w:p>
            <w:pPr>
              <w:pStyle w:val="239"/>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239"/>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noWrap w:val="0"/>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227"/>
              <w:spacing w:before="62" w:after="62"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noWrap w:val="0"/>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Monaco"/>
                <w:color w:val="000000"/>
                <w:sz w:val="22"/>
                <w:szCs w:val="21"/>
              </w:rPr>
              <w:t>具有依法缴纳税收和社会保障资金的良好记录</w:t>
            </w:r>
          </w:p>
        </w:tc>
        <w:tc>
          <w:tcPr>
            <w:tcW w:w="3002" w:type="pct"/>
            <w:noWrap w:val="0"/>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非联合体投标</w:t>
            </w:r>
          </w:p>
        </w:tc>
        <w:tc>
          <w:tcPr>
            <w:tcW w:w="3002" w:type="pct"/>
            <w:noWrap w:val="0"/>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noWrap w:val="0"/>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noWrap w:val="0"/>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000000"/>
                <w:szCs w:val="21"/>
              </w:rPr>
            </w:pPr>
          </w:p>
        </w:tc>
        <w:tc>
          <w:tcPr>
            <w:tcW w:w="593" w:type="pct"/>
            <w:vMerge w:val="continue"/>
            <w:noWrap w:val="0"/>
            <w:vAlign w:val="center"/>
          </w:tcPr>
          <w:p>
            <w:pPr>
              <w:spacing w:before="24" w:after="24" w:line="360" w:lineRule="auto"/>
              <w:jc w:val="center"/>
              <w:rPr>
                <w:rFonts w:ascii="仿宋" w:hAnsi="仿宋" w:eastAsia="仿宋" w:cs="仿宋"/>
                <w:color w:val="000000"/>
                <w:szCs w:val="21"/>
              </w:rPr>
            </w:pPr>
          </w:p>
        </w:tc>
        <w:tc>
          <w:tcPr>
            <w:tcW w:w="1066" w:type="pct"/>
            <w:noWrap w:val="0"/>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noWrap w:val="0"/>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jc w:val="left"/>
        <w:rPr>
          <w:rFonts w:ascii="仿宋" w:hAnsi="仿宋" w:eastAsia="仿宋" w:cs="仿宋"/>
          <w:color w:val="000000"/>
          <w:sz w:val="24"/>
          <w:szCs w:val="24"/>
        </w:rPr>
      </w:pPr>
      <w:bookmarkStart w:id="139" w:name="_Toc25550"/>
      <w:bookmarkStart w:id="140" w:name="_Toc186737809"/>
      <w:bookmarkStart w:id="141" w:name="_Toc12409"/>
      <w:r>
        <w:rPr>
          <w:rFonts w:hint="eastAsia" w:ascii="仿宋" w:hAnsi="仿宋" w:eastAsia="仿宋" w:cs="仿宋"/>
          <w:color w:val="000000"/>
          <w:sz w:val="24"/>
          <w:szCs w:val="24"/>
        </w:rPr>
        <w:t>三、详细评审</w:t>
      </w:r>
      <w:bookmarkEnd w:id="139"/>
      <w:bookmarkEnd w:id="140"/>
      <w:bookmarkEnd w:id="141"/>
    </w:p>
    <w:p>
      <w:pPr>
        <w:pStyle w:val="2"/>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pacing w:after="0" w:line="360" w:lineRule="auto"/>
        <w:ind w:left="138" w:right="228" w:firstLine="480"/>
        <w:jc w:val="both"/>
        <w:rPr>
          <w:rFonts w:ascii="仿宋_GB2312" w:eastAsia="仿宋_GB2312"/>
        </w:rPr>
      </w:pPr>
      <w:r>
        <w:rPr>
          <w:rFonts w:hint="eastAsia" w:ascii="仿宋_GB2312" w:eastAsia="仿宋_GB2312"/>
        </w:rPr>
        <w:t>采购评审标准由项目最终报价、技术质量和服务水平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pacing w:after="0" w:line="360" w:lineRule="auto"/>
        <w:ind w:left="141" w:right="223" w:firstLine="480"/>
        <w:jc w:val="both"/>
        <w:rPr>
          <w:rFonts w:ascii="仿宋_GB2312" w:eastAsia="仿宋_GB2312"/>
        </w:rPr>
      </w:pPr>
      <w:r>
        <w:rPr>
          <w:rFonts w:hint="eastAsia" w:ascii="仿宋_GB2312" w:eastAsia="仿宋_GB2312"/>
        </w:rPr>
        <w:t>评审标准如下：</w:t>
      </w:r>
    </w:p>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
        <w:gridCol w:w="7888"/>
        <w:gridCol w:w="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blHeader/>
          <w:jc w:val="center"/>
        </w:trPr>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default" w:ascii="楷体" w:hAnsi="楷体" w:eastAsia="楷体" w:cs="仿宋_GB2312"/>
                <w:i w:val="0"/>
                <w:iCs/>
                <w:color w:val="auto"/>
                <w:szCs w:val="32"/>
              </w:rPr>
            </w:pPr>
            <w:r>
              <w:rPr>
                <w:rFonts w:hint="default" w:ascii="楷体" w:hAnsi="楷体" w:eastAsia="楷体" w:cs="仿宋_GB2312"/>
                <w:i w:val="0"/>
                <w:iCs/>
                <w:color w:val="auto"/>
                <w:szCs w:val="32"/>
              </w:rPr>
              <w:t>项 目</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default" w:ascii="楷体" w:hAnsi="楷体" w:eastAsia="楷体" w:cs="仿宋_GB2312"/>
                <w:i w:val="0"/>
                <w:iCs/>
                <w:color w:val="auto"/>
                <w:szCs w:val="32"/>
              </w:rPr>
            </w:pPr>
            <w:r>
              <w:rPr>
                <w:rFonts w:hint="default" w:ascii="楷体" w:hAnsi="楷体" w:eastAsia="楷体" w:cs="仿宋_GB2312"/>
                <w:i w:val="0"/>
                <w:iCs/>
                <w:color w:val="auto"/>
                <w:szCs w:val="32"/>
              </w:rPr>
              <w:t>评分内容</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right="0" w:firstLine="0"/>
              <w:jc w:val="both"/>
              <w:rPr>
                <w:rFonts w:hint="default" w:ascii="楷体" w:hAnsi="楷体" w:eastAsia="楷体" w:cs="仿宋_GB2312"/>
                <w:i w:val="0"/>
                <w:iCs/>
                <w:color w:val="auto"/>
                <w:szCs w:val="32"/>
              </w:rPr>
            </w:pPr>
            <w:r>
              <w:rPr>
                <w:rFonts w:hint="default" w:ascii="楷体" w:hAnsi="楷体" w:eastAsia="楷体" w:cs="仿宋_GB2312"/>
                <w:i w:val="0"/>
                <w:iCs/>
                <w:color w:val="auto"/>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0" w:type="auto"/>
            <w:gridSpan w:val="3"/>
            <w:noWrap w:val="0"/>
            <w:vAlign w:val="center"/>
          </w:tcPr>
          <w:p>
            <w:pPr>
              <w:keepNext w:val="0"/>
              <w:keepLines w:val="0"/>
              <w:pageBreakBefore w:val="0"/>
              <w:widowControl/>
              <w:suppressLineNumbers w:val="0"/>
              <w:bidi w:val="0"/>
              <w:spacing w:before="0" w:beforeAutospacing="0" w:after="0" w:afterAutospacing="0" w:line="320" w:lineRule="exact"/>
              <w:ind w:left="0" w:right="0" w:firstLine="0"/>
              <w:rPr>
                <w:rFonts w:hint="default" w:ascii="楷体" w:hAnsi="楷体" w:eastAsia="楷体" w:cs="仿宋_GB2312"/>
                <w:i w:val="0"/>
                <w:iCs/>
                <w:color w:val="auto"/>
                <w:szCs w:val="32"/>
              </w:rPr>
            </w:pPr>
            <w:r>
              <w:rPr>
                <w:rFonts w:hint="eastAsia" w:ascii="楷体" w:hAnsi="楷体" w:eastAsia="楷体" w:cs="仿宋_GB2312"/>
                <w:i w:val="0"/>
                <w:iCs/>
                <w:color w:val="auto"/>
                <w:szCs w:val="32"/>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default" w:ascii="楷体" w:hAnsi="楷体" w:eastAsia="楷体" w:cs="仿宋_GB2312"/>
                <w:i w:val="0"/>
                <w:iCs/>
                <w:color w:val="auto"/>
                <w:szCs w:val="32"/>
              </w:rPr>
            </w:pPr>
            <w:r>
              <w:rPr>
                <w:rFonts w:hint="default" w:ascii="楷体" w:hAnsi="楷体" w:eastAsia="楷体" w:cs="仿宋_GB2312"/>
                <w:i w:val="0"/>
                <w:iCs/>
                <w:color w:val="auto"/>
                <w:szCs w:val="32"/>
              </w:rPr>
              <w:t>价格得分</w:t>
            </w: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5</w:t>
            </w:r>
            <w:r>
              <w:rPr>
                <w:rFonts w:hint="eastAsia" w:ascii="楷体" w:hAnsi="楷体" w:eastAsia="楷体" w:cs="仿宋_GB2312"/>
                <w:i w:val="0"/>
                <w:iCs/>
                <w:color w:val="auto"/>
                <w:szCs w:val="32"/>
              </w:rPr>
              <w:t>0</w:t>
            </w:r>
            <w:r>
              <w:rPr>
                <w:rFonts w:hint="default" w:ascii="楷体" w:hAnsi="楷体" w:eastAsia="楷体" w:cs="仿宋_GB2312"/>
                <w:i w:val="0"/>
                <w:iCs/>
                <w:color w:val="auto"/>
                <w:szCs w:val="32"/>
              </w:rPr>
              <w:t>）</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rPr>
              <w:t>1、低价优先法</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1</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适用情形：有效投标人少于5家（不含本数）</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2</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评标价：各有效投标人的含税投标价,剔除可抵扣的增值税进项税额。</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3</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评标基准价：满足招标文件要求且最低的有效评标价。</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4</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价格分计算：评标价=评标基准价的投标人，得价格分的满分；其他投标人的价格分按照以下公式计算，并精确到小数点后两位：</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rPr>
              <w:t>价格得分＝（评标基准价/该投标人的评标价）*50；</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rPr>
              <w:t>2、偏离度计算法</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（1）</w:t>
            </w:r>
            <w:r>
              <w:rPr>
                <w:rFonts w:hint="eastAsia" w:ascii="楷体" w:hAnsi="楷体" w:eastAsia="楷体" w:cs="仿宋_GB2312"/>
                <w:i w:val="0"/>
                <w:iCs/>
                <w:color w:val="auto"/>
                <w:szCs w:val="32"/>
              </w:rPr>
              <w:t>适用情形：有效投标人大于5家（含本数）</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（2）</w:t>
            </w:r>
            <w:r>
              <w:rPr>
                <w:rFonts w:hint="eastAsia" w:ascii="楷体" w:hAnsi="楷体" w:eastAsia="楷体" w:cs="仿宋_GB2312"/>
                <w:i w:val="0"/>
                <w:iCs/>
                <w:color w:val="auto"/>
                <w:szCs w:val="32"/>
              </w:rPr>
              <w:t>评标价：各有效投标人的含税投标价,剔除可抵扣的增值税进项税额。</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3</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评标基准价：取所有有效评标价的算术平均值。</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4</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rPr>
              <w:t>价格分计算：按照以下公式计算，并精确到小数点后两位：</w:t>
            </w:r>
          </w:p>
          <w:p>
            <w:pPr>
              <w:keepNext w:val="0"/>
              <w:keepLines w:val="0"/>
              <w:pageBreakBefore w:val="0"/>
              <w:widowControl/>
              <w:suppressLineNumbers w:val="0"/>
              <w:bidi w:val="0"/>
              <w:spacing w:before="0" w:beforeAutospacing="0" w:after="0" w:afterAutospacing="0" w:line="320" w:lineRule="exact"/>
              <w:ind w:left="0" w:right="0" w:firstLine="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rPr>
              <w:t>价格得分=(1-A*│1－该投标人的评标价／评标基准价│)*50</w:t>
            </w:r>
          </w:p>
          <w:p>
            <w:pPr>
              <w:keepNext w:val="0"/>
              <w:keepLines w:val="0"/>
              <w:pageBreakBefore w:val="0"/>
              <w:widowControl/>
              <w:suppressLineNumbers w:val="0"/>
              <w:bidi w:val="0"/>
              <w:spacing w:before="0" w:beforeAutospacing="0" w:after="0" w:afterAutospacing="0" w:line="320" w:lineRule="exact"/>
              <w:ind w:left="0" w:right="0" w:firstLine="0"/>
              <w:jc w:val="left"/>
              <w:rPr>
                <w:rFonts w:hint="default" w:ascii="楷体" w:hAnsi="楷体" w:eastAsia="楷体" w:cs="仿宋_GB2312"/>
                <w:i w:val="0"/>
                <w:iCs/>
                <w:color w:val="auto"/>
                <w:szCs w:val="32"/>
              </w:rPr>
            </w:pPr>
            <w:r>
              <w:rPr>
                <w:rFonts w:hint="eastAsia" w:ascii="楷体" w:hAnsi="楷体" w:eastAsia="楷体" w:cs="仿宋_GB2312"/>
                <w:i w:val="0"/>
                <w:iCs/>
                <w:color w:val="auto"/>
                <w:szCs w:val="32"/>
              </w:rPr>
              <w:t>A：价格调整系数，当该投标人的评标价低于评标基准价时，A=0.3；当该投标人的评标价高于评标基准价时，A=1；当价格得分&lt;0时，取0。</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right="0" w:firstLine="0"/>
              <w:jc w:val="both"/>
              <w:rPr>
                <w:rFonts w:hint="default"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5</w:t>
            </w:r>
            <w:r>
              <w:rPr>
                <w:rFonts w:hint="default" w:ascii="楷体" w:hAnsi="楷体" w:eastAsia="楷体" w:cs="仿宋_GB2312"/>
                <w:i w:val="0"/>
                <w:iCs/>
                <w:color w:val="auto"/>
                <w:szCs w:val="3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0" w:type="auto"/>
            <w:gridSpan w:val="3"/>
            <w:noWrap w:val="0"/>
            <w:vAlign w:val="center"/>
          </w:tcPr>
          <w:p>
            <w:pPr>
              <w:keepNext w:val="0"/>
              <w:keepLines w:val="0"/>
              <w:pageBreakBefore w:val="0"/>
              <w:widowControl/>
              <w:suppressLineNumbers w:val="0"/>
              <w:bidi w:val="0"/>
              <w:spacing w:before="0" w:beforeAutospacing="0" w:after="0" w:afterAutospacing="0" w:line="320" w:lineRule="exact"/>
              <w:ind w:left="0" w:right="0" w:firstLine="0"/>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rPr>
              <w:t>二、技术和服务评审</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auto"/>
                <w:szCs w:val="32"/>
                <w:lang w:val="en-US" w:eastAsia="zh-CN"/>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0" w:type="auto"/>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基础人员配备</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eastAsia"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lang w:val="en-US" w:eastAsia="zh-CN"/>
              </w:rPr>
              <w:t>供应商</w:t>
            </w:r>
            <w:r>
              <w:rPr>
                <w:rFonts w:hint="eastAsia" w:ascii="楷体" w:hAnsi="楷体" w:eastAsia="楷体" w:cs="仿宋_GB2312"/>
                <w:i w:val="0"/>
                <w:iCs/>
                <w:color w:val="auto"/>
                <w:szCs w:val="32"/>
                <w:highlight w:val="none"/>
              </w:rPr>
              <w:t>为本项目</w:t>
            </w:r>
            <w:r>
              <w:rPr>
                <w:rFonts w:hint="eastAsia" w:ascii="楷体" w:hAnsi="楷体" w:eastAsia="楷体" w:cs="仿宋_GB2312"/>
                <w:i w:val="0"/>
                <w:iCs/>
                <w:color w:val="auto"/>
                <w:szCs w:val="32"/>
                <w:highlight w:val="none"/>
                <w:lang w:val="en-US" w:eastAsia="zh-CN"/>
              </w:rPr>
              <w:t>基础配备</w:t>
            </w:r>
            <w:r>
              <w:rPr>
                <w:rFonts w:hint="eastAsia" w:ascii="楷体" w:hAnsi="楷体" w:eastAsia="楷体" w:cs="仿宋_GB2312"/>
                <w:i w:val="0"/>
                <w:iCs/>
                <w:color w:val="auto"/>
                <w:szCs w:val="32"/>
                <w:highlight w:val="none"/>
              </w:rPr>
              <w:t>团队人员不低于</w:t>
            </w:r>
            <w:r>
              <w:rPr>
                <w:rFonts w:hint="eastAsia" w:ascii="楷体" w:hAnsi="楷体" w:eastAsia="楷体" w:cs="仿宋_GB2312"/>
                <w:i w:val="0"/>
                <w:iCs/>
                <w:color w:val="auto"/>
                <w:szCs w:val="32"/>
                <w:highlight w:val="none"/>
                <w:lang w:val="en-US" w:eastAsia="zh-CN"/>
              </w:rPr>
              <w:t>3</w:t>
            </w:r>
            <w:r>
              <w:rPr>
                <w:rFonts w:hint="eastAsia" w:ascii="楷体" w:hAnsi="楷体" w:eastAsia="楷体" w:cs="仿宋_GB2312"/>
                <w:i w:val="0"/>
                <w:iCs/>
                <w:color w:val="auto"/>
                <w:szCs w:val="32"/>
                <w:highlight w:val="none"/>
              </w:rPr>
              <w:t>人</w:t>
            </w:r>
            <w:r>
              <w:rPr>
                <w:rFonts w:hint="eastAsia" w:ascii="楷体" w:hAnsi="楷体" w:eastAsia="楷体" w:cs="仿宋_GB2312"/>
                <w:i w:val="0"/>
                <w:iCs/>
                <w:color w:val="auto"/>
                <w:szCs w:val="32"/>
                <w:highlight w:val="none"/>
                <w:lang w:eastAsia="zh-CN"/>
              </w:rPr>
              <w:t>。低于</w:t>
            </w:r>
            <w:r>
              <w:rPr>
                <w:rFonts w:hint="eastAsia" w:ascii="楷体" w:hAnsi="楷体" w:eastAsia="楷体" w:cs="仿宋_GB2312"/>
                <w:i w:val="0"/>
                <w:iCs/>
                <w:color w:val="auto"/>
                <w:szCs w:val="32"/>
                <w:highlight w:val="none"/>
                <w:lang w:val="en-US" w:eastAsia="zh-CN"/>
              </w:rPr>
              <w:t>3人得0分；</w:t>
            </w:r>
            <w:r>
              <w:rPr>
                <w:rFonts w:hint="eastAsia" w:ascii="楷体" w:hAnsi="楷体" w:eastAsia="楷体" w:cs="仿宋_GB2312"/>
                <w:i w:val="0"/>
                <w:iCs/>
                <w:color w:val="auto"/>
                <w:szCs w:val="32"/>
                <w:highlight w:val="none"/>
                <w:lang w:eastAsia="zh-CN"/>
              </w:rPr>
              <w:t>不低于</w:t>
            </w:r>
            <w:r>
              <w:rPr>
                <w:rFonts w:hint="eastAsia" w:ascii="楷体" w:hAnsi="楷体" w:eastAsia="楷体" w:cs="仿宋_GB2312"/>
                <w:i w:val="0"/>
                <w:iCs/>
                <w:color w:val="auto"/>
                <w:szCs w:val="32"/>
                <w:highlight w:val="none"/>
                <w:lang w:val="en-US" w:eastAsia="zh-CN"/>
              </w:rPr>
              <w:t>3人得5分，</w:t>
            </w:r>
            <w:r>
              <w:rPr>
                <w:rFonts w:hint="eastAsia" w:ascii="楷体" w:hAnsi="楷体" w:eastAsia="楷体" w:cs="仿宋_GB2312"/>
                <w:i w:val="0"/>
                <w:iCs/>
                <w:color w:val="auto"/>
                <w:szCs w:val="32"/>
                <w:highlight w:val="none"/>
              </w:rPr>
              <w:t>每增加</w:t>
            </w:r>
            <w:r>
              <w:rPr>
                <w:rFonts w:hint="eastAsia" w:ascii="楷体" w:hAnsi="楷体" w:eastAsia="楷体" w:cs="仿宋_GB2312"/>
                <w:i w:val="0"/>
                <w:iCs/>
                <w:color w:val="auto"/>
                <w:szCs w:val="32"/>
                <w:highlight w:val="none"/>
                <w:lang w:val="en-US" w:eastAsia="zh-CN"/>
              </w:rPr>
              <w:t>1</w:t>
            </w:r>
            <w:r>
              <w:rPr>
                <w:rFonts w:hint="eastAsia" w:ascii="楷体" w:hAnsi="楷体" w:eastAsia="楷体" w:cs="仿宋_GB2312"/>
                <w:i w:val="0"/>
                <w:iCs/>
                <w:color w:val="auto"/>
                <w:szCs w:val="32"/>
                <w:highlight w:val="none"/>
              </w:rPr>
              <w:t>人得</w:t>
            </w:r>
            <w:r>
              <w:rPr>
                <w:rFonts w:hint="eastAsia" w:ascii="楷体" w:hAnsi="楷体" w:eastAsia="楷体" w:cs="仿宋_GB2312"/>
                <w:i w:val="0"/>
                <w:iCs/>
                <w:color w:val="auto"/>
                <w:szCs w:val="32"/>
                <w:highlight w:val="none"/>
                <w:lang w:val="en-US" w:eastAsia="zh-CN"/>
              </w:rPr>
              <w:t>1</w:t>
            </w:r>
            <w:r>
              <w:rPr>
                <w:rFonts w:hint="eastAsia" w:ascii="楷体" w:hAnsi="楷体" w:eastAsia="楷体" w:cs="仿宋_GB2312"/>
                <w:i w:val="0"/>
                <w:iCs/>
                <w:color w:val="auto"/>
                <w:szCs w:val="32"/>
                <w:highlight w:val="none"/>
              </w:rPr>
              <w:t>分，最</w:t>
            </w:r>
            <w:r>
              <w:rPr>
                <w:rFonts w:hint="eastAsia" w:ascii="楷体" w:hAnsi="楷体" w:eastAsia="楷体" w:cs="仿宋_GB2312"/>
                <w:i w:val="0"/>
                <w:iCs/>
                <w:color w:val="auto"/>
                <w:szCs w:val="32"/>
                <w:highlight w:val="none"/>
                <w:lang w:val="en-US" w:eastAsia="zh-CN"/>
              </w:rPr>
              <w:t>高</w:t>
            </w:r>
            <w:r>
              <w:rPr>
                <w:rFonts w:hint="eastAsia" w:ascii="楷体" w:hAnsi="楷体" w:eastAsia="楷体" w:cs="仿宋_GB2312"/>
                <w:i w:val="0"/>
                <w:iCs/>
                <w:color w:val="auto"/>
                <w:szCs w:val="32"/>
                <w:highlight w:val="none"/>
              </w:rPr>
              <w:t>得</w:t>
            </w:r>
            <w:r>
              <w:rPr>
                <w:rFonts w:hint="eastAsia" w:ascii="楷体" w:hAnsi="楷体" w:eastAsia="楷体" w:cs="仿宋_GB2312"/>
                <w:i w:val="0"/>
                <w:iCs/>
                <w:color w:val="auto"/>
                <w:szCs w:val="32"/>
                <w:highlight w:val="none"/>
                <w:lang w:val="en-US" w:eastAsia="zh-CN"/>
              </w:rPr>
              <w:t>8</w:t>
            </w:r>
            <w:r>
              <w:rPr>
                <w:rFonts w:hint="eastAsia" w:ascii="楷体" w:hAnsi="楷体" w:eastAsia="楷体" w:cs="仿宋_GB2312"/>
                <w:i w:val="0"/>
                <w:iCs/>
                <w:color w:val="auto"/>
                <w:szCs w:val="32"/>
                <w:highlight w:val="none"/>
              </w:rPr>
              <w:t>分。</w:t>
            </w:r>
          </w:p>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highlight w:val="none"/>
              </w:rPr>
              <w:t>（注:团队人员应为供应商的正式员工，需提供团队人员近三个月及以上的社保证明。）</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lang w:val="en-US" w:eastAsia="zh-CN"/>
              </w:rPr>
              <w:t>8</w:t>
            </w:r>
          </w:p>
        </w:tc>
      </w:tr>
    </w:tbl>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6"/>
        <w:gridCol w:w="7842"/>
        <w:gridCol w:w="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436" w:type="dxa"/>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专业人员配备</w:t>
            </w:r>
          </w:p>
        </w:tc>
        <w:tc>
          <w:tcPr>
            <w:tcW w:w="7842" w:type="dxa"/>
            <w:noWrap w:val="0"/>
            <w:vAlign w:val="center"/>
          </w:tcPr>
          <w:p>
            <w:pPr>
              <w:widowControl/>
              <w:spacing w:line="320" w:lineRule="exact"/>
              <w:ind w:left="0" w:right="0"/>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rPr>
              <w:t>项目成员</w:t>
            </w:r>
            <w:r>
              <w:rPr>
                <w:rFonts w:hint="eastAsia" w:ascii="楷体" w:hAnsi="楷体" w:eastAsia="楷体" w:cs="仿宋_GB2312"/>
                <w:i w:val="0"/>
                <w:iCs/>
                <w:color w:val="auto"/>
                <w:szCs w:val="32"/>
                <w:highlight w:val="none"/>
                <w:lang w:val="en-US" w:eastAsia="zh-CN"/>
              </w:rPr>
              <w:t>每</w:t>
            </w:r>
            <w:r>
              <w:rPr>
                <w:rFonts w:hint="eastAsia" w:ascii="楷体" w:hAnsi="楷体" w:eastAsia="楷体" w:cs="仿宋_GB2312"/>
                <w:i w:val="0"/>
                <w:iCs/>
                <w:color w:val="auto"/>
                <w:szCs w:val="32"/>
                <w:highlight w:val="none"/>
              </w:rPr>
              <w:t>具备</w:t>
            </w:r>
            <w:r>
              <w:rPr>
                <w:rFonts w:hint="eastAsia" w:ascii="楷体" w:hAnsi="楷体" w:eastAsia="楷体" w:cs="仿宋_GB2312"/>
                <w:i w:val="0"/>
                <w:iCs/>
                <w:color w:val="auto"/>
                <w:szCs w:val="32"/>
                <w:highlight w:val="none"/>
                <w:lang w:val="en-US" w:eastAsia="zh-CN"/>
              </w:rPr>
              <w:t>1名</w:t>
            </w:r>
            <w:r>
              <w:rPr>
                <w:rFonts w:hint="eastAsia" w:ascii="楷体" w:hAnsi="楷体" w:eastAsia="楷体" w:cs="仿宋_GB2312"/>
                <w:i w:val="0"/>
                <w:iCs/>
                <w:color w:val="auto"/>
                <w:szCs w:val="32"/>
                <w:highlight w:val="none"/>
              </w:rPr>
              <w:t>农业相关专业技能或农业相关行业</w:t>
            </w:r>
            <w:r>
              <w:rPr>
                <w:rFonts w:hint="eastAsia" w:ascii="楷体" w:hAnsi="楷体" w:eastAsia="楷体" w:cs="仿宋_GB2312"/>
                <w:i w:val="0"/>
                <w:iCs/>
                <w:color w:val="auto"/>
                <w:szCs w:val="32"/>
                <w:highlight w:val="none"/>
                <w:lang w:val="en-US" w:eastAsia="zh-CN"/>
              </w:rPr>
              <w:t>专业人员得2分，最多得6分。</w:t>
            </w:r>
          </w:p>
          <w:p>
            <w:pPr>
              <w:widowControl/>
              <w:spacing w:line="320" w:lineRule="exact"/>
              <w:ind w:left="0" w:right="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highlight w:val="none"/>
              </w:rPr>
              <w:t>（注:包括但不限于职称证书</w:t>
            </w:r>
            <w:r>
              <w:rPr>
                <w:rFonts w:hint="eastAsia" w:ascii="楷体" w:hAnsi="楷体" w:eastAsia="楷体" w:cs="仿宋_GB2312"/>
                <w:i w:val="0"/>
                <w:iCs/>
                <w:color w:val="auto"/>
                <w:szCs w:val="32"/>
                <w:highlight w:val="none"/>
                <w:lang w:val="en-US" w:eastAsia="zh-CN"/>
              </w:rPr>
              <w:t>或毕业</w:t>
            </w:r>
            <w:r>
              <w:rPr>
                <w:rFonts w:hint="eastAsia" w:ascii="楷体" w:hAnsi="楷体" w:eastAsia="楷体" w:cs="仿宋_GB2312"/>
                <w:i w:val="0"/>
                <w:iCs/>
                <w:color w:val="auto"/>
                <w:szCs w:val="32"/>
                <w:highlight w:val="none"/>
              </w:rPr>
              <w:t>证书</w:t>
            </w:r>
            <w:r>
              <w:rPr>
                <w:rFonts w:hint="eastAsia" w:ascii="楷体" w:hAnsi="楷体" w:eastAsia="楷体" w:cs="仿宋_GB2312"/>
                <w:i w:val="0"/>
                <w:iCs/>
                <w:color w:val="auto"/>
                <w:szCs w:val="32"/>
                <w:highlight w:val="none"/>
                <w:lang w:eastAsia="zh-CN"/>
              </w:rPr>
              <w:t>、</w:t>
            </w:r>
            <w:r>
              <w:rPr>
                <w:rFonts w:hint="eastAsia" w:ascii="楷体" w:hAnsi="楷体" w:eastAsia="楷体" w:cs="仿宋_GB2312"/>
                <w:i w:val="0"/>
                <w:iCs/>
                <w:color w:val="auto"/>
                <w:szCs w:val="32"/>
                <w:highlight w:val="none"/>
              </w:rPr>
              <w:t>近三个月及以上的社保证明等）</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436" w:type="dxa"/>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满足需求能力</w:t>
            </w:r>
          </w:p>
        </w:tc>
        <w:tc>
          <w:tcPr>
            <w:tcW w:w="7842" w:type="dxa"/>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eastAsia" w:ascii="楷体" w:hAnsi="楷体" w:eastAsia="楷体" w:cs="仿宋_GB2312"/>
                <w:i w:val="0"/>
                <w:iCs/>
                <w:color w:val="auto"/>
                <w:sz w:val="24"/>
                <w:szCs w:val="32"/>
                <w:highlight w:val="none"/>
                <w:lang w:val="en-US" w:eastAsia="zh-CN" w:bidi="ar-SA"/>
              </w:rPr>
            </w:pPr>
            <w:r>
              <w:rPr>
                <w:rFonts w:hint="eastAsia" w:ascii="楷体" w:hAnsi="楷体" w:eastAsia="楷体" w:cs="仿宋_GB2312"/>
                <w:i w:val="0"/>
                <w:iCs/>
                <w:color w:val="auto"/>
                <w:szCs w:val="32"/>
                <w:highlight w:val="none"/>
                <w:lang w:val="en-US" w:eastAsia="zh-CN"/>
              </w:rPr>
              <w:t>响应完全满足项目需求和技术要求，得8-10分；响应基本满足项目需求和技术要求，得5-7分；响应部分满足项目需求和技术要求，得1-4分；响应不符合项目采购需求和技术要求或未响应，得0分。</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436" w:type="dxa"/>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实施方案</w:t>
            </w:r>
          </w:p>
        </w:tc>
        <w:tc>
          <w:tcPr>
            <w:tcW w:w="7842" w:type="dxa"/>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lang w:eastAsia="zh-CN"/>
              </w:rPr>
              <w:t>实施方案完全满足项目需求，</w:t>
            </w:r>
            <w:r>
              <w:rPr>
                <w:rFonts w:hint="eastAsia" w:ascii="楷体" w:hAnsi="楷体" w:eastAsia="楷体" w:cs="仿宋_GB2312"/>
                <w:i w:val="0"/>
                <w:iCs/>
                <w:color w:val="auto"/>
                <w:szCs w:val="32"/>
                <w:highlight w:val="none"/>
                <w:lang w:val="en-US" w:eastAsia="zh-CN"/>
              </w:rPr>
              <w:t>得11-13分；响应基本满足项目需求，得6-10分；响应部分满足项目需求，得1-5分；响应不符合项目采购需求和技术要求或未响应，得0分。</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both"/>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436" w:type="dxa"/>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增值服务</w:t>
            </w:r>
          </w:p>
        </w:tc>
        <w:tc>
          <w:tcPr>
            <w:tcW w:w="7842" w:type="dxa"/>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eastAsia="zh-CN"/>
              </w:rPr>
              <w:t>增值服务。每提供一项增值服务得</w:t>
            </w:r>
            <w:r>
              <w:rPr>
                <w:rFonts w:hint="eastAsia" w:ascii="楷体" w:hAnsi="楷体" w:eastAsia="楷体" w:cs="仿宋_GB2312"/>
                <w:i w:val="0"/>
                <w:iCs/>
                <w:color w:val="auto"/>
                <w:szCs w:val="32"/>
                <w:lang w:val="en-US" w:eastAsia="zh-CN"/>
              </w:rPr>
              <w:t>1分。</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0" w:type="auto"/>
            <w:gridSpan w:val="2"/>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eastAsia="zh-CN"/>
              </w:rPr>
              <w:t>三、商务部分（</w:t>
            </w:r>
            <w:r>
              <w:rPr>
                <w:rFonts w:hint="eastAsia" w:ascii="楷体" w:hAnsi="楷体" w:eastAsia="楷体" w:cs="仿宋_GB2312"/>
                <w:i w:val="0"/>
                <w:iCs/>
                <w:color w:val="auto"/>
                <w:szCs w:val="32"/>
                <w:lang w:val="en-US" w:eastAsia="zh-CN"/>
              </w:rPr>
              <w:t>10分）</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default" w:ascii="楷体" w:hAnsi="楷体" w:eastAsia="楷体" w:cs="仿宋_GB2312"/>
                <w:i w:val="0"/>
                <w:iCs/>
                <w:color w:val="auto"/>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436" w:type="dxa"/>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企业综合</w:t>
            </w:r>
          </w:p>
          <w:p>
            <w:pPr>
              <w:keepNext w:val="0"/>
              <w:keepLines w:val="0"/>
              <w:pageBreakBefore w:val="0"/>
              <w:widowControl/>
              <w:suppressLineNumbers w:val="0"/>
              <w:bidi w:val="0"/>
              <w:spacing w:before="0" w:beforeAutospacing="0" w:after="0" w:afterAutospacing="0" w:line="320" w:lineRule="exact"/>
              <w:ind w:left="0" w:right="0" w:firstLine="0"/>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eastAsia="zh-CN"/>
              </w:rPr>
              <w:t>实力</w:t>
            </w:r>
          </w:p>
        </w:tc>
        <w:tc>
          <w:tcPr>
            <w:tcW w:w="7842" w:type="dxa"/>
            <w:noWrap w:val="0"/>
            <w:vAlign w:val="center"/>
          </w:tcPr>
          <w:p>
            <w:pPr>
              <w:keepNext w:val="0"/>
              <w:keepLines w:val="0"/>
              <w:pageBreakBefore w:val="0"/>
              <w:widowControl/>
              <w:suppressLineNumbers w:val="0"/>
              <w:bidi w:val="0"/>
              <w:spacing w:before="0" w:beforeAutospacing="0" w:after="0" w:afterAutospacing="0" w:line="320" w:lineRule="exact"/>
              <w:ind w:left="0" w:right="0" w:firstLine="0"/>
              <w:rPr>
                <w:rFonts w:hint="default" w:ascii="楷体" w:hAnsi="楷体" w:eastAsia="楷体" w:cs="仿宋_GB2312"/>
                <w:i w:val="0"/>
                <w:iCs/>
                <w:color w:val="auto"/>
                <w:szCs w:val="32"/>
              </w:rPr>
            </w:pPr>
            <w:r>
              <w:rPr>
                <w:rFonts w:hint="default" w:ascii="楷体" w:hAnsi="楷体" w:eastAsia="楷体" w:cs="仿宋_GB2312"/>
                <w:i w:val="0"/>
                <w:iCs/>
                <w:color w:val="auto"/>
                <w:szCs w:val="32"/>
              </w:rPr>
              <w:t>根据投标人</w:t>
            </w:r>
            <w:r>
              <w:rPr>
                <w:rFonts w:ascii="楷体" w:hAnsi="楷体" w:eastAsia="楷体" w:cs="仿宋_GB2312"/>
                <w:iCs/>
                <w:szCs w:val="32"/>
              </w:rPr>
              <w:t>信誉状况、服务质量保障体系等情况进行横向比较评分</w:t>
            </w:r>
            <w:r>
              <w:rPr>
                <w:rFonts w:hint="eastAsia" w:ascii="楷体" w:hAnsi="楷体" w:eastAsia="楷体" w:cs="仿宋_GB2312"/>
                <w:iCs/>
                <w:szCs w:val="32"/>
                <w:lang w:eastAsia="zh-CN"/>
              </w:rPr>
              <w:t>，比如</w:t>
            </w:r>
            <w:r>
              <w:rPr>
                <w:rFonts w:hint="default" w:ascii="楷体" w:hAnsi="楷体" w:eastAsia="楷体" w:cs="仿宋_GB2312"/>
                <w:i w:val="0"/>
                <w:iCs/>
                <w:color w:val="auto"/>
                <w:szCs w:val="32"/>
              </w:rPr>
              <w:t>是否为高新技术企业、是否具备有效的质量管理体系证书、是否拥有完善的服务质量保障体系等情况进行横向比较评分（需提供相应证明材料），评标为优得4-5分，较优得2-3分，一般得0-1分。</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right="0" w:firstLine="0"/>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436" w:type="dxa"/>
            <w:shd w:val="clear" w:color="auto" w:fill="auto"/>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default" w:ascii="楷体" w:hAnsi="楷体" w:eastAsia="楷体" w:cs="仿宋_GB2312"/>
                <w:i w:val="0"/>
                <w:iCs/>
                <w:color w:val="auto"/>
                <w:szCs w:val="32"/>
              </w:rPr>
            </w:pPr>
            <w:r>
              <w:rPr>
                <w:rFonts w:hint="eastAsia" w:ascii="楷体" w:hAnsi="楷体" w:eastAsia="楷体" w:cs="仿宋_GB2312"/>
                <w:i w:val="0"/>
                <w:iCs/>
                <w:color w:val="auto"/>
                <w:szCs w:val="32"/>
                <w:lang w:eastAsia="zh-CN"/>
              </w:rPr>
              <w:t>同类业绩</w:t>
            </w:r>
          </w:p>
        </w:tc>
        <w:tc>
          <w:tcPr>
            <w:tcW w:w="7842" w:type="dxa"/>
            <w:noWrap w:val="0"/>
            <w:vAlign w:val="center"/>
          </w:tcPr>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在满足资格条件1个案例的基础上，供应商每多提供1个有效案例的得1分，最多得5分。</w:t>
            </w:r>
          </w:p>
          <w:p>
            <w:pPr>
              <w:keepNext w:val="0"/>
              <w:keepLines w:val="0"/>
              <w:pageBreakBefore w:val="0"/>
              <w:widowControl/>
              <w:suppressLineNumbers w:val="0"/>
              <w:bidi w:val="0"/>
              <w:spacing w:before="0" w:beforeAutospacing="0" w:after="0" w:afterAutospacing="0" w:line="320" w:lineRule="exact"/>
              <w:ind w:left="0" w:leftChars="0" w:right="0" w:rightChars="0" w:firstLine="0" w:firstLineChars="0"/>
              <w:jc w:val="left"/>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说明:（1）业绩认定时间以服务合同/中标通知书载明的时间为准，须提供服务合同/中标通知书复印件；（2）“同类项目业绩”是指农业或气象相关技术服务业绩，（按合同或汇总表通知书项目数计分），投标人提供的服务合同/中标通知书应能明确判断其服务内容，如无法判断的，须另行提供用户盖章证明文件等佐证材料，否则不予认可。</w:t>
            </w:r>
          </w:p>
          <w:p>
            <w:pPr>
              <w:keepNext w:val="0"/>
              <w:keepLines w:val="0"/>
              <w:pageBreakBefore w:val="0"/>
              <w:widowControl/>
              <w:suppressLineNumbers w:val="0"/>
              <w:bidi w:val="0"/>
              <w:spacing w:before="0" w:beforeAutospacing="0" w:after="0" w:afterAutospacing="0" w:line="320" w:lineRule="exact"/>
              <w:ind w:left="0" w:right="0" w:firstLine="0"/>
              <w:rPr>
                <w:rFonts w:hint="default" w:ascii="楷体" w:hAnsi="楷体" w:eastAsia="楷体" w:cs="仿宋_GB2312"/>
                <w:i w:val="0"/>
                <w:iCs/>
                <w:color w:val="auto"/>
                <w:szCs w:val="32"/>
              </w:rPr>
            </w:pP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right="0" w:firstLine="0"/>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0" w:type="auto"/>
            <w:gridSpan w:val="2"/>
            <w:noWrap w:val="0"/>
            <w:vAlign w:val="center"/>
          </w:tcPr>
          <w:p>
            <w:pPr>
              <w:keepNext w:val="0"/>
              <w:keepLines w:val="0"/>
              <w:pageBreakBefore w:val="0"/>
              <w:widowControl/>
              <w:suppressLineNumbers w:val="0"/>
              <w:bidi w:val="0"/>
              <w:spacing w:before="0" w:beforeAutospacing="0" w:after="0" w:afterAutospacing="0" w:line="320" w:lineRule="exact"/>
              <w:ind w:left="0" w:right="0" w:firstLine="0"/>
              <w:jc w:val="center"/>
              <w:rPr>
                <w:rFonts w:hint="default" w:ascii="楷体" w:hAnsi="楷体" w:eastAsia="楷体" w:cs="仿宋_GB2312"/>
                <w:i w:val="0"/>
                <w:iCs/>
                <w:color w:val="auto"/>
                <w:szCs w:val="32"/>
              </w:rPr>
            </w:pPr>
            <w:r>
              <w:rPr>
                <w:rFonts w:hint="eastAsia" w:ascii="楷体" w:hAnsi="楷体" w:eastAsia="楷体" w:cs="仿宋_GB2312"/>
                <w:i w:val="0"/>
                <w:iCs/>
                <w:color w:val="auto"/>
                <w:szCs w:val="32"/>
              </w:rPr>
              <w:t>合计</w:t>
            </w:r>
          </w:p>
        </w:tc>
        <w:tc>
          <w:tcPr>
            <w:tcW w:w="0" w:type="auto"/>
            <w:noWrap w:val="0"/>
            <w:vAlign w:val="center"/>
          </w:tcPr>
          <w:p>
            <w:pPr>
              <w:keepNext w:val="0"/>
              <w:keepLines w:val="0"/>
              <w:pageBreakBefore w:val="0"/>
              <w:widowControl/>
              <w:suppressLineNumbers w:val="0"/>
              <w:bidi w:val="0"/>
              <w:spacing w:before="0" w:beforeAutospacing="0" w:after="0" w:afterAutospacing="0" w:line="320" w:lineRule="exact"/>
              <w:ind w:right="0" w:firstLine="0"/>
              <w:jc w:val="both"/>
              <w:rPr>
                <w:rFonts w:hint="default" w:ascii="楷体" w:hAnsi="楷体" w:eastAsia="楷体" w:cs="仿宋_GB2312"/>
                <w:i w:val="0"/>
                <w:iCs/>
                <w:color w:val="auto"/>
                <w:szCs w:val="32"/>
              </w:rPr>
            </w:pPr>
            <w:r>
              <w:rPr>
                <w:rFonts w:hint="eastAsia" w:ascii="楷体" w:hAnsi="楷体" w:eastAsia="楷体" w:cs="仿宋_GB2312"/>
                <w:i w:val="0"/>
                <w:iCs/>
                <w:color w:val="auto"/>
                <w:szCs w:val="32"/>
              </w:rPr>
              <w:t>100</w:t>
            </w:r>
          </w:p>
        </w:tc>
      </w:tr>
    </w:tbl>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26"/>
    <w:p>
      <w:pPr>
        <w:pStyle w:val="3"/>
        <w:spacing w:before="0" w:after="0"/>
        <w:ind w:left="0" w:leftChars="0" w:firstLine="0" w:firstLineChars="0"/>
        <w:jc w:val="center"/>
        <w:rPr>
          <w:rStyle w:val="48"/>
          <w:rFonts w:asciiTheme="minorHAnsi" w:hAnsiTheme="minorHAnsi" w:eastAsiaTheme="minorEastAsia"/>
          <w:b w:val="0"/>
          <w:bCs w:val="0"/>
          <w:color w:val="auto"/>
          <w:szCs w:val="24"/>
        </w:rPr>
      </w:pPr>
      <w:bookmarkStart w:id="142" w:name="_Toc15254"/>
      <w:bookmarkStart w:id="143" w:name="_Toc186737810"/>
      <w:bookmarkStart w:id="144" w:name="_Toc8970"/>
      <w:r>
        <w:rPr>
          <w:rFonts w:hint="eastAsia" w:ascii="仿宋" w:hAnsi="仿宋" w:eastAsia="仿宋" w:cs="仿宋"/>
          <w:color w:val="auto"/>
          <w:sz w:val="28"/>
          <w:szCs w:val="28"/>
        </w:rPr>
        <w:t>第四章 合同条</w:t>
      </w:r>
      <w:bookmarkEnd w:id="142"/>
      <w:r>
        <w:rPr>
          <w:rFonts w:hint="eastAsia" w:ascii="仿宋" w:hAnsi="仿宋" w:eastAsia="仿宋" w:cs="仿宋"/>
          <w:color w:val="auto"/>
          <w:sz w:val="28"/>
          <w:szCs w:val="28"/>
        </w:rPr>
        <w:t>款</w:t>
      </w:r>
      <w:bookmarkEnd w:id="143"/>
      <w:bookmarkEnd w:id="144"/>
    </w:p>
    <w:p/>
    <w:p>
      <w:pPr>
        <w:pStyle w:val="2"/>
        <w:jc w:val="center"/>
        <w:rPr>
          <w:rFonts w:hint="eastAsia"/>
        </w:rPr>
      </w:pPr>
      <w:r>
        <w:rPr>
          <w:rFonts w:hint="eastAsia"/>
        </w:rPr>
        <w:t>商务部分</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第一条 项目内容及要求</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本合同项下甲乙双方约定的项目内容及要求见本合同【附件】。</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第二条 合同价格</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本合同服务费用总额为_______元（大写_______）。合同价格明细见【附件】。</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（三） 本合同付款安排见【附件】。</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（四）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第三条 违约责任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违约责任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甲、乙任一方或双方违约的，违约一方应当向相对方承担相应的违约责任。违约责任的具体约定见【附件】。</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通用部分</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第四条 双方的权利和义务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甲方的权利和义务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（1）甲方有权获得本合同项下乙方应提供的全部合格的服务；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（2）甲方有权在合同期内对乙方的产品及服务进行监督；</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（3）乙方未按照合同约定履行义务的，甲方有权采取相应的措施；</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（4）甲方应按照合同约定向乙方支付合同价款；</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（5）甲方享有其它双方约定的权利、承担其它双方约定的义务。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（三） 乙方的权利和义务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（1）乙方有权获得甲方支付的合同价款；</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（2）乙方应按照合同约定向甲方提供全部合格的服务；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（3）乙方应当按照合同约定的期限及要求完成项目内容；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（5）乙方享有其它双方约定的权利、承担其它双方约定的义务。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（四）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第五条 禁止转让</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禁止转让</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未经甲方事先书面同意，乙方不得将其本合同项下之全部义务或其中一部分义务转让给第三方执行。</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第六条 权利保证</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权利保证</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第七条 违约责任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由于甲方原因不能按合同约定时间付款的，每延迟10个工作日，甲方按合同应付金额的_______%向乙方支付违约金。</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乙方延迟交付的违约责任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（1）由于乙方原因造成项目延迟的，每延迟10个工作日，乙方向甲方支付违约金为合同服务费用总额的_______%。</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（2）由于乙方原因造成项目迟延，经甲方催促后乙方继续延误的，甲方有权单方面解除合同，乙方应按照合同服务费用总额的_______%向甲方支付违约金，并赔偿由此引起的甲方全部损失。</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（三） 验收不合格并且乙方在甲方指定期限内无法完成整改、提交合格的工作成果的，乙方应向甲方支付合同服务费用总额_______%的违约金，并赔偿由此引起的甲方全部损失。</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（四） 如果乙方违反本合同约定的保密义务，乙方应向甲方支付相当于合同服务费用总额_______%的违约金，甲方受到的损失超出违约金的部分，由乙方继续承担赔偿责任。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（五） 除本合同的约定外，因乙方的违约行为给甲方造成损失的，乙方应向甲方支付相当于合同服务费用总额_______%的违约金，如甲方受到的损失超过违约金的，超出部分由乙方继续承担赔偿责任。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第八条 保密义务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乙方在本合同中所受领的保密信息应及时返还甲方或在甲方监督下予以销毁。乙方擅自留存备份信息，视为违反保密约定。</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（三） 无论本合同因何种原因终止，本保密条款依然有效。</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第九条 不可抗力</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（三） 合同一方迟延履行后发生不可抗力的，不能免除其责任。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第十条 合同变更</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合同变更</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对本合同的任何变更或补充，须经甲乙双方协商一致，并另行签订书面补充协议。</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第十一条 合同特别终止</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甲乙双方同意在乙方出现下列情形时，甲方可以书面形式通知乙方（或者乙方的破产清算组或相关管理人）提出终止合同而不向其提供任何补偿：</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（1）乙方破产、解散（包括但不限于乙方股东会决议解散、乙方被吊销营业执照、被责令关闭、被撤销、被司法机关裁决解散等情形）；</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（2）乙方发生未经甲方书面同意的重大产权变更（包括但不限于合并、分立、注销等情形)；（如系上市公司）被勒令停止上市；以及任何原因背负重大债务导致无履行能力。</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如果因上述原因导致本合同终止，甲方已经采取或者将要采取任何补救措施的权利不受任何影响。</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第十二条 法律适用与争议解决</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本合同的订立、效力、解释、履行和争议的解决均适用中华人民共和国法律（不包括港澳台地区法律）。</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第十三条 合同生效及其他</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 本合同经甲乙双方法定代表人或授权代表签字并加盖公章或合同专用章后生效。</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（二） 合同期限自_______年_______月_______日始，至_______年_______月_______日止。</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（三） 本合同一式_______份，其中正本_______份，副本_______份。甲方执_______份正本，_______份副本；乙方执_______份正本，_______份副本。</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（四） 无论本合同是否有相反约定，本合同附件（如有）作为本合同的组成部分，与本合同具有同等法律效力，当附件条款与本合同条款发生冲突时，以本合同条款为准。</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（六） 由于法律和法规、政策而导致本合同任何条款无效或无法执行，则该条款无效，但不影响剩余其他条款的效力。</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（七）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第十四条 附件的组成</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附件</w:t>
      </w:r>
    </w:p>
    <w:p>
      <w:pPr>
        <w:pStyle w:val="2"/>
        <w:spacing w:after="0" w:line="360" w:lineRule="auto"/>
        <w:ind w:left="138" w:right="228" w:firstLine="480"/>
        <w:jc w:val="both"/>
        <w:rPr>
          <w:rFonts w:hint="eastAsia" w:ascii="仿宋_GB2312" w:eastAsia="仿宋_GB2312"/>
        </w:rPr>
        <w:sectPr>
          <w:footerReference r:id="rId6" w:type="first"/>
          <w:footerReference r:id="rId5" w:type="default"/>
          <w:pgSz w:w="11906" w:h="16838"/>
          <w:pgMar w:top="1417" w:right="1134" w:bottom="1134" w:left="1134" w:header="851" w:footer="992" w:gutter="0"/>
          <w:pgNumType w:start="1"/>
          <w:cols w:space="720" w:num="1"/>
        </w:sectPr>
      </w:pPr>
      <w:r>
        <w:rPr>
          <w:rFonts w:hint="eastAsia" w:ascii="仿宋_GB2312" w:eastAsia="仿宋_GB2312"/>
        </w:rPr>
        <w:t>第十五条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附件一</w:t>
      </w:r>
      <w:r>
        <w:rPr>
          <w:rFonts w:hint="eastAsia" w:ascii="仿宋_GB2312" w:eastAsia="仿宋_GB2312"/>
        </w:rPr>
        <w:tab/>
      </w:r>
    </w:p>
    <w:p>
      <w:pPr>
        <w:pStyle w:val="2"/>
        <w:spacing w:after="0" w:line="360" w:lineRule="auto"/>
        <w:ind w:left="138" w:right="228" w:firstLine="480"/>
        <w:jc w:val="center"/>
        <w:rPr>
          <w:rFonts w:hint="eastAsia" w:ascii="仿宋_GB2312" w:eastAsia="仿宋_GB2312"/>
          <w:b/>
          <w:bCs/>
        </w:rPr>
      </w:pPr>
      <w:r>
        <w:rPr>
          <w:rFonts w:hint="eastAsia" w:ascii="仿宋_GB2312" w:eastAsia="仿宋_GB2312"/>
          <w:b/>
          <w:bCs/>
        </w:rPr>
        <w:t>服务内容及要求</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r>
        <w:rPr>
          <w:rFonts w:hint="eastAsia" w:ascii="仿宋_GB2312" w:eastAsia="仿宋_GB2312"/>
        </w:rPr>
        <w:t>1.项目名称</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项目名称：人保财险四川省资阳市分公司三大主粮、柑橘过程性风险减量服务</w:t>
      </w:r>
      <w:r>
        <w:rPr>
          <w:rFonts w:hint="eastAsia" w:ascii="仿宋_GB2312" w:eastAsia="仿宋_GB2312"/>
          <w:lang w:eastAsia="zh-CN"/>
        </w:rPr>
        <w:t>采购项目</w:t>
      </w:r>
      <w:r>
        <w:rPr>
          <w:rFonts w:hint="eastAsia" w:ascii="仿宋_GB2312" w:eastAsia="仿宋_GB2312"/>
        </w:rPr>
        <w:t>。</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 项目内容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（1）乙方向甲方提供的服务的内容：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 xml:space="preserve">通过遥感（无人机遥感+卫星遥感）技术、气象数据、实地查验等监测作物长势和病虫害及自然灾害，同时分析乡镇内气象及气象衍生灾害发生情况、病虫草鼠害发生情况，呈现各乡镇各月灾害类型以及灾害分布情况，指导我司对相关农险区域保险作物生长情况及时查看留痕。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（2）服务期限：自合同签订之日起至2026年年底。</w:t>
      </w:r>
    </w:p>
    <w:p>
      <w:pPr>
        <w:pStyle w:val="2"/>
        <w:spacing w:after="0" w:line="360" w:lineRule="auto"/>
        <w:ind w:left="138" w:right="228" w:firstLine="480"/>
        <w:jc w:val="both"/>
        <w:rPr>
          <w:rFonts w:hint="eastAsia" w:ascii="仿宋_GB2312" w:eastAsia="仿宋_GB2312"/>
          <w:lang w:eastAsia="zh-CN"/>
        </w:rPr>
      </w:pPr>
      <w:r>
        <w:rPr>
          <w:rFonts w:hint="eastAsia" w:ascii="仿宋_GB2312" w:eastAsia="仿宋_GB2312"/>
        </w:rPr>
        <w:t>（3）甲方向乙方支付合同服务费用</w:t>
      </w:r>
      <w:r>
        <w:rPr>
          <w:rFonts w:hint="eastAsia" w:ascii="仿宋_GB2312" w:eastAsia="仿宋_GB2312"/>
          <w:lang w:eastAsia="zh-CN"/>
        </w:rPr>
        <w:t>：根据合同单价，据实结算。</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（4）其他要求：</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3.告知</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甲乙双方同意涉及本合同的一切事宜均以书面形式提交，双方应及时响应。</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4.问题项目处理</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right="228"/>
        <w:jc w:val="both"/>
        <w:rPr>
          <w:rFonts w:hint="eastAsia" w:ascii="仿宋_GB2312" w:eastAsia="仿宋_GB2312"/>
        </w:rPr>
      </w:pPr>
      <w:r>
        <w:rPr>
          <w:rFonts w:hint="eastAsia" w:ascii="仿宋_GB2312" w:eastAsia="仿宋_GB2312"/>
        </w:rPr>
        <w:t>附件二</w:t>
      </w:r>
    </w:p>
    <w:p>
      <w:pPr>
        <w:pStyle w:val="2"/>
        <w:spacing w:after="0" w:line="360" w:lineRule="auto"/>
        <w:ind w:left="138" w:right="228" w:firstLine="480"/>
        <w:jc w:val="center"/>
        <w:rPr>
          <w:rFonts w:hint="eastAsia" w:ascii="仿宋_GB2312" w:eastAsia="仿宋_GB2312"/>
          <w:b/>
          <w:bCs/>
        </w:rPr>
      </w:pPr>
      <w:r>
        <w:rPr>
          <w:rFonts w:hint="eastAsia" w:ascii="仿宋_GB2312" w:eastAsia="仿宋_GB2312"/>
          <w:b/>
          <w:bCs/>
        </w:rPr>
        <w:t>付款</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r>
        <w:rPr>
          <w:rFonts w:hint="eastAsia" w:ascii="仿宋_GB2312" w:eastAsia="仿宋_GB2312"/>
        </w:rPr>
        <w:t>1.本合同使用货币种类为人民币。</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2.付款方式：转账[现金/支票]双方采用转账方式付款的，甲方应向乙方以下账户进行支付：</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乙方：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开户行：</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账户名称：</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账号：</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乙方如需改变上述账户，应提前10日以书面通知甲方。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3.付款安排</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 xml:space="preserve">甲方分[ </w:t>
      </w:r>
      <w:r>
        <w:rPr>
          <w:rFonts w:hint="eastAsia" w:ascii="仿宋_GB2312" w:eastAsia="仿宋_GB2312"/>
          <w:lang w:eastAsia="zh-CN"/>
        </w:rPr>
        <w:t>一</w:t>
      </w:r>
      <w:r>
        <w:rPr>
          <w:rFonts w:hint="eastAsia" w:ascii="仿宋_GB2312" w:eastAsia="仿宋_GB2312"/>
        </w:rPr>
        <w:t xml:space="preserve"> ]次向乙方付款，付款前乙方须向甲方出具付款通知书，并出具合法有效的增值税专用发票:</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w:t>
      </w:r>
      <w:r>
        <w:rPr>
          <w:rFonts w:hint="eastAsia" w:ascii="仿宋_GB2312" w:eastAsia="仿宋_GB2312"/>
          <w:lang w:val="en-US" w:eastAsia="zh-CN"/>
        </w:rPr>
        <w:t>1</w:t>
      </w:r>
      <w:r>
        <w:rPr>
          <w:rFonts w:hint="eastAsia" w:ascii="仿宋_GB2312" w:eastAsia="仿宋_GB2312"/>
        </w:rPr>
        <w:t>）项目各阶段全部实施完毕后，甲方依据约定对项目各阶段的整体服务水平和服务质量进行验收，形成验收报告，验收报告形成后15个工作日内，甲方向乙方</w:t>
      </w:r>
      <w:r>
        <w:rPr>
          <w:rFonts w:hint="eastAsia" w:ascii="仿宋_GB2312" w:eastAsia="仿宋_GB2312"/>
          <w:lang w:eastAsia="zh-CN"/>
        </w:rPr>
        <w:t>一次性</w:t>
      </w:r>
      <w:r>
        <w:rPr>
          <w:rFonts w:hint="eastAsia" w:ascii="仿宋_GB2312" w:eastAsia="仿宋_GB2312"/>
        </w:rPr>
        <w:t>支付</w:t>
      </w:r>
      <w:r>
        <w:rPr>
          <w:rFonts w:hint="eastAsia" w:ascii="仿宋_GB2312" w:eastAsia="仿宋_GB2312"/>
          <w:lang w:eastAsia="zh-CN"/>
        </w:rPr>
        <w:t>合同</w:t>
      </w:r>
      <w:r>
        <w:rPr>
          <w:rFonts w:hint="eastAsia" w:ascii="仿宋_GB2312" w:eastAsia="仿宋_GB2312"/>
        </w:rPr>
        <w:t>服务费用</w:t>
      </w:r>
      <w:r>
        <w:rPr>
          <w:rFonts w:hint="eastAsia" w:ascii="仿宋_GB2312" w:eastAsia="仿宋_GB2312"/>
          <w:lang w:eastAsia="zh-CN"/>
        </w:rPr>
        <w:t>总额的</w:t>
      </w:r>
      <w:r>
        <w:rPr>
          <w:rFonts w:hint="eastAsia" w:ascii="仿宋_GB2312" w:eastAsia="仿宋_GB2312"/>
          <w:lang w:val="en-US" w:eastAsia="zh-CN"/>
        </w:rPr>
        <w:t>100%</w:t>
      </w:r>
      <w:r>
        <w:rPr>
          <w:rFonts w:hint="eastAsia" w:ascii="仿宋_GB2312" w:eastAsia="仿宋_GB2312"/>
        </w:rPr>
        <w:t>。</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4.增值税专用发票的相关约定</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 xml:space="preserve">（1）乙方应向甲方开具增值税专用发票，甲方开票信息如下： </w:t>
      </w:r>
    </w:p>
    <w:p>
      <w:pPr>
        <w:pStyle w:val="2"/>
        <w:spacing w:after="0" w:line="360" w:lineRule="auto"/>
        <w:ind w:left="138" w:right="228" w:firstLine="480"/>
        <w:jc w:val="both"/>
        <w:rPr>
          <w:rFonts w:hint="eastAsia" w:ascii="仿宋_GB2312" w:eastAsia="仿宋_GB2312"/>
          <w:u w:val="single"/>
        </w:rPr>
      </w:pPr>
      <w:r>
        <w:rPr>
          <w:rFonts w:hint="eastAsia" w:ascii="仿宋_GB2312" w:eastAsia="仿宋_GB2312"/>
        </w:rPr>
        <w:t xml:space="preserve">公司名称： </w:t>
      </w:r>
      <w:r>
        <w:rPr>
          <w:rFonts w:hint="eastAsia" w:ascii="仿宋_GB2312" w:eastAsia="仿宋_GB2312"/>
          <w:u w:val="single"/>
        </w:rPr>
        <w:t>中国人民财产保险股份有限公司资阳市分公司</w:t>
      </w:r>
    </w:p>
    <w:p>
      <w:pPr>
        <w:pStyle w:val="2"/>
        <w:spacing w:after="0" w:line="360" w:lineRule="auto"/>
        <w:ind w:left="138" w:right="228" w:firstLine="480"/>
        <w:jc w:val="both"/>
        <w:rPr>
          <w:rFonts w:hint="eastAsia" w:ascii="仿宋_GB2312" w:eastAsia="仿宋_GB2312"/>
          <w:lang w:val="en-US" w:eastAsia="zh-CN"/>
        </w:rPr>
      </w:pPr>
      <w:r>
        <w:rPr>
          <w:rFonts w:hint="eastAsia" w:ascii="仿宋_GB2312" w:eastAsia="仿宋_GB2312"/>
        </w:rPr>
        <w:t>纳税识别号：</w:t>
      </w:r>
      <w:r>
        <w:rPr>
          <w:rFonts w:hint="eastAsia" w:ascii="仿宋_GB2312" w:eastAsia="仿宋_GB2312"/>
          <w:lang w:val="en-US" w:eastAsia="zh-CN"/>
        </w:rPr>
        <w:t xml:space="preserve"> </w:t>
      </w:r>
      <w:r>
        <w:rPr>
          <w:rFonts w:hint="eastAsia" w:ascii="仿宋_GB2312" w:eastAsia="仿宋_GB2312"/>
          <w:u w:val="single"/>
        </w:rPr>
        <w:t>91512000731638278R</w:t>
      </w:r>
      <w:r>
        <w:rPr>
          <w:rFonts w:hint="eastAsia" w:ascii="仿宋_GB2312" w:eastAsia="仿宋_GB2312"/>
          <w:u w:val="single"/>
          <w:lang w:val="en-US" w:eastAsia="zh-CN"/>
        </w:rPr>
        <w:t xml:space="preserve"> </w:t>
      </w:r>
    </w:p>
    <w:p>
      <w:pPr>
        <w:pStyle w:val="2"/>
        <w:spacing w:after="0" w:line="360" w:lineRule="auto"/>
        <w:ind w:left="138" w:right="228" w:firstLine="480"/>
        <w:jc w:val="both"/>
        <w:rPr>
          <w:rFonts w:hint="eastAsia" w:ascii="仿宋_GB2312" w:eastAsia="仿宋_GB2312"/>
          <w:u w:val="single"/>
          <w:lang w:eastAsia="zh-CN"/>
        </w:rPr>
      </w:pPr>
      <w:r>
        <w:rPr>
          <w:rFonts w:hint="eastAsia" w:ascii="仿宋_GB2312" w:eastAsia="仿宋_GB2312"/>
        </w:rPr>
        <w:t>银行账号：</w:t>
      </w:r>
      <w:r>
        <w:rPr>
          <w:rFonts w:hint="eastAsia" w:ascii="仿宋_GB2312" w:eastAsia="仿宋_GB2312"/>
          <w:u w:val="single"/>
        </w:rPr>
        <w:t xml:space="preserve"> 2307488109023100417</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开户银行：</w:t>
      </w:r>
      <w:r>
        <w:rPr>
          <w:rFonts w:hint="eastAsia" w:ascii="仿宋_GB2312" w:eastAsia="仿宋_GB2312"/>
          <w:u w:val="single"/>
        </w:rPr>
        <w:t xml:space="preserve"> 中国工商银行股份有限公司四川省资阳分行</w:t>
      </w:r>
    </w:p>
    <w:p>
      <w:pPr>
        <w:pStyle w:val="2"/>
        <w:spacing w:after="0" w:line="360" w:lineRule="auto"/>
        <w:ind w:left="1817" w:right="228" w:hanging="1200"/>
        <w:jc w:val="both"/>
        <w:rPr>
          <w:rFonts w:hint="eastAsia" w:ascii="仿宋_GB2312" w:eastAsia="仿宋_GB2312"/>
          <w:u w:val="single"/>
        </w:rPr>
      </w:pPr>
      <w:r>
        <w:rPr>
          <w:rFonts w:hint="eastAsia" w:ascii="仿宋_GB2312" w:eastAsia="仿宋_GB2312"/>
        </w:rPr>
        <w:t xml:space="preserve">开票地址： </w:t>
      </w:r>
      <w:r>
        <w:rPr>
          <w:rFonts w:hint="eastAsia" w:ascii="仿宋_GB2312" w:eastAsia="仿宋_GB2312"/>
          <w:u w:val="single"/>
        </w:rPr>
        <w:t>四川省资阳市雁江区宝台镇黄泥村弘城水韵和中城建.新城市广场（一期）25号楼25（F）</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开票电话： 028-26758766</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（2）乙方同时向甲方公司及其分支机构提供产品及服务的，双方应在合同中约定甲方的分支机构和对应的价款。乙方应分别对清单中的费用承担方开具相应金额的增值税专用发票；</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right="228"/>
        <w:jc w:val="both"/>
        <w:rPr>
          <w:rFonts w:hint="eastAsia" w:ascii="仿宋_GB2312" w:eastAsia="仿宋_GB2312"/>
        </w:rPr>
      </w:pPr>
      <w:r>
        <w:rPr>
          <w:rFonts w:hint="eastAsia" w:ascii="仿宋_GB2312" w:eastAsia="仿宋_GB2312"/>
        </w:rPr>
        <w:t>附件三</w:t>
      </w:r>
    </w:p>
    <w:p>
      <w:pPr>
        <w:pStyle w:val="2"/>
        <w:spacing w:after="0" w:line="360" w:lineRule="auto"/>
        <w:ind w:left="138" w:right="228" w:firstLine="480"/>
        <w:jc w:val="center"/>
        <w:rPr>
          <w:rFonts w:hint="eastAsia" w:ascii="仿宋_GB2312" w:eastAsia="仿宋_GB2312"/>
          <w:b/>
          <w:bCs/>
        </w:rPr>
      </w:pPr>
      <w:r>
        <w:rPr>
          <w:rFonts w:hint="eastAsia" w:ascii="仿宋_GB2312" w:eastAsia="仿宋_GB2312"/>
          <w:b/>
          <w:bCs/>
        </w:rPr>
        <w:t>双方的权利和义务</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r>
        <w:rPr>
          <w:rFonts w:hint="eastAsia" w:ascii="仿宋_GB2312" w:eastAsia="仿宋_GB2312"/>
        </w:rPr>
        <w:t>1. 甲方的权利和义务</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r>
        <w:rPr>
          <w:rFonts w:hint="eastAsia" w:ascii="仿宋_GB2312" w:eastAsia="仿宋_GB2312"/>
        </w:rPr>
        <w:t>2. 乙方的权利和义务</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right="228"/>
        <w:jc w:val="both"/>
        <w:rPr>
          <w:rFonts w:hint="eastAsia" w:ascii="仿宋_GB2312" w:eastAsia="仿宋_GB2312"/>
          <w:b/>
          <w:bCs/>
        </w:rPr>
      </w:pPr>
      <w:r>
        <w:rPr>
          <w:rFonts w:hint="eastAsia" w:ascii="仿宋_GB2312" w:eastAsia="仿宋_GB2312"/>
        </w:rPr>
        <w:t>附件四</w:t>
      </w:r>
    </w:p>
    <w:p>
      <w:pPr>
        <w:pStyle w:val="2"/>
        <w:spacing w:after="0" w:line="360" w:lineRule="auto"/>
        <w:ind w:left="138" w:right="228" w:firstLine="480"/>
        <w:jc w:val="center"/>
        <w:rPr>
          <w:rFonts w:hint="eastAsia" w:ascii="仿宋_GB2312" w:eastAsia="仿宋_GB2312"/>
          <w:b/>
          <w:bCs/>
        </w:rPr>
      </w:pPr>
      <w:r>
        <w:rPr>
          <w:rFonts w:hint="eastAsia" w:ascii="仿宋_GB2312" w:eastAsia="仿宋_GB2312"/>
          <w:b/>
          <w:bCs/>
        </w:rPr>
        <w:t>违约责任</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r>
        <w:rPr>
          <w:rFonts w:hint="eastAsia" w:ascii="仿宋_GB2312" w:eastAsia="仿宋_GB2312"/>
        </w:rPr>
        <w:t>除合同约定的违约责任以外，任何一方存在以下约定情形的，应承担相应的违约责任：</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p>
    <w:p>
      <w:pPr>
        <w:pStyle w:val="2"/>
        <w:spacing w:after="0" w:line="360" w:lineRule="auto"/>
        <w:ind w:right="228"/>
        <w:jc w:val="both"/>
        <w:rPr>
          <w:rFonts w:hint="eastAsia" w:ascii="仿宋_GB2312" w:eastAsia="仿宋_GB2312"/>
        </w:rPr>
      </w:pPr>
    </w:p>
    <w:p>
      <w:pPr>
        <w:pStyle w:val="2"/>
        <w:spacing w:after="0" w:line="360" w:lineRule="auto"/>
        <w:ind w:right="228"/>
        <w:jc w:val="both"/>
        <w:rPr>
          <w:rFonts w:hint="eastAsia" w:ascii="仿宋_GB2312" w:eastAsia="仿宋_GB2312"/>
        </w:rPr>
      </w:pPr>
    </w:p>
    <w:p>
      <w:pPr>
        <w:pStyle w:val="2"/>
        <w:spacing w:after="0" w:line="360" w:lineRule="auto"/>
        <w:ind w:right="228"/>
        <w:jc w:val="both"/>
        <w:rPr>
          <w:rFonts w:hint="eastAsia" w:ascii="仿宋_GB2312" w:eastAsia="仿宋_GB2312"/>
        </w:rPr>
      </w:pPr>
    </w:p>
    <w:p>
      <w:pPr>
        <w:pStyle w:val="2"/>
        <w:spacing w:after="0" w:line="360" w:lineRule="auto"/>
        <w:ind w:right="228"/>
        <w:jc w:val="both"/>
        <w:rPr>
          <w:rFonts w:hint="eastAsia" w:ascii="仿宋_GB2312" w:eastAsia="仿宋_GB2312"/>
        </w:rPr>
      </w:pPr>
    </w:p>
    <w:p>
      <w:pPr>
        <w:pStyle w:val="2"/>
        <w:spacing w:after="0" w:line="360" w:lineRule="auto"/>
        <w:ind w:right="228"/>
        <w:jc w:val="both"/>
        <w:rPr>
          <w:rFonts w:hint="eastAsia" w:ascii="仿宋_GB2312" w:eastAsia="仿宋_GB2312"/>
        </w:rPr>
      </w:pPr>
      <w:r>
        <w:rPr>
          <w:rFonts w:hint="eastAsia" w:ascii="仿宋_GB2312" w:eastAsia="仿宋_GB2312"/>
        </w:rPr>
        <w:t xml:space="preserve">附件五 </w:t>
      </w:r>
    </w:p>
    <w:p>
      <w:pPr>
        <w:pStyle w:val="2"/>
        <w:spacing w:after="0" w:line="360" w:lineRule="auto"/>
        <w:ind w:left="138" w:right="228" w:firstLine="480"/>
        <w:jc w:val="center"/>
        <w:rPr>
          <w:rFonts w:hint="eastAsia" w:ascii="仿宋_GB2312" w:eastAsia="仿宋_GB2312"/>
          <w:b/>
          <w:bCs/>
        </w:rPr>
      </w:pPr>
      <w:r>
        <w:rPr>
          <w:rFonts w:hint="eastAsia" w:ascii="仿宋_GB2312" w:eastAsia="仿宋_GB2312"/>
          <w:b/>
          <w:bCs/>
        </w:rPr>
        <w:t>消费者权益保护及客户信息保护</w:t>
      </w:r>
    </w:p>
    <w:p>
      <w:pPr>
        <w:pStyle w:val="2"/>
        <w:spacing w:after="0" w:line="360" w:lineRule="auto"/>
        <w:ind w:left="138" w:right="228" w:firstLine="480"/>
        <w:jc w:val="both"/>
        <w:rPr>
          <w:rFonts w:hint="eastAsia" w:ascii="仿宋_GB2312" w:eastAsia="仿宋_GB2312"/>
        </w:rPr>
      </w:pP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第一条消费者权益保护条款</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关于进一步规范金融营销宣传行为的通知》（银发〔2019〕316号）等。具体如下：</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甲乙双方应重视消费者权益保护工作，依法合规建立合作机构准入和退出机制。乙方近两年内不得存在侵害消费者权益的行为和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并将其列入公司合作机构管理负面清单。</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2.双方应严格按照相关法律法规要求履行合规及风险管理、信息安全管控、服务价格管理、服务连续性、信息披露、纠纷解决机制、违约责任承担和应急处置等方面的责任。</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3.乙方不得非法或超范围开展保险营销宣传活动，亦不得以欺诈或引人误解的方式对保险产品或保险服务进行营销宣传。乙方应积极配合甲方对业务活动开展监督检查，对发现的问题应配合甲方要求及时整改。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4.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5.甲乙双方应根据消费者投诉反映出的问题积极进行溯源改进，查找服务薄弱环节和风险隐患，从源头上减少消费投诉的发生，提高服务水平，加强保险消费者权益保护。</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6.对于客户投诉较多、设计上存在缺陷的保险产品或服务，乙方及时通知甲方，并按照甲方要求妥善处理相关事宜，包括停止销售或提供服务等。</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7.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第二条 客户信息保护条款</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1.收集、使用及处理客户个人信息必须是依据法定义务或履行本协议所必要的行为，并在履行本协议必要范围内收集客户信息。未经客户授权同意，不得将客户个人信息公开披露，不得转移、出售给第三方。</w:t>
      </w:r>
    </w:p>
    <w:p>
      <w:pPr>
        <w:pStyle w:val="2"/>
        <w:spacing w:after="0" w:line="360" w:lineRule="auto"/>
        <w:ind w:left="138" w:right="228" w:firstLine="480"/>
        <w:jc w:val="both"/>
        <w:rPr>
          <w:rFonts w:hint="eastAsia" w:ascii="仿宋_GB2312" w:eastAsia="仿宋_GB2312"/>
        </w:rPr>
      </w:pPr>
      <w:r>
        <w:rPr>
          <w:rFonts w:hint="eastAsia" w:ascii="仿宋_GB2312" w:eastAsia="仿宋_GB2312"/>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pStyle w:val="2"/>
        <w:spacing w:after="0" w:line="360" w:lineRule="auto"/>
        <w:ind w:left="138" w:right="228" w:firstLine="480"/>
        <w:jc w:val="both"/>
        <w:rPr>
          <w:rFonts w:hint="eastAsia" w:ascii="仿宋_GB2312" w:eastAsia="仿宋_GB2312"/>
        </w:rPr>
        <w:sectPr>
          <w:pgSz w:w="11906" w:h="16838"/>
          <w:pgMar w:top="1417" w:right="1134" w:bottom="1134" w:left="1134" w:header="851" w:footer="992" w:gutter="0"/>
          <w:cols w:space="720" w:num="1"/>
          <w:titlePg/>
        </w:sectPr>
      </w:pPr>
      <w:r>
        <w:rPr>
          <w:rFonts w:hint="eastAsia" w:ascii="仿宋_GB2312" w:eastAsia="仿宋_GB2312"/>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pStyle w:val="3"/>
        <w:pageBreakBefore/>
        <w:jc w:val="left"/>
        <w:rPr>
          <w:rFonts w:ascii="仿宋_GB2312" w:hAnsi="宋体" w:eastAsia="仿宋_GB2312"/>
          <w:color w:val="auto"/>
          <w:sz w:val="28"/>
          <w:szCs w:val="28"/>
        </w:rPr>
      </w:pPr>
      <w:bookmarkStart w:id="145" w:name="_Toc4181"/>
      <w:bookmarkStart w:id="146" w:name="_Toc1287"/>
      <w:bookmarkStart w:id="147" w:name="_Toc186737811"/>
      <w:r>
        <w:rPr>
          <w:rFonts w:hint="eastAsia" w:ascii="仿宋_GB2312" w:hAnsi="宋体" w:eastAsia="仿宋_GB2312"/>
          <w:color w:val="auto"/>
          <w:sz w:val="28"/>
          <w:szCs w:val="28"/>
        </w:rPr>
        <w:t>第五章 采购</w:t>
      </w:r>
      <w:bookmarkEnd w:id="145"/>
      <w:r>
        <w:rPr>
          <w:rFonts w:hint="eastAsia" w:ascii="仿宋_GB2312" w:hAnsi="宋体" w:eastAsia="仿宋_GB2312"/>
          <w:color w:val="auto"/>
          <w:sz w:val="28"/>
          <w:szCs w:val="28"/>
        </w:rPr>
        <w:t>需求</w:t>
      </w:r>
      <w:bookmarkEnd w:id="146"/>
      <w:bookmarkEnd w:id="147"/>
    </w:p>
    <w:p>
      <w:pPr>
        <w:spacing w:line="440" w:lineRule="exact"/>
        <w:ind w:firstLine="420"/>
        <w:outlineLvl w:val="1"/>
        <w:rPr>
          <w:rFonts w:hint="eastAsia" w:ascii="仿宋" w:hAnsi="仿宋" w:eastAsia="仿宋" w:cs="Cambria Math"/>
          <w:color w:val="000000"/>
        </w:rPr>
      </w:pPr>
      <w:bookmarkStart w:id="148" w:name="_Toc27184"/>
      <w:r>
        <w:rPr>
          <w:rFonts w:hint="eastAsia" w:ascii="仿宋" w:hAnsi="仿宋" w:eastAsia="仿宋" w:cs="Cambria Math"/>
          <w:color w:val="000000"/>
          <w:lang w:val="en-US" w:eastAsia="zh-CN"/>
        </w:rPr>
        <w:t>一、</w:t>
      </w:r>
      <w:r>
        <w:rPr>
          <w:rFonts w:hint="eastAsia" w:ascii="仿宋" w:hAnsi="仿宋" w:eastAsia="仿宋" w:cs="Cambria Math"/>
          <w:color w:val="000000"/>
        </w:rPr>
        <w:t>采购项目背景</w:t>
      </w:r>
      <w:bookmarkEnd w:id="148"/>
    </w:p>
    <w:p>
      <w:pPr>
        <w:spacing w:line="440" w:lineRule="exact"/>
        <w:ind w:firstLine="420"/>
        <w:rPr>
          <w:rFonts w:hint="eastAsia" w:ascii="仿宋" w:hAnsi="仿宋" w:eastAsia="仿宋" w:cs="Cambria Math"/>
          <w:color w:val="000000"/>
          <w:lang w:val="en-US" w:eastAsia="zh-CN"/>
        </w:rPr>
      </w:pPr>
      <w:r>
        <w:rPr>
          <w:rFonts w:hint="eastAsia" w:ascii="仿宋" w:hAnsi="仿宋" w:eastAsia="仿宋" w:cs="Cambria Math"/>
          <w:color w:val="000000"/>
          <w:lang w:val="en-US" w:eastAsia="zh-CN"/>
        </w:rPr>
        <w:t>三大主粮和柑橘是我司农险客户重要的种植作物，2025年，我司承保三大主粮44.87万亩，柑橘6.15万亩，共提供风险保障4.56亿元，有效稳定三大主粮覆盖率，提升了农户种植柑橘积极性。但长期以来，农业生产风险依然突出，特别是干旱、洪涝、低温冻害、病虫害等风险对农户种植造成显著影响 ，传统“事后赔付”模式的时效性和前置性方面存在明显不足，亟需关口前移，强化过程管理。</w:t>
      </w:r>
    </w:p>
    <w:p>
      <w:pPr>
        <w:spacing w:line="440" w:lineRule="exact"/>
        <w:ind w:firstLine="420"/>
        <w:outlineLvl w:val="1"/>
        <w:rPr>
          <w:rFonts w:hint="eastAsia" w:ascii="仿宋" w:hAnsi="仿宋" w:eastAsia="仿宋" w:cs="Cambria Math"/>
          <w:color w:val="000000"/>
        </w:rPr>
      </w:pPr>
      <w:bookmarkStart w:id="149" w:name="_Toc12487"/>
      <w:r>
        <w:rPr>
          <w:rFonts w:hint="eastAsia" w:ascii="仿宋" w:hAnsi="仿宋" w:eastAsia="仿宋" w:cs="Cambria Math"/>
          <w:color w:val="000000"/>
          <w:lang w:val="en-US" w:eastAsia="zh-CN"/>
        </w:rPr>
        <w:t>二、</w:t>
      </w:r>
      <w:r>
        <w:rPr>
          <w:rFonts w:hint="eastAsia" w:ascii="仿宋" w:hAnsi="仿宋" w:eastAsia="仿宋" w:cs="Cambria Math"/>
          <w:color w:val="000000"/>
        </w:rPr>
        <w:t>采购内容</w:t>
      </w:r>
      <w:bookmarkEnd w:id="149"/>
    </w:p>
    <w:p>
      <w:pPr>
        <w:spacing w:line="440" w:lineRule="exact"/>
        <w:ind w:firstLine="420"/>
        <w:rPr>
          <w:rFonts w:hint="eastAsia" w:ascii="仿宋" w:hAnsi="仿宋" w:eastAsia="仿宋" w:cs="Cambria Math"/>
          <w:color w:val="000000"/>
          <w:lang w:val="en-US" w:eastAsia="zh-CN"/>
        </w:rPr>
      </w:pPr>
      <w:r>
        <w:rPr>
          <w:rFonts w:hint="eastAsia" w:ascii="仿宋" w:hAnsi="仿宋" w:eastAsia="仿宋" w:cs="Cambria Math"/>
          <w:color w:val="000000"/>
          <w:lang w:val="en-US" w:eastAsia="zh-CN"/>
        </w:rPr>
        <w:t>通过遥感（无人机遥感+卫星遥感）技术、气象数据、实地查验等监测作物长势和病虫害及自然灾害，同时分析乡镇内气象及气象衍生灾害发生情况、病虫草鼠害发生情况，呈现各乡镇各月灾害类型以及灾害分布情况，指导我司对相关农险区域保险作物生长情况及时查看留痕。</w:t>
      </w:r>
    </w:p>
    <w:p>
      <w:pPr>
        <w:spacing w:line="440" w:lineRule="exact"/>
        <w:ind w:firstLine="420"/>
        <w:outlineLvl w:val="1"/>
        <w:rPr>
          <w:rFonts w:hint="eastAsia" w:ascii="仿宋" w:hAnsi="仿宋" w:eastAsia="仿宋" w:cs="Cambria Math"/>
          <w:color w:val="000000"/>
        </w:rPr>
      </w:pPr>
      <w:bookmarkStart w:id="150" w:name="_Toc29818"/>
      <w:r>
        <w:rPr>
          <w:rFonts w:hint="eastAsia" w:ascii="仿宋" w:hAnsi="仿宋" w:eastAsia="仿宋" w:cs="Cambria Math"/>
          <w:color w:val="000000"/>
          <w:lang w:val="en-US" w:eastAsia="zh-CN"/>
        </w:rPr>
        <w:t>三、</w:t>
      </w:r>
      <w:r>
        <w:rPr>
          <w:rFonts w:hint="eastAsia" w:ascii="仿宋" w:hAnsi="仿宋" w:eastAsia="仿宋" w:cs="Cambria Math"/>
          <w:color w:val="000000"/>
        </w:rPr>
        <w:t>采购数量</w:t>
      </w:r>
      <w:bookmarkEnd w:id="150"/>
    </w:p>
    <w:p>
      <w:pPr>
        <w:spacing w:line="440" w:lineRule="exact"/>
        <w:ind w:firstLine="420"/>
        <w:rPr>
          <w:rFonts w:hint="eastAsia" w:ascii="仿宋" w:hAnsi="仿宋" w:eastAsia="仿宋" w:cs="Cambria Math"/>
          <w:color w:val="000000"/>
          <w:highlight w:val="none"/>
          <w:lang w:eastAsia="zh-CN"/>
        </w:rPr>
      </w:pPr>
      <w:r>
        <w:rPr>
          <w:rFonts w:hint="eastAsia" w:ascii="仿宋" w:hAnsi="仿宋" w:eastAsia="仿宋" w:cs="Cambria Math"/>
          <w:color w:val="000000"/>
        </w:rPr>
        <w:t>（一）服务数量：采购人保财险政策性农险经营区域</w:t>
      </w:r>
      <w:r>
        <w:rPr>
          <w:rFonts w:hint="eastAsia" w:ascii="仿宋" w:hAnsi="仿宋" w:eastAsia="仿宋" w:cs="Cambria Math"/>
          <w:color w:val="000000"/>
          <w:lang w:eastAsia="zh-CN"/>
        </w:rPr>
        <w:t>三大主粮、柑橘</w:t>
      </w:r>
      <w:r>
        <w:rPr>
          <w:rFonts w:hint="eastAsia" w:ascii="仿宋" w:hAnsi="仿宋" w:eastAsia="仿宋" w:cs="Cambria Math"/>
          <w:color w:val="000000"/>
          <w:highlight w:val="none"/>
        </w:rPr>
        <w:t>产业</w:t>
      </w:r>
      <w:r>
        <w:rPr>
          <w:rFonts w:hint="eastAsia" w:ascii="仿宋" w:hAnsi="仿宋" w:eastAsia="仿宋" w:cs="Cambria Math"/>
          <w:color w:val="000000"/>
          <w:highlight w:val="none"/>
          <w:lang w:eastAsia="zh-CN"/>
        </w:rPr>
        <w:t>约</w:t>
      </w:r>
      <w:r>
        <w:rPr>
          <w:rFonts w:hint="eastAsia" w:ascii="仿宋" w:hAnsi="仿宋" w:eastAsia="仿宋" w:cs="Cambria Math"/>
          <w:color w:val="000000"/>
          <w:highlight w:val="none"/>
          <w:lang w:val="en-US" w:eastAsia="zh-CN"/>
        </w:rPr>
        <w:t>2</w:t>
      </w:r>
      <w:r>
        <w:rPr>
          <w:rFonts w:hint="eastAsia" w:ascii="仿宋" w:hAnsi="仿宋" w:eastAsia="仿宋" w:cs="Cambria Math"/>
          <w:color w:val="000000"/>
          <w:highlight w:val="none"/>
        </w:rPr>
        <w:t>万亩</w:t>
      </w:r>
      <w:r>
        <w:rPr>
          <w:rFonts w:hint="eastAsia" w:ascii="仿宋" w:hAnsi="仿宋" w:eastAsia="仿宋" w:cs="Cambria Math"/>
          <w:color w:val="000000"/>
          <w:highlight w:val="none"/>
          <w:lang w:eastAsia="zh-CN"/>
        </w:rPr>
        <w:t>（</w:t>
      </w:r>
      <w:r>
        <w:rPr>
          <w:rFonts w:hint="eastAsia" w:ascii="仿宋" w:hAnsi="仿宋" w:eastAsia="仿宋" w:cs="Cambria Math"/>
          <w:color w:val="000000"/>
          <w:highlight w:val="none"/>
        </w:rPr>
        <w:t>该数量为预估，仅作为供应商报价依据，不作为采购方承诺，最终据实结算）</w:t>
      </w:r>
      <w:r>
        <w:rPr>
          <w:rFonts w:hint="eastAsia" w:ascii="仿宋" w:hAnsi="仿宋" w:eastAsia="仿宋" w:cs="Cambria Math"/>
          <w:color w:val="000000"/>
          <w:highlight w:val="none"/>
          <w:lang w:eastAsia="zh-CN"/>
        </w:rPr>
        <w:t>。</w:t>
      </w:r>
    </w:p>
    <w:p>
      <w:pPr>
        <w:spacing w:line="440" w:lineRule="exact"/>
        <w:ind w:firstLine="420"/>
        <w:rPr>
          <w:rFonts w:hint="eastAsia" w:ascii="仿宋" w:hAnsi="仿宋" w:eastAsia="仿宋" w:cs="Cambria Math"/>
          <w:color w:val="000000"/>
        </w:rPr>
      </w:pPr>
      <w:r>
        <w:rPr>
          <w:rFonts w:hint="eastAsia" w:ascii="仿宋" w:hAnsi="仿宋" w:eastAsia="仿宋" w:cs="Cambria Math"/>
          <w:color w:val="000000"/>
        </w:rPr>
        <w:t>（二）服务期限：</w:t>
      </w:r>
      <w:r>
        <w:rPr>
          <w:rFonts w:hint="eastAsia" w:ascii="仿宋" w:hAnsi="仿宋" w:eastAsia="仿宋" w:cs="Cambria Math"/>
          <w:color w:val="000000"/>
          <w:lang w:eastAsia="zh-CN"/>
        </w:rPr>
        <w:t>到</w:t>
      </w:r>
      <w:r>
        <w:rPr>
          <w:rFonts w:hint="eastAsia" w:ascii="仿宋" w:hAnsi="仿宋" w:eastAsia="仿宋" w:cs="Cambria Math"/>
          <w:color w:val="000000"/>
          <w:lang w:val="en-US" w:eastAsia="zh-CN"/>
        </w:rPr>
        <w:t>2026年年底</w:t>
      </w:r>
      <w:r>
        <w:rPr>
          <w:rFonts w:hint="eastAsia" w:ascii="仿宋" w:hAnsi="仿宋" w:eastAsia="仿宋" w:cs="Cambria Math"/>
          <w:color w:val="000000"/>
        </w:rPr>
        <w:t>。</w:t>
      </w:r>
    </w:p>
    <w:p>
      <w:pPr>
        <w:spacing w:line="440" w:lineRule="exact"/>
        <w:ind w:firstLine="420"/>
        <w:outlineLvl w:val="1"/>
        <w:rPr>
          <w:rFonts w:hint="eastAsia" w:ascii="仿宋" w:hAnsi="仿宋" w:eastAsia="仿宋" w:cs="Cambria Math"/>
          <w:color w:val="000000"/>
        </w:rPr>
      </w:pPr>
      <w:bookmarkStart w:id="151" w:name="_Toc13802"/>
      <w:r>
        <w:rPr>
          <w:rFonts w:hint="eastAsia" w:ascii="仿宋" w:hAnsi="仿宋" w:eastAsia="仿宋" w:cs="Cambria Math"/>
          <w:color w:val="000000"/>
        </w:rPr>
        <w:t>四、付款方式</w:t>
      </w:r>
      <w:bookmarkEnd w:id="151"/>
    </w:p>
    <w:p>
      <w:pPr>
        <w:spacing w:line="440" w:lineRule="exact"/>
        <w:ind w:firstLine="420"/>
        <w:rPr>
          <w:rFonts w:hint="eastAsia" w:ascii="仿宋" w:hAnsi="仿宋" w:eastAsia="仿宋" w:cs="Cambria Math"/>
          <w:color w:val="000000"/>
          <w:lang w:val="en-US" w:eastAsia="zh-CN"/>
        </w:rPr>
      </w:pPr>
      <w:r>
        <w:rPr>
          <w:rFonts w:hint="eastAsia" w:ascii="仿宋" w:hAnsi="仿宋" w:eastAsia="仿宋" w:cs="Cambria Math"/>
          <w:color w:val="000000"/>
          <w:lang w:val="en-US" w:eastAsia="zh-CN"/>
        </w:rPr>
        <w:t>4.1 该项目服务完成后，乙方向甲方提交项目总结报告后项目结束，经甲方验收无异议后，乙方向甲方开具增值税专票，甲方收到发票后7个工作日内，一次性向乙方支付项目总额费用，即人民币XXX元，大写XXX元；</w:t>
      </w:r>
    </w:p>
    <w:p>
      <w:pPr>
        <w:spacing w:line="440" w:lineRule="exact"/>
        <w:ind w:firstLine="420"/>
        <w:outlineLvl w:val="1"/>
        <w:rPr>
          <w:rFonts w:hint="eastAsia" w:ascii="仿宋" w:hAnsi="仿宋" w:eastAsia="仿宋" w:cs="Cambria Math"/>
          <w:color w:val="000000"/>
        </w:rPr>
      </w:pPr>
      <w:bookmarkStart w:id="152" w:name="_Toc4913"/>
      <w:r>
        <w:rPr>
          <w:rFonts w:hint="eastAsia" w:ascii="仿宋" w:hAnsi="仿宋" w:eastAsia="仿宋" w:cs="Cambria Math"/>
          <w:color w:val="000000"/>
        </w:rPr>
        <w:t>五、服务要求</w:t>
      </w:r>
      <w:bookmarkEnd w:id="152"/>
    </w:p>
    <w:p>
      <w:pPr>
        <w:spacing w:line="440" w:lineRule="exact"/>
        <w:ind w:firstLine="420"/>
        <w:rPr>
          <w:rFonts w:hint="eastAsia" w:ascii="仿宋" w:hAnsi="仿宋" w:eastAsia="仿宋" w:cs="Cambria Math"/>
          <w:color w:val="000000"/>
          <w:lang w:val="en-US" w:eastAsia="zh-CN"/>
        </w:rPr>
      </w:pPr>
      <w:r>
        <w:rPr>
          <w:rFonts w:hint="eastAsia" w:ascii="仿宋" w:hAnsi="仿宋" w:eastAsia="仿宋" w:cs="Cambria Math"/>
          <w:color w:val="000000"/>
          <w:lang w:val="en-US" w:eastAsia="zh-CN"/>
        </w:rPr>
        <w:t>（一）提供1对1针对性农事建议，帮助种植户科学合理的进行田间管理，并帮助我司留存种植过程资料。全方位助力种植户科学防控风险，实现防灾减灾减损。</w:t>
      </w:r>
    </w:p>
    <w:p>
      <w:pPr>
        <w:spacing w:line="440" w:lineRule="exact"/>
        <w:ind w:firstLine="420"/>
        <w:rPr>
          <w:rFonts w:hint="eastAsia" w:ascii="仿宋" w:hAnsi="仿宋" w:eastAsia="仿宋" w:cs="Cambria Math"/>
          <w:color w:val="000000"/>
          <w:lang w:val="en-US" w:eastAsia="zh-CN"/>
        </w:rPr>
      </w:pPr>
      <w:r>
        <w:rPr>
          <w:rFonts w:hint="eastAsia" w:ascii="仿宋" w:hAnsi="仿宋" w:eastAsia="仿宋" w:cs="Cambria Math"/>
          <w:color w:val="000000"/>
          <w:lang w:val="en-US" w:eastAsia="zh-CN"/>
        </w:rPr>
        <w:t>（二）分析乡镇内气象及气象衍生灾害发生情况、病虫草鼠害发生情况，呈现各乡镇各月灾害类型以及灾害分布情况，指导我司对相关农险区域保险作物生长情况及时查看留痕，为后期区域级理赔工作提前留证。</w:t>
      </w:r>
    </w:p>
    <w:p>
      <w:pPr>
        <w:pStyle w:val="2"/>
      </w:pPr>
      <w:r>
        <w:rPr>
          <w:rFonts w:hint="eastAsia"/>
        </w:rPr>
        <w:t xml:space="preserve"> </w:t>
      </w:r>
      <w:r>
        <w:t xml:space="preserve">   </w:t>
      </w:r>
    </w:p>
    <w:p/>
    <w:p>
      <w:pPr>
        <w:pStyle w:val="2"/>
      </w:pPr>
    </w:p>
    <w:p>
      <w:pPr>
        <w:pStyle w:val="2"/>
      </w:pPr>
    </w:p>
    <w:p>
      <w:pPr>
        <w:pStyle w:val="2"/>
      </w:pPr>
    </w:p>
    <w:p>
      <w:pPr>
        <w:pStyle w:val="3"/>
        <w:spacing w:before="0" w:after="0"/>
        <w:jc w:val="left"/>
        <w:rPr>
          <w:rFonts w:ascii="仿宋" w:hAnsi="仿宋" w:eastAsia="仿宋" w:cs="仿宋"/>
          <w:sz w:val="28"/>
          <w:szCs w:val="28"/>
        </w:rPr>
      </w:pPr>
      <w:bookmarkStart w:id="153" w:name="_Toc3675"/>
      <w:bookmarkStart w:id="154" w:name="_Toc186737812"/>
      <w:bookmarkStart w:id="155" w:name="_Toc262"/>
      <w:bookmarkStart w:id="156" w:name="_Toc9891"/>
      <w:r>
        <w:rPr>
          <w:rFonts w:hint="eastAsia" w:ascii="仿宋" w:hAnsi="仿宋" w:eastAsia="仿宋" w:cs="仿宋"/>
          <w:sz w:val="28"/>
          <w:szCs w:val="28"/>
        </w:rPr>
        <w:t>第六章 响应文件格式</w:t>
      </w:r>
      <w:bookmarkEnd w:id="153"/>
      <w:bookmarkEnd w:id="154"/>
      <w:bookmarkEnd w:id="155"/>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pPr>
              <w:pStyle w:val="227"/>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227"/>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人保财险四川省资阳市分公司三大主粮、柑橘过程性</w:t>
            </w:r>
          </w:p>
          <w:p>
            <w:pPr>
              <w:pStyle w:val="227"/>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风险减量服务采购项目项目</w:t>
            </w:r>
          </w:p>
          <w:p>
            <w:pPr>
              <w:pStyle w:val="227"/>
              <w:ind w:right="-284" w:firstLine="2240"/>
              <w:rPr>
                <w:rFonts w:ascii="仿宋" w:hAnsi="仿宋" w:eastAsia="仿宋" w:cs="仿宋"/>
                <w:color w:val="000000"/>
                <w:sz w:val="28"/>
                <w:u w:val="single"/>
              </w:rPr>
            </w:pPr>
          </w:p>
          <w:p>
            <w:pPr>
              <w:pStyle w:val="227"/>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227"/>
              <w:spacing w:before="624" w:after="156" w:line="160" w:lineRule="atLeast"/>
              <w:ind w:right="-284"/>
              <w:jc w:val="center"/>
              <w:rPr>
                <w:rFonts w:ascii="仿宋" w:hAnsi="仿宋" w:eastAsia="仿宋" w:cs="仿宋"/>
                <w:color w:val="000000"/>
                <w:sz w:val="52"/>
              </w:rPr>
            </w:pPr>
          </w:p>
          <w:p>
            <w:pPr>
              <w:pStyle w:val="227"/>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227"/>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227"/>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227"/>
              <w:spacing w:after="624"/>
              <w:ind w:right="-284"/>
              <w:jc w:val="center"/>
              <w:rPr>
                <w:rFonts w:ascii="仿宋" w:hAnsi="仿宋" w:eastAsia="仿宋" w:cs="仿宋"/>
                <w:color w:val="000000"/>
                <w:sz w:val="24"/>
              </w:rPr>
            </w:pPr>
          </w:p>
          <w:p>
            <w:pPr>
              <w:pStyle w:val="227"/>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227"/>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57" w:name="_Toc3936"/>
      <w:bookmarkStart w:id="158" w:name="_Toc21280"/>
      <w:bookmarkStart w:id="159" w:name="_Toc517281836"/>
      <w:bookmarkStart w:id="160" w:name="_Toc25957"/>
      <w:bookmarkStart w:id="161" w:name="_Toc19910"/>
      <w:bookmarkStart w:id="162" w:name="_Toc444891353"/>
      <w:bookmarkStart w:id="163" w:name="_Toc19783362"/>
      <w:bookmarkStart w:id="164" w:name="_Toc287600131"/>
      <w:bookmarkStart w:id="165" w:name="_Toc11783"/>
      <w:bookmarkStart w:id="166" w:name="_Toc287600129"/>
      <w:bookmarkStart w:id="167" w:name="_Toc19783360"/>
      <w:r>
        <w:rPr>
          <w:rFonts w:ascii="仿宋" w:hAnsi="仿宋" w:eastAsia="仿宋" w:cs="仿宋"/>
          <w:color w:val="000000"/>
          <w:sz w:val="24"/>
          <w:szCs w:val="24"/>
        </w:rPr>
        <w:br w:type="page" w:clear="all"/>
      </w:r>
      <w:bookmarkStart w:id="168" w:name="_Toc186737813"/>
      <w:bookmarkStart w:id="169" w:name="_Toc10046"/>
      <w:bookmarkStart w:id="170" w:name="_Toc17191"/>
      <w:r>
        <w:rPr>
          <w:rFonts w:hint="eastAsia" w:ascii="仿宋" w:hAnsi="仿宋" w:eastAsia="仿宋" w:cs="仿宋"/>
          <w:color w:val="000000"/>
          <w:sz w:val="24"/>
          <w:szCs w:val="24"/>
        </w:rPr>
        <w:t>一、商务文件</w:t>
      </w:r>
      <w:bookmarkEnd w:id="157"/>
      <w:bookmarkEnd w:id="168"/>
      <w:bookmarkEnd w:id="169"/>
      <w:bookmarkEnd w:id="170"/>
    </w:p>
    <w:p>
      <w:pPr>
        <w:jc w:val="center"/>
      </w:pPr>
      <w:bookmarkStart w:id="171" w:name="_Toc26744"/>
      <w:r>
        <w:rPr>
          <w:rFonts w:hint="eastAsia" w:ascii="仿宋" w:hAnsi="仿宋" w:eastAsia="仿宋" w:cs="仿宋"/>
          <w:b/>
          <w:bCs/>
        </w:rPr>
        <w:t>初步评审索引表</w:t>
      </w:r>
      <w:bookmarkEnd w:id="171"/>
    </w:p>
    <w:tbl>
      <w:tblPr>
        <w:tblStyle w:val="3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noWrap w:val="0"/>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noWrap w:val="0"/>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noWrap w:val="0"/>
            <w:vAlign w:val="center"/>
          </w:tcPr>
          <w:p>
            <w:pPr>
              <w:pStyle w:val="238"/>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noWrap w:val="0"/>
            <w:vAlign w:val="center"/>
          </w:tcPr>
          <w:p>
            <w:pPr>
              <w:pStyle w:val="238"/>
              <w:tabs>
                <w:tab w:val="left" w:pos="630"/>
              </w:tabs>
              <w:spacing w:before="48" w:after="48"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noWrap w:val="0"/>
            <w:vAlign w:val="center"/>
          </w:tcPr>
          <w:p>
            <w:pPr>
              <w:pStyle w:val="227"/>
              <w:spacing w:before="48" w:after="48"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Monaco"/>
                <w:color w:val="000000"/>
                <w:sz w:val="22"/>
                <w:szCs w:val="21"/>
              </w:rPr>
              <w:t>具有依法缴纳税收和社会保障资金的良好记录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noWrap w:val="0"/>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noWrap w:val="0"/>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spacing w:line="360" w:lineRule="auto"/>
              <w:jc w:val="center"/>
              <w:rPr>
                <w:rFonts w:ascii="仿宋" w:hAnsi="仿宋" w:eastAsia="仿宋" w:cs="仿宋"/>
                <w:color w:val="000000"/>
                <w:szCs w:val="21"/>
              </w:rPr>
            </w:pPr>
          </w:p>
        </w:tc>
        <w:tc>
          <w:tcPr>
            <w:tcW w:w="1701" w:type="dxa"/>
            <w:vMerge w:val="continue"/>
            <w:noWrap w:val="0"/>
            <w:vAlign w:val="center"/>
          </w:tcPr>
          <w:p>
            <w:pPr>
              <w:spacing w:before="24" w:after="24" w:line="360" w:lineRule="auto"/>
              <w:jc w:val="center"/>
              <w:rPr>
                <w:rFonts w:ascii="仿宋" w:hAnsi="仿宋" w:eastAsia="仿宋" w:cs="仿宋"/>
                <w:color w:val="000000"/>
                <w:szCs w:val="21"/>
              </w:rPr>
            </w:pPr>
          </w:p>
        </w:tc>
        <w:tc>
          <w:tcPr>
            <w:tcW w:w="3300" w:type="dxa"/>
            <w:noWrap w:val="0"/>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7" w:type="dxa"/>
            <w:noWrap w:val="0"/>
            <w:vAlign w:val="center"/>
          </w:tcPr>
          <w:p>
            <w:pPr>
              <w:spacing w:before="24" w:after="24" w:line="276" w:lineRule="auto"/>
              <w:rPr>
                <w:rFonts w:ascii="仿宋" w:hAnsi="仿宋" w:eastAsia="仿宋" w:cs="仿宋"/>
                <w:color w:val="000000"/>
                <w:szCs w:val="21"/>
              </w:rPr>
            </w:pPr>
          </w:p>
        </w:tc>
      </w:tr>
      <w:bookmarkEnd w:id="158"/>
      <w:bookmarkEnd w:id="159"/>
      <w:bookmarkEnd w:id="160"/>
      <w:bookmarkEnd w:id="161"/>
      <w:bookmarkEnd w:id="162"/>
      <w:bookmarkEnd w:id="163"/>
      <w:bookmarkEnd w:id="164"/>
      <w:bookmarkEnd w:id="165"/>
    </w:tbl>
    <w:p>
      <w:pPr>
        <w:rPr>
          <w:rFonts w:ascii="宋体" w:hAnsi="宋体"/>
          <w:szCs w:val="21"/>
        </w:rPr>
        <w:sectPr>
          <w:footerReference r:id="rId7" w:type="default"/>
          <w:pgSz w:w="11906" w:h="16838"/>
          <w:pgMar w:top="1417" w:right="1134" w:bottom="1134" w:left="1134" w:header="964" w:footer="964" w:gutter="0"/>
          <w:cols w:space="720" w:num="1"/>
        </w:sectPr>
      </w:pPr>
    </w:p>
    <w:p>
      <w:pPr>
        <w:jc w:val="center"/>
        <w:rPr>
          <w:rFonts w:ascii="仿宋" w:hAnsi="仿宋" w:eastAsia="仿宋" w:cs="仿宋"/>
          <w:b/>
          <w:bCs/>
        </w:rPr>
      </w:pPr>
      <w:bookmarkStart w:id="172" w:name="_Toc27799"/>
      <w:bookmarkStart w:id="173" w:name="_Toc7202"/>
      <w:bookmarkStart w:id="174" w:name="_Toc517281837"/>
      <w:bookmarkStart w:id="175" w:name="_Toc25121"/>
      <w:bookmarkStart w:id="176" w:name="_Toc12140"/>
      <w:bookmarkStart w:id="177" w:name="_Toc444891354"/>
      <w:r>
        <w:rPr>
          <w:rFonts w:hint="eastAsia" w:ascii="仿宋" w:hAnsi="仿宋" w:eastAsia="仿宋" w:cs="仿宋"/>
          <w:b/>
          <w:bCs/>
        </w:rPr>
        <w:t>详细评审索引表</w:t>
      </w:r>
    </w:p>
    <w:tbl>
      <w:tblPr>
        <w:tblStyle w:val="3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10</w:t>
            </w:r>
            <w:r>
              <w:rPr>
                <w:rFonts w:hint="eastAsia" w:ascii="仿宋" w:hAnsi="仿宋" w:eastAsia="仿宋" w:cs="宋体"/>
                <w:color w:val="000000"/>
                <w:szCs w:val="21"/>
                <w:lang w:bidi="ar"/>
              </w:rPr>
              <w:t>分）</w:t>
            </w:r>
          </w:p>
        </w:tc>
        <w:tc>
          <w:tcPr>
            <w:tcW w:w="2268" w:type="dxa"/>
            <w:noWrap w:val="0"/>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综合实力</w:t>
            </w:r>
          </w:p>
          <w:p>
            <w:pPr>
              <w:jc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noWrap w:val="0"/>
            <w:tcMar>
              <w:top w:w="15" w:type="dxa"/>
              <w:left w:w="15" w:type="dxa"/>
              <w:right w:w="15" w:type="dxa"/>
            </w:tcMar>
            <w:vAlign w:val="center"/>
          </w:tcPr>
          <w:p>
            <w:pPr>
              <w:rPr>
                <w:rFonts w:ascii="仿宋" w:hAnsi="仿宋" w:eastAsia="仿宋" w:cs="宋体"/>
                <w:color w:val="000000"/>
                <w:szCs w:val="21"/>
              </w:rPr>
            </w:pPr>
            <w:r>
              <w:rPr>
                <w:rFonts w:hint="eastAsia" w:ascii="仿宋" w:hAnsi="仿宋" w:eastAsia="仿宋" w:cs="宋体"/>
                <w:color w:val="000000"/>
                <w:szCs w:val="21"/>
              </w:rPr>
              <w:t>说明：XX</w:t>
            </w:r>
          </w:p>
          <w:p>
            <w:pPr>
              <w:rPr>
                <w:rStyle w:val="241"/>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lang w:bidi="ar"/>
              </w:rPr>
            </w:pPr>
          </w:p>
        </w:tc>
        <w:tc>
          <w:tcPr>
            <w:tcW w:w="2268" w:type="dxa"/>
            <w:noWrap w:val="0"/>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noWrap w:val="0"/>
            <w:tcMar>
              <w:top w:w="15" w:type="dxa"/>
              <w:left w:w="15" w:type="dxa"/>
              <w:right w:w="15" w:type="dxa"/>
            </w:tcMar>
            <w:vAlign w:val="center"/>
          </w:tcPr>
          <w:p>
            <w:pPr>
              <w:rPr>
                <w:rStyle w:val="241"/>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p>
    <w:p>
      <w:pPr>
        <w:pStyle w:val="5"/>
        <w:spacing w:before="0" w:line="440" w:lineRule="exact"/>
        <w:rPr>
          <w:rFonts w:ascii="仿宋" w:hAnsi="仿宋" w:eastAsia="仿宋" w:cs="仿宋"/>
          <w:color w:val="000000"/>
          <w:sz w:val="24"/>
          <w:szCs w:val="24"/>
        </w:rPr>
      </w:pPr>
      <w:bookmarkStart w:id="178" w:name="_Toc186737814"/>
      <w:bookmarkStart w:id="179" w:name="_Toc9056"/>
      <w:bookmarkStart w:id="180" w:name="_Toc27958"/>
      <w:r>
        <w:rPr>
          <w:rFonts w:hint="eastAsia" w:ascii="仿宋" w:hAnsi="仿宋" w:eastAsia="仿宋" w:cs="仿宋"/>
          <w:color w:val="000000"/>
          <w:sz w:val="24"/>
          <w:szCs w:val="24"/>
        </w:rPr>
        <w:t>（一）响应函</w:t>
      </w:r>
      <w:bookmarkEnd w:id="178"/>
      <w:bookmarkEnd w:id="179"/>
      <w:bookmarkEnd w:id="180"/>
    </w:p>
    <w:p>
      <w:pPr>
        <w:pStyle w:val="227"/>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lang w:eastAsia="zh-CN"/>
        </w:rPr>
        <w:t>人保财险四川省资阳市分公司三大主粮、柑橘过程性风险减量服务采购项目</w:t>
      </w:r>
      <w:r>
        <w:rPr>
          <w:rFonts w:hint="eastAsia" w:ascii="仿宋" w:hAnsi="仿宋" w:eastAsia="仿宋" w:cs="Cambria Math"/>
          <w:color w:val="000000"/>
          <w:u w:val="single"/>
        </w:rPr>
        <w:t xml:space="preserve">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hint="eastAsia" w:ascii="仿宋" w:hAnsi="仿宋" w:eastAsia="仿宋" w:cs="Cambria Math"/>
          <w:color w:val="000000"/>
          <w:u w:val="single"/>
          <w:lang w:val="en-US" w:eastAsia="zh-CN"/>
        </w:rPr>
        <w:t>90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bookmarkEnd w:id="166"/>
      <w:bookmarkEnd w:id="167"/>
      <w:bookmarkEnd w:id="172"/>
      <w:bookmarkEnd w:id="173"/>
      <w:bookmarkEnd w:id="174"/>
      <w:bookmarkEnd w:id="175"/>
      <w:bookmarkEnd w:id="176"/>
      <w:bookmarkEnd w:id="177"/>
      <w:bookmarkStart w:id="181" w:name="_Toc13983"/>
      <w:bookmarkStart w:id="182" w:name="_Toc186737815"/>
      <w:bookmarkStart w:id="183" w:name="_Toc26824"/>
      <w:r>
        <w:rPr>
          <w:rFonts w:hint="eastAsia" w:ascii="仿宋" w:hAnsi="仿宋" w:eastAsia="仿宋" w:cs="仿宋"/>
          <w:color w:val="000000"/>
          <w:sz w:val="24"/>
          <w:szCs w:val="24"/>
        </w:rPr>
        <w:t>（二）法定代表人（负责人）身份证明书</w:t>
      </w:r>
      <w:bookmarkEnd w:id="181"/>
      <w:bookmarkEnd w:id="182"/>
      <w:bookmarkEnd w:id="183"/>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spacing w:line="360" w:lineRule="auto"/>
        <w:rPr>
          <w:rFonts w:ascii="仿宋" w:hAnsi="仿宋" w:eastAsia="仿宋" w:cs="仿宋"/>
          <w:color w:val="000000"/>
        </w:rPr>
      </w:pPr>
      <w:r>
        <w:rPr>
          <w:rFonts w:hint="eastAsia" w:ascii="仿宋" w:hAnsi="仿宋" w:eastAsia="仿宋" w:cs="仿宋"/>
          <w:color w:val="000000"/>
        </w:rPr>
        <w:t>特此证明。</w:t>
      </w:r>
    </w:p>
    <w:p>
      <w:pPr>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C8wn33ZAAAACQEAAA8AAAAAAAAAAQAgAAAAOAAAAGRycy9kb3ducmV2LnhtbFBL&#10;AQIUABQAAAAIAIdO4kCaBYAXGAIAAEUEAAAOAAAAAAAAAAEAIAAAAD4BAABkcnMvZTJvRG9jLnht&#10;bFBLBQYAAAAABgAGAFkBAADI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xC1JbZAAAACgEAAA8AAAAAAAAAAQAgAAAAOAAAAGRycy9kb3ducmV2LnhtbFBL&#10;AQIUABQAAAAIAIdO4kDso/YzGAIAAEUEAAAOAAAAAAAAAAEAIAAAAD4BAABkcnMvZTJvRG9jLnht&#10;bFBLBQYAAAAABgAGAFkBAADIBQAAAAA=&#10;">
                <v:fill on="t" focussize="0,0"/>
                <v:stroke weight="1.25pt" color="#739CC3" joinstyle="miter"/>
                <v:imagedata o:title=""/>
                <o:lock v:ext="edit" aspectratio="f"/>
              </v:rect>
            </w:pict>
          </mc:Fallback>
        </mc:AlternateContent>
      </w:r>
    </w:p>
    <w:p>
      <w:pPr>
        <w:pStyle w:val="227"/>
        <w:spacing w:line="440" w:lineRule="atLeast"/>
        <w:ind w:firstLine="480"/>
        <w:jc w:val="left"/>
        <w:rPr>
          <w:rFonts w:ascii="仿宋" w:hAnsi="仿宋" w:eastAsia="仿宋" w:cs="仿宋"/>
          <w:color w:val="000000"/>
        </w:rPr>
      </w:pPr>
    </w:p>
    <w:p>
      <w:pPr>
        <w:pStyle w:val="227"/>
        <w:spacing w:line="440" w:lineRule="atLeast"/>
        <w:ind w:firstLine="480"/>
        <w:jc w:val="left"/>
        <w:rPr>
          <w:rFonts w:ascii="仿宋" w:hAnsi="仿宋" w:eastAsia="仿宋" w:cs="仿宋"/>
          <w:color w:val="000000"/>
        </w:rPr>
      </w:pPr>
    </w:p>
    <w:p>
      <w:pPr>
        <w:pStyle w:val="227"/>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184" w:name="_Toc517281838"/>
      <w:bookmarkStart w:id="185" w:name="_Toc287600130"/>
      <w:bookmarkStart w:id="186" w:name="_Toc20707"/>
      <w:bookmarkStart w:id="187" w:name="_Toc5582"/>
      <w:bookmarkStart w:id="188" w:name="_Toc19783361"/>
      <w:bookmarkStart w:id="189" w:name="_Toc4426"/>
      <w:bookmarkStart w:id="190" w:name="_Toc26267"/>
      <w:bookmarkStart w:id="191" w:name="_Toc444891355"/>
      <w:bookmarkStart w:id="192" w:name="_Toc6297"/>
      <w:bookmarkStart w:id="193" w:name="_Toc24788"/>
      <w:bookmarkStart w:id="194" w:name="_Toc186737816"/>
      <w:r>
        <w:rPr>
          <w:rFonts w:hint="eastAsia" w:ascii="仿宋" w:hAnsi="仿宋" w:eastAsia="仿宋" w:cs="仿宋"/>
          <w:color w:val="000000"/>
          <w:sz w:val="24"/>
          <w:szCs w:val="24"/>
        </w:rPr>
        <w:t>（三）法定代表人（负责人）授权委托书</w:t>
      </w:r>
      <w:bookmarkEnd w:id="184"/>
      <w:bookmarkEnd w:id="185"/>
      <w:bookmarkEnd w:id="186"/>
      <w:bookmarkEnd w:id="187"/>
      <w:bookmarkEnd w:id="188"/>
      <w:bookmarkEnd w:id="189"/>
      <w:bookmarkEnd w:id="190"/>
      <w:bookmarkEnd w:id="191"/>
      <w:bookmarkEnd w:id="192"/>
      <w:bookmarkEnd w:id="193"/>
      <w:bookmarkEnd w:id="194"/>
    </w:p>
    <w:p>
      <w:pPr>
        <w:pStyle w:val="227"/>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227"/>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（人保财险四川省资阳市分公司三大主粮、柑橘过程性风险减量服务采购项目）</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227"/>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227"/>
        <w:spacing w:line="360" w:lineRule="auto"/>
        <w:ind w:firstLine="482"/>
        <w:rPr>
          <w:rFonts w:ascii="仿宋" w:hAnsi="仿宋" w:eastAsia="仿宋" w:cs="Cambria Math"/>
          <w:b/>
          <w:bCs/>
          <w:color w:val="000000"/>
          <w:sz w:val="24"/>
          <w:szCs w:val="24"/>
        </w:rPr>
      </w:pPr>
    </w:p>
    <w:p>
      <w:pPr>
        <w:pStyle w:val="227"/>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227"/>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8" name="矩形 40"/>
                <wp:cNvGraphicFramePr/>
                <a:graphic xmlns:a="http://schemas.openxmlformats.org/drawingml/2006/main">
                  <a:graphicData uri="http://schemas.microsoft.com/office/word/2010/wordprocessingShape">
                    <wps:wsp>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tgY9GdgAAAAJAQAADwAAAAAAAAABACAAAAA4AAAAZHJzL2Rvd25yZXYueG1sUEsBAhQA&#10;FAAAAAgAh07iQHxUaXQVAgAARQQAAA4AAAAAAAAAAQAgAAAAPQEAAGRycy9lMm9Eb2MueG1sUEsF&#10;BgAAAAAGAAYAWQEAAMQ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9" name="矩形 39"/>
                <wp:cNvGraphicFramePr/>
                <a:graphic xmlns:a="http://schemas.openxmlformats.org/drawingml/2006/main">
                  <a:graphicData uri="http://schemas.microsoft.com/office/word/2010/wordprocessingShape">
                    <wps:wsp>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WAAAAZHJzL1BLAQIUABQA&#10;AAAIAIdO4kB1B2lr2AAAAAgBAAAPAAAAAAAAAAEAIAAAADgAAABkcnMvZG93bnJldi54bWxQSwEC&#10;FAAUAAAACACHTuJAJoHBchcCAABFBAAADgAAAAAAAAABACAAAAA9AQAAZHJzL2Uyb0RvYy54bWxQ&#10;SwUGAAAAAAYABgBZAQAAxgUAAAAA&#10;">
                <v:fill on="t" focussize="0,0"/>
                <v:stroke weight="1.25pt" color="#739CC3" joinstyle="miter"/>
                <v:imagedata o:title=""/>
                <o:lock v:ext="edit" aspectratio="f"/>
              </v:rect>
            </w:pict>
          </mc:Fallback>
        </mc:AlternateContent>
      </w:r>
    </w:p>
    <w:p>
      <w:pPr>
        <w:pStyle w:val="227"/>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227"/>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spacing w:line="360" w:lineRule="auto"/>
        <w:ind w:firstLine="420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sectPr>
      </w:pPr>
    </w:p>
    <w:p>
      <w:pPr>
        <w:pStyle w:val="5"/>
        <w:spacing w:before="0" w:after="0" w:line="360" w:lineRule="auto"/>
        <w:rPr>
          <w:rFonts w:ascii="仿宋" w:hAnsi="仿宋" w:eastAsia="仿宋" w:cs="仿宋"/>
          <w:color w:val="000000"/>
          <w:sz w:val="24"/>
          <w:szCs w:val="24"/>
        </w:rPr>
      </w:pPr>
      <w:bookmarkStart w:id="195" w:name="_Toc186737817"/>
      <w:bookmarkStart w:id="196" w:name="_Toc16567"/>
      <w:bookmarkStart w:id="197" w:name="_Toc30551"/>
      <w:bookmarkStart w:id="198" w:name="_Toc517281841"/>
      <w:r>
        <w:rPr>
          <w:rFonts w:hint="eastAsia" w:ascii="仿宋" w:hAnsi="仿宋" w:eastAsia="仿宋" w:cs="仿宋"/>
          <w:color w:val="000000"/>
          <w:sz w:val="24"/>
          <w:szCs w:val="24"/>
        </w:rPr>
        <w:t>（四）资格证明文件</w:t>
      </w:r>
      <w:bookmarkEnd w:id="195"/>
      <w:bookmarkEnd w:id="196"/>
      <w:bookmarkEnd w:id="19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227"/>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227"/>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227"/>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7"/>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227"/>
              <w:jc w:val="center"/>
              <w:rPr>
                <w:rFonts w:ascii="仿宋" w:hAnsi="仿宋" w:eastAsia="仿宋" w:cs="仿宋"/>
                <w:color w:val="000000"/>
              </w:rPr>
            </w:pPr>
          </w:p>
        </w:tc>
      </w:tr>
    </w:tbl>
    <w:p>
      <w:pPr>
        <w:pStyle w:val="227"/>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227"/>
        <w:jc w:val="left"/>
        <w:rPr>
          <w:rFonts w:ascii="仿宋" w:hAnsi="仿宋" w:eastAsia="仿宋" w:cs="仿宋"/>
          <w:b/>
          <w:color w:val="000000"/>
        </w:rPr>
      </w:pPr>
    </w:p>
    <w:p>
      <w:pPr>
        <w:pStyle w:val="227"/>
        <w:jc w:val="left"/>
        <w:rPr>
          <w:rFonts w:ascii="仿宋" w:hAnsi="仿宋" w:eastAsia="仿宋" w:cs="仿宋"/>
          <w:b/>
          <w:color w:val="000000"/>
        </w:rPr>
      </w:pPr>
    </w:p>
    <w:p>
      <w:pPr>
        <w:pStyle w:val="227"/>
        <w:jc w:val="left"/>
        <w:rPr>
          <w:rFonts w:ascii="仿宋" w:hAnsi="仿宋" w:eastAsia="仿宋" w:cs="仿宋"/>
          <w:b/>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2、财务审计报告或银行资信证明</w:t>
      </w:r>
    </w:p>
    <w:p>
      <w:pPr>
        <w:spacing w:line="360" w:lineRule="auto"/>
        <w:ind w:firstLine="480"/>
        <w:rPr>
          <w:rFonts w:ascii="仿宋" w:hAnsi="仿宋" w:eastAsia="仿宋" w:cs="仿宋"/>
          <w:color w:val="000000"/>
        </w:rPr>
      </w:pPr>
      <w:r>
        <w:rPr>
          <w:rFonts w:hint="eastAsia" w:ascii="仿宋" w:hAnsi="仿宋" w:eastAsia="仿宋" w:cs="仿宋"/>
          <w:color w:val="000000"/>
        </w:rPr>
        <w:t>提供20</w:t>
      </w:r>
      <w:r>
        <w:rPr>
          <w:rFonts w:hint="eastAsia" w:ascii="仿宋" w:hAnsi="仿宋" w:eastAsia="仿宋" w:cs="仿宋"/>
          <w:color w:val="000000"/>
          <w:lang w:val="en-US" w:eastAsia="zh-CN"/>
        </w:rPr>
        <w:t>25</w:t>
      </w:r>
      <w:r>
        <w:rPr>
          <w:rFonts w:hint="eastAsia" w:ascii="仿宋" w:hAnsi="仿宋" w:eastAsia="仿宋" w:cs="仿宋"/>
          <w:color w:val="000000"/>
        </w:rPr>
        <w:t>年度的财务报表（至少包含资产负债表、现金流量表、损益表/利润表）或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pPr>
    </w:p>
    <w:p>
      <w:pPr>
        <w:spacing w:line="360" w:lineRule="auto"/>
        <w:ind w:firstLine="480"/>
        <w:rPr>
          <w:rFonts w:ascii="仿宋" w:hAnsi="仿宋" w:eastAsia="仿宋" w:cs="仿宋"/>
          <w:color w:val="000000"/>
        </w:rPr>
      </w:pPr>
      <w:r>
        <w:rPr>
          <w:rFonts w:ascii="仿宋" w:hAnsi="仿宋" w:eastAsia="仿宋" w:cs="仿宋"/>
          <w:color w:val="000000"/>
        </w:rPr>
        <w:br w:type="page" w:clear="all"/>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noWrap w:val="0"/>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noWrap w:val="0"/>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noWrap w:val="0"/>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noWrap w:val="0"/>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noWrap w:val="0"/>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noWrap w:val="0"/>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noWrap w:val="0"/>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szCs w:val="21"/>
              </w:rPr>
            </w:pPr>
          </w:p>
        </w:tc>
        <w:tc>
          <w:tcPr>
            <w:tcW w:w="471" w:type="pct"/>
            <w:noWrap w:val="0"/>
            <w:vAlign w:val="center"/>
          </w:tcPr>
          <w:p>
            <w:pPr>
              <w:jc w:val="center"/>
              <w:rPr>
                <w:rFonts w:ascii="仿宋" w:hAnsi="仿宋" w:eastAsia="仿宋" w:cs="仿宋"/>
                <w:szCs w:val="21"/>
              </w:rPr>
            </w:pPr>
          </w:p>
        </w:tc>
        <w:tc>
          <w:tcPr>
            <w:tcW w:w="678" w:type="pct"/>
            <w:noWrap w:val="0"/>
            <w:vAlign w:val="center"/>
          </w:tcPr>
          <w:p>
            <w:pPr>
              <w:jc w:val="center"/>
              <w:rPr>
                <w:rFonts w:ascii="仿宋" w:hAnsi="仿宋" w:eastAsia="仿宋" w:cs="仿宋"/>
                <w:szCs w:val="21"/>
              </w:rPr>
            </w:pPr>
          </w:p>
        </w:tc>
        <w:tc>
          <w:tcPr>
            <w:tcW w:w="645" w:type="pct"/>
            <w:noWrap w:val="0"/>
            <w:vAlign w:val="center"/>
          </w:tcPr>
          <w:p>
            <w:pPr>
              <w:jc w:val="center"/>
              <w:rPr>
                <w:rFonts w:ascii="仿宋" w:hAnsi="仿宋" w:eastAsia="仿宋" w:cs="仿宋"/>
                <w:szCs w:val="21"/>
              </w:rPr>
            </w:pPr>
          </w:p>
        </w:tc>
        <w:tc>
          <w:tcPr>
            <w:tcW w:w="641" w:type="pct"/>
            <w:noWrap w:val="0"/>
            <w:vAlign w:val="center"/>
          </w:tcPr>
          <w:p>
            <w:pPr>
              <w:jc w:val="center"/>
              <w:rPr>
                <w:rFonts w:ascii="仿宋" w:hAnsi="仿宋" w:eastAsia="仿宋" w:cs="仿宋"/>
                <w:szCs w:val="21"/>
              </w:rPr>
            </w:pPr>
          </w:p>
        </w:tc>
        <w:tc>
          <w:tcPr>
            <w:tcW w:w="565" w:type="pct"/>
            <w:noWrap w:val="0"/>
            <w:vAlign w:val="center"/>
          </w:tcPr>
          <w:p>
            <w:pPr>
              <w:jc w:val="center"/>
              <w:rPr>
                <w:rFonts w:ascii="仿宋" w:hAnsi="仿宋" w:eastAsia="仿宋" w:cs="仿宋"/>
                <w:szCs w:val="21"/>
              </w:rPr>
            </w:pPr>
          </w:p>
        </w:tc>
        <w:tc>
          <w:tcPr>
            <w:tcW w:w="821" w:type="pct"/>
            <w:noWrap w:val="0"/>
            <w:vAlign w:val="center"/>
          </w:tcPr>
          <w:p>
            <w:pPr>
              <w:jc w:val="center"/>
              <w:rPr>
                <w:rFonts w:ascii="仿宋" w:hAnsi="仿宋" w:eastAsia="仿宋" w:cs="仿宋"/>
                <w:szCs w:val="21"/>
              </w:rPr>
            </w:pPr>
          </w:p>
        </w:tc>
        <w:tc>
          <w:tcPr>
            <w:tcW w:w="709" w:type="pct"/>
            <w:noWrap w:val="0"/>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rPr>
          <w:rFonts w:ascii="仿宋" w:hAnsi="仿宋" w:eastAsia="仿宋" w:cs="仿宋"/>
          <w:bCs/>
          <w:color w:val="000000"/>
        </w:rPr>
      </w:pPr>
    </w:p>
    <w:p>
      <w:pPr>
        <w:pStyle w:val="217"/>
        <w:spacing w:line="360" w:lineRule="auto"/>
        <w:ind w:left="1575" w:firstLine="0"/>
        <w:rPr>
          <w:rFonts w:ascii="仿宋" w:hAnsi="仿宋" w:eastAsia="仿宋" w:cs="仿宋"/>
          <w:bCs/>
          <w:color w:val="000000"/>
        </w:rPr>
      </w:pPr>
    </w:p>
    <w:p>
      <w:pPr>
        <w:pStyle w:val="217"/>
        <w:spacing w:line="360" w:lineRule="auto"/>
        <w:ind w:left="1575" w:firstLine="0"/>
        <w:rPr>
          <w:rFonts w:ascii="仿宋" w:hAnsi="仿宋" w:eastAsia="仿宋" w:cs="仿宋"/>
          <w:bCs/>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br w:type="page" w:clear="all"/>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clear="all"/>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ind w:firstLine="480"/>
        <w:rPr>
          <w:rFonts w:ascii="仿宋" w:hAnsi="仿宋" w:eastAsia="仿宋" w:cs="仿宋"/>
        </w:rPr>
      </w:pPr>
      <w:r>
        <w:rPr>
          <w:rFonts w:hint="eastAsia" w:ascii="仿宋" w:hAnsi="仿宋" w:eastAsia="仿宋" w:cs="仿宋"/>
        </w:rPr>
        <w:t>信用中国查询网址：https://www.creditchina.gov.cn/xinxigongshi/</w:t>
      </w:r>
    </w:p>
    <w:p>
      <w:pPr>
        <w:ind w:firstLine="480"/>
        <w:rPr>
          <w:rFonts w:ascii="仿宋" w:hAnsi="仿宋" w:eastAsia="仿宋" w:cs="仿宋"/>
        </w:rPr>
      </w:pPr>
      <w:r>
        <w:rPr>
          <w:rFonts w:hint="eastAsia" w:ascii="仿宋" w:hAnsi="仿宋" w:eastAsia="仿宋" w:cs="仿宋"/>
        </w:rPr>
        <w:t>政府采购严重违法失信行为记录名单查询网址：</w:t>
      </w:r>
    </w:p>
    <w:p>
      <w:pPr>
        <w:ind w:firstLine="480"/>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rPr>
          <w:color w:val="333333"/>
        </w:rPr>
      </w:pPr>
      <w:r>
        <w:rPr>
          <w:rFonts w:hint="eastAsia" w:ascii="仿宋" w:hAnsi="仿宋" w:eastAsia="仿宋" w:cs="Cambria Math"/>
        </w:rPr>
        <w:t>（1）失信被执行人查询截图范例：</w:t>
      </w:r>
    </w:p>
    <w:p>
      <w:pPr>
        <w:ind w:firstLine="240"/>
      </w:pPr>
      <w:r>
        <w:rPr>
          <w:rFonts w:hint="eastAsia" w:eastAsia="宋体"/>
        </w:rPr>
        <w:drawing>
          <wp:inline distT="0" distB="0" distL="0" distR="0">
            <wp:extent cx="6117590" cy="3164840"/>
            <wp:effectExtent l="0" t="0" r="16510" b="16510"/>
            <wp:docPr id="10"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descr="失信被执行人查询"/>
                    <pic:cNvPicPr>
                      <a:picLocks noChangeAspect="1"/>
                    </pic:cNvPicPr>
                  </pic:nvPicPr>
                  <pic:blipFill>
                    <a:blip r:embed="rId11"/>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0" distR="0">
            <wp:extent cx="6117590" cy="3177540"/>
            <wp:effectExtent l="0" t="0" r="16510" b="3810"/>
            <wp:docPr id="11"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重大税收违法失信主体"/>
                    <pic:cNvPicPr>
                      <a:picLocks noChangeAspect="1"/>
                    </pic:cNvPicPr>
                  </pic:nvPicPr>
                  <pic:blipFill>
                    <a:blip r:embed="rId12"/>
                    <a:stretch>
                      <a:fillRect/>
                    </a:stretch>
                  </pic:blipFill>
                  <pic:spPr>
                    <a:xfrm>
                      <a:off x="0" y="0"/>
                      <a:ext cx="6117590" cy="3177540"/>
                    </a:xfrm>
                    <a:prstGeom prst="rect">
                      <a:avLst/>
                    </a:prstGeom>
                  </pic:spPr>
                </pic:pic>
              </a:graphicData>
            </a:graphic>
          </wp:inline>
        </w:drawing>
      </w:r>
    </w:p>
    <w:p>
      <w:pPr>
        <w:ind w:firstLine="24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rPr>
          <w:rFonts w:ascii="仿宋" w:hAnsi="仿宋" w:eastAsia="仿宋" w:cs="仿宋"/>
          <w:color w:val="000000"/>
        </w:rPr>
      </w:pPr>
      <w:r>
        <w:rPr>
          <w:rFonts w:hint="eastAsia" w:eastAsia="宋体"/>
        </w:rPr>
        <w:drawing>
          <wp:inline distT="0" distB="0" distL="0" distR="0">
            <wp:extent cx="6117590" cy="3169285"/>
            <wp:effectExtent l="0" t="0" r="16510" b="12065"/>
            <wp:docPr id="12"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descr="政府采购严重违法失信行为记录名单"/>
                    <pic:cNvPicPr>
                      <a:picLocks noChangeAspect="1"/>
                    </pic:cNvPicPr>
                  </pic:nvPicPr>
                  <pic:blipFill>
                    <a:blip r:embed="rId13"/>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clear="all"/>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lang w:eastAsia="zh-CN"/>
        </w:rPr>
        <w:t>中国人民财产保险股份有限公司资阳市分公司</w:t>
      </w:r>
      <w:r>
        <w:rPr>
          <w:rFonts w:hint="eastAsia" w:ascii="仿宋" w:hAnsi="仿宋" w:eastAsia="仿宋" w:cs="Cambria Math"/>
          <w:color w:val="000000"/>
        </w:rPr>
        <w:t>：</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jc w:val="both"/>
        <w:rPr>
          <w:rFonts w:ascii="仿宋" w:hAnsi="仿宋" w:eastAsia="仿宋" w:cs="Cambria Math"/>
          <w:color w:val="000000"/>
        </w:rPr>
      </w:pPr>
    </w:p>
    <w:p>
      <w:pPr>
        <w:pStyle w:val="2"/>
        <w:ind w:firstLine="480"/>
        <w:jc w:val="both"/>
        <w:rPr>
          <w:rFonts w:ascii="仿宋" w:hAnsi="仿宋" w:eastAsia="仿宋" w:cs="Cambria Math"/>
          <w:color w:val="000000"/>
        </w:rPr>
      </w:pPr>
      <w:r>
        <w:rPr>
          <w:rFonts w:hint="eastAsia" w:ascii="仿宋" w:hAnsi="仿宋" w:eastAsia="仿宋" w:cs="Cambria Math"/>
          <w:color w:val="000000"/>
        </w:rPr>
        <w:t>特此承诺。</w:t>
      </w:r>
    </w:p>
    <w:p>
      <w:pPr>
        <w:pStyle w:val="242"/>
        <w:ind w:firstLine="640"/>
        <w:rPr>
          <w:rFonts w:ascii="仿宋" w:hAnsi="仿宋" w:eastAsia="仿宋"/>
        </w:rPr>
      </w:pPr>
    </w:p>
    <w:p>
      <w:pPr>
        <w:pStyle w:val="242"/>
        <w:ind w:firstLine="640"/>
        <w:rPr>
          <w:rFonts w:ascii="仿宋" w:hAnsi="仿宋" w:eastAsia="仿宋"/>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32"/>
        <w:spacing w:line="360" w:lineRule="auto"/>
        <w:rPr>
          <w:rFonts w:ascii="仿宋" w:hAnsi="仿宋" w:eastAsia="仿宋" w:cs="仿宋"/>
          <w:color w:val="000000"/>
        </w:rPr>
      </w:pPr>
      <w:r>
        <w:rPr>
          <w:rFonts w:hint="eastAsia" w:ascii="仿宋" w:hAnsi="仿宋" w:eastAsia="仿宋" w:cs="仿宋"/>
          <w:color w:val="000000"/>
          <w:szCs w:val="24"/>
        </w:rPr>
        <w:br w:type="page" w:clear="all"/>
      </w:r>
    </w:p>
    <w:p>
      <w:pPr>
        <w:pStyle w:val="6"/>
        <w:spacing w:before="0" w:after="0" w:line="360" w:lineRule="auto"/>
        <w:rPr>
          <w:rFonts w:ascii="仿宋" w:hAnsi="仿宋" w:eastAsia="仿宋" w:cs="仿宋"/>
          <w:color w:val="000000"/>
          <w:sz w:val="24"/>
          <w:szCs w:val="24"/>
        </w:rPr>
      </w:pPr>
      <w:bookmarkStart w:id="199"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217"/>
        <w:spacing w:before="240" w:after="240" w:line="360" w:lineRule="auto"/>
        <w:ind w:firstLine="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spacing w:line="360" w:lineRule="auto"/>
        <w:ind w:left="-89" w:hanging="619"/>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w:t>
      </w:r>
      <w:r>
        <w:rPr>
          <w:rFonts w:hint="eastAsia" w:ascii="仿宋" w:hAnsi="仿宋" w:eastAsia="仿宋" w:cs="宋体"/>
          <w:color w:val="000000"/>
          <w:u w:val="single"/>
          <w:lang w:eastAsia="zh-CN"/>
        </w:rPr>
        <w:t>中国人民财产保险股份有限公司资阳市分公司</w:t>
      </w:r>
      <w:r>
        <w:rPr>
          <w:rFonts w:hint="eastAsia" w:ascii="仿宋" w:hAnsi="仿宋" w:eastAsia="仿宋" w:cs="宋体"/>
          <w:color w:val="000000"/>
          <w:u w:val="single"/>
        </w:rPr>
        <w:t xml:space="preserve">  </w:t>
      </w:r>
      <w:r>
        <w:rPr>
          <w:rFonts w:hint="eastAsia" w:ascii="仿宋" w:hAnsi="仿宋" w:eastAsia="仿宋" w:cs="宋体"/>
          <w:color w:val="000000"/>
        </w:rPr>
        <w:t>：</w:t>
      </w:r>
    </w:p>
    <w:p>
      <w:pPr>
        <w:spacing w:line="360" w:lineRule="auto"/>
        <w:ind w:left="-706" w:right="-586" w:firstLine="616"/>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u w:val="single"/>
          <w:lang w:val="en-US" w:eastAsia="zh-CN"/>
        </w:rPr>
        <w:t xml:space="preserve">    </w:t>
      </w:r>
      <w:r>
        <w:rPr>
          <w:rFonts w:hint="eastAsia" w:ascii="仿宋" w:hAnsi="仿宋" w:eastAsia="仿宋" w:cs="宋体"/>
          <w:color w:val="000000"/>
          <w:u w:val="single"/>
        </w:rPr>
        <w:t>人保财险四川省资阳市分公司三大主粮、柑橘过程性风险减量服务采购项目</w:t>
      </w:r>
      <w:r>
        <w:rPr>
          <w:rFonts w:hint="eastAsia" w:ascii="仿宋" w:hAnsi="仿宋" w:eastAsia="仿宋" w:cs="宋体"/>
          <w:color w:val="000000"/>
        </w:rPr>
        <w:t>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434"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2" w:hRule="atLeast"/>
          <w:jc w:val="center"/>
        </w:trPr>
        <w:tc>
          <w:tcPr>
            <w:tcW w:w="1926"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434"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Merge w:val="continue"/>
            <w:noWrap w:val="0"/>
            <w:vAlign w:val="center"/>
          </w:tcPr>
          <w:p>
            <w:pPr>
              <w:spacing w:line="440" w:lineRule="exact"/>
              <w:rPr>
                <w:rFonts w:ascii="仿宋" w:hAnsi="仿宋" w:eastAsia="仿宋" w:cs="宋体"/>
                <w:color w:val="000000"/>
              </w:rPr>
            </w:pPr>
          </w:p>
        </w:tc>
        <w:tc>
          <w:tcPr>
            <w:tcW w:w="2434" w:type="dxa"/>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noWrap w:val="0"/>
            <w:vAlign w:val="center"/>
          </w:tcPr>
          <w:p>
            <w:pPr>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spacing w:line="440" w:lineRule="exact"/>
              <w:rPr>
                <w:rFonts w:ascii="仿宋" w:hAnsi="仿宋" w:eastAsia="仿宋" w:cs="宋体"/>
                <w:color w:val="000000"/>
              </w:rPr>
            </w:pPr>
            <w:r>
              <w:rPr>
                <w:rFonts w:hint="eastAsia" w:ascii="仿宋" w:hAnsi="仿宋" w:eastAsia="仿宋" w:cs="宋体"/>
                <w:color w:val="000000"/>
              </w:rPr>
              <w:t>备注：</w:t>
            </w:r>
          </w:p>
        </w:tc>
      </w:tr>
    </w:tbl>
    <w:p>
      <w:pPr>
        <w:spacing w:line="360" w:lineRule="auto"/>
        <w:rPr>
          <w:rFonts w:ascii="仿宋" w:hAnsi="仿宋" w:eastAsia="仿宋" w:cs="宋体"/>
          <w:color w:val="000000"/>
        </w:rPr>
      </w:pPr>
      <w:r>
        <w:rPr>
          <w:rFonts w:hint="eastAsia" w:ascii="仿宋" w:hAnsi="仿宋" w:eastAsia="仿宋" w:cs="宋体"/>
          <w:color w:val="000000"/>
        </w:rPr>
        <w:t>注：</w:t>
      </w:r>
    </w:p>
    <w:p>
      <w:pPr>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244"/>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244"/>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clear="all"/>
      </w:r>
      <w:r>
        <w:rPr>
          <w:rFonts w:hint="eastAsia" w:ascii="仿宋" w:hAnsi="仿宋" w:eastAsia="仿宋" w:cs="仿宋"/>
          <w:color w:val="000000"/>
        </w:rPr>
        <w:t>8、非联合体比选响应声明</w:t>
      </w:r>
      <w:bookmarkEnd w:id="198"/>
      <w:bookmarkEnd w:id="199"/>
    </w:p>
    <w:p>
      <w:pPr>
        <w:pStyle w:val="2"/>
        <w:spacing w:before="240"/>
        <w:rPr>
          <w:rFonts w:ascii="仿宋" w:hAnsi="仿宋" w:eastAsia="仿宋" w:cs="Cambria Math"/>
          <w:b/>
          <w:bCs/>
          <w:color w:val="000000"/>
        </w:rPr>
      </w:pPr>
      <w:bookmarkStart w:id="200" w:name="_Toc71192048"/>
      <w:r>
        <w:rPr>
          <w:rFonts w:hint="eastAsia" w:ascii="仿宋" w:hAnsi="仿宋" w:eastAsia="仿宋" w:cs="Cambria Math"/>
          <w:b/>
          <w:bCs/>
          <w:color w:val="000000"/>
        </w:rPr>
        <w:t>非联合体比选响应声明</w:t>
      </w:r>
    </w:p>
    <w:p>
      <w:pPr>
        <w:spacing w:before="240" w:line="360" w:lineRule="auto"/>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lang w:eastAsia="zh-CN"/>
        </w:rPr>
        <w:t>中国人民财产保险股份有限公司资阳市分公司</w:t>
      </w:r>
      <w:r>
        <w:rPr>
          <w:rFonts w:hint="eastAsia" w:ascii="仿宋" w:hAnsi="仿宋" w:eastAsia="仿宋" w:cs="Cambria Math"/>
          <w:color w:val="000000"/>
        </w:rPr>
        <w:t>：</w:t>
      </w:r>
    </w:p>
    <w:p>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人保财险四川省资阳市分公司三大主粮、柑橘过程性风险减量服务采购项目</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jc w:val="both"/>
        <w:rPr>
          <w:rFonts w:ascii="仿宋" w:hAnsi="仿宋" w:eastAsia="仿宋" w:cs="Cambria Math"/>
          <w:color w:val="000000"/>
        </w:rPr>
      </w:pPr>
      <w:r>
        <w:rPr>
          <w:rFonts w:hint="eastAsia" w:ascii="仿宋" w:hAnsi="仿宋" w:eastAsia="仿宋" w:cs="Cambria Math"/>
          <w:color w:val="000000"/>
        </w:rPr>
        <w:t>特此声明。</w:t>
      </w:r>
    </w:p>
    <w:p>
      <w:pPr>
        <w:pStyle w:val="242"/>
        <w:ind w:firstLine="640"/>
        <w:rPr>
          <w:rFonts w:ascii="仿宋" w:hAnsi="仿宋" w:eastAsia="仿宋"/>
        </w:rPr>
      </w:pPr>
    </w:p>
    <w:p>
      <w:pPr>
        <w:pStyle w:val="242"/>
        <w:ind w:firstLine="640"/>
        <w:rPr>
          <w:rFonts w:ascii="仿宋" w:hAnsi="仿宋" w:eastAsia="仿宋"/>
        </w:rPr>
      </w:pPr>
    </w:p>
    <w:p>
      <w:pPr>
        <w:pStyle w:val="242"/>
        <w:ind w:firstLine="640"/>
        <w:rPr>
          <w:rFonts w:ascii="仿宋" w:hAnsi="仿宋" w:eastAsia="仿宋"/>
        </w:rPr>
      </w:pPr>
    </w:p>
    <w:p>
      <w:pPr>
        <w:pStyle w:val="242"/>
        <w:ind w:firstLine="640"/>
        <w:rPr>
          <w:rFonts w:ascii="仿宋" w:hAnsi="仿宋" w:eastAsia="仿宋"/>
        </w:rPr>
      </w:pPr>
    </w:p>
    <w:p>
      <w:pPr>
        <w:pStyle w:val="242"/>
        <w:ind w:firstLine="640"/>
        <w:rPr>
          <w:rFonts w:ascii="仿宋" w:hAnsi="仿宋" w:eastAsia="仿宋"/>
        </w:rPr>
      </w:pPr>
    </w:p>
    <w:p>
      <w:pPr>
        <w:pStyle w:val="242"/>
        <w:ind w:firstLine="640"/>
        <w:rPr>
          <w:rFonts w:ascii="仿宋" w:hAnsi="仿宋" w:eastAsia="仿宋"/>
        </w:rPr>
      </w:pPr>
    </w:p>
    <w:p>
      <w:pPr>
        <w:pStyle w:val="242"/>
        <w:ind w:firstLine="640"/>
        <w:rPr>
          <w:rFonts w:ascii="仿宋" w:hAnsi="仿宋" w:eastAsia="仿宋"/>
        </w:rPr>
      </w:pPr>
    </w:p>
    <w:p>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clear="all"/>
      </w:r>
    </w:p>
    <w:p>
      <w:pPr>
        <w:pStyle w:val="5"/>
        <w:spacing w:before="0" w:after="0" w:line="360" w:lineRule="auto"/>
        <w:rPr>
          <w:rFonts w:ascii="仿宋" w:hAnsi="仿宋" w:cs="宋体"/>
          <w:color w:val="000000"/>
          <w:szCs w:val="24"/>
        </w:rPr>
      </w:pPr>
      <w:bookmarkStart w:id="201" w:name="_Toc15002"/>
      <w:bookmarkStart w:id="202" w:name="_Toc15130"/>
      <w:bookmarkStart w:id="203" w:name="_Toc65683009"/>
      <w:bookmarkStart w:id="204" w:name="_Toc112068411"/>
      <w:bookmarkStart w:id="205" w:name="_Toc144139212"/>
      <w:bookmarkStart w:id="206" w:name="_Toc18208"/>
      <w:bookmarkStart w:id="207" w:name="_Toc18673781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01"/>
      <w:bookmarkEnd w:id="202"/>
      <w:bookmarkEnd w:id="203"/>
      <w:bookmarkEnd w:id="204"/>
      <w:bookmarkEnd w:id="205"/>
      <w:bookmarkEnd w:id="206"/>
      <w:bookmarkEnd w:id="207"/>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noWrap w:val="0"/>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000000"/>
                <w:szCs w:val="21"/>
              </w:rPr>
            </w:pPr>
          </w:p>
        </w:tc>
        <w:tc>
          <w:tcPr>
            <w:tcW w:w="2285" w:type="dxa"/>
            <w:noWrap w:val="0"/>
          </w:tcPr>
          <w:p>
            <w:pPr>
              <w:spacing w:line="360" w:lineRule="auto"/>
              <w:rPr>
                <w:rFonts w:ascii="仿宋" w:hAnsi="仿宋" w:eastAsia="仿宋" w:cs="宋体"/>
                <w:color w:val="000000"/>
                <w:szCs w:val="21"/>
              </w:rPr>
            </w:pPr>
          </w:p>
        </w:tc>
        <w:tc>
          <w:tcPr>
            <w:tcW w:w="2495" w:type="dxa"/>
            <w:noWrap w:val="0"/>
          </w:tcPr>
          <w:p>
            <w:pPr>
              <w:spacing w:line="360" w:lineRule="auto"/>
              <w:rPr>
                <w:rFonts w:ascii="仿宋" w:hAnsi="仿宋" w:eastAsia="仿宋" w:cs="宋体"/>
                <w:color w:val="000000"/>
                <w:szCs w:val="21"/>
              </w:rPr>
            </w:pPr>
          </w:p>
        </w:tc>
        <w:tc>
          <w:tcPr>
            <w:tcW w:w="2704" w:type="dxa"/>
            <w:noWrap w:val="0"/>
          </w:tcPr>
          <w:p>
            <w:pPr>
              <w:spacing w:line="360" w:lineRule="auto"/>
              <w:rPr>
                <w:rFonts w:ascii="仿宋" w:hAnsi="仿宋" w:eastAsia="仿宋" w:cs="宋体"/>
                <w:color w:val="000000"/>
                <w:szCs w:val="21"/>
              </w:rPr>
            </w:pPr>
          </w:p>
        </w:tc>
        <w:tc>
          <w:tcPr>
            <w:tcW w:w="1408" w:type="dxa"/>
            <w:noWrap w:val="0"/>
          </w:tcPr>
          <w:p>
            <w:pPr>
              <w:spacing w:line="360" w:lineRule="auto"/>
              <w:rPr>
                <w:rFonts w:ascii="仿宋" w:hAnsi="仿宋" w:eastAsia="仿宋" w:cs="宋体"/>
                <w:color w:val="000000"/>
                <w:szCs w:val="21"/>
              </w:rPr>
            </w:pPr>
          </w:p>
        </w:tc>
      </w:tr>
    </w:tbl>
    <w:p>
      <w:pPr>
        <w:spacing w:line="360" w:lineRule="auto"/>
        <w:ind w:left="480" w:hanging="48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p>
    <w:p>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noWrap w:val="0"/>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000000"/>
                <w:szCs w:val="21"/>
              </w:rPr>
            </w:pPr>
          </w:p>
        </w:tc>
        <w:tc>
          <w:tcPr>
            <w:tcW w:w="2285" w:type="dxa"/>
            <w:noWrap w:val="0"/>
          </w:tcPr>
          <w:p>
            <w:pPr>
              <w:spacing w:line="360" w:lineRule="auto"/>
              <w:rPr>
                <w:rFonts w:ascii="仿宋" w:hAnsi="仿宋" w:eastAsia="仿宋" w:cs="Cambria Math"/>
                <w:color w:val="000000"/>
                <w:szCs w:val="21"/>
              </w:rPr>
            </w:pPr>
          </w:p>
        </w:tc>
        <w:tc>
          <w:tcPr>
            <w:tcW w:w="2495" w:type="dxa"/>
            <w:noWrap w:val="0"/>
          </w:tcPr>
          <w:p>
            <w:pPr>
              <w:spacing w:line="360" w:lineRule="auto"/>
              <w:rPr>
                <w:rFonts w:ascii="仿宋" w:hAnsi="仿宋" w:eastAsia="仿宋" w:cs="Cambria Math"/>
                <w:color w:val="000000"/>
                <w:szCs w:val="21"/>
              </w:rPr>
            </w:pPr>
          </w:p>
        </w:tc>
        <w:tc>
          <w:tcPr>
            <w:tcW w:w="2704" w:type="dxa"/>
            <w:noWrap w:val="0"/>
          </w:tcPr>
          <w:p>
            <w:pPr>
              <w:spacing w:line="360" w:lineRule="auto"/>
              <w:rPr>
                <w:rFonts w:ascii="仿宋" w:hAnsi="仿宋" w:eastAsia="仿宋" w:cs="Cambria Math"/>
                <w:color w:val="000000"/>
                <w:szCs w:val="21"/>
              </w:rPr>
            </w:pPr>
          </w:p>
        </w:tc>
        <w:tc>
          <w:tcPr>
            <w:tcW w:w="1408" w:type="dxa"/>
            <w:noWrap w:val="0"/>
          </w:tcPr>
          <w:p>
            <w:pPr>
              <w:spacing w:line="360" w:lineRule="auto"/>
              <w:rPr>
                <w:rFonts w:ascii="仿宋" w:hAnsi="仿宋" w:eastAsia="仿宋" w:cs="Cambria Math"/>
                <w:color w:val="000000"/>
                <w:szCs w:val="21"/>
              </w:rPr>
            </w:pPr>
          </w:p>
        </w:tc>
      </w:tr>
    </w:tbl>
    <w:p>
      <w:pPr>
        <w:spacing w:before="240" w:line="360" w:lineRule="auto"/>
        <w:ind w:left="480" w:hanging="48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outlineLvl w:val="9"/>
        <w:rPr>
          <w:rFonts w:ascii="仿宋" w:hAnsi="仿宋" w:eastAsia="仿宋" w:cs="宋体"/>
          <w:color w:val="000000"/>
          <w:sz w:val="24"/>
        </w:rPr>
        <w:sectPr>
          <w:pgSz w:w="11906" w:h="16838"/>
          <w:pgMar w:top="1417" w:right="1134" w:bottom="1134" w:left="1134" w:header="851" w:footer="992" w:gutter="0"/>
          <w:cols w:space="720" w:num="1"/>
          <w:titlePg/>
        </w:sectPr>
      </w:pPr>
      <w:r>
        <w:rPr>
          <w:rFonts w:ascii="仿宋" w:hAnsi="仿宋" w:eastAsia="仿宋" w:cs="仿宋"/>
          <w:color w:val="000000"/>
          <w:sz w:val="24"/>
          <w:szCs w:val="24"/>
        </w:rPr>
        <w:br w:type="page" w:clear="all"/>
      </w:r>
    </w:p>
    <w:p>
      <w:pPr>
        <w:pStyle w:val="5"/>
        <w:spacing w:before="0" w:after="0" w:line="360" w:lineRule="auto"/>
        <w:rPr>
          <w:rFonts w:ascii="仿宋" w:hAnsi="仿宋" w:eastAsia="仿宋" w:cs="仿宋"/>
          <w:color w:val="000000"/>
          <w:sz w:val="24"/>
          <w:szCs w:val="24"/>
        </w:rPr>
      </w:pPr>
      <w:bookmarkStart w:id="208" w:name="_Toc27501"/>
      <w:bookmarkStart w:id="209" w:name="_Toc186737819"/>
      <w:bookmarkStart w:id="210" w:name="_Toc17890"/>
      <w:r>
        <w:rPr>
          <w:rFonts w:hint="eastAsia" w:ascii="仿宋" w:hAnsi="仿宋" w:eastAsia="仿宋" w:cs="仿宋"/>
          <w:color w:val="000000"/>
          <w:sz w:val="24"/>
          <w:szCs w:val="24"/>
        </w:rPr>
        <w:t>（七）供应商行为准则承诺书</w:t>
      </w:r>
      <w:bookmarkEnd w:id="208"/>
      <w:bookmarkEnd w:id="209"/>
      <w:bookmarkEnd w:id="210"/>
    </w:p>
    <w:p>
      <w:pPr>
        <w:jc w:val="center"/>
        <w:rPr>
          <w:rFonts w:ascii="仿宋" w:hAnsi="仿宋" w:eastAsia="仿宋" w:cs="宋体"/>
          <w:b/>
          <w:bCs/>
          <w:color w:val="000000"/>
          <w:sz w:val="28"/>
          <w:szCs w:val="28"/>
        </w:rPr>
      </w:pPr>
      <w:bookmarkStart w:id="211" w:name="_Toc15599"/>
      <w:r>
        <w:rPr>
          <w:rFonts w:hint="eastAsia" w:ascii="仿宋" w:hAnsi="仿宋" w:eastAsia="仿宋" w:cs="宋体"/>
          <w:b/>
          <w:bCs/>
          <w:color w:val="000000"/>
          <w:sz w:val="28"/>
          <w:szCs w:val="28"/>
        </w:rPr>
        <w:t>供应商行为准则承诺书</w:t>
      </w:r>
    </w:p>
    <w:p>
      <w:pPr>
        <w:spacing w:line="360" w:lineRule="auto"/>
        <w:ind w:firstLine="480"/>
        <w:rPr>
          <w:rFonts w:ascii="仿宋" w:hAnsi="仿宋" w:eastAsia="仿宋" w:cs="仿宋"/>
          <w:color w:val="000000"/>
        </w:rPr>
      </w:pPr>
    </w:p>
    <w:p>
      <w:pPr>
        <w:spacing w:line="360" w:lineRule="auto"/>
        <w:ind w:firstLine="48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rPr>
          <w:rFonts w:ascii="仿宋" w:hAnsi="仿宋" w:eastAsia="仿宋" w:cs="仿宋"/>
          <w:color w:val="000000"/>
        </w:rPr>
      </w:pPr>
      <w:r>
        <w:rPr>
          <w:rFonts w:hint="eastAsia" w:ascii="仿宋" w:hAnsi="仿宋" w:eastAsia="仿宋" w:cs="仿宋"/>
          <w:color w:val="000000"/>
        </w:rPr>
        <w:t>电话：__________传真：__________________</w:t>
      </w:r>
    </w:p>
    <w:p>
      <w:pPr>
        <w:pStyle w:val="243"/>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clear="all"/>
      </w:r>
      <w:bookmarkStart w:id="212" w:name="_Toc186737820"/>
      <w:bookmarkStart w:id="213" w:name="_Toc8068"/>
      <w:bookmarkStart w:id="214" w:name="_Toc24044"/>
      <w:r>
        <w:rPr>
          <w:rFonts w:hint="eastAsia" w:ascii="仿宋" w:hAnsi="仿宋" w:eastAsia="仿宋" w:cs="宋体"/>
          <w:bCs w:val="0"/>
          <w:color w:val="000000"/>
          <w:sz w:val="24"/>
          <w:szCs w:val="24"/>
        </w:rPr>
        <w:t>（八）供应商廉洁诚信承诺书</w:t>
      </w:r>
      <w:bookmarkEnd w:id="211"/>
      <w:bookmarkEnd w:id="212"/>
      <w:bookmarkEnd w:id="213"/>
      <w:bookmarkEnd w:id="214"/>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000000"/>
        </w:rPr>
      </w:pPr>
    </w:p>
    <w:p>
      <w:pPr>
        <w:spacing w:line="360" w:lineRule="auto"/>
        <w:ind w:firstLine="48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000000"/>
        </w:rPr>
      </w:pPr>
    </w:p>
    <w:p>
      <w:pPr>
        <w:tabs>
          <w:tab w:val="left" w:pos="458"/>
        </w:tabs>
        <w:spacing w:line="360" w:lineRule="auto"/>
        <w:ind w:firstLine="3578"/>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rPr>
          <w:rStyle w:val="224"/>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clear="all"/>
      </w:r>
    </w:p>
    <w:p>
      <w:pPr>
        <w:pStyle w:val="5"/>
        <w:spacing w:before="0" w:after="0" w:line="360" w:lineRule="auto"/>
        <w:rPr>
          <w:rFonts w:ascii="仿宋" w:hAnsi="仿宋" w:eastAsia="仿宋" w:cs="宋体"/>
          <w:bCs w:val="0"/>
          <w:color w:val="000000"/>
          <w:sz w:val="21"/>
          <w:szCs w:val="24"/>
        </w:rPr>
      </w:pPr>
      <w:bookmarkStart w:id="215" w:name="_Toc5689"/>
      <w:bookmarkStart w:id="216" w:name="_Toc186737822"/>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bookmarkEnd w:id="215"/>
      <w:bookmarkEnd w:id="216"/>
    </w:p>
    <w:p>
      <w:pPr>
        <w:spacing w:line="360" w:lineRule="auto"/>
        <w:rPr>
          <w:rFonts w:ascii="宋体" w:hAnsi="宋体"/>
          <w:szCs w:val="21"/>
        </w:rPr>
        <w:sectPr>
          <w:pgSz w:w="11906" w:h="16838"/>
          <w:pgMar w:top="1417" w:right="1134" w:bottom="1134" w:left="1134" w:header="851" w:footer="992" w:gutter="0"/>
          <w:cols w:space="720" w:num="1"/>
          <w:titlePg/>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bookmarkEnd w:id="200"/>
    </w:p>
    <w:p>
      <w:pPr>
        <w:pStyle w:val="4"/>
        <w:jc w:val="both"/>
        <w:rPr>
          <w:rFonts w:ascii="仿宋" w:hAnsi="仿宋" w:eastAsia="仿宋" w:cs="仿宋"/>
          <w:color w:val="000000"/>
          <w:sz w:val="24"/>
          <w:szCs w:val="24"/>
        </w:rPr>
      </w:pPr>
      <w:bookmarkStart w:id="217" w:name="_Toc186737823"/>
      <w:bookmarkStart w:id="218" w:name="_Toc8682"/>
      <w:bookmarkStart w:id="219" w:name="_Toc28698"/>
      <w:r>
        <w:rPr>
          <w:rFonts w:hint="eastAsia" w:ascii="仿宋" w:hAnsi="仿宋" w:eastAsia="仿宋" w:cs="仿宋"/>
          <w:color w:val="000000"/>
          <w:sz w:val="24"/>
          <w:szCs w:val="24"/>
        </w:rPr>
        <w:t>二、技术文件</w:t>
      </w:r>
      <w:bookmarkEnd w:id="217"/>
      <w:bookmarkEnd w:id="218"/>
      <w:bookmarkEnd w:id="219"/>
    </w:p>
    <w:p>
      <w:pPr>
        <w:jc w:val="center"/>
        <w:rPr>
          <w:rFonts w:ascii="仿宋" w:hAnsi="仿宋" w:eastAsia="仿宋" w:cs="仿宋"/>
          <w:b/>
          <w:bCs/>
        </w:rPr>
      </w:pPr>
      <w:bookmarkStart w:id="220" w:name="_Toc30870"/>
      <w:bookmarkStart w:id="221" w:name="_Toc23108"/>
      <w:r>
        <w:rPr>
          <w:rFonts w:hint="eastAsia" w:ascii="仿宋" w:hAnsi="仿宋" w:eastAsia="仿宋" w:cs="仿宋"/>
          <w:b/>
          <w:bCs/>
        </w:rPr>
        <w:t>详细评审索引表</w:t>
      </w:r>
      <w:bookmarkEnd w:id="220"/>
    </w:p>
    <w:tbl>
      <w:tblPr>
        <w:tblStyle w:val="3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noWrap w:val="0"/>
            <w:tcMar>
              <w:top w:w="15" w:type="dxa"/>
              <w:left w:w="15" w:type="dxa"/>
              <w:right w:w="15" w:type="dxa"/>
            </w:tcMar>
            <w:vAlign w:val="center"/>
          </w:tcPr>
          <w:p>
            <w:pPr>
              <w:jc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rPr>
                <w:rFonts w:ascii="仿宋" w:hAnsi="仿宋" w:eastAsia="仿宋" w:cs="宋体"/>
                <w:color w:val="000000"/>
                <w:szCs w:val="21"/>
                <w:lang w:bidi="ar"/>
              </w:rPr>
            </w:pPr>
            <w:r>
              <w:rPr>
                <w:rFonts w:hint="eastAsia" w:ascii="仿宋" w:hAnsi="仿宋" w:eastAsia="仿宋" w:cs="宋体"/>
                <w:color w:val="000000"/>
                <w:szCs w:val="21"/>
              </w:rPr>
              <w:t>（XX分）</w:t>
            </w: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41"/>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41"/>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41"/>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jc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noWrap w:val="0"/>
            <w:tcMar>
              <w:top w:w="15" w:type="dxa"/>
              <w:left w:w="15" w:type="dxa"/>
              <w:right w:w="15" w:type="dxa"/>
            </w:tcMar>
            <w:vAlign w:val="center"/>
          </w:tcPr>
          <w:p>
            <w:pPr>
              <w:jc w:val="center"/>
              <w:rPr>
                <w:rFonts w:ascii="仿宋" w:hAnsi="仿宋" w:eastAsia="仿宋" w:cs="宋体"/>
                <w:color w:val="000000"/>
                <w:szCs w:val="21"/>
              </w:rPr>
            </w:pPr>
          </w:p>
        </w:tc>
        <w:tc>
          <w:tcPr>
            <w:tcW w:w="2268" w:type="dxa"/>
            <w:noWrap w:val="0"/>
            <w:vAlign w:val="center"/>
          </w:tcPr>
          <w:p>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pPr>
              <w:rPr>
                <w:rStyle w:val="241"/>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clear="all"/>
      </w:r>
    </w:p>
    <w:p>
      <w:pPr>
        <w:pStyle w:val="5"/>
        <w:spacing w:before="0" w:after="0" w:line="360" w:lineRule="auto"/>
        <w:rPr>
          <w:rFonts w:ascii="仿宋" w:hAnsi="仿宋" w:eastAsia="仿宋" w:cs="仿宋"/>
          <w:color w:val="000000"/>
          <w:sz w:val="24"/>
          <w:szCs w:val="24"/>
        </w:rPr>
      </w:pPr>
      <w:bookmarkStart w:id="222" w:name="_Toc17302"/>
      <w:bookmarkStart w:id="223" w:name="_Toc186737824"/>
      <w:bookmarkStart w:id="224" w:name="_Toc30017"/>
      <w:r>
        <w:rPr>
          <w:rFonts w:hint="eastAsia" w:ascii="仿宋" w:hAnsi="仿宋" w:eastAsia="仿宋" w:cs="仿宋"/>
          <w:color w:val="000000"/>
          <w:sz w:val="24"/>
          <w:szCs w:val="24"/>
        </w:rPr>
        <w:t>（一）采购需求应答偏离表</w:t>
      </w:r>
      <w:bookmarkEnd w:id="221"/>
      <w:bookmarkEnd w:id="222"/>
      <w:bookmarkEnd w:id="223"/>
      <w:bookmarkEnd w:id="224"/>
    </w:p>
    <w:p>
      <w:pPr>
        <w:spacing w:line="360" w:lineRule="auto"/>
        <w:jc w:val="center"/>
        <w:rPr>
          <w:rFonts w:ascii="仿宋" w:hAnsi="仿宋" w:eastAsia="仿宋" w:cs="仿宋"/>
          <w:b/>
          <w:bCs/>
          <w:color w:val="000000"/>
        </w:rPr>
      </w:pPr>
      <w:bookmarkStart w:id="225" w:name="_Toc125561188"/>
      <w:bookmarkStart w:id="226" w:name="_Toc293297544"/>
      <w:bookmarkStart w:id="227" w:name="_Toc125771198"/>
      <w:r>
        <w:rPr>
          <w:rFonts w:hint="eastAsia" w:ascii="仿宋" w:hAnsi="仿宋" w:eastAsia="仿宋" w:cs="仿宋"/>
          <w:b/>
          <w:bCs/>
          <w:color w:val="000000"/>
        </w:rPr>
        <w:t>采购需求应答偏离表</w:t>
      </w:r>
      <w:bookmarkEnd w:id="225"/>
      <w:bookmarkEnd w:id="226"/>
      <w:bookmarkEnd w:id="227"/>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rPr>
          <w:rFonts w:ascii="仿宋" w:hAnsi="仿宋" w:eastAsia="仿宋" w:cs="仿宋"/>
          <w:color w:val="000000"/>
        </w:rPr>
      </w:pPr>
    </w:p>
    <w:p>
      <w:pPr>
        <w:spacing w:line="440" w:lineRule="exact"/>
        <w:ind w:firstLine="4080"/>
        <w:jc w:val="right"/>
        <w:rPr>
          <w:rFonts w:ascii="仿宋" w:hAnsi="仿宋" w:eastAsia="仿宋" w:cs="仿宋"/>
          <w:color w:val="000000"/>
        </w:rPr>
      </w:pPr>
    </w:p>
    <w:p>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228" w:name="_Toc8284"/>
      <w:bookmarkStart w:id="229" w:name="_Toc7021"/>
      <w:bookmarkStart w:id="230" w:name="_Toc186737825"/>
      <w:r>
        <w:rPr>
          <w:rFonts w:hint="eastAsia" w:ascii="仿宋" w:hAnsi="仿宋" w:eastAsia="仿宋" w:cs="仿宋"/>
          <w:color w:val="000000"/>
          <w:sz w:val="24"/>
          <w:szCs w:val="24"/>
        </w:rPr>
        <w:t>（二）技术方案</w:t>
      </w:r>
      <w:bookmarkEnd w:id="228"/>
      <w:bookmarkEnd w:id="229"/>
      <w:bookmarkEnd w:id="230"/>
    </w:p>
    <w:p>
      <w:pPr>
        <w:spacing w:line="360" w:lineRule="auto"/>
        <w:ind w:firstLine="48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231" w:name="_Toc517281860"/>
      <w:bookmarkStart w:id="232" w:name="_Toc444891358"/>
      <w:r>
        <w:rPr>
          <w:rFonts w:hint="eastAsia" w:ascii="仿宋" w:hAnsi="仿宋" w:eastAsia="仿宋" w:cs="仿宋"/>
          <w:color w:val="000000"/>
        </w:rPr>
        <w:br w:type="page" w:clear="all"/>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noWrap w:val="0"/>
            <w:vAlign w:val="center"/>
          </w:tcPr>
          <w:p>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pacing w:line="360" w:lineRule="auto"/>
              <w:jc w:val="center"/>
              <w:rPr>
                <w:rFonts w:ascii="仿宋" w:hAnsi="仿宋" w:eastAsia="仿宋" w:cs="仿宋"/>
                <w:color w:val="000000"/>
                <w:szCs w:val="21"/>
              </w:rPr>
            </w:pPr>
          </w:p>
        </w:tc>
        <w:tc>
          <w:tcPr>
            <w:tcW w:w="851" w:type="dxa"/>
            <w:noWrap w:val="0"/>
          </w:tcPr>
          <w:p>
            <w:pPr>
              <w:spacing w:line="360" w:lineRule="auto"/>
              <w:jc w:val="center"/>
              <w:rPr>
                <w:rFonts w:ascii="仿宋" w:hAnsi="仿宋" w:eastAsia="仿宋" w:cs="仿宋"/>
                <w:color w:val="000000"/>
                <w:szCs w:val="21"/>
              </w:rPr>
            </w:pPr>
          </w:p>
        </w:tc>
        <w:tc>
          <w:tcPr>
            <w:tcW w:w="980" w:type="dxa"/>
            <w:noWrap w:val="0"/>
            <w:vAlign w:val="center"/>
          </w:tcPr>
          <w:p>
            <w:pPr>
              <w:spacing w:line="360" w:lineRule="auto"/>
              <w:jc w:val="center"/>
              <w:rPr>
                <w:rFonts w:ascii="仿宋" w:hAnsi="仿宋" w:eastAsia="仿宋" w:cs="仿宋"/>
                <w:color w:val="000000"/>
                <w:szCs w:val="21"/>
              </w:rPr>
            </w:pPr>
          </w:p>
        </w:tc>
        <w:tc>
          <w:tcPr>
            <w:tcW w:w="992" w:type="dxa"/>
            <w:noWrap w:val="0"/>
            <w:vAlign w:val="center"/>
          </w:tcPr>
          <w:p>
            <w:pPr>
              <w:spacing w:line="360" w:lineRule="auto"/>
              <w:jc w:val="center"/>
              <w:rPr>
                <w:rFonts w:ascii="仿宋" w:hAnsi="仿宋" w:eastAsia="仿宋" w:cs="仿宋"/>
                <w:color w:val="000000"/>
                <w:szCs w:val="21"/>
              </w:rPr>
            </w:pPr>
          </w:p>
        </w:tc>
        <w:tc>
          <w:tcPr>
            <w:tcW w:w="1276" w:type="dxa"/>
            <w:noWrap w:val="0"/>
            <w:vAlign w:val="center"/>
          </w:tcPr>
          <w:p>
            <w:pPr>
              <w:spacing w:line="360" w:lineRule="auto"/>
              <w:jc w:val="center"/>
              <w:rPr>
                <w:rFonts w:ascii="仿宋" w:hAnsi="仿宋" w:eastAsia="仿宋" w:cs="仿宋"/>
                <w:color w:val="000000"/>
                <w:szCs w:val="21"/>
              </w:rPr>
            </w:pPr>
          </w:p>
        </w:tc>
        <w:tc>
          <w:tcPr>
            <w:tcW w:w="1134" w:type="dxa"/>
            <w:noWrap w:val="0"/>
            <w:vAlign w:val="center"/>
          </w:tcPr>
          <w:p>
            <w:pPr>
              <w:spacing w:line="360" w:lineRule="auto"/>
              <w:jc w:val="center"/>
              <w:rPr>
                <w:rFonts w:ascii="仿宋" w:hAnsi="仿宋" w:eastAsia="仿宋" w:cs="仿宋"/>
                <w:color w:val="000000"/>
                <w:szCs w:val="21"/>
              </w:rPr>
            </w:pPr>
          </w:p>
        </w:tc>
        <w:tc>
          <w:tcPr>
            <w:tcW w:w="1695" w:type="dxa"/>
            <w:noWrap w:val="0"/>
            <w:vAlign w:val="center"/>
          </w:tcPr>
          <w:p>
            <w:pPr>
              <w:spacing w:line="360" w:lineRule="auto"/>
              <w:jc w:val="center"/>
              <w:rPr>
                <w:rFonts w:ascii="仿宋" w:hAnsi="仿宋" w:eastAsia="仿宋" w:cs="仿宋"/>
                <w:color w:val="000000"/>
                <w:szCs w:val="21"/>
              </w:rPr>
            </w:pPr>
          </w:p>
        </w:tc>
      </w:tr>
    </w:tbl>
    <w:p>
      <w:pP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clear="all"/>
      </w:r>
    </w:p>
    <w:p>
      <w:pPr>
        <w:rPr>
          <w:rFonts w:ascii="仿宋" w:hAnsi="仿宋" w:eastAsia="仿宋" w:cs="仿宋"/>
          <w:color w:val="000000"/>
          <w:sz w:val="24"/>
          <w:szCs w:val="24"/>
        </w:rPr>
      </w:pPr>
      <w:bookmarkStart w:id="233" w:name="_Toc186737826"/>
      <w:bookmarkStart w:id="234" w:name="_Toc20365"/>
      <w:r>
        <w:rPr>
          <w:rFonts w:hint="eastAsia" w:ascii="仿宋" w:hAnsi="仿宋" w:eastAsia="仿宋" w:cs="仿宋"/>
          <w:color w:val="000000"/>
          <w:sz w:val="24"/>
          <w:szCs w:val="24"/>
        </w:rPr>
        <w:t>（三）</w:t>
      </w:r>
      <w:bookmarkEnd w:id="231"/>
      <w:bookmarkEnd w:id="232"/>
      <w:r>
        <w:rPr>
          <w:rFonts w:hint="eastAsia" w:ascii="仿宋" w:hAnsi="仿宋" w:eastAsia="仿宋" w:cs="仿宋"/>
          <w:color w:val="000000"/>
          <w:sz w:val="24"/>
          <w:szCs w:val="24"/>
        </w:rPr>
        <w:t>其他材料</w:t>
      </w:r>
      <w:bookmarkEnd w:id="233"/>
      <w:bookmarkEnd w:id="234"/>
    </w:p>
    <w:p>
      <w:pPr>
        <w:spacing w:line="360" w:lineRule="auto"/>
        <w:rPr>
          <w:rFonts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clear="all"/>
      </w:r>
      <w:bookmarkStart w:id="235" w:name="_Toc186737827"/>
      <w:bookmarkStart w:id="236" w:name="_Toc20443"/>
      <w:r>
        <w:rPr>
          <w:rFonts w:hint="eastAsia" w:ascii="仿宋" w:hAnsi="仿宋" w:eastAsia="仿宋" w:cs="仿宋"/>
          <w:color w:val="000000"/>
        </w:rPr>
        <w:t>三、报价文件</w:t>
      </w:r>
      <w:bookmarkEnd w:id="235"/>
      <w:bookmarkEnd w:id="236"/>
    </w:p>
    <w:p>
      <w:pPr>
        <w:pStyle w:val="5"/>
        <w:spacing w:before="0" w:after="0" w:line="360" w:lineRule="auto"/>
        <w:ind w:firstLine="482"/>
        <w:rPr>
          <w:rFonts w:ascii="仿宋" w:hAnsi="仿宋" w:eastAsia="仿宋" w:cs="仿宋"/>
          <w:color w:val="000000"/>
          <w:sz w:val="24"/>
          <w:szCs w:val="24"/>
        </w:rPr>
      </w:pPr>
      <w:bookmarkStart w:id="237" w:name="_Toc511726864"/>
      <w:bookmarkStart w:id="238" w:name="_Toc32259"/>
      <w:bookmarkStart w:id="239" w:name="_Toc186737828"/>
      <w:bookmarkStart w:id="240" w:name="_Toc18942"/>
      <w:r>
        <w:rPr>
          <w:rFonts w:hint="eastAsia" w:ascii="仿宋" w:hAnsi="仿宋" w:eastAsia="仿宋" w:cs="仿宋"/>
          <w:color w:val="000000"/>
          <w:sz w:val="24"/>
          <w:szCs w:val="24"/>
        </w:rPr>
        <w:t>（一）报价</w:t>
      </w:r>
      <w:bookmarkEnd w:id="237"/>
      <w:r>
        <w:rPr>
          <w:rFonts w:hint="eastAsia" w:ascii="仿宋" w:hAnsi="仿宋" w:eastAsia="仿宋" w:cs="仿宋"/>
          <w:color w:val="000000"/>
          <w:sz w:val="24"/>
          <w:szCs w:val="24"/>
        </w:rPr>
        <w:t>一览表</w:t>
      </w:r>
      <w:bookmarkEnd w:id="238"/>
      <w:bookmarkEnd w:id="239"/>
      <w:bookmarkEnd w:id="240"/>
    </w:p>
    <w:p>
      <w:pPr>
        <w:pStyle w:val="13"/>
        <w:spacing w:line="360" w:lineRule="auto"/>
        <w:ind w:hanging="142"/>
        <w:rPr>
          <w:rFonts w:ascii="仿宋" w:hAnsi="仿宋" w:eastAsia="仿宋" w:cs="仿宋"/>
          <w:color w:val="000000"/>
          <w:sz w:val="24"/>
          <w:szCs w:val="24"/>
          <w:u w:val="single"/>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人保财险四川省资阳市分公司三大主粮、柑橘过程性风险减量服务采购项目   </w:t>
      </w:r>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rPr>
          <w:rFonts w:ascii="仿宋" w:hAnsi="仿宋" w:eastAsia="仿宋" w:cs="仿宋"/>
          <w:color w:val="000000"/>
          <w:szCs w:val="21"/>
          <w:lang w:bidi="ar"/>
        </w:rPr>
      </w:pPr>
    </w:p>
    <w:tbl>
      <w:tblPr>
        <w:tblStyle w:val="3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w:t>
            </w:r>
            <w:r>
              <w:rPr>
                <w:rFonts w:hint="eastAsia" w:ascii="仿宋" w:hAnsi="仿宋" w:eastAsia="仿宋" w:cs="宋体"/>
                <w:b/>
                <w:bCs/>
                <w:color w:val="000000"/>
                <w:szCs w:val="21"/>
                <w:lang w:eastAsia="zh-CN"/>
              </w:rPr>
              <w:t>单</w:t>
            </w:r>
            <w:r>
              <w:rPr>
                <w:rFonts w:hint="eastAsia" w:ascii="仿宋" w:hAnsi="仿宋" w:eastAsia="仿宋" w:cs="宋体"/>
                <w:b/>
                <w:bCs/>
                <w:color w:val="000000"/>
                <w:szCs w:val="21"/>
              </w:rPr>
              <w:t>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w:t>
            </w:r>
            <w:r>
              <w:rPr>
                <w:rFonts w:hint="eastAsia" w:ascii="仿宋" w:hAnsi="仿宋" w:eastAsia="仿宋" w:cs="宋体"/>
                <w:b/>
                <w:bCs/>
                <w:color w:val="000000"/>
                <w:szCs w:val="21"/>
                <w:lang w:eastAsia="zh-CN"/>
              </w:rPr>
              <w:t>单</w:t>
            </w:r>
            <w:r>
              <w:rPr>
                <w:rFonts w:hint="eastAsia" w:ascii="仿宋" w:hAnsi="仿宋" w:eastAsia="仿宋" w:cs="宋体"/>
                <w:b/>
                <w:bCs/>
                <w:color w:val="000000"/>
                <w:szCs w:val="21"/>
              </w:rPr>
              <w:t>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现场专业查验、风险分析及风险预警</w:t>
            </w:r>
          </w:p>
        </w:tc>
        <w:tc>
          <w:tcPr>
            <w:tcW w:w="79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r>
              <w:rPr>
                <w:rFonts w:hint="eastAsia" w:ascii="仿宋" w:hAnsi="仿宋" w:eastAsia="仿宋" w:cs="仿宋"/>
                <w:i w:val="0"/>
                <w:iCs w:val="0"/>
                <w:color w:val="auto"/>
                <w:sz w:val="24"/>
                <w:szCs w:val="24"/>
                <w:highlight w:val="none"/>
                <w:vertAlign w:val="baseline"/>
                <w:lang w:val="en-US" w:eastAsia="zh-CN" w:bidi="ar"/>
              </w:rPr>
              <w:t>*元/亩</w:t>
            </w:r>
          </w:p>
        </w:tc>
        <w:tc>
          <w:tcPr>
            <w:tcW w:w="915" w:type="pct"/>
            <w:tcBorders>
              <w:top w:val="single" w:color="auto" w:sz="4" w:space="0"/>
              <w:left w:val="single" w:color="auto" w:sz="4" w:space="0"/>
              <w:bottom w:val="single" w:color="auto" w:sz="4" w:space="0"/>
              <w:right w:val="single" w:color="auto" w:sz="4" w:space="0"/>
            </w:tcBorders>
            <w:noWrap w:val="0"/>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r>
              <w:rPr>
                <w:rFonts w:hint="eastAsia" w:ascii="仿宋" w:hAnsi="仿宋" w:eastAsia="仿宋" w:cs="仿宋"/>
                <w:i w:val="0"/>
                <w:iCs w:val="0"/>
                <w:color w:val="auto"/>
                <w:sz w:val="24"/>
                <w:szCs w:val="24"/>
                <w:highlight w:val="none"/>
                <w:vertAlign w:val="baseline"/>
                <w:lang w:val="en-US" w:eastAsia="zh-CN" w:bidi="ar"/>
              </w:rPr>
              <w:t>*元/亩</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r>
        <w:tblPrEx>
          <w:tblCellMar>
            <w:top w:w="0" w:type="dxa"/>
            <w:left w:w="108" w:type="dxa"/>
            <w:bottom w:w="0" w:type="dxa"/>
            <w:right w:w="108" w:type="dxa"/>
          </w:tblCellMar>
        </w:tblPrEx>
        <w:trPr>
          <w:trHeight w:val="1409"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宋体"/>
                <w:bCs/>
                <w:color w:val="000000"/>
                <w:szCs w:val="21"/>
                <w:lang w:val="en-US" w:eastAsia="zh-CN"/>
              </w:rPr>
            </w:pPr>
            <w:r>
              <w:rPr>
                <w:rFonts w:hint="eastAsia" w:ascii="仿宋" w:hAnsi="仿宋" w:eastAsia="仿宋" w:cs="宋体"/>
                <w:bCs/>
                <w:color w:val="000000"/>
                <w:szCs w:val="21"/>
                <w:lang w:val="en-US" w:eastAsia="zh-CN"/>
              </w:rPr>
              <w:t>2</w:t>
            </w:r>
          </w:p>
        </w:tc>
        <w:tc>
          <w:tcPr>
            <w:tcW w:w="9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default" w:ascii="仿宋" w:hAnsi="仿宋" w:eastAsia="仿宋" w:cs="仿宋"/>
                <w:i w:val="0"/>
                <w:iCs w:val="0"/>
                <w:color w:val="auto"/>
                <w:sz w:val="24"/>
                <w:szCs w:val="24"/>
                <w:highlight w:val="none"/>
                <w:vertAlign w:val="baseline"/>
                <w:lang w:val="en-US" w:eastAsia="zh-CN" w:bidi="ar"/>
              </w:rPr>
              <w:t>集体投保类风险分析及风险预警服务</w:t>
            </w:r>
          </w:p>
        </w:tc>
        <w:tc>
          <w:tcPr>
            <w:tcW w:w="79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*元/镇</w:t>
            </w:r>
          </w:p>
        </w:tc>
        <w:tc>
          <w:tcPr>
            <w:tcW w:w="915" w:type="pct"/>
            <w:tcBorders>
              <w:top w:val="single" w:color="auto" w:sz="4" w:space="0"/>
              <w:left w:val="single" w:color="auto" w:sz="4" w:space="0"/>
              <w:bottom w:val="single" w:color="auto" w:sz="4" w:space="0"/>
              <w:right w:val="single" w:color="auto" w:sz="4" w:space="0"/>
            </w:tcBorders>
            <w:noWrap w:val="0"/>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ind w:firstLine="240"/>
              <w:rPr>
                <w:rFonts w:hint="eastAsia" w:ascii="仿宋" w:hAnsi="仿宋" w:eastAsia="仿宋" w:cs="宋体"/>
                <w:color w:val="000000"/>
                <w:szCs w:val="21"/>
              </w:rPr>
            </w:pPr>
            <w:r>
              <w:rPr>
                <w:rFonts w:hint="eastAsia" w:ascii="仿宋" w:hAnsi="仿宋" w:eastAsia="仿宋" w:cs="宋体"/>
                <w:color w:val="000000"/>
                <w:szCs w:val="21"/>
                <w:lang w:val="en-US" w:eastAsia="zh-CN"/>
              </w:rPr>
              <w:t>*元/镇</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r>
        <w:tblPrEx>
          <w:tblCellMar>
            <w:top w:w="0" w:type="dxa"/>
            <w:left w:w="108" w:type="dxa"/>
            <w:bottom w:w="0" w:type="dxa"/>
            <w:right w:w="108" w:type="dxa"/>
          </w:tblCellMar>
        </w:tblPrEx>
        <w:trPr>
          <w:trHeight w:val="1409"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宋体"/>
                <w:bCs/>
                <w:color w:val="000000"/>
                <w:szCs w:val="21"/>
                <w:lang w:val="en-US" w:eastAsia="zh-CN"/>
              </w:rPr>
            </w:pPr>
            <w:r>
              <w:rPr>
                <w:rFonts w:hint="eastAsia" w:ascii="仿宋" w:hAnsi="仿宋" w:eastAsia="仿宋" w:cs="宋体"/>
                <w:bCs/>
                <w:color w:val="000000"/>
                <w:szCs w:val="21"/>
                <w:lang w:val="en-US" w:eastAsia="zh-CN"/>
              </w:rPr>
              <w:t>3</w:t>
            </w:r>
          </w:p>
        </w:tc>
        <w:tc>
          <w:tcPr>
            <w:tcW w:w="9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bCs/>
                <w:color w:val="000000"/>
                <w:szCs w:val="21"/>
              </w:rPr>
            </w:pPr>
            <w:r>
              <w:rPr>
                <w:rFonts w:hint="default" w:ascii="仿宋" w:hAnsi="仿宋" w:eastAsia="仿宋" w:cs="仿宋"/>
                <w:i w:val="0"/>
                <w:iCs w:val="0"/>
                <w:color w:val="auto"/>
                <w:sz w:val="24"/>
                <w:szCs w:val="24"/>
                <w:highlight w:val="none"/>
                <w:vertAlign w:val="baseline"/>
                <w:lang w:val="en-US" w:eastAsia="zh-CN" w:bidi="ar"/>
              </w:rPr>
              <w:t>专业培训</w:t>
            </w:r>
            <w:r>
              <w:rPr>
                <w:rFonts w:hint="eastAsia" w:ascii="仿宋" w:hAnsi="仿宋" w:eastAsia="仿宋" w:cs="仿宋"/>
                <w:i w:val="0"/>
                <w:iCs w:val="0"/>
                <w:color w:val="auto"/>
                <w:sz w:val="24"/>
                <w:szCs w:val="24"/>
                <w:highlight w:val="none"/>
                <w:vertAlign w:val="baseline"/>
                <w:lang w:val="en-US" w:eastAsia="zh-CN" w:bidi="ar"/>
              </w:rPr>
              <w:t>服务</w:t>
            </w:r>
          </w:p>
        </w:tc>
        <w:tc>
          <w:tcPr>
            <w:tcW w:w="79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*/元/次</w:t>
            </w:r>
          </w:p>
        </w:tc>
        <w:tc>
          <w:tcPr>
            <w:tcW w:w="915" w:type="pct"/>
            <w:tcBorders>
              <w:top w:val="single" w:color="auto" w:sz="4" w:space="0"/>
              <w:left w:val="single" w:color="auto" w:sz="4" w:space="0"/>
              <w:bottom w:val="single" w:color="auto" w:sz="4" w:space="0"/>
              <w:right w:val="single" w:color="auto" w:sz="4" w:space="0"/>
            </w:tcBorders>
            <w:noWrap w:val="0"/>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ind w:firstLine="240"/>
              <w:rPr>
                <w:rFonts w:hint="eastAsia" w:ascii="仿宋" w:hAnsi="仿宋" w:eastAsia="仿宋" w:cs="宋体"/>
                <w:color w:val="000000"/>
                <w:szCs w:val="21"/>
              </w:rPr>
            </w:pPr>
            <w:r>
              <w:rPr>
                <w:rFonts w:hint="eastAsia" w:ascii="仿宋" w:hAnsi="仿宋" w:eastAsia="仿宋" w:cs="宋体"/>
                <w:color w:val="000000"/>
                <w:szCs w:val="21"/>
                <w:lang w:val="en-US" w:eastAsia="zh-CN"/>
              </w:rPr>
              <w:t>*/元/次</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r>
        <w:tblPrEx>
          <w:tblCellMar>
            <w:top w:w="0" w:type="dxa"/>
            <w:left w:w="108" w:type="dxa"/>
            <w:bottom w:w="0" w:type="dxa"/>
            <w:right w:w="108" w:type="dxa"/>
          </w:tblCellMar>
        </w:tblPrEx>
        <w:trPr>
          <w:trHeight w:val="1409" w:hRule="atLeast"/>
          <w:jc w:val="center"/>
        </w:trPr>
        <w:tc>
          <w:tcPr>
            <w:tcW w:w="337"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宋体"/>
                <w:bCs/>
                <w:color w:val="000000"/>
                <w:szCs w:val="21"/>
                <w:lang w:val="en-US" w:eastAsia="zh-CN"/>
              </w:rPr>
            </w:pPr>
            <w:r>
              <w:rPr>
                <w:rFonts w:hint="eastAsia" w:ascii="仿宋" w:hAnsi="仿宋" w:eastAsia="仿宋" w:cs="宋体"/>
                <w:bCs/>
                <w:color w:val="000000"/>
                <w:szCs w:val="21"/>
                <w:lang w:val="en-US" w:eastAsia="zh-CN"/>
              </w:rPr>
              <w:t>4</w:t>
            </w:r>
          </w:p>
        </w:tc>
        <w:tc>
          <w:tcPr>
            <w:tcW w:w="997"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i w:val="0"/>
                <w:iCs w:val="0"/>
                <w:color w:val="auto"/>
                <w:sz w:val="24"/>
                <w:szCs w:val="24"/>
                <w:highlight w:val="none"/>
                <w:vertAlign w:val="baseline"/>
                <w:lang w:val="en-US" w:eastAsia="zh-CN" w:bidi="ar"/>
              </w:rPr>
            </w:pPr>
            <w:r>
              <w:rPr>
                <w:rFonts w:hint="eastAsia" w:ascii="仿宋" w:hAnsi="仿宋" w:eastAsia="仿宋" w:cs="仿宋"/>
                <w:i w:val="0"/>
                <w:iCs w:val="0"/>
                <w:color w:val="auto"/>
                <w:sz w:val="24"/>
                <w:szCs w:val="24"/>
                <w:highlight w:val="none"/>
                <w:vertAlign w:val="baseline"/>
                <w:lang w:val="en-US" w:eastAsia="zh-CN" w:bidi="ar"/>
              </w:rPr>
              <w:t>成果数据归集服务</w:t>
            </w:r>
          </w:p>
        </w:tc>
        <w:tc>
          <w:tcPr>
            <w:tcW w:w="79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*/元/1个服务期</w:t>
            </w:r>
          </w:p>
        </w:tc>
        <w:tc>
          <w:tcPr>
            <w:tcW w:w="915" w:type="pct"/>
            <w:tcBorders>
              <w:top w:val="single" w:color="auto" w:sz="4" w:space="0"/>
              <w:left w:val="single" w:color="auto" w:sz="4" w:space="0"/>
              <w:bottom w:val="single" w:color="auto" w:sz="4" w:space="0"/>
              <w:right w:val="single" w:color="auto" w:sz="4" w:space="0"/>
            </w:tcBorders>
            <w:noWrap w:val="0"/>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noWrap w:val="0"/>
            <w:vAlign w:val="center"/>
          </w:tcPr>
          <w:p>
            <w:pPr>
              <w:ind w:firstLine="240"/>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*/元/1个服务期</w:t>
            </w:r>
          </w:p>
        </w:tc>
        <w:tc>
          <w:tcPr>
            <w:tcW w:w="3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217"/>
        <w:spacing w:line="360" w:lineRule="auto"/>
        <w:ind w:firstLine="0"/>
        <w:rPr>
          <w:rFonts w:ascii="仿宋" w:hAnsi="仿宋" w:eastAsia="仿宋" w:cs="宋体"/>
          <w:bCs/>
          <w:color w:val="000000"/>
        </w:rPr>
      </w:pPr>
      <w:r>
        <w:rPr>
          <w:rFonts w:hint="eastAsia" w:ascii="仿宋" w:hAnsi="仿宋" w:eastAsia="仿宋" w:cs="宋体"/>
          <w:bCs/>
          <w:color w:val="000000"/>
        </w:rPr>
        <w:t>2.含税</w:t>
      </w:r>
      <w:r>
        <w:rPr>
          <w:rFonts w:hint="eastAsia" w:ascii="仿宋" w:hAnsi="仿宋" w:eastAsia="仿宋" w:cs="宋体"/>
          <w:bCs/>
          <w:color w:val="000000"/>
          <w:lang w:eastAsia="zh-CN"/>
        </w:rPr>
        <w:t>单</w:t>
      </w:r>
      <w:r>
        <w:rPr>
          <w:rFonts w:hint="eastAsia" w:ascii="仿宋" w:hAnsi="仿宋" w:eastAsia="仿宋" w:cs="宋体"/>
          <w:bCs/>
          <w:color w:val="000000"/>
        </w:rPr>
        <w:t>价=不含税</w:t>
      </w:r>
      <w:r>
        <w:rPr>
          <w:rFonts w:hint="eastAsia" w:ascii="仿宋" w:hAnsi="仿宋" w:eastAsia="仿宋" w:cs="宋体"/>
          <w:bCs/>
          <w:color w:val="000000"/>
          <w:lang w:eastAsia="zh-CN"/>
        </w:rPr>
        <w:t>单</w:t>
      </w:r>
      <w:r>
        <w:rPr>
          <w:rFonts w:hint="eastAsia" w:ascii="仿宋" w:hAnsi="仿宋" w:eastAsia="仿宋" w:cs="宋体"/>
          <w:bCs/>
          <w:color w:val="000000"/>
        </w:rPr>
        <w:t>价*(1+税率)，若报价与此公式不符，增值税专用发票以不含税</w:t>
      </w:r>
    </w:p>
    <w:p>
      <w:pPr>
        <w:pStyle w:val="217"/>
        <w:spacing w:line="360" w:lineRule="auto"/>
        <w:ind w:firstLine="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217"/>
        <w:spacing w:line="360" w:lineRule="auto"/>
        <w:ind w:firstLine="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217"/>
        <w:spacing w:line="360" w:lineRule="auto"/>
        <w:ind w:firstLine="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241" w:name="_Toc518302646"/>
      <w:bookmarkStart w:id="242" w:name="_Toc16591840"/>
      <w:bookmarkStart w:id="243" w:name="_Toc2267055"/>
      <w:bookmarkStart w:id="244" w:name="_Toc517281864"/>
      <w:bookmarkStart w:id="245" w:name="_Toc482180015"/>
      <w:bookmarkStart w:id="246" w:name="_Toc530319762"/>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_GB2312" w:hAnsi="宋体" w:eastAsia="仿宋_GB2312" w:cs="宋体"/>
          <w:color w:val="auto"/>
          <w:sz w:val="28"/>
          <w:szCs w:val="28"/>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bookmarkEnd w:id="156"/>
      <w:bookmarkEnd w:id="241"/>
      <w:bookmarkEnd w:id="242"/>
      <w:bookmarkEnd w:id="243"/>
      <w:bookmarkEnd w:id="244"/>
      <w:bookmarkEnd w:id="245"/>
      <w:bookmarkEnd w:id="246"/>
      <w:bookmarkStart w:id="247" w:name="_Toc125183170"/>
      <w:bookmarkEnd w:id="247"/>
      <w:bookmarkStart w:id="248" w:name="_Toc127761806"/>
      <w:bookmarkEnd w:id="248"/>
      <w:bookmarkStart w:id="249" w:name="_Toc104714659"/>
      <w:bookmarkEnd w:id="249"/>
    </w:p>
    <w:p>
      <w:pPr>
        <w:pStyle w:val="3"/>
        <w:tabs>
          <w:tab w:val="clear" w:pos="425"/>
        </w:tabs>
        <w:spacing w:before="0" w:after="0" w:line="560" w:lineRule="exact"/>
        <w:ind w:left="424" w:hanging="424"/>
        <w:jc w:val="left"/>
        <w:outlineLvl w:val="9"/>
        <w:rPr>
          <w:rFonts w:ascii="仿宋_GB2312" w:hAnsi="宋体" w:eastAsia="仿宋_GB2312" w:cs="宋体"/>
          <w:color w:val="auto"/>
          <w:sz w:val="28"/>
          <w:szCs w:val="28"/>
        </w:rPr>
      </w:pPr>
    </w:p>
    <w:sectPr>
      <w:headerReference r:id="rId8" w:type="default"/>
      <w:footerReference r:id="rId9" w:type="default"/>
      <w:pgSz w:w="11906" w:h="16838"/>
      <w:pgMar w:top="1418" w:right="1555" w:bottom="1418" w:left="1531" w:header="851" w:footer="992"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altName w:val="DejaVu Sans"/>
    <w:panose1 w:val="020F0302020204030204"/>
    <w:charset w:val="00"/>
    <w:family w:val="auto"/>
    <w:pitch w:val="default"/>
    <w:sig w:usb0="00000000" w:usb1="00000000" w:usb2="00000000" w:usb3="00000000" w:csb0="2000019F" w:csb1="00000000"/>
  </w:font>
  <w:font w:name="方正黑体_GBK">
    <w:panose1 w:val="02000000000000000000"/>
    <w:charset w:val="86"/>
    <w:family w:val="auto"/>
    <w:pitch w:val="default"/>
    <w:sig w:usb0="00000001" w:usb1="08000000" w:usb2="0000000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Cambria">
    <w:altName w:val="Noto Sans Syriac Eastern"/>
    <w:panose1 w:val="02040503050406030204"/>
    <w:charset w:val="00"/>
    <w:family w:val="auto"/>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auto"/>
    <w:pitch w:val="default"/>
    <w:sig w:usb0="00000000" w:usb1="00000000" w:usb2="00000016" w:usb3="00000000" w:csb0="0004001F"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Cambria Math">
    <w:altName w:val="DejaVu Math TeX Gyre"/>
    <w:panose1 w:val="02040503050406030204"/>
    <w:charset w:val="00"/>
    <w:family w:val="auto"/>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Monaco">
    <w:altName w:val="阿里巴巴普惠体 R"/>
    <w:panose1 w:val="00020600040101010101"/>
    <w:charset w:val="00"/>
    <w:family w:val="auto"/>
    <w:pitch w:val="default"/>
    <w:sig w:usb0="00000000" w:usb1="00000000" w:usb2="00000000" w:usb3="00000000" w:csb0="00000000" w:csb1="00000000"/>
  </w:font>
  <w:font w:name="阿里巴巴普惠体 R">
    <w:panose1 w:val="00020600040101010101"/>
    <w:charset w:val="86"/>
    <w:family w:val="auto"/>
    <w:pitch w:val="default"/>
    <w:sig w:usb0="A00002FF" w:usb1="7ACF7CFB" w:usb2="0000001E" w:usb3="00000000" w:csb0="0004009F"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新宋体">
    <w:altName w:val="方正书宋_GBK"/>
    <w:panose1 w:val="02010609030101010101"/>
    <w:charset w:val="86"/>
    <w:family w:val="auto"/>
    <w:pitch w:val="default"/>
    <w:sig w:usb0="00000000" w:usb1="0000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Liberation Serif">
    <w:panose1 w:val="02020603050405020304"/>
    <w:charset w:val="00"/>
    <w:family w:val="auto"/>
    <w:pitch w:val="default"/>
    <w:sig w:usb0="A00002AF" w:usb1="500078FB" w:usb2="00000000" w:usb3="00000000" w:csb0="6000009F" w:csb1="DFD70000"/>
  </w:font>
  <w:font w:name="Arial">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5"/>
                            <w:jc w:val="center"/>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DOqXm5zwAAAAUBAAAPAAAAAAAA&#10;AAEAIAAAADgAAABkcnMvZG93bnJldi54bWxQSwECFAAUAAAACACHTuJAfYbS2swBAACbAwAADgAA&#10;AAAAAAABACAAAAA0AQAAZHJzL2Uyb0RvYy54bWxQSwUGAAAAAAYABgBZAQAAcgUAAAAA&#10;">
              <v:fill on="f" focussize="0,0"/>
              <v:stroke on="f"/>
              <v:imagedata o:title=""/>
              <o:lock v:ext="edit" aspectratio="f"/>
              <v:textbox inset="0mm,0mm,0mm,0mm" style="mso-fit-shape-to-text:t;">
                <w:txbxContent>
                  <w:p>
                    <w:pPr>
                      <w:pStyle w:val="25"/>
                      <w:jc w:val="center"/>
                    </w:pPr>
                    <w:r>
                      <w:fldChar w:fldCharType="begin"/>
                    </w:r>
                    <w:r>
                      <w:instrText xml:space="preserve"> PAGE  \* MERGEFORMAT </w:instrText>
                    </w:r>
                    <w:r>
                      <w:fldChar w:fldCharType="separate"/>
                    </w:r>
                    <w:r>
                      <w:t>3</w:t>
                    </w:r>
                    <w:r>
                      <w:fldChar w:fldCharType="end"/>
                    </w:r>
                  </w:p>
                </w:txbxContent>
              </v:textbox>
            </v:shape>
          </w:pict>
        </mc:Fallback>
      </mc:AlternateContent>
    </w: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BYAAABkcnMvUEsBAhQAFAAAAAgAh07iQLNJWO7QAAAABQEAAA8AAAAAAAAA&#10;AQAgAAAAOAAAAGRycy9kb3ducmV2LnhtbFBLAQIUABQAAAAIAIdO4kBXen3qPAIAAHAEAAAOAAAA&#10;AAAAAAEAIAAAADUBAABkcnMvZTJvRG9jLnhtbFBLBQYAAAAABgAGAFkBAADj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WAAAAZHJzL1BLAQIUABQAAAAIAIdO4kCzSVju0AAAAAUBAAAPAAAAAAAA&#10;AAEAIAAAADgAAABkcnMvZG93bnJldi54bWxQSwECFAAUAAAACACHTuJAdsg3rz0CAABwBAAADgAA&#10;AAAAAAABACAAAAA1AQAAZHJzL2Uyb0RvYy54bWxQSwUGAAAAAAYABgBZAQAA5A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29</w:t>
                    </w:r>
                    <w:r>
                      <w:fldChar w:fldCharType="end"/>
                    </w:r>
                  </w:p>
                </w:txbxContent>
              </v:textbox>
            </v:shape>
          </w:pict>
        </mc:Fallback>
      </mc:AlternateContent>
    </w:r>
  </w:p>
  <w:p>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WAAAAZHJzL1BLAQIUABQAAAAIAIdO4kCzSVju0AAAAAUBAAAPAAAAAAAA&#10;AAEAIAAAADgAAABkcnMvZG93bnJldi54bWxQSwECFAAUAAAACACHTuJAN4YrtD0CAABwBAAADgAA&#10;AAAAAAABACAAAAA1AQAAZHJzL2Uyb0RvYy54bWxQSwUGAAAAAAYABgBZAQAA5A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t>比选文件</w:t>
    </w:r>
  </w:p>
  <w:p>
    <w:pPr>
      <w:pStyle w:val="26"/>
      <w:pBdr>
        <w:bottom w:val="none" w:color="000000"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19"/>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1">
    <w:nsid w:val="0053208E"/>
    <w:multiLevelType w:val="multilevel"/>
    <w:tmpl w:val="0053208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9637F"/>
    <w:rsid w:val="05E13E05"/>
    <w:rsid w:val="074C7150"/>
    <w:rsid w:val="09831EA8"/>
    <w:rsid w:val="0C75207C"/>
    <w:rsid w:val="0E6E4BC9"/>
    <w:rsid w:val="10F47938"/>
    <w:rsid w:val="164A731D"/>
    <w:rsid w:val="16CE5378"/>
    <w:rsid w:val="18A27F5A"/>
    <w:rsid w:val="1F1F12D9"/>
    <w:rsid w:val="1FFF8A12"/>
    <w:rsid w:val="209B4FA7"/>
    <w:rsid w:val="22AC349C"/>
    <w:rsid w:val="25E6472F"/>
    <w:rsid w:val="262650A6"/>
    <w:rsid w:val="270C0E86"/>
    <w:rsid w:val="276A1937"/>
    <w:rsid w:val="2A781B3D"/>
    <w:rsid w:val="2E182AC2"/>
    <w:rsid w:val="2F096E91"/>
    <w:rsid w:val="2FD82D96"/>
    <w:rsid w:val="32913C86"/>
    <w:rsid w:val="341222FE"/>
    <w:rsid w:val="364A1EDA"/>
    <w:rsid w:val="36D314FB"/>
    <w:rsid w:val="3732EDC1"/>
    <w:rsid w:val="37DF1C89"/>
    <w:rsid w:val="3A6839E8"/>
    <w:rsid w:val="3C9B5468"/>
    <w:rsid w:val="3FFF4689"/>
    <w:rsid w:val="43AF5C17"/>
    <w:rsid w:val="446F6F84"/>
    <w:rsid w:val="45C6772B"/>
    <w:rsid w:val="47DA2A8B"/>
    <w:rsid w:val="48113065"/>
    <w:rsid w:val="4F575F7D"/>
    <w:rsid w:val="558C0229"/>
    <w:rsid w:val="57C7CF6B"/>
    <w:rsid w:val="58CE754D"/>
    <w:rsid w:val="5AB65FCC"/>
    <w:rsid w:val="5B0616C5"/>
    <w:rsid w:val="5B871F15"/>
    <w:rsid w:val="5DFF9B0A"/>
    <w:rsid w:val="5FD2889E"/>
    <w:rsid w:val="62F819E9"/>
    <w:rsid w:val="67BA61E8"/>
    <w:rsid w:val="696711CB"/>
    <w:rsid w:val="6CFA76FD"/>
    <w:rsid w:val="6D5532B9"/>
    <w:rsid w:val="6DA14238"/>
    <w:rsid w:val="6DDA743A"/>
    <w:rsid w:val="6DF549C5"/>
    <w:rsid w:val="703919E4"/>
    <w:rsid w:val="716FAFFC"/>
    <w:rsid w:val="71FB7FDA"/>
    <w:rsid w:val="725FEF74"/>
    <w:rsid w:val="731C6197"/>
    <w:rsid w:val="75651105"/>
    <w:rsid w:val="76BF6E7D"/>
    <w:rsid w:val="77FCAADF"/>
    <w:rsid w:val="795C81B5"/>
    <w:rsid w:val="7B2D5735"/>
    <w:rsid w:val="7B2FB37B"/>
    <w:rsid w:val="7BF5FF73"/>
    <w:rsid w:val="7DE7AC1C"/>
    <w:rsid w:val="7F59567B"/>
    <w:rsid w:val="7F7D214A"/>
    <w:rsid w:val="7FC3034F"/>
    <w:rsid w:val="7FEFB9FF"/>
    <w:rsid w:val="7FEFD91C"/>
    <w:rsid w:val="8C7F7E40"/>
    <w:rsid w:val="8FFFFE03"/>
    <w:rsid w:val="973C3D63"/>
    <w:rsid w:val="9DF5436D"/>
    <w:rsid w:val="A8B69490"/>
    <w:rsid w:val="B56E8F37"/>
    <w:rsid w:val="B6DACF6F"/>
    <w:rsid w:val="B9E5E948"/>
    <w:rsid w:val="BFFB770C"/>
    <w:rsid w:val="BFFFD666"/>
    <w:rsid w:val="CFEBAF29"/>
    <w:rsid w:val="D2FEB7CD"/>
    <w:rsid w:val="DEFB60A2"/>
    <w:rsid w:val="E7BD82EA"/>
    <w:rsid w:val="F6DEC398"/>
    <w:rsid w:val="F74BB99B"/>
    <w:rsid w:val="FCFB16E1"/>
    <w:rsid w:val="FDF3AD1E"/>
    <w:rsid w:val="FF5D082A"/>
    <w:rsid w:val="FF7BECEB"/>
    <w:rsid w:val="FFBF3E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heme="minorHAnsi" w:hAnsiTheme="minorHAnsi" w:eastAsiaTheme="minorEastAsia" w:cstheme="minorBidi"/>
      <w:sz w:val="24"/>
      <w:szCs w:val="24"/>
      <w:lang w:val="en-US" w:eastAsia="zh-CN" w:bidi="ar-SA"/>
    </w:rPr>
  </w:style>
  <w:style w:type="paragraph" w:styleId="3">
    <w:name w:val="heading 1"/>
    <w:basedOn w:val="1"/>
    <w:next w:val="1"/>
    <w:link w:val="205"/>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224"/>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22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79"/>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246"/>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247"/>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248"/>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249"/>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link w:val="228"/>
    <w:qFormat/>
    <w:uiPriority w:val="99"/>
    <w:pPr>
      <w:spacing w:after="120"/>
    </w:pPr>
  </w:style>
  <w:style w:type="paragraph" w:styleId="12">
    <w:name w:val="toc 7"/>
    <w:basedOn w:val="1"/>
    <w:next w:val="1"/>
    <w:unhideWhenUsed/>
    <w:qFormat/>
    <w:uiPriority w:val="39"/>
    <w:pPr>
      <w:spacing w:after="100"/>
      <w:ind w:left="1320"/>
    </w:pPr>
  </w:style>
  <w:style w:type="paragraph" w:styleId="13">
    <w:name w:val="Normal Indent"/>
    <w:basedOn w:val="1"/>
    <w:link w:val="221"/>
    <w:qFormat/>
    <w:uiPriority w:val="0"/>
    <w:pPr>
      <w:widowControl w:val="0"/>
      <w:ind w:firstLine="420"/>
      <w:jc w:val="both"/>
    </w:pPr>
    <w:rPr>
      <w:rFonts w:ascii="Calibri" w:hAnsi="Calibri" w:eastAsia="宋体" w:cs="Times New Roman"/>
      <w:sz w:val="20"/>
      <w:szCs w:val="20"/>
    </w:rPr>
  </w:style>
  <w:style w:type="paragraph" w:styleId="1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5">
    <w:name w:val="annotation text"/>
    <w:basedOn w:val="1"/>
    <w:link w:val="215"/>
    <w:qFormat/>
    <w:uiPriority w:val="99"/>
  </w:style>
  <w:style w:type="paragraph" w:styleId="16">
    <w:name w:val="Body Text Indent"/>
    <w:basedOn w:val="1"/>
    <w:link w:val="220"/>
    <w:semiHidden/>
    <w:unhideWhenUsed/>
    <w:qFormat/>
    <w:uiPriority w:val="0"/>
    <w:pPr>
      <w:spacing w:after="120"/>
      <w:ind w:left="420"/>
    </w:pPr>
  </w:style>
  <w:style w:type="paragraph" w:styleId="17">
    <w:name w:val="toc 5"/>
    <w:basedOn w:val="1"/>
    <w:next w:val="1"/>
    <w:unhideWhenUsed/>
    <w:qFormat/>
    <w:uiPriority w:val="39"/>
    <w:pPr>
      <w:spacing w:after="100"/>
      <w:ind w:left="880"/>
    </w:pPr>
  </w:style>
  <w:style w:type="paragraph" w:styleId="18">
    <w:name w:val="toc 3"/>
    <w:basedOn w:val="1"/>
    <w:next w:val="1"/>
    <w:unhideWhenUsed/>
    <w:qFormat/>
    <w:uiPriority w:val="39"/>
    <w:pPr>
      <w:ind w:left="840"/>
    </w:pPr>
  </w:style>
  <w:style w:type="paragraph" w:styleId="19">
    <w:name w:val="Plain Text"/>
    <w:basedOn w:val="1"/>
    <w:link w:val="211"/>
    <w:qFormat/>
    <w:uiPriority w:val="0"/>
    <w:pPr>
      <w:widowControl w:val="0"/>
      <w:jc w:val="both"/>
    </w:pPr>
    <w:rPr>
      <w:rFonts w:ascii="宋体" w:hAnsi="Courier New" w:eastAsia="宋体" w:cs="Times New Roman"/>
      <w:sz w:val="28"/>
      <w:szCs w:val="20"/>
    </w:rPr>
  </w:style>
  <w:style w:type="paragraph" w:styleId="20">
    <w:name w:val="toc 8"/>
    <w:basedOn w:val="1"/>
    <w:next w:val="1"/>
    <w:unhideWhenUsed/>
    <w:qFormat/>
    <w:uiPriority w:val="39"/>
    <w:pPr>
      <w:spacing w:after="100"/>
      <w:ind w:left="1540"/>
    </w:pPr>
  </w:style>
  <w:style w:type="paragraph" w:styleId="21">
    <w:name w:val="Date"/>
    <w:basedOn w:val="1"/>
    <w:next w:val="1"/>
    <w:link w:val="210"/>
    <w:qFormat/>
    <w:uiPriority w:val="0"/>
    <w:pPr>
      <w:widowControl w:val="0"/>
      <w:ind w:left="100"/>
      <w:jc w:val="both"/>
    </w:pPr>
    <w:rPr>
      <w:rFonts w:ascii="Times New Roman" w:hAnsi="Times New Roman" w:eastAsia="宋体" w:cs="Times New Roman"/>
      <w:sz w:val="21"/>
    </w:rPr>
  </w:style>
  <w:style w:type="paragraph" w:styleId="22">
    <w:name w:val="Body Text Indent 2"/>
    <w:basedOn w:val="1"/>
    <w:link w:val="245"/>
    <w:semiHidden/>
    <w:unhideWhenUsed/>
    <w:qFormat/>
    <w:uiPriority w:val="0"/>
    <w:pPr>
      <w:spacing w:after="120" w:line="480" w:lineRule="auto"/>
      <w:ind w:left="420"/>
    </w:pPr>
  </w:style>
  <w:style w:type="paragraph" w:styleId="23">
    <w:name w:val="endnote text"/>
    <w:basedOn w:val="1"/>
    <w:link w:val="199"/>
    <w:semiHidden/>
    <w:unhideWhenUsed/>
    <w:qFormat/>
    <w:uiPriority w:val="99"/>
    <w:pPr>
      <w:spacing w:after="0" w:line="240" w:lineRule="auto"/>
    </w:pPr>
    <w:rPr>
      <w:sz w:val="20"/>
      <w:szCs w:val="20"/>
    </w:rPr>
  </w:style>
  <w:style w:type="paragraph" w:styleId="24">
    <w:name w:val="Balloon Text"/>
    <w:basedOn w:val="1"/>
    <w:link w:val="209"/>
    <w:qFormat/>
    <w:uiPriority w:val="0"/>
    <w:rPr>
      <w:sz w:val="18"/>
      <w:szCs w:val="18"/>
    </w:rPr>
  </w:style>
  <w:style w:type="paragraph" w:styleId="25">
    <w:name w:val="footer"/>
    <w:basedOn w:val="1"/>
    <w:link w:val="235"/>
    <w:qFormat/>
    <w:uiPriority w:val="99"/>
    <w:pPr>
      <w:tabs>
        <w:tab w:val="center" w:pos="4153"/>
        <w:tab w:val="right" w:pos="8306"/>
      </w:tabs>
    </w:pPr>
    <w:rPr>
      <w:sz w:val="18"/>
      <w:szCs w:val="18"/>
    </w:rPr>
  </w:style>
  <w:style w:type="paragraph" w:styleId="26">
    <w:name w:val="header"/>
    <w:basedOn w:val="1"/>
    <w:link w:val="237"/>
    <w:qFormat/>
    <w:uiPriority w:val="99"/>
    <w:pPr>
      <w:pBdr>
        <w:bottom w:val="single" w:color="000000" w:sz="6" w:space="1"/>
      </w:pBdr>
      <w:tabs>
        <w:tab w:val="center" w:pos="4153"/>
        <w:tab w:val="right" w:pos="8306"/>
      </w:tabs>
      <w:jc w:val="center"/>
    </w:pPr>
    <w:rPr>
      <w:sz w:val="18"/>
      <w:szCs w:val="18"/>
    </w:rPr>
  </w:style>
  <w:style w:type="paragraph" w:styleId="27">
    <w:name w:val="toc 1"/>
    <w:basedOn w:val="1"/>
    <w:next w:val="1"/>
    <w:qFormat/>
    <w:uiPriority w:val="39"/>
    <w:pPr>
      <w:spacing w:before="120" w:after="120"/>
    </w:pPr>
    <w:rPr>
      <w:b/>
      <w:bCs/>
      <w:caps/>
      <w:szCs w:val="20"/>
    </w:rPr>
  </w:style>
  <w:style w:type="paragraph" w:styleId="28">
    <w:name w:val="toc 4"/>
    <w:basedOn w:val="1"/>
    <w:next w:val="1"/>
    <w:unhideWhenUsed/>
    <w:qFormat/>
    <w:uiPriority w:val="39"/>
    <w:pPr>
      <w:spacing w:after="100"/>
      <w:ind w:left="660"/>
    </w:pPr>
  </w:style>
  <w:style w:type="paragraph" w:styleId="29">
    <w:name w:val="Subtitle"/>
    <w:basedOn w:val="1"/>
    <w:next w:val="1"/>
    <w:link w:val="213"/>
    <w:qFormat/>
    <w:uiPriority w:val="0"/>
    <w:pPr>
      <w:widowControl w:val="0"/>
      <w:spacing w:before="240" w:after="60" w:line="312" w:lineRule="auto"/>
      <w:jc w:val="center"/>
      <w:outlineLvl w:val="1"/>
    </w:pPr>
    <w:rPr>
      <w:rFonts w:ascii="等线 Light" w:hAnsi="等线 Light" w:eastAsia="宋体" w:cs="Times New Roman"/>
      <w:b/>
      <w:bCs/>
      <w:szCs w:val="32"/>
    </w:rPr>
  </w:style>
  <w:style w:type="paragraph" w:styleId="30">
    <w:name w:val="footnote text"/>
    <w:basedOn w:val="1"/>
    <w:link w:val="198"/>
    <w:semiHidden/>
    <w:unhideWhenUsed/>
    <w:qFormat/>
    <w:uiPriority w:val="99"/>
    <w:pPr>
      <w:spacing w:after="0" w:line="240" w:lineRule="auto"/>
    </w:pPr>
    <w:rPr>
      <w:sz w:val="20"/>
      <w:szCs w:val="20"/>
    </w:rPr>
  </w:style>
  <w:style w:type="paragraph" w:styleId="31">
    <w:name w:val="toc 6"/>
    <w:basedOn w:val="1"/>
    <w:next w:val="1"/>
    <w:qFormat/>
    <w:uiPriority w:val="39"/>
    <w:pPr>
      <w:widowControl w:val="0"/>
      <w:ind w:left="1050"/>
    </w:pPr>
    <w:rPr>
      <w:rFonts w:ascii="Calibri" w:hAnsi="Calibri" w:eastAsia="宋体" w:cs="Calibri"/>
      <w:sz w:val="18"/>
      <w:szCs w:val="18"/>
    </w:r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ind w:left="420"/>
    </w:pPr>
  </w:style>
  <w:style w:type="paragraph" w:styleId="34">
    <w:name w:val="toc 9"/>
    <w:basedOn w:val="1"/>
    <w:next w:val="1"/>
    <w:unhideWhenUsed/>
    <w:qFormat/>
    <w:uiPriority w:val="39"/>
    <w:pPr>
      <w:spacing w:after="100"/>
      <w:ind w:left="1760"/>
    </w:pPr>
  </w:style>
  <w:style w:type="paragraph" w:styleId="35">
    <w:name w:val="HTML Preformatted"/>
    <w:basedOn w:val="1"/>
    <w:link w:val="223"/>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3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37">
    <w:name w:val="Title"/>
    <w:basedOn w:val="1"/>
    <w:next w:val="1"/>
    <w:link w:val="212"/>
    <w:qFormat/>
    <w:uiPriority w:val="10"/>
    <w:pPr>
      <w:widowControl w:val="0"/>
      <w:spacing w:before="240" w:after="60"/>
      <w:jc w:val="center"/>
      <w:outlineLvl w:val="0"/>
    </w:pPr>
    <w:rPr>
      <w:rFonts w:ascii="Cambria" w:hAnsi="Cambria" w:eastAsia="宋体" w:cs="Times New Roman"/>
      <w:b/>
      <w:bCs/>
      <w:sz w:val="32"/>
      <w:szCs w:val="32"/>
    </w:rPr>
  </w:style>
  <w:style w:type="paragraph" w:styleId="38">
    <w:name w:val="annotation subject"/>
    <w:basedOn w:val="15"/>
    <w:next w:val="15"/>
    <w:link w:val="216"/>
    <w:qFormat/>
    <w:uiPriority w:val="0"/>
    <w:rPr>
      <w:b/>
      <w:bCs/>
    </w:rPr>
  </w:style>
  <w:style w:type="table" w:styleId="40">
    <w:name w:val="Table Grid"/>
    <w:basedOn w:val="39"/>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2">
    <w:name w:val="Strong"/>
    <w:basedOn w:val="41"/>
    <w:qFormat/>
    <w:uiPriority w:val="22"/>
    <w:rPr>
      <w:b/>
      <w:bCs/>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FollowedHyperlink"/>
    <w:basedOn w:val="41"/>
    <w:semiHidden/>
    <w:unhideWhenUsed/>
    <w:qFormat/>
    <w:uiPriority w:val="99"/>
    <w:rPr>
      <w:color w:val="954F72" w:themeColor="followedHyperlink"/>
      <w:u w:val="single"/>
      <w14:textFill>
        <w14:solidFill>
          <w14:schemeClr w14:val="folHlink"/>
        </w14:solidFill>
      </w14:textFill>
    </w:rPr>
  </w:style>
  <w:style w:type="character" w:styleId="46">
    <w:name w:val="Emphasis"/>
    <w:basedOn w:val="41"/>
    <w:qFormat/>
    <w:uiPriority w:val="20"/>
    <w:rPr>
      <w:i/>
      <w:iCs/>
    </w:rPr>
  </w:style>
  <w:style w:type="character" w:styleId="47">
    <w:name w:val="Hyperlink"/>
    <w:qFormat/>
    <w:uiPriority w:val="99"/>
    <w:rPr>
      <w:color w:val="333333"/>
      <w:u w:val="none"/>
    </w:rPr>
  </w:style>
  <w:style w:type="character" w:styleId="48">
    <w:name w:val="annotation reference"/>
    <w:qFormat/>
    <w:uiPriority w:val="0"/>
    <w:rPr>
      <w:sz w:val="21"/>
    </w:rPr>
  </w:style>
  <w:style w:type="character" w:styleId="49">
    <w:name w:val="footnote reference"/>
    <w:basedOn w:val="41"/>
    <w:semiHidden/>
    <w:unhideWhenUsed/>
    <w:qFormat/>
    <w:uiPriority w:val="99"/>
    <w:rPr>
      <w:vertAlign w:val="superscript"/>
    </w:rPr>
  </w:style>
  <w:style w:type="table" w:customStyle="1" w:styleId="50">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1">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3">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4">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5">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7">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8">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9">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0">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1">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2">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3">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4">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5">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6">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7">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8">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9">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0">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1">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2">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3">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4">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5">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6">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7">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8">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9">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0">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1">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2">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3">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4">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5">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6">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7">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8">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9">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0">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1">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2">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4">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5">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6">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7">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8">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9">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1">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2">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3">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4">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5">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6">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7">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8">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9">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0">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1">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2">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3">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4">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5">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6">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7">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8">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9">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0">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1">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2">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3">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4">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5">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6">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7">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8">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9">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0">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1">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2">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3">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4">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5">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6">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7">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8">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9">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0">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1">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2">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3">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4">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7">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8">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9">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0">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1">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4">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5">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6">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7">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8">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9">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0">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1">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2">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3">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4">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5">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6">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7">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8">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9">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0">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1">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2">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3">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4">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5">
    <w:name w:val="Heading 1 Char"/>
    <w:basedOn w:val="41"/>
    <w:qFormat/>
    <w:uiPriority w:val="9"/>
    <w:rPr>
      <w:rFonts w:ascii="Arial" w:hAnsi="Arial" w:eastAsia="Arial" w:cs="Arial"/>
      <w:color w:val="2E75B6" w:themeColor="accent1" w:themeShade="BF"/>
      <w:sz w:val="40"/>
      <w:szCs w:val="40"/>
    </w:rPr>
  </w:style>
  <w:style w:type="character" w:customStyle="1" w:styleId="176">
    <w:name w:val="Heading 2 Char"/>
    <w:basedOn w:val="41"/>
    <w:qFormat/>
    <w:uiPriority w:val="9"/>
    <w:rPr>
      <w:rFonts w:ascii="Arial" w:hAnsi="Arial" w:eastAsia="Arial" w:cs="Arial"/>
      <w:color w:val="2E75B6" w:themeColor="accent1" w:themeShade="BF"/>
      <w:sz w:val="32"/>
      <w:szCs w:val="32"/>
    </w:rPr>
  </w:style>
  <w:style w:type="character" w:customStyle="1" w:styleId="177">
    <w:name w:val="Heading 3 Char"/>
    <w:basedOn w:val="41"/>
    <w:qFormat/>
    <w:uiPriority w:val="9"/>
    <w:rPr>
      <w:rFonts w:ascii="Arial" w:hAnsi="Arial" w:eastAsia="Arial" w:cs="Arial"/>
      <w:color w:val="2E75B6" w:themeColor="accent1" w:themeShade="BF"/>
      <w:sz w:val="28"/>
      <w:szCs w:val="28"/>
    </w:rPr>
  </w:style>
  <w:style w:type="character" w:customStyle="1" w:styleId="178">
    <w:name w:val="Heading 4 Char"/>
    <w:basedOn w:val="41"/>
    <w:qFormat/>
    <w:uiPriority w:val="9"/>
    <w:rPr>
      <w:rFonts w:ascii="Arial" w:hAnsi="Arial" w:eastAsia="Arial" w:cs="Arial"/>
      <w:i/>
      <w:iCs/>
      <w:color w:val="2E75B6" w:themeColor="accent1" w:themeShade="BF"/>
    </w:rPr>
  </w:style>
  <w:style w:type="character" w:customStyle="1" w:styleId="179">
    <w:name w:val="Heading 5 Char"/>
    <w:basedOn w:val="41"/>
    <w:link w:val="7"/>
    <w:qFormat/>
    <w:uiPriority w:val="9"/>
    <w:rPr>
      <w:rFonts w:ascii="Arial" w:hAnsi="Arial" w:eastAsia="Arial" w:cs="Arial"/>
      <w:color w:val="2E75B6" w:themeColor="accent1" w:themeShade="BF"/>
    </w:rPr>
  </w:style>
  <w:style w:type="character" w:customStyle="1" w:styleId="180">
    <w:name w:val="Heading 6 Char"/>
    <w:basedOn w:val="41"/>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1">
    <w:name w:val="Heading 7 Char"/>
    <w:basedOn w:val="41"/>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2">
    <w:name w:val="Heading 8 Char"/>
    <w:basedOn w:val="4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3">
    <w:name w:val="Heading 9 Char"/>
    <w:basedOn w:val="4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4">
    <w:name w:val="Title Char"/>
    <w:basedOn w:val="41"/>
    <w:qFormat/>
    <w:uiPriority w:val="10"/>
    <w:rPr>
      <w:rFonts w:ascii="Arial" w:hAnsi="Arial" w:eastAsia="Arial" w:cs="Arial"/>
      <w:spacing w:val="-10"/>
      <w:sz w:val="56"/>
      <w:szCs w:val="56"/>
    </w:rPr>
  </w:style>
  <w:style w:type="character" w:customStyle="1" w:styleId="185">
    <w:name w:val="Subtitle Char"/>
    <w:basedOn w:val="4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6">
    <w:name w:val="Quote"/>
    <w:basedOn w:val="1"/>
    <w:next w:val="1"/>
    <w:link w:val="18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7">
    <w:name w:val="Quote Char"/>
    <w:basedOn w:val="41"/>
    <w:link w:val="186"/>
    <w:qFormat/>
    <w:uiPriority w:val="29"/>
    <w:rPr>
      <w:i/>
      <w:iCs/>
      <w:color w:val="404040" w:themeColor="text1" w:themeTint="BF"/>
      <w14:textFill>
        <w14:solidFill>
          <w14:schemeClr w14:val="tx1">
            <w14:lumMod w14:val="75000"/>
            <w14:lumOff w14:val="25000"/>
          </w14:schemeClr>
        </w14:solidFill>
      </w14:textFill>
    </w:rPr>
  </w:style>
  <w:style w:type="character" w:customStyle="1" w:styleId="188">
    <w:name w:val="Intense Emphasis"/>
    <w:basedOn w:val="41"/>
    <w:qFormat/>
    <w:uiPriority w:val="21"/>
    <w:rPr>
      <w:i/>
      <w:iCs/>
      <w:color w:val="2E75B6" w:themeColor="accent1" w:themeShade="BF"/>
    </w:rPr>
  </w:style>
  <w:style w:type="paragraph" w:styleId="189">
    <w:name w:val="Intense Quote"/>
    <w:basedOn w:val="1"/>
    <w:next w:val="1"/>
    <w:link w:val="19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90">
    <w:name w:val="Intense Quote Char"/>
    <w:basedOn w:val="41"/>
    <w:link w:val="189"/>
    <w:qFormat/>
    <w:uiPriority w:val="30"/>
    <w:rPr>
      <w:i/>
      <w:iCs/>
      <w:color w:val="2E75B6" w:themeColor="accent1" w:themeShade="BF"/>
    </w:rPr>
  </w:style>
  <w:style w:type="character" w:customStyle="1" w:styleId="191">
    <w:name w:val="Intense Reference"/>
    <w:basedOn w:val="41"/>
    <w:qFormat/>
    <w:uiPriority w:val="32"/>
    <w:rPr>
      <w:b/>
      <w:bCs/>
      <w:smallCaps/>
      <w:color w:val="2E75B6" w:themeColor="accent1" w:themeShade="BF"/>
      <w:spacing w:val="5"/>
    </w:rPr>
  </w:style>
  <w:style w:type="paragraph" w:styleId="192">
    <w:name w:val="No Spacing"/>
    <w:basedOn w:val="1"/>
    <w:qFormat/>
    <w:uiPriority w:val="1"/>
    <w:pPr>
      <w:spacing w:after="0" w:line="240" w:lineRule="auto"/>
    </w:pPr>
  </w:style>
  <w:style w:type="character" w:customStyle="1" w:styleId="193">
    <w:name w:val="Subtle Emphasis"/>
    <w:basedOn w:val="41"/>
    <w:qFormat/>
    <w:uiPriority w:val="19"/>
    <w:rPr>
      <w:i/>
      <w:iCs/>
      <w:color w:val="404040" w:themeColor="text1" w:themeTint="BF"/>
      <w14:textFill>
        <w14:solidFill>
          <w14:schemeClr w14:val="tx1">
            <w14:lumMod w14:val="75000"/>
            <w14:lumOff w14:val="25000"/>
          </w14:schemeClr>
        </w14:solidFill>
      </w14:textFill>
    </w:rPr>
  </w:style>
  <w:style w:type="character" w:customStyle="1" w:styleId="194">
    <w:name w:val="Subtle Reference"/>
    <w:basedOn w:val="4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5">
    <w:name w:val="Book Title"/>
    <w:basedOn w:val="41"/>
    <w:qFormat/>
    <w:uiPriority w:val="33"/>
    <w:rPr>
      <w:b/>
      <w:bCs/>
      <w:i/>
      <w:iCs/>
      <w:spacing w:val="5"/>
    </w:rPr>
  </w:style>
  <w:style w:type="character" w:customStyle="1" w:styleId="196">
    <w:name w:val="Header Char"/>
    <w:basedOn w:val="41"/>
    <w:qFormat/>
    <w:uiPriority w:val="99"/>
  </w:style>
  <w:style w:type="character" w:customStyle="1" w:styleId="197">
    <w:name w:val="Footer Char"/>
    <w:basedOn w:val="41"/>
    <w:qFormat/>
    <w:uiPriority w:val="99"/>
  </w:style>
  <w:style w:type="character" w:customStyle="1" w:styleId="198">
    <w:name w:val="Footnote Text Char"/>
    <w:basedOn w:val="41"/>
    <w:link w:val="30"/>
    <w:semiHidden/>
    <w:qFormat/>
    <w:uiPriority w:val="99"/>
    <w:rPr>
      <w:sz w:val="20"/>
      <w:szCs w:val="20"/>
    </w:rPr>
  </w:style>
  <w:style w:type="character" w:customStyle="1" w:styleId="199">
    <w:name w:val="Endnote Text Char"/>
    <w:basedOn w:val="41"/>
    <w:link w:val="23"/>
    <w:semiHidden/>
    <w:qFormat/>
    <w:uiPriority w:val="99"/>
    <w:rPr>
      <w:sz w:val="20"/>
      <w:szCs w:val="20"/>
    </w:rPr>
  </w:style>
  <w:style w:type="paragraph" w:customStyle="1" w:styleId="200">
    <w:name w:val="TOC Heading"/>
    <w:unhideWhenUsed/>
    <w:qFormat/>
    <w:uiPriority w:val="39"/>
    <w:rPr>
      <w:rFonts w:hint="default" w:ascii="Calibri" w:hAnsi="Calibri" w:eastAsia="宋体" w:cs="Times New Roman"/>
    </w:rPr>
  </w:style>
  <w:style w:type="paragraph" w:customStyle="1" w:styleId="201">
    <w:name w:val="正文1"/>
    <w:qFormat/>
    <w:uiPriority w:val="0"/>
    <w:pPr>
      <w:widowControl w:val="0"/>
      <w:spacing w:line="312" w:lineRule="atLeast"/>
      <w:jc w:val="both"/>
    </w:pPr>
    <w:rPr>
      <w:rFonts w:hint="default" w:ascii="宋体" w:hAnsiTheme="minorHAnsi" w:eastAsiaTheme="minorEastAsia" w:cstheme="minorBidi"/>
      <w:sz w:val="34"/>
      <w:szCs w:val="22"/>
      <w:lang w:val="en-US" w:eastAsia="zh-CN" w:bidi="ar-SA"/>
    </w:rPr>
  </w:style>
  <w:style w:type="paragraph" w:customStyle="1" w:styleId="202">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203">
    <w:name w:val="Table Paragraph"/>
    <w:basedOn w:val="1"/>
    <w:qFormat/>
    <w:uiPriority w:val="1"/>
    <w:pPr>
      <w:widowControl w:val="0"/>
    </w:pPr>
    <w:rPr>
      <w:rFonts w:ascii="宋体" w:hAnsi="宋体" w:cs="宋体"/>
      <w:sz w:val="22"/>
      <w:szCs w:val="22"/>
      <w:lang w:eastAsia="en-US"/>
    </w:rPr>
  </w:style>
  <w:style w:type="paragraph" w:customStyle="1" w:styleId="204">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205">
    <w:name w:val="标题 1 Char"/>
    <w:link w:val="3"/>
    <w:qFormat/>
    <w:uiPriority w:val="0"/>
    <w:rPr>
      <w:rFonts w:ascii="华文中宋" w:hAnsi="华文中宋" w:eastAsia="华文中宋"/>
      <w:b/>
      <w:bCs/>
      <w:color w:val="000000"/>
      <w:sz w:val="32"/>
      <w:szCs w:val="32"/>
    </w:rPr>
  </w:style>
  <w:style w:type="paragraph" w:customStyle="1" w:styleId="206">
    <w:name w:val="正文 New New New New New New New New New New New New New New"/>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customStyle="1" w:styleId="207">
    <w:name w:val="标题新"/>
    <w:basedOn w:val="4"/>
    <w:next w:val="1"/>
    <w:qFormat/>
    <w:uiPriority w:val="0"/>
    <w:pPr>
      <w:tabs>
        <w:tab w:val="clear" w:pos="720"/>
      </w:tabs>
      <w:spacing w:before="140" w:after="140" w:line="416" w:lineRule="auto"/>
      <w:jc w:val="both"/>
    </w:pPr>
    <w:rPr>
      <w:rFonts w:ascii="Arial" w:hAnsi="Arial" w:cs="Times New Roman"/>
      <w:iCs w:val="0"/>
      <w:sz w:val="30"/>
      <w:szCs w:val="32"/>
    </w:rPr>
  </w:style>
  <w:style w:type="character" w:customStyle="1" w:styleId="208">
    <w:name w:val="Unresolved Mention"/>
    <w:basedOn w:val="41"/>
    <w:semiHidden/>
    <w:unhideWhenUsed/>
    <w:qFormat/>
    <w:uiPriority w:val="99"/>
    <w:rPr>
      <w:color w:val="808080"/>
      <w:shd w:val="clear" w:color="auto" w:fill="E6E6E6"/>
    </w:rPr>
  </w:style>
  <w:style w:type="character" w:customStyle="1" w:styleId="209">
    <w:name w:val="批注框文本 Char"/>
    <w:basedOn w:val="41"/>
    <w:link w:val="24"/>
    <w:qFormat/>
    <w:uiPriority w:val="0"/>
    <w:rPr>
      <w:sz w:val="18"/>
      <w:szCs w:val="18"/>
    </w:rPr>
  </w:style>
  <w:style w:type="character" w:customStyle="1" w:styleId="210">
    <w:name w:val="日期 Char"/>
    <w:basedOn w:val="41"/>
    <w:link w:val="21"/>
    <w:qFormat/>
    <w:uiPriority w:val="0"/>
    <w:rPr>
      <w:rFonts w:ascii="Times New Roman" w:hAnsi="Times New Roman"/>
      <w:sz w:val="21"/>
      <w:szCs w:val="24"/>
    </w:rPr>
  </w:style>
  <w:style w:type="character" w:customStyle="1" w:styleId="211">
    <w:name w:val="纯文本 Char"/>
    <w:basedOn w:val="41"/>
    <w:link w:val="19"/>
    <w:qFormat/>
    <w:uiPriority w:val="0"/>
    <w:rPr>
      <w:rFonts w:ascii="宋体" w:hAnsi="Courier New"/>
      <w:sz w:val="28"/>
    </w:rPr>
  </w:style>
  <w:style w:type="character" w:customStyle="1" w:styleId="212">
    <w:name w:val="标题 Char"/>
    <w:basedOn w:val="41"/>
    <w:link w:val="37"/>
    <w:qFormat/>
    <w:uiPriority w:val="10"/>
    <w:rPr>
      <w:rFonts w:ascii="Cambria" w:hAnsi="Cambria"/>
      <w:b/>
      <w:bCs/>
      <w:sz w:val="32"/>
      <w:szCs w:val="32"/>
    </w:rPr>
  </w:style>
  <w:style w:type="character" w:customStyle="1" w:styleId="213">
    <w:name w:val="副标题 Char"/>
    <w:basedOn w:val="41"/>
    <w:link w:val="29"/>
    <w:qFormat/>
    <w:uiPriority w:val="0"/>
    <w:rPr>
      <w:rFonts w:ascii="等线 Light" w:hAnsi="等线 Light"/>
      <w:b/>
      <w:bCs/>
      <w:sz w:val="24"/>
      <w:szCs w:val="32"/>
    </w:rPr>
  </w:style>
  <w:style w:type="paragraph" w:customStyle="1" w:styleId="214">
    <w:name w:val="GP正文(首行缩进)"/>
    <w:basedOn w:val="1"/>
    <w:qFormat/>
    <w:uiPriority w:val="0"/>
    <w:pPr>
      <w:widowControl w:val="0"/>
      <w:spacing w:line="360" w:lineRule="auto"/>
      <w:ind w:firstLine="480"/>
    </w:pPr>
    <w:rPr>
      <w:rFonts w:ascii="Times New Roman" w:hAnsi="宋体" w:eastAsia="宋体" w:cs="Times New Roman"/>
    </w:rPr>
  </w:style>
  <w:style w:type="character" w:customStyle="1" w:styleId="215">
    <w:name w:val="批注文字 Char"/>
    <w:basedOn w:val="41"/>
    <w:link w:val="15"/>
    <w:qFormat/>
    <w:uiPriority w:val="99"/>
    <w:rPr>
      <w:rFonts w:asciiTheme="minorHAnsi" w:hAnsiTheme="minorHAnsi" w:eastAsiaTheme="minorEastAsia" w:cstheme="minorBidi"/>
      <w:sz w:val="24"/>
      <w:szCs w:val="24"/>
    </w:rPr>
  </w:style>
  <w:style w:type="character" w:customStyle="1" w:styleId="216">
    <w:name w:val="批注主题 Char"/>
    <w:basedOn w:val="215"/>
    <w:link w:val="38"/>
    <w:qFormat/>
    <w:uiPriority w:val="0"/>
    <w:rPr>
      <w:rFonts w:asciiTheme="minorHAnsi" w:hAnsiTheme="minorHAnsi" w:eastAsiaTheme="minorEastAsia" w:cstheme="minorBidi"/>
      <w:b/>
      <w:bCs/>
      <w:sz w:val="24"/>
      <w:szCs w:val="24"/>
    </w:rPr>
  </w:style>
  <w:style w:type="paragraph" w:styleId="217">
    <w:name w:val="List Paragraph"/>
    <w:basedOn w:val="1"/>
    <w:link w:val="240"/>
    <w:unhideWhenUsed/>
    <w:qFormat/>
    <w:uiPriority w:val="34"/>
    <w:pPr>
      <w:ind w:firstLine="420"/>
    </w:pPr>
  </w:style>
  <w:style w:type="paragraph" w:customStyle="1" w:styleId="218">
    <w:name w:val="普通正文"/>
    <w:basedOn w:val="1"/>
    <w:qFormat/>
    <w:uiPriority w:val="0"/>
    <w:pPr>
      <w:widowControl w:val="0"/>
      <w:spacing w:line="580" w:lineRule="exact"/>
      <w:ind w:firstLine="629"/>
      <w:jc w:val="both"/>
    </w:pPr>
    <w:rPr>
      <w:rFonts w:ascii="宋体" w:hAnsi="Times New Roman" w:eastAsia="宋体" w:cs="Times New Roman"/>
      <w:sz w:val="28"/>
      <w:szCs w:val="20"/>
    </w:rPr>
  </w:style>
  <w:style w:type="paragraph" w:customStyle="1" w:styleId="219">
    <w:name w:val="多级自动编号"/>
    <w:basedOn w:val="218"/>
    <w:qFormat/>
    <w:uiPriority w:val="0"/>
    <w:pPr>
      <w:numPr>
        <w:ilvl w:val="0"/>
        <w:numId w:val="2"/>
      </w:numPr>
    </w:pPr>
  </w:style>
  <w:style w:type="character" w:customStyle="1" w:styleId="220">
    <w:name w:val="正文文本缩进 Char"/>
    <w:basedOn w:val="41"/>
    <w:link w:val="16"/>
    <w:semiHidden/>
    <w:qFormat/>
    <w:uiPriority w:val="0"/>
    <w:rPr>
      <w:rFonts w:asciiTheme="minorHAnsi" w:hAnsiTheme="minorHAnsi" w:eastAsiaTheme="minorEastAsia" w:cstheme="minorBidi"/>
      <w:sz w:val="24"/>
      <w:szCs w:val="24"/>
    </w:rPr>
  </w:style>
  <w:style w:type="character" w:customStyle="1" w:styleId="221">
    <w:name w:val="正文缩进 Char"/>
    <w:link w:val="13"/>
    <w:qFormat/>
    <w:uiPriority w:val="0"/>
  </w:style>
  <w:style w:type="paragraph" w:customStyle="1" w:styleId="222">
    <w:name w:val="段"/>
    <w:qFormat/>
    <w:uiPriority w:val="0"/>
    <w:pPr>
      <w:ind w:firstLine="200"/>
      <w:jc w:val="both"/>
    </w:pPr>
    <w:rPr>
      <w:rFonts w:hint="default" w:ascii="宋体" w:hAnsi="Times New Roman" w:eastAsiaTheme="minorEastAsia" w:cstheme="minorBidi"/>
      <w:sz w:val="21"/>
      <w:szCs w:val="22"/>
      <w:lang w:val="en-US" w:eastAsia="zh-CN" w:bidi="ar-SA"/>
    </w:rPr>
  </w:style>
  <w:style w:type="character" w:customStyle="1" w:styleId="223">
    <w:name w:val="HTML 预设格式 Char"/>
    <w:basedOn w:val="41"/>
    <w:link w:val="35"/>
    <w:semiHidden/>
    <w:qFormat/>
    <w:uiPriority w:val="0"/>
    <w:rPr>
      <w:rFonts w:ascii="Arial" w:hAnsi="Arial"/>
      <w:sz w:val="21"/>
      <w:szCs w:val="21"/>
    </w:rPr>
  </w:style>
  <w:style w:type="character" w:customStyle="1" w:styleId="224">
    <w:name w:val="标题 3 Char"/>
    <w:basedOn w:val="41"/>
    <w:link w:val="5"/>
    <w:qFormat/>
    <w:uiPriority w:val="0"/>
    <w:rPr>
      <w:rFonts w:asciiTheme="minorHAnsi" w:hAnsiTheme="minorHAnsi" w:eastAsiaTheme="minorEastAsia" w:cstheme="minorBidi"/>
      <w:b/>
      <w:bCs/>
      <w:sz w:val="32"/>
      <w:szCs w:val="32"/>
    </w:rPr>
  </w:style>
  <w:style w:type="character" w:customStyle="1" w:styleId="225">
    <w:name w:val="标题 4 Char"/>
    <w:basedOn w:val="41"/>
    <w:link w:val="6"/>
    <w:qFormat/>
    <w:uiPriority w:val="0"/>
    <w:rPr>
      <w:rFonts w:asciiTheme="majorHAnsi" w:hAnsiTheme="majorHAnsi" w:eastAsiaTheme="majorEastAsia" w:cstheme="majorBidi"/>
      <w:b/>
      <w:bCs/>
      <w:sz w:val="28"/>
      <w:szCs w:val="28"/>
    </w:rPr>
  </w:style>
  <w:style w:type="paragraph" w:customStyle="1" w:styleId="226">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 w:type="paragraph" w:customStyle="1" w:styleId="227">
    <w:name w:val="p0"/>
    <w:basedOn w:val="1"/>
    <w:qFormat/>
    <w:uiPriority w:val="0"/>
    <w:pPr>
      <w:jc w:val="both"/>
    </w:pPr>
    <w:rPr>
      <w:rFonts w:ascii="宋体" w:hAnsi="宋体" w:eastAsia="宋体" w:cs="宋体"/>
      <w:sz w:val="21"/>
      <w:szCs w:val="21"/>
    </w:rPr>
  </w:style>
  <w:style w:type="character" w:customStyle="1" w:styleId="228">
    <w:name w:val="正文文本 Char"/>
    <w:basedOn w:val="41"/>
    <w:link w:val="2"/>
    <w:qFormat/>
    <w:uiPriority w:val="99"/>
    <w:rPr>
      <w:rFonts w:asciiTheme="minorHAnsi" w:hAnsiTheme="minorHAnsi" w:eastAsiaTheme="minorEastAsia" w:cstheme="minorBidi"/>
      <w:sz w:val="24"/>
      <w:szCs w:val="24"/>
    </w:rPr>
  </w:style>
  <w:style w:type="paragraph" w:customStyle="1" w:styleId="229">
    <w:name w:val="图文"/>
    <w:basedOn w:val="1"/>
    <w:qFormat/>
    <w:uiPriority w:val="0"/>
    <w:pPr>
      <w:widowControl w:val="0"/>
      <w:spacing w:after="50" w:line="360" w:lineRule="auto"/>
      <w:jc w:val="both"/>
    </w:pPr>
    <w:rPr>
      <w:rFonts w:ascii="Times New Roman" w:hAnsi="Times New Roman" w:eastAsia="宋体" w:cs="Times New Roman"/>
    </w:rPr>
  </w:style>
  <w:style w:type="character" w:customStyle="1" w:styleId="230">
    <w:name w:val="中文正文、 Char Char"/>
    <w:link w:val="231"/>
    <w:qFormat/>
    <w:uiPriority w:val="0"/>
    <w:rPr>
      <w:sz w:val="21"/>
      <w:szCs w:val="21"/>
    </w:rPr>
  </w:style>
  <w:style w:type="paragraph" w:customStyle="1" w:styleId="231">
    <w:name w:val="中文正文、"/>
    <w:basedOn w:val="1"/>
    <w:link w:val="230"/>
    <w:qFormat/>
    <w:uiPriority w:val="0"/>
    <w:pPr>
      <w:widowControl w:val="0"/>
      <w:spacing w:line="360" w:lineRule="auto"/>
      <w:ind w:firstLine="420"/>
      <w:jc w:val="both"/>
    </w:pPr>
    <w:rPr>
      <w:rFonts w:ascii="Calibri" w:hAnsi="Calibri" w:eastAsia="宋体" w:cs="Times New Roman"/>
      <w:sz w:val="21"/>
      <w:szCs w:val="21"/>
    </w:rPr>
  </w:style>
  <w:style w:type="paragraph" w:customStyle="1" w:styleId="232">
    <w:name w:val="p16"/>
    <w:basedOn w:val="1"/>
    <w:qFormat/>
    <w:uiPriority w:val="0"/>
    <w:pPr>
      <w:jc w:val="both"/>
    </w:pPr>
    <w:rPr>
      <w:rFonts w:ascii="宋体" w:hAnsi="宋体" w:eastAsia="宋体" w:cs="Times New Roman"/>
      <w:szCs w:val="20"/>
    </w:rPr>
  </w:style>
  <w:style w:type="character" w:customStyle="1" w:styleId="233">
    <w:name w:val="纯文本 Char1"/>
    <w:qFormat/>
    <w:uiPriority w:val="0"/>
    <w:rPr>
      <w:rFonts w:ascii="宋体" w:hAnsi="Courier New"/>
      <w:sz w:val="21"/>
    </w:rPr>
  </w:style>
  <w:style w:type="paragraph" w:customStyle="1" w:styleId="234">
    <w:name w:val="正文文本 31"/>
    <w:basedOn w:val="1"/>
    <w:qFormat/>
    <w:uiPriority w:val="0"/>
    <w:pPr>
      <w:widowControl w:val="0"/>
      <w:jc w:val="both"/>
    </w:pPr>
    <w:rPr>
      <w:rFonts w:ascii="宋体" w:hAnsi="Times New Roman" w:eastAsia="宋体" w:cs="Times New Roman"/>
    </w:rPr>
  </w:style>
  <w:style w:type="character" w:customStyle="1" w:styleId="235">
    <w:name w:val="页脚 Char"/>
    <w:link w:val="25"/>
    <w:qFormat/>
    <w:uiPriority w:val="99"/>
    <w:rPr>
      <w:rFonts w:asciiTheme="minorHAnsi" w:hAnsiTheme="minorHAnsi" w:eastAsiaTheme="minorEastAsia" w:cstheme="minorBidi"/>
      <w:sz w:val="18"/>
      <w:szCs w:val="18"/>
    </w:rPr>
  </w:style>
  <w:style w:type="character" w:customStyle="1" w:styleId="236">
    <w:name w:val="15"/>
    <w:qFormat/>
    <w:uiPriority w:val="0"/>
    <w:rPr>
      <w:rFonts w:hint="eastAsia" w:ascii="宋体" w:hAnsi="宋体" w:eastAsia="宋体"/>
      <w:sz w:val="24"/>
      <w:szCs w:val="24"/>
    </w:rPr>
  </w:style>
  <w:style w:type="character" w:customStyle="1" w:styleId="237">
    <w:name w:val="页眉 Char"/>
    <w:basedOn w:val="41"/>
    <w:link w:val="26"/>
    <w:qFormat/>
    <w:uiPriority w:val="99"/>
    <w:rPr>
      <w:rFonts w:asciiTheme="minorHAnsi" w:hAnsiTheme="minorHAnsi" w:eastAsiaTheme="minorEastAsia" w:cstheme="minorBidi"/>
      <w:sz w:val="18"/>
      <w:szCs w:val="18"/>
    </w:rPr>
  </w:style>
  <w:style w:type="paragraph" w:customStyle="1" w:styleId="238">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39">
    <w:name w:val="正文文本 33"/>
    <w:basedOn w:val="1"/>
    <w:qFormat/>
    <w:uiPriority w:val="0"/>
    <w:pPr>
      <w:widowControl w:val="0"/>
      <w:jc w:val="both"/>
    </w:pPr>
    <w:rPr>
      <w:rFonts w:ascii="宋体" w:hAnsi="Times New Roman" w:eastAsia="宋体" w:cs="Times New Roman"/>
    </w:rPr>
  </w:style>
  <w:style w:type="character" w:customStyle="1" w:styleId="240">
    <w:name w:val="列出段落 Char"/>
    <w:link w:val="217"/>
    <w:qFormat/>
    <w:uiPriority w:val="34"/>
    <w:rPr>
      <w:rFonts w:asciiTheme="minorHAnsi" w:hAnsiTheme="minorHAnsi" w:eastAsiaTheme="minorEastAsia" w:cstheme="minorBidi"/>
      <w:sz w:val="24"/>
      <w:szCs w:val="24"/>
    </w:rPr>
  </w:style>
  <w:style w:type="character" w:customStyle="1" w:styleId="241">
    <w:name w:val="font11"/>
    <w:qFormat/>
    <w:uiPriority w:val="0"/>
    <w:rPr>
      <w:rFonts w:hint="eastAsia" w:ascii="仿宋" w:hAnsi="仿宋" w:eastAsia="仿宋" w:cs="仿宋"/>
      <w:color w:val="FF0000"/>
      <w:sz w:val="20"/>
      <w:szCs w:val="20"/>
      <w:u w:val="none"/>
      <w:lang w:val="en-US" w:eastAsia="zh-CN" w:bidi="ar-SA"/>
    </w:rPr>
  </w:style>
  <w:style w:type="paragraph" w:customStyle="1" w:styleId="242">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43">
    <w:name w:val="1"/>
    <w:basedOn w:val="1"/>
    <w:next w:val="22"/>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44">
    <w:name w:val="_Style 160"/>
    <w:basedOn w:val="1"/>
    <w:next w:val="217"/>
    <w:qFormat/>
    <w:uiPriority w:val="0"/>
    <w:pPr>
      <w:widowControl w:val="0"/>
      <w:pBdr>
        <w:bottom w:val="single" w:color="000000" w:sz="6" w:space="1"/>
      </w:pBdr>
      <w:jc w:val="center"/>
    </w:pPr>
    <w:rPr>
      <w:rFonts w:ascii="Arial" w:hAnsi="Times New Roman" w:eastAsia="宋体" w:cs="Times New Roman"/>
      <w:vanish/>
      <w:sz w:val="16"/>
    </w:rPr>
  </w:style>
  <w:style w:type="character" w:customStyle="1" w:styleId="245">
    <w:name w:val="正文文本缩进 2 Char"/>
    <w:basedOn w:val="41"/>
    <w:link w:val="22"/>
    <w:semiHidden/>
    <w:qFormat/>
    <w:uiPriority w:val="0"/>
    <w:rPr>
      <w:rFonts w:asciiTheme="minorHAnsi" w:hAnsiTheme="minorHAnsi" w:eastAsiaTheme="minorEastAsia" w:cstheme="minorBidi"/>
      <w:sz w:val="24"/>
      <w:szCs w:val="24"/>
    </w:rPr>
  </w:style>
  <w:style w:type="character" w:customStyle="1" w:styleId="246">
    <w:name w:val="标题 6 Char"/>
    <w:basedOn w:val="41"/>
    <w:link w:val="8"/>
    <w:qFormat/>
    <w:uiPriority w:val="0"/>
    <w:rPr>
      <w:rFonts w:ascii="Arial" w:hAnsi="Arial" w:eastAsia="黑体"/>
      <w:b/>
      <w:bCs/>
      <w:sz w:val="24"/>
      <w:szCs w:val="24"/>
    </w:rPr>
  </w:style>
  <w:style w:type="character" w:customStyle="1" w:styleId="247">
    <w:name w:val="标题 7 Char"/>
    <w:basedOn w:val="41"/>
    <w:link w:val="9"/>
    <w:qFormat/>
    <w:uiPriority w:val="0"/>
    <w:rPr>
      <w:rFonts w:ascii="Times New Roman" w:hAnsi="Times New Roman"/>
      <w:b/>
      <w:bCs/>
      <w:sz w:val="24"/>
      <w:szCs w:val="24"/>
    </w:rPr>
  </w:style>
  <w:style w:type="character" w:customStyle="1" w:styleId="248">
    <w:name w:val="标题 8 Char"/>
    <w:basedOn w:val="41"/>
    <w:link w:val="10"/>
    <w:qFormat/>
    <w:uiPriority w:val="0"/>
    <w:rPr>
      <w:rFonts w:ascii="Arial" w:hAnsi="Arial" w:eastAsia="黑体"/>
      <w:sz w:val="24"/>
      <w:szCs w:val="24"/>
    </w:rPr>
  </w:style>
  <w:style w:type="character" w:customStyle="1" w:styleId="249">
    <w:name w:val="标题 9 Char"/>
    <w:basedOn w:val="41"/>
    <w:link w:val="11"/>
    <w:qFormat/>
    <w:uiPriority w:val="0"/>
    <w:rPr>
      <w:rFonts w:ascii="Arial" w:hAnsi="Arial" w:eastAsia="黑体"/>
      <w:sz w:val="21"/>
      <w:szCs w:val="21"/>
    </w:rPr>
  </w:style>
  <w:style w:type="paragraph" w:customStyle="1" w:styleId="250">
    <w:name w:val="WPSOffice手动目录 1"/>
    <w:qFormat/>
    <w:uiPriority w:val="0"/>
    <w:rPr>
      <w:rFonts w:hint="default" w:ascii="Calibri" w:hAnsi="Calibri" w:eastAsia="宋体" w:cs="Times New Roman"/>
      <w:sz w:val="20"/>
      <w:szCs w:val="20"/>
    </w:rPr>
  </w:style>
  <w:style w:type="paragraph" w:customStyle="1" w:styleId="251">
    <w:name w:val="WPSOffice手动目录 2"/>
    <w:qFormat/>
    <w:uiPriority w:val="0"/>
    <w:rPr>
      <w:rFonts w:hint="default" w:ascii="Calibri" w:hAnsi="Calibri" w:eastAsia="宋体" w:cs="Times New Roman"/>
      <w:sz w:val="20"/>
      <w:szCs w:val="20"/>
    </w:rPr>
  </w:style>
  <w:style w:type="paragraph" w:customStyle="1" w:styleId="252">
    <w:name w:val="WPSOffice手动目录 3"/>
    <w:qFormat/>
    <w:uiPriority w:val="0"/>
    <w:rPr>
      <w:rFonts w:hint="default"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TotalTime>30</TotalTime>
  <ScaleCrop>false</ScaleCrop>
  <LinksUpToDate>false</LinksUpToDate>
  <Application>WPS Office_11.8.2.12229_F1E327BC-269C-435d-A152-05C5408002CA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2019-11-30T11:40:00Z</dcterms:created>
  <dc:creator>Administrator</dc:creator>
  <cp:lastModifiedBy>张秋萍</cp:lastModifiedBy>
  <dcterms:modified xsi:type="dcterms:W3CDTF">2026-08-05T11:10:07Z</dcterms:modified>
  <cp:revision>179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2052-11.8.2.12229</vt:lpwstr>
  </property>
  <property fmtid="{D5CDD505-2E9C-101B-9397-08002B2CF9AE}" pid="3" name="ICV">
    <vt:lpwstr>0D6B172B31A849D5BE6F5A6E30A9AAFE</vt:lpwstr>
  </property>
</Properties>
</file>